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极地冰流-气象自动观测系统建设（重新招标）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ZQCD-25488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中国气象科学研究院</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极地冰流-气象自动观测系统建设（重新招标）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ZQCD-25488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合同签订后30天内交货，360天内完成安装调试并具备验收条件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中国气象科学研究院</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2025年12月25日 00:00:00</w:t>
      </w:r>
      <w:bookmarkEnd w:id="26"/>
      <w:r>
        <w:rPr>
          <w:rFonts w:ascii="宋体" w:hint="eastAsia"/>
          <w:szCs w:val="21"/>
          <w:highlight w:val="none"/>
        </w:rPr>
        <w:t>至</w:t>
      </w:r>
      <w:bookmarkStart w:id="27" w:name="项目公告_signUpLastTime"/>
      <w:r>
        <w:rPr>
          <w:rFonts w:ascii="宋体" w:hint="eastAsia"/>
          <w:szCs w:val="21"/>
          <w:highlight w:val="none"/>
        </w:rPr>
        <w:t>2026年01月01日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2026年01月15日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中国气象科学研究院</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赵守栋</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010-68409586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中国气象科学研究院</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允许（仅针对以下产品：1、冰流运动观测设备，2、气象观测设备，3、冰流-气象自动观测系统现场建设与后勤保障允许代理商投标）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设有，核心产品为气象观测设备</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（1）标的：冰流-气象自动观测系统，属于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631.000000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631.000000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销售合同必须包括气象观测设备，每提供1份合同得1分，最多得6分。否则不得分。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针对本项目采购的气象观测设备，承诺每提前5天交货的得0.5分，最多得1分。否则不得分。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针对气象观测设备，每提供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(4)</w:t>
            </w:r>
          </w:p>
        </w:tc>
        <w:tc>
          <w:tcPr/>
          <w:p>
            <w:r>
              <w:t>评审标准：</w:t>
            </w:r>
          </w:p>
          <w:p>
            <w:r>
              <w:t xml:space="preserve">1、投标人为本项目拟派的服务团队中项目经理应具有3年以上相关工作经验的得2分；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(36)</w:t>
            </w:r>
          </w:p>
        </w:tc>
        <w:tc>
          <w:tcPr/>
          <w:p>
            <w:r>
              <w:t>评审标准：</w:t>
            </w:r>
          </w:p>
          <w:p>
            <w:r>
              <w:t>标注#的重要指标共18项，每满足1项（如有多个下级指标，则每个下级指标均应满足）得2分，满分36分。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投标产品的数据安全性（客观分）</w:t>
            </w:r>
          </w:p>
        </w:tc>
        <w:tc>
          <w:tcPr/>
          <w:p>
            <w:r>
              <w:t>勾选打分</w:t>
            </w:r>
            <w:r>
              <w:t>(3)</w:t>
            </w:r>
          </w:p>
        </w:tc>
        <w:tc>
          <w:tcPr/>
          <w:p>
            <w:r>
              <w:t>评审标准：</w:t>
            </w:r>
          </w:p>
          <w:p>
            <w:r>
              <w:t>针对气象观测设备，提供配套数据采集器第三方渗透测试报告，能够证明访问安全、数据加密安全、模拟攻击安全、后门检测安全等内容，全部满足得3分。否则不得分。</w:t>
            </w:r>
          </w:p>
          <w:p>
            <w:r>
              <w:t>评审标准说明：</w:t>
            </w:r>
          </w:p>
          <w:p>
            <w:r>
              <w:t>针对该项评审标准中所指标的物，提供第三方检测机构出具的，有该项评审标准所规定的内容且判定结果为符合的数据安全性报告，并加盖投标人公章。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480" w:lineRule="exact"/>
        <w:ind w:firstLine="420" w:firstLineChars="200"/>
        <w:rPr>
          <w:rFonts w:ascii="仿宋" w:eastAsia="仿宋" w:hAnsi="仿宋"/>
          <w:kern w:val="20"/>
          <w:szCs w:val="32"/>
          <w:lang w:val="zh-CN"/>
        </w:rPr>
      </w:pPr>
      <w:r>
        <w:rPr>
          <w:rFonts w:ascii="仿宋" w:eastAsia="仿宋" w:hAnsi="仿宋" w:hint="eastAsia"/>
          <w:kern w:val="20"/>
          <w:szCs w:val="32"/>
          <w:lang w:val="zh-CN"/>
        </w:rPr>
        <w:t>格陵兰冰盖（GrIS）是世界上第二大冰盖，但已成为海平面上升的最大单一贡献者。如果它的质量完全消失，全球平均海平面将上升约7.2m。近几十年来，海洋和大气变暖导致GrIS质量损失显著增加。GrIS的质量损失主要是由表面融化和溢出冰川崩解引起的。2005年以前，这两个过程对GrIS的大规模损失贡献相同。然而，近年来，由表面融化引起的质量损失比溢出冰川崩解增加得更快。冰原模型预测结果表明，表层融化将是21世纪GrIS质量损失的主要原因。GrIS的地表融化通常用遥感观测反演，用区域气候模式估算。然而，由于气候模型和反演方法的不完善，这两种方法在估算地表融化量时往往存在较大的不确定性。利用现场测量估算的地表融化是一个重要的独立数据源，用于校准和验证来自区域气候模式（RCM）和遥感观测的估算。此外，原位测量也有助于加深对GrIS表面质量平衡关键过程的理解，如积累、融化和能量平衡。</w:t>
      </w:r>
    </w:p>
    <w:p>
      <w:pPr>
        <w:spacing w:line="360" w:lineRule="auto"/>
        <w:ind w:firstLine="420" w:firstLineChars="200"/>
        <w:outlineLvl w:val="2"/>
        <w:rPr>
          <w:rFonts w:ascii="仿宋" w:eastAsia="仿宋" w:hAnsi="仿宋"/>
          <w:kern w:val="20"/>
          <w:szCs w:val="32"/>
          <w:lang w:val="zh-CN"/>
        </w:rPr>
      </w:pPr>
      <w:r>
        <w:rPr>
          <w:rFonts w:ascii="仿宋" w:eastAsia="仿宋" w:hAnsi="仿宋" w:hint="eastAsia"/>
          <w:kern w:val="20"/>
          <w:szCs w:val="32"/>
          <w:lang w:val="zh-CN"/>
        </w:rPr>
        <w:t>本项目拟通过在</w:t>
      </w:r>
      <w:r>
        <w:rPr>
          <w:rFonts w:ascii="仿宋" w:eastAsia="仿宋" w:hAnsi="仿宋" w:hint="eastAsia"/>
          <w:kern w:val="20"/>
          <w:szCs w:val="32"/>
        </w:rPr>
        <w:t>格陵兰</w:t>
      </w:r>
      <w:r>
        <w:rPr>
          <w:rFonts w:ascii="仿宋" w:eastAsia="仿宋" w:hAnsi="仿宋" w:hint="eastAsia"/>
          <w:kern w:val="20"/>
          <w:szCs w:val="32"/>
          <w:lang w:val="zh-CN"/>
        </w:rPr>
        <w:t>冰</w:t>
      </w:r>
      <w:r>
        <w:rPr>
          <w:rFonts w:ascii="仿宋" w:eastAsia="仿宋" w:hAnsi="仿宋" w:hint="eastAsia"/>
          <w:kern w:val="20"/>
          <w:szCs w:val="32"/>
        </w:rPr>
        <w:t>盖</w:t>
      </w:r>
      <w:r>
        <w:rPr>
          <w:rFonts w:ascii="仿宋" w:eastAsia="仿宋" w:hAnsi="仿宋" w:hint="eastAsia"/>
          <w:kern w:val="20"/>
          <w:szCs w:val="32"/>
          <w:lang w:val="zh-CN"/>
        </w:rPr>
        <w:t>地区建立冰流-气象自动观测系统，加强格陵兰冰盖的气象、表面消融和冰川运动的观测，加深对GrIS表面质量平衡关键过程如积累、融化和能量平衡的理解。</w:t>
      </w:r>
    </w:p>
    <w:p>
      <w:pPr>
        <w:spacing w:line="360" w:lineRule="auto"/>
        <w:outlineLvl w:val="2"/>
        <w:rPr>
          <w:rFonts w:ascii="仿宋" w:eastAsia="仿宋" w:hAnsi="仿宋"/>
          <w:kern w:val="20"/>
          <w:szCs w:val="32"/>
          <w:lang w:val="zh-CN"/>
        </w:rPr>
      </w:pPr>
    </w:p>
    <w:p>
      <w:pPr>
        <w:spacing w:line="360" w:lineRule="auto"/>
        <w:ind w:firstLine="420" w:firstLineChars="200"/>
        <w:rPr>
          <w:rFonts w:ascii="宋体" w:hAnsi="宋体"/>
          <w:szCs w:val="21"/>
        </w:rPr>
      </w:pPr>
      <w:r>
        <w:rPr>
          <w:rFonts w:ascii="宋体" w:hAnsi="宋体" w:hint="eastAsia"/>
          <w:szCs w:val="21"/>
        </w:rPr>
        <w:t>二、设备需求一览表</w:t>
      </w:r>
    </w:p>
    <w:p>
      <w:pPr>
        <w:spacing w:line="360" w:lineRule="auto"/>
        <w:ind w:firstLine="309" w:firstLineChars="147"/>
        <w:rPr>
          <w:rFonts w:ascii="Times New Roman" w:eastAsia="宋体" w:hAnsi="Times New Roman" w:cs="Times New Roman"/>
          <w:szCs w:val="21"/>
        </w:rPr>
      </w:pPr>
      <w:r>
        <w:rPr>
          <w:rFonts w:ascii="Times New Roman" w:eastAsia="宋体" w:hAnsi="Times New Roman" w:cs="Times New Roman"/>
          <w:szCs w:val="21"/>
        </w:rPr>
        <w:t>采购</w:t>
      </w:r>
      <w:r>
        <w:rPr>
          <w:rFonts w:ascii="Times New Roman" w:eastAsia="宋体" w:hAnsi="Times New Roman" w:cs="Times New Roman" w:hint="eastAsia"/>
          <w:szCs w:val="21"/>
        </w:rPr>
        <w:t>设备和服备</w:t>
      </w:r>
      <w:r>
        <w:rPr>
          <w:rFonts w:ascii="Times New Roman" w:eastAsia="宋体" w:hAnsi="Times New Roman" w:cs="Times New Roman"/>
          <w:szCs w:val="21"/>
        </w:rPr>
        <w:t>具体数量和预算明细见下表：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43"/>
        <w:gridCol w:w="2563"/>
        <w:gridCol w:w="1466"/>
        <w:gridCol w:w="891"/>
        <w:gridCol w:w="1397"/>
        <w:gridCol w:w="1119"/>
        <w:gridCol w:w="543"/>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b/>
                <w:bCs/>
                <w:szCs w:val="21"/>
              </w:rPr>
            </w:pPr>
            <w:r>
              <w:rPr>
                <w:rFonts w:ascii="宋体" w:hAnsi="宋体" w:hint="eastAsia"/>
                <w:b/>
                <w:bCs/>
                <w:szCs w:val="21"/>
              </w:rPr>
              <w:t>序号</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b/>
                <w:bCs/>
                <w:szCs w:val="21"/>
              </w:rPr>
            </w:pPr>
            <w:r>
              <w:rPr>
                <w:rFonts w:ascii="宋体" w:hAnsi="宋体" w:hint="eastAsia"/>
                <w:b/>
                <w:bCs/>
                <w:szCs w:val="21"/>
              </w:rPr>
              <w:t>设备/服务名称</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b/>
                <w:bCs/>
                <w:szCs w:val="21"/>
              </w:rPr>
            </w:pPr>
            <w:r>
              <w:rPr>
                <w:rFonts w:ascii="宋体" w:hAnsi="宋体" w:hint="eastAsia"/>
                <w:b/>
                <w:bCs/>
                <w:szCs w:val="21"/>
              </w:rPr>
              <w:t>规格</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b/>
                <w:bCs/>
                <w:szCs w:val="21"/>
              </w:rPr>
            </w:pPr>
            <w:r>
              <w:rPr>
                <w:rFonts w:ascii="宋体" w:hAnsi="宋体" w:hint="eastAsia"/>
                <w:b/>
                <w:bCs/>
                <w:szCs w:val="21"/>
              </w:rPr>
              <w:t>数量及单位</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b/>
                <w:bCs/>
                <w:szCs w:val="21"/>
              </w:rPr>
            </w:pPr>
            <w:r>
              <w:rPr>
                <w:rFonts w:ascii="宋体" w:hAnsi="宋体" w:hint="eastAsia"/>
                <w:b/>
                <w:bCs/>
                <w:szCs w:val="21"/>
              </w:rPr>
              <w:t>交货期</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b/>
                <w:bCs/>
                <w:szCs w:val="21"/>
              </w:rPr>
            </w:pPr>
            <w:r>
              <w:rPr>
                <w:rFonts w:ascii="宋体" w:hAnsi="宋体" w:hint="eastAsia"/>
                <w:b/>
                <w:bCs/>
                <w:szCs w:val="21"/>
              </w:rPr>
              <w:t>交货地点</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b/>
                <w:bCs/>
                <w:szCs w:val="21"/>
              </w:rPr>
            </w:pPr>
            <w:r>
              <w:rPr>
                <w:rFonts w:ascii="仿宋_GB2312" w:eastAsia="仿宋_GB2312" w:hAnsi="仿宋_GB2312" w:cs="仿宋_GB2312" w:hint="eastAsia"/>
                <w:b/>
                <w:bCs/>
                <w:kern w:val="0"/>
                <w:szCs w:val="21"/>
                <w:lang w:bidi="ar"/>
              </w:rPr>
              <w:t>备注</w:t>
            </w:r>
          </w:p>
        </w:tc>
      </w:tr>
      <w:tr>
        <w:tblPrEx>
          <w:tblW w:w="0" w:type="auto"/>
          <w:tblInd w:w="0" w:type="dxa"/>
          <w:tblCellMar>
            <w:top w:w="0" w:type="dxa"/>
            <w:left w:w="108" w:type="dxa"/>
            <w:bottom w:w="0" w:type="dxa"/>
            <w:right w:w="108" w:type="dxa"/>
          </w:tblCellMar>
        </w:tblPrEx>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bookmarkStart w:id="60" w:name="_Hlk199931887"/>
            <w:r>
              <w:rPr>
                <w:rFonts w:ascii="宋体" w:hAnsi="宋体" w:hint="eastAsia"/>
                <w:szCs w:val="21"/>
              </w:rPr>
              <w:t>1</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冰流运动观测设备</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详见技术性能指标要求</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2套</w:t>
            </w:r>
          </w:p>
        </w:tc>
        <w:tc>
          <w:tcPr>
            <w:tcW w:w="0" w:type="auto"/>
            <w:tcBorders>
              <w:top w:val="single" w:sz="4" w:space="0" w:color="auto"/>
              <w:left w:val="single" w:sz="4" w:space="0" w:color="auto"/>
              <w:bottom w:val="single" w:sz="4" w:space="0" w:color="auto"/>
              <w:right w:val="single" w:sz="4" w:space="0" w:color="auto"/>
            </w:tcBorders>
            <w:shd w:val="clear" w:color="auto" w:fill="auto"/>
          </w:tcPr>
          <w:p>
            <w:pPr>
              <w:spacing w:line="360" w:lineRule="auto"/>
              <w:jc w:val="center"/>
              <w:rPr>
                <w:rFonts w:ascii="宋体" w:hAnsi="宋体"/>
                <w:szCs w:val="21"/>
              </w:rPr>
            </w:pPr>
            <w:r>
              <w:rPr>
                <w:rFonts w:ascii="宋体" w:hAnsi="宋体" w:hint="eastAsia"/>
                <w:szCs w:val="21"/>
                <w:lang w:val="zh-CN"/>
              </w:rPr>
              <w:t>合同签订后</w:t>
            </w:r>
            <w:r>
              <w:rPr>
                <w:rFonts w:ascii="宋体" w:hAnsi="宋体" w:hint="eastAsia"/>
                <w:szCs w:val="21"/>
              </w:rPr>
              <w:t>3</w:t>
            </w:r>
            <w:r>
              <w:rPr>
                <w:rFonts w:ascii="宋体" w:hAnsi="宋体" w:hint="eastAsia"/>
                <w:szCs w:val="21"/>
                <w:lang w:val="zh-CN"/>
              </w:rPr>
              <w:t>0天内</w:t>
            </w:r>
          </w:p>
        </w:tc>
        <w:tc>
          <w:tcPr>
            <w:tcW w:w="0" w:type="auto"/>
            <w:tcBorders>
              <w:top w:val="single" w:sz="4" w:space="0" w:color="auto"/>
              <w:left w:val="single" w:sz="4" w:space="0" w:color="auto"/>
              <w:bottom w:val="single" w:sz="4" w:space="0" w:color="auto"/>
              <w:right w:val="single" w:sz="4" w:space="0" w:color="auto"/>
            </w:tcBorders>
          </w:tcPr>
          <w:p>
            <w:pPr>
              <w:spacing w:line="360" w:lineRule="auto"/>
              <w:jc w:val="center"/>
              <w:rPr>
                <w:rFonts w:ascii="宋体" w:hAnsi="宋体"/>
                <w:szCs w:val="21"/>
              </w:rPr>
            </w:pPr>
            <w:r>
              <w:rPr>
                <w:rFonts w:ascii="宋体" w:hAnsi="宋体" w:hint="eastAsia"/>
                <w:szCs w:val="21"/>
                <w:lang w:val="zh-CN"/>
              </w:rPr>
              <w:t>采购人指定地点</w:t>
            </w:r>
          </w:p>
        </w:tc>
        <w:tc>
          <w:tcPr>
            <w:tcW w:w="0" w:type="auto"/>
            <w:tcBorders>
              <w:top w:val="single" w:sz="4" w:space="0" w:color="auto"/>
              <w:left w:val="single" w:sz="4" w:space="0" w:color="auto"/>
              <w:bottom w:val="single" w:sz="4" w:space="0" w:color="auto"/>
              <w:right w:val="single" w:sz="4" w:space="0" w:color="auto"/>
            </w:tcBorders>
            <w:shd w:val="clear" w:color="auto" w:fill="auto"/>
          </w:tcPr>
          <w:p>
            <w:pPr>
              <w:spacing w:line="360" w:lineRule="auto"/>
              <w:jc w:val="center"/>
              <w:rPr>
                <w:rFonts w:ascii="宋体" w:hAnsi="宋体"/>
                <w:szCs w:val="21"/>
                <w:lang w:val="zh-CN"/>
              </w:rPr>
            </w:pPr>
            <w:r>
              <w:rPr>
                <w:rFonts w:ascii="宋体" w:hAnsi="宋体" w:hint="eastAsia"/>
                <w:szCs w:val="21"/>
              </w:rPr>
              <w:t>无</w:t>
            </w:r>
          </w:p>
        </w:tc>
      </w:tr>
      <w:tr>
        <w:tblPrEx>
          <w:tblW w:w="0" w:type="auto"/>
          <w:tblInd w:w="0" w:type="dxa"/>
          <w:tblCellMar>
            <w:top w:w="0" w:type="dxa"/>
            <w:left w:w="108" w:type="dxa"/>
            <w:bottom w:w="0" w:type="dxa"/>
            <w:right w:w="108" w:type="dxa"/>
          </w:tblCellMar>
        </w:tblPrEx>
        <w:trPr>
          <w:trHeight w:val="279"/>
        </w:trPr>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2</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气象观测设备</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详见技术性能指标要求</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4套</w:t>
            </w:r>
          </w:p>
        </w:tc>
        <w:tc>
          <w:tcPr>
            <w:tcW w:w="0" w:type="auto"/>
            <w:tcBorders>
              <w:top w:val="single" w:sz="4" w:space="0" w:color="auto"/>
              <w:left w:val="single" w:sz="4" w:space="0" w:color="auto"/>
              <w:bottom w:val="single" w:sz="4" w:space="0" w:color="auto"/>
              <w:right w:val="single" w:sz="4" w:space="0" w:color="auto"/>
            </w:tcBorders>
            <w:shd w:val="clear" w:color="auto" w:fill="auto"/>
          </w:tcPr>
          <w:p>
            <w:pPr>
              <w:spacing w:line="360" w:lineRule="auto"/>
              <w:jc w:val="center"/>
              <w:rPr>
                <w:rFonts w:ascii="宋体" w:hAnsi="宋体"/>
                <w:szCs w:val="21"/>
              </w:rPr>
            </w:pPr>
            <w:r>
              <w:rPr>
                <w:rFonts w:ascii="宋体" w:hAnsi="宋体" w:hint="eastAsia"/>
                <w:szCs w:val="21"/>
                <w:lang w:val="zh-CN"/>
              </w:rPr>
              <w:t>合同签订后</w:t>
            </w:r>
            <w:r>
              <w:rPr>
                <w:rFonts w:ascii="宋体" w:hAnsi="宋体" w:hint="eastAsia"/>
                <w:szCs w:val="21"/>
              </w:rPr>
              <w:t>3</w:t>
            </w:r>
            <w:r>
              <w:rPr>
                <w:rFonts w:ascii="宋体" w:hAnsi="宋体" w:hint="eastAsia"/>
                <w:szCs w:val="21"/>
                <w:lang w:val="zh-CN"/>
              </w:rPr>
              <w:t>0天内</w:t>
            </w:r>
          </w:p>
        </w:tc>
        <w:tc>
          <w:tcPr>
            <w:tcW w:w="0" w:type="auto"/>
            <w:tcBorders>
              <w:top w:val="single" w:sz="4" w:space="0" w:color="auto"/>
              <w:left w:val="single" w:sz="4" w:space="0" w:color="auto"/>
              <w:bottom w:val="single" w:sz="4" w:space="0" w:color="auto"/>
              <w:right w:val="single" w:sz="4" w:space="0" w:color="auto"/>
            </w:tcBorders>
          </w:tcPr>
          <w:p>
            <w:pPr>
              <w:spacing w:line="360" w:lineRule="auto"/>
              <w:jc w:val="center"/>
              <w:rPr>
                <w:rFonts w:ascii="宋体" w:hAnsi="宋体"/>
                <w:szCs w:val="21"/>
              </w:rPr>
            </w:pPr>
            <w:r>
              <w:rPr>
                <w:rFonts w:ascii="宋体" w:hAnsi="宋体" w:hint="eastAsia"/>
                <w:szCs w:val="21"/>
                <w:lang w:val="zh-CN"/>
              </w:rPr>
              <w:t>采购人指定地点</w:t>
            </w:r>
          </w:p>
        </w:tc>
        <w:tc>
          <w:tcPr>
            <w:tcW w:w="0" w:type="auto"/>
            <w:tcBorders>
              <w:top w:val="single" w:sz="4" w:space="0" w:color="auto"/>
              <w:left w:val="single" w:sz="4" w:space="0" w:color="auto"/>
              <w:bottom w:val="single" w:sz="4" w:space="0" w:color="auto"/>
              <w:right w:val="single" w:sz="4" w:space="0" w:color="auto"/>
            </w:tcBorders>
            <w:shd w:val="clear" w:color="auto" w:fill="auto"/>
          </w:tcPr>
          <w:p>
            <w:pPr>
              <w:spacing w:line="360" w:lineRule="auto"/>
              <w:jc w:val="center"/>
              <w:rPr>
                <w:rFonts w:ascii="宋体" w:hAnsi="宋体"/>
                <w:szCs w:val="21"/>
                <w:lang w:val="zh-CN"/>
              </w:rPr>
            </w:pPr>
            <w:r>
              <w:rPr>
                <w:rFonts w:ascii="宋体" w:hAnsi="宋体" w:hint="eastAsia"/>
                <w:szCs w:val="21"/>
              </w:rPr>
              <w:t>无</w:t>
            </w:r>
          </w:p>
        </w:tc>
      </w:tr>
      <w:bookmarkEnd w:id="60"/>
      <w:tr>
        <w:tblPrEx>
          <w:tblW w:w="0" w:type="auto"/>
          <w:tblInd w:w="0" w:type="dxa"/>
          <w:tblCellMar>
            <w:top w:w="0" w:type="dxa"/>
            <w:left w:w="108" w:type="dxa"/>
            <w:bottom w:w="0" w:type="dxa"/>
            <w:right w:w="108" w:type="dxa"/>
          </w:tblCellMar>
        </w:tblPrEx>
        <w:trPr>
          <w:trHeight w:val="301"/>
        </w:trPr>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3</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hint="default"/>
                <w:szCs w:val="21"/>
              </w:rPr>
            </w:pPr>
            <w:r>
              <w:rPr>
                <w:rFonts w:ascii="宋体" w:hAnsi="宋体" w:hint="eastAsia"/>
                <w:szCs w:val="21"/>
              </w:rPr>
              <w:t>冰流-气象自动观测系统现场建设</w:t>
            </w:r>
            <w:r>
              <w:rPr>
                <w:rFonts w:ascii="宋体" w:hAnsi="宋体" w:hint="eastAsia"/>
                <w:szCs w:val="21"/>
                <w:lang w:val="en-US" w:eastAsia="zh-CN"/>
              </w:rPr>
              <w:t>与后勤保障</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详见技术性能指标要求</w:t>
            </w:r>
          </w:p>
        </w:tc>
        <w:tc>
          <w:tcPr>
            <w:tcW w:w="0" w:type="auto"/>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宋体" w:hAnsi="宋体"/>
                <w:szCs w:val="21"/>
              </w:rPr>
            </w:pPr>
            <w:r>
              <w:rPr>
                <w:rFonts w:ascii="宋体" w:hAnsi="宋体" w:hint="eastAsia"/>
                <w:szCs w:val="21"/>
              </w:rPr>
              <w:t>2套</w:t>
            </w:r>
          </w:p>
        </w:tc>
        <w:tc>
          <w:tcPr>
            <w:tcW w:w="0" w:type="auto"/>
            <w:tcBorders>
              <w:top w:val="single" w:sz="4" w:space="0" w:color="auto"/>
              <w:left w:val="single" w:sz="4" w:space="0" w:color="auto"/>
              <w:bottom w:val="single" w:sz="4" w:space="0" w:color="auto"/>
              <w:right w:val="single" w:sz="4" w:space="0" w:color="auto"/>
            </w:tcBorders>
            <w:shd w:val="clear" w:color="auto" w:fill="auto"/>
          </w:tcPr>
          <w:p>
            <w:pPr>
              <w:spacing w:line="360" w:lineRule="auto"/>
              <w:jc w:val="center"/>
              <w:rPr>
                <w:rFonts w:ascii="宋体" w:hAnsi="宋体"/>
                <w:szCs w:val="21"/>
              </w:rPr>
            </w:pPr>
            <w:r>
              <w:rPr>
                <w:rFonts w:ascii="宋体" w:hAnsi="宋体" w:hint="eastAsia"/>
                <w:szCs w:val="21"/>
                <w:lang w:val="zh-CN"/>
              </w:rPr>
              <w:t>合同签订后</w:t>
            </w:r>
            <w:r>
              <w:rPr>
                <w:rFonts w:ascii="宋体" w:hAnsi="宋体" w:hint="eastAsia"/>
                <w:szCs w:val="21"/>
              </w:rPr>
              <w:t>360</w:t>
            </w:r>
            <w:r>
              <w:rPr>
                <w:rFonts w:ascii="宋体" w:hAnsi="宋体" w:hint="eastAsia"/>
                <w:szCs w:val="21"/>
                <w:lang w:val="zh-CN"/>
              </w:rPr>
              <w:t>天内</w:t>
            </w:r>
          </w:p>
        </w:tc>
        <w:tc>
          <w:tcPr>
            <w:tcW w:w="0" w:type="auto"/>
            <w:tcBorders>
              <w:top w:val="single" w:sz="4" w:space="0" w:color="auto"/>
              <w:left w:val="single" w:sz="4" w:space="0" w:color="auto"/>
              <w:bottom w:val="single" w:sz="4" w:space="0" w:color="auto"/>
              <w:right w:val="single" w:sz="4" w:space="0" w:color="auto"/>
            </w:tcBorders>
          </w:tcPr>
          <w:p>
            <w:pPr>
              <w:spacing w:line="360" w:lineRule="auto"/>
              <w:jc w:val="center"/>
              <w:rPr>
                <w:rFonts w:ascii="宋体" w:hAnsi="宋体"/>
                <w:szCs w:val="21"/>
              </w:rPr>
            </w:pPr>
            <w:r>
              <w:rPr>
                <w:rFonts w:ascii="宋体" w:hAnsi="宋体" w:hint="eastAsia"/>
                <w:szCs w:val="21"/>
                <w:lang w:val="zh-CN"/>
              </w:rPr>
              <w:t>采购人指定地点</w:t>
            </w:r>
          </w:p>
        </w:tc>
        <w:tc>
          <w:tcPr>
            <w:tcW w:w="0" w:type="auto"/>
            <w:tcBorders>
              <w:top w:val="single" w:sz="4" w:space="0" w:color="auto"/>
              <w:left w:val="single" w:sz="4" w:space="0" w:color="auto"/>
              <w:bottom w:val="single" w:sz="4" w:space="0" w:color="auto"/>
              <w:right w:val="single" w:sz="4" w:space="0" w:color="auto"/>
            </w:tcBorders>
            <w:shd w:val="clear" w:color="auto" w:fill="auto"/>
          </w:tcPr>
          <w:p>
            <w:pPr>
              <w:spacing w:line="360" w:lineRule="auto"/>
              <w:jc w:val="center"/>
              <w:rPr>
                <w:rFonts w:ascii="宋体" w:hAnsi="宋体"/>
                <w:szCs w:val="21"/>
                <w:lang w:val="zh-CN"/>
              </w:rPr>
            </w:pPr>
            <w:r>
              <w:rPr>
                <w:rFonts w:ascii="宋体" w:hAnsi="宋体" w:hint="eastAsia"/>
                <w:szCs w:val="21"/>
              </w:rPr>
              <w:t>无</w:t>
            </w:r>
          </w:p>
        </w:tc>
      </w:tr>
    </w:tbl>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三、技术性能指标</w:t>
      </w:r>
    </w:p>
    <w:p>
      <w:pPr>
        <w:numPr>
          <w:ilvl w:val="0"/>
          <w:numId w:val="4"/>
        </w:numPr>
        <w:spacing w:line="360" w:lineRule="auto"/>
        <w:ind w:firstLine="422"/>
        <w:outlineLvl w:val="2"/>
        <w:rPr>
          <w:rFonts w:ascii="Times New Roman" w:eastAsia="宋体" w:hAnsi="Times New Roman"/>
          <w:b/>
          <w:szCs w:val="21"/>
        </w:rPr>
      </w:pPr>
      <w:r>
        <w:rPr>
          <w:rFonts w:ascii="Times New Roman" w:eastAsia="宋体" w:hAnsi="Times New Roman" w:hint="eastAsia"/>
          <w:b/>
          <w:szCs w:val="21"/>
        </w:rPr>
        <w:t>冰流运动观测设备</w:t>
      </w:r>
    </w:p>
    <w:p>
      <w:pPr>
        <w:snapToGrid w:val="0"/>
        <w:spacing w:line="360" w:lineRule="auto"/>
        <w:ind w:firstLine="420" w:firstLineChars="200"/>
        <w:rPr>
          <w:rFonts w:ascii="Times New Roman" w:eastAsia="宋体" w:hAnsi="Times New Roman" w:cs="Times New Roman"/>
          <w:b/>
          <w:bCs/>
          <w:szCs w:val="21"/>
        </w:rPr>
      </w:pPr>
      <w:r>
        <w:rPr>
          <w:rFonts w:ascii="Times New Roman" w:eastAsia="宋体" w:hAnsi="Times New Roman" w:cs="Times New Roman" w:hint="eastAsia"/>
          <w:b/>
          <w:bCs/>
          <w:szCs w:val="21"/>
        </w:rPr>
        <w:t>1.1 接收机</w:t>
      </w:r>
    </w:p>
    <w:p>
      <w:pPr>
        <w:snapToGrid w:val="0"/>
        <w:spacing w:line="360" w:lineRule="auto"/>
        <w:ind w:firstLine="420" w:firstLineChars="200"/>
        <w:rPr>
          <w:rFonts w:ascii="Times New Roman" w:eastAsia="宋体" w:hAnsi="Times New Roman" w:cs="Times New Roman"/>
          <w:szCs w:val="21"/>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1.1.</w:t>
      </w:r>
      <w:r>
        <w:rPr>
          <w:rFonts w:ascii="Times New Roman" w:eastAsia="宋体" w:hAnsi="Times New Roman" w:cs="Times New Roman"/>
          <w:szCs w:val="21"/>
          <w:highlight w:val="yellow"/>
        </w:rPr>
        <w:t>1</w:t>
      </w:r>
      <w:r>
        <w:rPr>
          <w:rFonts w:ascii="Times New Roman" w:eastAsia="宋体" w:hAnsi="Times New Roman" w:cs="Times New Roman" w:hint="eastAsia"/>
          <w:szCs w:val="21"/>
          <w:highlight w:val="yellow"/>
        </w:rPr>
        <w:t xml:space="preserve"> 要求支持包含但不限于以下观测信号：GPS：L1(C/A)、L2P(Y)、L5 信号；GLONASS：G1、G2 信号；北斗（BDS）：B1I、B2I、B3I、B1C、B2a 信号；Galileo：E1、E5b、E5a 信号；QZSS：L1、L2、L5 信号。要求提供功能性截图作为证明材料；</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w:t>
      </w:r>
      <w:r>
        <w:rPr>
          <w:rFonts w:ascii="Times New Roman" w:eastAsia="宋体" w:hAnsi="Times New Roman" w:cs="Times New Roman"/>
          <w:szCs w:val="21"/>
        </w:rPr>
        <w:t>2</w:t>
      </w:r>
      <w:r>
        <w:rPr>
          <w:rFonts w:ascii="Times New Roman" w:eastAsia="宋体" w:hAnsi="Times New Roman" w:cs="Times New Roman" w:hint="eastAsia"/>
          <w:szCs w:val="21"/>
        </w:rPr>
        <w:t xml:space="preserve"> 支持数据格式：NMEA-0183</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w:t>
      </w:r>
      <w:r>
        <w:rPr>
          <w:rFonts w:ascii="Times New Roman" w:eastAsia="宋体" w:hAnsi="Times New Roman" w:cs="Times New Roman"/>
          <w:szCs w:val="21"/>
        </w:rPr>
        <w:t>3</w:t>
      </w:r>
      <w:r>
        <w:rPr>
          <w:rFonts w:ascii="Times New Roman" w:eastAsia="宋体" w:hAnsi="Times New Roman" w:cs="Times New Roman" w:hint="eastAsia"/>
          <w:szCs w:val="21"/>
        </w:rPr>
        <w:t xml:space="preserve"> 修正互通协议：RTCM3.X</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w:t>
      </w:r>
      <w:r>
        <w:rPr>
          <w:rFonts w:ascii="Times New Roman" w:eastAsia="宋体" w:hAnsi="Times New Roman" w:cs="Times New Roman"/>
          <w:szCs w:val="21"/>
        </w:rPr>
        <w:t>4</w:t>
      </w:r>
      <w:r>
        <w:rPr>
          <w:rFonts w:ascii="Times New Roman" w:eastAsia="宋体" w:hAnsi="Times New Roman" w:cs="Times New Roman" w:hint="eastAsia"/>
          <w:szCs w:val="21"/>
        </w:rPr>
        <w:t xml:space="preserve"> 固定状态时间：≤10 秒</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1.1.</w:t>
      </w:r>
      <w:r>
        <w:rPr>
          <w:rFonts w:ascii="Times New Roman" w:eastAsia="宋体" w:hAnsi="Times New Roman" w:cs="Times New Roman"/>
          <w:szCs w:val="21"/>
          <w:highlight w:val="yellow"/>
        </w:rPr>
        <w:t>5</w:t>
      </w:r>
      <w:r>
        <w:rPr>
          <w:rFonts w:ascii="Times New Roman" w:eastAsia="宋体" w:hAnsi="Times New Roman" w:cs="Times New Roman" w:hint="eastAsia"/>
          <w:szCs w:val="21"/>
          <w:highlight w:val="yellow"/>
        </w:rPr>
        <w:t xml:space="preserve"> </w:t>
      </w:r>
      <w:r>
        <w:rPr>
          <w:rFonts w:ascii="Times New Roman" w:eastAsia="宋体" w:hAnsi="Times New Roman" w:cs="Times New Roman"/>
          <w:szCs w:val="21"/>
          <w:highlight w:val="yellow"/>
        </w:rPr>
        <w:t>定位精度：单点定位：水平 ≤ 1.5 m</w:t>
      </w:r>
      <w:r>
        <w:rPr>
          <w:rFonts w:ascii="Times New Roman" w:eastAsia="宋体" w:hAnsi="Times New Roman" w:cs="Times New Roman" w:hint="eastAsia"/>
          <w:szCs w:val="21"/>
          <w:highlight w:val="yellow"/>
        </w:rPr>
        <w:t>，</w:t>
      </w:r>
      <w:r>
        <w:rPr>
          <w:rFonts w:ascii="Times New Roman" w:eastAsia="宋体" w:hAnsi="Times New Roman" w:cs="Times New Roman"/>
          <w:szCs w:val="21"/>
          <w:highlight w:val="yellow"/>
        </w:rPr>
        <w:t>高程 ≤ 2.5 m；RTK：水平 ≤ 8 mm + 1 ppm</w:t>
      </w:r>
      <w:r>
        <w:rPr>
          <w:rFonts w:ascii="Times New Roman" w:eastAsia="宋体" w:hAnsi="Times New Roman" w:cs="Times New Roman" w:hint="eastAsia"/>
          <w:szCs w:val="21"/>
          <w:highlight w:val="yellow"/>
        </w:rPr>
        <w:t>，</w:t>
      </w:r>
      <w:r>
        <w:rPr>
          <w:rFonts w:ascii="Times New Roman" w:eastAsia="宋体" w:hAnsi="Times New Roman" w:cs="Times New Roman"/>
          <w:szCs w:val="21"/>
          <w:highlight w:val="yellow"/>
        </w:rPr>
        <w:t>高程 ≤ 15 mm + 1 ppm；静态解算：水平 ≤ 2.5 mm ± 0.5 ppm</w:t>
      </w:r>
      <w:r>
        <w:rPr>
          <w:rFonts w:ascii="Times New Roman" w:eastAsia="宋体" w:hAnsi="Times New Roman" w:cs="Times New Roman" w:hint="eastAsia"/>
          <w:szCs w:val="21"/>
          <w:highlight w:val="yellow"/>
        </w:rPr>
        <w:t>，</w:t>
      </w:r>
      <w:r>
        <w:rPr>
          <w:rFonts w:ascii="Times New Roman" w:eastAsia="宋体" w:hAnsi="Times New Roman" w:cs="Times New Roman"/>
          <w:szCs w:val="21"/>
          <w:highlight w:val="yellow"/>
        </w:rPr>
        <w:t>高程 ≤ 5 mm ± 0.5 ppm</w:t>
      </w:r>
      <w:r>
        <w:rPr>
          <w:rFonts w:ascii="Times New Roman" w:eastAsia="宋体" w:hAnsi="Times New Roman" w:cs="Times New Roman" w:hint="eastAsia"/>
          <w:szCs w:val="21"/>
          <w:highlight w:val="yellow"/>
        </w:rPr>
        <w:t>；</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1.1.</w:t>
      </w:r>
      <w:r>
        <w:rPr>
          <w:rFonts w:ascii="Times New Roman" w:eastAsia="宋体" w:hAnsi="Times New Roman" w:cs="Times New Roman"/>
          <w:szCs w:val="21"/>
          <w:highlight w:val="yellow"/>
        </w:rPr>
        <w:t>6支持网络通信：LTE FDD：B1/2/3/4/5/7/8/12/13/18/19/20/25/26/28；LTE TDD：B38/39/40/41；WCDMA：B1/2/4/5/6/8/19；GSM：B2/3/5/8</w:t>
      </w:r>
      <w:r>
        <w:rPr>
          <w:rFonts w:ascii="Times New Roman" w:eastAsia="宋体" w:hAnsi="Times New Roman" w:cs="Times New Roman" w:hint="eastAsia"/>
          <w:szCs w:val="21"/>
          <w:highlight w:val="yellow"/>
        </w:rPr>
        <w:t>；</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w:t>
      </w:r>
      <w:r>
        <w:rPr>
          <w:rFonts w:ascii="Times New Roman" w:eastAsia="宋体" w:hAnsi="Times New Roman" w:cs="Times New Roman"/>
          <w:szCs w:val="21"/>
        </w:rPr>
        <w:t>7</w:t>
      </w:r>
      <w:r>
        <w:rPr>
          <w:rFonts w:ascii="Times New Roman" w:eastAsia="宋体" w:hAnsi="Times New Roman" w:cs="Times New Roman" w:hint="eastAsia"/>
          <w:szCs w:val="21"/>
        </w:rPr>
        <w:t xml:space="preserve"> </w:t>
      </w:r>
      <w:r>
        <w:rPr>
          <w:rFonts w:ascii="Times New Roman" w:eastAsia="宋体" w:hAnsi="Times New Roman" w:cs="Times New Roman"/>
          <w:szCs w:val="21"/>
        </w:rPr>
        <w:t>支持蓝牙V2.1+EDR/V4.0双模</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w:t>
      </w:r>
      <w:r>
        <w:rPr>
          <w:rFonts w:ascii="Times New Roman" w:eastAsia="宋体" w:hAnsi="Times New Roman" w:cs="Times New Roman"/>
          <w:szCs w:val="21"/>
        </w:rPr>
        <w:t>8</w:t>
      </w:r>
      <w:r>
        <w:rPr>
          <w:rFonts w:ascii="Times New Roman" w:eastAsia="宋体" w:hAnsi="Times New Roman" w:cs="Times New Roman" w:hint="eastAsia"/>
          <w:szCs w:val="21"/>
        </w:rPr>
        <w:t xml:space="preserve"> </w:t>
      </w:r>
      <w:r>
        <w:rPr>
          <w:rFonts w:ascii="Times New Roman" w:eastAsia="宋体" w:hAnsi="Times New Roman" w:cs="Times New Roman"/>
          <w:szCs w:val="21"/>
        </w:rPr>
        <w:t>支持WiFi 802.11 b/g/n</w:t>
      </w:r>
    </w:p>
    <w:p>
      <w:pPr>
        <w:snapToGrid w:val="0"/>
        <w:spacing w:line="360" w:lineRule="auto"/>
        <w:ind w:firstLine="420" w:firstLineChars="200"/>
        <w:rPr>
          <w:rFonts w:ascii="Times New Roman" w:eastAsia="宋体" w:hAnsi="Times New Roman"/>
          <w:szCs w:val="21"/>
        </w:rPr>
      </w:pPr>
      <w:r>
        <w:rPr>
          <w:rFonts w:ascii="Times New Roman" w:eastAsia="宋体" w:hAnsi="Times New Roman" w:hint="eastAsia"/>
          <w:szCs w:val="21"/>
        </w:rPr>
        <w:t>1.1.</w:t>
      </w:r>
      <w:r>
        <w:rPr>
          <w:rFonts w:ascii="Times New Roman" w:eastAsia="宋体" w:hAnsi="Times New Roman"/>
          <w:szCs w:val="21"/>
        </w:rPr>
        <w:t>9</w:t>
      </w:r>
      <w:r>
        <w:rPr>
          <w:rFonts w:ascii="Times New Roman" w:eastAsia="宋体" w:hAnsi="Times New Roman" w:hint="eastAsia"/>
          <w:szCs w:val="21"/>
        </w:rPr>
        <w:t xml:space="preserve"> </w:t>
      </w:r>
      <w:r>
        <w:rPr>
          <w:rFonts w:ascii="Times New Roman" w:eastAsia="宋体" w:hAnsi="Times New Roman"/>
          <w:szCs w:val="21"/>
        </w:rPr>
        <w:t>支持LoRa扩频无线传输：频率范围：410.125 ~ 493.125 MHz；发射功率：30 dBm；通信距离：10 km（空旷条件下）</w:t>
      </w:r>
      <w:r>
        <w:rPr>
          <w:rFonts w:ascii="Times New Roman" w:eastAsia="宋体" w:hAnsi="Times New Roman" w:hint="eastAsia"/>
          <w:szCs w:val="21"/>
        </w:rPr>
        <w:t>；</w:t>
      </w:r>
    </w:p>
    <w:p>
      <w:pPr>
        <w:snapToGrid w:val="0"/>
        <w:spacing w:line="360" w:lineRule="auto"/>
        <w:ind w:firstLine="420" w:firstLineChars="200"/>
        <w:rPr>
          <w:rFonts w:ascii="Times New Roman" w:eastAsia="宋体" w:hAnsi="Times New Roman"/>
          <w:szCs w:val="21"/>
        </w:rPr>
      </w:pPr>
      <w:r>
        <w:rPr>
          <w:rFonts w:ascii="Times New Roman" w:eastAsia="宋体" w:hAnsi="Times New Roman" w:hint="eastAsia"/>
          <w:szCs w:val="21"/>
        </w:rPr>
        <w:t>1.1.1</w:t>
      </w:r>
      <w:r>
        <w:rPr>
          <w:rFonts w:ascii="Times New Roman" w:eastAsia="宋体" w:hAnsi="Times New Roman"/>
          <w:szCs w:val="21"/>
        </w:rPr>
        <w:t>0</w:t>
      </w:r>
      <w:r>
        <w:rPr>
          <w:rFonts w:ascii="Times New Roman" w:eastAsia="宋体" w:hAnsi="Times New Roman" w:hint="eastAsia"/>
          <w:szCs w:val="21"/>
        </w:rPr>
        <w:t xml:space="preserve"> </w:t>
      </w:r>
      <w:r>
        <w:rPr>
          <w:rFonts w:ascii="Times New Roman" w:eastAsia="宋体" w:hAnsi="Times New Roman"/>
          <w:szCs w:val="21"/>
        </w:rPr>
        <w:t>内置存储：板载 32 GB</w:t>
      </w:r>
      <w:r>
        <w:rPr>
          <w:rFonts w:ascii="Times New Roman" w:eastAsia="宋体" w:hAnsi="Times New Roman" w:hint="eastAsia"/>
          <w:szCs w:val="21"/>
        </w:rPr>
        <w:t>；</w:t>
      </w:r>
    </w:p>
    <w:p>
      <w:pPr>
        <w:snapToGrid w:val="0"/>
        <w:spacing w:line="360" w:lineRule="auto"/>
        <w:ind w:firstLine="420" w:firstLineChars="200"/>
        <w:rPr>
          <w:rFonts w:ascii="Times New Roman" w:eastAsia="宋体" w:hAnsi="Times New Roman"/>
          <w:szCs w:val="21"/>
        </w:rPr>
      </w:pPr>
      <w:r>
        <w:rPr>
          <w:rFonts w:ascii="Times New Roman" w:eastAsia="宋体" w:hAnsi="Times New Roman" w:hint="eastAsia"/>
          <w:szCs w:val="21"/>
        </w:rPr>
        <w:t>1.1.1</w:t>
      </w:r>
      <w:r>
        <w:rPr>
          <w:rFonts w:ascii="Times New Roman" w:eastAsia="宋体" w:hAnsi="Times New Roman"/>
          <w:szCs w:val="21"/>
        </w:rPr>
        <w:t>1</w:t>
      </w:r>
      <w:r>
        <w:rPr>
          <w:rFonts w:ascii="Times New Roman" w:eastAsia="宋体" w:hAnsi="Times New Roman" w:hint="eastAsia"/>
          <w:szCs w:val="21"/>
        </w:rPr>
        <w:t xml:space="preserve"> </w:t>
      </w:r>
      <w:r>
        <w:rPr>
          <w:rFonts w:ascii="Times New Roman" w:eastAsia="宋体" w:hAnsi="Times New Roman"/>
          <w:szCs w:val="21"/>
        </w:rPr>
        <w:t>支持外置 SIM 卡</w:t>
      </w:r>
      <w:r>
        <w:rPr>
          <w:rFonts w:ascii="Times New Roman" w:eastAsia="宋体" w:hAnsi="Times New Roman" w:hint="eastAsia"/>
          <w:szCs w:val="21"/>
        </w:rPr>
        <w:t>；</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1.1.1</w:t>
      </w:r>
      <w:r>
        <w:rPr>
          <w:rFonts w:ascii="Times New Roman" w:eastAsia="宋体" w:hAnsi="Times New Roman" w:cs="Times New Roman"/>
          <w:szCs w:val="21"/>
        </w:rPr>
        <w:t>2</w:t>
      </w:r>
      <w:r>
        <w:rPr>
          <w:rFonts w:ascii="Times New Roman" w:eastAsia="宋体" w:hAnsi="Times New Roman" w:cs="Times New Roman" w:hint="eastAsia"/>
          <w:szCs w:val="21"/>
        </w:rPr>
        <w:t xml:space="preserve"> </w:t>
      </w:r>
      <w:r>
        <w:rPr>
          <w:rFonts w:ascii="Times New Roman" w:eastAsia="宋体" w:hAnsi="Times New Roman" w:cs="Times New Roman"/>
          <w:szCs w:val="21"/>
        </w:rPr>
        <w:t>工作温度：-40℃ ~ +85℃</w:t>
      </w:r>
      <w:r>
        <w:rPr>
          <w:rFonts w:ascii="Times New Roman" w:eastAsia="宋体" w:hAnsi="Times New Roman" w:cs="Times New Roman" w:hint="eastAsia"/>
          <w:szCs w:val="21"/>
        </w:rPr>
        <w:t>；</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1.1.1</w:t>
      </w:r>
      <w:r>
        <w:rPr>
          <w:rFonts w:ascii="Times New Roman" w:eastAsia="宋体" w:hAnsi="Times New Roman" w:cs="Times New Roman"/>
          <w:szCs w:val="21"/>
        </w:rPr>
        <w:t>3</w:t>
      </w:r>
      <w:r>
        <w:rPr>
          <w:rFonts w:ascii="Times New Roman" w:eastAsia="宋体" w:hAnsi="Times New Roman" w:cs="Times New Roman" w:hint="eastAsia"/>
          <w:szCs w:val="21"/>
        </w:rPr>
        <w:t xml:space="preserve"> </w:t>
      </w:r>
      <w:r>
        <w:rPr>
          <w:rFonts w:ascii="Times New Roman" w:eastAsia="宋体" w:hAnsi="Times New Roman" w:cs="Times New Roman"/>
          <w:szCs w:val="21"/>
        </w:rPr>
        <w:t>存储温度：-40℃ ~ +85℃</w:t>
      </w:r>
      <w:r>
        <w:rPr>
          <w:rFonts w:ascii="Times New Roman" w:eastAsia="宋体" w:hAnsi="Times New Roman" w:cs="Times New Roman" w:hint="eastAsia"/>
          <w:szCs w:val="21"/>
        </w:rPr>
        <w:t>；</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1.1.1</w:t>
      </w:r>
      <w:r>
        <w:rPr>
          <w:rFonts w:ascii="Times New Roman" w:eastAsia="宋体" w:hAnsi="Times New Roman" w:cs="Times New Roman"/>
          <w:szCs w:val="21"/>
        </w:rPr>
        <w:t>4</w:t>
      </w:r>
      <w:r>
        <w:rPr>
          <w:rFonts w:ascii="Times New Roman" w:eastAsia="宋体" w:hAnsi="Times New Roman" w:cs="Times New Roman" w:hint="eastAsia"/>
          <w:szCs w:val="21"/>
        </w:rPr>
        <w:t xml:space="preserve"> </w:t>
      </w:r>
      <w:r>
        <w:rPr>
          <w:rFonts w:ascii="Times New Roman" w:eastAsia="宋体" w:hAnsi="Times New Roman" w:cs="Times New Roman"/>
          <w:szCs w:val="21"/>
        </w:rPr>
        <w:t>抗震性能符合 IEC60068-2-6 标准</w:t>
      </w:r>
      <w:r>
        <w:rPr>
          <w:rFonts w:ascii="Times New Roman" w:eastAsia="宋体" w:hAnsi="Times New Roman" w:cs="Times New Roman" w:hint="eastAsia"/>
          <w:szCs w:val="21"/>
        </w:rPr>
        <w:t>；</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1.1.1</w:t>
      </w:r>
      <w:r>
        <w:rPr>
          <w:rFonts w:ascii="Times New Roman" w:eastAsia="宋体" w:hAnsi="Times New Roman" w:cs="Times New Roman"/>
          <w:szCs w:val="21"/>
        </w:rPr>
        <w:t>5</w:t>
      </w:r>
      <w:r>
        <w:rPr>
          <w:rFonts w:ascii="Times New Roman" w:eastAsia="宋体" w:hAnsi="Times New Roman" w:cs="Times New Roman" w:hint="eastAsia"/>
          <w:szCs w:val="21"/>
        </w:rPr>
        <w:t xml:space="preserve"> </w:t>
      </w:r>
      <w:r>
        <w:rPr>
          <w:rFonts w:ascii="Times New Roman" w:eastAsia="宋体" w:hAnsi="Times New Roman" w:cs="Times New Roman"/>
          <w:szCs w:val="21"/>
        </w:rPr>
        <w:t>防护等级达到 IP68</w:t>
      </w:r>
      <w:r>
        <w:rPr>
          <w:rFonts w:ascii="Times New Roman" w:eastAsia="宋体" w:hAnsi="Times New Roman" w:cs="Times New Roman" w:hint="eastAsia"/>
          <w:szCs w:val="21"/>
        </w:rPr>
        <w:t>；</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1.1.1</w:t>
      </w:r>
      <w:r>
        <w:rPr>
          <w:rFonts w:ascii="Times New Roman" w:eastAsia="宋体" w:hAnsi="Times New Roman" w:cs="Times New Roman"/>
          <w:szCs w:val="21"/>
        </w:rPr>
        <w:t>6</w:t>
      </w:r>
      <w:r>
        <w:rPr>
          <w:rFonts w:ascii="Times New Roman" w:eastAsia="宋体" w:hAnsi="Times New Roman" w:cs="Times New Roman" w:hint="eastAsia"/>
          <w:szCs w:val="21"/>
        </w:rPr>
        <w:t xml:space="preserve"> </w:t>
      </w:r>
      <w:r>
        <w:rPr>
          <w:rFonts w:ascii="Times New Roman" w:eastAsia="宋体" w:hAnsi="Times New Roman" w:cs="Times New Roman"/>
          <w:szCs w:val="21"/>
        </w:rPr>
        <w:t>供电范围：9~36 V DC。</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1.1.1</w:t>
      </w:r>
      <w:r>
        <w:rPr>
          <w:rFonts w:ascii="Times New Roman" w:eastAsia="宋体" w:hAnsi="Times New Roman" w:cs="Times New Roman"/>
          <w:szCs w:val="21"/>
          <w:highlight w:val="yellow"/>
        </w:rPr>
        <w:t>7</w:t>
      </w:r>
      <w:r>
        <w:rPr>
          <w:rFonts w:ascii="Times New Roman" w:eastAsia="宋体" w:hAnsi="Times New Roman" w:cs="Times New Roman" w:hint="eastAsia"/>
          <w:szCs w:val="21"/>
          <w:highlight w:val="yellow"/>
        </w:rPr>
        <w:t xml:space="preserve"> </w:t>
      </w:r>
      <w:r>
        <w:rPr>
          <w:rFonts w:ascii="Times New Roman" w:eastAsia="宋体" w:hAnsi="Times New Roman" w:cs="Times New Roman"/>
          <w:szCs w:val="21"/>
          <w:highlight w:val="yellow"/>
        </w:rPr>
        <w:t>功耗：仅定位记录：≤ 1.3 W；开启 4G 传输：≤ 1.8 W；同时开启 4G 和电台传输：≤ 2.6 W。</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1.1.1</w:t>
      </w:r>
      <w:r>
        <w:rPr>
          <w:rFonts w:ascii="Times New Roman" w:eastAsia="宋体" w:hAnsi="Times New Roman" w:cs="Times New Roman"/>
          <w:szCs w:val="21"/>
        </w:rPr>
        <w:t>8</w:t>
      </w:r>
      <w:r>
        <w:rPr>
          <w:rFonts w:ascii="Times New Roman" w:eastAsia="宋体" w:hAnsi="Times New Roman" w:cs="Times New Roman" w:hint="eastAsia"/>
          <w:szCs w:val="21"/>
        </w:rPr>
        <w:t xml:space="preserve"> </w:t>
      </w:r>
      <w:r>
        <w:rPr>
          <w:rFonts w:ascii="Times New Roman" w:eastAsia="宋体" w:hAnsi="Times New Roman" w:cs="Times New Roman"/>
          <w:szCs w:val="21"/>
        </w:rPr>
        <w:t>数据接口：12 芯接口（RS232+RS485+供电）；SMA*1（LoRa 电台）。</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1.2 数据采集器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1.2.1 最大扫描速率：优于或等于10Hz；</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1.2.2 模拟电压单端通道数量：不小于6个；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1.2.3 模拟电压输入范围：-</w:t>
      </w:r>
      <w:r>
        <w:rPr>
          <w:rFonts w:ascii="Times New Roman" w:eastAsia="宋体" w:hAnsi="Times New Roman" w:hint="eastAsia"/>
          <w:szCs w:val="21"/>
        </w:rPr>
        <w:t>100～+2500mV</w:t>
      </w:r>
      <w:r>
        <w:rPr>
          <w:rFonts w:ascii="Times New Roman" w:eastAsia="宋体" w:hAnsi="Times New Roman" w:cs="Times New Roman" w:hint="eastAsia"/>
          <w:szCs w:val="21"/>
        </w:rPr>
        <w:t>；</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1.2.4 模拟电压测量精度：优于或等于</w:t>
      </w:r>
      <w:r>
        <w:rPr>
          <w:rFonts w:ascii="Times New Roman" w:eastAsia="宋体" w:hAnsi="Times New Roman" w:hint="eastAsia"/>
          <w:szCs w:val="21"/>
          <w:highlight w:val="yellow"/>
        </w:rPr>
        <w:t>±(0.1%读数+偏移量)@ -40～70℃；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1.2.5 电压激发通道：优于或等于2个；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1.2.6 脉冲计数：优于或等于8个；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1.2.7 模拟/数字转换位：24位；</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1.2.8 平均功耗：以太网链路空闲时小于32</w:t>
      </w:r>
      <w:r>
        <w:rPr>
          <w:rFonts w:ascii="Times New Roman" w:eastAsia="宋体" w:hAnsi="Times New Roman" w:hint="eastAsia"/>
          <w:szCs w:val="21"/>
          <w:highlight w:val="yellow"/>
        </w:rPr>
        <w:t>mA</w:t>
      </w:r>
      <w:r>
        <w:rPr>
          <w:rFonts w:ascii="Times New Roman" w:eastAsia="宋体" w:hAnsi="Times New Roman" w:cs="Times New Roman" w:hint="eastAsia"/>
          <w:szCs w:val="21"/>
          <w:highlight w:val="yellow"/>
        </w:rPr>
        <w:t>；</w:t>
      </w:r>
      <w:r>
        <w:rPr>
          <w:rFonts w:ascii="Times New Roman" w:eastAsia="宋体" w:hAnsi="Times New Roman" w:hint="eastAsia"/>
          <w:szCs w:val="21"/>
          <w:highlight w:val="yellow"/>
        </w:rPr>
        <w:t>以太网链路激活，且处理器始终打开状态</w:t>
      </w:r>
      <w:r>
        <w:rPr>
          <w:rFonts w:ascii="Times New Roman" w:eastAsia="宋体" w:hAnsi="Times New Roman" w:cs="Times New Roman" w:hint="eastAsia"/>
          <w:szCs w:val="21"/>
          <w:highlight w:val="yellow"/>
        </w:rPr>
        <w:t>时小于80mA；</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1.2.9 需带有Ethernet网络接口；</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1.2.10 操作温度：-40℃～＋70℃；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1.2.11 具有脚本语言，支持用户编程，提供完整的脚本语言说明；</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1.2.12 投标人需提供产品制造商针对本项目的产品质量保证书。</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 xml:space="preserve">1.3 GNSS天线 </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1.3.1 要求提供大地测量型天线，抗多路径效应能力强。</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1.3.2 要求天线具备同时接收：支持的定位信号：L1/L2/L5/G1/G2/G3/E1/E5/E6/B1/B2/B3；支持的SBAS信号：WAAS，EGNOS，QZSS，Gagan，MSAS，OmniSTAR，RTX等。</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1.3.3 要求投标产品是高精度天线，相位中心重复性优于或等于1mm，相位中心精度偏差在各个方向上优于或等于2mm。</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1.3.4 要求具有抗电磁干扰能力，在电离层活动强时或较强无线电干扰时仍能正常工作。</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1.3.5 天线增益：50dB ±2dB，LNA信号边际：13db。</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1.3.6 天线功耗：≤440mW。</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1.3.7 工作环境：要求裸天线（不加天线罩）满足工作温度在-55～85℃，0～100%RH，无冷凝的环境下能正常工作。</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1.3.8 同轴接头：TNC凹型。</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1.3.9 天线电缆配置符合长度要求的规格型号，保证稳定地进行卫星信号数据传输、记录及差分数据的实时发送。</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1.3.10 为了确保GNSS接收机在恶劣环境下工作的长期稳定性，要求接收机、接收机的主板和GNSS天线必须为同一生产厂商。</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 xml:space="preserve">1.3.11 投标人需提供产品制造商针对本项目出具的产品质量保证书。  </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b/>
          <w:szCs w:val="21"/>
        </w:rPr>
        <w:t>1.4 卫星通讯模块</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1.4.1 通讯功能：要求将GNSS冰流运动监测数据通过卫星传输模块传输至用户指定数据服务器；可远程访问GNSS冰流运动监测模块Web界面查看状态，设置参数等；</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1.4.2 上行通讯速率：≥9.6kbps；</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1.4.3 通讯接口：要求具有RJ45接口；</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1.4.4 工作温度范围：-40～+60℃；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1.4.5供电电压：12DVC；</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1.4.6 功耗：＜10W。</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1.5 防护机箱</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1.5.1 配置合理野外防护机箱，内部尺寸不小于35</w:t>
      </w:r>
      <w:r>
        <w:rPr>
          <w:rFonts w:ascii="Times New Roman" w:eastAsia="宋体" w:hAnsi="Times New Roman" w:cs="Times New Roman"/>
          <w:szCs w:val="21"/>
        </w:rPr>
        <w:t>×3</w:t>
      </w:r>
      <w:r>
        <w:rPr>
          <w:rFonts w:ascii="Times New Roman" w:eastAsia="宋体" w:hAnsi="Times New Roman" w:cs="Times New Roman" w:hint="eastAsia"/>
          <w:szCs w:val="21"/>
        </w:rPr>
        <w:t>0</w:t>
      </w:r>
      <w:r>
        <w:rPr>
          <w:rFonts w:ascii="Times New Roman" w:eastAsia="宋体" w:hAnsi="Times New Roman" w:cs="Times New Roman"/>
          <w:sz w:val="24"/>
          <w:szCs w:val="24"/>
        </w:rPr>
        <w:t>×</w:t>
      </w:r>
      <w:r>
        <w:rPr>
          <w:rFonts w:ascii="Times New Roman" w:eastAsia="宋体" w:hAnsi="Times New Roman" w:cs="Times New Roman" w:hint="eastAsia"/>
          <w:szCs w:val="21"/>
        </w:rPr>
        <w:t>14cm；</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1.5.2 材质结构：玻璃纤维增强聚酯外壳，不锈钢铰链，带有双导管电缆口，适用于现场安装；防护等级：IP65；防水，防紫外，能适应野外恶劣环境。</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1.6 供电系统</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1.6.1 供电方式：太阳能或风光互补；供应商需合理配置供电系统，确保供电系统能够适用于极地低温恶劣环境。</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1.7 安装支架</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1.7.1 供应商需合理配置安装支架，满足现场低温恶劣环境要求。</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1.8 配置要求（总计2套）</w:t>
      </w:r>
    </w:p>
    <w:p>
      <w:pPr>
        <w:snapToGrid w:val="0"/>
        <w:spacing w:line="360" w:lineRule="auto"/>
        <w:ind w:firstLine="420" w:firstLineChars="200"/>
        <w:rPr>
          <w:rFonts w:ascii="Times New Roman" w:eastAsia="宋体" w:hAnsi="Times New Roman" w:cs="Times New Roman"/>
          <w:bCs/>
          <w:szCs w:val="21"/>
        </w:rPr>
      </w:pPr>
      <w:r>
        <w:rPr>
          <w:rFonts w:ascii="Times New Roman" w:eastAsia="宋体" w:hAnsi="Times New Roman" w:cs="Times New Roman" w:hint="eastAsia"/>
          <w:bCs/>
          <w:szCs w:val="21"/>
        </w:rPr>
        <w:t>1.8.1 接收机2个；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1.8.2 数据采集器2个；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1.8.3 GNSS天线2个；</w:t>
      </w:r>
    </w:p>
    <w:p>
      <w:pPr>
        <w:snapToGrid w:val="0"/>
        <w:spacing w:line="360" w:lineRule="auto"/>
        <w:ind w:firstLine="420" w:firstLineChars="200"/>
        <w:rPr>
          <w:rFonts w:ascii="Times New Roman" w:eastAsia="宋体" w:hAnsi="Times New Roman"/>
          <w:szCs w:val="21"/>
        </w:rPr>
      </w:pPr>
      <w:r>
        <w:rPr>
          <w:rFonts w:ascii="Times New Roman" w:eastAsia="宋体" w:hAnsi="Times New Roman" w:hint="eastAsia"/>
          <w:szCs w:val="21"/>
        </w:rPr>
        <w:t>1.8.4</w:t>
      </w:r>
      <w:r>
        <w:rPr>
          <w:rFonts w:ascii="Times New Roman" w:eastAsia="宋体" w:hAnsi="Times New Roman"/>
          <w:szCs w:val="21"/>
        </w:rPr>
        <w:t>卫星通讯模块</w:t>
      </w:r>
      <w:r>
        <w:rPr>
          <w:rFonts w:ascii="Times New Roman" w:eastAsia="宋体" w:hAnsi="Times New Roman" w:hint="eastAsia"/>
          <w:szCs w:val="21"/>
        </w:rPr>
        <w:t>2个；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1.8.5 防护机箱2个；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1.8.6 供电系统2套；</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 xml:space="preserve">1.8.7 安装支架2套。 </w:t>
      </w:r>
    </w:p>
    <w:p>
      <w:pPr>
        <w:numPr>
          <w:ilvl w:val="0"/>
          <w:numId w:val="4"/>
        </w:numPr>
        <w:spacing w:line="360" w:lineRule="auto"/>
        <w:ind w:firstLine="422"/>
        <w:outlineLvl w:val="2"/>
        <w:rPr>
          <w:rFonts w:ascii="Times New Roman" w:eastAsia="宋体" w:hAnsi="Times New Roman"/>
          <w:b/>
          <w:szCs w:val="21"/>
        </w:rPr>
      </w:pPr>
      <w:r>
        <w:rPr>
          <w:rFonts w:ascii="Times New Roman" w:eastAsia="宋体" w:hAnsi="Times New Roman" w:hint="eastAsia"/>
          <w:b/>
          <w:szCs w:val="21"/>
        </w:rPr>
        <w:t>气象观测设备</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2.1 数据采集器</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2.1.1 最大扫描速率：优于或等于1000Hz；</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2.1.2 模拟电压单端通道数量：不小于16个；</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2.1.3 模拟电压输入范围：±5VDC；</w:t>
      </w:r>
    </w:p>
    <w:p>
      <w:pPr>
        <w:snapToGrid w:val="0"/>
        <w:spacing w:line="360" w:lineRule="auto"/>
        <w:ind w:firstLine="420" w:firstLineChars="200"/>
        <w:rPr>
          <w:rFonts w:ascii="Times New Roman" w:eastAsia="宋体" w:hAnsi="Times New Roman"/>
          <w:bCs/>
          <w:szCs w:val="21"/>
          <w:highlight w:val="yellow"/>
        </w:rPr>
      </w:pPr>
      <w:r>
        <w:rPr>
          <w:rFonts w:ascii="宋体" w:hAnsi="宋体" w:hint="eastAsia"/>
          <w:color w:val="EE0000"/>
          <w:szCs w:val="21"/>
          <w:highlight w:val="yellow"/>
        </w:rPr>
        <w:t>#</w:t>
      </w:r>
      <w:r>
        <w:rPr>
          <w:rFonts w:ascii="Times New Roman" w:eastAsia="宋体" w:hAnsi="Times New Roman" w:hint="eastAsia"/>
          <w:bCs/>
          <w:szCs w:val="21"/>
          <w:highlight w:val="yellow"/>
        </w:rPr>
        <w:t>2.1.4 模拟电压测量精度：优于或等于±（0.04%读数+偏移量）@0-40℃；</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2.1.5 电压激发通道：优于或等于4个；</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2.1.6 脉冲计数：优于或等于2个；</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2.1.7 模拟/数字转换位：24位；</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2.1.8 平均功耗：休眠时小于1mA；1Hz工作状态时为1mA；</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2.1.9 需带有Ethernet网络接口；</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2.1.10 操作温度：-55℃～＋80℃；</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2.1.12 具有脚本语言，支持用户编程，提供完整的脚本语言说明；</w:t>
      </w:r>
    </w:p>
    <w:p>
      <w:pPr>
        <w:snapToGrid w:val="0"/>
        <w:spacing w:line="360" w:lineRule="auto"/>
        <w:ind w:firstLine="420" w:firstLineChars="200"/>
        <w:rPr>
          <w:rFonts w:ascii="Times New Roman" w:eastAsia="宋体" w:hAnsi="Times New Roman"/>
          <w:bCs/>
          <w:szCs w:val="21"/>
        </w:rPr>
      </w:pPr>
      <w:r>
        <w:rPr>
          <w:rFonts w:ascii="Times New Roman" w:eastAsia="宋体" w:hAnsi="Times New Roman" w:hint="eastAsia"/>
          <w:bCs/>
          <w:szCs w:val="21"/>
        </w:rPr>
        <w:t>2.1.13 投标人需提供产品制造商针对本项目的产品质量保证书。</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2.2 通道扩展板</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2.2.1 与数据采集器及拟接入的传感器完全兼容；</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2.2.2 要求每个通道扩展板可扩展接入不少于60个模拟电压端口传感器；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2.2.3 继电器最大激发时间：20ms；</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2.2.4 操作温度：优于或等于-55℃～＋80℃；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2.2.5 供电：9.6V～16Vdc；</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2.2.6 典型功耗：＜210μA(非工作状态）。</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2.3 空气温湿度传感器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2.3.1 测量参数：空气温度、相对湿度；</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2.3.2 温度量程：-80～+60℃；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2.3.3 温度精度（+20℃～60℃时）：优于或等于±(0.055+0.0057*温度) ℃；</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2.3.4 湿度范围：0～100%RH；</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2.3.5 湿度精度（+15℃～＋25℃时）：优于或等于±1%RH（0～90%RH)，±1.7%RH（90～100%RH)；</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2.3.6 每个传感器需提供配套防辐射罩，且防辐射盘数不小于10层；</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2.3.7 每个传感器需配10米电缆；</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2.4 风速风向传感器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 xml:space="preserve">2.4.1 风速范围: </w:t>
      </w:r>
      <w:r>
        <w:rPr>
          <w:rFonts w:ascii="Times New Roman" w:eastAsia="宋体" w:hAnsi="Times New Roman" w:cs="Times New Roman"/>
          <w:szCs w:val="21"/>
        </w:rPr>
        <w:t>0.1</w:t>
      </w:r>
      <w:r>
        <w:rPr>
          <w:rFonts w:ascii="Times New Roman" w:eastAsia="宋体" w:hAnsi="Times New Roman" w:cs="Times New Roman" w:hint="eastAsia"/>
          <w:szCs w:val="21"/>
        </w:rPr>
        <w:t xml:space="preserve">～75m/s； </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2.4.2 风速精度: ≤±0.5m/s或±5%标准风速；</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2.4.3 风速输出：方波输出；</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2.4.4 风向范围: 0～360°；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2.4.5 风向精度: 优于或等于±4°；</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2.4.6 风向输出：0～2.5VDC ；</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2.4.7 启动风速： ≤</w:t>
      </w:r>
      <w:r>
        <w:rPr>
          <w:rFonts w:ascii="Times New Roman" w:eastAsia="宋体" w:hAnsi="Times New Roman" w:cs="Times New Roman"/>
          <w:szCs w:val="21"/>
        </w:rPr>
        <w:t>0.5</w:t>
      </w:r>
      <w:r>
        <w:rPr>
          <w:rFonts w:ascii="Times New Roman" w:eastAsia="宋体" w:hAnsi="Times New Roman" w:cs="Times New Roman" w:hint="eastAsia"/>
          <w:szCs w:val="21"/>
        </w:rPr>
        <w:t>m/s；</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2.4.8 工作温度：-45～+50℃；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2.4.9 每个传感器需配10米电缆；</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hint="eastAsia"/>
          <w:szCs w:val="21"/>
        </w:rPr>
        <w:t>.</w:t>
      </w:r>
      <w:r>
        <w:rPr>
          <w:rFonts w:ascii="Times New Roman" w:eastAsia="宋体" w:hAnsi="Times New Roman" w:cs="Times New Roman"/>
          <w:szCs w:val="21"/>
        </w:rPr>
        <w:t>4</w:t>
      </w:r>
      <w:r>
        <w:rPr>
          <w:rFonts w:ascii="Times New Roman" w:eastAsia="宋体" w:hAnsi="Times New Roman" w:cs="Times New Roman" w:hint="eastAsia"/>
          <w:szCs w:val="21"/>
        </w:rPr>
        <w:t>.</w:t>
      </w:r>
      <w:r>
        <w:rPr>
          <w:rFonts w:ascii="Times New Roman" w:eastAsia="宋体" w:hAnsi="Times New Roman" w:cs="Times New Roman"/>
          <w:szCs w:val="21"/>
        </w:rPr>
        <w:t>10</w:t>
      </w:r>
      <w:r>
        <w:rPr>
          <w:rFonts w:ascii="Times New Roman" w:eastAsia="宋体" w:hAnsi="Times New Roman" w:cs="Times New Roman" w:hint="eastAsia"/>
          <w:szCs w:val="21"/>
        </w:rPr>
        <w:t>水平风速测量误差：≤0.2m/s；</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2.4.11</w:t>
      </w:r>
      <w:r>
        <w:rPr>
          <w:rFonts w:ascii="Times New Roman" w:eastAsia="宋体" w:hAnsi="Times New Roman" w:cs="Times New Roman" w:hint="eastAsia"/>
          <w:szCs w:val="21"/>
        </w:rPr>
        <w:t>分辨率：0.01m/s；</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2.4.12</w:t>
      </w:r>
      <w:r>
        <w:rPr>
          <w:rFonts w:ascii="Times New Roman" w:eastAsia="宋体" w:hAnsi="Times New Roman" w:cs="Times New Roman" w:hint="eastAsia"/>
          <w:szCs w:val="21"/>
        </w:rPr>
        <w:t>水平风向测量误差：≤1°；</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2.4.13</w:t>
      </w:r>
      <w:r>
        <w:rPr>
          <w:rFonts w:ascii="Times New Roman" w:eastAsia="宋体" w:hAnsi="Times New Roman" w:cs="Times New Roman" w:hint="eastAsia"/>
          <w:szCs w:val="21"/>
        </w:rPr>
        <w:t>测量倾角范围：俯仰:-90~+270°，精度0.1°；</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2.4.1</w:t>
      </w:r>
      <w:r>
        <w:rPr>
          <w:rFonts w:ascii="Times New Roman" w:eastAsia="宋体" w:hAnsi="Times New Roman" w:cs="Times New Roman"/>
          <w:szCs w:val="21"/>
        </w:rPr>
        <w:t>4</w:t>
      </w:r>
      <w:r>
        <w:rPr>
          <w:rFonts w:ascii="Times New Roman" w:eastAsia="宋体" w:hAnsi="Times New Roman" w:cs="Times New Roman" w:hint="eastAsia"/>
          <w:szCs w:val="21"/>
        </w:rPr>
        <w:t xml:space="preserve"> 投标人需提供产品制造商针对本项目的产品质量保证书。</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2.5 气压传感器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2.5.1 测量范围：</w:t>
      </w:r>
      <w:r>
        <w:rPr>
          <w:rFonts w:ascii="Times New Roman" w:eastAsia="宋体" w:hAnsi="Times New Roman" w:cs="Times New Roman"/>
          <w:szCs w:val="21"/>
        </w:rPr>
        <w:t>2</w:t>
      </w:r>
      <w:r>
        <w:rPr>
          <w:rFonts w:ascii="Times New Roman" w:eastAsia="宋体" w:hAnsi="Times New Roman" w:cs="Times New Roman" w:hint="eastAsia"/>
          <w:szCs w:val="21"/>
        </w:rPr>
        <w:t>00～1</w:t>
      </w:r>
      <w:r>
        <w:rPr>
          <w:rFonts w:ascii="Times New Roman" w:eastAsia="宋体" w:hAnsi="Times New Roman" w:cs="Times New Roman"/>
          <w:szCs w:val="21"/>
        </w:rPr>
        <w:t>5</w:t>
      </w:r>
      <w:r>
        <w:rPr>
          <w:rFonts w:ascii="Times New Roman" w:eastAsia="宋体" w:hAnsi="Times New Roman" w:cs="Times New Roman" w:hint="eastAsia"/>
          <w:szCs w:val="21"/>
        </w:rPr>
        <w:t>00 hPa；</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2.5.2 总准确度：优于或等于±0.3hPa@20℃；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2.5.3 线性度：优于或等于±0.25 hPa；</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2.5.4 长期稳定性：优于或等于±0.1 hPa/年；</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2.5.5 工作温度：-40～+60℃；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2.5.6 供电：10～28VDC</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2.5.7</w:t>
      </w:r>
      <w:r>
        <w:rPr>
          <w:rFonts w:ascii="Times New Roman" w:eastAsia="宋体" w:hAnsi="Times New Roman" w:cs="Times New Roman" w:hint="eastAsia"/>
          <w:szCs w:val="21"/>
        </w:rPr>
        <w:t>响应时间：100ms；</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2.5.8</w:t>
      </w:r>
      <w:r>
        <w:rPr>
          <w:rFonts w:ascii="Times New Roman" w:eastAsia="宋体" w:hAnsi="Times New Roman" w:cs="Times New Roman" w:hint="eastAsia"/>
          <w:szCs w:val="21"/>
        </w:rPr>
        <w:t>重复性：±0.01hPa；</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szCs w:val="21"/>
          <w:highlight w:val="yellow"/>
        </w:rPr>
        <w:t>2.5.9</w:t>
      </w:r>
      <w:r>
        <w:rPr>
          <w:rFonts w:ascii="Times New Roman" w:eastAsia="宋体" w:hAnsi="Times New Roman" w:cs="Times New Roman" w:hint="eastAsia"/>
          <w:szCs w:val="21"/>
          <w:highlight w:val="yellow"/>
        </w:rPr>
        <w:t>输出频率：≥2Hz；</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2.6 四分量辐射传感器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2.6.1 输出数据：4个输出，分别是向上的短波、向下的短波以及向上的长波和向下的长波，另外通过程序设置还可得出净辐射值；</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2.6.2 光谱范围：300～2800nm(短波)，4500～42000nm(长波）；</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2.6.3 测量范围：0～2000W/m2（短波），长波净辐射：-250～250W/m²；</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2.6.4 灵敏度：≥7μV/W/m2；</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2.6.5 响应时间（95%）：优于或等于18s；</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2.6.6 非线性误差：优于或等于1%；</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2.6.7 内置温度传感器类型：内置集成有10k 热敏电阻和Pt-100 温度传感器；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2.6.8 温度依赖性：＜5%（-10～40℃）；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2.6.9 工作环境：-40～80℃，0～100%RH；</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2.6.10 每个传感器配10米电缆和安装件。</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szCs w:val="21"/>
          <w:highlight w:val="yellow"/>
        </w:rPr>
        <w:t>2.6.1</w:t>
      </w:r>
      <w:r>
        <w:rPr>
          <w:rFonts w:ascii="Times New Roman" w:eastAsia="宋体" w:hAnsi="Times New Roman" w:cs="Times New Roman" w:hint="eastAsia"/>
          <w:szCs w:val="21"/>
          <w:highlight w:val="yellow"/>
        </w:rPr>
        <w:t>1输出频率：≥10Hz；</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2.7 超声雪深传感器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2.7.1 测量范围：0.06~80 m；</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2.7.2 换能器配置：9个换能器，4个倾角25°的3.0MHz对称波束；4个倾角25°的1.0MHz对称波束；</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2.7.3 波束接收角：≥60°；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2.7.4 工作温度范围：-55~+85°C；</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2.7.5 分辨率：0.01 mm；</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2.7.6 发射单元数量：≥128个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w:t>
      </w:r>
      <w:r>
        <w:rPr>
          <w:rFonts w:ascii="Times New Roman" w:eastAsia="宋体" w:hAnsi="Times New Roman" w:cs="Times New Roman"/>
          <w:szCs w:val="21"/>
        </w:rPr>
        <w:t>7</w:t>
      </w:r>
      <w:r>
        <w:rPr>
          <w:rFonts w:ascii="Times New Roman" w:eastAsia="宋体" w:hAnsi="Times New Roman" w:cs="Times New Roman" w:hint="eastAsia"/>
          <w:szCs w:val="21"/>
        </w:rPr>
        <w:t xml:space="preserve"> 材质及环境适用性：阳极氧化铝材设计，可用于沿海或腐蚀环境等极端环境条件；要求可使用多个回波处理算法来确保测量的可靠性；</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w:t>
      </w:r>
      <w:r>
        <w:rPr>
          <w:rFonts w:ascii="Times New Roman" w:eastAsia="宋体" w:hAnsi="Times New Roman" w:cs="Times New Roman"/>
          <w:szCs w:val="21"/>
        </w:rPr>
        <w:t>8</w:t>
      </w:r>
      <w:r>
        <w:rPr>
          <w:rFonts w:ascii="Times New Roman" w:eastAsia="宋体" w:hAnsi="Times New Roman" w:cs="Times New Roman" w:hint="eastAsia"/>
          <w:szCs w:val="21"/>
        </w:rPr>
        <w:t xml:space="preserve"> 每个传感器配10米电缆；需提供安装配件；</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2.7.</w:t>
      </w:r>
      <w:r>
        <w:rPr>
          <w:rFonts w:ascii="Times New Roman" w:eastAsia="宋体" w:hAnsi="Times New Roman" w:cs="Times New Roman"/>
          <w:szCs w:val="21"/>
        </w:rPr>
        <w:t xml:space="preserve">9 </w:t>
      </w:r>
      <w:r>
        <w:rPr>
          <w:rFonts w:ascii="Times New Roman" w:eastAsia="宋体" w:hAnsi="Times New Roman" w:cs="Times New Roman" w:hint="eastAsia"/>
          <w:szCs w:val="21"/>
        </w:rPr>
        <w:t>投标人需提供产品制造商针对本项目出具的产品质量保证书。</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2.8 冰面温度传感器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2.8.1 温度测量范围：-40℃～80℃；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2.8.2 光谱范围：8～14μm；</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2.8.3 校准不确定性：优于或等于0.2℃（-30～65℃)；</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2.8.4 重复性：优于或等于0.05 ℃；</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w:t>
      </w:r>
      <w:r>
        <w:rPr>
          <w:rFonts w:ascii="Times New Roman" w:eastAsia="宋体" w:hAnsi="Times New Roman" w:cs="Times New Roman"/>
          <w:szCs w:val="21"/>
        </w:rPr>
        <w:t>5</w:t>
      </w:r>
      <w:r>
        <w:rPr>
          <w:rFonts w:ascii="Times New Roman" w:eastAsia="宋体" w:hAnsi="Times New Roman" w:cs="Times New Roman" w:hint="eastAsia"/>
          <w:szCs w:val="21"/>
        </w:rPr>
        <w:t xml:space="preserve"> 响应时间：＜1s；</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w:t>
      </w:r>
      <w:r>
        <w:rPr>
          <w:rFonts w:ascii="Times New Roman" w:eastAsia="宋体" w:hAnsi="Times New Roman" w:cs="Times New Roman"/>
          <w:szCs w:val="21"/>
        </w:rPr>
        <w:t>6</w:t>
      </w:r>
      <w:r>
        <w:rPr>
          <w:rFonts w:ascii="Times New Roman" w:eastAsia="宋体" w:hAnsi="Times New Roman" w:cs="Times New Roman" w:hint="eastAsia"/>
          <w:szCs w:val="21"/>
        </w:rPr>
        <w:t xml:space="preserve"> 动态范围：≥85000:1；</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w:t>
      </w:r>
      <w:r>
        <w:rPr>
          <w:rFonts w:ascii="Times New Roman" w:eastAsia="宋体" w:hAnsi="Times New Roman" w:cs="Times New Roman" w:hint="eastAsia"/>
          <w:szCs w:val="21"/>
        </w:rPr>
        <w:t>.8.</w:t>
      </w:r>
      <w:r>
        <w:rPr>
          <w:rFonts w:ascii="Times New Roman" w:eastAsia="宋体" w:hAnsi="Times New Roman" w:cs="Times New Roman"/>
          <w:szCs w:val="21"/>
        </w:rPr>
        <w:t>7</w:t>
      </w:r>
      <w:r>
        <w:rPr>
          <w:rFonts w:ascii="Times New Roman" w:eastAsia="宋体" w:hAnsi="Times New Roman" w:cs="Times New Roman" w:hint="eastAsia"/>
          <w:szCs w:val="21"/>
        </w:rPr>
        <w:t xml:space="preserve"> 光谱分辨率（半峰宽高）：＜0.1nm；</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w:t>
      </w:r>
      <w:r>
        <w:rPr>
          <w:rFonts w:ascii="Times New Roman" w:eastAsia="宋体" w:hAnsi="Times New Roman" w:cs="Times New Roman"/>
          <w:szCs w:val="21"/>
        </w:rPr>
        <w:t>8</w:t>
      </w:r>
      <w:r>
        <w:rPr>
          <w:rFonts w:ascii="Times New Roman" w:eastAsia="宋体" w:hAnsi="Times New Roman" w:cs="Times New Roman" w:hint="eastAsia"/>
          <w:szCs w:val="21"/>
        </w:rPr>
        <w:t xml:space="preserve"> 采样间隔：≤0.05nm；</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2.8.</w:t>
      </w:r>
      <w:r>
        <w:rPr>
          <w:rFonts w:ascii="Times New Roman" w:eastAsia="宋体" w:hAnsi="Times New Roman" w:cs="Times New Roman"/>
          <w:szCs w:val="21"/>
          <w:highlight w:val="yellow"/>
        </w:rPr>
        <w:t xml:space="preserve">9 </w:t>
      </w:r>
      <w:r>
        <w:rPr>
          <w:rFonts w:ascii="Times New Roman" w:eastAsia="宋体" w:hAnsi="Times New Roman" w:cs="Times New Roman" w:hint="eastAsia"/>
          <w:szCs w:val="21"/>
          <w:highlight w:val="yellow"/>
        </w:rPr>
        <w:t>向上监测角度：≥180°；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w:t>
      </w:r>
      <w:r>
        <w:rPr>
          <w:rFonts w:ascii="Times New Roman" w:eastAsia="宋体" w:hAnsi="Times New Roman" w:cs="Times New Roman"/>
          <w:szCs w:val="21"/>
        </w:rPr>
        <w:t>10</w:t>
      </w:r>
      <w:r>
        <w:rPr>
          <w:rFonts w:ascii="Times New Roman" w:eastAsia="宋体" w:hAnsi="Times New Roman" w:cs="Times New Roman" w:hint="eastAsia"/>
          <w:szCs w:val="21"/>
        </w:rPr>
        <w:t xml:space="preserve"> 向下监测角度：≥180°；</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w:t>
      </w:r>
      <w:r>
        <w:rPr>
          <w:rFonts w:ascii="Times New Roman" w:eastAsia="宋体" w:hAnsi="Times New Roman" w:cs="Times New Roman"/>
          <w:szCs w:val="21"/>
        </w:rPr>
        <w:t>11</w:t>
      </w:r>
      <w:r>
        <w:rPr>
          <w:rFonts w:ascii="Times New Roman" w:eastAsia="宋体" w:hAnsi="Times New Roman" w:cs="Times New Roman" w:hint="eastAsia"/>
          <w:szCs w:val="21"/>
        </w:rPr>
        <w:t xml:space="preserve"> 采用单镜头设计，避免多光纤设计的系统误差；</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2.8.</w:t>
      </w:r>
      <w:r>
        <w:rPr>
          <w:rFonts w:ascii="Times New Roman" w:eastAsia="宋体" w:hAnsi="Times New Roman" w:cs="Times New Roman"/>
          <w:szCs w:val="21"/>
          <w:highlight w:val="yellow"/>
        </w:rPr>
        <w:t>12</w:t>
      </w:r>
      <w:r>
        <w:rPr>
          <w:rFonts w:ascii="Times New Roman" w:eastAsia="宋体" w:hAnsi="Times New Roman" w:cs="Times New Roman" w:hint="eastAsia"/>
          <w:szCs w:val="21"/>
          <w:highlight w:val="yellow"/>
        </w:rPr>
        <w:t>余弦接收器，符合余弦曲线，RMSE&lt;0.03；</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2.8.1</w:t>
      </w:r>
      <w:r>
        <w:rPr>
          <w:rFonts w:ascii="Times New Roman" w:eastAsia="宋体" w:hAnsi="Times New Roman" w:cs="Times New Roman"/>
          <w:szCs w:val="21"/>
        </w:rPr>
        <w:t>3</w:t>
      </w:r>
      <w:r>
        <w:rPr>
          <w:rFonts w:ascii="Times New Roman" w:eastAsia="宋体" w:hAnsi="Times New Roman" w:cs="Times New Roman" w:hint="eastAsia"/>
          <w:szCs w:val="21"/>
        </w:rPr>
        <w:t xml:space="preserve"> 具有角度测量功能，能够根据测量需求，设定测量角度，在测量过程中自动调整，始终保持设定角度，从而实现多角度光谱数据的测量功能；</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2.8.14具有超声测距功能，测量范围：不小于0.255至3米，精度：不低于2cm（提供实测界面截图）；</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2.8.14 传感器的电缆长度为10米；</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2.8.15 需提供配套安装附件；</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2.8.16 投标人需提供产品制造商针对本项目出具的产品质量保证书。</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b/>
          <w:szCs w:val="21"/>
        </w:rPr>
        <w:t>2.9 温度链传感器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2.9</w:t>
      </w:r>
      <w:r>
        <w:rPr>
          <w:rFonts w:ascii="Times New Roman" w:eastAsia="宋体" w:hAnsi="Times New Roman" w:cs="Times New Roman" w:hint="eastAsia"/>
          <w:szCs w:val="21"/>
        </w:rPr>
        <w:t>.1 测温范围：-55～85℃，测温精度：≤0.005℃；</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2.9</w:t>
      </w:r>
      <w:r>
        <w:rPr>
          <w:rFonts w:ascii="Times New Roman" w:eastAsia="宋体" w:hAnsi="Times New Roman" w:cs="Times New Roman" w:hint="eastAsia"/>
          <w:szCs w:val="21"/>
        </w:rPr>
        <w:t>.2 测温分辨率：≤0.0002℃，标准稳定性：≤0.005℃年（典型值）；</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2.9</w:t>
      </w:r>
      <w:r>
        <w:rPr>
          <w:rFonts w:ascii="Times New Roman" w:eastAsia="宋体" w:hAnsi="Times New Roman" w:cs="Times New Roman" w:hint="eastAsia"/>
          <w:szCs w:val="21"/>
        </w:rPr>
        <w:t>.3 热响应时间常数：&lt;15s@63.2%（阶跃法测量）线缆：长度可定制，直径≤12mm；</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2.9</w:t>
      </w:r>
      <w:r>
        <w:rPr>
          <w:rFonts w:ascii="Times New Roman" w:eastAsia="宋体" w:hAnsi="Times New Roman" w:cs="Times New Roman" w:hint="eastAsia"/>
          <w:szCs w:val="21"/>
        </w:rPr>
        <w:t>.4 抗拉强度：300KG；</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2.9</w:t>
      </w:r>
      <w:r>
        <w:rPr>
          <w:rFonts w:ascii="Times New Roman" w:eastAsia="宋体" w:hAnsi="Times New Roman" w:cs="Times New Roman" w:hint="eastAsia"/>
          <w:szCs w:val="21"/>
        </w:rPr>
        <w:t>.5 最高测温频率：1Hz；</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2.9.6 每个传感器需提供10米电缆；</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2.9.7 投标人需提供产品制造商针对本项目出具的产品质量保证书。</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2.10 卫星通讯模块</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2.10</w:t>
      </w:r>
      <w:r>
        <w:rPr>
          <w:rFonts w:ascii="Times New Roman" w:eastAsia="宋体" w:hAnsi="Times New Roman" w:cs="Times New Roman" w:hint="eastAsia"/>
          <w:szCs w:val="21"/>
        </w:rPr>
        <w:t>.1 环境适用性：南北极全域，全球，要求能够适合高纬度、低温恶劣环境用于自动气象观测数据远程传输通讯使用；须与数据采集器相兼容；</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2.10</w:t>
      </w:r>
      <w:r>
        <w:rPr>
          <w:rFonts w:ascii="Times New Roman" w:eastAsia="宋体" w:hAnsi="Times New Roman" w:cs="Times New Roman" w:hint="eastAsia"/>
          <w:szCs w:val="21"/>
        </w:rPr>
        <w:t>.2天线：专用全向天线；</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2.10</w:t>
      </w:r>
      <w:r>
        <w:rPr>
          <w:rFonts w:ascii="Times New Roman" w:eastAsia="宋体" w:hAnsi="Times New Roman" w:cs="Times New Roman" w:hint="eastAsia"/>
          <w:szCs w:val="21"/>
        </w:rPr>
        <w:t>.3 发送频率：401.618～401.680 MHz；</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2.10</w:t>
      </w:r>
      <w:r>
        <w:rPr>
          <w:rFonts w:ascii="Times New Roman" w:eastAsia="宋体" w:hAnsi="Times New Roman" w:cs="Times New Roman" w:hint="eastAsia"/>
          <w:szCs w:val="21"/>
        </w:rPr>
        <w:t>.4内置支持：星历算法，字符解析加密技术，专用加密解密算法，有效保证数据安全；</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szCs w:val="21"/>
        </w:rPr>
        <w:t>2.10</w:t>
      </w:r>
      <w:r>
        <w:rPr>
          <w:rFonts w:ascii="Times New Roman" w:eastAsia="宋体" w:hAnsi="Times New Roman" w:cs="Times New Roman" w:hint="eastAsia"/>
          <w:szCs w:val="21"/>
        </w:rPr>
        <w:t>.5支持API接口，支持二次定义开发获取数据，支持argos WEB查看数据；</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szCs w:val="21"/>
          <w:highlight w:val="yellow"/>
        </w:rPr>
        <w:t>2.10</w:t>
      </w:r>
      <w:r>
        <w:rPr>
          <w:rFonts w:ascii="Times New Roman" w:eastAsia="宋体" w:hAnsi="Times New Roman" w:cs="Times New Roman" w:hint="eastAsia"/>
          <w:szCs w:val="21"/>
          <w:highlight w:val="yellow"/>
        </w:rPr>
        <w:t>.6配置不低于：网络制式4G/5G，LAN接口为4x10/100Mb自适应，主频1.5MHz，四核；</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2.10.</w:t>
      </w:r>
      <w:r>
        <w:rPr>
          <w:rFonts w:ascii="Times New Roman" w:eastAsia="宋体" w:hAnsi="Times New Roman" w:cs="Times New Roman"/>
          <w:szCs w:val="21"/>
        </w:rPr>
        <w:t>7</w:t>
      </w:r>
      <w:r>
        <w:rPr>
          <w:rFonts w:ascii="Times New Roman" w:eastAsia="宋体" w:hAnsi="Times New Roman" w:cs="Times New Roman" w:hint="eastAsia"/>
          <w:szCs w:val="21"/>
        </w:rPr>
        <w:t xml:space="preserve"> 要求可支持多个独立数据缓冲区；</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2.10.</w:t>
      </w:r>
      <w:r>
        <w:rPr>
          <w:rFonts w:ascii="Times New Roman" w:eastAsia="宋体" w:hAnsi="Times New Roman" w:cs="Times New Roman"/>
          <w:szCs w:val="21"/>
        </w:rPr>
        <w:t>8</w:t>
      </w:r>
      <w:r>
        <w:rPr>
          <w:rFonts w:ascii="Times New Roman" w:eastAsia="宋体" w:hAnsi="Times New Roman" w:cs="Times New Roman" w:hint="eastAsia"/>
          <w:szCs w:val="21"/>
        </w:rPr>
        <w:t xml:space="preserve"> 发射功率：不小于800mW；</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2.10.</w:t>
      </w:r>
      <w:r>
        <w:rPr>
          <w:rFonts w:ascii="Times New Roman" w:eastAsia="宋体" w:hAnsi="Times New Roman" w:cs="Times New Roman"/>
          <w:szCs w:val="21"/>
        </w:rPr>
        <w:t>9</w:t>
      </w:r>
      <w:r>
        <w:rPr>
          <w:rFonts w:ascii="Times New Roman" w:eastAsia="宋体" w:hAnsi="Times New Roman" w:cs="Times New Roman" w:hint="eastAsia"/>
          <w:szCs w:val="21"/>
        </w:rPr>
        <w:t xml:space="preserve"> 功耗：休眠时＜2mA ，发送时＜400mA；</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2.10.</w:t>
      </w:r>
      <w:r>
        <w:rPr>
          <w:rFonts w:ascii="Times New Roman" w:eastAsia="宋体" w:hAnsi="Times New Roman" w:cs="Times New Roman"/>
          <w:szCs w:val="21"/>
        </w:rPr>
        <w:t>10</w:t>
      </w:r>
      <w:r>
        <w:rPr>
          <w:rFonts w:ascii="Times New Roman" w:eastAsia="宋体" w:hAnsi="Times New Roman" w:cs="Times New Roman" w:hint="eastAsia"/>
          <w:szCs w:val="21"/>
        </w:rPr>
        <w:t xml:space="preserve"> 输出阻抗：50Ω；</w:t>
      </w:r>
    </w:p>
    <w:p>
      <w:pPr>
        <w:snapToGrid w:val="0"/>
        <w:spacing w:line="360" w:lineRule="auto"/>
        <w:ind w:firstLine="420" w:firstLineChars="200"/>
        <w:rPr>
          <w:rFonts w:ascii="Times New Roman" w:eastAsia="宋体" w:hAnsi="Times New Roman" w:cs="Times New Roman"/>
          <w:szCs w:val="21"/>
          <w:highlight w:val="yellow"/>
        </w:rPr>
      </w:pPr>
      <w:r>
        <w:rPr>
          <w:rFonts w:ascii="宋体" w:hAnsi="宋体" w:hint="eastAsia"/>
          <w:color w:val="EE0000"/>
          <w:szCs w:val="21"/>
          <w:highlight w:val="yellow"/>
        </w:rPr>
        <w:t>#</w:t>
      </w:r>
      <w:r>
        <w:rPr>
          <w:rFonts w:ascii="Times New Roman" w:eastAsia="宋体" w:hAnsi="Times New Roman" w:cs="Times New Roman" w:hint="eastAsia"/>
          <w:szCs w:val="21"/>
          <w:highlight w:val="yellow"/>
        </w:rPr>
        <w:t>2.10.</w:t>
      </w:r>
      <w:r>
        <w:rPr>
          <w:rFonts w:ascii="Times New Roman" w:eastAsia="宋体" w:hAnsi="Times New Roman" w:cs="Times New Roman"/>
          <w:szCs w:val="21"/>
          <w:highlight w:val="yellow"/>
        </w:rPr>
        <w:t>11</w:t>
      </w:r>
      <w:r>
        <w:rPr>
          <w:rFonts w:ascii="Times New Roman" w:eastAsia="宋体" w:hAnsi="Times New Roman" w:cs="Times New Roman" w:hint="eastAsia"/>
          <w:szCs w:val="21"/>
          <w:highlight w:val="yellow"/>
        </w:rPr>
        <w:t xml:space="preserve"> 供应商须确保如卫星通讯模块的主通讯模块不能正常成功发送数据时，通讯系统将能够自动切换到备份卫星通讯模块来远程发送自动气象观测数据；</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2.10.</w:t>
      </w:r>
      <w:r>
        <w:rPr>
          <w:rFonts w:ascii="Times New Roman" w:eastAsia="宋体" w:hAnsi="Times New Roman" w:cs="Times New Roman"/>
          <w:szCs w:val="21"/>
        </w:rPr>
        <w:t>12</w:t>
      </w:r>
      <w:r>
        <w:rPr>
          <w:rFonts w:ascii="Times New Roman" w:eastAsia="宋体" w:hAnsi="Times New Roman" w:cs="Times New Roman" w:hint="eastAsia"/>
          <w:szCs w:val="21"/>
        </w:rPr>
        <w:t>投标人需提供产品制造商针对本项目的产品质量保证书。</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2.11 防护机箱</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2.11.1合理配置野外防护机箱，内部尺寸不小于45</w:t>
      </w:r>
      <w:r>
        <w:rPr>
          <w:rStyle w:val="Strong"/>
          <w:rFonts w:ascii="Arial" w:eastAsia="宋体" w:hAnsi="Arial" w:cs="Arial"/>
          <w:sz w:val="15"/>
          <w:szCs w:val="15"/>
          <w:shd w:val="clear" w:color="auto" w:fill="F0F3FF"/>
        </w:rPr>
        <w:t>×</w:t>
      </w:r>
      <w:r>
        <w:rPr>
          <w:rFonts w:ascii="Times New Roman" w:eastAsia="宋体" w:hAnsi="Times New Roman" w:cs="Times New Roman" w:hint="eastAsia"/>
          <w:szCs w:val="21"/>
        </w:rPr>
        <w:t>40</w:t>
      </w:r>
      <w:r>
        <w:rPr>
          <w:rStyle w:val="Strong"/>
          <w:rFonts w:ascii="Arial" w:eastAsia="宋体" w:hAnsi="Arial" w:cs="Arial"/>
          <w:sz w:val="15"/>
          <w:szCs w:val="15"/>
          <w:shd w:val="clear" w:color="auto" w:fill="F0F3FF"/>
        </w:rPr>
        <w:t>×</w:t>
      </w:r>
      <w:r>
        <w:rPr>
          <w:rFonts w:ascii="Times New Roman" w:eastAsia="宋体" w:hAnsi="Times New Roman" w:cs="Times New Roman" w:hint="eastAsia"/>
          <w:szCs w:val="21"/>
        </w:rPr>
        <w:t>22.5 cm；</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2.11.2 材质结构：玻璃纤维增强聚酯外壳，不锈钢铰链，带有双导管电缆口，适用于现场安装；防护等级：IP65；防水，防紫外，能适应野外恶劣环境。</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2.12 供电系统</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2.12.1 供电方式：太阳能或风光互补；供应商需合理配置供电系统，确保供电系统能够适用于极地低温恶劣环境。</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2.13 安装支架</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2.13.1 供应商需合理配置安装支架，满足现场低温恶劣环境要求。</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2.14 配置要求（总计4套，含备件）</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2.14.1 数据采集器6个；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2.14.2 通道扩展板6个；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2.14.3 空气温湿度传感器（配防辐射罩和10米电缆）12个；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2.14.4 风速风向传感器（配10米电缆）12个；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2.14.5 气压传感器6个；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2.14.6 四分量辐射传感器（配10米电缆和安装件）6个；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2.14.7 超声雪深传感器6个；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2.14.8 冰面温度传感器6个；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2.14.9 温度链传感器6套；</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2.14.10 卫星通讯模块6个；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2.14.11 防护机箱6个；</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2.14.12 供电系统6套；</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 xml:space="preserve">2.14.13 安装支架6套。 </w:t>
      </w:r>
    </w:p>
    <w:p>
      <w:pPr>
        <w:numPr>
          <w:ilvl w:val="0"/>
          <w:numId w:val="4"/>
        </w:numPr>
        <w:spacing w:line="360" w:lineRule="auto"/>
        <w:ind w:firstLine="422"/>
        <w:outlineLvl w:val="2"/>
        <w:rPr>
          <w:rFonts w:ascii="Times New Roman" w:eastAsia="宋体" w:hAnsi="Times New Roman"/>
          <w:b/>
          <w:szCs w:val="21"/>
        </w:rPr>
      </w:pPr>
      <w:r>
        <w:rPr>
          <w:rFonts w:ascii="Times New Roman" w:eastAsia="宋体" w:hAnsi="Times New Roman" w:hint="eastAsia"/>
          <w:b/>
          <w:szCs w:val="21"/>
        </w:rPr>
        <w:t>冰流-气象自动观测系统现场建设</w:t>
      </w:r>
      <w:r>
        <w:rPr>
          <w:rFonts w:ascii="Times New Roman" w:eastAsia="宋体" w:hAnsi="Times New Roman" w:hint="eastAsia"/>
          <w:b/>
          <w:szCs w:val="21"/>
          <w:lang w:val="en-US" w:eastAsia="zh-CN"/>
        </w:rPr>
        <w:t>与后勤保障</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 xml:space="preserve">3.1 </w:t>
      </w:r>
      <w:r>
        <w:rPr>
          <w:rFonts w:ascii="Times New Roman" w:eastAsia="宋体" w:hAnsi="Times New Roman" w:cs="Times New Roman"/>
          <w:b/>
          <w:szCs w:val="21"/>
        </w:rPr>
        <w:t>设备运输服务要求</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3.</w:t>
      </w:r>
      <w:r>
        <w:rPr>
          <w:rFonts w:ascii="Times New Roman" w:eastAsia="宋体" w:hAnsi="Times New Roman" w:cs="Times New Roman"/>
          <w:szCs w:val="21"/>
        </w:rPr>
        <w:t>1</w:t>
      </w:r>
      <w:r>
        <w:rPr>
          <w:rFonts w:ascii="Times New Roman" w:eastAsia="宋体" w:hAnsi="Times New Roman" w:cs="Times New Roman" w:hint="eastAsia"/>
          <w:szCs w:val="21"/>
        </w:rPr>
        <w:t>.1设备运输地点：供应商需承诺将相关设备免费运输至格陵兰岛伊卢利萨特（</w:t>
      </w:r>
      <w:r>
        <w:rPr>
          <w:rFonts w:ascii="Times New Roman" w:eastAsia="宋体" w:hAnsi="Times New Roman" w:hint="eastAsia"/>
          <w:szCs w:val="21"/>
        </w:rPr>
        <w:t>Ilulissat</w:t>
      </w:r>
      <w:r>
        <w:rPr>
          <w:rFonts w:ascii="Times New Roman" w:eastAsia="宋体" w:hAnsi="Times New Roman" w:cs="Times New Roman" w:hint="eastAsia"/>
          <w:szCs w:val="21"/>
        </w:rPr>
        <w:t>）、乌佩尔纳维克（</w:t>
      </w:r>
      <w:r>
        <w:rPr>
          <w:rFonts w:ascii="Times New Roman" w:eastAsia="宋体" w:hAnsi="Times New Roman" w:hint="eastAsia"/>
          <w:szCs w:val="21"/>
        </w:rPr>
        <w:t>Upernavik</w:t>
      </w:r>
      <w:r>
        <w:rPr>
          <w:rFonts w:ascii="Times New Roman" w:eastAsia="宋体" w:hAnsi="Times New Roman" w:cs="Times New Roman" w:hint="eastAsia"/>
          <w:szCs w:val="21"/>
        </w:rPr>
        <w:t>）、卡纳克（</w:t>
      </w:r>
      <w:r>
        <w:rPr>
          <w:rFonts w:ascii="Times New Roman" w:eastAsia="宋体" w:hAnsi="Times New Roman" w:hint="eastAsia"/>
          <w:szCs w:val="21"/>
        </w:rPr>
        <w:t>Qaanaaq</w:t>
      </w:r>
      <w:r>
        <w:rPr>
          <w:rFonts w:ascii="Times New Roman" w:eastAsia="宋体" w:hAnsi="Times New Roman" w:cs="Times New Roman" w:hint="eastAsia"/>
          <w:szCs w:val="21"/>
        </w:rPr>
        <w:t>）三个城市；</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3.</w:t>
      </w:r>
      <w:r>
        <w:rPr>
          <w:rFonts w:ascii="Times New Roman" w:eastAsia="宋体" w:hAnsi="Times New Roman" w:cs="Times New Roman"/>
          <w:szCs w:val="21"/>
        </w:rPr>
        <w:t>1.2运输保险及服务要求：</w:t>
      </w:r>
      <w:r>
        <w:rPr>
          <w:rFonts w:ascii="Times New Roman" w:eastAsia="宋体" w:hAnsi="Times New Roman" w:cs="Times New Roman" w:hint="eastAsia"/>
          <w:szCs w:val="21"/>
        </w:rPr>
        <w:t>供应商</w:t>
      </w:r>
      <w:r>
        <w:rPr>
          <w:rFonts w:ascii="Times New Roman" w:eastAsia="宋体" w:hAnsi="Times New Roman" w:cs="Times New Roman"/>
          <w:szCs w:val="21"/>
        </w:rPr>
        <w:t>需提供完整的运输保险</w:t>
      </w:r>
      <w:r>
        <w:rPr>
          <w:rFonts w:ascii="Times New Roman" w:eastAsia="宋体" w:hAnsi="Times New Roman" w:cs="Times New Roman" w:hint="eastAsia"/>
          <w:szCs w:val="21"/>
        </w:rPr>
        <w:t>，并负责相关设备安装调试前的后勤准备、物资存放、安装人员应急救援；</w:t>
      </w:r>
    </w:p>
    <w:p>
      <w:pPr>
        <w:snapToGrid w:val="0"/>
        <w:spacing w:line="360" w:lineRule="auto"/>
        <w:ind w:firstLine="420" w:firstLineChars="200"/>
        <w:rPr>
          <w:rFonts w:ascii="Times New Roman" w:eastAsia="宋体" w:hAnsi="Times New Roman" w:cs="Times New Roman"/>
          <w:b/>
          <w:szCs w:val="21"/>
        </w:rPr>
      </w:pPr>
      <w:r>
        <w:rPr>
          <w:rFonts w:ascii="Times New Roman" w:eastAsia="宋体" w:hAnsi="Times New Roman" w:cs="Times New Roman" w:hint="eastAsia"/>
          <w:b/>
          <w:szCs w:val="21"/>
        </w:rPr>
        <w:t>3.</w:t>
      </w:r>
      <w:r>
        <w:rPr>
          <w:rFonts w:ascii="Times New Roman" w:eastAsia="宋体" w:hAnsi="Times New Roman" w:cs="Times New Roman"/>
          <w:b/>
          <w:szCs w:val="21"/>
        </w:rPr>
        <w:t>2</w:t>
      </w:r>
      <w:r>
        <w:rPr>
          <w:rFonts w:ascii="Times New Roman" w:eastAsia="宋体" w:hAnsi="Times New Roman" w:cs="Times New Roman" w:hint="eastAsia"/>
          <w:b/>
          <w:szCs w:val="21"/>
        </w:rPr>
        <w:t xml:space="preserve"> </w:t>
      </w:r>
      <w:r>
        <w:rPr>
          <w:rFonts w:ascii="Times New Roman" w:eastAsia="宋体" w:hAnsi="Times New Roman" w:cs="Times New Roman"/>
          <w:b/>
          <w:szCs w:val="21"/>
        </w:rPr>
        <w:t>设备安装服务要求</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3.2.1</w:t>
      </w:r>
      <w:r>
        <w:rPr>
          <w:rFonts w:ascii="Times New Roman" w:eastAsia="宋体" w:hAnsi="Times New Roman" w:cs="Times New Roman"/>
          <w:szCs w:val="21"/>
        </w:rPr>
        <w:t xml:space="preserve"> </w:t>
      </w:r>
      <w:r>
        <w:rPr>
          <w:rFonts w:ascii="Times New Roman" w:eastAsia="宋体" w:hAnsi="Times New Roman" w:cs="Times New Roman" w:hint="eastAsia"/>
          <w:szCs w:val="21"/>
        </w:rPr>
        <w:t>安装地点选址服务要求：供应商需配合甲方完成在格陵兰冰盖六个安装地点的选址工作，相关费用包含在报价中；</w:t>
      </w:r>
    </w:p>
    <w:p>
      <w:pPr>
        <w:spacing w:line="360" w:lineRule="auto"/>
        <w:ind w:firstLine="420" w:firstLineChars="200"/>
        <w:rPr>
          <w:rFonts w:ascii="Times New Roman" w:eastAsia="宋体" w:hAnsi="Times New Roman" w:cs="Times New Roman" w:hint="eastAsia"/>
          <w:szCs w:val="21"/>
        </w:rPr>
      </w:pPr>
      <w:r>
        <w:rPr>
          <w:rFonts w:ascii="Times New Roman" w:eastAsia="宋体" w:hAnsi="Times New Roman" w:cs="Times New Roman" w:hint="eastAsia"/>
          <w:szCs w:val="21"/>
        </w:rPr>
        <w:t>3.</w:t>
      </w:r>
      <w:r>
        <w:rPr>
          <w:rFonts w:ascii="Times New Roman" w:eastAsia="宋体" w:hAnsi="Times New Roman" w:cs="Times New Roman"/>
          <w:szCs w:val="21"/>
        </w:rPr>
        <w:t>2.2</w:t>
      </w:r>
      <w:r>
        <w:rPr>
          <w:rFonts w:ascii="Times New Roman" w:eastAsia="宋体" w:hAnsi="Times New Roman" w:cs="Times New Roman" w:hint="eastAsia"/>
          <w:szCs w:val="21"/>
        </w:rPr>
        <w:t>设备安装服务要求：设备运输至格陵兰之后，供应商需负责用固定翼飞机免费运至现场安装调试。</w:t>
      </w:r>
    </w:p>
    <w:p>
      <w:pPr>
        <w:spacing w:line="360" w:lineRule="auto"/>
        <w:ind w:firstLine="420" w:firstLineChars="200"/>
        <w:rPr>
          <w:rFonts w:ascii="Times New Roman" w:eastAsia="宋体" w:hAnsi="Times New Roman" w:cs="Times New Roman"/>
          <w:szCs w:val="21"/>
          <w:highlight w:val="yellow"/>
        </w:rPr>
      </w:pP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szCs w:val="21"/>
        </w:rPr>
      </w:pPr>
      <w:r>
        <w:rPr>
          <w:rFonts w:ascii="宋体" w:hAnsi="宋体" w:hint="eastAsia"/>
          <w:szCs w:val="21"/>
        </w:rPr>
        <w:t>采购人应对合同设备在考核中应达到的技术性能考核指标进行规定，并可根据合同设备的 实际情况，规定可以接受的合同设备的最低技术性能考核指标。</w:t>
      </w:r>
    </w:p>
    <w:p>
      <w:pPr>
        <w:spacing w:line="360" w:lineRule="auto"/>
        <w:ind w:firstLine="420" w:firstLineChars="200"/>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五、技术服务和质保期服务要求</w:t>
      </w:r>
    </w:p>
    <w:p>
      <w:pPr>
        <w:snapToGrid w:val="0"/>
        <w:spacing w:line="360" w:lineRule="auto"/>
        <w:ind w:firstLine="420" w:firstLineChars="200"/>
        <w:rPr>
          <w:rFonts w:ascii="Times New Roman" w:eastAsia="宋体" w:hAnsi="Times New Roman" w:cs="Times New Roman"/>
          <w:b/>
          <w:bCs/>
          <w:szCs w:val="21"/>
        </w:rPr>
      </w:pPr>
      <w:r>
        <w:rPr>
          <w:rFonts w:ascii="Times New Roman" w:eastAsia="宋体" w:hAnsi="Times New Roman" w:cs="Times New Roman" w:hint="eastAsia"/>
          <w:b/>
          <w:bCs/>
          <w:szCs w:val="21"/>
        </w:rPr>
        <w:t>1. 包装和运输要求</w:t>
      </w:r>
    </w:p>
    <w:p>
      <w:pPr>
        <w:snapToGrid w:val="0"/>
        <w:spacing w:line="360" w:lineRule="auto"/>
        <w:ind w:firstLine="420" w:firstLineChars="200"/>
        <w:rPr>
          <w:rFonts w:ascii="Times New Roman" w:eastAsia="宋体" w:hAnsi="Times New Roman" w:cs="Times New Roman" w:hint="eastAsia"/>
          <w:szCs w:val="21"/>
          <w:highlight w:val="yellow"/>
        </w:rPr>
      </w:pPr>
      <w:r>
        <w:rPr>
          <w:rFonts w:ascii="宋体" w:eastAsia="宋体" w:hAnsi="宋体" w:hint="eastAsia"/>
          <w:color w:val="EE0000"/>
          <w:szCs w:val="21"/>
          <w:highlight w:val="yellow"/>
        </w:rPr>
        <w:t>★</w:t>
      </w:r>
      <w:r>
        <w:rPr>
          <w:rFonts w:ascii="Times New Roman" w:eastAsia="宋体" w:hAnsi="Times New Roman" w:cs="Times New Roman" w:hint="eastAsia"/>
          <w:szCs w:val="21"/>
          <w:highlight w:val="yellow"/>
        </w:rPr>
        <w:t>（1）</w:t>
      </w:r>
      <w:r>
        <w:rPr>
          <w:rFonts w:ascii="Times New Roman" w:eastAsia="宋体" w:hAnsi="Times New Roman" w:hint="eastAsia"/>
          <w:b/>
          <w:bCs/>
          <w:szCs w:val="21"/>
          <w:highlight w:val="yellow"/>
        </w:rPr>
        <w:t>中标人需负责本项目仪器设备运输至中国境外现场采购人指定地点。费用由中标人</w:t>
      </w:r>
      <w:r>
        <w:rPr>
          <w:rFonts w:ascii="Times New Roman" w:eastAsia="宋体" w:hAnsi="Times New Roman"/>
          <w:b/>
          <w:bCs/>
          <w:szCs w:val="21"/>
          <w:highlight w:val="yellow"/>
        </w:rPr>
        <w:t>承担。</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设备的精密部件要用专业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snapToGrid w:val="0"/>
        <w:spacing w:line="360" w:lineRule="auto"/>
        <w:ind w:firstLine="420" w:firstLineChars="200"/>
        <w:rPr>
          <w:rFonts w:ascii="Times New Roman" w:eastAsia="宋体" w:hAnsi="Times New Roman" w:cs="Times New Roman"/>
          <w:b/>
          <w:bCs/>
          <w:szCs w:val="21"/>
        </w:rPr>
      </w:pPr>
      <w:r>
        <w:rPr>
          <w:rFonts w:ascii="Times New Roman" w:eastAsia="宋体" w:hAnsi="Times New Roman" w:cs="Times New Roman" w:hint="eastAsia"/>
          <w:b/>
          <w:bCs/>
          <w:szCs w:val="21"/>
        </w:rPr>
        <w:t>2. 安装、调试要求</w:t>
      </w:r>
    </w:p>
    <w:p>
      <w:pPr>
        <w:snapToGrid w:val="0"/>
        <w:spacing w:line="360" w:lineRule="auto"/>
        <w:ind w:firstLine="420" w:firstLineChars="200"/>
        <w:rPr>
          <w:rFonts w:ascii="Times New Roman" w:eastAsia="宋体" w:hAnsi="Times New Roman" w:cs="Times New Roman"/>
          <w:szCs w:val="21"/>
          <w:highlight w:val="yellow"/>
        </w:rPr>
      </w:pPr>
      <w:r>
        <w:rPr>
          <w:rFonts w:ascii="宋体" w:eastAsia="宋体" w:hAnsi="宋体" w:hint="eastAsia"/>
          <w:color w:val="EE0000"/>
          <w:szCs w:val="21"/>
          <w:highlight w:val="yellow"/>
        </w:rPr>
        <w:t>★</w:t>
      </w:r>
      <w:r>
        <w:rPr>
          <w:rFonts w:ascii="Times New Roman" w:eastAsia="宋体" w:hAnsi="Times New Roman" w:cs="Times New Roman" w:hint="eastAsia"/>
          <w:szCs w:val="21"/>
          <w:highlight w:val="yellow"/>
        </w:rPr>
        <w:t>（1）</w:t>
      </w:r>
      <w:r>
        <w:rPr>
          <w:rFonts w:ascii="Times New Roman" w:eastAsia="宋体" w:hAnsi="Times New Roman" w:hint="eastAsia"/>
          <w:b/>
          <w:bCs/>
          <w:szCs w:val="21"/>
          <w:highlight w:val="yellow"/>
        </w:rPr>
        <w:t>中标人需负责本项目仪器设备境外观测场建设费用、设备在境外现场安装调试费、防雷工程费等。</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（2）在系统设备安装和调试期间，采购人有权派出技术人员参加，中标人有义务对其进行指导。</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3）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snapToGrid w:val="0"/>
        <w:spacing w:line="360" w:lineRule="auto"/>
        <w:ind w:firstLine="420" w:firstLineChars="200"/>
        <w:rPr>
          <w:rFonts w:ascii="Times New Roman" w:eastAsia="宋体" w:hAnsi="Times New Roman" w:cs="Times New Roman"/>
          <w:b/>
          <w:bCs/>
          <w:szCs w:val="21"/>
        </w:rPr>
      </w:pPr>
      <w:r>
        <w:rPr>
          <w:rFonts w:ascii="Times New Roman" w:eastAsia="宋体" w:hAnsi="Times New Roman" w:cs="Times New Roman" w:hint="eastAsia"/>
          <w:b/>
          <w:bCs/>
          <w:szCs w:val="21"/>
        </w:rPr>
        <w:t>3. 设备验收</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设备安装、调试达到合同规定的指标后，可进行验收。当满足以下条件时，采购人确认验收合格签署验收合格证：</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（1）中标人已提供合同中签署的全部货物及完整技术资料；</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（2）货物符合技术规格，性能满足要求；</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（3）安装工程符合技术要求，系统性能满足要求，设备正常运行。</w:t>
      </w:r>
    </w:p>
    <w:p>
      <w:pPr>
        <w:snapToGrid w:val="0"/>
        <w:spacing w:line="360" w:lineRule="auto"/>
        <w:ind w:firstLine="420" w:firstLineChars="200"/>
        <w:rPr>
          <w:rFonts w:ascii="Times New Roman" w:eastAsia="宋体" w:hAnsi="Times New Roman" w:cs="Times New Roman"/>
          <w:b/>
          <w:bCs/>
          <w:szCs w:val="21"/>
        </w:rPr>
      </w:pPr>
      <w:r>
        <w:rPr>
          <w:rFonts w:ascii="Times New Roman" w:eastAsia="宋体" w:hAnsi="Times New Roman" w:cs="Times New Roman" w:hint="eastAsia"/>
          <w:b/>
          <w:bCs/>
          <w:szCs w:val="21"/>
        </w:rPr>
        <w:t>4. 保修及售后服务</w:t>
      </w:r>
    </w:p>
    <w:p>
      <w:pPr>
        <w:snapToGrid w:val="0"/>
        <w:spacing w:line="360" w:lineRule="auto"/>
        <w:ind w:firstLine="420" w:firstLineChars="200"/>
        <w:rPr>
          <w:rFonts w:ascii="Times New Roman" w:eastAsia="宋体" w:hAnsi="Times New Roman" w:cs="Times New Roman"/>
          <w:szCs w:val="21"/>
        </w:rPr>
      </w:pPr>
      <w:r>
        <w:rPr>
          <w:rFonts w:ascii="宋体" w:eastAsia="宋体" w:hAnsi="宋体" w:hint="eastAsia"/>
          <w:color w:val="EE0000"/>
          <w:szCs w:val="21"/>
          <w:highlight w:val="yellow"/>
        </w:rPr>
        <w:t>★</w:t>
      </w:r>
      <w:r>
        <w:rPr>
          <w:rFonts w:ascii="Times New Roman" w:eastAsia="宋体" w:hAnsi="Times New Roman" w:cs="Times New Roman" w:hint="eastAsia"/>
          <w:szCs w:val="21"/>
          <w:highlight w:val="yellow"/>
        </w:rPr>
        <w:t>（1）设备质保期为8年。质保期内因设备设计、质量出现问题，均由设备供应商即时无偿解决（包括更换器件）。</w:t>
      </w:r>
      <w:r>
        <w:rPr>
          <w:rFonts w:ascii="Times New Roman" w:eastAsia="宋体" w:hAnsi="Times New Roman" w:cs="Times New Roman" w:hint="eastAsia"/>
          <w:szCs w:val="21"/>
        </w:rPr>
        <w:t xml:space="preserve"> </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（2）在质保期内，设备供应商应提供详细的售后服务计划，内容包括售后服务方式、人员配置、服务期限、故障响应及维修时间、零配件供应方式等情况。设备供应商服务时间应为7</w:t>
      </w:r>
      <w:r>
        <w:rPr>
          <w:rFonts w:ascii="Times New Roman" w:eastAsia="宋体" w:hAnsi="Times New Roman" w:cs="Times New Roman"/>
          <w:szCs w:val="21"/>
        </w:rPr>
        <w:t>×</w:t>
      </w:r>
      <w:r>
        <w:rPr>
          <w:rFonts w:ascii="Times New Roman" w:eastAsia="宋体" w:hAnsi="Times New Roman" w:cs="Times New Roman" w:hint="eastAsia"/>
          <w:szCs w:val="21"/>
        </w:rPr>
        <w:t>24小时。质保期过后，设备供应商仍有义务提供技术服务（包括提供设备维护、备件等）。</w:t>
      </w:r>
    </w:p>
    <w:p>
      <w:pPr>
        <w:snapToGrid w:val="0"/>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（3）技术培训</w:t>
      </w:r>
    </w:p>
    <w:p>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为本项目拟派的服务团队中应包含项目经理并具有相关工作经验，中标人应免费提供用户单位2人次培训（达到熟练操作），免费向用户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p>
    <w:p>
      <w:pPr>
        <w:snapToGrid w:val="0"/>
        <w:spacing w:line="360" w:lineRule="auto"/>
        <w:ind w:firstLine="420" w:firstLineChars="200"/>
        <w:rPr>
          <w:rFonts w:ascii="Times New Roman" w:eastAsia="宋体" w:hAnsi="Times New Roman" w:cs="Times New Roman"/>
          <w:b/>
          <w:bCs/>
          <w:szCs w:val="21"/>
        </w:rPr>
      </w:pPr>
      <w:r>
        <w:rPr>
          <w:rFonts w:ascii="Times New Roman" w:eastAsia="宋体" w:hAnsi="Times New Roman" w:cs="Times New Roman" w:hint="eastAsia"/>
          <w:b/>
          <w:bCs/>
          <w:szCs w:val="21"/>
        </w:rPr>
        <w:t>5、</w:t>
      </w:r>
      <w:r>
        <w:rPr>
          <w:rFonts w:ascii="Times New Roman" w:eastAsia="宋体" w:hAnsi="Times New Roman" w:cs="Times New Roman"/>
          <w:b/>
          <w:bCs/>
          <w:szCs w:val="21"/>
        </w:rPr>
        <w:t>合同履约期限</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合同签订后30天内交货，360天内完成安装调试并具备验收条件</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37"/>
        <w:gridCol w:w="3117"/>
        <w:gridCol w:w="881"/>
        <w:gridCol w:w="1225"/>
        <w:gridCol w:w="1397"/>
        <w:gridCol w:w="881"/>
        <w:gridCol w:w="52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冰流运动观测设备</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1,980,000.00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气象观测设备</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2,100,000.00</w:t>
            </w:r>
          </w:p>
        </w:tc>
        <w:tc>
          <w:tcPr/>
          <w:p>
            <w:pPr>
              <w:autoSpaceDE w:val="0"/>
              <w:jc w:val="center"/>
              <w:rPr>
                <w:rFonts w:asciiTheme="minorEastAsia" w:hAnsiTheme="minorEastAsia" w:cstheme="minorEastAsia" w:hint="eastAsia"/>
                <w:kern w:val="0"/>
                <w:szCs w:val="21"/>
              </w:rPr>
            </w:pPr>
            <w:r>
              <w:t>30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冰流-气象自动观测系统现场建设与后勤保障</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2,230,000.00</w:t>
            </w:r>
          </w:p>
        </w:tc>
        <w:tc>
          <w:tcPr/>
          <w:p>
            <w:pPr>
              <w:autoSpaceDE w:val="0"/>
              <w:jc w:val="center"/>
              <w:rPr>
                <w:rFonts w:asciiTheme="minorEastAsia" w:hAnsiTheme="minorEastAsia" w:cstheme="minorEastAsia" w:hint="eastAsia"/>
                <w:kern w:val="0"/>
                <w:szCs w:val="21"/>
              </w:rPr>
            </w:pPr>
            <w:r>
              <w:t>360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6,310,000.00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4"/>
        <w:gridCol w:w="1077"/>
        <w:gridCol w:w="2402"/>
        <w:gridCol w:w="414"/>
        <w:gridCol w:w="944"/>
        <w:gridCol w:w="787"/>
        <w:gridCol w:w="1077"/>
        <w:gridCol w:w="140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气科院(001024)</w:t>
            </w:r>
          </w:p>
        </w:tc>
        <w:tc>
          <w:tcPr/>
          <w:p>
            <w:r>
              <w:t>冰流-气象自动观测系统现场建设与后勤保障</w:t>
            </w:r>
          </w:p>
        </w:tc>
        <w:tc>
          <w:tcPr/>
          <w:p>
            <w:r>
              <w:t>2</w:t>
            </w:r>
          </w:p>
        </w:tc>
        <w:tc>
          <w:tcPr/>
          <w:p>
            <w:r>
              <w:t>2230000.00</w:t>
            </w:r>
          </w:p>
        </w:tc>
        <w:tc>
          <w:tcPr>
            <w:vMerge w:val="restart"/>
          </w:tcPr>
          <w:p>
            <w:r>
              <w:t xml:space="preserve">6310000.00  </w:t>
            </w:r>
          </w:p>
        </w:tc>
        <w:tc>
          <w:tcPr/>
          <w:p>
            <w:r>
              <w:t>采购人指定地点</w:t>
            </w:r>
          </w:p>
        </w:tc>
        <w:tc>
          <w:tcPr/>
          <w:p>
            <w:r>
              <w:t>赵守栋，15210809483</w:t>
            </w:r>
          </w:p>
        </w:tc>
      </w:tr>
      <w:tr>
        <w:tblPrEx>
          <w:tblW w:w="5000" w:type="pct"/>
          <w:tblCellMar>
            <w:left w:w="108" w:type="dxa"/>
            <w:right w:w="108" w:type="dxa"/>
          </w:tblCellMar>
        </w:tblPrEx>
        <w:tc>
          <w:tcPr/>
          <w:p>
            <w:r>
              <w:t>2</w:t>
            </w:r>
          </w:p>
        </w:tc>
        <w:tc>
          <w:tcPr>
            <w:vMerge/>
          </w:tcPr>
          <w:p>
            <w:r>
              <w:t>气科院(001024)</w:t>
            </w:r>
          </w:p>
        </w:tc>
        <w:tc>
          <w:tcPr/>
          <w:p>
            <w:r>
              <w:t>冰流运动观测设备</w:t>
            </w:r>
          </w:p>
        </w:tc>
        <w:tc>
          <w:tcPr/>
          <w:p>
            <w:r>
              <w:t>2</w:t>
            </w:r>
          </w:p>
        </w:tc>
        <w:tc>
          <w:tcPr/>
          <w:p>
            <w:r>
              <w:t>1980000.00</w:t>
            </w:r>
          </w:p>
        </w:tc>
        <w:tc>
          <w:tcPr>
            <w:vMerge/>
          </w:tcPr>
          <w:p>
            <w:r>
              <w:t xml:space="preserve">6310000.00  </w:t>
            </w:r>
          </w:p>
        </w:tc>
        <w:tc>
          <w:tcPr/>
          <w:p>
            <w:r>
              <w:t>采购人指定地点</w:t>
            </w:r>
          </w:p>
        </w:tc>
        <w:tc>
          <w:tcPr/>
          <w:p>
            <w:r>
              <w:t>赵守栋，15210809483</w:t>
            </w:r>
          </w:p>
        </w:tc>
      </w:tr>
      <w:tr>
        <w:tblPrEx>
          <w:tblW w:w="5000" w:type="pct"/>
          <w:tblCellMar>
            <w:left w:w="108" w:type="dxa"/>
            <w:right w:w="108" w:type="dxa"/>
          </w:tblCellMar>
        </w:tblPrEx>
        <w:tc>
          <w:tcPr/>
          <w:p>
            <w:r>
              <w:t>3</w:t>
            </w:r>
          </w:p>
        </w:tc>
        <w:tc>
          <w:tcPr>
            <w:vMerge/>
          </w:tcPr>
          <w:p>
            <w:r>
              <w:t>气科院(001024)</w:t>
            </w:r>
          </w:p>
        </w:tc>
        <w:tc>
          <w:tcPr/>
          <w:p>
            <w:r>
              <w:t>气象观测设备</w:t>
            </w:r>
          </w:p>
        </w:tc>
        <w:tc>
          <w:tcPr/>
          <w:p>
            <w:r>
              <w:t>4</w:t>
            </w:r>
          </w:p>
        </w:tc>
        <w:tc>
          <w:tcPr/>
          <w:p>
            <w:r>
              <w:t>2100000.00</w:t>
            </w:r>
          </w:p>
        </w:tc>
        <w:tc>
          <w:tcPr>
            <w:vMerge/>
          </w:tcPr>
          <w:p>
            <w:r>
              <w:t xml:space="preserve">6310000.00  </w:t>
            </w:r>
          </w:p>
        </w:tc>
        <w:tc>
          <w:tcPr/>
          <w:p>
            <w:r>
              <w:t>采购人指定地点</w:t>
            </w:r>
          </w:p>
        </w:tc>
        <w:tc>
          <w:tcPr/>
          <w:p>
            <w:r>
              <w:t>赵守栋，15210809483</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w:t>
      </w:r>
      <w:r>
        <w:rPr>
          <w:rFonts w:ascii="宋体" w:hAnsi="宋体" w:hint="eastAsia"/>
          <w:szCs w:val="21"/>
          <w:highlight w:val="none"/>
        </w:rPr>
        <w:t>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rPr>
              <w:t>五、</w:t>
            </w:r>
            <w:r>
              <w:rPr>
                <w:rFonts w:ascii="宋体" w:hAnsi="宋体" w:hint="eastAsia"/>
                <w:szCs w:val="21"/>
              </w:rPr>
              <w:t>技术服务和质保期服务要求</w:t>
            </w:r>
          </w:p>
        </w:tc>
        <w:tc>
          <w:tcPr>
            <w:tcW w:w="7347" w:type="dxa"/>
            <w:noWrap w:val="0"/>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★（1）中标人需负责本项目仪器设备运输至中国境外现场采购人指定地点。费用由中标人承担。</w:t>
            </w:r>
          </w:p>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★（1）中标人需负责本项目仪器设备境外观测场建设费用、设备在境外现场安装调试费、防雷工程费等。</w:t>
            </w:r>
          </w:p>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rPr>
              <w:t xml:space="preserve">★（1）设备质保期为8年。质保期内因设备设计、质量出现问题，均由设备供应商即时无偿解决（包括更换器件）。 </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双方签署合同后15个工作日内，采购人向中标人支付合同总金额的85%，货物全部交货至采购人指定地点或完成相应服务，经采购人核对无误、检验合格，向中标人支付合同总金额的其余15%</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4840936"/>
    <w:multiLevelType w:val="singleLevel"/>
    <w:tmpl w:val="44840936"/>
    <w:lvl w:ilvl="0">
      <w:start w:val="1"/>
      <w:numFmt w:val="decimal"/>
      <w:suff w:val="nothing"/>
      <w:lvlText w:val="%1、"/>
      <w:lvlJc w:val="left"/>
      <w:pPr>
        <w:ind w:left="-2"/>
      </w:p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