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2025年上海涡动梯度观测系统采购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上海市生态气象和卫星遥感中心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2025年上海涡动梯度观测系统采购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ZQCD-25399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上海市内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2025年11月17日 00:00:00</w:t>
      </w:r>
      <w:bookmarkEnd w:id="26"/>
      <w:r>
        <w:rPr>
          <w:rFonts w:ascii="宋体" w:hint="eastAsia"/>
          <w:szCs w:val="21"/>
          <w:highlight w:val="none"/>
        </w:rPr>
        <w:t>至</w:t>
      </w:r>
      <w:bookmarkStart w:id="27" w:name="项目公告_signUpLastTime"/>
      <w:r>
        <w:rPr>
          <w:rFonts w:ascii="宋体" w:hint="eastAsia"/>
          <w:szCs w:val="21"/>
          <w:highlight w:val="none"/>
        </w:rPr>
        <w:t>2025年11月24日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上海市生态气象和卫星遥感中心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麻炳欣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021-54893001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上海市徐汇区蒲西路166号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上海市生态气象和卫星遥感中心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不允许（仅针对以下产品：1、涡动梯度观测系统不允许代理商投标）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必须，以下产品需要提供至投标截止日仍有效的《气象专用技术装备使用许可证》：1、需要提供通量观测仪(水、二氧化碳气体分析仪加三维超声风)气象专用技术装备使用许可证。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（1）标的：涡动梯度观测系统，属于工业行业；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147.000000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147.000000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销售合同必须包括涡动梯度观测系统，每提供1份合同得1分，最多得5分。否则不得分。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针对本项目采购的涡动梯度观测系统，承诺每提前10天交货的得0.5分，最多得1分。否则不得分。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针对涡动梯度观测系统设备，每提供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针对涡动梯度观测系统、设备，测试报告应涵盖防水、防盐碱等内容，每包含一项得1.5分，最多得3分。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0"/>
        <w:gridCol w:w="712"/>
        <w:gridCol w:w="853"/>
        <w:gridCol w:w="2001"/>
        <w:gridCol w:w="1984"/>
        <w:gridCol w:w="3058"/>
      </w:tblGrid>
      <w:tr>
        <w:tblPrEx>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66" w:type="pct"/>
            <w:vAlign w:val="center"/>
          </w:tcPr>
          <w:p>
            <w:pPr>
              <w:jc w:val="center"/>
              <w:rPr>
                <w:rFonts w:ascii="仿宋" w:eastAsia="仿宋" w:hAnsi="仿宋" w:cs="仿宋" w:hint="eastAsia"/>
                <w:b/>
                <w:bCs/>
              </w:rPr>
            </w:pPr>
            <w:r>
              <w:rPr>
                <w:rFonts w:ascii="仿宋" w:eastAsia="仿宋" w:hAnsi="仿宋" w:cs="仿宋" w:hint="eastAsia"/>
                <w:b/>
                <w:bCs/>
                <w:sz w:val="24"/>
              </w:rPr>
              <w:t>序号</w:t>
            </w:r>
          </w:p>
        </w:tc>
        <w:tc>
          <w:tcPr>
            <w:tcW w:w="1919"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714" w:type="pct"/>
            <w:gridSpan w:val="2"/>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restart"/>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restart"/>
            <w:vAlign w:val="center"/>
          </w:tcPr>
          <w:p>
            <w:pPr>
              <w:rPr>
                <w:rFonts w:ascii="仿宋" w:eastAsia="仿宋" w:hAnsi="仿宋" w:cs="仿宋" w:hint="eastAsia"/>
              </w:rPr>
            </w:pPr>
            <w:r>
              <w:rPr>
                <w:rFonts w:ascii="仿宋" w:eastAsia="仿宋" w:hAnsi="仿宋" w:cs="仿宋" w:hint="eastAsia"/>
                <w:sz w:val="24"/>
              </w:rPr>
              <w:t>涡动梯度观测系统</w:t>
            </w: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通量观测仪(水、二氧化碳气体分析仪加三维超声风)</w:t>
            </w:r>
          </w:p>
        </w:tc>
        <w:tc>
          <w:tcPr>
            <w:tcW w:w="1076" w:type="pct"/>
            <w:vAlign w:val="center"/>
          </w:tcPr>
          <w:p>
            <w:pPr>
              <w:rPr>
                <w:rFonts w:ascii="仿宋" w:eastAsia="仿宋" w:hAnsi="仿宋" w:cs="仿宋" w:hint="eastAsia"/>
              </w:rPr>
            </w:pPr>
            <w:r>
              <w:rPr>
                <w:rFonts w:ascii="仿宋" w:eastAsia="仿宋" w:hAnsi="仿宋" w:cs="仿宋" w:hint="eastAsia"/>
                <w:sz w:val="24"/>
              </w:rPr>
              <w:t>采集系统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有传感器信号防雷保护模块</w:t>
            </w:r>
          </w:p>
          <w:p>
            <w:pPr>
              <w:rPr>
                <w:rFonts w:ascii="仿宋" w:eastAsia="仿宋" w:hAnsi="仿宋" w:cs="仿宋" w:hint="eastAsia"/>
              </w:rPr>
            </w:pPr>
            <w:r>
              <w:rPr>
                <w:rFonts w:ascii="仿宋" w:eastAsia="仿宋" w:hAnsi="仿宋" w:cs="仿宋" w:hint="eastAsia"/>
                <w:sz w:val="24"/>
              </w:rPr>
              <w:t>有无线传输报文功能</w:t>
            </w:r>
          </w:p>
          <w:p>
            <w:pPr>
              <w:rPr>
                <w:rFonts w:ascii="仿宋" w:eastAsia="仿宋" w:hAnsi="仿宋" w:cs="仿宋" w:hint="eastAsia"/>
              </w:rPr>
            </w:pPr>
            <w:r>
              <w:rPr>
                <w:rFonts w:ascii="仿宋" w:eastAsia="仿宋" w:hAnsi="仿宋" w:cs="仿宋" w:hint="eastAsia"/>
                <w:sz w:val="24"/>
              </w:rPr>
              <w:t>在采集器内可保存高频数据文件、通量数据文件、状态监控与下垫面图片资料、温湿度气压传感器数据和系统状态信息（太阳能充电电压电流、蓄电池供电电压电流、门开关）</w:t>
            </w:r>
          </w:p>
          <w:p>
            <w:pPr>
              <w:rPr>
                <w:rFonts w:ascii="仿宋" w:eastAsia="仿宋" w:hAnsi="仿宋" w:cs="仿宋" w:hint="eastAsia"/>
              </w:rPr>
            </w:pPr>
            <w:r>
              <w:rPr>
                <w:rFonts w:ascii="仿宋" w:eastAsia="仿宋" w:hAnsi="仿宋" w:cs="仿宋" w:hint="eastAsia"/>
                <w:sz w:val="24"/>
              </w:rPr>
              <w:t>具有生成并上传需求书XML文件与图片的功能</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包括：三维超声波风、二氧化碳和水汽气体分析仪、空气温度、空气湿度、气压、状态监控和下垫面传感器</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供电系统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使用蓄电池和太阳能板完成系统供电，续航14天</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安装结构</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传感器安装于同一高度、配备采集系统和供电系统机箱</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配套线缆</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传感器线缆与供电线缆</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CO</w:t>
            </w:r>
            <w:r>
              <w:rPr>
                <w:rFonts w:ascii="仿宋" w:eastAsia="仿宋" w:hAnsi="仿宋" w:cs="仿宋" w:hint="eastAsia"/>
                <w:sz w:val="24"/>
                <w:szCs w:val="24"/>
                <w:vertAlign w:val="subscript"/>
              </w:rPr>
              <w:t>2</w:t>
            </w:r>
            <w:r>
              <w:rPr>
                <w:rFonts w:ascii="仿宋" w:eastAsia="仿宋" w:hAnsi="仿宋" w:cs="仿宋" w:hint="eastAsia"/>
                <w:sz w:val="24"/>
                <w:szCs w:val="24"/>
              </w:rPr>
              <w:t>：0.15</w:t>
            </w:r>
            <w:r>
              <w:rPr>
                <w:rFonts w:ascii="仿宋" w:eastAsia="仿宋" w:hAnsi="仿宋" w:cs="仿宋" w:hint="eastAsia"/>
                <w:sz w:val="24"/>
                <w:szCs w:val="24"/>
              </w:rPr>
              <w:t>μ</w:t>
            </w:r>
            <w:r>
              <w:rPr>
                <w:rFonts w:ascii="仿宋" w:eastAsia="仿宋" w:hAnsi="仿宋" w:cs="仿宋" w:hint="eastAsia"/>
                <w:sz w:val="24"/>
                <w:szCs w:val="24"/>
              </w:rPr>
              <w:t>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pStyle w:val="NormalWeb"/>
              <w:shd w:val="clear" w:color="auto" w:fill="FFFFFF"/>
              <w:spacing w:before="0" w:beforeAutospacing="0" w:after="0" w:afterAutospacing="0"/>
              <w:contextualSpacing/>
              <w:rPr>
                <w:rFonts w:ascii="仿宋" w:eastAsia="仿宋" w:hAnsi="仿宋" w:cs="仿宋" w:hint="eastAsia"/>
                <w:b/>
                <w:bCs/>
                <w:sz w:val="24"/>
                <w:szCs w:val="24"/>
                <w:highlight w:val="green"/>
              </w:rPr>
            </w:pPr>
            <w:r>
              <w:rPr>
                <w:rFonts w:ascii="仿宋" w:eastAsia="仿宋" w:hAnsi="仿宋" w:cs="仿宋" w:hint="eastAsia"/>
                <w:sz w:val="24"/>
                <w:szCs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w:t>
            </w:r>
            <w:r>
              <w:rPr>
                <w:rFonts w:ascii="仿宋" w:eastAsia="仿宋" w:hAnsi="仿宋" w:cs="仿宋" w:hint="eastAsia"/>
                <w:sz w:val="24"/>
                <w:szCs w:val="24"/>
              </w:rPr>
              <w:t>±</w:t>
            </w:r>
            <w:r>
              <w:rPr>
                <w:rFonts w:ascii="仿宋" w:eastAsia="仿宋" w:hAnsi="仿宋" w:cs="仿宋" w:hint="eastAsia"/>
                <w:sz w:val="24"/>
                <w:szCs w:val="24"/>
              </w:rPr>
              <w:t>60m/s，Uy风速：</w:t>
            </w:r>
            <w:r>
              <w:rPr>
                <w:rFonts w:ascii="仿宋" w:eastAsia="仿宋" w:hAnsi="仿宋" w:cs="仿宋" w:hint="eastAsia"/>
                <w:sz w:val="24"/>
                <w:szCs w:val="24"/>
              </w:rPr>
              <w:t>±</w:t>
            </w:r>
            <w:r>
              <w:rPr>
                <w:rFonts w:ascii="仿宋" w:eastAsia="仿宋" w:hAnsi="仿宋" w:cs="仿宋" w:hint="eastAsia"/>
                <w:sz w:val="24"/>
                <w:szCs w:val="24"/>
              </w:rPr>
              <w:t>60m/s，Uz风速：</w:t>
            </w:r>
            <w:r>
              <w:rPr>
                <w:rFonts w:ascii="仿宋" w:eastAsia="仿宋" w:hAnsi="仿宋" w:cs="仿宋" w:hint="eastAsia"/>
                <w:sz w:val="24"/>
                <w:szCs w:val="24"/>
              </w:rPr>
              <w:t>±</w:t>
            </w:r>
            <w:r>
              <w:rPr>
                <w:rFonts w:ascii="仿宋" w:eastAsia="仿宋" w:hAnsi="仿宋" w:cs="仿宋" w:hint="eastAsia"/>
                <w:sz w:val="24"/>
                <w:szCs w:val="24"/>
              </w:rPr>
              <w:t>8m/s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气压传感器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rPr>
              <w:t>分辨力：0.1hP</w:t>
            </w:r>
          </w:p>
          <w:p>
            <w:pPr>
              <w:rPr>
                <w:rFonts w:ascii="仿宋" w:eastAsia="仿宋" w:hAnsi="仿宋" w:cs="仿宋" w:hint="eastAsia"/>
              </w:rPr>
            </w:pP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r>
              <w:rPr>
                <w:rFonts w:ascii="仿宋" w:eastAsia="仿宋" w:hAnsi="仿宋" w:cs="仿宋" w:hint="eastAsia"/>
                <w:sz w:val="24"/>
                <w:szCs w:val="24"/>
              </w:rPr>
              <w:t>，相对湿度：0%～100%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分辨力：气温：0.1</w:t>
            </w:r>
            <w:r>
              <w:rPr>
                <w:rFonts w:ascii="仿宋" w:eastAsia="仿宋" w:hAnsi="仿宋" w:cs="仿宋" w:hint="eastAsia"/>
                <w:sz w:val="24"/>
                <w:szCs w:val="24"/>
              </w:rPr>
              <w:t>℃</w:t>
            </w:r>
            <w:r>
              <w:rPr>
                <w:rFonts w:ascii="仿宋" w:eastAsia="仿宋" w:hAnsi="仿宋" w:cs="仿宋" w:hint="eastAsia"/>
                <w:sz w:val="24"/>
                <w:szCs w:val="24"/>
              </w:rPr>
              <w:t>，相对湿度：1%</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#最大允许误差：气温：</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0.2</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，相对湿度：</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80%）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梯度气象自动观测仪</w:t>
            </w: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智能风测量仪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0～60m/s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（0.5m/s+0.03V）</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0～360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智能气温测量仪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智能湿度测量仪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湿度范围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0～100% 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智能气压测量仪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500 hPa～1100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bottom"/>
          </w:tcPr>
          <w:p>
            <w:pPr>
              <w:snapToGrid w:val="0"/>
              <w:rPr>
                <w:rFonts w:ascii="仿宋" w:eastAsia="仿宋" w:hAnsi="仿宋" w:cs="仿宋" w:hint="eastAsia"/>
              </w:rPr>
            </w:pPr>
            <w:r>
              <w:rPr>
                <w:rFonts w:ascii="仿宋" w:eastAsia="仿宋" w:hAnsi="仿宋" w:cs="仿宋" w:hint="eastAsia"/>
                <w:sz w:val="24"/>
              </w:rPr>
              <w:t>分辨力</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准确性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0.3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四分量-总辐射传感器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温度响应</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#方向性相应误差</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20W/m</w:t>
            </w:r>
            <w:r>
              <w:rPr>
                <w:rFonts w:ascii="仿宋" w:eastAsia="仿宋" w:hAnsi="仿宋" w:cs="仿宋" w:hint="eastAsia"/>
                <w:sz w:val="24"/>
                <w:highlight w:val="yellow"/>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rPr>
            </w:pPr>
            <w:r>
              <w:rPr>
                <w:rFonts w:ascii="仿宋" w:eastAsia="仿宋" w:hAnsi="仿宋" w:cs="仿宋" w:hint="eastAsia"/>
                <w:sz w:val="24"/>
              </w:rPr>
              <w:t>差分模拟量</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四分量-长波辐射传感器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&lt;30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不稳定性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hint="eastAsia"/>
              </w:rPr>
            </w:pPr>
            <w:r>
              <w:rPr>
                <w:rFonts w:ascii="微软雅黑" w:eastAsia="微软雅黑" w:hAnsi="微软雅黑" w:cs="宋体"/>
                <w:kern w:val="0"/>
                <w:sz w:val="20"/>
                <w:szCs w:val="20"/>
              </w:rPr>
              <w:t>差分模拟量</w:t>
            </w:r>
            <w:r>
              <w:rPr>
                <w:rFonts w:ascii="仿宋" w:eastAsia="仿宋" w:hAnsi="仿宋" w:cs="仿宋" w:hint="eastAsia"/>
                <w:sz w:val="24"/>
              </w:rPr>
              <w:t xml:space="preserve"> </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紫外（A+B）辐射传感器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280～400nm（UV AB)</w:t>
            </w:r>
          </w:p>
          <w:p>
            <w:pPr>
              <w:snapToGrid w:val="0"/>
              <w:rPr>
                <w:rFonts w:ascii="仿宋" w:eastAsia="仿宋" w:hAnsi="仿宋" w:cs="仿宋" w:hint="eastAsia"/>
              </w:rPr>
            </w:pPr>
            <w:r>
              <w:rPr>
                <w:rFonts w:ascii="仿宋" w:eastAsia="仿宋" w:hAnsi="仿宋" w:cs="仿宋" w:hint="eastAsia"/>
                <w:sz w:val="24"/>
              </w:rPr>
              <w:t>315～400nm(UV A)</w:t>
            </w:r>
          </w:p>
          <w:p>
            <w:pPr>
              <w:snapToGrid w:val="0"/>
              <w:rPr>
                <w:rFonts w:ascii="仿宋" w:eastAsia="仿宋" w:hAnsi="仿宋" w:cs="仿宋" w:hint="eastAsia"/>
              </w:rPr>
            </w:pPr>
            <w:r>
              <w:rPr>
                <w:rFonts w:ascii="仿宋" w:eastAsia="仿宋" w:hAnsi="仿宋" w:cs="仿宋" w:hint="eastAsia"/>
                <w:sz w:val="24"/>
              </w:rPr>
              <w:t>280～315nm(UV B)</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光合有效辐射传感器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400nm-700nm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方向性响应（天顶角80</w:t>
            </w:r>
            <w:r>
              <w:rPr>
                <w:rFonts w:ascii="仿宋" w:eastAsia="仿宋" w:hAnsi="仿宋" w:cs="仿宋" w:hint="eastAsia"/>
                <w:sz w:val="24"/>
              </w:rPr>
              <w:t>°</w:t>
            </w:r>
            <w:r>
              <w:rPr>
                <w:rFonts w:ascii="仿宋" w:eastAsia="仿宋" w:hAnsi="仿宋" w:cs="仿宋" w:hint="eastAsia"/>
                <w:sz w:val="24"/>
              </w:rPr>
              <w:t>以内）</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温度依存性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智能翻斗式雨量测量仪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0mm/min～4mm/min</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0.4mm（</w:t>
            </w:r>
            <w:r>
              <w:rPr>
                <w:rFonts w:ascii="仿宋" w:eastAsia="仿宋" w:hAnsi="仿宋" w:cs="仿宋" w:hint="eastAsia"/>
                <w:sz w:val="24"/>
              </w:rPr>
              <w:t>≤</w:t>
            </w:r>
            <w:r>
              <w:rPr>
                <w:rFonts w:ascii="仿宋" w:eastAsia="仿宋" w:hAnsi="仿宋" w:cs="仿宋" w:hint="eastAsia"/>
                <w:sz w:val="24"/>
              </w:rPr>
              <w:t>10mm）</w:t>
            </w:r>
          </w:p>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 4％（＞10mm）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snapToGrid w:val="0"/>
              <w:rPr>
                <w:rFonts w:ascii="仿宋" w:eastAsia="仿宋" w:hAnsi="仿宋" w:cs="仿宋" w:hint="eastAsia"/>
              </w:rPr>
            </w:pPr>
            <w:r>
              <w:rPr>
                <w:rFonts w:ascii="仿宋" w:eastAsia="仿宋" w:hAnsi="仿宋" w:cs="仿宋" w:hint="eastAsia"/>
                <w:sz w:val="24"/>
              </w:rPr>
              <w:t>土壤热通量传感器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-800 W/m</w:t>
            </w:r>
            <w:r>
              <w:rPr>
                <w:rFonts w:ascii="仿宋" w:eastAsia="仿宋" w:hAnsi="仿宋" w:cs="仿宋" w:hint="eastAsia"/>
                <w:sz w:val="24"/>
                <w:vertAlign w:val="superscript"/>
              </w:rPr>
              <w:t>2</w:t>
            </w:r>
            <w:r>
              <w:rPr>
                <w:rFonts w:ascii="仿宋" w:eastAsia="仿宋" w:hAnsi="仿宋" w:cs="仿宋" w:hint="eastAsia"/>
                <w:sz w:val="24"/>
              </w:rPr>
              <w:t>~800 W/m</w:t>
            </w:r>
            <w:r>
              <w:rPr>
                <w:rFonts w:ascii="仿宋" w:eastAsia="仿宋" w:hAnsi="仿宋" w:cs="仿宋" w:hint="eastAsia"/>
                <w:sz w:val="24"/>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红外温度传感器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-55</w:t>
            </w:r>
            <w:r>
              <w:rPr>
                <w:rFonts w:ascii="仿宋" w:eastAsia="仿宋" w:hAnsi="仿宋" w:cs="仿宋" w:hint="eastAsia"/>
                <w:sz w:val="24"/>
              </w:rPr>
              <w:t>℃</w:t>
            </w:r>
            <w:r>
              <w:rPr>
                <w:rFonts w:ascii="仿宋" w:eastAsia="仿宋" w:hAnsi="仿宋" w:cs="仿宋" w:hint="eastAsia"/>
                <w:sz w:val="24"/>
              </w:rPr>
              <w:t>～80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#精度</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0.2</w:t>
            </w:r>
            <w:r>
              <w:rPr>
                <w:rFonts w:ascii="仿宋" w:eastAsia="仿宋" w:hAnsi="仿宋" w:cs="仿宋" w:hint="eastAsia"/>
                <w:sz w:val="24"/>
                <w:highlight w:val="yellow"/>
              </w:rPr>
              <w:t>℃</w:t>
            </w:r>
            <w:r>
              <w:rPr>
                <w:rFonts w:ascii="仿宋" w:eastAsia="仿宋" w:hAnsi="仿宋" w:cs="仿宋" w:hint="eastAsia"/>
                <w:sz w:val="24"/>
                <w:highlight w:val="yellow"/>
              </w:rPr>
              <w:t>（-10</w:t>
            </w:r>
            <w:r>
              <w:rPr>
                <w:rFonts w:ascii="仿宋" w:eastAsia="仿宋" w:hAnsi="仿宋" w:cs="仿宋" w:hint="eastAsia"/>
                <w:sz w:val="24"/>
                <w:highlight w:val="yellow"/>
              </w:rPr>
              <w:t>℃</w:t>
            </w:r>
            <w:r>
              <w:rPr>
                <w:rFonts w:ascii="仿宋" w:eastAsia="仿宋" w:hAnsi="仿宋" w:cs="仿宋" w:hint="eastAsia"/>
                <w:sz w:val="24"/>
                <w:highlight w:val="yellow"/>
              </w:rPr>
              <w:t>~65</w:t>
            </w:r>
            <w:r>
              <w:rPr>
                <w:rFonts w:ascii="仿宋" w:eastAsia="仿宋" w:hAnsi="仿宋" w:cs="仿宋" w:hint="eastAsia"/>
                <w:sz w:val="24"/>
                <w:highlight w:val="yellow"/>
              </w:rPr>
              <w:t>℃</w:t>
            </w:r>
            <w:r>
              <w:rPr>
                <w:rFonts w:ascii="仿宋" w:eastAsia="仿宋" w:hAnsi="仿宋" w:cs="仿宋" w:hint="eastAsia"/>
                <w:sz w:val="24"/>
                <w:highlight w:val="yellow"/>
              </w:rPr>
              <w:t>时）</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ind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观测塔</w:t>
            </w:r>
          </w:p>
        </w:tc>
        <w:tc>
          <w:tcPr>
            <w:tcW w:w="2714" w:type="pct"/>
            <w:gridSpan w:val="2"/>
            <w:vAlign w:val="center"/>
          </w:tcPr>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含防雷、结构件、50米观测塔、机箱、横臂、预埋以及必要的线缆。空气温湿度传感器、风速传感器安装高度分别为地上2米、4米、10米、15米、25米、35米、45米、50米，风向传感器安装在10米、50米位置，辐射观测系统地上2米。</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立柱按照防雷要求架设，保证避雷针通过单独的铜导线引入地下避雷铁板上；</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结构安全等级二级，抗震烈度8度设防抗风速25米/秒，抗震烈度8度，适宜温度-35</w:t>
            </w:r>
            <w:r>
              <w:rPr>
                <w:rFonts w:ascii="仿宋" w:eastAsia="仿宋" w:hAnsi="仿宋" w:cs="仿宋" w:hint="eastAsia"/>
                <w:szCs w:val="24"/>
              </w:rPr>
              <w:t>℃</w:t>
            </w:r>
            <w:r>
              <w:rPr>
                <w:rFonts w:ascii="仿宋" w:eastAsia="仿宋" w:hAnsi="仿宋" w:cs="仿宋" w:hint="eastAsia"/>
                <w:szCs w:val="24"/>
              </w:rPr>
              <w:t>-45</w:t>
            </w:r>
            <w:r>
              <w:rPr>
                <w:rFonts w:ascii="仿宋" w:eastAsia="仿宋" w:hAnsi="仿宋" w:cs="仿宋" w:hint="eastAsia"/>
                <w:szCs w:val="24"/>
              </w:rPr>
              <w:t>℃</w:t>
            </w:r>
            <w:r>
              <w:rPr>
                <w:rFonts w:ascii="仿宋" w:eastAsia="仿宋" w:hAnsi="仿宋" w:cs="仿宋" w:hint="eastAsia"/>
                <w:szCs w:val="24"/>
              </w:rPr>
              <w:t>；</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塔顶端采用避雷针设计，整体镀锌。所用型钢、圆钢、钢板、角钢均采用Q235B型钢；</w:t>
            </w:r>
          </w:p>
          <w:p>
            <w:pPr>
              <w:snapToGrid w:val="0"/>
              <w:rPr>
                <w:rFonts w:ascii="仿宋" w:eastAsia="仿宋" w:hAnsi="仿宋" w:cs="仿宋" w:hint="eastAsia"/>
              </w:rPr>
            </w:pPr>
            <w:r>
              <w:rPr>
                <w:rFonts w:ascii="仿宋" w:eastAsia="仿宋" w:hAnsi="仿宋" w:cs="仿宋" w:hint="eastAsia"/>
                <w:sz w:val="24"/>
              </w:rPr>
              <w:t>传感器安装支架：采用不锈钢方管材质，可伸缩，支架固定传感器位置距离立柱最少1.5m</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91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涡动梯度观测系统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1,470,000.00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1,470,000.00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3"/>
        <w:gridCol w:w="1509"/>
        <w:gridCol w:w="1090"/>
        <w:gridCol w:w="373"/>
        <w:gridCol w:w="851"/>
        <w:gridCol w:w="710"/>
        <w:gridCol w:w="612"/>
        <w:gridCol w:w="300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生态遥感中心(001039022)</w:t>
            </w:r>
          </w:p>
        </w:tc>
        <w:tc>
          <w:tcPr/>
          <w:p>
            <w:r>
              <w:t>涡动梯度观测系统</w:t>
            </w:r>
          </w:p>
        </w:tc>
        <w:tc>
          <w:tcPr/>
          <w:p>
            <w:r>
              <w:t>1</w:t>
            </w:r>
          </w:p>
        </w:tc>
        <w:tc>
          <w:tcPr/>
          <w:p>
            <w:r>
              <w:t>1470000.00</w:t>
            </w:r>
          </w:p>
        </w:tc>
        <w:tc>
          <w:tcPr/>
          <w:p>
            <w:r>
              <w:t xml:space="preserve">1470000.00  </w:t>
            </w:r>
          </w:p>
        </w:tc>
        <w:tc>
          <w:tcPr/>
          <w:p>
            <w:r>
              <w:t>上海市内</w:t>
            </w:r>
          </w:p>
        </w:tc>
        <w:tc>
          <w:tcPr/>
          <w:p>
            <w:r>
              <w:t>上海市生态气象和卫星遥感中心(麻炳欣/18918206285)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FE0ED9" w:rsidRPr="00560F22">
      <w:pPr>
        <w:spacing w:line="560" w:lineRule="exact"/>
        <w:ind w:firstLine="720" w:firstLineChars="200"/>
        <w:jc w:val="center"/>
        <w:rPr>
          <w:rFonts w:ascii="仿宋" w:eastAsia="仿宋" w:hAnsi="仿宋" w:cs="仿宋"/>
          <w:b/>
          <w:sz w:val="28"/>
          <w:szCs w:val="20"/>
        </w:rPr>
      </w:pPr>
      <w:r w:rsidRPr="00560F22">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sidRPr="00560F22">
        <w:rPr>
          <w:rFonts w:ascii="仿宋" w:eastAsia="仿宋" w:hAnsi="仿宋" w:cs="仿宋"/>
          <w:b/>
          <w:sz w:val="36"/>
          <w:szCs w:val="36"/>
        </w:rPr>
        <w:instrText>ADDIN CNKISM.UserStyle</w:instrText>
      </w:r>
      <w:r w:rsidRPr="00560F22">
        <w:rPr>
          <w:rFonts w:ascii="仿宋" w:eastAsia="仿宋" w:hAnsi="仿宋" w:cs="仿宋"/>
          <w:b/>
          <w:sz w:val="36"/>
          <w:szCs w:val="36"/>
        </w:rPr>
        <w:fldChar w:fldCharType="separate"/>
      </w:r>
      <w:r w:rsidRPr="00560F22">
        <w:rPr>
          <w:rFonts w:ascii="仿宋" w:eastAsia="仿宋" w:hAnsi="仿宋" w:cs="仿宋"/>
          <w:b/>
          <w:sz w:val="36"/>
          <w:szCs w:val="36"/>
        </w:rPr>
        <w:fldChar w:fldCharType="end"/>
      </w:r>
      <w:r w:rsidRPr="00560F22">
        <w:rPr>
          <w:rFonts w:ascii="仿宋" w:eastAsia="仿宋" w:hAnsi="仿宋" w:cs="仿宋" w:hint="eastAsia"/>
          <w:b/>
          <w:sz w:val="36"/>
          <w:szCs w:val="36"/>
        </w:rPr>
        <w:t>采购需求（其他技术及商务需求）</w:t>
      </w:r>
    </w:p>
    <w:p w:rsidR="00FE0ED9" w:rsidRPr="00560F22">
      <w:pPr>
        <w:spacing w:line="560" w:lineRule="exact"/>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一、项目概况及总体要求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依据中国气象局《2025年站网和雷达工程建设初步设计安排》，在上海建设1套涡动梯度观测系统。通过建设涡动梯度观测系统，提升农田生态系统的监测试验能力，提升生态气象要素野外监测与数据获取能力、关键生态气象要素卫</w:t>
      </w:r>
      <w:r w:rsidRPr="00560F22">
        <w:rPr>
          <w:rFonts w:ascii="仿宋" w:eastAsia="仿宋" w:hAnsi="仿宋" w:cs="仿宋" w:hint="eastAsia"/>
          <w:sz w:val="28"/>
          <w:szCs w:val="20"/>
        </w:rPr>
        <w:t>星遥感反演精度等能力，为气象业务工作提供数据支持、技术支撑，提升生态气象碳监测与评估服务，满足生态气象学科研究和精细化气象服务需求。</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二、售后服务要求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三、培训要求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设备供应商对每套投标产品提供至少2次技术培训，</w:t>
      </w:r>
      <w:r w:rsidRPr="00560F22">
        <w:rPr>
          <w:rFonts w:ascii="仿宋" w:eastAsia="仿宋" w:hAnsi="仿宋" w:cs="仿宋" w:hint="eastAsia"/>
          <w:sz w:val="28"/>
          <w:szCs w:val="20"/>
          <w:highlight w:val="yellow"/>
        </w:rPr>
        <w:t>培训课时</w:t>
      </w:r>
      <w:r w:rsidRPr="00560F22">
        <w:rPr>
          <w:rFonts w:ascii="仿宋" w:eastAsia="仿宋" w:hAnsi="仿宋" w:cs="仿宋"/>
          <w:sz w:val="28"/>
          <w:szCs w:val="20"/>
          <w:highlight w:val="yellow"/>
        </w:rPr>
        <w:t>不少于</w:t>
      </w:r>
      <w:r w:rsidRPr="00560F22">
        <w:rPr>
          <w:rFonts w:ascii="仿宋" w:eastAsia="仿宋" w:hAnsi="仿宋" w:cs="仿宋" w:hint="eastAsia"/>
          <w:sz w:val="28"/>
          <w:szCs w:val="20"/>
          <w:highlight w:val="yellow"/>
        </w:rPr>
        <w:t>2个</w:t>
      </w:r>
      <w:r w:rsidRPr="00560F22">
        <w:rPr>
          <w:rFonts w:ascii="仿宋" w:eastAsia="仿宋" w:hAnsi="仿宋" w:cs="仿宋"/>
          <w:sz w:val="28"/>
          <w:szCs w:val="20"/>
          <w:highlight w:val="yellow"/>
        </w:rPr>
        <w:t>课时，培训人数不少于</w:t>
      </w:r>
      <w:r w:rsidRPr="00560F22">
        <w:rPr>
          <w:rFonts w:ascii="仿宋" w:eastAsia="仿宋" w:hAnsi="仿宋" w:cs="仿宋" w:hint="eastAsia"/>
          <w:sz w:val="28"/>
          <w:szCs w:val="20"/>
          <w:highlight w:val="yellow"/>
        </w:rPr>
        <w:t>2人</w:t>
      </w:r>
      <w:r w:rsidRPr="00560F22">
        <w:rPr>
          <w:rFonts w:ascii="仿宋" w:eastAsia="仿宋" w:hAnsi="仿宋" w:cs="仿宋"/>
          <w:sz w:val="28"/>
          <w:szCs w:val="20"/>
          <w:highlight w:val="yellow"/>
        </w:rPr>
        <w:t>。</w:t>
      </w:r>
      <w:r w:rsidRPr="00560F22">
        <w:rPr>
          <w:rFonts w:ascii="仿宋" w:eastAsia="仿宋" w:hAnsi="仿宋" w:cs="仿宋" w:hint="eastAsia"/>
          <w:sz w:val="28"/>
          <w:szCs w:val="20"/>
        </w:rPr>
        <w:t>培训内容包括设备安装、使用、日常维护、观测原理及产品应用，培训时间及地点双方协商确定。</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四、交货要求及履约地点</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中标供应商将所有设备运送至</w:t>
      </w:r>
      <w:r w:rsidRPr="00560F22" w:rsidR="00934FD6">
        <w:rPr>
          <w:rFonts w:ascii="仿宋" w:eastAsia="仿宋" w:hAnsi="仿宋" w:cs="仿宋" w:hint="eastAsia"/>
          <w:sz w:val="28"/>
          <w:szCs w:val="20"/>
        </w:rPr>
        <w:t>上海市</w:t>
      </w:r>
      <w:r w:rsidRPr="00560F22">
        <w:rPr>
          <w:rFonts w:ascii="仿宋" w:eastAsia="仿宋" w:hAnsi="仿宋" w:cs="仿宋" w:hint="eastAsia"/>
          <w:sz w:val="28"/>
          <w:szCs w:val="20"/>
        </w:rPr>
        <w:t>（运输相关费用由供应商负责），并负责安装调试。</w:t>
      </w:r>
    </w:p>
    <w:p w:rsidR="00FE0ED9" w:rsidRPr="00560F22">
      <w:pPr>
        <w:ind w:left="559" w:leftChars="266"/>
        <w:rPr>
          <w:rFonts w:ascii="仿宋" w:eastAsia="仿宋" w:hAnsi="仿宋" w:cs="仿宋"/>
          <w:b/>
          <w:bCs/>
          <w:sz w:val="28"/>
          <w:szCs w:val="20"/>
        </w:rPr>
      </w:pPr>
      <w:r w:rsidRPr="00560F22">
        <w:rPr>
          <w:rFonts w:ascii="仿宋" w:eastAsia="仿宋" w:hAnsi="仿宋" w:cs="仿宋" w:hint="eastAsia"/>
          <w:sz w:val="28"/>
          <w:szCs w:val="20"/>
        </w:rPr>
        <w:t>合同签订后120天内完成供货、安装调试并具备验收条件。</w:t>
      </w:r>
      <w:r w:rsidRPr="00560F22">
        <w:rPr>
          <w:rFonts w:ascii="仿宋" w:eastAsia="仿宋" w:hAnsi="仿宋" w:cs="仿宋" w:hint="eastAsia"/>
          <w:sz w:val="28"/>
          <w:szCs w:val="20"/>
        </w:rPr>
        <w:br/>
      </w:r>
      <w:r w:rsidRPr="00560F22">
        <w:rPr>
          <w:rFonts w:ascii="仿宋" w:eastAsia="仿宋" w:hAnsi="仿宋" w:cs="仿宋" w:hint="eastAsia"/>
          <w:b/>
          <w:bCs/>
          <w:sz w:val="28"/>
          <w:szCs w:val="20"/>
        </w:rPr>
        <w:t>五、服务团队要求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六、投标产品软件兼容性要求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设备软件兼容性强，支持UDP、TCP等协议，可无缝接入局域网，也可接入互联网网络系统，实现与局域网或者互联网网络系统、大数据云平台无缝接入，完全符合甲方相关要求和规范，保证其系统的兼容性和功能的完整性。</w:t>
      </w:r>
      <w:r w:rsidRPr="00560F22">
        <w:rPr>
          <w:rFonts w:ascii="仿宋" w:eastAsia="仿宋" w:hAnsi="仿宋" w:cs="仿宋" w:hint="eastAsia"/>
          <w:sz w:val="28"/>
          <w:szCs w:val="20"/>
        </w:rPr>
        <w:br/>
        <w:t xml:space="preserve">    </w:t>
      </w:r>
      <w:r w:rsidRPr="00560F22">
        <w:rPr>
          <w:rFonts w:ascii="仿宋" w:eastAsia="仿宋" w:hAnsi="仿宋" w:cs="仿宋" w:hint="eastAsia"/>
          <w:b/>
          <w:bCs/>
          <w:sz w:val="28"/>
          <w:szCs w:val="20"/>
        </w:rPr>
        <w:t>七、质保服务</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质保期：涡动梯度观测系统8年，从现场验收合格之日起开始计算质保期。</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质保期服务内容要求：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（1）质保期内，因设备故障，投标人进行设备维修保障或更换时，需自备维修保障耗材和更换配件。</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（2）每年需进行1次现场巡检和 2 次远程巡检，同时需提供必</w:t>
      </w:r>
      <w:r w:rsidRPr="00560F22">
        <w:rPr>
          <w:rFonts w:ascii="仿宋" w:eastAsia="仿宋" w:hAnsi="仿宋" w:cs="仿宋" w:hint="eastAsia"/>
          <w:sz w:val="28"/>
          <w:szCs w:val="20"/>
        </w:rPr>
        <w:t>要的软件升级服务。</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（3）</w:t>
      </w:r>
      <w:r w:rsidRPr="00560F22">
        <w:rPr>
          <w:rFonts w:ascii="仿宋" w:eastAsia="仿宋" w:hAnsi="仿宋" w:cs="仿宋"/>
          <w:sz w:val="28"/>
          <w:szCs w:val="20"/>
        </w:rPr>
        <w:t>中标人在投标文件中应明确本项目采购设备自验收合格后</w:t>
      </w:r>
      <w:r w:rsidRPr="00560F22">
        <w:rPr>
          <w:rFonts w:ascii="仿宋" w:eastAsia="仿宋" w:hAnsi="仿宋" w:cs="仿宋" w:hint="eastAsia"/>
          <w:sz w:val="28"/>
          <w:szCs w:val="20"/>
        </w:rPr>
        <w:t>4G通信模块以及摄像头内部的4G通信模块8年数据流量费</w:t>
      </w:r>
      <w:r w:rsidRPr="00560F22">
        <w:rPr>
          <w:rFonts w:ascii="仿宋" w:eastAsia="仿宋" w:hAnsi="仿宋" w:cs="仿宋"/>
          <w:sz w:val="28"/>
          <w:szCs w:val="20"/>
        </w:rPr>
        <w:t>由中标人承担，并提供承诺函原件扫描件。</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（4）质保期满后，仍有义务提供远程技术服务等支持。</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八、付款方式</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详见</w:t>
      </w:r>
      <w:r w:rsidRPr="00560F22">
        <w:rPr>
          <w:rFonts w:ascii="仿宋" w:eastAsia="仿宋" w:hAnsi="仿宋" w:cs="仿宋"/>
          <w:sz w:val="28"/>
          <w:szCs w:val="20"/>
        </w:rPr>
        <w:t>合同部分</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九、检验考核要求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设备出厂、包装运输、安装调试、设备验收、保修及售后服务、工程进度方面还应满足以下要求：</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9.1设备出厂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（1）保证所提供产品的数量、质量。</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（2)出厂前要经买方人员严格测试和检查，确保设备长期稳定、可靠地运行。</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9.2包装和运输要求</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（1）中标人须在合同签定后按约定时间将设备运到招标人指定的地点，运费由中标人承担。</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9.3安装、调试</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（1）设备安装由中标人负责。</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（3）设备安装调试过程中，中标人应作详细检验记录。安装调试结果应该符合有关标准的要求。检验记录应提供给采购人。</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9.4设备验收</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（2）设备经过3个月试运行期，达到功能规格需求书的要求时，可进行最终验收。在试运行期间，由于设备质量等造成某些指标达不到要求，允许中标人更换或进行修复，但试运行期另加1个月。</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（4）设备安装调试和试运行结束后，采购人组织最终验收。当满足以下条件时，采购人确认验收合格签署验收合格证：</w:t>
      </w:r>
    </w:p>
    <w:p w:rsidR="00FE0ED9" w:rsidRPr="00560F22">
      <w:pPr>
        <w:numPr>
          <w:ilvl w:val="0"/>
          <w:numId w:val="5"/>
        </w:numPr>
        <w:rPr>
          <w:rFonts w:ascii="仿宋" w:eastAsia="仿宋" w:hAnsi="仿宋" w:cs="仿宋"/>
          <w:sz w:val="28"/>
          <w:szCs w:val="20"/>
        </w:rPr>
      </w:pPr>
      <w:r w:rsidRPr="00560F22">
        <w:rPr>
          <w:rFonts w:ascii="仿宋" w:eastAsia="仿宋" w:hAnsi="仿宋" w:cs="仿宋" w:hint="eastAsia"/>
          <w:sz w:val="28"/>
          <w:szCs w:val="20"/>
        </w:rPr>
        <w:t>中标人已提供合同中签署的全部货物及完整技术资料；</w:t>
      </w:r>
    </w:p>
    <w:p w:rsidR="00FE0ED9" w:rsidRPr="00560F22">
      <w:pPr>
        <w:numPr>
          <w:ilvl w:val="0"/>
          <w:numId w:val="5"/>
        </w:numPr>
        <w:rPr>
          <w:rFonts w:ascii="仿宋" w:eastAsia="仿宋" w:hAnsi="仿宋" w:cs="仿宋"/>
          <w:sz w:val="28"/>
          <w:szCs w:val="20"/>
        </w:rPr>
      </w:pPr>
      <w:r w:rsidRPr="00560F22">
        <w:rPr>
          <w:rFonts w:ascii="仿宋" w:eastAsia="仿宋" w:hAnsi="仿宋" w:cs="仿宋" w:hint="eastAsia"/>
          <w:sz w:val="28"/>
          <w:szCs w:val="20"/>
        </w:rPr>
        <w:t>货物符合技术规格，性能满足要求；</w:t>
      </w:r>
    </w:p>
    <w:p w:rsidR="00FE0ED9" w:rsidRPr="00560F22">
      <w:pPr>
        <w:numPr>
          <w:ilvl w:val="0"/>
          <w:numId w:val="5"/>
        </w:numPr>
        <w:rPr>
          <w:rFonts w:ascii="仿宋" w:eastAsia="仿宋" w:hAnsi="仿宋" w:cs="仿宋"/>
          <w:sz w:val="28"/>
          <w:szCs w:val="20"/>
        </w:rPr>
      </w:pPr>
      <w:r w:rsidRPr="00560F22">
        <w:rPr>
          <w:rFonts w:ascii="仿宋" w:eastAsia="仿宋" w:hAnsi="仿宋" w:cs="仿宋" w:hint="eastAsia"/>
          <w:sz w:val="28"/>
          <w:szCs w:val="20"/>
        </w:rPr>
        <w:t>安装工程符合技术要求，系统性能满足要求，设备正常运行。</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9.5保修及售后服务</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 xml:space="preserve">（1）保修期内因设备设计、质量出现问题，均由设备供应商即时无偿解决（包括更换器件）；设备安装后的试运行期间（3个月）内，遇设备故障或数据明显异常、性能不达标等，中标人负责48小时内到站对故障设备进行测试和更换，确保设备正常投入业务运行。 </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（3）在质保期内，设备供应商应提供详细的售后服务计划，内</w:t>
      </w:r>
      <w:r w:rsidRPr="00560F22">
        <w:rPr>
          <w:rFonts w:ascii="仿宋" w:eastAsia="仿宋" w:hAnsi="仿宋" w:cs="仿宋" w:hint="eastAsia"/>
          <w:sz w:val="28"/>
          <w:szCs w:val="20"/>
        </w:rPr>
        <w:t>容包括售后服务方式、人员配置、服务期限、故障响应及维修时间、零配件供应方式等情况。设备供应商服务时间应为7×24小时。质保期过后，设备供应商仍有义务提供技术服务（包括提供设备维护、备件等）。</w:t>
      </w:r>
    </w:p>
    <w:p w:rsidR="00FE0ED9" w:rsidRPr="00560F22">
      <w:pPr>
        <w:ind w:firstLine="560" w:firstLineChars="200"/>
        <w:rPr>
          <w:rFonts w:ascii="仿宋" w:eastAsia="仿宋" w:hAnsi="仿宋" w:cs="仿宋"/>
          <w:b/>
          <w:bCs/>
          <w:sz w:val="28"/>
          <w:szCs w:val="20"/>
        </w:rPr>
      </w:pPr>
      <w:r w:rsidRPr="00560F22">
        <w:rPr>
          <w:rFonts w:ascii="仿宋" w:eastAsia="仿宋" w:hAnsi="仿宋" w:cs="仿宋" w:hint="eastAsia"/>
          <w:b/>
          <w:bCs/>
          <w:sz w:val="28"/>
          <w:szCs w:val="20"/>
        </w:rPr>
        <w:t>9.6工程进度</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（1）合同签订后根据招标人的要求安排发货。</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（2）设备到达安装现场后，收到招标人通知五日内到达现场， 完成设备的安装、调测以及供电系统的联调工作。</w:t>
      </w:r>
    </w:p>
    <w:p w:rsidR="00FE0ED9" w:rsidRPr="00560F22">
      <w:pPr>
        <w:ind w:firstLine="560" w:firstLineChars="200"/>
        <w:rPr>
          <w:rFonts w:ascii="仿宋" w:eastAsia="仿宋" w:hAnsi="仿宋" w:cs="仿宋"/>
          <w:sz w:val="28"/>
          <w:szCs w:val="20"/>
        </w:rPr>
      </w:pPr>
      <w:r w:rsidRPr="00560F22">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rPr>
              <w:t>投标的货物</w:t>
            </w:r>
            <w:r>
              <w:rPr>
                <w:rFonts w:ascii="宋体" w:hAnsi="宋体" w:cs="微软雅黑" w:hint="eastAsia"/>
                <w:b/>
                <w:color w:val="0000FF"/>
                <w:kern w:val="0"/>
                <w:sz w:val="18"/>
                <w:szCs w:val="18"/>
                <w:lang w:eastAsia="zh-CN"/>
              </w:rPr>
              <w:t>（</w:t>
            </w:r>
            <w:r>
              <w:rPr>
                <w:rFonts w:ascii="宋体" w:hAnsi="宋体" w:cs="微软雅黑" w:hint="eastAsia"/>
                <w:b/>
                <w:color w:val="0000FF"/>
                <w:kern w:val="0"/>
                <w:sz w:val="18"/>
                <w:szCs w:val="18"/>
                <w:highlight w:val="none"/>
                <w:lang w:val="en-US" w:eastAsia="zh-CN"/>
              </w:rPr>
              <w:t>涡动梯度观测系统</w:t>
            </w:r>
            <w:r>
              <w:rPr>
                <w:rFonts w:ascii="宋体" w:hAnsi="宋体" w:cs="微软雅黑" w:hint="eastAsia"/>
                <w:b/>
                <w:color w:val="0000FF"/>
                <w:kern w:val="0"/>
                <w:sz w:val="18"/>
                <w:szCs w:val="18"/>
                <w:lang w:eastAsia="zh-CN"/>
              </w:rPr>
              <w:t>）</w:t>
            </w:r>
            <w:r>
              <w:rPr>
                <w:rFonts w:ascii="宋体" w:hAnsi="宋体" w:cs="微软雅黑" w:hint="eastAsia"/>
                <w:b/>
                <w:color w:val="0000FF"/>
                <w:kern w:val="0"/>
                <w:sz w:val="18"/>
                <w:szCs w:val="18"/>
              </w:rPr>
              <w:t>需要提供至投标截止日仍有效的《气象专用技术装备使用许可证》。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第七章</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rPr>
              <w:t>设备供应商对所有设备提供自验收合格后8年的质保服务，需提供设备质保承诺函原件（格式自拟）</w:t>
            </w:r>
            <w:r>
              <w:rPr>
                <w:rFonts w:ascii="宋体" w:hAnsi="宋体" w:cs="微软雅黑" w:hint="eastAsia"/>
                <w:b/>
                <w:color w:val="0000FF"/>
                <w:kern w:val="0"/>
                <w:sz w:val="18"/>
                <w:szCs w:val="18"/>
                <w:lang w:eastAsia="zh-CN"/>
              </w:rPr>
              <w:t>，采购设备自验收合格后4G通信模块以及摄像头内部的4G通信模块8年数据流量费由中标人承担，并提供承诺函原件扫描件。</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1、合同生效后付款：双方签署合同后15个工作日内，乙方向甲方开具合同总金额的</w:t>
      </w:r>
      <w:r>
        <w:rPr>
          <w:rFonts w:ascii="宋体" w:hAnsi="宋体" w:hint="eastAsia"/>
          <w:szCs w:val="21"/>
          <w:highlight w:val="none"/>
          <w:u w:val="single"/>
          <w:lang w:val="en-US" w:eastAsia="zh-CN"/>
        </w:rPr>
        <w:t>6</w:t>
      </w:r>
      <w:r>
        <w:rPr>
          <w:rFonts w:ascii="宋体" w:hAnsi="宋体" w:hint="eastAsia"/>
          <w:szCs w:val="21"/>
          <w:highlight w:val="none"/>
          <w:u w:val="single"/>
        </w:rPr>
        <w:t>0%</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      元（小写）的有效发票，甲方在收到发票后15个工作日内向乙方支付；2、</w:t>
      </w:r>
      <w:r>
        <w:rPr>
          <w:rFonts w:ascii="宋体" w:hAnsi="宋体" w:hint="eastAsia"/>
          <w:szCs w:val="21"/>
          <w:highlight w:val="none"/>
          <w:u w:val="single"/>
          <w:lang w:val="en-US" w:eastAsia="zh-CN"/>
        </w:rPr>
        <w:t>乙方出具项目设计方案后付款</w:t>
      </w:r>
      <w:r>
        <w:rPr>
          <w:rFonts w:ascii="宋体" w:hAnsi="宋体" w:hint="eastAsia"/>
          <w:szCs w:val="21"/>
          <w:highlight w:val="none"/>
          <w:u w:val="single"/>
        </w:rPr>
        <w:t>：</w:t>
      </w:r>
      <w:r>
        <w:rPr>
          <w:rFonts w:ascii="宋体" w:hAnsi="宋体" w:hint="eastAsia"/>
          <w:szCs w:val="21"/>
          <w:highlight w:val="none"/>
          <w:u w:val="single"/>
          <w:lang w:val="en-US" w:eastAsia="zh-CN"/>
        </w:rPr>
        <w:t>乙方向甲方交付项目设计方案后</w:t>
      </w:r>
      <w:r>
        <w:rPr>
          <w:rFonts w:ascii="宋体" w:hAnsi="宋体" w:hint="eastAsia"/>
          <w:szCs w:val="21"/>
          <w:highlight w:val="none"/>
          <w:u w:val="single"/>
        </w:rPr>
        <w:t>7个工作日内，乙方向甲方开具合同总金额的</w:t>
      </w:r>
      <w:r>
        <w:rPr>
          <w:rFonts w:ascii="宋体" w:hAnsi="宋体" w:hint="eastAsia"/>
          <w:szCs w:val="21"/>
          <w:highlight w:val="none"/>
          <w:u w:val="single"/>
          <w:lang w:val="en-US" w:eastAsia="zh-CN"/>
        </w:rPr>
        <w:t>35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元（小写）的有效发票，甲方在收到发票后15个工作日内向乙方支付。 </w:t>
      </w:r>
      <w:r>
        <w:rPr>
          <w:rFonts w:ascii="宋体" w:hAnsi="宋体" w:hint="eastAsia"/>
          <w:szCs w:val="21"/>
          <w:highlight w:val="none"/>
          <w:u w:val="single"/>
          <w:lang w:val="en-US" w:eastAsia="zh-CN"/>
        </w:rPr>
        <w:t>3</w:t>
      </w:r>
      <w:r>
        <w:rPr>
          <w:rFonts w:ascii="宋体" w:hAnsi="宋体" w:hint="eastAsia"/>
          <w:szCs w:val="21"/>
          <w:highlight w:val="none"/>
          <w:u w:val="single"/>
        </w:rPr>
        <w:t>、到货、检验后付款：双方签署到货验收报告后7个工作日内，乙方向甲方开具合同总金额的</w:t>
      </w:r>
      <w:r>
        <w:rPr>
          <w:rFonts w:ascii="宋体" w:hAnsi="宋体" w:hint="eastAsia"/>
          <w:szCs w:val="21"/>
          <w:highlight w:val="none"/>
          <w:u w:val="single"/>
          <w:lang w:val="en-US" w:eastAsia="zh-CN"/>
        </w:rPr>
        <w:t>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即人民币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元（小写）的有效发票，甲方在收到发票后15个工作日内向乙方支付。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ind w:left="877" w:hanging="440" w:leftChars="208" w:hangingChars="200"/>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以支票、汇票、本票或者金融机构、担保机构出具的保函等非现金形式提交。</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合同总金额</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w:t>
      </w:r>
      <w:r>
        <w:rPr>
          <w:rFonts w:ascii="宋体" w:eastAsia="宋体" w:hAnsi="宋体" w:cs="宋体" w:hint="eastAsia"/>
          <w:bCs/>
          <w:sz w:val="21"/>
          <w:highlight w:val="none"/>
          <w:u w:val="single"/>
          <w:lang w:eastAsia="zh-CN"/>
        </w:rPr>
        <w:t>。</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自合同生效之日起至设备质保结束止（保函有效期：自开具之日起2年，乙方履约保函到期前乙方重新开具为期2年的履约保函进行替换，直至质保期满。乙方应保证履约保函在合同规定的有效期内持续有效）。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4"/>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0F22"/>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4FD6"/>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0ED9"/>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paragraph" w:customStyle="1" w:styleId="W">
    <w:name w:val="W表内"/>
    <w:basedOn w:val="Normal"/>
    <w:qFormat/>
    <w:pPr>
      <w:spacing w:line="240" w:lineRule="atLeast"/>
      <w:jc w:val="center"/>
    </w:pPr>
    <w:rPr>
      <w:rFonts w:eastAsia="仿宋_GB2312"/>
      <w:sz w:val="24"/>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