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甘肃省人工影响天气办公室人雨弹项目（第二批）</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ZQCD-26137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甘肃省人工影响天气办公室</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甘肃省人工影响天气办公室人雨弹项目（第二批）</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ZQCD-26137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合同签订后30天内完成交货验收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甘肃省兰州市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2026年07月07日 00:00:00</w:t>
      </w:r>
      <w:bookmarkEnd w:id="26"/>
      <w:r>
        <w:rPr>
          <w:rFonts w:ascii="宋体" w:hint="eastAsia"/>
          <w:szCs w:val="21"/>
          <w:highlight w:val="none"/>
        </w:rPr>
        <w:t>至</w:t>
      </w:r>
      <w:bookmarkStart w:id="27" w:name="项目公告_signUpLastTime"/>
      <w:r>
        <w:rPr>
          <w:rFonts w:ascii="宋体" w:hint="eastAsia"/>
          <w:szCs w:val="21"/>
          <w:highlight w:val="none"/>
        </w:rPr>
        <w:t>2026年07月15日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2026年07月28日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甘肃省人工影响天气办公室</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刘莹</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0931-2402980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甘肃省兰州市榆中县和平镇和平大道7号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甘肃省人工影响天气办公室</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不允许（仅针对以下产品：增雨防雹弹不允许代理商投标）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（1）标的：人雨弹    ，属于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306.520000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306.520000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3"/>
        <w:gridCol w:w="283"/>
        <w:gridCol w:w="1442"/>
        <w:gridCol w:w="283"/>
        <w:gridCol w:w="68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(4)</w:t>
            </w:r>
          </w:p>
        </w:tc>
        <w:tc>
          <w:tcPr/>
          <w:p>
            <w:r>
              <w:t>评审标准：</w:t>
            </w:r>
          </w:p>
          <w:p>
            <w:r>
              <w:t xml:space="preserve">1、投标人提供具有有效内的军方颁发的“装备承制单位资格证书”得2分，否则不得分； </w:t>
              <w:cr/>
              <w:t>2、提供生产厂家的武器装备质量体系认证证书，得2分。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销售合同必须包括增雨防雹弹，每提供1份合同得1分，最多得5分。否则不得分。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安全稳定性</w:t>
            </w:r>
          </w:p>
        </w:tc>
        <w:tc>
          <w:tcPr/>
          <w:p>
            <w:r>
              <w:t>勾选打分</w:t>
            </w:r>
            <w:r>
              <w:t>(3)</w:t>
            </w:r>
          </w:p>
        </w:tc>
        <w:tc>
          <w:tcPr/>
          <w:p>
            <w:r>
              <w:t>评审标准：</w:t>
            </w:r>
          </w:p>
          <w:p>
            <w:r>
              <w:t>提供2024年1月1日至投标截止日投标产品质量稳定无安全事故证明，得3分，否则不得分。</w:t>
            </w:r>
          </w:p>
          <w:p>
            <w:r>
              <w:t>评审标准说明：</w:t>
            </w:r>
          </w:p>
          <w:p>
            <w:r>
              <w:t>须提供相关证明复印件，并加盖公章。</w:t>
            </w:r>
          </w:p>
          <w:p/>
        </w:tc>
      </w:tr>
      <w:tr>
        <w:tblPrEx>
          <w:tblW w:w="5000" w:type="pct"/>
          <w:tblCellMar>
            <w:left w:w="108" w:type="dxa"/>
            <w:right w:w="108" w:type="dxa"/>
          </w:tblCellMar>
        </w:tblPrEx>
        <w:tc>
          <w:tcPr/>
          <w:p>
            <w:r>
              <w:t>5</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6</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7</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一档：未提供承培训方案；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交货期保证（客观分）</w:t>
            </w:r>
          </w:p>
        </w:tc>
        <w:tc>
          <w:tcPr/>
          <w:p>
            <w:r>
              <w:t>勾选打分</w:t>
            </w:r>
            <w:r>
              <w:t>(1)</w:t>
            </w:r>
          </w:p>
        </w:tc>
        <w:tc>
          <w:tcPr/>
          <w:p>
            <w:r>
              <w:t>评审标准：</w:t>
            </w:r>
          </w:p>
          <w:p>
            <w:r>
              <w:t>针对本项目采购的增雨防雹弹，承诺每提前3天交货的得1分，最多得1分。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9</w:t>
            </w:r>
          </w:p>
        </w:tc>
        <w:tc>
          <w:tcPr>
            <w:vMerge/>
          </w:tcPr>
          <w:p>
            <w:r>
              <w:t>服务部分</w:t>
            </w:r>
          </w:p>
        </w:tc>
        <w:tc>
          <w:tcPr/>
          <w:p>
            <w:r>
              <w:t>用户满意度证明（客观分）</w:t>
            </w:r>
          </w:p>
        </w:tc>
        <w:tc>
          <w:tcPr/>
          <w:p>
            <w:r>
              <w:t>勾选打分</w:t>
            </w:r>
            <w:r>
              <w:t>(2)</w:t>
            </w:r>
          </w:p>
        </w:tc>
        <w:tc>
          <w:tcPr/>
          <w:p>
            <w:r>
              <w:t>评审标准：</w:t>
            </w:r>
          </w:p>
          <w:p>
            <w:r>
              <w:t>针对增雨防雹弹，每提供1份用户满意度证明材料得1分，最多得2分。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(28)</w:t>
            </w:r>
          </w:p>
        </w:tc>
        <w:tc>
          <w:tcPr/>
          <w:p>
            <w:r>
              <w:t>评审标准：</w:t>
            </w:r>
          </w:p>
          <w:p>
            <w:r>
              <w:t>招标文件第七章技术性能指标中，标注#的重要指标共10项，每满足1项得1.5分，未标注#的指标共13项（除单发炮弹弹丸最大破片和炮弹引信瞎火率），每满足1项得1分，共28分。</w:t>
            </w:r>
          </w:p>
          <w:p>
            <w:r>
              <w:t>评审标准说明：</w:t>
            </w:r>
          </w:p>
          <w:p>
            <w:r>
              <w:t>需提供技术文档。响应且满足招标文件第七章详细技术性能指标要求的重要指标需提供加盖投标人公章的证明材料。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(4)</w:t>
            </w:r>
          </w:p>
        </w:tc>
        <w:tc>
          <w:tcPr/>
          <w:p>
            <w:r>
              <w:t>评审标准：</w:t>
            </w:r>
          </w:p>
          <w:p>
            <w:r>
              <w:t>一档0分</w:t>
              <w:cr/>
              <w:t>二档1分</w:t>
              <w:cr/>
              <w:t>三档2分</w:t>
              <w:cr/>
              <w:t>四档4分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根据投标人提供的能证明投标产品技术性能的证明材料（如第三方测试报告、产品说明等），由评审委员会根据技术性能指标，主观综合评判。</w:t>
              <w:cr/>
              <w:t>一档：未提供或者投标产品综合技术性能不能满足采购文件要求。</w:t>
              <w:cr/>
              <w:t>二档：投标产品综合技术性能满足采购文件基本要求。</w:t>
              <w:cr/>
              <w:t>三档：投标产品综合技术性能满足且部分优于采购文件要求。</w:t>
              <w:cr/>
              <w:t>四档：投标产品综合技术性能满足且总体上优于采购文件要求。</w:t>
            </w:r>
          </w:p>
          <w:p/>
        </w:tc>
      </w:tr>
      <w:tr>
        <w:tblPrEx>
          <w:tblW w:w="5000" w:type="pct"/>
          <w:tblCellMar>
            <w:left w:w="108" w:type="dxa"/>
            <w:right w:w="108" w:type="dxa"/>
          </w:tblCellMar>
        </w:tblPrEx>
        <w:tc>
          <w:tcPr/>
          <w:p>
            <w:r>
              <w:t>13</w:t>
            </w:r>
          </w:p>
        </w:tc>
        <w:tc>
          <w:tcPr>
            <w:vMerge/>
          </w:tcPr>
          <w:p>
            <w:r>
              <w:t>技术部分</w:t>
            </w:r>
          </w:p>
        </w:tc>
        <w:tc>
          <w:tcPr/>
          <w:p>
            <w:r>
              <w:t>废旧故障处理承诺（客观分）</w:t>
            </w:r>
          </w:p>
        </w:tc>
        <w:tc>
          <w:tcPr/>
          <w:p>
            <w:r>
              <w:t>勾选打分</w:t>
            </w:r>
            <w:r>
              <w:t>(3)</w:t>
            </w:r>
          </w:p>
        </w:tc>
        <w:tc>
          <w:tcPr/>
          <w:p>
            <w:r>
              <w:t>评审标准：</w:t>
            </w:r>
          </w:p>
          <w:p>
            <w:r>
              <w:t>每提供一项承诺得1分，最高得3分</w:t>
            </w:r>
          </w:p>
          <w:p>
            <w:r>
              <w:t>评审标准说明：</w:t>
            </w:r>
          </w:p>
          <w:p>
            <w:r>
              <w:t>1.承诺能够每5年（无废旧故障弹产生年份除外）进行一次废旧故障弹药回收（此费用包含总价中）。</w:t>
              <w:cr/>
              <w:t>2.承诺由弹药生产厂家负责废旧弹药的全省运输回收事宜，不得指定回收地点和方式。</w:t>
              <w:cr/>
              <w:t>3.承诺除免费回收之外，特殊情况下，有能力按要求进行废旧故障弹药的有偿回收。</w:t>
            </w:r>
          </w:p>
          <w:p/>
        </w:tc>
      </w:tr>
      <w:tr>
        <w:tblPrEx>
          <w:tblW w:w="5000" w:type="pct"/>
          <w:tblCellMar>
            <w:left w:w="108" w:type="dxa"/>
            <w:right w:w="108" w:type="dxa"/>
          </w:tblCellMar>
        </w:tblPrEx>
        <w:tc>
          <w:tcPr/>
          <w:p>
            <w:r>
              <w:t>14</w:t>
            </w:r>
          </w:p>
        </w:tc>
        <w:tc>
          <w:tcPr>
            <w:vMerge/>
          </w:tcPr>
          <w:p>
            <w:r>
              <w:t>技术部分</w:t>
            </w:r>
          </w:p>
        </w:tc>
        <w:tc>
          <w:tcPr/>
          <w:p>
            <w:r>
              <w:t>单发炮弹弹丸最大破片和炮弹引信瞎火率要求（客观分）</w:t>
            </w:r>
          </w:p>
        </w:tc>
        <w:tc>
          <w:tcPr/>
          <w:p>
            <w:r>
              <w:t>区间打分</w:t>
            </w:r>
            <w:r>
              <w:t>(10)</w:t>
            </w:r>
          </w:p>
        </w:tc>
        <w:tc>
          <w:tcPr/>
          <w:p>
            <w:r>
              <w:t>评审标准：</w:t>
            </w:r>
          </w:p>
          <w:p>
            <w:r>
              <w:t>1.单发炮弹弹丸最大破片达到A级得5分，达到B级得3分，达到C级得1分。</w:t>
              <w:cr/>
              <w:t>2.炮弹引信瞎火率达到A级得5分，达到B级得3分，达到C级得1分。</w:t>
            </w:r>
          </w:p>
          <w:p>
            <w:r>
              <w:t>评审标准说明：</w:t>
            </w:r>
          </w:p>
          <w:p>
            <w:r>
              <w:t>提供加盖投标人公章的证明材料。</w:t>
            </w:r>
          </w:p>
          <w:p/>
        </w:tc>
      </w:tr>
    </w:tbl>
    <w:p w:rsidR="00A77B3E">
      <w:r>
        <w:t xml:space="preserve">      </w:t>
      </w:r>
    </w:p>
    <w:p w:rsidR="00A77B3E"/>
    <w:p w:rsidR="00A77B3E">
      <w:bookmarkEnd w:id="58"/>
    </w:p>
    <w:p w:rsidR="00FF65EE" w:rsidP="0059381D">
      <w:pPr>
        <w:spacing w:before="156" w:beforeLines="50" w:line="560" w:lineRule="exact"/>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FF65EE">
      <w:pPr>
        <w:spacing w:line="560" w:lineRule="exact"/>
        <w:ind w:firstLine="420" w:firstLineChars="200"/>
        <w:rPr>
          <w:rFonts w:ascii="宋体" w:hAnsi="宋体"/>
          <w:szCs w:val="21"/>
        </w:rPr>
      </w:pPr>
      <w:r>
        <w:rPr>
          <w:rFonts w:ascii="宋体" w:hAnsi="宋体" w:hint="eastAsia"/>
          <w:szCs w:val="21"/>
        </w:rPr>
        <w:t>一、项目概况及总体要求</w:t>
      </w:r>
    </w:p>
    <w:p w:rsidR="00FF65EE">
      <w:pPr>
        <w:spacing w:line="560" w:lineRule="exact"/>
        <w:ind w:firstLine="420" w:firstLineChars="200"/>
        <w:rPr>
          <w:rFonts w:ascii="宋体" w:hAnsi="宋体"/>
          <w:szCs w:val="21"/>
        </w:rPr>
      </w:pPr>
      <w:r>
        <w:rPr>
          <w:rFonts w:ascii="宋体" w:hAnsi="宋体" w:hint="eastAsia"/>
          <w:szCs w:val="21"/>
        </w:rPr>
        <w:t>本项目所招产品为我省人工增雨防雹用</w:t>
      </w:r>
      <w:r>
        <w:rPr>
          <w:rFonts w:ascii="宋体" w:hAnsi="宋体" w:hint="eastAsia"/>
          <w:szCs w:val="21"/>
        </w:rPr>
        <w:t xml:space="preserve"> 37mm </w:t>
      </w:r>
      <w:r>
        <w:rPr>
          <w:rFonts w:ascii="宋体" w:hAnsi="宋体" w:hint="eastAsia"/>
          <w:szCs w:val="21"/>
        </w:rPr>
        <w:t>人工防雹增雨弹，根据中国气象局关于人工影响天气作业的安全管理要求，本项目所招产品必须完全满足</w:t>
      </w:r>
      <w:r>
        <w:rPr>
          <w:rFonts w:ascii="宋体" w:hAnsi="宋体" w:hint="eastAsia"/>
          <w:szCs w:val="21"/>
        </w:rPr>
        <w:t xml:space="preserve"> 1</w:t>
      </w:r>
      <w:r>
        <w:rPr>
          <w:rFonts w:ascii="宋体" w:hAnsi="宋体" w:hint="eastAsia"/>
          <w:szCs w:val="21"/>
        </w:rPr>
        <w:t>、弹药符合气象行业标准《增雨防雹高炮系统技术要求》（</w:t>
      </w:r>
      <w:r>
        <w:rPr>
          <w:rFonts w:ascii="宋体" w:hAnsi="宋体" w:hint="eastAsia"/>
          <w:szCs w:val="21"/>
        </w:rPr>
        <w:t>QX/T 358-2016</w:t>
      </w:r>
      <w:r>
        <w:rPr>
          <w:rFonts w:ascii="宋体" w:hAnsi="宋体" w:hint="eastAsia"/>
          <w:szCs w:val="21"/>
        </w:rPr>
        <w:t>）中对弹药的标准要求。</w:t>
      </w:r>
      <w:r>
        <w:rPr>
          <w:rFonts w:ascii="宋体" w:hAnsi="宋体" w:hint="eastAsia"/>
          <w:szCs w:val="21"/>
        </w:rPr>
        <w:t>2</w:t>
      </w:r>
      <w:r>
        <w:rPr>
          <w:rFonts w:ascii="宋体" w:hAnsi="宋体" w:hint="eastAsia"/>
          <w:szCs w:val="21"/>
        </w:rPr>
        <w:t>、产品能够正常使用</w:t>
      </w:r>
      <w:r>
        <w:rPr>
          <w:rFonts w:ascii="宋体" w:hAnsi="宋体" w:hint="eastAsia"/>
          <w:szCs w:val="21"/>
        </w:rPr>
        <w:t>国家局物联网</w:t>
      </w:r>
      <w:r>
        <w:rPr>
          <w:rFonts w:ascii="宋体" w:hAnsi="宋体" w:hint="eastAsia"/>
          <w:szCs w:val="21"/>
        </w:rPr>
        <w:t>系统相关操作。</w:t>
      </w:r>
    </w:p>
    <w:p w:rsidR="00FF65EE">
      <w:pPr>
        <w:spacing w:line="560" w:lineRule="exact"/>
        <w:ind w:firstLine="420" w:firstLineChars="200"/>
        <w:rPr>
          <w:rFonts w:ascii="宋体" w:hAnsi="宋体"/>
          <w:szCs w:val="21"/>
        </w:rPr>
      </w:pPr>
      <w:r>
        <w:rPr>
          <w:rFonts w:ascii="宋体" w:hAnsi="宋体" w:hint="eastAsia"/>
          <w:szCs w:val="21"/>
        </w:rPr>
        <w:t>二、设备需求一览表（见第七章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p w:rsidR="00FF65EE">
      <w:pPr>
        <w:spacing w:line="560" w:lineRule="exact"/>
        <w:ind w:firstLine="420" w:firstLineChars="200"/>
        <w:rPr>
          <w:rFonts w:ascii="宋体" w:hAnsi="宋体"/>
          <w:szCs w:val="21"/>
        </w:rPr>
      </w:pPr>
      <w:r>
        <w:rPr>
          <w:rFonts w:ascii="宋体" w:hAnsi="宋体" w:hint="eastAsia"/>
          <w:szCs w:val="21"/>
        </w:rPr>
        <w:t>三、技术性能指标</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1.</w:t>
      </w:r>
      <w:r>
        <w:rPr>
          <w:rFonts w:asciiTheme="minorEastAsia" w:hAnsiTheme="minorEastAsia" w:cstheme="minorEastAsia" w:hint="eastAsia"/>
          <w:szCs w:val="21"/>
        </w:rPr>
        <w:t>全弹外观</w:t>
      </w:r>
      <w:r>
        <w:rPr>
          <w:rFonts w:asciiTheme="minorEastAsia" w:hAnsiTheme="minorEastAsia" w:cstheme="minorEastAsia" w:hint="eastAsia"/>
          <w:szCs w:val="21"/>
        </w:rPr>
        <w:t>、尺寸应满足被考核产品的技术要求。尺寸</w:t>
      </w:r>
      <w:r>
        <w:rPr>
          <w:rFonts w:asciiTheme="minorEastAsia" w:hAnsiTheme="minorEastAsia" w:cstheme="minorEastAsia" w:hint="eastAsia"/>
          <w:szCs w:val="21"/>
        </w:rPr>
        <w:t xml:space="preserve"> (</w:t>
      </w:r>
      <w:r>
        <w:rPr>
          <w:rFonts w:asciiTheme="minorEastAsia" w:hAnsiTheme="minorEastAsia" w:cstheme="minorEastAsia" w:hint="eastAsia"/>
          <w:szCs w:val="21"/>
        </w:rPr>
        <w:t>弹径×弹长</w:t>
      </w:r>
      <w:r>
        <w:rPr>
          <w:rFonts w:asciiTheme="minorEastAsia" w:hAnsiTheme="minorEastAsia" w:cstheme="minorEastAsia" w:hint="eastAsia"/>
          <w:szCs w:val="21"/>
        </w:rPr>
        <w:t>)37mm</w:t>
      </w:r>
      <w:r>
        <w:rPr>
          <w:rFonts w:asciiTheme="minorEastAsia" w:hAnsiTheme="minorEastAsia" w:cstheme="minorEastAsia" w:hint="eastAsia"/>
          <w:szCs w:val="21"/>
        </w:rPr>
        <w:t>×</w:t>
      </w:r>
      <w:r>
        <w:rPr>
          <w:rFonts w:asciiTheme="minorEastAsia" w:hAnsiTheme="minorEastAsia" w:cstheme="minorEastAsia" w:hint="eastAsia"/>
          <w:szCs w:val="21"/>
        </w:rPr>
        <w:t>(382</w:t>
      </w:r>
      <w:r>
        <w:rPr>
          <w:rFonts w:asciiTheme="minorEastAsia" w:hAnsiTheme="minorEastAsia" w:cstheme="minorEastAsia" w:hint="eastAsia"/>
          <w:szCs w:val="21"/>
        </w:rPr>
        <w:t>～</w:t>
      </w:r>
      <w:r>
        <w:rPr>
          <w:rFonts w:asciiTheme="minorEastAsia" w:hAnsiTheme="minorEastAsia" w:cstheme="minorEastAsia" w:hint="eastAsia"/>
          <w:szCs w:val="21"/>
        </w:rPr>
        <w:t>386)mm</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质量：</w:t>
      </w:r>
      <w:r>
        <w:rPr>
          <w:rFonts w:asciiTheme="minorEastAsia" w:hAnsiTheme="minorEastAsia" w:cstheme="minorEastAsia" w:hint="eastAsia"/>
          <w:szCs w:val="21"/>
        </w:rPr>
        <w:t>1.15</w:t>
      </w:r>
      <w:r>
        <w:rPr>
          <w:rFonts w:asciiTheme="minorEastAsia" w:hAnsiTheme="minorEastAsia" w:cstheme="minorEastAsia" w:hint="eastAsia"/>
          <w:szCs w:val="21"/>
        </w:rPr>
        <w:t>～</w:t>
      </w:r>
      <w:r>
        <w:rPr>
          <w:rFonts w:asciiTheme="minorEastAsia" w:hAnsiTheme="minorEastAsia" w:cstheme="minorEastAsia" w:hint="eastAsia"/>
          <w:szCs w:val="21"/>
        </w:rPr>
        <w:t>1.4 kg</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2.</w:t>
      </w:r>
      <w:r>
        <w:rPr>
          <w:rFonts w:asciiTheme="minorEastAsia" w:hAnsiTheme="minorEastAsia" w:cstheme="minorEastAsia" w:hint="eastAsia"/>
          <w:szCs w:val="21"/>
        </w:rPr>
        <w:t>炮弹的标识应清晰可辨，外表面应清洁、完好。</w:t>
      </w:r>
    </w:p>
    <w:p w:rsidR="00FF65EE">
      <w:pPr>
        <w:pStyle w:val="ListParagraph"/>
        <w:spacing w:line="560" w:lineRule="exact"/>
        <w:ind w:left="420" w:firstLine="0" w:leftChars="200" w:firstLineChars="0"/>
        <w:rPr>
          <w:rFonts w:asciiTheme="minorEastAsia" w:hAnsiTheme="minorEastAsia" w:cstheme="minorEastAsia"/>
          <w:szCs w:val="21"/>
        </w:rPr>
      </w:pPr>
      <w:r>
        <w:rPr>
          <w:rFonts w:ascii="宋体" w:eastAsia="宋体" w:hAnsi="Times New Roman" w:cs="Times New Roman"/>
          <w:color w:val="EE0000"/>
          <w:kern w:val="0"/>
          <w:szCs w:val="21"/>
        </w:rPr>
        <w:t>#</w:t>
      </w:r>
      <w:r>
        <w:rPr>
          <w:rFonts w:asciiTheme="minorEastAsia" w:hAnsiTheme="minorEastAsia" w:cstheme="minorEastAsia" w:hint="eastAsia"/>
          <w:szCs w:val="21"/>
        </w:rPr>
        <w:t>3.</w:t>
      </w:r>
      <w:r>
        <w:rPr>
          <w:rFonts w:asciiTheme="minorEastAsia" w:hAnsiTheme="minorEastAsia" w:cstheme="minorEastAsia" w:hint="eastAsia"/>
          <w:szCs w:val="21"/>
        </w:rPr>
        <w:t>炮弹的有效作用高度应为</w:t>
      </w:r>
      <w:r>
        <w:rPr>
          <w:rFonts w:asciiTheme="minorEastAsia" w:hAnsiTheme="minorEastAsia" w:cstheme="minorEastAsia" w:hint="eastAsia"/>
          <w:szCs w:val="21"/>
        </w:rPr>
        <w:t xml:space="preserve"> 3000 m</w:t>
      </w:r>
      <w:r>
        <w:rPr>
          <w:rFonts w:asciiTheme="minorEastAsia" w:hAnsiTheme="minorEastAsia" w:cstheme="minorEastAsia" w:hint="eastAsia"/>
          <w:szCs w:val="21"/>
        </w:rPr>
        <w:t>～</w:t>
      </w:r>
      <w:r>
        <w:rPr>
          <w:rFonts w:asciiTheme="minorEastAsia" w:hAnsiTheme="minorEastAsia" w:cstheme="minorEastAsia" w:hint="eastAsia"/>
          <w:szCs w:val="21"/>
        </w:rPr>
        <w:t>6500 m</w:t>
      </w:r>
      <w:r>
        <w:rPr>
          <w:rFonts w:asciiTheme="minorEastAsia" w:hAnsiTheme="minorEastAsia" w:cstheme="minorEastAsia" w:hint="eastAsia"/>
          <w:szCs w:val="21"/>
        </w:rPr>
        <w:t>。</w:t>
      </w:r>
    </w:p>
    <w:p w:rsidR="00FF65EE">
      <w:pPr>
        <w:pStyle w:val="ListParagraph"/>
        <w:spacing w:line="560" w:lineRule="exact"/>
        <w:ind w:left="420" w:firstLine="0" w:leftChars="200" w:firstLineChars="0"/>
        <w:rPr>
          <w:rFonts w:asciiTheme="minorEastAsia" w:hAnsiTheme="minorEastAsia" w:cstheme="minorEastAsia"/>
          <w:szCs w:val="21"/>
        </w:rPr>
      </w:pPr>
      <w:r>
        <w:rPr>
          <w:rFonts w:ascii="宋体" w:eastAsia="宋体" w:hAnsi="Times New Roman" w:cs="Times New Roman"/>
          <w:color w:val="EE0000"/>
          <w:kern w:val="0"/>
          <w:szCs w:val="21"/>
        </w:rPr>
        <w:t>#</w:t>
      </w:r>
      <w:r>
        <w:rPr>
          <w:rFonts w:asciiTheme="minorEastAsia" w:hAnsiTheme="minorEastAsia" w:cstheme="minorEastAsia" w:hint="eastAsia"/>
          <w:szCs w:val="21"/>
        </w:rPr>
        <w:t>4.</w:t>
      </w:r>
      <w:r>
        <w:rPr>
          <w:rFonts w:asciiTheme="minorEastAsia" w:hAnsiTheme="minorEastAsia" w:cstheme="minorEastAsia" w:hint="eastAsia"/>
          <w:szCs w:val="21"/>
        </w:rPr>
        <w:t>炮弹最大射高（射角为</w:t>
      </w:r>
      <w:r>
        <w:rPr>
          <w:rFonts w:asciiTheme="minorEastAsia" w:hAnsiTheme="minorEastAsia" w:cstheme="minorEastAsia" w:hint="eastAsia"/>
          <w:szCs w:val="21"/>
        </w:rPr>
        <w:t xml:space="preserve"> 85</w:t>
      </w:r>
      <w:r>
        <w:rPr>
          <w:rFonts w:asciiTheme="minorEastAsia" w:hAnsiTheme="minorEastAsia" w:cstheme="minorEastAsia" w:hint="eastAsia"/>
          <w:szCs w:val="21"/>
        </w:rPr>
        <w:t>°时）：应不小于</w:t>
      </w:r>
      <w:r>
        <w:rPr>
          <w:rFonts w:asciiTheme="minorEastAsia" w:hAnsiTheme="minorEastAsia" w:cstheme="minorEastAsia" w:hint="eastAsia"/>
          <w:szCs w:val="21"/>
        </w:rPr>
        <w:t xml:space="preserve"> 6700 m</w:t>
      </w:r>
      <w:r>
        <w:rPr>
          <w:rFonts w:asciiTheme="minorEastAsia" w:hAnsiTheme="minorEastAsia" w:cstheme="minorEastAsia" w:hint="eastAsia"/>
          <w:szCs w:val="21"/>
        </w:rPr>
        <w:t>；</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5.</w:t>
      </w:r>
      <w:r>
        <w:rPr>
          <w:rFonts w:asciiTheme="minorEastAsia" w:hAnsiTheme="minorEastAsia" w:cstheme="minorEastAsia" w:hint="eastAsia"/>
          <w:szCs w:val="21"/>
        </w:rPr>
        <w:t>平均初速</w:t>
      </w:r>
      <w:r>
        <w:rPr>
          <w:rFonts w:asciiTheme="minorEastAsia" w:hAnsiTheme="minorEastAsia" w:cstheme="minorEastAsia" w:hint="eastAsia"/>
          <w:szCs w:val="21"/>
        </w:rPr>
        <w:t xml:space="preserve">                </w:t>
      </w:r>
      <w:r>
        <w:rPr>
          <w:rFonts w:asciiTheme="minorEastAsia" w:hAnsiTheme="minorEastAsia" w:cstheme="minorEastAsia" w:hint="eastAsia"/>
          <w:szCs w:val="21"/>
        </w:rPr>
        <w:t>≥</w:t>
      </w:r>
      <w:r>
        <w:rPr>
          <w:rFonts w:asciiTheme="minorEastAsia" w:hAnsiTheme="minorEastAsia" w:cstheme="minorEastAsia" w:hint="eastAsia"/>
          <w:szCs w:val="21"/>
        </w:rPr>
        <w:t>866m/s</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6.</w:t>
      </w:r>
      <w:r>
        <w:rPr>
          <w:rFonts w:asciiTheme="minorEastAsia" w:hAnsiTheme="minorEastAsia" w:cstheme="minorEastAsia" w:hint="eastAsia"/>
          <w:szCs w:val="21"/>
        </w:rPr>
        <w:t>平均膛压</w:t>
      </w:r>
      <w:r>
        <w:rPr>
          <w:rFonts w:asciiTheme="minorEastAsia" w:hAnsiTheme="minorEastAsia" w:cstheme="minorEastAsia" w:hint="eastAsia"/>
          <w:szCs w:val="21"/>
        </w:rPr>
        <w:t xml:space="preserve">                </w:t>
      </w:r>
      <w:r>
        <w:rPr>
          <w:rFonts w:asciiTheme="minorEastAsia" w:hAnsiTheme="minorEastAsia" w:cstheme="minorEastAsia" w:hint="eastAsia"/>
          <w:szCs w:val="21"/>
        </w:rPr>
        <w:t>≤</w:t>
      </w:r>
      <w:r>
        <w:rPr>
          <w:rFonts w:asciiTheme="minorEastAsia" w:hAnsiTheme="minorEastAsia" w:cstheme="minorEastAsia" w:hint="eastAsia"/>
          <w:szCs w:val="21"/>
        </w:rPr>
        <w:t>274.4MPa</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7.</w:t>
      </w:r>
      <w:r>
        <w:rPr>
          <w:rFonts w:asciiTheme="minorEastAsia" w:hAnsiTheme="minorEastAsia" w:cstheme="minorEastAsia" w:hint="eastAsia"/>
          <w:szCs w:val="21"/>
        </w:rPr>
        <w:t>允许单发最大膛压</w:t>
      </w:r>
      <w:r>
        <w:rPr>
          <w:rFonts w:asciiTheme="minorEastAsia" w:hAnsiTheme="minorEastAsia" w:cstheme="minorEastAsia" w:hint="eastAsia"/>
          <w:szCs w:val="21"/>
        </w:rPr>
        <w:t xml:space="preserve">        </w:t>
      </w:r>
      <w:r>
        <w:rPr>
          <w:rFonts w:asciiTheme="minorEastAsia" w:hAnsiTheme="minorEastAsia" w:cstheme="minorEastAsia" w:hint="eastAsia"/>
          <w:szCs w:val="21"/>
        </w:rPr>
        <w:t>≤</w:t>
      </w:r>
      <w:r>
        <w:rPr>
          <w:rFonts w:asciiTheme="minorEastAsia" w:hAnsiTheme="minorEastAsia" w:cstheme="minorEastAsia" w:hint="eastAsia"/>
          <w:szCs w:val="21"/>
        </w:rPr>
        <w:t>294MPa</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8.</w:t>
      </w:r>
      <w:r>
        <w:rPr>
          <w:rFonts w:asciiTheme="minorEastAsia" w:hAnsiTheme="minorEastAsia" w:cstheme="minorEastAsia" w:hint="eastAsia"/>
          <w:szCs w:val="21"/>
        </w:rPr>
        <w:t>催化剂质量</w:t>
      </w:r>
      <w:r>
        <w:rPr>
          <w:rFonts w:asciiTheme="minorEastAsia" w:hAnsiTheme="minorEastAsia" w:cstheme="minorEastAsia" w:hint="eastAsia"/>
          <w:szCs w:val="21"/>
        </w:rPr>
        <w:t xml:space="preserve">              </w:t>
      </w:r>
      <w:r>
        <w:rPr>
          <w:rFonts w:asciiTheme="minorEastAsia" w:hAnsiTheme="minorEastAsia" w:cstheme="minorEastAsia" w:hint="eastAsia"/>
          <w:szCs w:val="21"/>
        </w:rPr>
        <w:t>≈</w:t>
      </w:r>
      <w:r>
        <w:rPr>
          <w:rFonts w:asciiTheme="minorEastAsia" w:hAnsiTheme="minorEastAsia" w:cstheme="minorEastAsia" w:hint="eastAsia"/>
          <w:szCs w:val="21"/>
        </w:rPr>
        <w:t>1g</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9.</w:t>
      </w:r>
      <w:r>
        <w:rPr>
          <w:rFonts w:asciiTheme="minorEastAsia" w:hAnsiTheme="minorEastAsia" w:cstheme="minorEastAsia" w:hint="eastAsia"/>
          <w:szCs w:val="21"/>
        </w:rPr>
        <w:t>引信作用时间</w:t>
      </w:r>
      <w:r>
        <w:rPr>
          <w:rFonts w:asciiTheme="minorEastAsia" w:hAnsiTheme="minorEastAsia" w:cstheme="minorEastAsia" w:hint="eastAsia"/>
          <w:szCs w:val="21"/>
        </w:rPr>
        <w:t xml:space="preserve">            9</w:t>
      </w:r>
      <w:r>
        <w:rPr>
          <w:rFonts w:asciiTheme="minorEastAsia" w:hAnsiTheme="minorEastAsia" w:cstheme="minorEastAsia" w:hint="eastAsia"/>
          <w:szCs w:val="21"/>
        </w:rPr>
        <w:t>～</w:t>
      </w:r>
      <w:r>
        <w:rPr>
          <w:rFonts w:asciiTheme="minorEastAsia" w:hAnsiTheme="minorEastAsia" w:cstheme="minorEastAsia" w:hint="eastAsia"/>
          <w:szCs w:val="21"/>
        </w:rPr>
        <w:t xml:space="preserve">12 </w:t>
      </w:r>
      <w:r>
        <w:rPr>
          <w:rFonts w:asciiTheme="minorEastAsia" w:hAnsiTheme="minorEastAsia" w:cstheme="minorEastAsia" w:hint="eastAsia"/>
          <w:szCs w:val="21"/>
        </w:rPr>
        <w:t>秒或</w:t>
      </w:r>
      <w:r>
        <w:rPr>
          <w:rFonts w:asciiTheme="minorEastAsia" w:hAnsiTheme="minorEastAsia" w:cstheme="minorEastAsia" w:hint="eastAsia"/>
          <w:szCs w:val="21"/>
        </w:rPr>
        <w:t xml:space="preserve"> 13</w:t>
      </w:r>
      <w:r>
        <w:rPr>
          <w:rFonts w:asciiTheme="minorEastAsia" w:hAnsiTheme="minorEastAsia" w:cstheme="minorEastAsia" w:hint="eastAsia"/>
          <w:szCs w:val="21"/>
        </w:rPr>
        <w:t>～</w:t>
      </w:r>
      <w:r>
        <w:rPr>
          <w:rFonts w:asciiTheme="minorEastAsia" w:hAnsiTheme="minorEastAsia" w:cstheme="minorEastAsia" w:hint="eastAsia"/>
          <w:szCs w:val="21"/>
        </w:rPr>
        <w:t xml:space="preserve">17 </w:t>
      </w:r>
      <w:r>
        <w:rPr>
          <w:rFonts w:asciiTheme="minorEastAsia" w:hAnsiTheme="minorEastAsia" w:cstheme="minorEastAsia" w:hint="eastAsia"/>
          <w:szCs w:val="21"/>
        </w:rPr>
        <w:t>秒</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10.</w:t>
      </w:r>
      <w:r>
        <w:rPr>
          <w:rFonts w:asciiTheme="minorEastAsia" w:hAnsiTheme="minorEastAsia" w:cstheme="minorEastAsia" w:hint="eastAsia"/>
          <w:szCs w:val="21"/>
        </w:rPr>
        <w:t>炮口</w:t>
      </w:r>
      <w:r>
        <w:rPr>
          <w:rFonts w:asciiTheme="minorEastAsia" w:hAnsiTheme="minorEastAsia" w:cstheme="minorEastAsia" w:hint="eastAsia"/>
          <w:szCs w:val="21"/>
        </w:rPr>
        <w:t>保险距离</w:t>
      </w:r>
      <w:r>
        <w:rPr>
          <w:rFonts w:asciiTheme="minorEastAsia" w:hAnsiTheme="minorEastAsia" w:cstheme="minorEastAsia" w:hint="eastAsia"/>
          <w:szCs w:val="21"/>
        </w:rPr>
        <w:t xml:space="preserve">            20m</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11.</w:t>
      </w:r>
      <w:r>
        <w:rPr>
          <w:rFonts w:asciiTheme="minorEastAsia" w:hAnsiTheme="minorEastAsia" w:cstheme="minorEastAsia" w:hint="eastAsia"/>
          <w:szCs w:val="21"/>
        </w:rPr>
        <w:t>贮存环境温度</w:t>
      </w:r>
      <w:r>
        <w:rPr>
          <w:rFonts w:asciiTheme="minorEastAsia" w:hAnsiTheme="minorEastAsia" w:cstheme="minorEastAsia" w:hint="eastAsia"/>
          <w:szCs w:val="21"/>
        </w:rPr>
        <w:t xml:space="preserve">            -20</w:t>
      </w:r>
      <w:r>
        <w:rPr>
          <w:rFonts w:asciiTheme="minorEastAsia" w:hAnsiTheme="minorEastAsia" w:cstheme="minorEastAsia" w:hint="eastAsia"/>
          <w:szCs w:val="21"/>
        </w:rPr>
        <w:t>℃</w:t>
      </w:r>
      <w:r>
        <w:rPr>
          <w:rFonts w:asciiTheme="minorEastAsia" w:hAnsiTheme="minorEastAsia" w:cstheme="minorEastAsia" w:hint="eastAsia"/>
          <w:szCs w:val="21"/>
        </w:rPr>
        <w:t>~+50</w:t>
      </w:r>
      <w:r>
        <w:rPr>
          <w:rFonts w:asciiTheme="minorEastAsia" w:hAnsiTheme="minorEastAsia" w:cstheme="minorEastAsia" w:hint="eastAsia"/>
          <w:szCs w:val="21"/>
        </w:rPr>
        <w:t>℃</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12.</w:t>
      </w:r>
      <w:r>
        <w:rPr>
          <w:rFonts w:asciiTheme="minorEastAsia" w:hAnsiTheme="minorEastAsia" w:cstheme="minorEastAsia" w:hint="eastAsia"/>
          <w:szCs w:val="21"/>
        </w:rPr>
        <w:t>使用环境温度</w:t>
      </w:r>
      <w:r>
        <w:rPr>
          <w:rFonts w:asciiTheme="minorEastAsia" w:hAnsiTheme="minorEastAsia" w:cstheme="minorEastAsia" w:hint="eastAsia"/>
          <w:szCs w:val="21"/>
        </w:rPr>
        <w:t xml:space="preserve">            -20</w:t>
      </w:r>
      <w:r>
        <w:rPr>
          <w:rFonts w:asciiTheme="minorEastAsia" w:hAnsiTheme="minorEastAsia" w:cstheme="minorEastAsia" w:hint="eastAsia"/>
          <w:szCs w:val="21"/>
        </w:rPr>
        <w:t>℃</w:t>
      </w:r>
      <w:r>
        <w:rPr>
          <w:rFonts w:asciiTheme="minorEastAsia" w:hAnsiTheme="minorEastAsia" w:cstheme="minorEastAsia" w:hint="eastAsia"/>
          <w:szCs w:val="21"/>
        </w:rPr>
        <w:t>~+50</w:t>
      </w:r>
      <w:r>
        <w:rPr>
          <w:rFonts w:asciiTheme="minorEastAsia" w:hAnsiTheme="minorEastAsia" w:cstheme="minorEastAsia" w:hint="eastAsia"/>
          <w:szCs w:val="21"/>
        </w:rPr>
        <w:t>℃</w:t>
      </w:r>
    </w:p>
    <w:p w:rsidR="00FF65EE">
      <w:pPr>
        <w:pStyle w:val="ListParagraph"/>
        <w:spacing w:line="560" w:lineRule="exact"/>
        <w:ind w:left="420" w:firstLine="0" w:leftChars="200" w:firstLineChars="0"/>
        <w:rPr>
          <w:rFonts w:asciiTheme="minorEastAsia" w:hAnsiTheme="minorEastAsia" w:cstheme="minorEastAsia"/>
          <w:szCs w:val="21"/>
        </w:rPr>
      </w:pPr>
      <w:r>
        <w:rPr>
          <w:rFonts w:ascii="宋体" w:eastAsia="宋体" w:hAnsi="Times New Roman" w:cs="Times New Roman"/>
          <w:color w:val="EE0000"/>
          <w:kern w:val="0"/>
          <w:szCs w:val="21"/>
        </w:rPr>
        <w:t>#</w:t>
      </w:r>
      <w:r>
        <w:rPr>
          <w:rFonts w:asciiTheme="minorEastAsia" w:hAnsiTheme="minorEastAsia" w:cstheme="minorEastAsia" w:hint="eastAsia"/>
          <w:szCs w:val="21"/>
        </w:rPr>
        <w:t>13.</w:t>
      </w:r>
      <w:r>
        <w:rPr>
          <w:rFonts w:asciiTheme="minorEastAsia" w:hAnsiTheme="minorEastAsia" w:cstheme="minorEastAsia" w:hint="eastAsia"/>
          <w:szCs w:val="21"/>
        </w:rPr>
        <w:t>炮弹应具有冗余保险，应至少包括两个独立保险件，其中每一个都应能防止引信意外解除保险，启动这至少两个保险件的激励应从不同的环境获得。</w:t>
      </w:r>
    </w:p>
    <w:p w:rsidR="00FF65EE">
      <w:pPr>
        <w:pStyle w:val="ListParagraph"/>
        <w:spacing w:line="560" w:lineRule="exact"/>
        <w:ind w:left="420" w:firstLine="0" w:leftChars="200" w:firstLineChars="0"/>
        <w:rPr>
          <w:rFonts w:asciiTheme="minorEastAsia" w:hAnsiTheme="minorEastAsia" w:cstheme="minorEastAsia"/>
          <w:szCs w:val="21"/>
        </w:rPr>
      </w:pPr>
      <w:r>
        <w:rPr>
          <w:rFonts w:ascii="宋体" w:eastAsia="宋体" w:hAnsi="Times New Roman" w:cs="Times New Roman"/>
          <w:color w:val="EE0000"/>
          <w:kern w:val="0"/>
          <w:szCs w:val="21"/>
        </w:rPr>
        <w:t>#</w:t>
      </w:r>
      <w:r>
        <w:rPr>
          <w:rFonts w:asciiTheme="minorEastAsia" w:hAnsiTheme="minorEastAsia" w:cstheme="minorEastAsia" w:hint="eastAsia"/>
          <w:szCs w:val="21"/>
        </w:rPr>
        <w:t>14.</w:t>
      </w:r>
      <w:r>
        <w:rPr>
          <w:rFonts w:asciiTheme="minorEastAsia" w:hAnsiTheme="minorEastAsia" w:cstheme="minorEastAsia" w:hint="eastAsia"/>
          <w:szCs w:val="21"/>
        </w:rPr>
        <w:t>炮弹应采用具有延期解除保险功能的隔爆型引信。</w:t>
      </w:r>
    </w:p>
    <w:p w:rsidR="00FF65EE">
      <w:pPr>
        <w:pStyle w:val="ListParagraph"/>
        <w:spacing w:line="560" w:lineRule="exact"/>
        <w:ind w:left="420" w:firstLine="0" w:leftChars="200" w:firstLineChars="0"/>
        <w:rPr>
          <w:rFonts w:asciiTheme="minorEastAsia" w:hAnsiTheme="minorEastAsia" w:cstheme="minorEastAsia"/>
          <w:szCs w:val="21"/>
        </w:rPr>
      </w:pPr>
      <w:r>
        <w:rPr>
          <w:rFonts w:ascii="宋体" w:eastAsia="宋体" w:hAnsi="Times New Roman" w:cs="Times New Roman"/>
          <w:color w:val="EE0000"/>
          <w:kern w:val="0"/>
          <w:szCs w:val="21"/>
        </w:rPr>
        <w:t>#</w:t>
      </w:r>
      <w:r>
        <w:rPr>
          <w:rFonts w:asciiTheme="minorEastAsia" w:hAnsiTheme="minorEastAsia" w:cstheme="minorEastAsia" w:hint="eastAsia"/>
          <w:szCs w:val="21"/>
        </w:rPr>
        <w:t>15.</w:t>
      </w:r>
      <w:r>
        <w:rPr>
          <w:rFonts w:asciiTheme="minorEastAsia" w:hAnsiTheme="minorEastAsia" w:cstheme="minorEastAsia" w:hint="eastAsia"/>
          <w:szCs w:val="21"/>
        </w:rPr>
        <w:t>炮弹引信的</w:t>
      </w:r>
      <w:r>
        <w:rPr>
          <w:rFonts w:asciiTheme="minorEastAsia" w:hAnsiTheme="minorEastAsia" w:cstheme="minorEastAsia" w:hint="eastAsia"/>
          <w:szCs w:val="21"/>
        </w:rPr>
        <w:t>无损落高应</w:t>
      </w:r>
      <w:r>
        <w:rPr>
          <w:rFonts w:asciiTheme="minorEastAsia" w:hAnsiTheme="minorEastAsia" w:cstheme="minorEastAsia" w:hint="eastAsia"/>
          <w:szCs w:val="21"/>
        </w:rPr>
        <w:t>不小于</w:t>
      </w:r>
      <w:r>
        <w:rPr>
          <w:rFonts w:asciiTheme="minorEastAsia" w:hAnsiTheme="minorEastAsia" w:cstheme="minorEastAsia" w:hint="eastAsia"/>
          <w:szCs w:val="21"/>
        </w:rPr>
        <w:t>1.5m</w:t>
      </w:r>
      <w:r>
        <w:rPr>
          <w:rFonts w:asciiTheme="minorEastAsia" w:hAnsiTheme="minorEastAsia" w:cstheme="minorEastAsia" w:hint="eastAsia"/>
          <w:szCs w:val="21"/>
        </w:rPr>
        <w:t>。</w:t>
      </w:r>
    </w:p>
    <w:p w:rsidR="00FF65EE">
      <w:pPr>
        <w:pStyle w:val="ListParagraph"/>
        <w:spacing w:line="560" w:lineRule="exact"/>
        <w:ind w:left="420" w:firstLine="0" w:leftChars="200" w:firstLineChars="0"/>
        <w:rPr>
          <w:rFonts w:asciiTheme="minorEastAsia" w:hAnsiTheme="minorEastAsia" w:cstheme="minorEastAsia"/>
          <w:szCs w:val="21"/>
        </w:rPr>
      </w:pPr>
      <w:r>
        <w:rPr>
          <w:rFonts w:ascii="宋体" w:eastAsia="宋体" w:hAnsi="Times New Roman" w:cs="Times New Roman"/>
          <w:color w:val="EE0000"/>
          <w:kern w:val="0"/>
          <w:szCs w:val="21"/>
        </w:rPr>
        <w:t>#</w:t>
      </w:r>
      <w:r>
        <w:rPr>
          <w:rFonts w:asciiTheme="minorEastAsia" w:hAnsiTheme="minorEastAsia" w:cstheme="minorEastAsia" w:hint="eastAsia"/>
          <w:szCs w:val="21"/>
        </w:rPr>
        <w:t>16.</w:t>
      </w:r>
      <w:r>
        <w:rPr>
          <w:rFonts w:asciiTheme="minorEastAsia" w:hAnsiTheme="minorEastAsia" w:cstheme="minorEastAsia" w:hint="eastAsia"/>
          <w:szCs w:val="21"/>
        </w:rPr>
        <w:t>带包装的</w:t>
      </w:r>
      <w:r>
        <w:rPr>
          <w:rFonts w:asciiTheme="minorEastAsia" w:hAnsiTheme="minorEastAsia" w:cstheme="minorEastAsia" w:hint="eastAsia"/>
          <w:szCs w:val="21"/>
        </w:rPr>
        <w:t>全弹安全落高</w:t>
      </w:r>
      <w:r>
        <w:rPr>
          <w:rFonts w:asciiTheme="minorEastAsia" w:hAnsiTheme="minorEastAsia" w:cstheme="minorEastAsia" w:hint="eastAsia"/>
          <w:szCs w:val="21"/>
        </w:rPr>
        <w:t>应不小于</w:t>
      </w:r>
      <w:r>
        <w:rPr>
          <w:rFonts w:asciiTheme="minorEastAsia" w:hAnsiTheme="minorEastAsia" w:cstheme="minorEastAsia" w:hint="eastAsia"/>
          <w:szCs w:val="21"/>
        </w:rPr>
        <w:t>3m</w:t>
      </w:r>
      <w:r>
        <w:rPr>
          <w:rFonts w:asciiTheme="minorEastAsia" w:hAnsiTheme="minorEastAsia" w:cstheme="minorEastAsia" w:hint="eastAsia"/>
          <w:szCs w:val="21"/>
        </w:rPr>
        <w:t>。</w:t>
      </w:r>
    </w:p>
    <w:p w:rsidR="00FF65EE">
      <w:pPr>
        <w:pStyle w:val="ListParagraph"/>
        <w:spacing w:line="560" w:lineRule="exact"/>
        <w:ind w:left="420" w:firstLine="0" w:leftChars="200" w:firstLineChars="0"/>
        <w:rPr>
          <w:rFonts w:asciiTheme="minorEastAsia" w:hAnsiTheme="minorEastAsia" w:cstheme="minorEastAsia"/>
          <w:szCs w:val="21"/>
        </w:rPr>
      </w:pPr>
      <w:r>
        <w:rPr>
          <w:rFonts w:ascii="宋体" w:eastAsia="宋体" w:hAnsi="Times New Roman" w:cs="Times New Roman"/>
          <w:color w:val="EE0000"/>
          <w:kern w:val="0"/>
          <w:szCs w:val="21"/>
        </w:rPr>
        <w:t>#</w:t>
      </w:r>
      <w:r>
        <w:rPr>
          <w:rFonts w:asciiTheme="minorEastAsia" w:hAnsiTheme="minorEastAsia" w:cstheme="minorEastAsia" w:hint="eastAsia"/>
          <w:szCs w:val="21"/>
        </w:rPr>
        <w:t>17.</w:t>
      </w:r>
      <w:r>
        <w:rPr>
          <w:rFonts w:asciiTheme="minorEastAsia" w:hAnsiTheme="minorEastAsia" w:cstheme="minorEastAsia" w:hint="eastAsia"/>
          <w:szCs w:val="21"/>
        </w:rPr>
        <w:t>炮弹的催化剂成核率（试验室内，</w:t>
      </w:r>
      <w:r>
        <w:rPr>
          <w:rFonts w:asciiTheme="minorEastAsia" w:hAnsiTheme="minorEastAsia" w:cstheme="minorEastAsia" w:hint="eastAsia"/>
          <w:szCs w:val="21"/>
        </w:rPr>
        <w:t>-10</w:t>
      </w:r>
      <w:r>
        <w:rPr>
          <w:rFonts w:asciiTheme="minorEastAsia" w:hAnsiTheme="minorEastAsia" w:cstheme="minorEastAsia" w:hint="eastAsia"/>
          <w:szCs w:val="21"/>
        </w:rPr>
        <w:t>℃</w:t>
      </w:r>
      <w:r>
        <w:rPr>
          <w:rFonts w:asciiTheme="minorEastAsia" w:hAnsiTheme="minorEastAsia" w:cstheme="minorEastAsia" w:hint="eastAsia"/>
          <w:szCs w:val="21"/>
        </w:rPr>
        <w:t>)</w:t>
      </w:r>
      <w:r>
        <w:rPr>
          <w:rFonts w:asciiTheme="minorEastAsia" w:hAnsiTheme="minorEastAsia" w:cstheme="minorEastAsia" w:hint="eastAsia"/>
          <w:szCs w:val="21"/>
        </w:rPr>
        <w:t>应大于或等于</w:t>
      </w:r>
      <w:r>
        <w:rPr>
          <w:rFonts w:asciiTheme="minorEastAsia" w:hAnsiTheme="minorEastAsia" w:cstheme="minorEastAsia" w:hint="eastAsia"/>
          <w:szCs w:val="21"/>
        </w:rPr>
        <w:t>10</w:t>
      </w:r>
      <w:r>
        <w:rPr>
          <w:rFonts w:asciiTheme="minorEastAsia" w:hAnsiTheme="minorEastAsia" w:cstheme="minorEastAsia" w:hint="eastAsia"/>
          <w:szCs w:val="21"/>
          <w:vertAlign w:val="superscript"/>
        </w:rPr>
        <w:t>11</w:t>
      </w:r>
      <w:r>
        <w:rPr>
          <w:rFonts w:asciiTheme="minorEastAsia" w:hAnsiTheme="minorEastAsia" w:cstheme="minorEastAsia" w:hint="eastAsia"/>
          <w:szCs w:val="21"/>
        </w:rPr>
        <w:t>个每克。</w:t>
      </w:r>
    </w:p>
    <w:p w:rsidR="00FF65EE">
      <w:pPr>
        <w:pStyle w:val="ListParagraph"/>
        <w:spacing w:line="560" w:lineRule="exact"/>
        <w:ind w:left="420" w:firstLine="0" w:leftChars="200" w:firstLineChars="0"/>
        <w:rPr>
          <w:rFonts w:asciiTheme="minorEastAsia" w:hAnsiTheme="minorEastAsia" w:cstheme="minorEastAsia"/>
          <w:szCs w:val="21"/>
        </w:rPr>
      </w:pPr>
      <w:r>
        <w:rPr>
          <w:rFonts w:ascii="宋体" w:eastAsia="宋体" w:hAnsi="Times New Roman" w:cs="Times New Roman"/>
          <w:color w:val="EE0000"/>
          <w:kern w:val="0"/>
          <w:szCs w:val="21"/>
        </w:rPr>
        <w:t>#</w:t>
      </w:r>
      <w:r>
        <w:rPr>
          <w:rFonts w:asciiTheme="minorEastAsia" w:hAnsiTheme="minorEastAsia" w:cstheme="minorEastAsia" w:hint="eastAsia"/>
          <w:szCs w:val="21"/>
        </w:rPr>
        <w:t>18.</w:t>
      </w:r>
      <w:r>
        <w:rPr>
          <w:rFonts w:asciiTheme="minorEastAsia" w:hAnsiTheme="minorEastAsia" w:cstheme="minorEastAsia" w:hint="eastAsia"/>
          <w:szCs w:val="21"/>
        </w:rPr>
        <w:t>炮弹适用海拔高度范围应不小于</w:t>
      </w:r>
      <w:r>
        <w:rPr>
          <w:rFonts w:asciiTheme="minorEastAsia" w:hAnsiTheme="minorEastAsia" w:cstheme="minorEastAsia" w:hint="eastAsia"/>
          <w:szCs w:val="21"/>
        </w:rPr>
        <w:t xml:space="preserve"> 4500m</w:t>
      </w:r>
      <w:r>
        <w:rPr>
          <w:rFonts w:asciiTheme="minorEastAsia" w:hAnsiTheme="minorEastAsia" w:cstheme="minorEastAsia" w:hint="eastAsia"/>
          <w:szCs w:val="21"/>
        </w:rPr>
        <w:t>。</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19.</w:t>
      </w:r>
      <w:r>
        <w:rPr>
          <w:rFonts w:asciiTheme="minorEastAsia" w:hAnsiTheme="minorEastAsia" w:cstheme="minorEastAsia" w:hint="eastAsia"/>
          <w:szCs w:val="21"/>
        </w:rPr>
        <w:t>炮弹适用温度范围应为</w:t>
      </w:r>
      <w:r>
        <w:rPr>
          <w:rFonts w:asciiTheme="minorEastAsia" w:hAnsiTheme="minorEastAsia" w:cstheme="minorEastAsia" w:hint="eastAsia"/>
          <w:szCs w:val="21"/>
        </w:rPr>
        <w:t>-20</w:t>
      </w:r>
      <w:r>
        <w:rPr>
          <w:rFonts w:asciiTheme="minorEastAsia" w:hAnsiTheme="minorEastAsia" w:cstheme="minorEastAsia" w:hint="eastAsia"/>
          <w:szCs w:val="21"/>
        </w:rPr>
        <w:t>℃</w:t>
      </w:r>
      <w:r>
        <w:rPr>
          <w:rFonts w:asciiTheme="minorEastAsia" w:hAnsiTheme="minorEastAsia" w:cstheme="minorEastAsia" w:hint="eastAsia"/>
          <w:szCs w:val="21"/>
        </w:rPr>
        <w:t>~50</w:t>
      </w:r>
      <w:r>
        <w:rPr>
          <w:rFonts w:asciiTheme="minorEastAsia" w:hAnsiTheme="minorEastAsia" w:cstheme="minorEastAsia" w:hint="eastAsia"/>
          <w:szCs w:val="21"/>
        </w:rPr>
        <w:t>℃。</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20.</w:t>
      </w:r>
      <w:r>
        <w:rPr>
          <w:rFonts w:asciiTheme="minorEastAsia" w:hAnsiTheme="minorEastAsia" w:cstheme="minorEastAsia" w:hint="eastAsia"/>
          <w:szCs w:val="21"/>
        </w:rPr>
        <w:t>炮弹使用有效期限应不小于</w:t>
      </w:r>
      <w:r>
        <w:rPr>
          <w:rFonts w:asciiTheme="minorEastAsia" w:hAnsiTheme="minorEastAsia" w:cstheme="minorEastAsia" w:hint="eastAsia"/>
          <w:szCs w:val="21"/>
        </w:rPr>
        <w:t>5</w:t>
      </w:r>
      <w:r>
        <w:rPr>
          <w:rFonts w:asciiTheme="minorEastAsia" w:hAnsiTheme="minorEastAsia" w:cstheme="minorEastAsia" w:hint="eastAsia"/>
          <w:szCs w:val="21"/>
        </w:rPr>
        <w:t>年。</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21.</w:t>
      </w:r>
      <w:r>
        <w:rPr>
          <w:rFonts w:asciiTheme="minorEastAsia" w:hAnsiTheme="minorEastAsia" w:cstheme="minorEastAsia" w:hint="eastAsia"/>
          <w:szCs w:val="21"/>
        </w:rPr>
        <w:t>炮弹应具有符合规定的</w:t>
      </w:r>
      <w:r>
        <w:rPr>
          <w:rFonts w:asciiTheme="minorEastAsia" w:hAnsiTheme="minorEastAsia" w:cstheme="minorEastAsia" w:hint="eastAsia"/>
          <w:szCs w:val="21"/>
        </w:rPr>
        <w:t>条维码</w:t>
      </w:r>
      <w:r>
        <w:rPr>
          <w:rFonts w:asciiTheme="minorEastAsia" w:hAnsiTheme="minorEastAsia" w:cstheme="minorEastAsia" w:hint="eastAsia"/>
          <w:szCs w:val="21"/>
        </w:rPr>
        <w:t>标识。</w:t>
      </w:r>
    </w:p>
    <w:p w:rsidR="00FF65EE">
      <w:pPr>
        <w:spacing w:line="360" w:lineRule="auto"/>
        <w:ind w:firstLine="420" w:firstLineChars="200"/>
        <w:rPr>
          <w:rFonts w:ascii="宋体" w:eastAsia="宋体" w:hAnsi="Times New Roman" w:cs="Times New Roman"/>
          <w:kern w:val="0"/>
          <w:szCs w:val="21"/>
        </w:rPr>
      </w:pPr>
      <w:r>
        <w:rPr>
          <w:rFonts w:ascii="宋体" w:eastAsia="宋体" w:hAnsi="Times New Roman" w:cs="Times New Roman"/>
          <w:color w:val="EE0000"/>
          <w:kern w:val="0"/>
          <w:szCs w:val="21"/>
        </w:rPr>
        <w:t>#</w:t>
      </w:r>
      <w:r>
        <w:rPr>
          <w:rFonts w:ascii="宋体" w:eastAsia="宋体" w:hAnsi="Times New Roman" w:cs="Times New Roman" w:hint="eastAsia"/>
          <w:kern w:val="0"/>
          <w:szCs w:val="21"/>
        </w:rPr>
        <w:t>22</w:t>
      </w:r>
      <w:r>
        <w:rPr>
          <w:rFonts w:ascii="宋体" w:eastAsia="宋体" w:hAnsi="Times New Roman" w:cs="Times New Roman" w:hint="eastAsia"/>
          <w:kern w:val="0"/>
          <w:szCs w:val="21"/>
        </w:rPr>
        <w:t>.</w:t>
      </w:r>
      <w:r>
        <w:rPr>
          <w:rFonts w:ascii="宋体" w:eastAsia="宋体" w:hAnsi="Times New Roman" w:cs="Times New Roman" w:hint="eastAsia"/>
          <w:kern w:val="0"/>
          <w:szCs w:val="21"/>
        </w:rPr>
        <w:t>全弹在高温、低温、常温下连发不应出现：</w:t>
      </w:r>
    </w:p>
    <w:p w:rsidR="00FF65EE">
      <w:pPr>
        <w:spacing w:line="360" w:lineRule="auto"/>
        <w:ind w:firstLine="420" w:firstLineChars="200"/>
        <w:rPr>
          <w:rFonts w:ascii="宋体" w:eastAsia="宋体" w:hAnsi="Times New Roman" w:cs="Times New Roman"/>
          <w:kern w:val="0"/>
          <w:szCs w:val="21"/>
        </w:rPr>
      </w:pPr>
      <w:r>
        <w:rPr>
          <w:rFonts w:ascii="宋体" w:eastAsia="宋体" w:hAnsi="Times New Roman" w:cs="Times New Roman" w:hint="eastAsia"/>
          <w:kern w:val="0"/>
          <w:szCs w:val="21"/>
        </w:rPr>
        <w:t>——连发异常</w:t>
      </w:r>
    </w:p>
    <w:p w:rsidR="00FF65EE">
      <w:pPr>
        <w:spacing w:line="360" w:lineRule="auto"/>
        <w:ind w:firstLine="420" w:firstLineChars="200"/>
        <w:rPr>
          <w:rFonts w:ascii="宋体" w:eastAsia="宋体" w:hAnsi="Times New Roman" w:cs="Times New Roman"/>
          <w:kern w:val="0"/>
          <w:szCs w:val="21"/>
        </w:rPr>
      </w:pPr>
      <w:r>
        <w:rPr>
          <w:rFonts w:ascii="宋体" w:eastAsia="宋体" w:hAnsi="Times New Roman" w:cs="Times New Roman"/>
          <w:color w:val="EE0000"/>
          <w:kern w:val="0"/>
          <w:szCs w:val="21"/>
        </w:rPr>
        <w:t>#</w:t>
      </w:r>
      <w:r>
        <w:rPr>
          <w:rFonts w:ascii="宋体" w:eastAsia="宋体" w:hAnsi="Times New Roman" w:cs="Times New Roman" w:hint="eastAsia"/>
          <w:kern w:val="0"/>
          <w:szCs w:val="21"/>
        </w:rPr>
        <w:t>2</w:t>
      </w:r>
      <w:r>
        <w:rPr>
          <w:rFonts w:ascii="宋体" w:eastAsia="宋体" w:hAnsi="Times New Roman" w:cs="Times New Roman" w:hint="eastAsia"/>
          <w:kern w:val="0"/>
          <w:szCs w:val="21"/>
        </w:rPr>
        <w:t>3</w:t>
      </w:r>
      <w:r>
        <w:rPr>
          <w:rFonts w:ascii="宋体" w:eastAsia="宋体" w:hAnsi="Times New Roman" w:cs="Times New Roman" w:hint="eastAsia"/>
          <w:kern w:val="0"/>
          <w:szCs w:val="21"/>
        </w:rPr>
        <w:t>.</w:t>
      </w:r>
      <w:r>
        <w:rPr>
          <w:rFonts w:ascii="宋体" w:eastAsia="宋体" w:hAnsi="Times New Roman" w:cs="Times New Roman" w:hint="eastAsia"/>
          <w:kern w:val="0"/>
          <w:szCs w:val="21"/>
        </w:rPr>
        <w:t>全弹储存</w:t>
      </w:r>
      <w:r>
        <w:rPr>
          <w:rFonts w:ascii="宋体" w:eastAsia="宋体" w:hAnsi="Times New Roman" w:cs="Times New Roman" w:hint="eastAsia"/>
          <w:kern w:val="0"/>
          <w:szCs w:val="21"/>
        </w:rPr>
        <w:t>经高、低温环境变化后，不应出现：</w:t>
      </w:r>
    </w:p>
    <w:p w:rsidR="00FF65EE">
      <w:pPr>
        <w:spacing w:line="360" w:lineRule="auto"/>
        <w:ind w:firstLine="420" w:firstLineChars="200"/>
        <w:rPr>
          <w:rFonts w:ascii="宋体" w:eastAsia="宋体" w:hAnsi="Times New Roman" w:cs="Times New Roman"/>
          <w:kern w:val="0"/>
          <w:szCs w:val="21"/>
        </w:rPr>
      </w:pPr>
      <w:r>
        <w:rPr>
          <w:rFonts w:ascii="宋体" w:eastAsia="宋体" w:hAnsi="Times New Roman" w:cs="Times New Roman" w:hint="eastAsia"/>
          <w:kern w:val="0"/>
          <w:szCs w:val="21"/>
        </w:rPr>
        <w:t>——弹丸在膛内、炮口爆炸</w:t>
      </w:r>
    </w:p>
    <w:p w:rsidR="00FF65EE">
      <w:pPr>
        <w:spacing w:line="360" w:lineRule="auto"/>
        <w:ind w:firstLine="420" w:firstLineChars="200"/>
        <w:rPr>
          <w:rFonts w:ascii="宋体" w:eastAsia="宋体" w:hAnsi="Times New Roman" w:cs="Times New Roman"/>
          <w:kern w:val="0"/>
          <w:szCs w:val="21"/>
        </w:rPr>
      </w:pPr>
      <w:r>
        <w:rPr>
          <w:rFonts w:ascii="宋体" w:eastAsia="宋体" w:hAnsi="Times New Roman" w:cs="Times New Roman" w:hint="eastAsia"/>
          <w:kern w:val="0"/>
          <w:szCs w:val="21"/>
        </w:rPr>
        <w:t>——弹丸爆炸不完全</w:t>
      </w:r>
    </w:p>
    <w:p w:rsidR="0059381D" w:rsidRPr="0059381D" w:rsidP="0059381D">
      <w:pPr>
        <w:spacing w:line="560" w:lineRule="exact"/>
        <w:ind w:left="420" w:leftChars="200"/>
        <w:rPr>
          <w:rFonts w:eastAsia="宋体" w:asciiTheme="minorEastAsia" w:hAnsiTheme="minorEastAsia" w:cstheme="minorEastAsia"/>
          <w:szCs w:val="21"/>
        </w:rPr>
      </w:pPr>
      <w:r>
        <w:rPr>
          <w:rFonts w:asciiTheme="minorEastAsia" w:hAnsiTheme="minorEastAsia" w:cstheme="minorEastAsia" w:hint="eastAsia"/>
          <w:szCs w:val="21"/>
        </w:rPr>
        <w:t>24</w:t>
      </w:r>
      <w:r w:rsidRPr="0059381D">
        <w:rPr>
          <w:rFonts w:asciiTheme="minorEastAsia" w:hAnsiTheme="minorEastAsia" w:cstheme="minorEastAsia" w:hint="eastAsia"/>
          <w:szCs w:val="21"/>
        </w:rPr>
        <w:t>. 单发炮弹弹丸最大破片分三级：</w:t>
      </w:r>
    </w:p>
    <w:p w:rsidR="0059381D" w:rsidRPr="0059381D" w:rsidP="0059381D">
      <w:pPr>
        <w:spacing w:line="560" w:lineRule="exact"/>
        <w:ind w:left="840" w:leftChars="400"/>
        <w:rPr>
          <w:rFonts w:eastAsia="宋体" w:asciiTheme="minorEastAsia" w:hAnsiTheme="minorEastAsia" w:cstheme="minorEastAsia"/>
          <w:szCs w:val="21"/>
        </w:rPr>
      </w:pPr>
      <w:r w:rsidRPr="0059381D">
        <w:rPr>
          <w:rFonts w:asciiTheme="minorEastAsia" w:hAnsiTheme="minorEastAsia" w:cstheme="minorEastAsia" w:hint="eastAsia"/>
          <w:szCs w:val="21"/>
        </w:rPr>
        <w:t xml:space="preserve">A </w:t>
      </w:r>
      <w:r w:rsidRPr="0059381D">
        <w:rPr>
          <w:rFonts w:asciiTheme="minorEastAsia" w:hAnsiTheme="minorEastAsia" w:cstheme="minorEastAsia" w:hint="eastAsia"/>
          <w:szCs w:val="21"/>
        </w:rPr>
        <w:t>级应小于</w:t>
      </w:r>
      <w:r w:rsidRPr="0059381D">
        <w:rPr>
          <w:rFonts w:asciiTheme="minorEastAsia" w:hAnsiTheme="minorEastAsia" w:cstheme="minorEastAsia" w:hint="eastAsia"/>
          <w:szCs w:val="21"/>
        </w:rPr>
        <w:t>等于 5 g；</w:t>
      </w:r>
    </w:p>
    <w:p w:rsidR="0059381D" w:rsidRPr="0059381D" w:rsidP="0059381D">
      <w:pPr>
        <w:spacing w:line="560" w:lineRule="exact"/>
        <w:ind w:left="840" w:leftChars="400"/>
        <w:rPr>
          <w:rFonts w:eastAsia="宋体" w:asciiTheme="minorEastAsia" w:hAnsiTheme="minorEastAsia" w:cstheme="minorEastAsia"/>
          <w:szCs w:val="21"/>
        </w:rPr>
      </w:pPr>
      <w:r w:rsidRPr="0059381D">
        <w:rPr>
          <w:rFonts w:asciiTheme="minorEastAsia" w:hAnsiTheme="minorEastAsia" w:cstheme="minorEastAsia" w:hint="eastAsia"/>
          <w:szCs w:val="21"/>
        </w:rPr>
        <w:t xml:space="preserve">B </w:t>
      </w:r>
      <w:r w:rsidRPr="0059381D">
        <w:rPr>
          <w:rFonts w:asciiTheme="minorEastAsia" w:hAnsiTheme="minorEastAsia" w:cstheme="minorEastAsia" w:hint="eastAsia"/>
          <w:szCs w:val="21"/>
        </w:rPr>
        <w:t>级应小于</w:t>
      </w:r>
      <w:r w:rsidRPr="0059381D">
        <w:rPr>
          <w:rFonts w:asciiTheme="minorEastAsia" w:hAnsiTheme="minorEastAsia" w:cstheme="minorEastAsia" w:hint="eastAsia"/>
          <w:szCs w:val="21"/>
        </w:rPr>
        <w:t>等于 10 g；</w:t>
      </w:r>
    </w:p>
    <w:p w:rsidR="0059381D" w:rsidRPr="0059381D" w:rsidP="0059381D">
      <w:pPr>
        <w:spacing w:line="560" w:lineRule="exact"/>
        <w:ind w:left="840" w:leftChars="400"/>
        <w:rPr>
          <w:rFonts w:eastAsia="宋体" w:asciiTheme="minorEastAsia" w:hAnsiTheme="minorEastAsia" w:cstheme="minorEastAsia"/>
          <w:szCs w:val="21"/>
        </w:rPr>
      </w:pPr>
      <w:r w:rsidRPr="0059381D">
        <w:rPr>
          <w:rFonts w:asciiTheme="minorEastAsia" w:hAnsiTheme="minorEastAsia" w:cstheme="minorEastAsia" w:hint="eastAsia"/>
          <w:szCs w:val="21"/>
        </w:rPr>
        <w:t xml:space="preserve">C </w:t>
      </w:r>
      <w:r w:rsidRPr="0059381D">
        <w:rPr>
          <w:rFonts w:asciiTheme="minorEastAsia" w:hAnsiTheme="minorEastAsia" w:cstheme="minorEastAsia" w:hint="eastAsia"/>
          <w:szCs w:val="21"/>
        </w:rPr>
        <w:t>级应小于</w:t>
      </w:r>
      <w:r w:rsidRPr="0059381D">
        <w:rPr>
          <w:rFonts w:asciiTheme="minorEastAsia" w:hAnsiTheme="minorEastAsia" w:cstheme="minorEastAsia" w:hint="eastAsia"/>
          <w:szCs w:val="21"/>
        </w:rPr>
        <w:t>等于 14 g。</w:t>
      </w:r>
    </w:p>
    <w:p w:rsidR="0059381D" w:rsidRPr="0059381D" w:rsidP="0059381D">
      <w:pPr>
        <w:spacing w:line="560" w:lineRule="exact"/>
        <w:ind w:left="420" w:leftChars="200"/>
        <w:rPr>
          <w:rFonts w:eastAsia="宋体" w:asciiTheme="minorEastAsia" w:hAnsiTheme="minorEastAsia" w:cstheme="minorEastAsia"/>
          <w:szCs w:val="21"/>
        </w:rPr>
      </w:pPr>
      <w:r>
        <w:rPr>
          <w:rFonts w:asciiTheme="minorEastAsia" w:hAnsiTheme="minorEastAsia" w:cstheme="minorEastAsia" w:hint="eastAsia"/>
          <w:szCs w:val="21"/>
        </w:rPr>
        <w:t>25</w:t>
      </w:r>
      <w:r w:rsidRPr="0059381D">
        <w:rPr>
          <w:rFonts w:asciiTheme="minorEastAsia" w:hAnsiTheme="minorEastAsia" w:cstheme="minorEastAsia" w:hint="eastAsia"/>
          <w:szCs w:val="21"/>
        </w:rPr>
        <w:t>. 炮弹引信</w:t>
      </w:r>
      <w:r w:rsidRPr="0059381D">
        <w:rPr>
          <w:rFonts w:asciiTheme="minorEastAsia" w:hAnsiTheme="minorEastAsia" w:cstheme="minorEastAsia" w:hint="eastAsia"/>
          <w:szCs w:val="21"/>
        </w:rPr>
        <w:t>瞎火率</w:t>
      </w:r>
      <w:r w:rsidRPr="0059381D">
        <w:rPr>
          <w:rFonts w:asciiTheme="minorEastAsia" w:hAnsiTheme="minorEastAsia" w:cstheme="minorEastAsia" w:hint="eastAsia"/>
          <w:szCs w:val="21"/>
        </w:rPr>
        <w:t>为：</w:t>
      </w:r>
    </w:p>
    <w:p w:rsidR="0059381D" w:rsidRPr="0059381D" w:rsidP="0059381D">
      <w:pPr>
        <w:spacing w:line="560" w:lineRule="exact"/>
        <w:ind w:left="840" w:leftChars="400"/>
        <w:rPr>
          <w:rFonts w:eastAsia="宋体" w:asciiTheme="minorEastAsia" w:hAnsiTheme="minorEastAsia" w:cstheme="minorEastAsia"/>
          <w:szCs w:val="21"/>
        </w:rPr>
      </w:pPr>
      <w:r w:rsidRPr="0059381D">
        <w:rPr>
          <w:rFonts w:asciiTheme="minorEastAsia" w:hAnsiTheme="minorEastAsia" w:cstheme="minorEastAsia" w:hint="eastAsia"/>
          <w:szCs w:val="21"/>
        </w:rPr>
        <w:t>A 级小于等于 1/10000；</w:t>
      </w:r>
    </w:p>
    <w:p w:rsidR="0059381D" w:rsidRPr="0059381D" w:rsidP="0059381D">
      <w:pPr>
        <w:spacing w:line="560" w:lineRule="exact"/>
        <w:ind w:left="840" w:leftChars="400"/>
        <w:rPr>
          <w:rFonts w:eastAsia="宋体" w:asciiTheme="minorEastAsia" w:hAnsiTheme="minorEastAsia" w:cstheme="minorEastAsia"/>
          <w:szCs w:val="21"/>
        </w:rPr>
      </w:pPr>
      <w:r w:rsidRPr="0059381D">
        <w:rPr>
          <w:rFonts w:asciiTheme="minorEastAsia" w:hAnsiTheme="minorEastAsia" w:cstheme="minorEastAsia" w:hint="eastAsia"/>
          <w:szCs w:val="21"/>
        </w:rPr>
        <w:t>B 级小于等于 1/1000；</w:t>
      </w:r>
    </w:p>
    <w:p w:rsidR="0059381D" w:rsidRPr="0059381D" w:rsidP="0059381D">
      <w:pPr>
        <w:spacing w:line="560" w:lineRule="exact"/>
        <w:ind w:left="840" w:leftChars="400"/>
        <w:rPr>
          <w:rFonts w:eastAsia="宋体" w:asciiTheme="minorEastAsia" w:hAnsiTheme="minorEastAsia" w:cstheme="minorEastAsia"/>
          <w:szCs w:val="21"/>
        </w:rPr>
      </w:pPr>
      <w:r w:rsidRPr="0059381D">
        <w:rPr>
          <w:rFonts w:asciiTheme="minorEastAsia" w:hAnsiTheme="minorEastAsia" w:cstheme="minorEastAsia" w:hint="eastAsia"/>
          <w:szCs w:val="21"/>
        </w:rPr>
        <w:t>C 级小于等于 3/1000。</w:t>
      </w:r>
    </w:p>
    <w:p w:rsidR="00FF65EE">
      <w:pPr>
        <w:spacing w:line="560" w:lineRule="exact"/>
        <w:ind w:firstLine="420" w:firstLineChars="200"/>
        <w:rPr>
          <w:rFonts w:ascii="宋体" w:hAnsi="宋体"/>
          <w:szCs w:val="21"/>
        </w:rPr>
      </w:pPr>
      <w:r>
        <w:rPr>
          <w:rFonts w:ascii="宋体" w:hAnsi="宋体" w:hint="eastAsia"/>
          <w:szCs w:val="21"/>
        </w:rPr>
        <w:t>四、验收与付款</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（一）验收</w:t>
      </w:r>
    </w:p>
    <w:p w:rsidR="00FF65EE">
      <w:pPr>
        <w:pStyle w:val="BodyText"/>
        <w:spacing w:before="66" w:line="460" w:lineRule="exact"/>
        <w:ind w:firstLine="420" w:firstLineChars="200"/>
        <w:rPr>
          <w:rFonts w:asciiTheme="minorEastAsia" w:eastAsiaTheme="minorEastAsia" w:hAnsiTheme="minorEastAsia" w:cstheme="minorEastAsia"/>
          <w:color w:val="auto"/>
          <w:kern w:val="2"/>
          <w:szCs w:val="21"/>
          <w:lang w:val="en-US"/>
        </w:rPr>
      </w:pPr>
      <w:r>
        <w:rPr>
          <w:rFonts w:asciiTheme="minorEastAsia" w:eastAsiaTheme="minorEastAsia" w:hAnsiTheme="minorEastAsia" w:cstheme="minorEastAsia" w:hint="eastAsia"/>
          <w:color w:val="auto"/>
          <w:kern w:val="2"/>
          <w:szCs w:val="21"/>
          <w:lang w:val="en-US"/>
        </w:rPr>
        <w:t>1.</w:t>
      </w:r>
      <w:r>
        <w:rPr>
          <w:rFonts w:asciiTheme="minorEastAsia" w:eastAsiaTheme="minorEastAsia" w:hAnsiTheme="minorEastAsia" w:cstheme="minorEastAsia" w:hint="eastAsia"/>
          <w:color w:val="auto"/>
          <w:kern w:val="2"/>
          <w:szCs w:val="21"/>
          <w:lang w:val="en-US"/>
        </w:rPr>
        <w:t>合同签订后</w:t>
      </w:r>
      <w:r>
        <w:rPr>
          <w:rFonts w:asciiTheme="minorEastAsia" w:eastAsiaTheme="minorEastAsia" w:hAnsiTheme="minorEastAsia" w:cstheme="minorEastAsia" w:hint="eastAsia"/>
          <w:color w:val="auto"/>
          <w:kern w:val="2"/>
          <w:szCs w:val="21"/>
          <w:lang w:val="en-US"/>
        </w:rPr>
        <w:t>30</w:t>
      </w:r>
      <w:r>
        <w:rPr>
          <w:rFonts w:asciiTheme="minorEastAsia" w:eastAsiaTheme="minorEastAsia" w:hAnsiTheme="minorEastAsia" w:cstheme="minorEastAsia" w:hint="eastAsia"/>
          <w:color w:val="auto"/>
          <w:kern w:val="2"/>
          <w:szCs w:val="21"/>
          <w:lang w:val="en-US"/>
        </w:rPr>
        <w:t>天内</w:t>
      </w:r>
      <w:r>
        <w:rPr>
          <w:rFonts w:asciiTheme="minorEastAsia" w:eastAsiaTheme="minorEastAsia" w:hAnsiTheme="minorEastAsia" w:cstheme="minorEastAsia" w:hint="eastAsia"/>
          <w:color w:val="auto"/>
          <w:kern w:val="2"/>
          <w:szCs w:val="21"/>
          <w:lang w:val="en-US"/>
        </w:rPr>
        <w:t>交货，产品质量达到设计要求。</w:t>
      </w:r>
    </w:p>
    <w:p w:rsidR="00FF65EE">
      <w:pPr>
        <w:pStyle w:val="BodyText"/>
        <w:spacing w:before="66" w:line="460" w:lineRule="exact"/>
        <w:ind w:firstLine="420" w:firstLineChars="200"/>
        <w:rPr>
          <w:rFonts w:asciiTheme="minorEastAsia" w:eastAsiaTheme="minorEastAsia" w:hAnsiTheme="minorEastAsia" w:cstheme="minorEastAsia"/>
          <w:color w:val="auto"/>
          <w:kern w:val="2"/>
          <w:szCs w:val="21"/>
          <w:lang w:val="en-US"/>
        </w:rPr>
      </w:pPr>
      <w:r>
        <w:rPr>
          <w:rFonts w:asciiTheme="minorEastAsia" w:eastAsiaTheme="minorEastAsia" w:hAnsiTheme="minorEastAsia" w:cstheme="minorEastAsia" w:hint="eastAsia"/>
          <w:color w:val="auto"/>
          <w:kern w:val="2"/>
          <w:szCs w:val="21"/>
          <w:lang w:val="en-US"/>
        </w:rPr>
        <w:t>2.</w:t>
      </w:r>
      <w:r>
        <w:rPr>
          <w:rFonts w:asciiTheme="minorEastAsia" w:eastAsiaTheme="minorEastAsia" w:hAnsiTheme="minorEastAsia" w:cstheme="minorEastAsia" w:hint="eastAsia"/>
          <w:color w:val="auto"/>
          <w:kern w:val="2"/>
          <w:szCs w:val="21"/>
          <w:lang w:val="en-US"/>
        </w:rPr>
        <w:t>到货验收。到货后用户检查包装并核对货物品种、数量以及完好性。未通过验收的货物，将不予接受。</w:t>
      </w:r>
    </w:p>
    <w:p w:rsidR="00FF65EE">
      <w:pPr>
        <w:pStyle w:val="ListParagraph"/>
        <w:spacing w:line="4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3.</w:t>
      </w:r>
      <w:r>
        <w:rPr>
          <w:rFonts w:asciiTheme="minorEastAsia" w:hAnsiTheme="minorEastAsia" w:cstheme="minorEastAsia" w:hint="eastAsia"/>
          <w:szCs w:val="21"/>
        </w:rPr>
        <w:t>货物出厂前，采购人有权派人到工厂进行检验，中标人应在设备出厂前提供出厂检</w:t>
      </w:r>
    </w:p>
    <w:p w:rsidR="00FF65EE">
      <w:pPr>
        <w:pStyle w:val="ListParagraph"/>
        <w:spacing w:line="4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验</w:t>
      </w:r>
      <w:r>
        <w:rPr>
          <w:rFonts w:asciiTheme="minorEastAsia" w:hAnsiTheme="minorEastAsia" w:cstheme="minorEastAsia" w:hint="eastAsia"/>
          <w:szCs w:val="21"/>
        </w:rPr>
        <w:t>项目指标测试程序和检验方法，供采购人参考，采购人可根据需要进行补充和修改。</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4.</w:t>
      </w:r>
      <w:r>
        <w:rPr>
          <w:rFonts w:asciiTheme="minorEastAsia" w:hAnsiTheme="minorEastAsia" w:cstheme="minorEastAsia" w:hint="eastAsia"/>
          <w:szCs w:val="21"/>
        </w:rPr>
        <w:t>货物经过</w:t>
      </w:r>
      <w:r>
        <w:rPr>
          <w:rFonts w:asciiTheme="minorEastAsia" w:hAnsiTheme="minorEastAsia" w:cstheme="minorEastAsia" w:hint="eastAsia"/>
          <w:szCs w:val="21"/>
        </w:rPr>
        <w:t>1</w:t>
      </w:r>
      <w:r>
        <w:rPr>
          <w:rFonts w:asciiTheme="minorEastAsia" w:hAnsiTheme="minorEastAsia" w:cstheme="minorEastAsia" w:hint="eastAsia"/>
          <w:szCs w:val="21"/>
        </w:rPr>
        <w:t>个月试用期，达到技术规</w:t>
      </w:r>
      <w:r>
        <w:rPr>
          <w:rFonts w:asciiTheme="minorEastAsia" w:hAnsiTheme="minorEastAsia" w:cstheme="minorEastAsia" w:hint="eastAsia"/>
          <w:szCs w:val="21"/>
        </w:rPr>
        <w:t>范书的要求时，可进行最终验收。在试运行期</w:t>
      </w:r>
    </w:p>
    <w:p w:rsidR="00FF65EE">
      <w:pPr>
        <w:pStyle w:val="ListParagraph"/>
        <w:spacing w:line="5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间，由于质量等造成某些指标达不到要求，允许中标人更换或进行修复。</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（二）付款</w:t>
      </w:r>
    </w:p>
    <w:p w:rsidR="00FF65EE">
      <w:pPr>
        <w:pStyle w:val="ListParagraph"/>
        <w:spacing w:line="560" w:lineRule="exact"/>
        <w:ind w:firstLine="420"/>
        <w:rPr>
          <w:rFonts w:ascii="宋体" w:eastAsia="宋体" w:hAnsi="Times New Roman" w:cs="Times New Roman"/>
          <w:kern w:val="0"/>
          <w:szCs w:val="21"/>
        </w:rPr>
      </w:pPr>
      <w:r>
        <w:rPr>
          <w:rFonts w:asciiTheme="minorEastAsia" w:hAnsiTheme="minorEastAsia" w:cstheme="minorEastAsia"/>
          <w:szCs w:val="21"/>
        </w:rPr>
        <w:t>本合同签订后，乙方生产完毕经中国气象局指定的验收单位进行验收合格后发货。甲方收到货后，将签收的人工增雨防雹产品回单寄回乙方或传真乙方</w:t>
      </w:r>
      <w:r>
        <w:rPr>
          <w:rFonts w:asciiTheme="minorEastAsia" w:hAnsiTheme="minorEastAsia" w:cstheme="minorEastAsia" w:hint="eastAsia"/>
          <w:szCs w:val="21"/>
        </w:rPr>
        <w:t>，</w:t>
      </w:r>
      <w:r>
        <w:rPr>
          <w:rFonts w:asciiTheme="minorEastAsia" w:hAnsiTheme="minorEastAsia" w:cstheme="minorEastAsia" w:hint="eastAsia"/>
          <w:szCs w:val="21"/>
        </w:rPr>
        <w:t>60</w:t>
      </w:r>
      <w:r>
        <w:rPr>
          <w:rFonts w:asciiTheme="minorEastAsia" w:hAnsiTheme="minorEastAsia" w:cstheme="minorEastAsia" w:hint="eastAsia"/>
          <w:szCs w:val="21"/>
        </w:rPr>
        <w:t>天内</w:t>
      </w:r>
      <w:r>
        <w:rPr>
          <w:rFonts w:asciiTheme="minorEastAsia" w:hAnsiTheme="minorEastAsia" w:cstheme="minorEastAsia"/>
          <w:szCs w:val="21"/>
        </w:rPr>
        <w:t>支付产品全款包括货款及运杂费</w:t>
      </w:r>
      <w:r>
        <w:rPr>
          <w:rFonts w:asciiTheme="minorEastAsia" w:hAnsiTheme="minorEastAsia" w:cstheme="minorEastAsia" w:hint="eastAsia"/>
          <w:szCs w:val="21"/>
        </w:rPr>
        <w:t>。</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五、技术服务和</w:t>
      </w:r>
      <w:r>
        <w:rPr>
          <w:rFonts w:asciiTheme="minorEastAsia" w:hAnsiTheme="minorEastAsia" w:cstheme="minorEastAsia" w:hint="eastAsia"/>
          <w:szCs w:val="21"/>
        </w:rPr>
        <w:t>质保期</w:t>
      </w:r>
      <w:r>
        <w:rPr>
          <w:rFonts w:asciiTheme="minorEastAsia" w:hAnsiTheme="minorEastAsia" w:cstheme="minorEastAsia" w:hint="eastAsia"/>
          <w:szCs w:val="21"/>
        </w:rPr>
        <w:t>服务要求</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（一）标识、包装和运输</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1.</w:t>
      </w:r>
      <w:r>
        <w:rPr>
          <w:rFonts w:asciiTheme="minorEastAsia" w:hAnsiTheme="minorEastAsia" w:cstheme="minorEastAsia" w:hint="eastAsia"/>
          <w:szCs w:val="21"/>
        </w:rPr>
        <w:t>标识</w:t>
      </w:r>
    </w:p>
    <w:p w:rsidR="00FF65EE">
      <w:pPr>
        <w:pStyle w:val="ListParagraph"/>
        <w:spacing w:line="560" w:lineRule="exact"/>
        <w:ind w:firstLine="420"/>
        <w:rPr>
          <w:rFonts w:asciiTheme="minorEastAsia" w:hAnsiTheme="minorEastAsia" w:cstheme="minorEastAsia"/>
          <w:szCs w:val="21"/>
        </w:rPr>
      </w:pPr>
      <w:r>
        <w:rPr>
          <w:rFonts w:asciiTheme="minorEastAsia" w:hAnsiTheme="minorEastAsia" w:cstheme="minorEastAsia" w:hint="eastAsia"/>
          <w:szCs w:val="21"/>
        </w:rPr>
        <w:t>炮弹和弹药箱的包装标识应符合《人工影响天气作业装备与弹药标识编码技术规范》</w:t>
      </w:r>
    </w:p>
    <w:p w:rsidR="00FF65EE">
      <w:pPr>
        <w:pStyle w:val="ListParagraph"/>
        <w:spacing w:line="5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w:t>
      </w:r>
      <w:r>
        <w:rPr>
          <w:rFonts w:asciiTheme="minorEastAsia" w:hAnsiTheme="minorEastAsia" w:cstheme="minorEastAsia" w:hint="eastAsia"/>
          <w:szCs w:val="21"/>
        </w:rPr>
        <w:t>气减函</w:t>
      </w:r>
      <w:r>
        <w:rPr>
          <w:rFonts w:asciiTheme="minorEastAsia" w:hAnsiTheme="minorEastAsia" w:cstheme="minorEastAsia" w:hint="eastAsia"/>
          <w:szCs w:val="21"/>
        </w:rPr>
        <w:t>〔</w:t>
      </w:r>
      <w:r>
        <w:rPr>
          <w:rFonts w:asciiTheme="minorEastAsia" w:hAnsiTheme="minorEastAsia" w:cstheme="minorEastAsia" w:hint="eastAsia"/>
          <w:szCs w:val="21"/>
        </w:rPr>
        <w:t>2016</w:t>
      </w:r>
      <w:r>
        <w:rPr>
          <w:rFonts w:asciiTheme="minorEastAsia" w:hAnsiTheme="minorEastAsia" w:cstheme="minorEastAsia" w:hint="eastAsia"/>
          <w:szCs w:val="21"/>
        </w:rPr>
        <w:t>〕</w:t>
      </w:r>
      <w:r>
        <w:rPr>
          <w:rFonts w:asciiTheme="minorEastAsia" w:hAnsiTheme="minorEastAsia" w:cstheme="minorEastAsia" w:hint="eastAsia"/>
          <w:szCs w:val="21"/>
        </w:rPr>
        <w:t>10</w:t>
      </w:r>
      <w:r>
        <w:rPr>
          <w:rFonts w:asciiTheme="minorEastAsia" w:hAnsiTheme="minorEastAsia" w:cstheme="minorEastAsia" w:hint="eastAsia"/>
          <w:szCs w:val="21"/>
        </w:rPr>
        <w:t>号）的要求。</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2.</w:t>
      </w:r>
      <w:r>
        <w:rPr>
          <w:rFonts w:asciiTheme="minorEastAsia" w:hAnsiTheme="minorEastAsia" w:cstheme="minorEastAsia" w:hint="eastAsia"/>
          <w:szCs w:val="21"/>
        </w:rPr>
        <w:t>包装</w:t>
      </w:r>
    </w:p>
    <w:p w:rsidR="00FF65EE">
      <w:pPr>
        <w:pStyle w:val="ListParagraph"/>
        <w:spacing w:line="560" w:lineRule="exact"/>
        <w:ind w:firstLine="420"/>
        <w:rPr>
          <w:rFonts w:asciiTheme="minorEastAsia" w:hAnsiTheme="minorEastAsia" w:cstheme="minorEastAsia"/>
          <w:szCs w:val="21"/>
        </w:rPr>
      </w:pPr>
      <w:r>
        <w:rPr>
          <w:rFonts w:asciiTheme="minorEastAsia" w:hAnsiTheme="minorEastAsia" w:cstheme="minorEastAsia" w:hint="eastAsia"/>
          <w:szCs w:val="21"/>
        </w:rPr>
        <w:t>炮弹应按危险品包装规范或者其他相关规定进行包装。</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3.</w:t>
      </w:r>
      <w:r>
        <w:rPr>
          <w:rFonts w:asciiTheme="minorEastAsia" w:hAnsiTheme="minorEastAsia" w:cstheme="minorEastAsia" w:hint="eastAsia"/>
          <w:szCs w:val="21"/>
        </w:rPr>
        <w:t>运输</w:t>
      </w:r>
    </w:p>
    <w:p w:rsidR="00FF65EE">
      <w:pPr>
        <w:pStyle w:val="ListParagraph"/>
        <w:spacing w:line="560" w:lineRule="exact"/>
        <w:ind w:firstLine="420"/>
        <w:rPr>
          <w:rFonts w:asciiTheme="minorEastAsia" w:hAnsiTheme="minorEastAsia" w:cstheme="minorEastAsia"/>
          <w:szCs w:val="21"/>
        </w:rPr>
      </w:pPr>
      <w:r>
        <w:rPr>
          <w:rFonts w:asciiTheme="minorEastAsia" w:hAnsiTheme="minorEastAsia" w:cstheme="minorEastAsia" w:hint="eastAsia"/>
          <w:szCs w:val="21"/>
        </w:rPr>
        <w:t>出厂验收合格后，中标供应商负责将产品运输到用户指定的地点，运输过程应当遵守国家有关武器装备、爆炸物品管理的法律、法规。</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（二）安装、调试</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1.</w:t>
      </w:r>
      <w:r>
        <w:rPr>
          <w:rFonts w:asciiTheme="minorEastAsia" w:hAnsiTheme="minorEastAsia" w:cstheme="minorEastAsia" w:hint="eastAsia"/>
          <w:szCs w:val="21"/>
        </w:rPr>
        <w:t>中标人将设备安装到采标人指定的地点，中标人须完成设备的基础安装和自身硬件</w:t>
      </w:r>
    </w:p>
    <w:p w:rsidR="00FF65EE">
      <w:pPr>
        <w:pStyle w:val="ListParagraph"/>
        <w:spacing w:line="5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的安装调试，设备安装调试及保修期</w:t>
      </w:r>
      <w:r>
        <w:rPr>
          <w:rFonts w:asciiTheme="minorEastAsia" w:hAnsiTheme="minorEastAsia" w:cstheme="minorEastAsia" w:hint="eastAsia"/>
          <w:szCs w:val="21"/>
        </w:rPr>
        <w:t>间涉及</w:t>
      </w:r>
      <w:r>
        <w:rPr>
          <w:rFonts w:asciiTheme="minorEastAsia" w:hAnsiTheme="minorEastAsia" w:cstheme="minorEastAsia" w:hint="eastAsia"/>
          <w:szCs w:val="21"/>
        </w:rPr>
        <w:t>的费用均由中标人负责；</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2.</w:t>
      </w:r>
      <w:r>
        <w:rPr>
          <w:rFonts w:asciiTheme="minorEastAsia" w:hAnsiTheme="minorEastAsia" w:cstheme="minorEastAsia" w:hint="eastAsia"/>
          <w:szCs w:val="21"/>
        </w:rPr>
        <w:t>设备安装调试过程中，中标人应作详细检验记录。安装调试结果应该符合有关标准</w:t>
      </w:r>
    </w:p>
    <w:p w:rsidR="00FF65EE">
      <w:pPr>
        <w:pStyle w:val="ListParagraph"/>
        <w:spacing w:line="5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的要求。检验记录应提供给采购人；</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3.</w:t>
      </w:r>
      <w:r>
        <w:rPr>
          <w:rFonts w:asciiTheme="minorEastAsia" w:hAnsiTheme="minorEastAsia" w:cstheme="minorEastAsia" w:hint="eastAsia"/>
          <w:szCs w:val="21"/>
        </w:rPr>
        <w:t>中标人提出设备调试的内容、项目、指标和方法，提供全部安装、调试过程中所需</w:t>
      </w:r>
    </w:p>
    <w:p w:rsidR="00FF65EE">
      <w:pPr>
        <w:pStyle w:val="ListParagraph"/>
        <w:spacing w:line="5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的特殊工具和易损件，并自带专用仪器仪表设备。</w:t>
      </w:r>
      <w:r>
        <w:rPr>
          <w:rFonts w:asciiTheme="minorEastAsia" w:hAnsiTheme="minorEastAsia" w:cstheme="minorEastAsia" w:hint="eastAsia"/>
          <w:szCs w:val="21"/>
        </w:rPr>
        <w:t>中标人有责任对采购人的技术人员提出的问题</w:t>
      </w:r>
      <w:r>
        <w:rPr>
          <w:rFonts w:asciiTheme="minorEastAsia" w:hAnsiTheme="minorEastAsia" w:cstheme="minorEastAsia" w:hint="eastAsia"/>
          <w:szCs w:val="21"/>
        </w:rPr>
        <w:t>作出</w:t>
      </w:r>
      <w:r>
        <w:rPr>
          <w:rFonts w:asciiTheme="minorEastAsia" w:hAnsiTheme="minorEastAsia" w:cstheme="minorEastAsia" w:hint="eastAsia"/>
          <w:szCs w:val="21"/>
        </w:rPr>
        <w:t>解答。调试应进行详细记录，</w:t>
      </w:r>
      <w:r>
        <w:rPr>
          <w:rFonts w:asciiTheme="minorEastAsia" w:hAnsiTheme="minorEastAsia" w:cstheme="minorEastAsia" w:hint="eastAsia"/>
          <w:szCs w:val="21"/>
        </w:rPr>
        <w:t xml:space="preserve"> </w:t>
      </w:r>
      <w:r>
        <w:rPr>
          <w:rFonts w:asciiTheme="minorEastAsia" w:hAnsiTheme="minorEastAsia" w:cstheme="minorEastAsia" w:hint="eastAsia"/>
          <w:szCs w:val="21"/>
        </w:rPr>
        <w:t>系统调试结束后，由中标</w:t>
      </w:r>
      <w:r>
        <w:rPr>
          <w:rFonts w:asciiTheme="minorEastAsia" w:hAnsiTheme="minorEastAsia" w:cstheme="minorEastAsia" w:hint="eastAsia"/>
          <w:szCs w:val="21"/>
        </w:rPr>
        <w:t>人设备</w:t>
      </w:r>
      <w:r>
        <w:rPr>
          <w:rFonts w:asciiTheme="minorEastAsia" w:hAnsiTheme="minorEastAsia" w:cstheme="minorEastAsia" w:hint="eastAsia"/>
          <w:szCs w:val="21"/>
        </w:rPr>
        <w:t>安装调试技术人员签字后交给采购人验收。</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（三）保修、售后服务</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1.</w:t>
      </w:r>
      <w:r>
        <w:rPr>
          <w:rFonts w:asciiTheme="minorEastAsia" w:hAnsiTheme="minorEastAsia" w:cstheme="minorEastAsia" w:hint="eastAsia"/>
          <w:szCs w:val="21"/>
        </w:rPr>
        <w:t>中标</w:t>
      </w:r>
      <w:r>
        <w:rPr>
          <w:rFonts w:asciiTheme="minorEastAsia" w:hAnsiTheme="minorEastAsia" w:cstheme="minorEastAsia" w:hint="eastAsia"/>
          <w:szCs w:val="21"/>
        </w:rPr>
        <w:t>人设备</w:t>
      </w:r>
      <w:r>
        <w:rPr>
          <w:rFonts w:asciiTheme="minorEastAsia" w:hAnsiTheme="minorEastAsia" w:cstheme="minorEastAsia" w:hint="eastAsia"/>
          <w:szCs w:val="21"/>
        </w:rPr>
        <w:t>售后质量保证期为出厂验收后</w:t>
      </w:r>
      <w:r>
        <w:rPr>
          <w:rFonts w:asciiTheme="minorEastAsia" w:hAnsiTheme="minorEastAsia" w:cstheme="minorEastAsia" w:hint="eastAsia"/>
          <w:szCs w:val="21"/>
        </w:rPr>
        <w:t>5</w:t>
      </w:r>
      <w:r>
        <w:rPr>
          <w:rFonts w:asciiTheme="minorEastAsia" w:hAnsiTheme="minorEastAsia" w:cstheme="minorEastAsia" w:hint="eastAsia"/>
          <w:szCs w:val="21"/>
        </w:rPr>
        <w:t>年，保修期内因设备设计、质量（包含但</w:t>
      </w:r>
    </w:p>
    <w:p w:rsidR="00FF65EE">
      <w:pPr>
        <w:pStyle w:val="ListParagraph"/>
        <w:spacing w:line="5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不限于哑弹、爆炸后碎片过大等）出现问题，所造成的直接或间接损失由中标供应商负责，并由中标供应商免费更换合格品；如因操作不当或不可抗拒的原因产生的问题，由中标人提供技术服务，如需收费，只收取成本费和差旅费。</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2.</w:t>
      </w:r>
      <w:r>
        <w:rPr>
          <w:rFonts w:asciiTheme="minorEastAsia" w:hAnsiTheme="minorEastAsia" w:cstheme="minorEastAsia" w:hint="eastAsia"/>
          <w:szCs w:val="21"/>
        </w:rPr>
        <w:t>因产品质量原因造成人员伤亡等事故时，中标供应商应迅速赶赴现场</w:t>
      </w:r>
      <w:r>
        <w:rPr>
          <w:rFonts w:asciiTheme="minorEastAsia" w:hAnsiTheme="minorEastAsia" w:cstheme="minorEastAsia" w:hint="eastAsia"/>
          <w:szCs w:val="21"/>
        </w:rPr>
        <w:t>，协助当地有关</w:t>
      </w:r>
    </w:p>
    <w:p w:rsidR="00FF65EE">
      <w:pPr>
        <w:pStyle w:val="ListParagraph"/>
        <w:spacing w:line="5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部门分析事故原因，承担应有的责任，并将产品质量原因分析报告报国务院气象主管机构。</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3.</w:t>
      </w:r>
      <w:r>
        <w:rPr>
          <w:rFonts w:asciiTheme="minorEastAsia" w:hAnsiTheme="minorEastAsia" w:cstheme="minorEastAsia" w:hint="eastAsia"/>
          <w:szCs w:val="21"/>
        </w:rPr>
        <w:t>能够每</w:t>
      </w:r>
      <w:r>
        <w:rPr>
          <w:rFonts w:asciiTheme="minorEastAsia" w:hAnsiTheme="minorEastAsia" w:cstheme="minorEastAsia" w:hint="eastAsia"/>
          <w:szCs w:val="21"/>
        </w:rPr>
        <w:t>5</w:t>
      </w:r>
      <w:r>
        <w:rPr>
          <w:rFonts w:asciiTheme="minorEastAsia" w:hAnsiTheme="minorEastAsia" w:cstheme="minorEastAsia" w:hint="eastAsia"/>
          <w:szCs w:val="21"/>
        </w:rPr>
        <w:t>年（无废旧故障</w:t>
      </w:r>
      <w:r>
        <w:rPr>
          <w:rFonts w:asciiTheme="minorEastAsia" w:hAnsiTheme="minorEastAsia" w:cstheme="minorEastAsia" w:hint="eastAsia"/>
          <w:szCs w:val="21"/>
        </w:rPr>
        <w:t>弹产生</w:t>
      </w:r>
      <w:r>
        <w:rPr>
          <w:rFonts w:asciiTheme="minorEastAsia" w:hAnsiTheme="minorEastAsia" w:cstheme="minorEastAsia" w:hint="eastAsia"/>
          <w:szCs w:val="21"/>
        </w:rPr>
        <w:t>年份除外）进行一次免费废旧故障弹药回收；由弹药</w:t>
      </w:r>
    </w:p>
    <w:p w:rsidR="00FF65EE">
      <w:pPr>
        <w:pStyle w:val="ListParagraph"/>
        <w:spacing w:line="5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生产厂家负责废旧弹药的全省运输回收事宜，不得指定回收地点和方式；</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4.</w:t>
      </w:r>
      <w:r>
        <w:rPr>
          <w:rFonts w:asciiTheme="minorEastAsia" w:hAnsiTheme="minorEastAsia" w:cstheme="minorEastAsia" w:hint="eastAsia"/>
          <w:szCs w:val="21"/>
        </w:rPr>
        <w:t>中标人应提供保修期内外的技术服务流程，技术服务内容。</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5.</w:t>
      </w:r>
      <w:r>
        <w:rPr>
          <w:rFonts w:asciiTheme="minorEastAsia" w:hAnsiTheme="minorEastAsia" w:cstheme="minorEastAsia" w:hint="eastAsia"/>
          <w:szCs w:val="21"/>
        </w:rPr>
        <w:t>在保修期内，当设备或软件遭到损坏或出现故障时，要在采购人报修之时起</w:t>
      </w:r>
      <w:r>
        <w:rPr>
          <w:rFonts w:asciiTheme="minorEastAsia" w:hAnsiTheme="minorEastAsia" w:cstheme="minorEastAsia" w:hint="eastAsia"/>
          <w:szCs w:val="21"/>
        </w:rPr>
        <w:t>24</w:t>
      </w:r>
      <w:r>
        <w:rPr>
          <w:rFonts w:asciiTheme="minorEastAsia" w:hAnsiTheme="minorEastAsia" w:cstheme="minorEastAsia" w:hint="eastAsia"/>
          <w:szCs w:val="21"/>
        </w:rPr>
        <w:t>小时</w:t>
      </w:r>
    </w:p>
    <w:p w:rsidR="00FF65EE">
      <w:pPr>
        <w:pStyle w:val="ListParagraph"/>
        <w:spacing w:line="5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内做出响应，并在</w:t>
      </w:r>
      <w:r>
        <w:rPr>
          <w:rFonts w:asciiTheme="minorEastAsia" w:hAnsiTheme="minorEastAsia" w:cstheme="minorEastAsia" w:hint="eastAsia"/>
          <w:szCs w:val="21"/>
        </w:rPr>
        <w:t xml:space="preserve">48 </w:t>
      </w:r>
      <w:r>
        <w:rPr>
          <w:rFonts w:asciiTheme="minorEastAsia" w:hAnsiTheme="minorEastAsia" w:cstheme="minorEastAsia" w:hint="eastAsia"/>
          <w:szCs w:val="21"/>
        </w:rPr>
        <w:t>小时内到达现场，开展维修维护工作，视情况双方协商设备恢复正常运行时限。</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6.</w:t>
      </w:r>
      <w:r>
        <w:rPr>
          <w:rFonts w:asciiTheme="minorEastAsia" w:hAnsiTheme="minorEastAsia" w:cstheme="minorEastAsia" w:hint="eastAsia"/>
          <w:szCs w:val="21"/>
        </w:rPr>
        <w:t>保修期过后，中标人仍有义务提供技术服务（包括提供设备维护、备件等）。中标人</w:t>
      </w:r>
    </w:p>
    <w:p w:rsidR="00FF65EE">
      <w:pPr>
        <w:pStyle w:val="ListParagraph"/>
        <w:spacing w:line="5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应提供指定专人和专有联系方式，保证信息联系顺畅，为采购人提供方便。</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售后服务具体要求如下：</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 xml:space="preserve">6.1 </w:t>
      </w:r>
      <w:r>
        <w:rPr>
          <w:rFonts w:asciiTheme="minorEastAsia" w:hAnsiTheme="minorEastAsia" w:cstheme="minorEastAsia" w:hint="eastAsia"/>
          <w:szCs w:val="21"/>
        </w:rPr>
        <w:t>中标单位须在售后服务过程中建立不同的工程组，有序的投入到项目之中，并在每</w:t>
      </w:r>
    </w:p>
    <w:p w:rsidR="00FF65EE">
      <w:pPr>
        <w:pStyle w:val="ListParagraph"/>
        <w:spacing w:line="5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个</w:t>
      </w:r>
      <w:r>
        <w:rPr>
          <w:rFonts w:asciiTheme="minorEastAsia" w:hAnsiTheme="minorEastAsia" w:cstheme="minorEastAsia" w:hint="eastAsia"/>
          <w:szCs w:val="21"/>
        </w:rPr>
        <w:t>环节均实施质量控制，有售后服务文档记录，保证实施过程中所有的细节均有案可查，做到实施过程可追朔；</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 xml:space="preserve">6.2 </w:t>
      </w:r>
      <w:r>
        <w:rPr>
          <w:rFonts w:asciiTheme="minorEastAsia" w:hAnsiTheme="minorEastAsia" w:cstheme="minorEastAsia" w:hint="eastAsia"/>
          <w:szCs w:val="21"/>
        </w:rPr>
        <w:t>中标单位应制定项目回访制度，检查设备运行状况，解决使用者遇到的问题，对项</w:t>
      </w:r>
    </w:p>
    <w:p w:rsidR="00FF65EE">
      <w:pPr>
        <w:pStyle w:val="ListParagraph"/>
        <w:spacing w:line="5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目的实施提供参考意见和建议；</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 xml:space="preserve">6.3 </w:t>
      </w:r>
      <w:r>
        <w:rPr>
          <w:rFonts w:asciiTheme="minorEastAsia" w:hAnsiTheme="minorEastAsia" w:cstheme="minorEastAsia" w:hint="eastAsia"/>
          <w:szCs w:val="21"/>
        </w:rPr>
        <w:t>当设备出现故障，需要到现场进行抢修处理</w:t>
      </w:r>
      <w:r>
        <w:rPr>
          <w:rFonts w:asciiTheme="minorEastAsia" w:hAnsiTheme="minorEastAsia" w:cstheme="minorEastAsia" w:hint="eastAsia"/>
          <w:szCs w:val="21"/>
        </w:rPr>
        <w:t>时，将安排进行应急抢修，彻底解决排</w:t>
      </w:r>
    </w:p>
    <w:p w:rsidR="00FF65EE">
      <w:pPr>
        <w:pStyle w:val="ListParagraph"/>
        <w:spacing w:line="560" w:lineRule="exact"/>
        <w:ind w:firstLine="0" w:firstLineChars="0"/>
        <w:rPr>
          <w:rFonts w:asciiTheme="minorEastAsia" w:hAnsiTheme="minorEastAsia" w:cstheme="minorEastAsia"/>
          <w:szCs w:val="21"/>
        </w:rPr>
      </w:pPr>
      <w:r>
        <w:rPr>
          <w:rFonts w:asciiTheme="minorEastAsia" w:hAnsiTheme="minorEastAsia" w:cstheme="minorEastAsia" w:hint="eastAsia"/>
          <w:szCs w:val="21"/>
        </w:rPr>
        <w:t>除故障。</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（四）技术培训</w:t>
      </w:r>
    </w:p>
    <w:p w:rsidR="00FF65EE">
      <w:pPr>
        <w:pStyle w:val="ListParagraph"/>
        <w:spacing w:line="560" w:lineRule="exact"/>
        <w:ind w:firstLine="420"/>
        <w:rPr>
          <w:rFonts w:asciiTheme="minorEastAsia" w:hAnsiTheme="minorEastAsia" w:cstheme="minorEastAsia"/>
          <w:szCs w:val="21"/>
        </w:rPr>
      </w:pPr>
      <w:r>
        <w:rPr>
          <w:rFonts w:asciiTheme="minorEastAsia" w:hAnsiTheme="minorEastAsia" w:cstheme="minorEastAsia" w:hint="eastAsia"/>
          <w:szCs w:val="21"/>
        </w:rPr>
        <w:t>中标人应免费提供每个用户单位</w:t>
      </w:r>
      <w:r>
        <w:rPr>
          <w:rFonts w:asciiTheme="minorEastAsia" w:hAnsiTheme="minorEastAsia" w:cstheme="minorEastAsia" w:hint="eastAsia"/>
          <w:szCs w:val="21"/>
        </w:rPr>
        <w:t>8</w:t>
      </w:r>
      <w:r>
        <w:rPr>
          <w:rFonts w:asciiTheme="minorEastAsia" w:hAnsiTheme="minorEastAsia" w:cstheme="minorEastAsia" w:hint="eastAsia"/>
          <w:szCs w:val="21"/>
        </w:rPr>
        <w:t>人次培训（达到熟练操作），免费向用户提供设备安装、调试以及软件技术培训。技术培训内容包括：设备工作原理、使用方法、日常维护及一般常见故障的诊断及排除等。并在培训时免费提供完整的培训资料，其中包括使用说明、工作原理、技术图纸、注意事项、安装调试方法和维修指南等。</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（五）技术支持</w:t>
      </w:r>
    </w:p>
    <w:p w:rsidR="00FF65EE">
      <w:pPr>
        <w:pStyle w:val="ListParagraph"/>
        <w:spacing w:line="560" w:lineRule="exact"/>
        <w:ind w:firstLine="420"/>
        <w:rPr>
          <w:rFonts w:asciiTheme="minorEastAsia" w:hAnsiTheme="minorEastAsia" w:cstheme="minorEastAsia"/>
          <w:szCs w:val="21"/>
        </w:rPr>
      </w:pPr>
      <w:r>
        <w:rPr>
          <w:rFonts w:asciiTheme="minorEastAsia" w:hAnsiTheme="minorEastAsia" w:cstheme="minorEastAsia" w:hint="eastAsia"/>
          <w:szCs w:val="21"/>
        </w:rPr>
        <w:t>中标供应商提供免费热线服务电话、保障服务货物收发联系部门及人员的名称和联系方式。炮弹的更换、过期弹的回收及销毁工作按照采购单位要求在约定时间内</w:t>
      </w:r>
      <w:r>
        <w:rPr>
          <w:rFonts w:asciiTheme="minorEastAsia" w:hAnsiTheme="minorEastAsia" w:cstheme="minorEastAsia" w:hint="eastAsia"/>
          <w:szCs w:val="21"/>
        </w:rPr>
        <w:t>完成。</w:t>
      </w:r>
    </w:p>
    <w:p w:rsidR="00FF65EE">
      <w:pPr>
        <w:pStyle w:val="ListParagraph"/>
        <w:spacing w:line="560" w:lineRule="exact"/>
        <w:ind w:left="420" w:firstLine="0" w:leftChars="200" w:firstLineChars="0"/>
        <w:rPr>
          <w:rFonts w:asciiTheme="minorEastAsia" w:hAnsiTheme="minorEastAsia" w:cstheme="minorEastAsia"/>
          <w:szCs w:val="21"/>
        </w:rPr>
      </w:pPr>
      <w:r>
        <w:rPr>
          <w:rFonts w:asciiTheme="minorEastAsia" w:hAnsiTheme="minorEastAsia" w:cstheme="minorEastAsia" w:hint="eastAsia"/>
          <w:szCs w:val="21"/>
        </w:rPr>
        <w:t>（六）技术资料</w:t>
      </w:r>
    </w:p>
    <w:p w:rsidR="00FF65EE">
      <w:pPr>
        <w:pStyle w:val="ListParagraph"/>
        <w:spacing w:line="560" w:lineRule="exact"/>
        <w:ind w:firstLine="420"/>
        <w:rPr>
          <w:rFonts w:asciiTheme="minorEastAsia" w:hAnsiTheme="minorEastAsia" w:cstheme="minorEastAsia"/>
          <w:szCs w:val="21"/>
        </w:rPr>
      </w:pPr>
      <w:r>
        <w:rPr>
          <w:rFonts w:asciiTheme="minorEastAsia" w:hAnsiTheme="minorEastAsia" w:cstheme="minorEastAsia" w:hint="eastAsia"/>
          <w:szCs w:val="21"/>
        </w:rPr>
        <w:t>提供完整的技术资料，包括：危险品生产、存储、运输、使用等安全保障手册；产品验收标准（含产品合格证验收清单等）；使用说明书及合同中要求的其他文件资料。</w:t>
      </w:r>
    </w:p>
    <w:p w:rsidR="00FF65EE">
      <w:pPr>
        <w:spacing w:line="560" w:lineRule="exact"/>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40"/>
        <w:gridCol w:w="1255"/>
        <w:gridCol w:w="1050"/>
        <w:gridCol w:w="1460"/>
        <w:gridCol w:w="1665"/>
        <w:gridCol w:w="1870"/>
        <w:gridCol w:w="62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增雨防雹弹</w:t>
            </w:r>
          </w:p>
        </w:tc>
        <w:tc>
          <w:tcPr/>
          <w:p>
            <w:pPr>
              <w:autoSpaceDE w:val="0"/>
              <w:jc w:val="center"/>
              <w:rPr>
                <w:rFonts w:asciiTheme="minorEastAsia" w:hAnsiTheme="minorEastAsia" w:cstheme="minorEastAsia"/>
                <w:kern w:val="0"/>
                <w:szCs w:val="21"/>
              </w:rPr>
            </w:pPr>
            <w:r>
              <w:t>9700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3,065,200.00</w:t>
            </w:r>
          </w:p>
        </w:tc>
        <w:tc>
          <w:tcPr/>
          <w:p>
            <w:pPr>
              <w:autoSpaceDE w:val="0"/>
              <w:jc w:val="center"/>
              <w:rPr>
                <w:rFonts w:asciiTheme="minorEastAsia" w:hAnsiTheme="minorEastAsia" w:cstheme="minorEastAsia" w:hint="eastAsia"/>
                <w:kern w:val="0"/>
                <w:szCs w:val="21"/>
              </w:rPr>
            </w:pPr>
            <w:r>
              <w:t>合同签订后30天内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3,065,200.00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14"/>
        <w:gridCol w:w="1747"/>
        <w:gridCol w:w="1007"/>
        <w:gridCol w:w="518"/>
        <w:gridCol w:w="1171"/>
        <w:gridCol w:w="976"/>
        <w:gridCol w:w="1171"/>
        <w:gridCol w:w="141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人影中心(001056007)</w:t>
            </w:r>
          </w:p>
        </w:tc>
        <w:tc>
          <w:tcPr/>
          <w:p>
            <w:r>
              <w:t>增雨防雹弹</w:t>
            </w:r>
          </w:p>
        </w:tc>
        <w:tc>
          <w:tcPr/>
          <w:p>
            <w:r>
              <w:t>9700</w:t>
            </w:r>
          </w:p>
        </w:tc>
        <w:tc>
          <w:tcPr/>
          <w:p>
            <w:r>
              <w:t>3065200.00</w:t>
            </w:r>
          </w:p>
        </w:tc>
        <w:tc>
          <w:tcPr/>
          <w:p>
            <w:r>
              <w:t xml:space="preserve">3065200.00  </w:t>
            </w:r>
          </w:p>
        </w:tc>
        <w:tc>
          <w:tcPr/>
          <w:p>
            <w:r>
              <w:t>甲方指定地点</w:t>
            </w:r>
          </w:p>
        </w:tc>
        <w:tc>
          <w:tcPr/>
          <w:p>
            <w:r>
              <w:t>刘莹13270856286</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FF65EE" w:rsidP="0059381D">
      <w:pPr>
        <w:spacing w:before="156" w:beforeLines="50" w:line="560" w:lineRule="exact"/>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C60C30">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C60C30">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82368">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C60C30">
            <w:pPr>
              <w:rPr>
                <w:sz w:val="18"/>
                <w:szCs w:val="18"/>
              </w:rPr>
            </w:pPr>
            <w:r>
              <w:rPr>
                <w:rFonts w:hint="eastAsia"/>
                <w:sz w:val="18"/>
                <w:szCs w:val="18"/>
              </w:rPr>
              <w:t>序号</w:t>
            </w:r>
          </w:p>
        </w:tc>
        <w:tc>
          <w:tcPr>
            <w:tcW w:w="898" w:type="dxa"/>
            <w:vAlign w:val="center"/>
          </w:tcPr>
          <w:p w:rsidR="00C60C30">
            <w:pPr>
              <w:jc w:val="center"/>
              <w:rPr>
                <w:sz w:val="18"/>
                <w:szCs w:val="18"/>
              </w:rPr>
            </w:pPr>
            <w:r>
              <w:rPr>
                <w:rFonts w:hint="eastAsia"/>
                <w:sz w:val="18"/>
                <w:szCs w:val="18"/>
              </w:rPr>
              <w:t>对应</w:t>
            </w:r>
          </w:p>
          <w:p w:rsidR="00C60C30">
            <w:pPr>
              <w:jc w:val="center"/>
              <w:rPr>
                <w:sz w:val="18"/>
                <w:szCs w:val="18"/>
              </w:rPr>
            </w:pPr>
            <w:r>
              <w:rPr>
                <w:rFonts w:hint="eastAsia"/>
                <w:sz w:val="18"/>
                <w:szCs w:val="18"/>
              </w:rPr>
              <w:t>条款号</w:t>
            </w:r>
          </w:p>
        </w:tc>
        <w:tc>
          <w:tcPr>
            <w:tcW w:w="7347" w:type="dxa"/>
            <w:vAlign w:val="center"/>
          </w:tcPr>
          <w:p w:rsidR="00C60C30">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E82368">
        <w:tblPrEx>
          <w:tblW w:w="8789" w:type="dxa"/>
          <w:tblLayout w:type="fixed"/>
          <w:tblLook w:val="04A0"/>
        </w:tblPrEx>
        <w:trPr>
          <w:cantSplit/>
        </w:trPr>
        <w:tc>
          <w:tcPr>
            <w:tcW w:w="8789" w:type="dxa"/>
            <w:gridSpan w:val="3"/>
            <w:vAlign w:val="center"/>
          </w:tcPr>
          <w:p w:rsidR="00C60C30">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E82368">
        <w:tblPrEx>
          <w:tblW w:w="8789" w:type="dxa"/>
          <w:tblLayout w:type="fixed"/>
          <w:tblLook w:val="04A0"/>
        </w:tblPrEx>
        <w:trPr>
          <w:cantSplit/>
        </w:trPr>
        <w:tc>
          <w:tcPr>
            <w:tcW w:w="544" w:type="dxa"/>
            <w:vAlign w:val="center"/>
          </w:tcPr>
          <w:p w:rsidR="00C60C30">
            <w:pPr>
              <w:numPr>
                <w:ilvl w:val="0"/>
                <w:numId w:val="13"/>
              </w:numPr>
              <w:rPr>
                <w:rFonts w:ascii="宋体" w:hAnsi="宋体" w:hint="eastAsia"/>
                <w:sz w:val="18"/>
                <w:szCs w:val="18"/>
              </w:rPr>
            </w:pPr>
          </w:p>
        </w:tc>
        <w:tc>
          <w:tcPr>
            <w:tcW w:w="898" w:type="dxa"/>
            <w:vAlign w:val="center"/>
          </w:tcPr>
          <w:p w:rsidR="00C60C30">
            <w:pPr>
              <w:jc w:val="center"/>
              <w:rPr>
                <w:rFonts w:ascii="宋体" w:hAnsi="宋体" w:hint="eastAsia"/>
                <w:sz w:val="18"/>
                <w:szCs w:val="18"/>
              </w:rPr>
            </w:pPr>
            <w:r>
              <w:rPr>
                <w:rFonts w:ascii="宋体" w:hAnsi="宋体" w:hint="eastAsia"/>
                <w:sz w:val="18"/>
                <w:szCs w:val="18"/>
              </w:rPr>
              <w:t>-</w:t>
            </w:r>
          </w:p>
        </w:tc>
        <w:tc>
          <w:tcPr>
            <w:tcW w:w="7347" w:type="dxa"/>
          </w:tcPr>
          <w:p w:rsidR="00C60C30">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w:t>
            </w:r>
          </w:p>
        </w:tc>
      </w:tr>
      <w:tr w:rsidTr="00E82368">
        <w:tblPrEx>
          <w:tblW w:w="8789" w:type="dxa"/>
          <w:tblLayout w:type="fixed"/>
          <w:tblLook w:val="04A0"/>
        </w:tblPrEx>
        <w:trPr>
          <w:cantSplit/>
        </w:trPr>
        <w:tc>
          <w:tcPr>
            <w:tcW w:w="544" w:type="dxa"/>
            <w:vAlign w:val="center"/>
          </w:tcPr>
          <w:p w:rsidR="00C60C30">
            <w:pPr>
              <w:numPr>
                <w:ilvl w:val="0"/>
                <w:numId w:val="13"/>
              </w:numPr>
              <w:rPr>
                <w:rFonts w:ascii="宋体" w:hAnsi="宋体" w:hint="eastAsia"/>
                <w:sz w:val="18"/>
                <w:szCs w:val="18"/>
              </w:rPr>
            </w:pPr>
          </w:p>
        </w:tc>
        <w:tc>
          <w:tcPr>
            <w:tcW w:w="898" w:type="dxa"/>
            <w:vAlign w:val="center"/>
          </w:tcPr>
          <w:p w:rsidR="00C60C30">
            <w:pPr>
              <w:jc w:val="center"/>
              <w:rPr>
                <w:rFonts w:ascii="宋体" w:hAnsi="宋体" w:hint="eastAsia"/>
                <w:sz w:val="18"/>
                <w:szCs w:val="18"/>
              </w:rPr>
            </w:pPr>
            <w:r>
              <w:rPr>
                <w:rFonts w:ascii="宋体" w:hAnsi="宋体" w:hint="eastAsia"/>
                <w:sz w:val="18"/>
                <w:szCs w:val="18"/>
              </w:rPr>
              <w:t>-</w:t>
            </w:r>
          </w:p>
        </w:tc>
        <w:tc>
          <w:tcPr>
            <w:tcW w:w="7347" w:type="dxa"/>
            <w:vAlign w:val="center"/>
          </w:tcPr>
          <w:p w:rsidR="00C60C30">
            <w:pPr>
              <w:rPr>
                <w:rFonts w:cs="微软雅黑" w:hint="eastAsia"/>
                <w:b/>
                <w:color w:val="0000FF"/>
                <w:kern w:val="0"/>
                <w:sz w:val="18"/>
                <w:szCs w:val="18"/>
              </w:rPr>
            </w:pPr>
            <w:r>
              <w:rPr>
                <w:rFonts w:cs="微软雅黑" w:hint="eastAsia"/>
                <w:b/>
                <w:color w:val="0000FF"/>
                <w:kern w:val="0"/>
                <w:sz w:val="18"/>
                <w:szCs w:val="18"/>
              </w:rPr>
              <w:t>-</w:t>
            </w:r>
          </w:p>
        </w:tc>
      </w:tr>
      <w:tr w:rsidTr="00E82368">
        <w:tblPrEx>
          <w:tblW w:w="8789" w:type="dxa"/>
          <w:tblLayout w:type="fixed"/>
          <w:tblLook w:val="04A0"/>
        </w:tblPrEx>
        <w:trPr>
          <w:cantSplit/>
        </w:trPr>
        <w:tc>
          <w:tcPr>
            <w:tcW w:w="8789" w:type="dxa"/>
            <w:gridSpan w:val="3"/>
            <w:vAlign w:val="center"/>
          </w:tcPr>
          <w:p w:rsidR="00C60C30">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E82368">
        <w:tblPrEx>
          <w:tblW w:w="8789" w:type="dxa"/>
          <w:tblLayout w:type="fixed"/>
          <w:tblLook w:val="04A0"/>
        </w:tblPrEx>
        <w:trPr>
          <w:cantSplit/>
        </w:trPr>
        <w:tc>
          <w:tcPr>
            <w:tcW w:w="544" w:type="dxa"/>
            <w:vAlign w:val="center"/>
          </w:tcPr>
          <w:p w:rsidR="00C60C30">
            <w:pPr>
              <w:numPr>
                <w:ilvl w:val="0"/>
                <w:numId w:val="13"/>
              </w:numPr>
              <w:rPr>
                <w:rFonts w:ascii="宋体" w:hAnsi="宋体" w:hint="eastAsia"/>
                <w:sz w:val="18"/>
                <w:szCs w:val="18"/>
              </w:rPr>
            </w:pPr>
          </w:p>
        </w:tc>
        <w:tc>
          <w:tcPr>
            <w:tcW w:w="898" w:type="dxa"/>
            <w:vAlign w:val="center"/>
          </w:tcPr>
          <w:p w:rsidR="00C60C30">
            <w:pPr>
              <w:jc w:val="center"/>
              <w:rPr>
                <w:rFonts w:ascii="宋体" w:hAnsi="宋体" w:hint="eastAsia"/>
                <w:sz w:val="18"/>
                <w:szCs w:val="18"/>
              </w:rPr>
            </w:pPr>
            <w:r>
              <w:rPr>
                <w:rFonts w:ascii="宋体" w:hAnsi="宋体" w:hint="eastAsia"/>
                <w:sz w:val="18"/>
                <w:szCs w:val="18"/>
              </w:rPr>
              <w:t>-</w:t>
            </w:r>
          </w:p>
        </w:tc>
        <w:tc>
          <w:tcPr>
            <w:tcW w:w="7347" w:type="dxa"/>
            <w:vAlign w:val="center"/>
          </w:tcPr>
          <w:p w:rsidR="00C60C30">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w:t>
            </w:r>
          </w:p>
        </w:tc>
      </w:tr>
    </w:tbl>
    <w:p w:rsidR="00C60C30">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C60C30">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FE"/>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6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DejaVu Sans"/>
    <w:panose1 w:val="020B0604020202020204"/>
    <w:charset w:val="01"/>
    <w:family w:val="swiss"/>
    <w:pitch w:val="variable"/>
    <w:sig w:usb0="E0002EFF" w:usb1="C000785B" w:usb2="00000009" w:usb3="00000000" w:csb0="400001FF" w:csb1="FFFF0000"/>
  </w:font>
  <w:font w:name="黑体">
    <w:altName w:val="方正黑体_GBK"/>
    <w:panose1 w:val="02010609060101010101"/>
    <w:charset w:val="86"/>
    <w:family w:val="modern"/>
    <w:pitch w:val="fixed"/>
    <w:sig w:usb0="800002BF" w:usb1="38CF7CFA" w:usb2="00000016" w:usb3="00000000" w:csb0="00040001" w:csb1="00000000"/>
  </w:font>
  <w:font w:name="Cambria">
    <w:altName w:val="Noto Sans Syriac Eastern"/>
    <w:panose1 w:val="02040503050406030204"/>
    <w:charset w:val="00"/>
    <w:family w:val="roman"/>
    <w:pitch w:val="variable"/>
    <w:sig w:usb0="E00006FF" w:usb1="420024FF" w:usb2="02000000" w:usb3="00000000" w:csb0="2000019F" w:csb1="00000000"/>
  </w:font>
  <w:font w:name="微软雅黑">
    <w:altName w:val="方正黑体_GBK"/>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DejaVu Sans"/>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方正仿宋_GBK">
    <w:panose1 w:val="02000000000000000000"/>
    <w:charset w:val="86"/>
    <w:family w:val="auto"/>
    <w:pitch w:val="default"/>
    <w:sig w:usb0="00000001" w:usb1="08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汉仪书宋二S">
    <w:altName w:val="方正书宋_GBK"/>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81D"/>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0C30"/>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5EE"/>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