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极端天气监测预警能力提升工程可行性研究报告编制服务</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ZQCD-26205</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2026年09月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0" w:name="采购人_recorderOrgName"/>
      <w:r>
        <w:rPr>
          <w:rFonts w:ascii="宋体" w:hAnsi="宋体" w:cs="微软雅黑"/>
          <w:b/>
          <w:color w:val="0000FF"/>
          <w:kern w:val="0"/>
          <w:szCs w:val="21"/>
        </w:rPr>
        <w:t>湖北省气象数据中心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极端天气监测预警能力提升工程可行性研究报告编制服务</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ZQCD-26205</w:t>
      </w:r>
      <w:bookmarkEnd w:id="22"/>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合同签订后60日内提交可行性研究报告</w:t>
      </w:r>
      <w:bookmarkEnd w:id="24"/>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武汉</w:t>
      </w:r>
      <w:bookmarkEnd w:id="25"/>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6" w:name="项目公告_signUpFirstTime"/>
      <w:r>
        <w:rPr>
          <w:rFonts w:ascii="宋体" w:hint="eastAsia"/>
          <w:szCs w:val="21"/>
          <w:highlight w:val="none"/>
        </w:rPr>
        <w:t>2026年09月17日 00:00:00</w:t>
      </w:r>
      <w:bookmarkEnd w:id="26"/>
      <w:r>
        <w:rPr>
          <w:rFonts w:ascii="宋体" w:hint="eastAsia"/>
          <w:szCs w:val="21"/>
          <w:highlight w:val="none"/>
        </w:rPr>
        <w:t>至</w:t>
      </w:r>
      <w:bookmarkStart w:id="27" w:name="项目公告_signUpLastTime"/>
      <w:r>
        <w:rPr>
          <w:rFonts w:ascii="宋体" w:hint="eastAsia"/>
          <w:szCs w:val="21"/>
          <w:highlight w:val="none"/>
        </w:rPr>
        <w:t>2026年09月21日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9" w:name="项目公告_openBidTime"/>
      <w:r>
        <w:rPr>
          <w:rFonts w:asciiTheme="minorEastAsia" w:eastAsiaTheme="minorEastAsia" w:hAnsiTheme="minorEastAsia" w:hint="eastAsia"/>
          <w:bCs/>
          <w:szCs w:val="21"/>
          <w:highlight w:val="none"/>
        </w:rPr>
        <w:t>2026年09月22日 14:00:00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刘亚明</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68400081</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湖北省气象数据中心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田丹</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027-67848016</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湖北省武汉市洪山区东湖东路3号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湖北省气象数据中心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3 人的服务团队，具体要求详见第六章采购需求。</w:t>
            </w:r>
            <w:bookmarkEnd w:id="42"/>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4" w:name="选择是否为货物_includingGoodsFlagText"/>
            <w:r>
              <w:rPr>
                <w:rFonts w:ascii="宋体" w:eastAsia="宋体" w:hAnsi="宋体" w:cs="Times New Roman" w:hint="eastAsia"/>
                <w:bCs/>
                <w:szCs w:val="21"/>
                <w:highlight w:val="none"/>
              </w:rPr>
              <w:t>否</w:t>
            </w:r>
            <w:bookmarkEnd w:id="44"/>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5" w:name="进口产品_agentMaterials"/>
            <w:bookmarkEnd w:id="45"/>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（1）标的：可行性研究报告编制服务    ，属于  其他未列明行业；</w:t>
            </w:r>
            <w:bookmarkEnd w:id="46"/>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是，中标服务费：0.0万元。</w:t>
            </w:r>
            <w:bookmarkEnd w:id="48"/>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49.000000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49.000000 万元</w:t>
            </w:r>
            <w:bookmarkEnd w:id="52"/>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1E85D960">
      <w:pPr>
        <w:spacing w:before="156" w:beforeLines="50" w:line="360" w:lineRule="auto"/>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  采购需求</w:t>
      </w:r>
    </w:p>
    <w:p w14:paraId="68027847">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w:t>
      </w:r>
      <w:r>
        <w:rPr>
          <w:rFonts w:ascii="宋体" w:eastAsia="宋体" w:hAnsi="宋体" w:cs="Times New Roman" w:hint="eastAsia"/>
          <w:szCs w:val="21"/>
          <w:lang w:val="en-US" w:eastAsia="zh-CN"/>
        </w:rPr>
        <w:t>一</w:t>
      </w:r>
      <w:r>
        <w:rPr>
          <w:rFonts w:ascii="宋体" w:eastAsia="宋体" w:hAnsi="宋体" w:cs="Times New Roman" w:hint="eastAsia"/>
          <w:szCs w:val="21"/>
        </w:rPr>
        <w:t>）采购标的需实现的功能或者目标，以及为落实政府采购政策需满足的要求</w:t>
      </w:r>
    </w:p>
    <w:p w14:paraId="47F1062D">
      <w:pPr>
        <w:snapToGrid w:val="0"/>
        <w:spacing w:line="360" w:lineRule="auto"/>
        <w:ind w:firstLine="420"/>
        <w:jc w:val="left"/>
        <w:rPr>
          <w:rFonts w:ascii="宋体" w:eastAsia="宋体" w:hAnsi="宋体" w:cs="Times New Roman" w:hint="default"/>
          <w:szCs w:val="21"/>
        </w:rPr>
      </w:pPr>
      <w:r>
        <w:rPr>
          <w:rFonts w:ascii="宋体" w:eastAsia="宋体" w:hAnsi="宋体" w:cs="Times New Roman" w:hint="eastAsia"/>
          <w:szCs w:val="21"/>
          <w:lang w:val="en-US" w:eastAsia="zh-CN"/>
        </w:rPr>
        <w:t xml:space="preserve"> </w:t>
      </w:r>
      <w:r>
        <w:rPr>
          <w:rFonts w:ascii="宋体" w:eastAsia="宋体" w:hAnsi="宋体" w:cs="Times New Roman" w:hint="eastAsia"/>
          <w:szCs w:val="21"/>
        </w:rPr>
        <w:t>本采购标的为可行性研究报告编制服务，需实现以下目标：受托方依据《政府投资项目可行性研究报告编写通用大纲（2023年版）》（发改投资规〔2023〕304号），对极端天气监测预警能力提升工程开展全面可行性论证，编制符合审批深度的可行性研究报告，为项目立项审批提供决策依据</w:t>
      </w:r>
      <w:r>
        <w:rPr>
          <w:rFonts w:ascii="宋体" w:eastAsia="宋体" w:hAnsi="宋体" w:cs="Times New Roman" w:hint="default"/>
          <w:szCs w:val="21"/>
        </w:rPr>
        <w:t>。报告应涵盖项目建设必要性、需求分析与产出方案、建设方案（含自动气象站、X波段雷达、垂直观测系统及软件平台升级的技术路线）、投资估算（约3.8亿元）及资金筹措、运营方案、影响效果分析、风险管控方案等内容，确保项目技术可行、经济合理、风险可控。</w:t>
      </w:r>
      <w:r>
        <w:rPr>
          <w:rFonts w:ascii="宋体" w:eastAsia="宋体" w:hAnsi="宋体" w:cs="Times New Roman" w:hint="eastAsia"/>
          <w:szCs w:val="21"/>
          <w:lang w:val="en-US" w:eastAsia="zh-CN"/>
        </w:rPr>
        <w:t>本项目不专门面向中小企业采购。</w:t>
      </w:r>
    </w:p>
    <w:p w14:paraId="00AC444C">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（二）采购标的需执行的国家相关标准、行业标准、地方标准或者其他标准、规范</w:t>
      </w:r>
    </w:p>
    <w:p w14:paraId="13AD5190">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1.</w:t>
      </w:r>
      <w:r>
        <w:rPr>
          <w:rFonts w:ascii="宋体" w:eastAsia="宋体" w:hAnsi="宋体" w:cs="Times New Roman" w:hint="eastAsia"/>
          <w:szCs w:val="21"/>
        </w:rPr>
        <w:t>核心规范：《政府投资项目可行性研究报告编写通用大纲（2023年版）》及《关于投资项目可行性研究报告编写大纲的说明（2023年版）》（发改投资规〔2023〕304号）。</w:t>
      </w:r>
    </w:p>
    <w:p w14:paraId="112B4FDA">
      <w:p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2.</w:t>
      </w:r>
      <w:r>
        <w:rPr>
          <w:rFonts w:ascii="宋体" w:eastAsia="宋体" w:hAnsi="宋体" w:cs="Times New Roman" w:hint="eastAsia"/>
          <w:szCs w:val="21"/>
        </w:rPr>
        <w:t>气象行业标准：项目建设内容涉及的气象观测设备及软件平台，其技术方案论证须参考气象行业现行标准，包括自动气象站、天气雷达、垂直观测系统等设备相关的功能规格需求书及技术规范。</w:t>
      </w:r>
    </w:p>
    <w:p w14:paraId="2708916B">
      <w:p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3.</w:t>
      </w:r>
      <w:r>
        <w:rPr>
          <w:rFonts w:ascii="宋体" w:eastAsia="宋体" w:hAnsi="宋体" w:cs="Times New Roman" w:hint="eastAsia"/>
          <w:szCs w:val="21"/>
        </w:rPr>
        <w:t>投资估算标准：投资估算编制应参照国家及地方现行工程咨询计价依据及气象行业类似项目造价水平。</w:t>
      </w:r>
    </w:p>
    <w:p w14:paraId="0492B0B1">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4.</w:t>
      </w:r>
      <w:r>
        <w:rPr>
          <w:rFonts w:ascii="宋体" w:eastAsia="宋体" w:hAnsi="宋体" w:cs="Times New Roman" w:hint="eastAsia"/>
          <w:szCs w:val="21"/>
        </w:rPr>
        <w:t>其他适用规范：国家及地方现行有效的政府投资项目管理办法、工程咨询行业规范等</w:t>
      </w:r>
    </w:p>
    <w:p w14:paraId="483F4FC4">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（三）采购标的需满足的质量、安全、技术规格、物理特性等要求</w:t>
      </w:r>
    </w:p>
    <w:p w14:paraId="0A5DE791">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1.</w:t>
      </w:r>
      <w:r>
        <w:rPr>
          <w:rFonts w:ascii="宋体" w:eastAsia="宋体" w:hAnsi="宋体" w:cs="Times New Roman" w:hint="eastAsia"/>
          <w:szCs w:val="21"/>
        </w:rPr>
        <w:t>可行性研究报告须内容完整、数据准确、论证充分、结论明确，符合政府投资项目审批的深度和质量要求。报告编制过程应坚持客观、公正、科学、可靠的原则。</w:t>
      </w:r>
    </w:p>
    <w:p w14:paraId="624EA496">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2.</w:t>
      </w:r>
      <w:r>
        <w:rPr>
          <w:rFonts w:ascii="宋体" w:eastAsia="宋体" w:hAnsi="宋体" w:cs="Times New Roman" w:hint="eastAsia"/>
          <w:szCs w:val="21"/>
        </w:rPr>
        <w:t>编制深度：报告须覆盖《通用大纲》规定的全部章节，对自动气象站布点方案、X波段雷达选型及站址论证、垂直观测系统技术路线、软件平台升级方案等进行专项技术论证。</w:t>
      </w:r>
    </w:p>
    <w:p w14:paraId="76F190C2">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3.</w:t>
      </w:r>
      <w:r>
        <w:rPr>
          <w:rFonts w:ascii="宋体" w:eastAsia="宋体" w:hAnsi="宋体" w:cs="Times New Roman" w:hint="eastAsia"/>
          <w:szCs w:val="21"/>
        </w:rPr>
        <w:t>专业能力：供应商应具备气象工程、电子信息、投资咨询等相关专业领域的咨询能力，熟悉气象观测设备及气象信息化平台的技术特点。</w:t>
      </w:r>
    </w:p>
    <w:p w14:paraId="51C81786">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4.</w:t>
      </w:r>
      <w:r>
        <w:rPr>
          <w:rFonts w:ascii="宋体" w:eastAsia="宋体" w:hAnsi="宋体" w:cs="Times New Roman" w:hint="eastAsia"/>
          <w:szCs w:val="21"/>
        </w:rPr>
        <w:t>成果形式：提交可行性研究报告纸质版12份及电子版，格式符合报批要求。</w:t>
      </w:r>
    </w:p>
    <w:p w14:paraId="4705FBC1">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5.</w:t>
      </w:r>
      <w:r>
        <w:rPr>
          <w:rFonts w:ascii="宋体" w:eastAsia="宋体" w:hAnsi="宋体" w:cs="Times New Roman" w:hint="eastAsia"/>
          <w:szCs w:val="21"/>
        </w:rPr>
        <w:t>报告涉及设备安装、数据安全等内容时，须论证安全方案的可行性，确保符合国家网络安全及气象数据安全相关规定。</w:t>
      </w:r>
    </w:p>
    <w:p w14:paraId="1B96CCFD">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rPr>
        <w:t>（四）采购标的的数量、采购项目交付或者实施的时间和地点</w:t>
      </w:r>
    </w:p>
    <w:p w14:paraId="42E91375">
      <w:pPr>
        <w:snapToGrid w:val="0"/>
        <w:spacing w:line="360" w:lineRule="auto"/>
        <w:ind w:firstLine="420"/>
        <w:jc w:val="left"/>
        <w:rPr>
          <w:rFonts w:ascii="宋体" w:eastAsia="宋体" w:hAnsi="宋体" w:cs="Times New Roman" w:hint="default"/>
          <w:szCs w:val="21"/>
        </w:rPr>
      </w:pPr>
      <w:r>
        <w:rPr>
          <w:rFonts w:ascii="宋体" w:eastAsia="宋体" w:hAnsi="宋体" w:cs="Times New Roman" w:hint="eastAsia"/>
          <w:szCs w:val="21"/>
          <w:lang w:val="en-US" w:eastAsia="zh-CN"/>
        </w:rPr>
        <w:t>1.</w:t>
      </w:r>
      <w:r>
        <w:rPr>
          <w:rFonts w:ascii="宋体" w:eastAsia="宋体" w:hAnsi="宋体" w:cs="Times New Roman" w:hint="default"/>
          <w:szCs w:val="21"/>
        </w:rPr>
        <w:t>采购</w:t>
      </w:r>
      <w:r>
        <w:rPr>
          <w:rFonts w:ascii="宋体" w:eastAsia="宋体" w:hAnsi="宋体" w:cs="Times New Roman" w:hint="eastAsia"/>
          <w:szCs w:val="21"/>
          <w:lang w:val="en-US" w:eastAsia="zh-CN"/>
        </w:rPr>
        <w:t>数量：</w:t>
      </w:r>
      <w:r>
        <w:rPr>
          <w:rFonts w:ascii="宋体" w:eastAsia="宋体" w:hAnsi="宋体" w:cs="Times New Roman" w:hint="default"/>
          <w:szCs w:val="21"/>
        </w:rPr>
        <w:t>可行性研究报告编制服务，数量为1项。</w:t>
      </w:r>
    </w:p>
    <w:p w14:paraId="73D3CCA9">
      <w:pPr>
        <w:snapToGrid w:val="0"/>
        <w:spacing w:line="360" w:lineRule="auto"/>
        <w:ind w:firstLine="420"/>
        <w:jc w:val="left"/>
        <w:rPr>
          <w:rFonts w:ascii="宋体" w:eastAsia="宋体" w:hAnsi="宋体" w:cs="Times New Roman" w:hint="default"/>
          <w:szCs w:val="21"/>
        </w:rPr>
      </w:pPr>
      <w:r>
        <w:rPr>
          <w:rFonts w:ascii="宋体" w:eastAsia="宋体" w:hAnsi="宋体" w:cs="Times New Roman" w:hint="eastAsia"/>
          <w:szCs w:val="21"/>
          <w:lang w:val="en-US" w:eastAsia="zh-CN"/>
        </w:rPr>
        <w:t>2.</w:t>
      </w:r>
      <w:r>
        <w:rPr>
          <w:rFonts w:ascii="宋体" w:eastAsia="宋体" w:hAnsi="宋体" w:cs="Times New Roman" w:hint="default"/>
          <w:szCs w:val="21"/>
        </w:rPr>
        <w:t>交付时间</w:t>
      </w:r>
      <w:r>
        <w:rPr>
          <w:rFonts w:ascii="宋体" w:eastAsia="宋体" w:hAnsi="宋体" w:cs="Times New Roman" w:hint="eastAsia"/>
          <w:szCs w:val="21"/>
          <w:lang w:eastAsia="zh-CN"/>
        </w:rPr>
        <w:t>：</w:t>
      </w:r>
      <w:r>
        <w:rPr>
          <w:rFonts w:ascii="宋体" w:eastAsia="宋体" w:hAnsi="宋体" w:cs="Times New Roman" w:hint="default"/>
          <w:szCs w:val="21"/>
        </w:rPr>
        <w:t>合同签订后</w:t>
      </w:r>
      <w:r>
        <w:rPr>
          <w:rFonts w:ascii="宋体" w:eastAsia="宋体" w:hAnsi="宋体" w:cs="Times New Roman" w:hint="eastAsia"/>
          <w:szCs w:val="21"/>
          <w:lang w:val="en-US" w:eastAsia="zh-CN"/>
        </w:rPr>
        <w:t>60</w:t>
      </w:r>
      <w:r>
        <w:rPr>
          <w:rFonts w:ascii="宋体" w:eastAsia="宋体" w:hAnsi="宋体" w:cs="Times New Roman" w:hint="default"/>
          <w:szCs w:val="21"/>
        </w:rPr>
        <w:t>日内完成可行性研究报告初稿编制；根据审查意见在</w:t>
      </w:r>
      <w:r>
        <w:rPr>
          <w:rFonts w:ascii="宋体" w:eastAsia="宋体" w:hAnsi="宋体" w:cs="Times New Roman" w:hint="eastAsia"/>
          <w:szCs w:val="21"/>
          <w:lang w:val="en-US" w:eastAsia="zh-CN"/>
        </w:rPr>
        <w:t>15</w:t>
      </w:r>
      <w:r>
        <w:rPr>
          <w:rFonts w:ascii="宋体" w:eastAsia="宋体" w:hAnsi="宋体" w:cs="Times New Roman" w:hint="default"/>
          <w:szCs w:val="21"/>
        </w:rPr>
        <w:t>个日历天内完成修改并提交最终成果。整体服务期至报</w:t>
      </w:r>
      <w:r>
        <w:rPr>
          <w:rFonts w:ascii="宋体" w:eastAsia="宋体" w:hAnsi="宋体" w:cs="Times New Roman" w:hint="default"/>
          <w:szCs w:val="21"/>
        </w:rPr>
        <w:t>告通过审批之日止。</w:t>
      </w:r>
    </w:p>
    <w:p w14:paraId="5BE1618A">
      <w:pPr>
        <w:snapToGrid w:val="0"/>
        <w:spacing w:line="360" w:lineRule="auto"/>
        <w:ind w:firstLine="420"/>
        <w:jc w:val="left"/>
        <w:rPr>
          <w:rFonts w:ascii="宋体" w:eastAsia="宋体" w:hAnsi="宋体" w:cs="Times New Roman" w:hint="eastAsia"/>
          <w:szCs w:val="21"/>
        </w:rPr>
      </w:pPr>
      <w:r>
        <w:rPr>
          <w:rFonts w:ascii="宋体" w:eastAsia="宋体" w:hAnsi="宋体" w:cs="Times New Roman" w:hint="eastAsia"/>
          <w:szCs w:val="21"/>
          <w:lang w:val="en-US" w:eastAsia="zh-CN"/>
        </w:rPr>
        <w:t>3.</w:t>
      </w:r>
      <w:r>
        <w:rPr>
          <w:rFonts w:ascii="宋体" w:eastAsia="宋体" w:hAnsi="宋体" w:cs="Times New Roman" w:hint="default"/>
          <w:szCs w:val="21"/>
        </w:rPr>
        <w:t>交付地点</w:t>
      </w:r>
      <w:r>
        <w:rPr>
          <w:rFonts w:ascii="宋体" w:eastAsia="宋体" w:hAnsi="宋体" w:cs="Times New Roman" w:hint="eastAsia"/>
          <w:szCs w:val="21"/>
          <w:lang w:eastAsia="zh-CN"/>
        </w:rPr>
        <w:t>：</w:t>
      </w:r>
      <w:r>
        <w:rPr>
          <w:rFonts w:ascii="宋体" w:eastAsia="宋体" w:hAnsi="宋体" w:cs="Times New Roman" w:hint="eastAsia"/>
          <w:szCs w:val="21"/>
          <w:lang w:val="en-US" w:eastAsia="zh-CN"/>
        </w:rPr>
        <w:t>武汉</w:t>
      </w:r>
    </w:p>
    <w:p w14:paraId="2350A8D9">
      <w:pPr>
        <w:numPr>
          <w:ilvl w:val="0"/>
          <w:numId w:val="4"/>
        </w:numPr>
        <w:snapToGrid w:val="0"/>
        <w:spacing w:line="360" w:lineRule="auto"/>
        <w:ind w:left="420" w:firstLine="0" w:leftChars="0" w:firstLineChars="0"/>
        <w:jc w:val="left"/>
        <w:rPr>
          <w:rFonts w:ascii="宋体" w:eastAsia="宋体" w:hAnsi="宋体" w:cs="Times New Roman" w:hint="eastAsia"/>
          <w:szCs w:val="21"/>
        </w:rPr>
      </w:pPr>
      <w:r>
        <w:rPr>
          <w:rFonts w:ascii="宋体" w:eastAsia="宋体" w:hAnsi="宋体" w:cs="Times New Roman" w:hint="eastAsia"/>
          <w:szCs w:val="21"/>
        </w:rPr>
        <w:t>采购标的需满足的服务标准、期限、效率等要求</w:t>
      </w:r>
    </w:p>
    <w:p w14:paraId="62921E0E">
      <w:pPr>
        <w:widowControl w:val="0"/>
        <w:numPr>
          <w:ilvl w:val="0"/>
          <w:numId w:val="0"/>
        </w:num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1.</w:t>
      </w:r>
      <w:r>
        <w:rPr>
          <w:rFonts w:ascii="宋体" w:eastAsia="宋体" w:hAnsi="宋体" w:cs="Times New Roman" w:hint="eastAsia"/>
          <w:szCs w:val="21"/>
        </w:rPr>
        <w:t>服务标准</w:t>
      </w:r>
      <w:r>
        <w:rPr>
          <w:rFonts w:ascii="宋体" w:eastAsia="宋体" w:hAnsi="宋体" w:cs="Times New Roman" w:hint="eastAsia"/>
          <w:szCs w:val="21"/>
          <w:lang w:eastAsia="zh-CN"/>
        </w:rPr>
        <w:t>：</w:t>
      </w:r>
      <w:r>
        <w:rPr>
          <w:rFonts w:ascii="宋体" w:eastAsia="宋体" w:hAnsi="宋体" w:cs="Times New Roman" w:hint="eastAsia"/>
          <w:szCs w:val="21"/>
        </w:rPr>
        <w:t>供应商须指派具备相应专业能力的项目负责人及团队，项目负责人应具有高级技术职称或相应执业资格。编制过程中须与采购人保持有效沟通，及时汇报工作进展，对采购人提出的合理修改要求及时响应。报告提交后，供应商须配合采购人完成报批程序中的解释、修改工作。</w:t>
      </w:r>
    </w:p>
    <w:p w14:paraId="5ECC6D7D">
      <w:pPr>
        <w:widowControl w:val="0"/>
        <w:numPr>
          <w:ilvl w:val="0"/>
          <w:numId w:val="0"/>
        </w:num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2.</w:t>
      </w:r>
      <w:r>
        <w:rPr>
          <w:rFonts w:ascii="宋体" w:eastAsia="宋体" w:hAnsi="宋体" w:cs="Times New Roman" w:hint="eastAsia"/>
          <w:szCs w:val="21"/>
        </w:rPr>
        <w:t>服务期限</w:t>
      </w:r>
      <w:r>
        <w:rPr>
          <w:rFonts w:ascii="宋体" w:eastAsia="宋体" w:hAnsi="宋体" w:cs="Times New Roman" w:hint="eastAsia"/>
          <w:szCs w:val="21"/>
          <w:lang w:eastAsia="zh-CN"/>
        </w:rPr>
        <w:t>：</w:t>
      </w:r>
      <w:r>
        <w:rPr>
          <w:rFonts w:ascii="宋体" w:eastAsia="宋体" w:hAnsi="宋体" w:cs="Times New Roman" w:hint="eastAsia"/>
          <w:szCs w:val="21"/>
        </w:rPr>
        <w:t>自合同签订之日起至可行性研究报告通过主管部门审查并提交最终成果之日止。报告提交后提供不少于6个月的后续技术咨询服务，配合立项申报及审批过程中的相关解释、修改工作。</w:t>
      </w:r>
    </w:p>
    <w:p w14:paraId="5B730682">
      <w:pPr>
        <w:widowControl w:val="0"/>
        <w:numPr>
          <w:ilvl w:val="0"/>
          <w:numId w:val="0"/>
        </w:num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3.</w:t>
      </w:r>
      <w:r>
        <w:rPr>
          <w:rFonts w:ascii="宋体" w:eastAsia="宋体" w:hAnsi="宋体" w:cs="Times New Roman" w:hint="eastAsia"/>
          <w:szCs w:val="21"/>
        </w:rPr>
        <w:t>服务效率</w:t>
      </w:r>
      <w:r>
        <w:rPr>
          <w:rFonts w:ascii="宋体" w:eastAsia="宋体" w:hAnsi="宋体" w:cs="Times New Roman" w:hint="eastAsia"/>
          <w:szCs w:val="21"/>
          <w:lang w:eastAsia="zh-CN"/>
        </w:rPr>
        <w:t>：</w:t>
      </w:r>
      <w:r>
        <w:rPr>
          <w:rFonts w:ascii="宋体" w:eastAsia="宋体" w:hAnsi="宋体" w:cs="Times New Roman" w:hint="eastAsia"/>
          <w:szCs w:val="21"/>
        </w:rPr>
        <w:t>对采购人提出的修改意见，供应商应在3个工作日内完成相应修改并反馈；对审批部门审查意见，应在5个工作日内完成修改并提交。</w:t>
      </w:r>
    </w:p>
    <w:p w14:paraId="08FED3EF">
      <w:pPr>
        <w:numPr>
          <w:ilvl w:val="0"/>
          <w:numId w:val="4"/>
        </w:numPr>
        <w:snapToGrid w:val="0"/>
        <w:spacing w:line="360" w:lineRule="auto"/>
        <w:ind w:left="420" w:firstLine="0" w:leftChars="0" w:firstLineChars="0"/>
        <w:jc w:val="left"/>
        <w:rPr>
          <w:rFonts w:ascii="宋体" w:eastAsia="宋体" w:hAnsi="宋体" w:cs="Times New Roman" w:hint="eastAsia"/>
          <w:szCs w:val="21"/>
        </w:rPr>
      </w:pPr>
      <w:r>
        <w:rPr>
          <w:rFonts w:ascii="宋体" w:eastAsia="宋体" w:hAnsi="宋体" w:cs="Times New Roman" w:hint="eastAsia"/>
          <w:szCs w:val="21"/>
        </w:rPr>
        <w:t>采购标的的验收标准；</w:t>
      </w:r>
    </w:p>
    <w:p w14:paraId="2C8CF0DE">
      <w:pPr>
        <w:widowControl w:val="0"/>
        <w:numPr>
          <w:ilvl w:val="0"/>
          <w:numId w:val="0"/>
        </w:num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以可行性研究报告通过主管部门审查并取得批复文件（或审查意见）作为最终验收依据。若因报告质量问题导致未能通过审查，供应商须无条件修改完善，由此产生的费用由供应商承担，且采购人有权依据合同约定追究相应责任。</w:t>
      </w:r>
    </w:p>
    <w:p w14:paraId="08837488">
      <w:pPr>
        <w:snapToGrid w:val="0"/>
        <w:spacing w:line="360" w:lineRule="auto"/>
        <w:jc w:val="left"/>
        <w:rPr>
          <w:rFonts w:ascii="宋体" w:eastAsia="宋体" w:hAnsi="宋体" w:cs="Times New Roman"/>
          <w:szCs w:val="21"/>
        </w:rPr>
      </w:pPr>
      <w:r>
        <w:rPr>
          <w:rFonts w:ascii="宋体" w:eastAsia="宋体" w:hAnsi="宋体" w:cs="Times New Roman" w:hint="eastAsia"/>
          <w:szCs w:val="21"/>
        </w:rPr>
        <w:t>　　（七）采购标的的其他技术、服务等要求。</w:t>
      </w:r>
    </w:p>
    <w:p w14:paraId="0A0F3D13">
      <w:pPr>
        <w:widowControl w:val="0"/>
        <w:numPr>
          <w:ilvl w:val="0"/>
          <w:numId w:val="0"/>
        </w:num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1.</w:t>
      </w:r>
      <w:r>
        <w:rPr>
          <w:rFonts w:ascii="宋体" w:eastAsia="宋体" w:hAnsi="宋体" w:cs="Times New Roman" w:hint="eastAsia"/>
          <w:szCs w:val="21"/>
        </w:rPr>
        <w:t>供应商须在全国投资项目在线审批监管平台完成备案（专业包含气象工程或电子、信息工程等相关专业），或具备相应工程咨询资信等级。</w:t>
      </w:r>
    </w:p>
    <w:p w14:paraId="2D30D66D">
      <w:pPr>
        <w:widowControl w:val="0"/>
        <w:numPr>
          <w:ilvl w:val="0"/>
          <w:numId w:val="0"/>
        </w:numPr>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2.</w:t>
      </w:r>
      <w:r>
        <w:rPr>
          <w:rFonts w:ascii="宋体" w:eastAsia="宋体" w:hAnsi="宋体" w:cs="Times New Roman" w:hint="eastAsia"/>
          <w:szCs w:val="21"/>
        </w:rPr>
        <w:t>付款方式：报告通过审查</w:t>
      </w:r>
      <w:r>
        <w:rPr>
          <w:rFonts w:ascii="宋体" w:eastAsia="宋体" w:hAnsi="宋体" w:cs="Times New Roman" w:hint="eastAsia"/>
          <w:szCs w:val="21"/>
          <w:lang w:val="en-US" w:eastAsia="zh-CN"/>
        </w:rPr>
        <w:t>且项目资金下达后</w:t>
      </w:r>
      <w:r>
        <w:rPr>
          <w:rFonts w:ascii="宋体" w:eastAsia="宋体" w:hAnsi="宋体" w:cs="Times New Roman" w:hint="eastAsia"/>
          <w:szCs w:val="21"/>
        </w:rPr>
        <w:t>支付</w:t>
      </w:r>
      <w:r>
        <w:rPr>
          <w:rFonts w:ascii="宋体" w:eastAsia="宋体" w:hAnsi="宋体" w:cs="Times New Roman" w:hint="eastAsia"/>
          <w:szCs w:val="21"/>
          <w:lang w:val="en-US" w:eastAsia="zh-CN"/>
        </w:rPr>
        <w:t>10</w:t>
      </w:r>
      <w:r>
        <w:rPr>
          <w:rFonts w:ascii="宋体" w:eastAsia="宋体" w:hAnsi="宋体" w:cs="Times New Roman" w:hint="eastAsia"/>
          <w:szCs w:val="21"/>
        </w:rPr>
        <w:t>0%。</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14:paraId="690CD5D0">
      <w:pPr>
        <w:spacing w:before="156" w:beforeLines="50" w:line="360" w:lineRule="auto"/>
        <w:jc w:val="center"/>
        <w:outlineLvl w:val="1"/>
        <w:rPr>
          <w:rFonts w:ascii="宋体" w:eastAsia="宋体" w:hAnsi="宋体" w:cs="Times New Roman"/>
          <w:b/>
          <w:sz w:val="30"/>
          <w:szCs w:val="30"/>
        </w:rPr>
      </w:pPr>
      <w:bookmarkStart w:id="57" w:name="投标被拒绝条款专用部分_JJTK"/>
      <w:r>
        <w:rPr>
          <w:rFonts w:ascii="宋体" w:eastAsia="宋体" w:hAnsi="宋体" w:cs="Times New Roman" w:hint="eastAsia"/>
          <w:b/>
          <w:sz w:val="30"/>
          <w:szCs w:val="30"/>
        </w:rPr>
        <w:t>第七章  响应被拒绝条款专用部分</w:t>
      </w:r>
    </w:p>
    <w:p w14:paraId="65AC929B">
      <w:pPr>
        <w:adjustRightInd w:val="0"/>
        <w:snapToGrid w:val="0"/>
        <w:spacing w:before="156" w:beforeLines="50" w:line="360" w:lineRule="auto"/>
        <w:rPr>
          <w:rFonts w:ascii="宋体" w:eastAsia="宋体" w:hAnsi="宋体" w:cs="Times New Roman"/>
          <w:szCs w:val="21"/>
        </w:rPr>
      </w:pPr>
    </w:p>
    <w:p w14:paraId="0DF8E2E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841D3F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2B67E69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70A297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B0768C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5D7E2C8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CFF796">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18859A7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B4E5D9B">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BD7353">
            <w:pPr>
              <w:numPr>
                <w:ilvl w:val="0"/>
                <w:numId w:val="7"/>
              </w:numPr>
              <w:rPr>
                <w:rFonts w:ascii="宋体" w:eastAsia="宋体" w:hAnsi="宋体" w:cs="Times New Roman"/>
                <w:sz w:val="18"/>
                <w:szCs w:val="18"/>
              </w:rPr>
            </w:pPr>
          </w:p>
        </w:tc>
        <w:tc>
          <w:tcPr>
            <w:tcW w:w="898" w:type="dxa"/>
            <w:vAlign w:val="center"/>
          </w:tcPr>
          <w:p w14:paraId="4B7B6EDA">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5E44A4E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29727DEE">
        <w:tblPrEx>
          <w:tblW w:w="0" w:type="auto"/>
          <w:tblInd w:w="0" w:type="dxa"/>
          <w:tblLayout w:type="fixed"/>
          <w:tblCellMar>
            <w:top w:w="0" w:type="dxa"/>
            <w:left w:w="108" w:type="dxa"/>
            <w:bottom w:w="0" w:type="dxa"/>
            <w:right w:w="108" w:type="dxa"/>
          </w:tblCellMar>
        </w:tblPrEx>
        <w:trPr>
          <w:cantSplit/>
        </w:trPr>
        <w:tc>
          <w:tcPr>
            <w:tcW w:w="544" w:type="dxa"/>
            <w:vAlign w:val="center"/>
          </w:tcPr>
          <w:p w14:paraId="534C16CD">
            <w:pPr>
              <w:numPr>
                <w:ilvl w:val="0"/>
                <w:numId w:val="7"/>
              </w:numPr>
              <w:rPr>
                <w:rFonts w:ascii="宋体" w:eastAsia="宋体" w:hAnsi="宋体" w:cs="Times New Roman"/>
                <w:sz w:val="18"/>
                <w:szCs w:val="18"/>
              </w:rPr>
            </w:pPr>
          </w:p>
        </w:tc>
        <w:tc>
          <w:tcPr>
            <w:tcW w:w="898" w:type="dxa"/>
            <w:vAlign w:val="center"/>
          </w:tcPr>
          <w:p w14:paraId="2486C6BF">
            <w:pPr>
              <w:jc w:val="center"/>
              <w:rPr>
                <w:rFonts w:ascii="宋体" w:eastAsia="宋体" w:hAnsi="宋体" w:cs="Times New Roman"/>
                <w:sz w:val="18"/>
                <w:szCs w:val="18"/>
              </w:rPr>
            </w:pPr>
          </w:p>
        </w:tc>
        <w:tc>
          <w:tcPr>
            <w:tcW w:w="7347" w:type="dxa"/>
            <w:vAlign w:val="center"/>
          </w:tcPr>
          <w:p w14:paraId="777114E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7090A2FC">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682E9810">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5A66825F">
        <w:tblPrEx>
          <w:tblW w:w="0" w:type="auto"/>
          <w:tblInd w:w="0" w:type="dxa"/>
          <w:tblLayout w:type="fixed"/>
          <w:tblCellMar>
            <w:top w:w="0" w:type="dxa"/>
            <w:left w:w="108" w:type="dxa"/>
            <w:bottom w:w="0" w:type="dxa"/>
            <w:right w:w="108" w:type="dxa"/>
          </w:tblCellMar>
        </w:tblPrEx>
        <w:trPr>
          <w:cantSplit/>
        </w:trPr>
        <w:tc>
          <w:tcPr>
            <w:tcW w:w="544" w:type="dxa"/>
            <w:vAlign w:val="center"/>
          </w:tcPr>
          <w:p w14:paraId="24819A7A">
            <w:pPr>
              <w:numPr>
                <w:ilvl w:val="0"/>
                <w:numId w:val="7"/>
              </w:numPr>
              <w:rPr>
                <w:rFonts w:ascii="宋体" w:eastAsia="宋体" w:hAnsi="宋体" w:cs="Times New Roman"/>
                <w:sz w:val="18"/>
                <w:szCs w:val="18"/>
              </w:rPr>
            </w:pPr>
          </w:p>
        </w:tc>
        <w:tc>
          <w:tcPr>
            <w:tcW w:w="898" w:type="dxa"/>
            <w:vAlign w:val="center"/>
          </w:tcPr>
          <w:p w14:paraId="01F0DC9F">
            <w:pPr>
              <w:jc w:val="center"/>
              <w:rPr>
                <w:rFonts w:ascii="宋体" w:eastAsia="宋体" w:hAnsi="宋体" w:cs="Times New Roman"/>
                <w:sz w:val="18"/>
                <w:szCs w:val="18"/>
              </w:rPr>
            </w:pPr>
          </w:p>
        </w:tc>
        <w:tc>
          <w:tcPr>
            <w:tcW w:w="7347" w:type="dxa"/>
            <w:vAlign w:val="center"/>
          </w:tcPr>
          <w:p w14:paraId="4914944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0655B375">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D33A1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7"/>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167FBF5E">
      <w:pPr>
        <w:spacing w:line="360" w:lineRule="auto"/>
        <w:ind w:firstLine="3066" w:firstLineChars="1460"/>
        <w:jc w:val="left"/>
        <w:rPr>
          <w:rFonts w:ascii="Times New Roman" w:eastAsia="宋体" w:hAnsi="Times New Roman" w:cs="Times New Roman"/>
          <w:b/>
          <w:bCs/>
          <w:szCs w:val="21"/>
        </w:rPr>
      </w:pPr>
      <w:bookmarkStart w:id="58" w:name="采购公告合同部分_ZBGGHT"/>
      <w:r>
        <w:rPr>
          <w:rFonts w:ascii="Times New Roman" w:eastAsia="宋体" w:hAnsi="Times New Roman" w:cs="Times New Roman" w:hint="eastAsia"/>
          <w:b/>
          <w:bCs/>
          <w:szCs w:val="21"/>
        </w:rPr>
        <w:t>第八章  采购合同</w:t>
      </w:r>
    </w:p>
    <w:p w14:paraId="66214D4C">
      <w:pPr>
        <w:widowControl/>
        <w:jc w:val="left"/>
        <w:rPr>
          <w:rFonts w:ascii="Calibri" w:eastAsia="宋体" w:hAnsi="Calibri" w:cs="Times New Roman"/>
        </w:rPr>
      </w:pPr>
      <w:r>
        <w:rPr>
          <w:rFonts w:ascii="Calibri" w:eastAsia="宋体" w:hAnsi="Calibri" w:cs="Times New Roman"/>
        </w:rPr>
        <w:br w:type="page"/>
      </w:r>
    </w:p>
    <w:p w14:paraId="40A476FD">
      <w:pPr>
        <w:rPr>
          <w:rFonts w:ascii="Calibri" w:eastAsia="宋体" w:hAnsi="Calibri" w:cs="Times New Roman"/>
        </w:rPr>
      </w:pPr>
    </w:p>
    <w:p w14:paraId="243712F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50F5EDE9">
      <w:pPr>
        <w:rPr>
          <w:rFonts w:ascii="宋体" w:eastAsia="宋体" w:hAnsi="宋体" w:cs="宋体"/>
          <w:b/>
          <w:bCs/>
          <w:spacing w:val="-20"/>
          <w:kern w:val="44"/>
          <w:sz w:val="40"/>
          <w:szCs w:val="40"/>
        </w:rPr>
      </w:pPr>
    </w:p>
    <w:p w14:paraId="347AE273">
      <w:pPr>
        <w:rPr>
          <w:rFonts w:ascii="宋体" w:eastAsia="宋体" w:hAnsi="宋体" w:cs="宋体"/>
          <w:b/>
          <w:bCs/>
          <w:spacing w:val="-20"/>
          <w:kern w:val="44"/>
          <w:sz w:val="40"/>
          <w:szCs w:val="40"/>
        </w:rPr>
      </w:pPr>
    </w:p>
    <w:p w14:paraId="53B2F58F">
      <w:pPr>
        <w:rPr>
          <w:rFonts w:ascii="宋体" w:eastAsia="宋体" w:hAnsi="宋体" w:cs="宋体"/>
          <w:b/>
          <w:bCs/>
          <w:spacing w:val="-20"/>
          <w:kern w:val="44"/>
          <w:sz w:val="40"/>
          <w:szCs w:val="40"/>
        </w:rPr>
      </w:pPr>
    </w:p>
    <w:p w14:paraId="0FE498C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41CC605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37B94C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3EE447D2">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46D9ED0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1C13A4E1">
      <w:pPr>
        <w:rPr>
          <w:rFonts w:ascii="Times New Roman" w:eastAsia="宋体" w:hAnsi="Times New Roman" w:cs="Times New Roman"/>
          <w:szCs w:val="20"/>
        </w:rPr>
      </w:pPr>
    </w:p>
    <w:p w14:paraId="22AA2C6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44ADB236">
      <w:pPr>
        <w:rPr>
          <w:rFonts w:ascii="Times New Roman" w:eastAsia="黑体" w:hAnsi="Times New Roman" w:cs="Times New Roman"/>
          <w:sz w:val="44"/>
          <w:szCs w:val="44"/>
        </w:rPr>
      </w:pPr>
    </w:p>
    <w:p w14:paraId="151EFB7D">
      <w:pPr>
        <w:rPr>
          <w:rFonts w:ascii="Times New Roman" w:eastAsia="黑体" w:hAnsi="Times New Roman" w:cs="Times New Roman"/>
          <w:sz w:val="44"/>
          <w:szCs w:val="44"/>
        </w:rPr>
      </w:pPr>
    </w:p>
    <w:p w14:paraId="3A82454C">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2416D1A1">
      <w:pPr>
        <w:ind w:firstLine="640" w:firstLineChars="200"/>
        <w:rPr>
          <w:rFonts w:ascii="仿宋_GB2312" w:eastAsia="仿宋_GB2312" w:hAnsi="仿宋_GB2312" w:cs="仿宋_GB2312"/>
          <w:sz w:val="32"/>
          <w:szCs w:val="32"/>
        </w:rPr>
      </w:pPr>
    </w:p>
    <w:p w14:paraId="0051FEFB">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5C1DA517">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05A0B304">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51D4F64B">
      <w:pPr>
        <w:widowControl/>
        <w:jc w:val="left"/>
        <w:rPr>
          <w:rFonts w:ascii="宋体" w:eastAsia="宋体" w:hAnsi="宋体" w:cs="Times New Roman"/>
          <w:szCs w:val="21"/>
        </w:rPr>
      </w:pPr>
      <w:r>
        <w:rPr>
          <w:rFonts w:ascii="宋体" w:eastAsia="宋体" w:hAnsi="宋体" w:cs="Times New Roman"/>
          <w:szCs w:val="21"/>
        </w:rPr>
        <w:br w:type="page"/>
      </w:r>
    </w:p>
    <w:p w14:paraId="70B1E463">
      <w:pPr>
        <w:snapToGrid w:val="0"/>
        <w:spacing w:line="360" w:lineRule="auto"/>
        <w:ind w:firstLine="420"/>
        <w:rPr>
          <w:rFonts w:ascii="宋体" w:eastAsia="宋体" w:hAnsi="宋体" w:cs="Times New Roman" w:hint="eastAsia"/>
          <w:szCs w:val="21"/>
        </w:rPr>
      </w:pPr>
    </w:p>
    <w:p w14:paraId="6F7B6C66">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14:paraId="04946DC0">
      <w:pPr>
        <w:snapToGrid w:val="0"/>
        <w:spacing w:line="360" w:lineRule="auto"/>
        <w:ind w:firstLine="420"/>
        <w:jc w:val="center"/>
        <w:rPr>
          <w:rFonts w:ascii="宋体" w:eastAsia="宋体" w:hAnsi="宋体" w:cs="Times New Roman" w:hint="eastAsia"/>
          <w:szCs w:val="21"/>
        </w:rPr>
      </w:pPr>
    </w:p>
    <w:p w14:paraId="1C36BE47">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08F146A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48040BD4">
      <w:pPr>
        <w:snapToGrid w:val="0"/>
        <w:spacing w:line="360" w:lineRule="auto"/>
        <w:ind w:firstLine="420"/>
        <w:rPr>
          <w:rFonts w:ascii="宋体" w:eastAsia="宋体" w:hAnsi="宋体" w:cs="Times New Roman"/>
          <w:szCs w:val="21"/>
        </w:rPr>
      </w:pPr>
      <w:r>
        <w:rPr>
          <w:rFonts w:ascii="宋体" w:eastAsia="宋体" w:hAnsi="宋体" w:cs="Times New Roman" w:hint="eastAsia"/>
          <w:szCs w:val="21"/>
          <w:highlight w:val="yellow"/>
        </w:rPr>
        <w:t>甲乙双方</w:t>
      </w:r>
      <w:r>
        <w:rPr>
          <w:rFonts w:ascii="Calibri" w:eastAsia="宋体" w:hAnsi="Calibri" w:cs="Times New Roman"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61C88726">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70F111A2">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3A73B8D6">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343D923D">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65C3C9B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1F8FBFC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5B65019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4F25BA0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3F5D91B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43F6AFF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6EC44CC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2140A928">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12E37D32">
        <w:tblPrEx>
          <w:tblW w:w="0" w:type="auto"/>
          <w:jc w:val="center"/>
          <w:tblLayout w:type="fixed"/>
          <w:tblCellMar>
            <w:top w:w="0" w:type="dxa"/>
            <w:left w:w="108" w:type="dxa"/>
            <w:bottom w:w="0" w:type="dxa"/>
            <w:right w:w="108" w:type="dxa"/>
          </w:tblCellMar>
        </w:tblPrEx>
        <w:trPr>
          <w:jc w:val="center"/>
        </w:trPr>
        <w:tc>
          <w:tcPr>
            <w:tcW w:w="768" w:type="dxa"/>
            <w:vAlign w:val="center"/>
          </w:tcPr>
          <w:p w14:paraId="4E69E487">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266155A7">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7513CFE0">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6E62EA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D3C8DB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705D84C">
            <w:pPr>
              <w:tabs>
                <w:tab w:val="left" w:pos="1573"/>
              </w:tabs>
              <w:autoSpaceDE w:val="0"/>
              <w:autoSpaceDN w:val="0"/>
              <w:adjustRightInd w:val="0"/>
              <w:snapToGrid w:val="0"/>
              <w:spacing w:line="360" w:lineRule="auto"/>
              <w:rPr>
                <w:rFonts w:ascii="宋体" w:eastAsia="宋体" w:hAnsi="宋体" w:cs="Times New Roman"/>
                <w:szCs w:val="21"/>
              </w:rPr>
            </w:pPr>
          </w:p>
        </w:tc>
      </w:tr>
      <w:tr w14:paraId="03E9DC7E">
        <w:tblPrEx>
          <w:tblW w:w="0" w:type="auto"/>
          <w:jc w:val="center"/>
          <w:tblLayout w:type="fixed"/>
          <w:tblCellMar>
            <w:top w:w="0" w:type="dxa"/>
            <w:left w:w="108" w:type="dxa"/>
            <w:bottom w:w="0" w:type="dxa"/>
            <w:right w:w="108" w:type="dxa"/>
          </w:tblCellMar>
        </w:tblPrEx>
        <w:trPr>
          <w:jc w:val="center"/>
        </w:trPr>
        <w:tc>
          <w:tcPr>
            <w:tcW w:w="768" w:type="dxa"/>
            <w:vAlign w:val="center"/>
          </w:tcPr>
          <w:p w14:paraId="6C745F7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1666E4F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2F893F8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25805B0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58AE38B0">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8B1C781">
            <w:pPr>
              <w:tabs>
                <w:tab w:val="left" w:pos="1573"/>
              </w:tabs>
              <w:autoSpaceDE w:val="0"/>
              <w:autoSpaceDN w:val="0"/>
              <w:adjustRightInd w:val="0"/>
              <w:snapToGrid w:val="0"/>
              <w:spacing w:line="360" w:lineRule="auto"/>
              <w:rPr>
                <w:rFonts w:ascii="宋体" w:eastAsia="宋体" w:hAnsi="宋体" w:cs="Times New Roman"/>
                <w:szCs w:val="21"/>
              </w:rPr>
            </w:pPr>
          </w:p>
        </w:tc>
      </w:tr>
      <w:tr w14:paraId="0A7F5FBF">
        <w:tblPrEx>
          <w:tblW w:w="0" w:type="auto"/>
          <w:jc w:val="center"/>
          <w:tblLayout w:type="fixed"/>
          <w:tblCellMar>
            <w:top w:w="0" w:type="dxa"/>
            <w:left w:w="108" w:type="dxa"/>
            <w:bottom w:w="0" w:type="dxa"/>
            <w:right w:w="108" w:type="dxa"/>
          </w:tblCellMar>
        </w:tblPrEx>
        <w:trPr>
          <w:jc w:val="center"/>
        </w:trPr>
        <w:tc>
          <w:tcPr>
            <w:tcW w:w="768" w:type="dxa"/>
            <w:vAlign w:val="center"/>
          </w:tcPr>
          <w:p w14:paraId="72623F10">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C575CF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5A15E1E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0A41591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65B734CB">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6962AA8B">
            <w:pPr>
              <w:tabs>
                <w:tab w:val="left" w:pos="1573"/>
              </w:tabs>
              <w:autoSpaceDE w:val="0"/>
              <w:autoSpaceDN w:val="0"/>
              <w:adjustRightInd w:val="0"/>
              <w:snapToGrid w:val="0"/>
              <w:spacing w:line="360" w:lineRule="auto"/>
              <w:rPr>
                <w:rFonts w:ascii="宋体" w:eastAsia="宋体" w:hAnsi="宋体" w:cs="Times New Roman"/>
                <w:szCs w:val="21"/>
              </w:rPr>
            </w:pPr>
          </w:p>
        </w:tc>
      </w:tr>
    </w:tbl>
    <w:p w14:paraId="4507F257">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0D0B1F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60DE27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26BFE6E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0616C57B">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4、保修期满后付款：保修期满期满后7个工作日内，甲方向乙方支付合同总金额的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50AAE32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41BD6EE9">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5EE04843">
      <w:pPr>
        <w:tabs>
          <w:tab w:val="left" w:pos="1573"/>
        </w:tabs>
        <w:adjustRightInd w:val="0"/>
        <w:snapToGrid w:val="0"/>
        <w:spacing w:line="360" w:lineRule="auto"/>
        <w:ind w:firstLine="412" w:firstLineChars="196"/>
        <w:jc w:val="left"/>
        <w:rPr>
          <w:rFonts w:ascii="宋体" w:eastAsia="宋体" w:hAnsi="宋体" w:cs="Times New Roman"/>
          <w:szCs w:val="28"/>
        </w:rPr>
      </w:pPr>
    </w:p>
    <w:p w14:paraId="06FDE05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3BAFED4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2FD21E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7441F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7A4661E">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210ED74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7F3FEB9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58BE5A8C">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5234448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3D0031E9">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0E66AB1B">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7FB1CCB0">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5184B72C">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5EB411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6416DFA9">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5476822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2B43EC72">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64D2631F">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6D74AB72">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23FFA542">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38A4D950">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11A423A">
      <w:pPr>
        <w:tabs>
          <w:tab w:val="left" w:pos="1573"/>
        </w:tabs>
        <w:adjustRightInd w:val="0"/>
        <w:snapToGrid w:val="0"/>
        <w:ind w:firstLine="315" w:firstLineChars="150"/>
        <w:jc w:val="left"/>
        <w:rPr>
          <w:rFonts w:ascii="宋体" w:eastAsia="宋体" w:hAnsi="宋体" w:cs="Times New Roman"/>
          <w:szCs w:val="21"/>
          <w:u w:val="single"/>
        </w:rPr>
      </w:pPr>
    </w:p>
    <w:p w14:paraId="5EC3DD5C">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09E8009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6D1315DB">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6D5FF0A4">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AC7EB22">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2A061B10">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1DDC5A23">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0273C3F8">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644D99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6CB60EB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74CBCB68">
      <w:pPr>
        <w:tabs>
          <w:tab w:val="left" w:pos="1573"/>
        </w:tabs>
        <w:adjustRightInd w:val="0"/>
        <w:snapToGrid w:val="0"/>
        <w:spacing w:line="360" w:lineRule="auto"/>
        <w:ind w:firstLine="412" w:firstLineChars="196"/>
        <w:jc w:val="left"/>
        <w:rPr>
          <w:rFonts w:ascii="宋体" w:eastAsia="宋体" w:hAnsi="宋体" w:cs="Times New Roman"/>
          <w:b/>
          <w:szCs w:val="28"/>
        </w:rPr>
      </w:pPr>
    </w:p>
    <w:p w14:paraId="50120611">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54CD5B37">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620B19EC">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06B9E336">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0CAEA51C">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481E6C86">
      <w:pPr>
        <w:widowControl/>
        <w:jc w:val="left"/>
        <w:rPr>
          <w:rFonts w:ascii="宋体" w:eastAsia="宋体" w:hAnsi="宋体" w:cs="Times New Roman"/>
          <w:b/>
          <w:szCs w:val="21"/>
        </w:rPr>
      </w:pPr>
      <w:r>
        <w:rPr>
          <w:rFonts w:ascii="宋体" w:eastAsia="宋体" w:hAnsi="宋体" w:cs="Times New Roman"/>
          <w:b/>
          <w:szCs w:val="21"/>
        </w:rPr>
        <w:br w:type="page"/>
      </w:r>
    </w:p>
    <w:p w14:paraId="31B29582">
      <w:pPr>
        <w:spacing w:line="360" w:lineRule="auto"/>
        <w:jc w:val="left"/>
        <w:rPr>
          <w:rFonts w:ascii="Times New Roman" w:eastAsia="宋体" w:hAnsi="Times New Roman" w:cs="Times New Roman"/>
          <w:b/>
          <w:bCs/>
          <w:sz w:val="44"/>
          <w:szCs w:val="44"/>
        </w:rPr>
      </w:pPr>
    </w:p>
    <w:p w14:paraId="31739C42">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657FD484">
      <w:pPr>
        <w:tabs>
          <w:tab w:val="left" w:pos="1573"/>
        </w:tabs>
        <w:snapToGrid w:val="0"/>
        <w:spacing w:line="360" w:lineRule="auto"/>
        <w:jc w:val="center"/>
        <w:rPr>
          <w:rFonts w:ascii="宋体" w:eastAsia="宋体" w:hAnsi="宋体" w:cs="Times New Roman"/>
          <w:szCs w:val="21"/>
        </w:rPr>
      </w:pPr>
    </w:p>
    <w:p w14:paraId="2C23199E">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1F34BC69">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219FE8BB">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中标通知书</w:t>
      </w:r>
    </w:p>
    <w:p w14:paraId="59EF5EA1">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开标一览表及投标分项报价表</w:t>
      </w:r>
    </w:p>
    <w:p w14:paraId="72421019">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商务和技术偏离表</w:t>
      </w:r>
    </w:p>
    <w:p w14:paraId="0AD5FFDD">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合同条款专用部分</w:t>
      </w:r>
    </w:p>
    <w:p w14:paraId="6A485788">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合同条款通用部分</w:t>
      </w:r>
    </w:p>
    <w:p w14:paraId="7495A9DC">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采购需求</w:t>
      </w:r>
    </w:p>
    <w:p w14:paraId="18C8C6CD">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5307937E">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投标文件、招标文件除以上的其他部分</w:t>
      </w:r>
    </w:p>
    <w:p w14:paraId="02276412">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其他合同文本</w:t>
      </w:r>
    </w:p>
    <w:p w14:paraId="56D0F75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14:paraId="36834E2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78BF82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46964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072FE5C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3FBCA26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620741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6B6235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5C475BB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423D3A8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2E78CB5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1F79FF9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1AE4A72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1E8C39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14:paraId="64511CAD">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14:paraId="2D0BC82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14:paraId="392C609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045B6D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602917E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4F81867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14:paraId="6D9085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5169CE4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7E2210EF">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3568D70F">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607FCB8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547B1082">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0A38F40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19E2CC3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131DF5B">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14:paraId="75DBFD15">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030C24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588F2AF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6494AB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6F6AE5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19AB61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14:paraId="5785199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6B566B0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4458EF2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0C49819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646E7C1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733CB5D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7E11FD9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14:paraId="3197A751">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14:paraId="0D776C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14:paraId="58CD7F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739AFB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50B1601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59B326B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1061E6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14:paraId="671E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31D2E7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135E7FD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06AF7A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55FEB17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48AB0B7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14:paraId="2645258D">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0CC09E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14:paraId="4E441F5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0D93E9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83C583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651B812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651248D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2813677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4EF17DB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20E7B2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470EF4E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D3D7F2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6C787B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3A72DE8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01FF811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14:paraId="428DDFB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14:paraId="434B9584">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14:paraId="41442E94">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14:paraId="7CBE017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373424A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0E965AF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1D6A25C">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5A6B863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14:paraId="73868FC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6A79901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1972A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FC43A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325F79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14:paraId="434EFC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67AE2F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5CCC9D5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6A87CA2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14:paraId="7DCDB5C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0247CBF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36FB23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637F9AFC">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14:paraId="2606131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20E6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4B2DDE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601A334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06DCBEF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14:paraId="4D50ED1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101454B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5049C27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0EAA3EAC">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2A33A33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11440E8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1BBB2AE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14:paraId="13248D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7C79E4D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1FB7691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14:paraId="477E72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545DAB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133B2A8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14:paraId="4781E30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161A5BC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052DE8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0DE9EB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56BC51E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5CDD96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743733F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14:paraId="41E716D6">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14:paraId="6E8E131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4E86660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07029FA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39C1867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7281BBC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363F5A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02E511BD">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5807A24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6DEB101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14:paraId="70B607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104E854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14:paraId="7FF5D1C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39D944B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09A5E7E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49FCD6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60A13677">
      <w:pPr>
        <w:tabs>
          <w:tab w:val="left" w:pos="1573"/>
        </w:tabs>
        <w:adjustRightInd w:val="0"/>
        <w:snapToGrid w:val="0"/>
        <w:spacing w:line="360" w:lineRule="auto"/>
        <w:ind w:firstLine="412" w:firstLineChars="196"/>
        <w:jc w:val="left"/>
        <w:rPr>
          <w:rFonts w:ascii="宋体" w:eastAsia="宋体" w:hAnsi="宋体" w:cs="Times New Roman"/>
          <w:szCs w:val="21"/>
        </w:rPr>
      </w:pPr>
    </w:p>
    <w:p w14:paraId="433F8856">
      <w:pPr>
        <w:rPr>
          <w:rFonts w:ascii="Calibri" w:eastAsia="宋体" w:hAnsi="Calibri" w:cs="Times New Roman"/>
        </w:rPr>
      </w:pPr>
    </w:p>
    <w:p w14:paraId="13EDD09B"/>
    <w:p w:rsidR="00A77B3E"/>
    <w:p w14:paraId="0D9A9C79">
      <w:pPr>
        <w:spacing w:line="360" w:lineRule="auto"/>
        <w:ind w:firstLine="3066" w:firstLineChars="1460"/>
        <w:jc w:val="left"/>
        <w:rPr>
          <w:rFonts w:ascii="Times New Roman" w:eastAsia="宋体" w:hAnsi="Times New Roman" w:cs="Times New Roman"/>
          <w:b/>
          <w:bCs/>
          <w:szCs w:val="21"/>
        </w:rPr>
      </w:pPr>
      <w:bookmarkEnd w:id="58"/>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9231644"/>
    <w:multiLevelType w:val="singleLevel"/>
    <w:tmpl w:val="39231644"/>
    <w:lvl w:ilvl="0">
      <w:start w:val="5"/>
      <w:numFmt w:val="chineseCounting"/>
      <w:suff w:val="nothing"/>
      <w:lvlText w:val="（%1）"/>
      <w:lvlJc w:val="left"/>
      <w:pPr>
        <w:ind w:left="420" w:firstLine="0" w:leftChars="0" w:firstLineChars="0"/>
      </w:pPr>
      <w:rPr>
        <w:rFonts w:hint="eastAsia"/>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52D6602"/>
    <w:rsid w:val="4BA410C8"/>
    <w:rsid w:val="65B82001"/>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25220</Words>
  <Characters>26650</Characters>
  <Application>Microsoft Office Word</Application>
  <DocSecurity>0</DocSecurity>
  <Lines>430</Lines>
  <Paragraphs>121</Paragraphs>
  <ScaleCrop>false</ScaleCrop>
  <Company/>
  <LinksUpToDate>false</LinksUpToDate>
  <CharactersWithSpaces>26829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2026-07-20T07:18:40Z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