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华北人影项目（河北）——飞机作业保障能力建设采购项目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ZQCD-26082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华北人影项目（河北）——飞机作业保障能力建设采购项目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ZQCD-26082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河北省石家庄市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2026年07月23日 00:00:00</w:t>
      </w:r>
      <w:bookmarkEnd w:id="26"/>
      <w:r>
        <w:rPr>
          <w:rFonts w:ascii="宋体" w:hint="eastAsia"/>
          <w:szCs w:val="21"/>
          <w:highlight w:val="none"/>
        </w:rPr>
        <w:t>至</w:t>
      </w:r>
      <w:bookmarkStart w:id="27" w:name="项目公告_signUpLastTime"/>
      <w:r>
        <w:rPr>
          <w:rFonts w:ascii="宋体" w:hint="eastAsia"/>
          <w:szCs w:val="21"/>
          <w:highlight w:val="none"/>
        </w:rPr>
        <w:t>2026年07月30日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0311-81660048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河北省石家庄市裕华区槐中路253号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不允许进口</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bookmarkStart w:id="49" w:name="_GoBack"/>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1,292.500000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1,292.500000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6" w:name="其他事项_ottherReemarks"/>
            <w:r>
              <w:rPr>
                <w:rFonts w:ascii="宋体" w:hAnsi="宋体" w:hint="eastAsia"/>
                <w:szCs w:val="21"/>
                <w:highlight w:val="none"/>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0"/>
        <w:gridCol w:w="263"/>
        <w:gridCol w:w="980"/>
        <w:gridCol w:w="263"/>
        <w:gridCol w:w="733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投标人技术实力（客观分）</w:t>
            </w:r>
          </w:p>
        </w:tc>
        <w:tc>
          <w:tcPr/>
          <w:p>
            <w:r>
              <w:t>勾选打分</w:t>
            </w:r>
            <w:r>
              <w:t>(2)</w:t>
            </w:r>
          </w:p>
        </w:tc>
        <w:tc>
          <w:tcPr/>
          <w:p>
            <w:r>
              <w:t>评审标准：</w:t>
            </w:r>
          </w:p>
          <w:p>
            <w:r>
              <w:t>投标人每有1项与本项目相关试验设备或软件相关的专利（或软件著作权）得1分，最高2分。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合同标的必须包含本项目相关实验设备硬件或软件，每提供1份合同得1分，最多得6分。否则不得分。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针对本项目所有采购标的，承诺每提前10天交货的得0.5分，最多得1分。否则不得分。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(6)</w:t>
            </w:r>
          </w:p>
        </w:tc>
        <w:tc>
          <w:tcPr/>
          <w:p>
            <w:r>
              <w:t>评审标准：</w:t>
            </w:r>
          </w:p>
          <w:p>
            <w:r>
              <w:t xml:space="preserve">1、投标人为本项目拟派的服务团队中项目经理应具有3年以上相关工作经验的得2分； </w:t>
              <w:cr/>
              <w:t>2、除项目经理外，服务团队成员至少5人具有1年及以上相关工作经验的，得2分；其他情况不得分。</w:t>
              <w:cr/>
              <w:t>3、服务团队成员至少5人具有气象类或电子类等相关专业高级或以上专业技术职称的，得2分。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(39)</w:t>
            </w:r>
          </w:p>
        </w:tc>
        <w:tc>
          <w:tcPr/>
          <w:p>
            <w:r>
              <w:t>评审标准：</w:t>
            </w:r>
          </w:p>
          <w:p>
            <w:r>
              <w:t>标注#的重要指标共13项，每满足1项（如有多个下级指标，则每个下级指标均应满足）得3分，满分39分。</w:t>
            </w:r>
          </w:p>
          <w:p>
            <w:r>
              <w:t>评审标准说明：</w:t>
            </w:r>
          </w:p>
          <w:p>
            <w:r>
              <w:t>需提供技术文档。响应且满足招标文件第七章详细技术指标要求，标注#的重要指标需提供加盖投标人公章技术白皮书及满足技术参数的承诺书。</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注：应提供能证明投标产品技术性能的技术白皮书，并加盖投标人公章。其中，证明内容应包括但不限于标注#的重要指标。综合技术性能由评审委员会根据技术性能指标，主观综合评判。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12</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7"/>
    </w:p>
    <w:p>
      <w:pPr>
        <w:spacing w:before="156" w:beforeLines="50" w:line="360" w:lineRule="auto"/>
        <w:jc w:val="center"/>
        <w:outlineLvl w:val="1"/>
        <w:rPr>
          <w:rFonts w:asciiTheme="minorEastAsia" w:hAnsiTheme="minorEastAsia" w:hint="eastAsia"/>
          <w:bCs/>
          <w:szCs w:val="21"/>
        </w:rPr>
      </w:pPr>
      <w:r>
        <w:rPr>
          <w:bCs/>
          <w:szCs w:val="21"/>
          <w:highlight w:val="none"/>
        </w:rPr>
        <w:br w:type="page"/>
      </w:r>
      <w:bookmarkStart w:id="58" w:name="插入_采购需求书"/>
      <w:r>
        <w:rPr>
          <w:rFonts w:asciiTheme="minorEastAsia" w:hAnsiTheme="minorEastAsia" w:hint="eastAsia"/>
          <w:bCs/>
          <w:szCs w:val="21"/>
        </w:rPr>
        <w:t>第七章  采购需求</w:t>
      </w:r>
    </w:p>
    <w:p>
      <w:pPr>
        <w:spacing w:line="360" w:lineRule="auto"/>
        <w:ind w:firstLine="420" w:firstLineChars="200"/>
        <w:rPr>
          <w:rFonts w:asciiTheme="minorEastAsia" w:hAnsiTheme="minorEastAsia" w:hint="eastAsia"/>
          <w:bCs/>
          <w:szCs w:val="21"/>
        </w:rPr>
      </w:pPr>
      <w:r>
        <w:rPr>
          <w:rFonts w:asciiTheme="minorEastAsia" w:hAnsiTheme="minorEastAsia" w:hint="eastAsia"/>
          <w:bCs/>
          <w:szCs w:val="21"/>
        </w:rPr>
        <w:t>一、项目概况及总体要求</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1.项目概况</w:t>
      </w:r>
    </w:p>
    <w:p>
      <w:pPr>
        <w:spacing w:line="360" w:lineRule="auto"/>
        <w:ind w:firstLine="420" w:firstLineChars="200"/>
        <w:rPr>
          <w:rFonts w:asciiTheme="minorEastAsia" w:hAnsiTheme="minorEastAsia" w:cs="仿宋" w:hint="eastAsia"/>
          <w:bCs/>
          <w:szCs w:val="21"/>
        </w:rPr>
      </w:pPr>
      <w:r>
        <w:rPr>
          <w:rFonts w:asciiTheme="minorEastAsia" w:hAnsiTheme="minorEastAsia" w:cs="仿宋"/>
          <w:bCs/>
          <w:szCs w:val="21"/>
        </w:rPr>
        <w:t>飞机作业保障主要包括机载设备维修维护与起降停靠保障两方面。起降停靠一般由机场和托管公司负责。机载设备维修维护方面，中国气象局尚无专门机构，目前依赖设备厂商与各省人影中心。各省人影中心主要承担机载作业播撒设备的保障，但技术能力不均，部分仍需厂家支持；而机载探测设备的检修、标定则完全依靠厂商，故障后修复周期长，影响作业效率。河北省虽已建设机载设备技术保障平台等基础设施，但在探测设备对比验证、气象类设备标定维修及配套保障等方面仍存在不足，难以满足常年飞机增雨作业需求，制约了作业效益提升。</w:t>
      </w:r>
    </w:p>
    <w:p>
      <w:pPr>
        <w:spacing w:line="360" w:lineRule="auto"/>
        <w:ind w:firstLine="420" w:firstLineChars="200"/>
        <w:rPr>
          <w:rFonts w:asciiTheme="minorEastAsia" w:hAnsiTheme="minorEastAsia" w:cs="仿宋" w:hint="eastAsia"/>
          <w:bCs/>
          <w:szCs w:val="21"/>
        </w:rPr>
      </w:pPr>
      <w:r>
        <w:rPr>
          <w:rFonts w:asciiTheme="minorEastAsia" w:hAnsiTheme="minorEastAsia" w:cs="仿宋"/>
          <w:bCs/>
          <w:szCs w:val="21"/>
        </w:rPr>
        <w:t>利用石家庄飞机人工增雨和科学实验基地已建业务用房及配套设施，建设集设备标定、设备维修、装备检测、配件制造、设备研发于一体的机载探测设备技术保障基地。建设包括机载设备地面测试对比验证平台及配套设备，气象类机载探测设备标定维修实验室。其中</w:t>
      </w:r>
      <w:r>
        <w:rPr>
          <w:rFonts w:asciiTheme="minorEastAsia" w:hAnsiTheme="minorEastAsia" w:cs="仿宋" w:hint="eastAsia"/>
          <w:bCs/>
          <w:szCs w:val="21"/>
        </w:rPr>
        <w:t>机载设备</w:t>
      </w:r>
      <w:r>
        <w:rPr>
          <w:rFonts w:asciiTheme="minorEastAsia" w:hAnsiTheme="minorEastAsia" w:cs="仿宋"/>
          <w:bCs/>
          <w:szCs w:val="21"/>
        </w:rPr>
        <w:t>地面测试对比验证平台</w:t>
      </w:r>
      <w:r>
        <w:rPr>
          <w:rFonts w:asciiTheme="minorEastAsia" w:hAnsiTheme="minorEastAsia" w:cs="仿宋" w:hint="eastAsia"/>
          <w:bCs/>
          <w:szCs w:val="21"/>
        </w:rPr>
        <w:t>及配套设备</w:t>
      </w:r>
      <w:r>
        <w:rPr>
          <w:rFonts w:asciiTheme="minorEastAsia" w:hAnsiTheme="minorEastAsia" w:cs="仿宋"/>
          <w:bCs/>
          <w:szCs w:val="21"/>
        </w:rPr>
        <w:t>建设内容包括宽粒径模拟及校准系统、标准粒子发生系统、气溶胶过滤干燥装置、总水含量仪、地面数据采集系统、数据质量控制系统、数据集成分析系统</w:t>
      </w:r>
      <w:r>
        <w:rPr>
          <w:rFonts w:asciiTheme="minorEastAsia" w:hAnsiTheme="minorEastAsia" w:cs="仿宋" w:hint="eastAsia"/>
          <w:bCs/>
          <w:szCs w:val="21"/>
        </w:rPr>
        <w:t>、</w:t>
      </w:r>
      <w:r>
        <w:rPr>
          <w:rFonts w:asciiTheme="minorEastAsia" w:hAnsiTheme="minorEastAsia" w:cs="仿宋"/>
          <w:bCs/>
          <w:szCs w:val="21"/>
        </w:rPr>
        <w:t>烟条安装燃烧装置、云室采样检测装置各一套；气象类机载探测设备标定维修实验室建设内容包括AIMMS气象探头标定检测维修设备和露点仪定标检测维修设备各一套。</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2.付款方式</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合同签订前，乙方向甲方提供合同总金额 5 %的银行履约保函，设备验收合格一年后，甲方将银行履约保函退还乙方。</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合同签订后15天内支付合同金额的40%作为首付款，用于合同项下全部设备的购买；全部设备到达现场，安装调试完毕，支付合同金额的50%；合同验收意见签署完成后支付合同金额的10%。</w:t>
      </w:r>
    </w:p>
    <w:p>
      <w:pPr>
        <w:spacing w:line="360" w:lineRule="auto"/>
        <w:ind w:firstLine="420" w:firstLineChars="200"/>
        <w:rPr>
          <w:rFonts w:asciiTheme="minorEastAsia" w:hAnsiTheme="minorEastAsia" w:hint="eastAsia"/>
          <w:bCs/>
          <w:szCs w:val="21"/>
        </w:rPr>
      </w:pPr>
      <w:r>
        <w:rPr>
          <w:rFonts w:asciiTheme="minorEastAsia" w:hAnsiTheme="minorEastAsia" w:hint="eastAsia"/>
          <w:bCs/>
          <w:szCs w:val="21"/>
        </w:rPr>
        <w:t>二、设备需求一览表（见第七章 采购需求 附表）</w:t>
      </w:r>
    </w:p>
    <w:p>
      <w:pPr>
        <w:spacing w:line="360" w:lineRule="auto"/>
        <w:ind w:firstLine="420" w:firstLineChars="200"/>
        <w:rPr>
          <w:rFonts w:asciiTheme="minorEastAsia" w:hAnsiTheme="minorEastAsia" w:hint="eastAsia"/>
          <w:bCs/>
          <w:szCs w:val="21"/>
        </w:rPr>
      </w:pPr>
      <w:r>
        <w:rPr>
          <w:rFonts w:asciiTheme="minorEastAsia" w:hAnsiTheme="minorEastAsia" w:hint="eastAsia"/>
          <w:bCs/>
          <w:szCs w:val="21"/>
        </w:rPr>
        <w:t>三、技术性能指标</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（一）系统组成</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本项目建设</w:t>
      </w:r>
      <w:r>
        <w:rPr>
          <w:rFonts w:asciiTheme="minorEastAsia" w:hAnsiTheme="minorEastAsia" w:cs="仿宋"/>
          <w:bCs/>
          <w:szCs w:val="21"/>
        </w:rPr>
        <w:t>包括机载设备地面测试对比验证平台及配套设备，气象类机载探测设备标定维修实验室。其中</w:t>
      </w:r>
      <w:r>
        <w:rPr>
          <w:rFonts w:asciiTheme="minorEastAsia" w:hAnsiTheme="minorEastAsia" w:cs="仿宋" w:hint="eastAsia"/>
          <w:bCs/>
          <w:szCs w:val="21"/>
        </w:rPr>
        <w:t>机载设备</w:t>
      </w:r>
      <w:r>
        <w:rPr>
          <w:rFonts w:asciiTheme="minorEastAsia" w:hAnsiTheme="minorEastAsia" w:cs="仿宋"/>
          <w:bCs/>
          <w:szCs w:val="21"/>
        </w:rPr>
        <w:t>地面测试对比验证平台</w:t>
      </w:r>
      <w:r>
        <w:rPr>
          <w:rFonts w:asciiTheme="minorEastAsia" w:hAnsiTheme="minorEastAsia" w:cs="仿宋" w:hint="eastAsia"/>
          <w:bCs/>
          <w:szCs w:val="21"/>
        </w:rPr>
        <w:t>及配套设备</w:t>
      </w:r>
      <w:r>
        <w:rPr>
          <w:rFonts w:asciiTheme="minorEastAsia" w:hAnsiTheme="minorEastAsia" w:cs="仿宋"/>
          <w:bCs/>
          <w:szCs w:val="21"/>
        </w:rPr>
        <w:t>建设内容包括宽粒径模拟及校准系统、标准粒子发生系统、气溶胶过滤干燥装置、总水含量仪、地面数据采集系统、数据质量控制系统、数据集成分析系统</w:t>
      </w:r>
      <w:r>
        <w:rPr>
          <w:rFonts w:asciiTheme="minorEastAsia" w:hAnsiTheme="minorEastAsia" w:cs="仿宋" w:hint="eastAsia"/>
          <w:bCs/>
          <w:szCs w:val="21"/>
        </w:rPr>
        <w:t>、</w:t>
      </w:r>
      <w:r>
        <w:rPr>
          <w:rFonts w:asciiTheme="minorEastAsia" w:hAnsiTheme="minorEastAsia" w:cs="仿宋"/>
          <w:bCs/>
          <w:szCs w:val="21"/>
        </w:rPr>
        <w:t>烟条安装燃烧装置、云室采样检测装置各一套；气象类机载探测设备标定维修实验室建设内容包括AIMMS气象探头标定检测维修设备和露点仪定标检测维修设备各一套。</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(二) 技术性能要求</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1.机载设备地面测试对比验证平台及配套设备</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1.1机载设备地面测试对比验证平台</w:t>
      </w:r>
    </w:p>
    <w:tbl>
      <w:tblPr>
        <w:tblStyle w:val="TableGrid"/>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77"/>
        <w:gridCol w:w="1350"/>
        <w:gridCol w:w="2511"/>
        <w:gridCol w:w="3674"/>
      </w:tblGrid>
      <w:tr>
        <w:tblPrEx>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0"/>
          <w:tblHeader/>
          <w:jc w:val="center"/>
        </w:trPr>
        <w:tc>
          <w:tcPr>
            <w:tcW w:w="467"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序号</w:t>
            </w:r>
          </w:p>
        </w:tc>
        <w:tc>
          <w:tcPr>
            <w:tcW w:w="812"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系统/设备</w:t>
            </w:r>
          </w:p>
        </w:tc>
        <w:tc>
          <w:tcPr>
            <w:tcW w:w="1510"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组成部分</w:t>
            </w:r>
          </w:p>
        </w:tc>
        <w:tc>
          <w:tcPr>
            <w:tcW w:w="2209"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技术指标</w:t>
            </w:r>
          </w:p>
        </w:tc>
      </w:tr>
      <w:tr>
        <w:tblPrEx>
          <w:tblW w:w="4877" w:type="pct"/>
          <w:jc w:val="center"/>
          <w:tblCellMar>
            <w:top w:w="0" w:type="dxa"/>
            <w:left w:w="108" w:type="dxa"/>
            <w:bottom w:w="0" w:type="dxa"/>
            <w:right w:w="108" w:type="dxa"/>
          </w:tblCellMar>
        </w:tblPrEx>
        <w:trPr>
          <w:trHeight w:val="90"/>
          <w:jc w:val="center"/>
        </w:trPr>
        <w:tc>
          <w:tcPr>
            <w:tcW w:w="467" w:type="pct"/>
            <w:vMerge w:val="restar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1</w:t>
            </w:r>
          </w:p>
        </w:tc>
        <w:tc>
          <w:tcPr>
            <w:tcW w:w="812" w:type="pct"/>
            <w:vMerge w:val="restar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宽粒径模拟及校准系统</w:t>
            </w: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直流式低速风洞模块</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试验段截面积：600*600mm；</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#试验段气流流速范围：0.2-30m/s；</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流速稳定性系数：≤0.5%；</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流速均匀性系数：≤1%；</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风速分辨率≤0.1m/s</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混匀稀释罐主体</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规格：≥¢1200*2000mm，立式</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材质：304不锈钢</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引流风机</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功率：≤30w,风压：≥350Pa，供电电压：220V</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混匀风机</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功率：≤40w,风压：≥80Pa，供电电压：220V</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粒子输出模块</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#可输出0.3-1μm的标准粒子</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流量控制模块</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#精度优于±2%FS</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遥控移动模块</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混匀罐能通过承载平台遥控直线移动</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高压水清洗模块</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能通过高压水流清洗混匀罐内壁</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自动控制模块</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可实现对系统内所有子系统的自动控制</w:t>
            </w:r>
          </w:p>
        </w:tc>
      </w:tr>
      <w:tr>
        <w:tblPrEx>
          <w:tblW w:w="4877" w:type="pct"/>
          <w:jc w:val="center"/>
          <w:tblCellMar>
            <w:top w:w="0" w:type="dxa"/>
            <w:left w:w="108" w:type="dxa"/>
            <w:bottom w:w="0" w:type="dxa"/>
            <w:right w:w="108" w:type="dxa"/>
          </w:tblCellMar>
        </w:tblPrEx>
        <w:trPr>
          <w:trHeight w:val="90"/>
          <w:jc w:val="center"/>
        </w:trPr>
        <w:tc>
          <w:tcPr>
            <w:tcW w:w="467" w:type="pct"/>
            <w:vMerge w:val="restar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2</w:t>
            </w:r>
          </w:p>
        </w:tc>
        <w:tc>
          <w:tcPr>
            <w:tcW w:w="812" w:type="pct"/>
            <w:vMerge w:val="restar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标准粒子发生系统</w:t>
            </w: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粒子稀释装置</w:t>
            </w:r>
          </w:p>
        </w:tc>
        <w:tc>
          <w:tcPr>
            <w:tcW w:w="2209" w:type="pct"/>
            <w:vMerge w:val="restar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#粒子发生浓度：10 至 5000 颗/L</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 xml:space="preserve">#发生粒径：0.1μm-40μm </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 xml:space="preserve">粒子浓度重复性：≤5% </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 xml:space="preserve">粒子通道数量不少于4 通道 </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 xml:space="preserve">供电要求：220V 50HZ ≤1000W （良好接地） </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外形尺寸（不含气源、计数器）：≤1300*850*1800(mm)</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粒子容置稳定装置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粒子雾化装置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粒子温控装置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粒子混和分配装置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标准粒子智能输送装置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标准粒子悬浮层流采样装置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标准粒子计数装置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自动控制装置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restar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3</w:t>
            </w:r>
          </w:p>
        </w:tc>
        <w:tc>
          <w:tcPr>
            <w:tcW w:w="812" w:type="pct"/>
            <w:vMerge w:val="restar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气溶胶过滤干燥装置</w:t>
            </w: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气溶胶干燥装置</w:t>
            </w:r>
          </w:p>
        </w:tc>
        <w:tc>
          <w:tcPr>
            <w:tcW w:w="2209" w:type="pct"/>
            <w:vMerge w:val="restar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#干燥效率：可即时干燥含气溶胶10至5000颗/L的气体</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通道数量不少于4</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供电要求：220V 50HZ ≤1000W （良好接地）</w:t>
            </w: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风机</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空气过滤器</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温湿度处理装置</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812"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自动控制系统</w:t>
            </w:r>
          </w:p>
        </w:tc>
        <w:tc>
          <w:tcPr>
            <w:tcW w:w="2209"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r>
      <w:tr>
        <w:tblPrEx>
          <w:tblW w:w="4877" w:type="pct"/>
          <w:jc w:val="center"/>
          <w:tblCellMar>
            <w:top w:w="0" w:type="dxa"/>
            <w:left w:w="108" w:type="dxa"/>
            <w:bottom w:w="0" w:type="dxa"/>
            <w:right w:w="108" w:type="dxa"/>
          </w:tblCellMar>
        </w:tblPrEx>
        <w:trPr>
          <w:trHeight w:val="90"/>
          <w:jc w:val="center"/>
        </w:trPr>
        <w:tc>
          <w:tcPr>
            <w:tcW w:w="467"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4</w:t>
            </w:r>
          </w:p>
        </w:tc>
        <w:tc>
          <w:tcPr>
            <w:tcW w:w="812"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总水含量仪</w:t>
            </w: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总水含量仪</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#测量范围：0.03~3g/m</w:t>
            </w:r>
            <w:r>
              <w:rPr>
                <w:rFonts w:asciiTheme="minorEastAsia" w:hAnsiTheme="minorEastAsia" w:cs="仿宋" w:hint="eastAsia"/>
                <w:bCs/>
                <w:szCs w:val="21"/>
                <w:vertAlign w:val="superscript"/>
              </w:rPr>
              <w:t>3</w:t>
            </w:r>
            <w:r>
              <w:rPr>
                <w:rFonts w:asciiTheme="minorEastAsia" w:hAnsiTheme="minorEastAsia" w:cs="仿宋" w:hint="eastAsia"/>
                <w:bCs/>
                <w:szCs w:val="21"/>
              </w:rPr>
              <w:t>；</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采样区域：≥0.2cm</w:t>
            </w:r>
            <w:r>
              <w:rPr>
                <w:rFonts w:asciiTheme="minorEastAsia" w:hAnsiTheme="minorEastAsia" w:cs="仿宋" w:hint="eastAsia"/>
                <w:bCs/>
                <w:szCs w:val="21"/>
                <w:vertAlign w:val="superscript"/>
              </w:rPr>
              <w:t>2</w:t>
            </w:r>
            <w:r>
              <w:rPr>
                <w:rFonts w:asciiTheme="minorEastAsia" w:hAnsiTheme="minorEastAsia" w:cs="仿宋" w:hint="eastAsia"/>
                <w:bCs/>
                <w:szCs w:val="21"/>
              </w:rPr>
              <w:t>；</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#测量精度：±10%；</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温度范围：-50~100℃；</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温度精度：±0.3℃；</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湿度范围：0~100%；</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湿度精度：±2%。</w:t>
            </w:r>
          </w:p>
        </w:tc>
      </w:tr>
      <w:tr>
        <w:tblPrEx>
          <w:tblW w:w="4877" w:type="pct"/>
          <w:jc w:val="center"/>
          <w:tblCellMar>
            <w:top w:w="0" w:type="dxa"/>
            <w:left w:w="108" w:type="dxa"/>
            <w:bottom w:w="0" w:type="dxa"/>
            <w:right w:w="108" w:type="dxa"/>
          </w:tblCellMar>
        </w:tblPrEx>
        <w:trPr>
          <w:trHeight w:val="90"/>
          <w:jc w:val="center"/>
        </w:trPr>
        <w:tc>
          <w:tcPr>
            <w:tcW w:w="467"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5</w:t>
            </w:r>
          </w:p>
        </w:tc>
        <w:tc>
          <w:tcPr>
            <w:tcW w:w="812" w:type="pct"/>
            <w:vAlign w:val="center"/>
          </w:tcPr>
          <w:p>
            <w:pPr>
              <w:adjustRightInd w:val="0"/>
              <w:snapToGrid w:val="0"/>
              <w:spacing w:line="360" w:lineRule="auto"/>
              <w:jc w:val="center"/>
              <w:textAlignment w:val="baseline"/>
              <w:rPr>
                <w:rFonts w:asciiTheme="minorEastAsia" w:hAnsiTheme="minorEastAsia" w:cs="仿宋" w:hint="eastAsia"/>
                <w:bCs/>
                <w:szCs w:val="21"/>
              </w:rPr>
            </w:pPr>
            <w:bookmarkStart w:id="59" w:name="OLE_LINK5"/>
            <w:r>
              <w:rPr>
                <w:rFonts w:asciiTheme="minorEastAsia" w:hAnsiTheme="minorEastAsia" w:cs="仿宋" w:hint="eastAsia"/>
                <w:bCs/>
                <w:szCs w:val="21"/>
              </w:rPr>
              <w:t>地面数据采集系统</w:t>
            </w:r>
            <w:bookmarkEnd w:id="59"/>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工控机、电源模块、MODBUS-RS485转USB模块、采集软件、数据质量控制软件、数据集成分析软件</w:t>
            </w:r>
          </w:p>
        </w:tc>
        <w:tc>
          <w:tcPr>
            <w:tcW w:w="2209" w:type="pct"/>
            <w:vAlign w:val="center"/>
          </w:tcPr>
          <w:p>
            <w:pPr>
              <w:adjustRightInd w:val="0"/>
              <w:snapToGrid w:val="0"/>
              <w:spacing w:line="360" w:lineRule="auto"/>
              <w:jc w:val="left"/>
              <w:textAlignment w:val="baseline"/>
              <w:rPr>
                <w:rFonts w:asciiTheme="minorEastAsia" w:hAnsiTheme="minorEastAsia" w:cs="仿宋"/>
                <w:bCs/>
                <w:szCs w:val="21"/>
              </w:rPr>
            </w:pPr>
            <w:r>
              <w:rPr>
                <w:rFonts w:asciiTheme="minorEastAsia" w:hAnsiTheme="minorEastAsia" w:cs="仿宋" w:hint="eastAsia"/>
                <w:bCs/>
                <w:szCs w:val="21"/>
                <w:lang w:val="en-US" w:eastAsia="zh-CN"/>
              </w:rPr>
              <w:t>*</w:t>
            </w:r>
            <w:r>
              <w:rPr>
                <w:rFonts w:asciiTheme="minorEastAsia" w:hAnsiTheme="minorEastAsia" w:cs="仿宋" w:hint="eastAsia"/>
                <w:bCs/>
                <w:szCs w:val="21"/>
              </w:rPr>
              <w:t>系统功能包括：</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①采集测试校准的机载仪器数据。②实时数据记录、数据筛选、可视化等功能。③控制宽粒径模拟及校准系统、标准粒子发生系统、气溶胶过滤干燥装置、总水含量仪、等子系统的参数，并对参数范围提供管理，在警戒值以外发出警报并调整子系统运行工况。④将地面采集系统的数据和控制宽粒径模拟及校准系统、标准粒子发生系统、气溶胶过滤干燥装置、总水含量仪等子系统的数据进行对比并进行数据分析，将检测设备的数据差值输出。</w:t>
            </w:r>
          </w:p>
        </w:tc>
      </w:tr>
      <w:tr>
        <w:tblPrEx>
          <w:tblW w:w="4877" w:type="pct"/>
          <w:jc w:val="center"/>
          <w:tblCellMar>
            <w:top w:w="0" w:type="dxa"/>
            <w:left w:w="108" w:type="dxa"/>
            <w:bottom w:w="0" w:type="dxa"/>
            <w:right w:w="108" w:type="dxa"/>
          </w:tblCellMar>
        </w:tblPrEx>
        <w:trPr>
          <w:trHeight w:val="90"/>
          <w:jc w:val="center"/>
        </w:trPr>
        <w:tc>
          <w:tcPr>
            <w:tcW w:w="467"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6</w:t>
            </w:r>
          </w:p>
        </w:tc>
        <w:tc>
          <w:tcPr>
            <w:tcW w:w="812"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数据质量控制系统</w:t>
            </w: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数据实时快速处理单元、综合数据质量控制单元</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lang w:val="en-US" w:eastAsia="zh-CN"/>
              </w:rPr>
              <w:t>*</w:t>
            </w:r>
            <w:r>
              <w:rPr>
                <w:rFonts w:asciiTheme="minorEastAsia" w:hAnsiTheme="minorEastAsia" w:cs="仿宋" w:hint="eastAsia"/>
                <w:bCs/>
                <w:szCs w:val="21"/>
              </w:rPr>
              <w:t>质控数据类型包括：</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温度，气压，湿度，风速，飞机位置，飞机高度，飞机姿态等大气环境变量探头数据；大气气溶胶、云凝结核数据；云总体性质探头数据；前向散射类探头数据；图像类探头数据；</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质控过程包括：</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散射类探头数据订正，DOF调整等；图像类数据质控和处理，扭曲图像调整或排除，碰撞破碎粒子识别，采样体积相应调整等。</w:t>
            </w:r>
          </w:p>
        </w:tc>
      </w:tr>
      <w:tr>
        <w:tblPrEx>
          <w:tblW w:w="4877" w:type="pct"/>
          <w:jc w:val="center"/>
          <w:tblCellMar>
            <w:top w:w="0" w:type="dxa"/>
            <w:left w:w="108" w:type="dxa"/>
            <w:bottom w:w="0" w:type="dxa"/>
            <w:right w:w="108" w:type="dxa"/>
          </w:tblCellMar>
        </w:tblPrEx>
        <w:trPr>
          <w:trHeight w:val="90"/>
          <w:jc w:val="center"/>
        </w:trPr>
        <w:tc>
          <w:tcPr>
            <w:tcW w:w="467"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7</w:t>
            </w:r>
          </w:p>
        </w:tc>
        <w:tc>
          <w:tcPr>
            <w:tcW w:w="812"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数据集成分析系统</w:t>
            </w:r>
          </w:p>
        </w:tc>
        <w:tc>
          <w:tcPr>
            <w:tcW w:w="1510"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数据实时显示模块、数据综合回放和产品可视化模块、数据显示管理模块</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支持跨平台运行；</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综合查询响应时间在秒级别；</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单类信息快速查询响应时间在毫秒到秒级；</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统计类响应时间在秒级线性区间。</w:t>
            </w:r>
          </w:p>
        </w:tc>
      </w:tr>
    </w:tbl>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1.2 配套设备</w:t>
      </w:r>
    </w:p>
    <w:tbl>
      <w:tblPr>
        <w:tblStyle w:val="TableGrid"/>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78"/>
        <w:gridCol w:w="1157"/>
        <w:gridCol w:w="2704"/>
        <w:gridCol w:w="3673"/>
      </w:tblGrid>
      <w:tr>
        <w:tblPrEx>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0"/>
          <w:tblHeader/>
          <w:jc w:val="center"/>
        </w:trPr>
        <w:tc>
          <w:tcPr>
            <w:tcW w:w="468"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序号</w:t>
            </w:r>
          </w:p>
        </w:tc>
        <w:tc>
          <w:tcPr>
            <w:tcW w:w="696"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系统/设备</w:t>
            </w:r>
          </w:p>
        </w:tc>
        <w:tc>
          <w:tcPr>
            <w:tcW w:w="1626"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组成部分</w:t>
            </w:r>
          </w:p>
        </w:tc>
        <w:tc>
          <w:tcPr>
            <w:tcW w:w="2209"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技术指标</w:t>
            </w:r>
          </w:p>
        </w:tc>
      </w:tr>
      <w:tr>
        <w:tblPrEx>
          <w:tblW w:w="4877" w:type="pct"/>
          <w:jc w:val="center"/>
          <w:tblCellMar>
            <w:top w:w="0" w:type="dxa"/>
            <w:left w:w="108" w:type="dxa"/>
            <w:bottom w:w="0" w:type="dxa"/>
            <w:right w:w="108" w:type="dxa"/>
          </w:tblCellMar>
        </w:tblPrEx>
        <w:trPr>
          <w:trHeight w:val="90"/>
          <w:jc w:val="center"/>
        </w:trPr>
        <w:tc>
          <w:tcPr>
            <w:tcW w:w="468" w:type="pct"/>
            <w:vMerge w:val="restar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1</w:t>
            </w:r>
          </w:p>
        </w:tc>
        <w:tc>
          <w:tcPr>
            <w:tcW w:w="696" w:type="pct"/>
            <w:vMerge w:val="restar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烟条燃烧装置</w:t>
            </w:r>
          </w:p>
        </w:tc>
        <w:tc>
          <w:tcPr>
            <w:tcW w:w="162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燃烧室</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lang w:val="en-US" w:eastAsia="zh-CN"/>
              </w:rPr>
              <w:t>*</w:t>
            </w:r>
            <w:r>
              <w:rPr>
                <w:rFonts w:asciiTheme="minorEastAsia" w:hAnsiTheme="minorEastAsia" w:cs="仿宋" w:hint="eastAsia"/>
                <w:bCs/>
                <w:szCs w:val="21"/>
              </w:rPr>
              <w:t>燃烧室能满足碘化银烟条等各类烟条的燃烧</w:t>
            </w:r>
          </w:p>
        </w:tc>
      </w:tr>
      <w:tr>
        <w:tblPrEx>
          <w:tblW w:w="4877" w:type="pct"/>
          <w:jc w:val="center"/>
          <w:tblCellMar>
            <w:top w:w="0" w:type="dxa"/>
            <w:left w:w="108" w:type="dxa"/>
            <w:bottom w:w="0" w:type="dxa"/>
            <w:right w:w="108" w:type="dxa"/>
          </w:tblCellMar>
        </w:tblPrEx>
        <w:trPr>
          <w:trHeight w:val="90"/>
          <w:jc w:val="center"/>
        </w:trPr>
        <w:tc>
          <w:tcPr>
            <w:tcW w:w="468"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696"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c>
          <w:tcPr>
            <w:tcW w:w="162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空气混合罐</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规格：≥¢600*1000mm，立式</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材质：304不锈钢</w:t>
            </w:r>
          </w:p>
        </w:tc>
      </w:tr>
      <w:tr>
        <w:tblPrEx>
          <w:tblW w:w="4877" w:type="pct"/>
          <w:jc w:val="center"/>
          <w:tblCellMar>
            <w:top w:w="0" w:type="dxa"/>
            <w:left w:w="108" w:type="dxa"/>
            <w:bottom w:w="0" w:type="dxa"/>
            <w:right w:w="108" w:type="dxa"/>
          </w:tblCellMar>
        </w:tblPrEx>
        <w:trPr>
          <w:trHeight w:val="90"/>
          <w:jc w:val="center"/>
        </w:trPr>
        <w:tc>
          <w:tcPr>
            <w:tcW w:w="468"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696"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c>
          <w:tcPr>
            <w:tcW w:w="162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引流风机</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功率：≤1.5KW，风压≥32kPa,供电380V</w:t>
            </w:r>
          </w:p>
        </w:tc>
      </w:tr>
      <w:tr>
        <w:tblPrEx>
          <w:tblW w:w="4877" w:type="pct"/>
          <w:jc w:val="center"/>
          <w:tblCellMar>
            <w:top w:w="0" w:type="dxa"/>
            <w:left w:w="108" w:type="dxa"/>
            <w:bottom w:w="0" w:type="dxa"/>
            <w:right w:w="108" w:type="dxa"/>
          </w:tblCellMar>
        </w:tblPrEx>
        <w:trPr>
          <w:trHeight w:val="90"/>
          <w:jc w:val="center"/>
        </w:trPr>
        <w:tc>
          <w:tcPr>
            <w:tcW w:w="468" w:type="pct"/>
            <w:vMerge/>
            <w:vAlign w:val="center"/>
          </w:tcPr>
          <w:p>
            <w:pPr>
              <w:adjustRightInd w:val="0"/>
              <w:snapToGrid w:val="0"/>
              <w:spacing w:line="360" w:lineRule="auto"/>
              <w:jc w:val="center"/>
              <w:textAlignment w:val="baseline"/>
              <w:rPr>
                <w:rFonts w:asciiTheme="minorEastAsia" w:hAnsiTheme="minorEastAsia" w:cs="仿宋" w:hint="eastAsia"/>
                <w:bCs/>
                <w:szCs w:val="21"/>
              </w:rPr>
            </w:pPr>
          </w:p>
        </w:tc>
        <w:tc>
          <w:tcPr>
            <w:tcW w:w="696" w:type="pct"/>
            <w:vMerge/>
            <w:vAlign w:val="center"/>
          </w:tcPr>
          <w:p>
            <w:pPr>
              <w:adjustRightInd w:val="0"/>
              <w:snapToGrid w:val="0"/>
              <w:spacing w:line="360" w:lineRule="auto"/>
              <w:jc w:val="left"/>
              <w:textAlignment w:val="baseline"/>
              <w:rPr>
                <w:rFonts w:asciiTheme="minorEastAsia" w:hAnsiTheme="minorEastAsia" w:cs="仿宋" w:hint="eastAsia"/>
                <w:bCs/>
                <w:szCs w:val="21"/>
              </w:rPr>
            </w:pPr>
          </w:p>
        </w:tc>
        <w:tc>
          <w:tcPr>
            <w:tcW w:w="162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连接管道及阀门</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材质：304不锈钢</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阀门为电控不锈钢比例阀</w:t>
            </w:r>
          </w:p>
        </w:tc>
      </w:tr>
      <w:tr>
        <w:tblPrEx>
          <w:tblW w:w="4877" w:type="pct"/>
          <w:jc w:val="center"/>
          <w:tblCellMar>
            <w:top w:w="0" w:type="dxa"/>
            <w:left w:w="108" w:type="dxa"/>
            <w:bottom w:w="0" w:type="dxa"/>
            <w:right w:w="108" w:type="dxa"/>
          </w:tblCellMar>
        </w:tblPrEx>
        <w:trPr>
          <w:trHeight w:val="90"/>
          <w:jc w:val="center"/>
        </w:trPr>
        <w:tc>
          <w:tcPr>
            <w:tcW w:w="468" w:type="pct"/>
            <w:vAlign w:val="center"/>
          </w:tcPr>
          <w:p>
            <w:pPr>
              <w:adjustRightInd w:val="0"/>
              <w:snapToGrid w:val="0"/>
              <w:spacing w:line="360" w:lineRule="auto"/>
              <w:jc w:val="center"/>
              <w:textAlignment w:val="baseline"/>
              <w:rPr>
                <w:rFonts w:asciiTheme="minorEastAsia" w:hAnsiTheme="minorEastAsia" w:cs="仿宋" w:hint="eastAsia"/>
                <w:bCs/>
                <w:szCs w:val="21"/>
              </w:rPr>
            </w:pPr>
            <w:r>
              <w:rPr>
                <w:rFonts w:asciiTheme="minorEastAsia" w:hAnsiTheme="minorEastAsia" w:cs="仿宋" w:hint="eastAsia"/>
                <w:bCs/>
                <w:szCs w:val="21"/>
              </w:rPr>
              <w:t>2</w:t>
            </w:r>
          </w:p>
        </w:tc>
        <w:tc>
          <w:tcPr>
            <w:tcW w:w="69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云室采样装置</w:t>
            </w:r>
          </w:p>
        </w:tc>
        <w:tc>
          <w:tcPr>
            <w:tcW w:w="162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定制冰晶采样装置</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#工作温度：30℃至-40℃</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响应时间：≤0.5秒</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载玻片仓数：3-5只</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#每仓载玻片数：≥10片</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功率：≤200W</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尺寸：≤长1700mm宽400mm高400mm</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重量：≤20KG</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系统控制机柜：≤长700mm宽800mm高1300mm</w:t>
            </w:r>
          </w:p>
        </w:tc>
      </w:tr>
    </w:tbl>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2.气象类机载探测设备标定维修实验室</w:t>
      </w:r>
    </w:p>
    <w:tbl>
      <w:tblPr>
        <w:tblStyle w:val="TableGrid"/>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78"/>
        <w:gridCol w:w="1157"/>
        <w:gridCol w:w="2704"/>
        <w:gridCol w:w="3673"/>
      </w:tblGrid>
      <w:tr>
        <w:tblPrEx>
          <w:tblW w:w="48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0"/>
          <w:tblHeader/>
          <w:jc w:val="center"/>
        </w:trPr>
        <w:tc>
          <w:tcPr>
            <w:tcW w:w="468"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序号</w:t>
            </w:r>
          </w:p>
        </w:tc>
        <w:tc>
          <w:tcPr>
            <w:tcW w:w="696"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系统/设备</w:t>
            </w:r>
          </w:p>
        </w:tc>
        <w:tc>
          <w:tcPr>
            <w:tcW w:w="1626"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组成部分</w:t>
            </w:r>
          </w:p>
        </w:tc>
        <w:tc>
          <w:tcPr>
            <w:tcW w:w="2209" w:type="pct"/>
            <w:vAlign w:val="center"/>
          </w:tcPr>
          <w:p>
            <w:pPr>
              <w:adjustRightInd w:val="0"/>
              <w:snapToGrid w:val="0"/>
              <w:spacing w:line="360" w:lineRule="auto"/>
              <w:jc w:val="center"/>
              <w:textAlignment w:val="baseline"/>
              <w:rPr>
                <w:rFonts w:asciiTheme="minorEastAsia" w:hAnsiTheme="minorEastAsia" w:cs="宋体" w:hint="eastAsia"/>
                <w:bCs/>
                <w:szCs w:val="21"/>
              </w:rPr>
            </w:pPr>
            <w:r>
              <w:rPr>
                <w:rFonts w:asciiTheme="minorEastAsia" w:hAnsiTheme="minorEastAsia" w:cs="宋体" w:hint="eastAsia"/>
                <w:bCs/>
                <w:szCs w:val="21"/>
              </w:rPr>
              <w:t>技术指标</w:t>
            </w:r>
          </w:p>
        </w:tc>
      </w:tr>
      <w:tr>
        <w:tblPrEx>
          <w:tblW w:w="4877" w:type="pct"/>
          <w:jc w:val="center"/>
          <w:tblCellMar>
            <w:top w:w="0" w:type="dxa"/>
            <w:left w:w="108" w:type="dxa"/>
            <w:bottom w:w="0" w:type="dxa"/>
            <w:right w:w="108" w:type="dxa"/>
          </w:tblCellMar>
        </w:tblPrEx>
        <w:trPr>
          <w:trHeight w:val="90"/>
          <w:jc w:val="center"/>
        </w:trPr>
        <w:tc>
          <w:tcPr>
            <w:tcW w:w="468"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1</w:t>
            </w:r>
          </w:p>
        </w:tc>
        <w:tc>
          <w:tcPr>
            <w:tcW w:w="696" w:type="pct"/>
            <w:vAlign w:val="center"/>
          </w:tcPr>
          <w:p>
            <w:pPr>
              <w:adjustRightInd w:val="0"/>
              <w:snapToGrid w:val="0"/>
              <w:spacing w:line="360" w:lineRule="auto"/>
              <w:jc w:val="left"/>
              <w:textAlignment w:val="baseline"/>
              <w:rPr>
                <w:rFonts w:asciiTheme="minorEastAsia" w:hAnsiTheme="minorEastAsia" w:cs="仿宋" w:hint="eastAsia"/>
                <w:bCs/>
                <w:szCs w:val="21"/>
              </w:rPr>
            </w:pPr>
            <w:bookmarkStart w:id="60" w:name="OLE_LINK6"/>
            <w:r>
              <w:rPr>
                <w:rFonts w:asciiTheme="minorEastAsia" w:hAnsiTheme="minorEastAsia" w:cs="仿宋" w:hint="eastAsia"/>
                <w:bCs/>
                <w:szCs w:val="21"/>
              </w:rPr>
              <w:t>AIMMS气象探头标定检测维修设备</w:t>
            </w:r>
            <w:bookmarkEnd w:id="60"/>
          </w:p>
        </w:tc>
        <w:tc>
          <w:tcPr>
            <w:tcW w:w="162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压力基准、温湿度环境改造、温湿度基准、测试夹具、数据接收设备、自动检测维护软件</w:t>
            </w:r>
          </w:p>
        </w:tc>
        <w:tc>
          <w:tcPr>
            <w:tcW w:w="2209" w:type="pct"/>
            <w:vAlign w:val="center"/>
          </w:tcPr>
          <w:p>
            <w:pPr>
              <w:adjustRightInd w:val="0"/>
              <w:snapToGrid w:val="0"/>
              <w:spacing w:line="360" w:lineRule="auto"/>
              <w:jc w:val="left"/>
              <w:textAlignment w:val="baseline"/>
              <w:rPr>
                <w:rFonts w:asciiTheme="minorEastAsia" w:hAnsiTheme="minorEastAsia" w:cs="仿宋"/>
                <w:bCs/>
                <w:szCs w:val="21"/>
              </w:rPr>
            </w:pPr>
            <w:r>
              <w:rPr>
                <w:rFonts w:asciiTheme="minorEastAsia" w:hAnsiTheme="minorEastAsia" w:cs="仿宋" w:hint="eastAsia"/>
                <w:bCs/>
                <w:szCs w:val="21"/>
              </w:rPr>
              <w:t>#功能包括：</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静压50hPa～1000hPa，精度±0.2%FS（测量）、控制±0.3hPa；</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总压50hPa～2500hPa，精度±0.2%FS（测量）、控制±0.3hPa；</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差压-500 hPa～500hPa，精度±7hPa（测量）、控制±0.3hPa；</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温度范围5℃～50℃，波动度±1℃，均匀度≤2℃；</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湿度10%RH～90%RH，40%RH～90%RH(20℃时)，波动度±3%RH，均匀度8%RH。</w:t>
            </w:r>
          </w:p>
        </w:tc>
      </w:tr>
      <w:tr>
        <w:tblPrEx>
          <w:tblW w:w="4877" w:type="pct"/>
          <w:jc w:val="center"/>
          <w:tblCellMar>
            <w:top w:w="0" w:type="dxa"/>
            <w:left w:w="108" w:type="dxa"/>
            <w:bottom w:w="0" w:type="dxa"/>
            <w:right w:w="108" w:type="dxa"/>
          </w:tblCellMar>
        </w:tblPrEx>
        <w:trPr>
          <w:trHeight w:val="90"/>
          <w:jc w:val="center"/>
        </w:trPr>
        <w:tc>
          <w:tcPr>
            <w:tcW w:w="468"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2</w:t>
            </w:r>
          </w:p>
        </w:tc>
        <w:tc>
          <w:tcPr>
            <w:tcW w:w="696" w:type="pct"/>
            <w:vAlign w:val="center"/>
          </w:tcPr>
          <w:p>
            <w:pPr>
              <w:adjustRightInd w:val="0"/>
              <w:snapToGrid w:val="0"/>
              <w:spacing w:line="360" w:lineRule="auto"/>
              <w:jc w:val="left"/>
              <w:textAlignment w:val="baseline"/>
              <w:rPr>
                <w:rFonts w:asciiTheme="minorEastAsia" w:hAnsiTheme="minorEastAsia" w:cs="仿宋" w:hint="eastAsia"/>
                <w:bCs/>
                <w:szCs w:val="21"/>
              </w:rPr>
            </w:pPr>
            <w:bookmarkStart w:id="61" w:name="OLE_LINK7"/>
            <w:r>
              <w:rPr>
                <w:rFonts w:asciiTheme="minorEastAsia" w:hAnsiTheme="minorEastAsia" w:cs="仿宋" w:hint="eastAsia"/>
                <w:bCs/>
                <w:szCs w:val="21"/>
              </w:rPr>
              <w:t>露点仪标定检测维修设备</w:t>
            </w:r>
            <w:bookmarkEnd w:id="61"/>
          </w:p>
        </w:tc>
        <w:tc>
          <w:tcPr>
            <w:tcW w:w="1626"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温湿度环境改造、温湿度基准、测试夹具、数据接收设备、自动检测维护软件</w:t>
            </w:r>
          </w:p>
        </w:tc>
        <w:tc>
          <w:tcPr>
            <w:tcW w:w="2209" w:type="pct"/>
            <w:vAlign w:val="center"/>
          </w:tcPr>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#温度范围5℃～50℃，波动度±1℃，均匀度≤2℃；</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#湿度10%RH～90%RH，40%RH～90%RH(20℃时)，波动度±3%RH，均匀度8%RH;</w:t>
            </w:r>
          </w:p>
          <w:p>
            <w:pPr>
              <w:adjustRightInd w:val="0"/>
              <w:snapToGrid w:val="0"/>
              <w:spacing w:line="360" w:lineRule="auto"/>
              <w:jc w:val="left"/>
              <w:textAlignment w:val="baseline"/>
              <w:rPr>
                <w:rFonts w:asciiTheme="minorEastAsia" w:hAnsiTheme="minorEastAsia" w:cs="仿宋" w:hint="eastAsia"/>
                <w:bCs/>
                <w:szCs w:val="21"/>
              </w:rPr>
            </w:pPr>
            <w:r>
              <w:rPr>
                <w:rFonts w:asciiTheme="minorEastAsia" w:hAnsiTheme="minorEastAsia" w:cs="仿宋" w:hint="eastAsia"/>
                <w:bCs/>
                <w:szCs w:val="21"/>
              </w:rPr>
              <w:t>露点温度精度±1.5℃ dp。</w:t>
            </w:r>
          </w:p>
        </w:tc>
      </w:tr>
    </w:tbl>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数据要求：供应商提供的机载设备地面测试对比验证平台及配套设备、气象类机载探测设备标定维修实验室应能够按照甲方要求存储所有数据，需要配置足够空间的存储器。</w:t>
      </w:r>
    </w:p>
    <w:p>
      <w:pPr>
        <w:spacing w:line="360" w:lineRule="auto"/>
        <w:ind w:firstLine="420" w:firstLineChars="200"/>
        <w:rPr>
          <w:rFonts w:asciiTheme="minorEastAsia" w:hAnsiTheme="minorEastAsia" w:hint="eastAsia"/>
          <w:bCs/>
          <w:szCs w:val="21"/>
        </w:rPr>
      </w:pPr>
    </w:p>
    <w:p>
      <w:pPr>
        <w:spacing w:line="360" w:lineRule="auto"/>
        <w:ind w:firstLine="420" w:firstLineChars="200"/>
        <w:rPr>
          <w:rFonts w:asciiTheme="minorEastAsia" w:hAnsiTheme="minorEastAsia" w:hint="eastAsia"/>
          <w:bCs/>
          <w:szCs w:val="21"/>
        </w:rPr>
      </w:pPr>
      <w:r>
        <w:rPr>
          <w:rFonts w:asciiTheme="minorEastAsia" w:hAnsiTheme="minorEastAsia" w:hint="eastAsia"/>
          <w:bCs/>
          <w:szCs w:val="21"/>
        </w:rPr>
        <w:t>四、检验考核要求</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参照招投标文件、合同、测试大纲等有关文件要求开展检验考核。</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设备安装、调试达到合同规定的指标后，可进行初步验收。验收规范（包括项目、指标、方式和测试仪器等）应由供应商在前一个月提交给采购人。采购人可根据合同、中标人投标文件以及采购人的有关规定进行修改和补充，经双方确认后形成验收文件作为验收依据。验收测试合格后，双方签署初验单。</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（2）设备安装调试完毕后，进入设备测试运行阶段，试运行时间为1个月，期间完成整体试验次数不少于3次；在试运行期间，由于设备质量等造成某些指标达不到要求，允许供应商更换或进行修复。</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（3）设备安装调试和试运行结束后15个工作日内，采购人组织最终合同验收。当满足以下条件时，采购人确认验收合格出具验收合格意见：</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供应商已提供合同中签署的全部货物及完整技术资料；</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货物符合技术规格，性能满足要求；</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安装工程符合技术要求，系统性能满足要求，设备正常运行；</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供应商提供试运行报告。</w:t>
      </w:r>
    </w:p>
    <w:p>
      <w:pPr>
        <w:spacing w:line="360" w:lineRule="auto"/>
        <w:ind w:firstLine="420" w:firstLineChars="200"/>
        <w:rPr>
          <w:rFonts w:asciiTheme="minorEastAsia" w:hAnsiTheme="minorEastAsia" w:hint="eastAsia"/>
          <w:bCs/>
          <w:szCs w:val="21"/>
        </w:rPr>
      </w:pPr>
      <w:r>
        <w:rPr>
          <w:rFonts w:asciiTheme="minorEastAsia" w:hAnsiTheme="minorEastAsia" w:hint="eastAsia"/>
          <w:bCs/>
          <w:szCs w:val="21"/>
        </w:rPr>
        <w:t>五、技术服务和质保期服务要求</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1.质保服务等要求</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供应商按照业务运行规范要求执行，确保设备可稳定运行，主要包括巡检、巡查工作，以及关键器件及系统故障的维修等，并提供相关承诺函。</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（1）供应商将所有设备运送到招标人指定地点（运输相关费用由供应商负责），并负责安装调试。</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（2）*质保期：8年，供应商需对质保期（保内、保外）政策进行阐述或承诺，列明有偿服务和无偿服务内容。</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（3）在质保期内， 设备供应商服务时间应为7×24小时，当投标产品或软件遭到损坏或出现故障时，要在用户报修之时起48小时内做出响应，开展维修维护工作，视情况双方协商设备恢复正常运行时限。</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（4）质保期过后，供应商仍有义务提供技术服务（包括提供设备维护、备件等）。</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2.技术培训</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（1）供应商应免费向甲方提供培训，培训次数不少于5次，培训人次不少于20人次，免费向用户提供设备安装、调试以及软件技术培训。</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（3）技术培训内容包括：设备工作原理、使用方法、日常维护、仪器校准及一般常见故障的诊断及排除等。</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（4）培训时免费提供完整的培训资料，其中包括使用说明、工作原理、技术图纸、注意事项、安装调试方法和维修指南等。</w:t>
      </w:r>
    </w:p>
    <w:p>
      <w:pPr>
        <w:spacing w:line="360" w:lineRule="auto"/>
        <w:ind w:firstLine="420" w:firstLineChars="200"/>
        <w:rPr>
          <w:rFonts w:asciiTheme="minorEastAsia" w:hAnsiTheme="minorEastAsia" w:hint="eastAsia"/>
          <w:bCs/>
          <w:szCs w:val="21"/>
        </w:rPr>
      </w:pPr>
      <w:r>
        <w:rPr>
          <w:rFonts w:asciiTheme="minorEastAsia" w:hAnsiTheme="minorEastAsia" w:cs="仿宋" w:hint="eastAsia"/>
          <w:bCs/>
          <w:szCs w:val="21"/>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3.交货要求及履约地点</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中标供应商将所有设备运送至甲方约定地点，运输相关费用由供应商负责，并负责安装调试。</w:t>
      </w:r>
    </w:p>
    <w:p>
      <w:pPr>
        <w:spacing w:line="360" w:lineRule="auto"/>
        <w:ind w:firstLine="420" w:firstLineChars="200"/>
        <w:rPr>
          <w:rFonts w:asciiTheme="minorEastAsia" w:hAnsiTheme="minorEastAsia" w:cs="仿宋" w:hint="eastAsia"/>
          <w:bCs/>
          <w:szCs w:val="21"/>
        </w:rPr>
      </w:pPr>
      <w:r>
        <w:rPr>
          <w:rFonts w:asciiTheme="minorEastAsia" w:hAnsiTheme="minorEastAsia" w:cs="仿宋" w:hint="eastAsia"/>
          <w:bCs/>
          <w:szCs w:val="21"/>
        </w:rPr>
        <w:t>合同签订后90天内交货，180天内完成安装调试并具备验收条件。</w:t>
      </w:r>
    </w:p>
    <w:p>
      <w:pPr>
        <w:spacing w:line="360" w:lineRule="auto"/>
        <w:rPr>
          <w:rFonts w:asciiTheme="minorEastAsia" w:hAnsiTheme="minorEastAsia" w:cs="Times New Roman" w:hint="eastAsia"/>
          <w:bCs/>
          <w:szCs w:val="21"/>
        </w:rPr>
      </w:pPr>
      <w:r>
        <w:rPr>
          <w:rFonts w:asciiTheme="minorEastAsia" w:hAnsiTheme="minorEastAsia" w:cs="Times New Roman" w:hint="eastAsia"/>
          <w:bCs/>
          <w:szCs w:val="21"/>
        </w:rPr>
        <w:t>第七章 采购需求 附表</w:t>
      </w:r>
    </w:p>
    <w:p>
      <w:pPr>
        <w:spacing w:line="360" w:lineRule="auto"/>
        <w:ind w:firstLine="420" w:firstLineChars="200"/>
        <w:rPr>
          <w:rFonts w:asciiTheme="minorEastAsia" w:hAnsiTheme="minorEastAsia" w:cs="Times New Roman" w:hint="eastAsia"/>
          <w:bCs/>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1"/>
        <w:gridCol w:w="2371"/>
        <w:gridCol w:w="1002"/>
        <w:gridCol w:w="1393"/>
        <w:gridCol w:w="1589"/>
        <w:gridCol w:w="1002"/>
        <w:gridCol w:w="593"/>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2" w:name="货物一览表_index"/>
            <w:r>
              <w:rPr>
                <w:rFonts w:asciiTheme="minorEastAsia" w:eastAsiaTheme="minorEastAsia" w:hAnsiTheme="minorEastAsia" w:cstheme="minorEastAsia" w:hint="eastAsia"/>
                <w:kern w:val="0"/>
                <w:szCs w:val="21"/>
              </w:rPr>
              <w:t>序号</w:t>
            </w:r>
            <w:bookmarkEnd w:id="62"/>
          </w:p>
        </w:tc>
        <w:tc>
          <w:tcPr>
            <w:tcW w:w="1135" w:type="dxa"/>
          </w:tcPr>
          <w:p>
            <w:pPr>
              <w:autoSpaceDE w:val="0"/>
              <w:jc w:val="center"/>
              <w:rPr>
                <w:rFonts w:asciiTheme="minorEastAsia" w:hAnsiTheme="minorEastAsia" w:cstheme="minorEastAsia"/>
                <w:kern w:val="0"/>
                <w:szCs w:val="21"/>
              </w:rPr>
            </w:pPr>
            <w:bookmarkStart w:id="63" w:name="货物一览表_goodsName"/>
            <w:r>
              <w:rPr>
                <w:rFonts w:asciiTheme="minorEastAsia" w:eastAsiaTheme="minorEastAsia" w:hAnsiTheme="minorEastAsia" w:cstheme="minorEastAsia" w:hint="eastAsia"/>
                <w:kern w:val="0"/>
                <w:szCs w:val="21"/>
              </w:rPr>
              <w:t>设备名称</w:t>
            </w:r>
            <w:bookmarkEnd w:id="63"/>
          </w:p>
        </w:tc>
        <w:tc>
          <w:tcPr>
            <w:tcW w:w="965" w:type="dxa"/>
          </w:tcPr>
          <w:p>
            <w:pPr>
              <w:autoSpaceDE w:val="0"/>
              <w:jc w:val="center"/>
              <w:rPr>
                <w:rFonts w:asciiTheme="minorEastAsia" w:hAnsiTheme="minorEastAsia" w:cstheme="minorEastAsia"/>
                <w:kern w:val="0"/>
                <w:szCs w:val="21"/>
              </w:rPr>
            </w:pPr>
            <w:bookmarkStart w:id="64" w:name="货物一览表_nums"/>
            <w:r>
              <w:rPr>
                <w:rFonts w:asciiTheme="minorEastAsia" w:eastAsiaTheme="minorEastAsia" w:hAnsiTheme="minorEastAsia" w:cstheme="minorEastAsia" w:hint="eastAsia"/>
                <w:kern w:val="0"/>
                <w:szCs w:val="21"/>
              </w:rPr>
              <w:t>采购数量</w:t>
            </w:r>
            <w:bookmarkEnd w:id="64"/>
          </w:p>
        </w:tc>
        <w:tc>
          <w:tcPr>
            <w:tcW w:w="1062" w:type="dxa"/>
          </w:tcPr>
          <w:p>
            <w:pPr>
              <w:autoSpaceDE w:val="0"/>
              <w:jc w:val="center"/>
              <w:rPr>
                <w:rFonts w:asciiTheme="minorEastAsia" w:hAnsiTheme="minorEastAsia" w:cstheme="minorEastAsia"/>
                <w:kern w:val="0"/>
                <w:szCs w:val="21"/>
              </w:rPr>
            </w:pPr>
            <w:bookmarkStart w:id="65" w:name="货物一览表_units"/>
            <w:r>
              <w:rPr>
                <w:rFonts w:asciiTheme="minorEastAsia" w:eastAsiaTheme="minorEastAsia" w:hAnsiTheme="minorEastAsia" w:cstheme="minorEastAsia" w:hint="eastAsia"/>
                <w:kern w:val="0"/>
                <w:szCs w:val="21"/>
              </w:rPr>
              <w:t>计量单位</w:t>
            </w:r>
            <w:bookmarkEnd w:id="65"/>
          </w:p>
        </w:tc>
        <w:tc>
          <w:tcPr>
            <w:tcW w:w="1220" w:type="dxa"/>
          </w:tcPr>
          <w:p>
            <w:pPr>
              <w:autoSpaceDE w:val="0"/>
              <w:jc w:val="center"/>
              <w:rPr>
                <w:rFonts w:asciiTheme="minorEastAsia" w:hAnsiTheme="minorEastAsia" w:cstheme="minorEastAsia"/>
                <w:kern w:val="0"/>
                <w:szCs w:val="21"/>
              </w:rPr>
            </w:pPr>
            <w:bookmarkStart w:id="66" w:name="货物一览表_procurementBudget"/>
            <w:r>
              <w:rPr>
                <w:rFonts w:asciiTheme="minorEastAsia" w:eastAsiaTheme="minorEastAsia" w:hAnsiTheme="minorEastAsia" w:cstheme="minorEastAsia" w:hint="eastAsia"/>
                <w:kern w:val="0"/>
                <w:szCs w:val="21"/>
              </w:rPr>
              <w:t>采购预算（元）</w:t>
            </w:r>
            <w:bookmarkEnd w:id="66"/>
          </w:p>
        </w:tc>
        <w:tc>
          <w:tcPr>
            <w:tcW w:w="1329" w:type="dxa"/>
          </w:tcPr>
          <w:p>
            <w:pPr>
              <w:autoSpaceDE w:val="0"/>
              <w:jc w:val="center"/>
              <w:rPr>
                <w:rFonts w:asciiTheme="minorEastAsia" w:hAnsiTheme="minorEastAsia" w:cstheme="minorEastAsia" w:hint="eastAsia"/>
                <w:kern w:val="0"/>
                <w:szCs w:val="21"/>
              </w:rPr>
            </w:pPr>
            <w:bookmarkStart w:id="67"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7"/>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8" w:name="货物一览表_remark"/>
            <w:r>
              <w:rPr>
                <w:rFonts w:asciiTheme="minorEastAsia" w:eastAsiaTheme="minorEastAsia" w:hAnsiTheme="minorEastAsia" w:cstheme="minorEastAsia" w:hint="eastAsia"/>
                <w:kern w:val="0"/>
                <w:szCs w:val="21"/>
              </w:rPr>
              <w:t>备注</w:t>
            </w:r>
            <w:bookmarkEnd w:id="68"/>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宽粒径模拟及校准系统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2,100,000.00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标准粒子发生系统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3,500,000.00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气溶胶过滤干燥装置</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总水含量仪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280,000.00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地面数据采集系统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数据质量控制系统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数据集成分析系统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烟条安装燃烧装置</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云室采样检测装置</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800,000.00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AIMMS气象探头标定检测维修设备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11</w:t>
            </w:r>
          </w:p>
        </w:tc>
        <w:tc>
          <w:tcPr/>
          <w:p>
            <w:pPr>
              <w:autoSpaceDE w:val="0"/>
              <w:jc w:val="center"/>
              <w:rPr>
                <w:rFonts w:asciiTheme="minorEastAsia" w:hAnsiTheme="minorEastAsia" w:cstheme="minorEastAsia"/>
                <w:kern w:val="0"/>
                <w:szCs w:val="21"/>
              </w:rPr>
            </w:pPr>
            <w:r>
              <w:t>露点仪标定检测维修设备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595,000.00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12,925,000.00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4"/>
        <w:gridCol w:w="1782"/>
        <w:gridCol w:w="2033"/>
        <w:gridCol w:w="524"/>
        <w:gridCol w:w="1195"/>
        <w:gridCol w:w="1081"/>
        <w:gridCol w:w="859"/>
        <w:gridCol w:w="5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9"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气候中心(001015012)</w:t>
            </w:r>
          </w:p>
        </w:tc>
        <w:tc>
          <w:tcPr/>
          <w:p>
            <w:r>
              <w:t>AIMMS气象探头标定检测维修设备</w:t>
            </w:r>
          </w:p>
        </w:tc>
        <w:tc>
          <w:tcPr/>
          <w:p>
            <w:r>
              <w:t>1</w:t>
            </w:r>
          </w:p>
        </w:tc>
        <w:tc>
          <w:tcPr/>
          <w:p>
            <w:r>
              <w:t>1050000.00</w:t>
            </w:r>
          </w:p>
        </w:tc>
        <w:tc>
          <w:tcPr>
            <w:vMerge w:val="restart"/>
          </w:tcPr>
          <w:p>
            <w:r>
              <w:t xml:space="preserve">12925000.00  </w:t>
            </w:r>
          </w:p>
        </w:tc>
        <w:tc>
          <w:tcPr/>
          <w:p/>
        </w:tc>
        <w:tc>
          <w:tcPr/>
          <w:p/>
        </w:tc>
      </w:tr>
      <w:tr>
        <w:tblPrEx>
          <w:tblW w:w="5000" w:type="pct"/>
          <w:tblCellMar>
            <w:left w:w="108" w:type="dxa"/>
            <w:right w:w="108" w:type="dxa"/>
          </w:tblCellMar>
        </w:tblPrEx>
        <w:tc>
          <w:tcPr/>
          <w:p>
            <w:r>
              <w:t>2</w:t>
            </w:r>
          </w:p>
        </w:tc>
        <w:tc>
          <w:tcPr>
            <w:vMerge/>
          </w:tcPr>
          <w:p>
            <w:r>
              <w:t>气候中心(001015012)</w:t>
            </w:r>
          </w:p>
        </w:tc>
        <w:tc>
          <w:tcPr/>
          <w:p>
            <w:r>
              <w:t>云室采样检测装置</w:t>
            </w:r>
          </w:p>
        </w:tc>
        <w:tc>
          <w:tcPr/>
          <w:p>
            <w:r>
              <w:t>1</w:t>
            </w:r>
          </w:p>
        </w:tc>
        <w:tc>
          <w:tcPr/>
          <w:p>
            <w:r>
              <w:t>800000.00</w:t>
            </w:r>
          </w:p>
        </w:tc>
        <w:tc>
          <w:tcPr>
            <w:vMerge/>
          </w:tcPr>
          <w:p>
            <w:r>
              <w:t xml:space="preserve">12925000.00  </w:t>
            </w:r>
          </w:p>
        </w:tc>
        <w:tc>
          <w:tcPr/>
          <w:p/>
        </w:tc>
        <w:tc>
          <w:tcPr/>
          <w:p/>
        </w:tc>
      </w:tr>
      <w:tr>
        <w:tblPrEx>
          <w:tblW w:w="5000" w:type="pct"/>
          <w:tblCellMar>
            <w:left w:w="108" w:type="dxa"/>
            <w:right w:w="108" w:type="dxa"/>
          </w:tblCellMar>
        </w:tblPrEx>
        <w:tc>
          <w:tcPr/>
          <w:p>
            <w:r>
              <w:t>3</w:t>
            </w:r>
          </w:p>
        </w:tc>
        <w:tc>
          <w:tcPr>
            <w:vMerge/>
          </w:tcPr>
          <w:p>
            <w:r>
              <w:t>气候中心(001015012)</w:t>
            </w:r>
          </w:p>
        </w:tc>
        <w:tc>
          <w:tcPr/>
          <w:p>
            <w:r>
              <w:t>地面数据采集系统</w:t>
            </w:r>
          </w:p>
        </w:tc>
        <w:tc>
          <w:tcPr/>
          <w:p>
            <w:r>
              <w:t>1</w:t>
            </w:r>
          </w:p>
        </w:tc>
        <w:tc>
          <w:tcPr/>
          <w:p>
            <w:r>
              <w:t>700000.00</w:t>
            </w:r>
          </w:p>
        </w:tc>
        <w:tc>
          <w:tcPr>
            <w:vMerge/>
          </w:tcPr>
          <w:p>
            <w:r>
              <w:t xml:space="preserve">12925000.00  </w:t>
            </w:r>
          </w:p>
        </w:tc>
        <w:tc>
          <w:tcPr/>
          <w:p/>
        </w:tc>
        <w:tc>
          <w:tcPr/>
          <w:p/>
        </w:tc>
      </w:tr>
      <w:tr>
        <w:tblPrEx>
          <w:tblW w:w="5000" w:type="pct"/>
          <w:tblCellMar>
            <w:left w:w="108" w:type="dxa"/>
            <w:right w:w="108" w:type="dxa"/>
          </w:tblCellMar>
        </w:tblPrEx>
        <w:tc>
          <w:tcPr/>
          <w:p>
            <w:r>
              <w:t>4</w:t>
            </w:r>
          </w:p>
        </w:tc>
        <w:tc>
          <w:tcPr>
            <w:vMerge/>
          </w:tcPr>
          <w:p>
            <w:r>
              <w:t>气候中心(001015012)</w:t>
            </w:r>
          </w:p>
        </w:tc>
        <w:tc>
          <w:tcPr/>
          <w:p>
            <w:r>
              <w:t>宽粒径模拟及校准系统</w:t>
            </w:r>
          </w:p>
        </w:tc>
        <w:tc>
          <w:tcPr/>
          <w:p>
            <w:r>
              <w:t>1</w:t>
            </w:r>
          </w:p>
        </w:tc>
        <w:tc>
          <w:tcPr/>
          <w:p>
            <w:r>
              <w:t>2100000.00</w:t>
            </w:r>
          </w:p>
        </w:tc>
        <w:tc>
          <w:tcPr>
            <w:vMerge/>
          </w:tcPr>
          <w:p>
            <w:r>
              <w:t xml:space="preserve">12925000.00  </w:t>
            </w:r>
          </w:p>
        </w:tc>
        <w:tc>
          <w:tcPr/>
          <w:p/>
        </w:tc>
        <w:tc>
          <w:tcPr/>
          <w:p/>
        </w:tc>
      </w:tr>
      <w:tr>
        <w:tblPrEx>
          <w:tblW w:w="5000" w:type="pct"/>
          <w:tblCellMar>
            <w:left w:w="108" w:type="dxa"/>
            <w:right w:w="108" w:type="dxa"/>
          </w:tblCellMar>
        </w:tblPrEx>
        <w:tc>
          <w:tcPr/>
          <w:p>
            <w:r>
              <w:t>5</w:t>
            </w:r>
          </w:p>
        </w:tc>
        <w:tc>
          <w:tcPr>
            <w:vMerge/>
          </w:tcPr>
          <w:p>
            <w:r>
              <w:t>气候中心(001015012)</w:t>
            </w:r>
          </w:p>
        </w:tc>
        <w:tc>
          <w:tcPr/>
          <w:p>
            <w:r>
              <w:t>总水含量仪</w:t>
            </w:r>
          </w:p>
        </w:tc>
        <w:tc>
          <w:tcPr/>
          <w:p>
            <w:r>
              <w:t>1</w:t>
            </w:r>
          </w:p>
        </w:tc>
        <w:tc>
          <w:tcPr/>
          <w:p>
            <w:r>
              <w:t>280000.00</w:t>
            </w:r>
          </w:p>
        </w:tc>
        <w:tc>
          <w:tcPr>
            <w:vMerge/>
          </w:tcPr>
          <w:p>
            <w:r>
              <w:t xml:space="preserve">12925000.00  </w:t>
            </w:r>
          </w:p>
        </w:tc>
        <w:tc>
          <w:tcPr/>
          <w:p/>
        </w:tc>
        <w:tc>
          <w:tcPr/>
          <w:p/>
        </w:tc>
      </w:tr>
      <w:tr>
        <w:tblPrEx>
          <w:tblW w:w="5000" w:type="pct"/>
          <w:tblCellMar>
            <w:left w:w="108" w:type="dxa"/>
            <w:right w:w="108" w:type="dxa"/>
          </w:tblCellMar>
        </w:tblPrEx>
        <w:tc>
          <w:tcPr/>
          <w:p>
            <w:r>
              <w:t>6</w:t>
            </w:r>
          </w:p>
        </w:tc>
        <w:tc>
          <w:tcPr>
            <w:vMerge/>
          </w:tcPr>
          <w:p>
            <w:r>
              <w:t>气候中心(001015012)</w:t>
            </w:r>
          </w:p>
        </w:tc>
        <w:tc>
          <w:tcPr/>
          <w:p>
            <w:r>
              <w:t>数据质量控制系统</w:t>
            </w:r>
          </w:p>
        </w:tc>
        <w:tc>
          <w:tcPr/>
          <w:p>
            <w:r>
              <w:t>1</w:t>
            </w:r>
          </w:p>
        </w:tc>
        <w:tc>
          <w:tcPr/>
          <w:p>
            <w:r>
              <w:t>1050000.00</w:t>
            </w:r>
          </w:p>
        </w:tc>
        <w:tc>
          <w:tcPr>
            <w:vMerge/>
          </w:tcPr>
          <w:p>
            <w:r>
              <w:t xml:space="preserve">12925000.00  </w:t>
            </w:r>
          </w:p>
        </w:tc>
        <w:tc>
          <w:tcPr/>
          <w:p/>
        </w:tc>
        <w:tc>
          <w:tcPr/>
          <w:p/>
        </w:tc>
      </w:tr>
      <w:tr>
        <w:tblPrEx>
          <w:tblW w:w="5000" w:type="pct"/>
          <w:tblCellMar>
            <w:left w:w="108" w:type="dxa"/>
            <w:right w:w="108" w:type="dxa"/>
          </w:tblCellMar>
        </w:tblPrEx>
        <w:tc>
          <w:tcPr/>
          <w:p>
            <w:r>
              <w:t>7</w:t>
            </w:r>
          </w:p>
        </w:tc>
        <w:tc>
          <w:tcPr>
            <w:vMerge/>
          </w:tcPr>
          <w:p>
            <w:r>
              <w:t>气候中心(001015012)</w:t>
            </w:r>
          </w:p>
        </w:tc>
        <w:tc>
          <w:tcPr/>
          <w:p>
            <w:r>
              <w:t>数据集成分析系统</w:t>
            </w:r>
          </w:p>
        </w:tc>
        <w:tc>
          <w:tcPr/>
          <w:p>
            <w:r>
              <w:t>1</w:t>
            </w:r>
          </w:p>
        </w:tc>
        <w:tc>
          <w:tcPr/>
          <w:p>
            <w:r>
              <w:t>1050000.00</w:t>
            </w:r>
          </w:p>
        </w:tc>
        <w:tc>
          <w:tcPr>
            <w:vMerge/>
          </w:tcPr>
          <w:p>
            <w:r>
              <w:t xml:space="preserve">12925000.00  </w:t>
            </w:r>
          </w:p>
        </w:tc>
        <w:tc>
          <w:tcPr/>
          <w:p/>
        </w:tc>
        <w:tc>
          <w:tcPr/>
          <w:p/>
        </w:tc>
      </w:tr>
      <w:tr>
        <w:tblPrEx>
          <w:tblW w:w="5000" w:type="pct"/>
          <w:tblCellMar>
            <w:left w:w="108" w:type="dxa"/>
            <w:right w:w="108" w:type="dxa"/>
          </w:tblCellMar>
        </w:tblPrEx>
        <w:tc>
          <w:tcPr/>
          <w:p>
            <w:r>
              <w:t>8</w:t>
            </w:r>
          </w:p>
        </w:tc>
        <w:tc>
          <w:tcPr>
            <w:vMerge/>
          </w:tcPr>
          <w:p>
            <w:r>
              <w:t>气候中心(001015012)</w:t>
            </w:r>
          </w:p>
        </w:tc>
        <w:tc>
          <w:tcPr/>
          <w:p>
            <w:r>
              <w:t>标准粒子发生系统</w:t>
            </w:r>
          </w:p>
        </w:tc>
        <w:tc>
          <w:tcPr/>
          <w:p>
            <w:r>
              <w:t>1</w:t>
            </w:r>
          </w:p>
        </w:tc>
        <w:tc>
          <w:tcPr/>
          <w:p>
            <w:r>
              <w:t>3500000.00</w:t>
            </w:r>
          </w:p>
        </w:tc>
        <w:tc>
          <w:tcPr>
            <w:vMerge/>
          </w:tcPr>
          <w:p>
            <w:r>
              <w:t xml:space="preserve">12925000.00  </w:t>
            </w:r>
          </w:p>
        </w:tc>
        <w:tc>
          <w:tcPr/>
          <w:p/>
        </w:tc>
        <w:tc>
          <w:tcPr/>
          <w:p/>
        </w:tc>
      </w:tr>
      <w:tr>
        <w:tblPrEx>
          <w:tblW w:w="5000" w:type="pct"/>
          <w:tblCellMar>
            <w:left w:w="108" w:type="dxa"/>
            <w:right w:w="108" w:type="dxa"/>
          </w:tblCellMar>
        </w:tblPrEx>
        <w:tc>
          <w:tcPr/>
          <w:p>
            <w:r>
              <w:t>9</w:t>
            </w:r>
          </w:p>
        </w:tc>
        <w:tc>
          <w:tcPr>
            <w:vMerge/>
          </w:tcPr>
          <w:p>
            <w:r>
              <w:t>气候中心(001015012)</w:t>
            </w:r>
          </w:p>
        </w:tc>
        <w:tc>
          <w:tcPr/>
          <w:p>
            <w:r>
              <w:t>气溶胶过滤干燥装置</w:t>
            </w:r>
          </w:p>
        </w:tc>
        <w:tc>
          <w:tcPr/>
          <w:p>
            <w:r>
              <w:t>1</w:t>
            </w:r>
          </w:p>
        </w:tc>
        <w:tc>
          <w:tcPr/>
          <w:p>
            <w:r>
              <w:t>1400000.00</w:t>
            </w:r>
          </w:p>
        </w:tc>
        <w:tc>
          <w:tcPr>
            <w:vMerge/>
          </w:tcPr>
          <w:p>
            <w:r>
              <w:t xml:space="preserve">12925000.00  </w:t>
            </w:r>
          </w:p>
        </w:tc>
        <w:tc>
          <w:tcPr/>
          <w:p/>
        </w:tc>
        <w:tc>
          <w:tcPr/>
          <w:p/>
        </w:tc>
      </w:tr>
      <w:tr>
        <w:tblPrEx>
          <w:tblW w:w="5000" w:type="pct"/>
          <w:tblCellMar>
            <w:left w:w="108" w:type="dxa"/>
            <w:right w:w="108" w:type="dxa"/>
          </w:tblCellMar>
        </w:tblPrEx>
        <w:tc>
          <w:tcPr/>
          <w:p>
            <w:r>
              <w:t>10</w:t>
            </w:r>
          </w:p>
        </w:tc>
        <w:tc>
          <w:tcPr>
            <w:vMerge/>
          </w:tcPr>
          <w:p>
            <w:r>
              <w:t>气候中心(001015012)</w:t>
            </w:r>
          </w:p>
        </w:tc>
        <w:tc>
          <w:tcPr/>
          <w:p>
            <w:r>
              <w:t>烟条安装燃烧装置</w:t>
            </w:r>
          </w:p>
        </w:tc>
        <w:tc>
          <w:tcPr/>
          <w:p>
            <w:r>
              <w:t>1</w:t>
            </w:r>
          </w:p>
        </w:tc>
        <w:tc>
          <w:tcPr/>
          <w:p>
            <w:r>
              <w:t>400000.00</w:t>
            </w:r>
          </w:p>
        </w:tc>
        <w:tc>
          <w:tcPr>
            <w:vMerge/>
          </w:tcPr>
          <w:p>
            <w:r>
              <w:t xml:space="preserve">12925000.00  </w:t>
            </w:r>
          </w:p>
        </w:tc>
        <w:tc>
          <w:tcPr/>
          <w:p/>
        </w:tc>
        <w:tc>
          <w:tcPr/>
          <w:p/>
        </w:tc>
      </w:tr>
      <w:tr>
        <w:tblPrEx>
          <w:tblW w:w="5000" w:type="pct"/>
          <w:tblCellMar>
            <w:left w:w="108" w:type="dxa"/>
            <w:right w:w="108" w:type="dxa"/>
          </w:tblCellMar>
        </w:tblPrEx>
        <w:tc>
          <w:tcPr/>
          <w:p>
            <w:r>
              <w:t>11</w:t>
            </w:r>
          </w:p>
        </w:tc>
        <w:tc>
          <w:tcPr>
            <w:vMerge/>
          </w:tcPr>
          <w:p>
            <w:r>
              <w:t>气候中心(001015012)</w:t>
            </w:r>
          </w:p>
        </w:tc>
        <w:tc>
          <w:tcPr/>
          <w:p>
            <w:r>
              <w:t>露点仪标定检测维修设备</w:t>
            </w:r>
          </w:p>
        </w:tc>
        <w:tc>
          <w:tcPr/>
          <w:p>
            <w:r>
              <w:t>1</w:t>
            </w:r>
          </w:p>
        </w:tc>
        <w:tc>
          <w:tcPr/>
          <w:p>
            <w:r>
              <w:t>595000.00</w:t>
            </w:r>
          </w:p>
        </w:tc>
        <w:tc>
          <w:tcPr>
            <w:vMerge/>
          </w:tcPr>
          <w:p>
            <w:r>
              <w:t xml:space="preserve">12925000.00  </w:t>
            </w:r>
          </w:p>
        </w:tc>
        <w:tc>
          <w:tcPr/>
          <w:p/>
        </w:tc>
        <w:tc>
          <w:tcPr/>
          <w:p/>
        </w:tc>
      </w:tr>
    </w:tbl>
    <w:p w:rsidR="00A77B3E"/>
    <w:p>
      <w:pPr>
        <w:spacing w:line="360" w:lineRule="auto"/>
        <w:rPr>
          <w:rFonts w:ascii="宋体" w:hAnsi="宋体"/>
          <w:szCs w:val="21"/>
        </w:rPr>
      </w:pPr>
      <w:bookmarkEnd w:id="69"/>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Theme="minorEastAsia" w:hAnsiTheme="minorEastAsia" w:hint="eastAsia"/>
          <w:bCs/>
          <w:szCs w:val="21"/>
        </w:rPr>
        <w:sectPr>
          <w:pgSz w:w="11906" w:h="16838"/>
          <w:pgMar w:top="1418" w:right="1418" w:bottom="1418" w:left="1701" w:header="851" w:footer="851" w:gutter="0"/>
          <w:cols w:space="708"/>
          <w:docGrid w:type="linesAndChars" w:linePitch="312"/>
        </w:sectPr>
      </w:pPr>
      <w:bookmarkEnd w:id="58"/>
    </w:p>
    <w:p>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3"/>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60" w:lineRule="auto"/>
              <w:textAlignment w:val="auto"/>
              <w:rPr>
                <w:rFonts w:ascii="宋体" w:hAnsi="宋体" w:hint="eastAsia"/>
                <w:sz w:val="18"/>
                <w:szCs w:val="18"/>
              </w:rPr>
            </w:pPr>
          </w:p>
        </w:tc>
        <w:tc>
          <w:tcPr>
            <w:tcW w:w="898" w:type="dxa"/>
            <w:vAlign w:val="center"/>
          </w:tcPr>
          <w:p>
            <w:pPr>
              <w:keepNext w:val="0"/>
              <w:keepLines w:val="0"/>
              <w:pageBreakBefore w:val="0"/>
              <w:widowControl w:val="0"/>
              <w:kinsoku/>
              <w:wordWrap/>
              <w:overflowPunct/>
              <w:topLinePunct w:val="0"/>
              <w:autoSpaceDE/>
              <w:autoSpaceDN/>
              <w:bidi w:val="0"/>
              <w:adjustRightInd/>
              <w:snapToGrid/>
              <w:spacing w:before="156" w:beforeLines="50" w:line="360" w:lineRule="auto"/>
              <w:textAlignment w:val="auto"/>
              <w:rPr>
                <w:rFonts w:ascii="宋体" w:hAnsi="宋体" w:hint="eastAsia"/>
                <w:szCs w:val="21"/>
              </w:rPr>
            </w:pPr>
            <w:r>
              <w:rPr>
                <w:rFonts w:ascii="宋体" w:hAnsi="宋体" w:hint="eastAsia"/>
                <w:szCs w:val="21"/>
              </w:rPr>
              <w:t>1.1机载设备地面测试对比验证平台</w:t>
            </w:r>
          </w:p>
          <w:p>
            <w:pPr>
              <w:keepNext w:val="0"/>
              <w:keepLines w:val="0"/>
              <w:pageBreakBefore w:val="0"/>
              <w:widowControl w:val="0"/>
              <w:kinsoku/>
              <w:wordWrap/>
              <w:overflowPunct/>
              <w:topLinePunct w:val="0"/>
              <w:autoSpaceDE/>
              <w:autoSpaceDN/>
              <w:bidi w:val="0"/>
              <w:adjustRightInd/>
              <w:snapToGrid/>
              <w:spacing w:before="156" w:beforeLines="50" w:line="360" w:lineRule="auto"/>
              <w:ind w:firstLine="420"/>
              <w:textAlignment w:val="auto"/>
              <w:rPr>
                <w:rFonts w:ascii="宋体" w:hAnsi="宋体" w:hint="eastAsia"/>
                <w:szCs w:val="21"/>
              </w:rPr>
            </w:pPr>
          </w:p>
        </w:tc>
        <w:tc>
          <w:tcPr>
            <w:tcW w:w="7347" w:type="dxa"/>
            <w:vAlign w:val="center"/>
          </w:tcPr>
          <w:p>
            <w:pPr>
              <w:adjustRightInd w:val="0"/>
              <w:snapToGrid w:val="0"/>
              <w:spacing w:before="156" w:beforeLines="50" w:line="360" w:lineRule="auto"/>
              <w:ind w:firstLine="420"/>
              <w:rPr>
                <w:rFonts w:ascii="宋体" w:hAnsi="宋体" w:hint="eastAsia"/>
                <w:szCs w:val="21"/>
              </w:rPr>
            </w:pPr>
            <w:bookmarkStart w:id="71" w:name="OLE_LINK5_0"/>
            <w:r>
              <w:rPr>
                <w:rFonts w:ascii="宋体" w:hAnsi="宋体" w:hint="eastAsia"/>
                <w:szCs w:val="21"/>
              </w:rPr>
              <w:t>地面数据采集系统</w:t>
            </w:r>
            <w:bookmarkEnd w:id="71"/>
            <w:r>
              <w:rPr>
                <w:rFonts w:ascii="宋体" w:hAnsi="宋体" w:hint="eastAsia"/>
                <w:szCs w:val="21"/>
                <w:lang w:eastAsia="zh-CN"/>
              </w:rPr>
              <w:t>，</w:t>
            </w:r>
            <w:r>
              <w:rPr>
                <w:rFonts w:ascii="宋体" w:hAnsi="宋体" w:hint="eastAsia"/>
                <w:szCs w:val="21"/>
              </w:rPr>
              <w:t>系统功能包括：</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①采集测试校准的机载仪器数据。②实时数据记录、数据筛选、可视化等功能。③控制宽粒径模拟及校准系统、标准粒子发生系统、气溶胶过滤干燥装置、总水含量仪、等子系统的参数，并对参数范围提供管理，在警戒值以外发出警报并调整子系统运行工况。④将地面采集系统的数据和控制宽粒径模拟及校准系统、标准粒子发生系统、气溶胶过滤干燥装置、总水含量仪等子系统的数据进行对比并进行数据分析，将检测设备的数据差值输出。</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数据质量控制系统</w:t>
            </w:r>
            <w:r>
              <w:rPr>
                <w:rFonts w:ascii="宋体" w:hAnsi="宋体" w:hint="eastAsia"/>
                <w:szCs w:val="21"/>
                <w:lang w:eastAsia="zh-CN"/>
              </w:rPr>
              <w:t>，</w:t>
            </w:r>
            <w:r>
              <w:rPr>
                <w:rFonts w:ascii="宋体" w:hAnsi="宋体" w:hint="eastAsia"/>
                <w:szCs w:val="21"/>
              </w:rPr>
              <w:t>质控数据类型包括：</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温度，气压，湿度，风速，飞机位置，飞机高度，飞机姿态等大气环境变量探头数据；大气气溶胶、云凝结核数据；云总体性质探头数据；前向散射类探头数据；图像类探头数据；质控过程包括：散射类探头数据订正，DOF调整等；图像类数据质控和处理，扭曲图像调整或排除，碰撞破碎粒子识别，采样体积相应调整等。</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lang w:eastAsia="zh-CN"/>
              </w:rPr>
              <w:t>以上需书面承诺满足招标文件需求，提供承诺函并加盖投标人公章</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60" w:lineRule="auto"/>
              <w:textAlignment w:val="auto"/>
              <w:rPr>
                <w:rFonts w:ascii="宋体" w:hAnsi="宋体" w:hint="eastAsia"/>
                <w:sz w:val="18"/>
                <w:szCs w:val="18"/>
              </w:rPr>
            </w:pPr>
          </w:p>
        </w:tc>
        <w:tc>
          <w:tcPr>
            <w:tcW w:w="898" w:type="dxa"/>
            <w:vAlign w:val="center"/>
          </w:tcPr>
          <w:p>
            <w:pPr>
              <w:keepNext w:val="0"/>
              <w:keepLines w:val="0"/>
              <w:pageBreakBefore w:val="0"/>
              <w:widowControl w:val="0"/>
              <w:kinsoku/>
              <w:wordWrap/>
              <w:overflowPunct/>
              <w:topLinePunct w:val="0"/>
              <w:autoSpaceDE/>
              <w:autoSpaceDN/>
              <w:bidi w:val="0"/>
              <w:adjustRightInd/>
              <w:snapToGrid/>
              <w:spacing w:before="156" w:beforeLines="50" w:line="360" w:lineRule="auto"/>
              <w:textAlignment w:val="auto"/>
              <w:rPr>
                <w:rFonts w:ascii="宋体" w:hAnsi="宋体" w:hint="eastAsia"/>
                <w:szCs w:val="21"/>
              </w:rPr>
            </w:pPr>
            <w:r>
              <w:rPr>
                <w:rFonts w:ascii="宋体" w:hAnsi="宋体" w:hint="eastAsia"/>
                <w:szCs w:val="21"/>
                <w:lang w:val="en-US" w:eastAsia="zh-CN"/>
              </w:rPr>
              <w:t>1.2</w:t>
            </w:r>
            <w:r>
              <w:rPr>
                <w:rFonts w:ascii="宋体" w:hAnsi="宋体" w:hint="eastAsia"/>
                <w:szCs w:val="21"/>
              </w:rPr>
              <w:t>配套设备</w:t>
            </w:r>
          </w:p>
        </w:tc>
        <w:tc>
          <w:tcPr>
            <w:tcW w:w="7347" w:type="dxa"/>
            <w:vAlign w:val="center"/>
          </w:tcPr>
          <w:p>
            <w:pPr>
              <w:adjustRightInd w:val="0"/>
              <w:snapToGrid w:val="0"/>
              <w:spacing w:before="156" w:beforeLines="50" w:line="360" w:lineRule="auto"/>
              <w:ind w:firstLine="420"/>
              <w:rPr>
                <w:rFonts w:ascii="宋体" w:hAnsi="宋体" w:hint="eastAsia"/>
                <w:szCs w:val="21"/>
              </w:rPr>
            </w:pPr>
            <w:r>
              <w:rPr>
                <w:rFonts w:ascii="宋体" w:hAnsi="宋体" w:hint="eastAsia"/>
                <w:szCs w:val="21"/>
              </w:rPr>
              <w:t>烟条燃烧装置</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lang w:val="en-US" w:eastAsia="zh-CN"/>
              </w:rPr>
              <w:t>*</w:t>
            </w:r>
            <w:r>
              <w:rPr>
                <w:rFonts w:ascii="宋体" w:hAnsi="宋体" w:hint="eastAsia"/>
                <w:szCs w:val="21"/>
              </w:rPr>
              <w:t>燃烧室能满足碘化银烟条等各类烟条的燃烧</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lang w:eastAsia="zh-CN"/>
              </w:rPr>
              <w:t>以上需书面承诺满足招标文件需求，提供承诺函并加盖投标人公章</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keepNext w:val="0"/>
              <w:keepLines w:val="0"/>
              <w:pageBreakBefore w:val="0"/>
              <w:widowControl w:val="0"/>
              <w:numPr>
                <w:ilvl w:val="0"/>
                <w:numId w:val="13"/>
              </w:numPr>
              <w:kinsoku/>
              <w:wordWrap/>
              <w:overflowPunct/>
              <w:topLinePunct w:val="0"/>
              <w:autoSpaceDE/>
              <w:autoSpaceDN/>
              <w:bidi w:val="0"/>
              <w:adjustRightInd/>
              <w:snapToGrid/>
              <w:spacing w:line="360" w:lineRule="auto"/>
              <w:textAlignment w:val="auto"/>
              <w:rPr>
                <w:rFonts w:ascii="宋体" w:hAnsi="宋体" w:hint="eastAsia"/>
                <w:sz w:val="18"/>
                <w:szCs w:val="18"/>
              </w:rPr>
            </w:pPr>
          </w:p>
        </w:tc>
        <w:tc>
          <w:tcPr>
            <w:tcW w:w="89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56" w:beforeLines="50" w:line="360" w:lineRule="auto"/>
              <w:textAlignment w:val="auto"/>
              <w:rPr>
                <w:rFonts w:ascii="宋体" w:hAnsi="宋体" w:hint="eastAsia"/>
                <w:szCs w:val="21"/>
              </w:rPr>
            </w:pPr>
            <w:r>
              <w:rPr>
                <w:rFonts w:ascii="宋体" w:hAnsi="宋体" w:hint="eastAsia"/>
                <w:szCs w:val="21"/>
              </w:rPr>
              <w:t>五、技术服务和质保期服务要求</w:t>
            </w:r>
          </w:p>
        </w:tc>
        <w:tc>
          <w:tcPr>
            <w:tcW w:w="734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before="156" w:beforeLines="50" w:line="360" w:lineRule="auto"/>
              <w:ind w:firstLine="420"/>
              <w:textAlignment w:val="auto"/>
              <w:rPr>
                <w:rFonts w:ascii="宋体" w:hAnsi="宋体" w:hint="eastAsia"/>
                <w:szCs w:val="21"/>
              </w:rPr>
            </w:pPr>
            <w:r>
              <w:rPr>
                <w:rFonts w:ascii="宋体" w:hAnsi="宋体" w:hint="eastAsia"/>
                <w:szCs w:val="21"/>
              </w:rPr>
              <w:t>设备供应商对所有设备提供自验收合格后8年的质保服务，需提供设备质保承诺函原件，并加盖公章（格式自拟）。</w:t>
            </w:r>
          </w:p>
        </w:tc>
      </w:tr>
    </w:tbl>
    <w:p>
      <w:pPr>
        <w:keepNext w:val="0"/>
        <w:keepLines w:val="0"/>
        <w:pageBreakBefore w:val="0"/>
        <w:widowControl w:val="0"/>
        <w:kinsoku/>
        <w:wordWrap/>
        <w:overflowPunct/>
        <w:topLinePunct w:val="0"/>
        <w:autoSpaceDE/>
        <w:autoSpaceDN/>
        <w:bidi w:val="0"/>
        <w:adjustRightInd/>
        <w:snapToGrid/>
        <w:spacing w:before="156" w:beforeLines="50" w:line="360" w:lineRule="auto"/>
        <w:ind w:firstLine="420"/>
        <w:textAlignment w:val="auto"/>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E10D3">
      <w:pPr>
        <w:numPr>
          <w:ilvl w:val="0"/>
          <w:numId w:val="4"/>
        </w:numPr>
        <w:spacing w:line="360" w:lineRule="auto"/>
        <w:ind w:firstLine="3066" w:firstLineChars="1460"/>
        <w:jc w:val="left"/>
        <w:rPr>
          <w:b/>
          <w:bCs/>
          <w:szCs w:val="21"/>
        </w:rPr>
      </w:pPr>
      <w:bookmarkStart w:id="72" w:name="采购公告合同部分_ZBGGHT"/>
      <w:r>
        <w:rPr>
          <w:rFonts w:hint="eastAsia"/>
          <w:b/>
          <w:bCs/>
          <w:szCs w:val="21"/>
        </w:rPr>
        <w:t xml:space="preserve"> </w:t>
      </w:r>
      <w:r>
        <w:rPr>
          <w:rFonts w:hint="eastAsia"/>
          <w:b/>
          <w:bCs/>
          <w:szCs w:val="21"/>
        </w:rPr>
        <w:t>采购合同</w:t>
      </w:r>
    </w:p>
    <w:p w:rsidR="003E10D3">
      <w:pPr>
        <w:spacing w:line="360" w:lineRule="auto"/>
        <w:ind w:left="1680" w:firstLine="420"/>
        <w:jc w:val="left"/>
        <w:rPr>
          <w:b/>
          <w:bCs/>
          <w:szCs w:val="21"/>
        </w:rPr>
      </w:pPr>
      <w:r>
        <w:rPr>
          <w:rFonts w:hint="eastAsia"/>
          <w:b/>
          <w:bCs/>
          <w:szCs w:val="21"/>
        </w:rPr>
        <w:t>必须明确合同金额支付条件及支付比例</w:t>
      </w:r>
    </w:p>
    <w:p w:rsidR="003E10D3">
      <w:pPr>
        <w:pStyle w:val="BodyText"/>
        <w:spacing w:after="0"/>
        <w:jc w:val="center"/>
        <w:rPr>
          <w:rFonts w:ascii="宋体" w:hAnsi="宋体" w:cs="宋体" w:hint="eastAsia"/>
          <w:b/>
          <w:bCs/>
          <w:spacing w:val="-20"/>
          <w:kern w:val="44"/>
          <w:sz w:val="48"/>
          <w:szCs w:val="48"/>
        </w:rPr>
      </w:pPr>
      <w:r>
        <w:rPr>
          <w:b/>
          <w:bCs/>
          <w:szCs w:val="21"/>
        </w:rPr>
        <w:br w:type="page"/>
      </w:r>
      <w:bookmarkStart w:id="73" w:name="_Toc3995"/>
    </w:p>
    <w:p w:rsidR="003E10D3">
      <w:pPr>
        <w:pStyle w:val="BodyText"/>
        <w:spacing w:after="0"/>
        <w:jc w:val="center"/>
        <w:rPr>
          <w:rFonts w:ascii="宋体" w:hAnsi="宋体" w:cs="宋体" w:hint="eastAsia"/>
          <w:b/>
          <w:bCs/>
          <w:spacing w:val="-20"/>
          <w:kern w:val="44"/>
          <w:sz w:val="48"/>
          <w:szCs w:val="48"/>
        </w:rPr>
      </w:pPr>
    </w:p>
    <w:p w:rsidR="003E10D3">
      <w:pPr>
        <w:pStyle w:val="BodyText"/>
        <w:spacing w:after="0"/>
        <w:jc w:val="center"/>
        <w:rPr>
          <w:rFonts w:ascii="宋体" w:hAnsi="宋体" w:cs="宋体" w:hint="eastAsia"/>
          <w:b/>
          <w:bCs/>
          <w:spacing w:val="-20"/>
          <w:kern w:val="44"/>
          <w:sz w:val="48"/>
          <w:szCs w:val="48"/>
        </w:rPr>
      </w:pPr>
    </w:p>
    <w:p w:rsidR="003E10D3">
      <w:pPr>
        <w:pStyle w:val="BodyText"/>
        <w:spacing w:after="0"/>
        <w:jc w:val="center"/>
        <w:rPr>
          <w:rFonts w:ascii="宋体" w:hAnsi="宋体" w:cs="宋体" w:hint="eastAsia"/>
          <w:b/>
          <w:bCs/>
          <w:spacing w:val="-20"/>
          <w:kern w:val="44"/>
          <w:sz w:val="48"/>
          <w:szCs w:val="48"/>
        </w:rPr>
      </w:pPr>
    </w:p>
    <w:p w:rsidR="003E10D3">
      <w:pPr>
        <w:pStyle w:val="BodyText"/>
        <w:spacing w:after="0"/>
        <w:jc w:val="center"/>
        <w:rPr>
          <w:rFonts w:ascii="宋体" w:hAnsi="宋体" w:cs="宋体" w:hint="eastAsia"/>
          <w:b/>
          <w:bCs/>
          <w:spacing w:val="-20"/>
          <w:kern w:val="44"/>
          <w:sz w:val="48"/>
          <w:szCs w:val="48"/>
        </w:rPr>
      </w:pPr>
    </w:p>
    <w:p w:rsidR="003E10D3">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3E10D3">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3E10D3">
      <w:pPr>
        <w:rPr>
          <w:rFonts w:ascii="宋体" w:hAnsi="宋体" w:cs="宋体" w:hint="eastAsia"/>
          <w:b/>
          <w:bCs/>
          <w:spacing w:val="-20"/>
          <w:kern w:val="44"/>
          <w:sz w:val="40"/>
          <w:szCs w:val="40"/>
        </w:rPr>
      </w:pPr>
    </w:p>
    <w:p w:rsidR="003E10D3">
      <w:pPr>
        <w:rPr>
          <w:rFonts w:ascii="宋体" w:hAnsi="宋体" w:cs="宋体" w:hint="eastAsia"/>
          <w:b/>
          <w:bCs/>
          <w:spacing w:val="-20"/>
          <w:kern w:val="44"/>
          <w:sz w:val="40"/>
          <w:szCs w:val="40"/>
        </w:rPr>
      </w:pPr>
    </w:p>
    <w:p w:rsidR="003E10D3">
      <w:pPr>
        <w:rPr>
          <w:rFonts w:ascii="宋体" w:hAnsi="宋体" w:cs="宋体" w:hint="eastAsia"/>
          <w:b/>
          <w:bCs/>
          <w:spacing w:val="-20"/>
          <w:kern w:val="44"/>
          <w:sz w:val="40"/>
          <w:szCs w:val="40"/>
        </w:rPr>
      </w:pPr>
    </w:p>
    <w:p w:rsidR="003E10D3">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3E10D3">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3E10D3">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3E10D3">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3E10D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3E10D3"/>
    <w:p w:rsidR="003E10D3">
      <w:pPr>
        <w:rPr>
          <w:rFonts w:eastAsia="黑体"/>
          <w:sz w:val="44"/>
          <w:szCs w:val="44"/>
        </w:rPr>
      </w:pPr>
      <w:r>
        <w:rPr>
          <w:rFonts w:eastAsia="黑体"/>
          <w:sz w:val="44"/>
          <w:szCs w:val="44"/>
        </w:rPr>
        <w:br w:type="page"/>
      </w:r>
    </w:p>
    <w:p w:rsidR="003E10D3">
      <w:pPr>
        <w:rPr>
          <w:rFonts w:eastAsia="黑体"/>
          <w:sz w:val="44"/>
          <w:szCs w:val="44"/>
        </w:rPr>
      </w:pPr>
    </w:p>
    <w:p w:rsidR="003E10D3">
      <w:pPr>
        <w:rPr>
          <w:rFonts w:eastAsia="黑体"/>
          <w:sz w:val="44"/>
          <w:szCs w:val="44"/>
        </w:rPr>
      </w:pPr>
    </w:p>
    <w:p w:rsidR="003E10D3">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3E10D3">
      <w:pPr>
        <w:ind w:firstLine="640" w:firstLineChars="200"/>
        <w:rPr>
          <w:rFonts w:ascii="仿宋_GB2312" w:eastAsia="仿宋_GB2312" w:hAnsi="仿宋_GB2312" w:cs="仿宋_GB2312" w:hint="eastAsia"/>
          <w:sz w:val="32"/>
          <w:szCs w:val="32"/>
        </w:rPr>
      </w:pPr>
    </w:p>
    <w:p w:rsidR="003E10D3">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3E10D3">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3E10D3">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3E10D3">
      <w:pPr>
        <w:rPr>
          <w:rFonts w:eastAsia="黑体"/>
          <w:sz w:val="44"/>
          <w:szCs w:val="44"/>
        </w:rPr>
        <w:sectPr>
          <w:pgSz w:w="11906" w:h="16838"/>
          <w:pgMar w:top="1440" w:right="1800" w:bottom="1440" w:left="1800" w:header="851" w:footer="992" w:gutter="0"/>
          <w:cols w:space="425"/>
          <w:docGrid w:type="lines" w:linePitch="312"/>
        </w:sectPr>
      </w:pPr>
    </w:p>
    <w:p w:rsidR="003E10D3">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4" w:name="_Toc22209"/>
      <w:bookmarkEnd w:id="73"/>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4"/>
    </w:p>
    <w:p w:rsidR="003E10D3">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3E10D3">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3E10D3">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3E10D3">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3E10D3">
      <w:pPr>
        <w:spacing w:line="400" w:lineRule="exact"/>
      </w:pPr>
    </w:p>
    <w:p w:rsidR="003E10D3">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3E10D3">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3E10D3">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3E10D3">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3E10D3">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3E10D3">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3E10D3">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3E10D3">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3E10D3">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3E10D3">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3E10D3">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E10D3">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3E10D3">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3E10D3">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3E10D3">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3E10D3">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3E10D3">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3E10D3">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3E10D3">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3E10D3">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3E10D3">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E10D3">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E10D3">
      <w:pPr>
        <w:adjustRightInd w:val="0"/>
        <w:snapToGrid w:val="0"/>
        <w:spacing w:line="400" w:lineRule="exact"/>
        <w:rPr>
          <w:rFonts w:ascii="宋体" w:hAnsi="宋体" w:hint="eastAsia"/>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E10D3">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E10D3">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3E10D3">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3E10D3">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3E10D3">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3E10D3">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3E10D3">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3E10D3">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3E10D3">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3E10D3">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3E10D3">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3E10D3">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3E10D3">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3E10D3">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3E10D3">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3E10D3">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3E10D3">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E10D3">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E10D3">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3E10D3">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3E10D3">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E10D3">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3E10D3">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3E10D3">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3E10D3">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3E10D3">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3E10D3">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3E10D3">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3E10D3">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3E10D3">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3E10D3">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3E10D3">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3E10D3">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3E10D3">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3E10D3">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3E10D3">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3E10D3">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3E10D3" w:rsidP="00384155">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sidRPr="00384155" w:rsidR="00384155">
        <w:rPr>
          <w:rFonts w:ascii="宋体" w:hAnsi="宋体" w:hint="eastAsia"/>
          <w:szCs w:val="21"/>
          <w:u w:val="single"/>
        </w:rPr>
        <w:t>合同签订后15天内支付合同金额的40%作为首付款，用于合同项下全部设备的购买；全部设备到达现场，安装调试完毕，支付合同金额的50%；合同验收意见签署完成后支付合同金额的10%。</w:t>
      </w:r>
      <w:r>
        <w:rPr>
          <w:rFonts w:ascii="宋体" w:hAnsi="宋体" w:hint="eastAsia"/>
          <w:szCs w:val="21"/>
        </w:rPr>
        <w:t>其中涉及预付款的：</w:t>
      </w:r>
      <w:r>
        <w:rPr>
          <w:rFonts w:ascii="宋体" w:hAnsi="宋体" w:hint="eastAsia"/>
          <w:szCs w:val="21"/>
          <w:u w:val="single"/>
        </w:rPr>
        <w:t xml:space="preserve"> （应明确预付款的支付比例和支付条件） </w:t>
      </w:r>
    </w:p>
    <w:p w:rsidR="003E10D3">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3E10D3">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3E10D3">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3E10D3">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3E10D3">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3E10D3">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3E10D3">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r w:rsidR="00384155">
        <w:rPr>
          <w:rFonts w:ascii="宋体" w:hAnsi="宋体" w:hint="eastAsia"/>
          <w:u w:val="single"/>
        </w:rPr>
        <w:t xml:space="preserve">  </w:t>
      </w:r>
      <w:r w:rsidRPr="00384155" w:rsidR="00384155">
        <w:rPr>
          <w:rFonts w:ascii="宋体" w:hAnsi="宋体" w:hint="eastAsia"/>
          <w:u w:val="single"/>
        </w:rPr>
        <w:t>合同签订前，乙方向甲方提供合同总金额</w:t>
      </w:r>
      <w:r w:rsidRPr="00384155" w:rsidR="00384155">
        <w:rPr>
          <w:rFonts w:ascii="宋体" w:hAnsi="宋体" w:hint="eastAsia"/>
          <w:u w:val="single"/>
        </w:rPr>
        <w:t xml:space="preserve"> 5 %</w:t>
      </w:r>
      <w:r w:rsidRPr="00384155" w:rsidR="00384155">
        <w:rPr>
          <w:rFonts w:ascii="宋体" w:hAnsi="宋体" w:hint="eastAsia"/>
          <w:u w:val="single"/>
        </w:rPr>
        <w:t>的银行履约保函，设备验收合格一年后，甲方将银行履约保函退还乙方。</w:t>
      </w:r>
      <w:r>
        <w:rPr>
          <w:rFonts w:ascii="宋体" w:eastAsia="宋体" w:hAnsi="宋体" w:cs="宋体" w:hint="eastAsia"/>
          <w:bCs/>
          <w:sz w:val="21"/>
          <w:u w:val="single"/>
        </w:rPr>
        <w:t xml:space="preserve">                           </w:t>
      </w:r>
    </w:p>
    <w:p w:rsidR="003E10D3">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r w:rsidRPr="00384155" w:rsidR="00384155">
        <w:rPr>
          <w:rFonts w:ascii="宋体" w:hAnsi="宋体" w:hint="eastAsia"/>
          <w:u w:val="single"/>
        </w:rPr>
        <w:t>合同总金额</w:t>
      </w:r>
      <w:r w:rsidRPr="00384155" w:rsidR="00384155">
        <w:rPr>
          <w:rFonts w:ascii="宋体" w:hAnsi="宋体" w:hint="eastAsia"/>
          <w:u w:val="single"/>
        </w:rPr>
        <w:t xml:space="preserve"> 5 %</w:t>
      </w:r>
      <w:r>
        <w:rPr>
          <w:rFonts w:ascii="宋体" w:eastAsia="宋体" w:hAnsi="宋体" w:cs="宋体" w:hint="eastAsia"/>
          <w:bCs/>
          <w:sz w:val="21"/>
          <w:u w:val="single"/>
        </w:rPr>
        <w:t xml:space="preserve">                          </w:t>
      </w:r>
    </w:p>
    <w:p w:rsidR="003E10D3">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r w:rsidR="00384155">
        <w:rPr>
          <w:rFonts w:ascii="宋体" w:hAnsi="宋体" w:cs="宋体" w:hint="eastAsia"/>
          <w:bCs/>
          <w:szCs w:val="21"/>
          <w:u w:val="single"/>
        </w:rPr>
        <w:t>合同验收合格1年后</w:t>
      </w:r>
      <w:r>
        <w:rPr>
          <w:rFonts w:ascii="宋体" w:hAnsi="宋体" w:cs="宋体" w:hint="eastAsia"/>
          <w:bCs/>
          <w:szCs w:val="21"/>
          <w:u w:val="single"/>
        </w:rPr>
        <w:t xml:space="preserve">                               </w:t>
      </w:r>
    </w:p>
    <w:p w:rsidR="003E10D3">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3E10D3">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3E10D3">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3E10D3">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3E10D3">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3E10D3">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E10D3">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E10D3">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E10D3">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3E10D3">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E10D3">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3E10D3">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3E10D3">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3E10D3">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3E10D3">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3E10D3">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3E10D3">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3E10D3">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3E10D3">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3E10D3">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3E10D3">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3E10D3">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3E10D3">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3E10D3">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3E10D3">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E10D3">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3E10D3">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3E10D3">
      <w:r>
        <w:rPr>
          <w:rFonts w:hint="eastAsia"/>
        </w:rPr>
        <w:br w:type="page"/>
      </w:r>
    </w:p>
    <w:p w:rsidR="003E10D3">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0"/>
        <w:gridCol w:w="2412"/>
        <w:gridCol w:w="1979"/>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3E10D3">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3E10D3">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法定代表人</w:t>
            </w:r>
          </w:p>
          <w:p w:rsidR="003E10D3">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法定代表人</w:t>
            </w:r>
          </w:p>
          <w:p w:rsidR="003E10D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3E10D3">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3E10D3">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3E10D3">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3E10D3">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5" w:name="_Toc27624"/>
      <w:r>
        <w:rPr>
          <w:rFonts w:ascii="黑体" w:hAnsi="黑体" w:hint="eastAsia"/>
          <w:b w:val="0"/>
          <w:bCs w:val="0"/>
          <w:sz w:val="28"/>
          <w:szCs w:val="28"/>
        </w:rPr>
        <w:t>第二节 政府采购合同通用条款</w:t>
      </w:r>
      <w:bookmarkEnd w:id="75"/>
    </w:p>
    <w:p w:rsidR="003E10D3">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3E10D3">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3E10D3">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3E10D3">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3E10D3">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3E10D3">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3E10D3">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3E10D3">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3E10D3">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3E10D3">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3E10D3">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3E10D3">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3E10D3">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3E10D3">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3E10D3">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3E10D3">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3E10D3">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3E10D3">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3E10D3">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3E10D3">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3E10D3">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3E10D3">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3E10D3">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3E10D3">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3E10D3">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3E10D3">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3E10D3">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3E10D3">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3E10D3">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6"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6"/>
      <w:r>
        <w:rPr>
          <w:rFonts w:ascii="宋体" w:hAnsi="宋体" w:hint="eastAsia"/>
          <w:szCs w:val="21"/>
        </w:rPr>
        <w:t>。</w:t>
      </w:r>
    </w:p>
    <w:p w:rsidR="003E10D3">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3E10D3">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3E10D3">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3E10D3">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3E10D3">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3E10D3">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3E10D3">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3E10D3">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3E10D3">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3E10D3">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3E10D3">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3E10D3">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3E10D3">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3E10D3">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3E10D3">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3E10D3">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3E10D3">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3E10D3">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3E10D3">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3E10D3">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3E10D3">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3E10D3">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3E10D3">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3E10D3">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3E10D3">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3E10D3">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3E10D3">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3E10D3">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3E10D3">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3E10D3">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3E10D3">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3E10D3">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3E10D3">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3E10D3">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3E10D3">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3E10D3">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3E10D3">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3E10D3">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7" w:name="_Toc20313"/>
    </w:p>
    <w:p w:rsidR="003E10D3">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3E10D3">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snapToGrid w:val="0"/>
              <w:jc w:val="center"/>
            </w:pPr>
            <w:r>
              <w:rPr>
                <w:rFonts w:ascii="宋体" w:hAnsi="宋体" w:hint="eastAsia"/>
                <w:szCs w:val="21"/>
              </w:rPr>
              <w:t>第5.4款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snapToGrid w:val="0"/>
              <w:jc w:val="center"/>
              <w:rPr>
                <w:rFonts w:ascii="宋体" w:hAnsi="宋体" w:hint="eastAsia"/>
                <w:szCs w:val="21"/>
              </w:rPr>
            </w:pPr>
            <w:r>
              <w:rPr>
                <w:rFonts w:ascii="宋体" w:hAnsi="宋体" w:hint="eastAsia"/>
                <w:szCs w:val="21"/>
              </w:rPr>
              <w:t>第6.1款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3E10D3"/>
        </w:tc>
      </w:tr>
      <w:tr>
        <w:tblPrEx>
          <w:tblW w:w="8519" w:type="dxa"/>
          <w:tblInd w:w="108" w:type="dxa"/>
          <w:tblLayout w:type="fixed"/>
          <w:tblLook w:val="04A0"/>
        </w:tblPrEx>
        <w:trPr>
          <w:trHeight w:val="667"/>
        </w:trPr>
        <w:tc>
          <w:tcPr>
            <w:tcW w:w="1607" w:type="dxa"/>
            <w:vMerge/>
            <w:vAlign w:val="center"/>
          </w:tcPr>
          <w:p w:rsidR="003E10D3">
            <w:pPr>
              <w:adjustRightInd w:val="0"/>
              <w:snapToGrid w:val="0"/>
              <w:jc w:val="center"/>
              <w:rPr>
                <w:rFonts w:ascii="宋体" w:hAnsi="宋体" w:hint="eastAsia"/>
                <w:szCs w:val="21"/>
              </w:rPr>
            </w:pP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3E10D3"/>
        </w:tc>
      </w:tr>
      <w:tr>
        <w:tblPrEx>
          <w:tblW w:w="8519" w:type="dxa"/>
          <w:tblInd w:w="108" w:type="dxa"/>
          <w:tblLayout w:type="fixed"/>
          <w:tblLook w:val="04A0"/>
        </w:tblPrEx>
        <w:trPr>
          <w:trHeight w:val="772"/>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3E10D3"/>
        </w:tc>
      </w:tr>
      <w:tr>
        <w:tblPrEx>
          <w:tblW w:w="8519" w:type="dxa"/>
          <w:tblInd w:w="108" w:type="dxa"/>
          <w:tblLayout w:type="fixed"/>
          <w:tblLook w:val="04A0"/>
        </w:tblPrEx>
        <w:trPr>
          <w:trHeight w:val="667"/>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3E10D3"/>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3E10D3">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货物质量缺陷</w:t>
            </w:r>
          </w:p>
          <w:p w:rsidR="003E10D3">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snapToGrid w:val="0"/>
              <w:jc w:val="center"/>
              <w:rPr>
                <w:rFonts w:ascii="宋体" w:hAnsi="宋体" w:cs="宋体" w:hint="eastAsia"/>
                <w:szCs w:val="21"/>
              </w:rPr>
            </w:pPr>
            <w:r>
              <w:rPr>
                <w:rFonts w:ascii="宋体" w:hAnsi="宋体" w:cs="宋体" w:hint="eastAsia"/>
                <w:szCs w:val="21"/>
              </w:rPr>
              <w:t>第二节</w:t>
            </w:r>
          </w:p>
          <w:p w:rsidR="003E10D3">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3E10D3">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3E10D3">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3E10D3">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3E10D3">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3E10D3">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3E10D3">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3E10D3">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3E10D3">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3E10D3">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3E10D3">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3E10D3">
            <w:pPr>
              <w:adjustRightInd w:val="0"/>
              <w:snapToGrid w:val="0"/>
              <w:jc w:val="center"/>
              <w:rPr>
                <w:rFonts w:ascii="宋体" w:hAnsi="宋体" w:hint="eastAsia"/>
                <w:szCs w:val="21"/>
              </w:rPr>
            </w:pPr>
            <w:r>
              <w:rPr>
                <w:rFonts w:ascii="宋体" w:hAnsi="宋体" w:hint="eastAsia"/>
                <w:szCs w:val="21"/>
              </w:rPr>
              <w:t>第二节</w:t>
            </w:r>
          </w:p>
          <w:p w:rsidR="003E10D3">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3E10D3">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3E10D3">
            <w:pPr>
              <w:adjustRightInd w:val="0"/>
              <w:snapToGrid w:val="0"/>
              <w:jc w:val="left"/>
              <w:rPr>
                <w:rFonts w:ascii="宋体" w:hAnsi="宋体" w:hint="eastAsia"/>
                <w:szCs w:val="21"/>
              </w:rPr>
            </w:pPr>
          </w:p>
        </w:tc>
      </w:tr>
    </w:tbl>
    <w:p w:rsidR="003E10D3"/>
    <w:p w:rsidR="003E10D3">
      <w:pPr>
        <w:rPr>
          <w:b/>
          <w:bCs/>
          <w:sz w:val="44"/>
          <w:szCs w:val="44"/>
        </w:rPr>
      </w:pPr>
    </w:p>
    <w:p w:rsidR="003E10D3"/>
    <w:p w:rsidR="00A77B3E"/>
    <w:p w:rsidR="003E10D3">
      <w:pPr>
        <w:numPr>
          <w:ilvl w:val="0"/>
          <w:numId w:val="4"/>
        </w:numPr>
        <w:spacing w:line="360" w:lineRule="auto"/>
        <w:ind w:firstLine="3066" w:firstLineChars="1460"/>
        <w:jc w:val="left"/>
        <w:rPr>
          <w:b/>
          <w:bCs/>
          <w:szCs w:val="21"/>
        </w:rPr>
      </w:pPr>
      <w:bookmarkEnd w:id="72"/>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4155"/>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10D3"/>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