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1.6.0 -->
  <w:background w:color="ffffff">
    <v:background id="_x0000_s1025" filled="t" fillcolor="white">
      <v:fill color2="white"/>
    </v:background>
  </w:background>
  <w:body>
    <w:p>
      <w:pPr>
        <w:spacing w:line="360" w:lineRule="auto"/>
        <w:rPr>
          <w:rFonts w:ascii="宋体" w:eastAsia="宋体" w:hAnsi="宋体" w:cs="微软雅黑" w:hint="default"/>
          <w:b/>
          <w:kern w:val="0"/>
          <w:szCs w:val="21"/>
          <w:highlight w:val="none"/>
          <w:lang w:val="en-US" w:eastAsia="zh-CN"/>
        </w:rPr>
      </w:pPr>
      <w:r>
        <w:rPr>
          <w:rFonts w:ascii="宋体" w:hAnsi="宋体" w:cs="微软雅黑"/>
          <w:b/>
          <w:kern w:val="0"/>
          <w:szCs w:val="21"/>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highlight w:val="none"/>
        </w:rPr>
        <w:instrText>ADDIN CNKISM.UserStyle</w:instrText>
      </w:r>
      <w:r>
        <w:rPr>
          <w:rFonts w:ascii="宋体" w:hAnsi="宋体" w:cs="微软雅黑"/>
          <w:b/>
          <w:kern w:val="0"/>
          <w:szCs w:val="21"/>
          <w:highlight w:val="none"/>
        </w:rPr>
        <w:fldChar w:fldCharType="separate"/>
      </w:r>
      <w:r>
        <w:rPr>
          <w:rFonts w:ascii="宋体" w:hAnsi="宋体" w:cs="微软雅黑"/>
          <w:b/>
          <w:kern w:val="0"/>
          <w:szCs w:val="21"/>
          <w:highlight w:val="none"/>
        </w:rPr>
        <w:fldChar w:fldCharType="end"/>
      </w:r>
      <w:r>
        <w:rPr>
          <w:rFonts w:ascii="宋体" w:hAnsi="宋体" w:cs="微软雅黑"/>
          <w:b/>
          <w:kern w:val="0"/>
          <w:szCs w:val="21"/>
          <w:highlight w:val="none"/>
        </w:rPr>
        <w:t>版本</w:t>
      </w:r>
      <w:r>
        <w:rPr>
          <w:rFonts w:ascii="宋体" w:hAnsi="宋体" w:cs="微软雅黑" w:hint="eastAsia"/>
          <w:b/>
          <w:kern w:val="0"/>
          <w:szCs w:val="21"/>
          <w:highlight w:val="none"/>
        </w:rPr>
        <w:t>：20250</w:t>
      </w:r>
      <w:r>
        <w:rPr>
          <w:rFonts w:ascii="宋体" w:hAnsi="宋体" w:cs="微软雅黑" w:hint="eastAsia"/>
          <w:b/>
          <w:kern w:val="0"/>
          <w:szCs w:val="21"/>
          <w:highlight w:val="none"/>
          <w:lang w:val="en-US" w:eastAsia="zh-CN"/>
        </w:rPr>
        <w:t>701</w:t>
      </w:r>
    </w:p>
    <w:p>
      <w:pPr>
        <w:spacing w:line="360" w:lineRule="auto"/>
        <w:jc w:val="center"/>
        <w:rPr>
          <w:b/>
          <w:sz w:val="28"/>
          <w:szCs w:val="28"/>
          <w:highlight w:val="none"/>
        </w:rPr>
      </w:pPr>
    </w:p>
    <w:p>
      <w:pPr>
        <w:spacing w:line="360" w:lineRule="auto"/>
        <w:jc w:val="center"/>
        <w:rPr>
          <w:b/>
          <w:sz w:val="28"/>
          <w:szCs w:val="28"/>
          <w:highlight w:val="none"/>
        </w:rPr>
      </w:pPr>
    </w:p>
    <w:p>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pPr>
        <w:spacing w:line="360" w:lineRule="auto"/>
        <w:jc w:val="center"/>
        <w:rPr>
          <w:rFonts w:ascii="宋体" w:hAnsi="宋体"/>
          <w:b/>
          <w:sz w:val="48"/>
          <w:highlight w:val="none"/>
        </w:rPr>
      </w:pPr>
      <w:r>
        <w:rPr>
          <w:rFonts w:ascii="宋体" w:hAnsi="宋体" w:hint="eastAsia"/>
          <w:b/>
          <w:sz w:val="48"/>
          <w:highlight w:val="none"/>
        </w:rPr>
        <w:t>（范本，货物类适用）</w:t>
      </w:r>
    </w:p>
    <w:p>
      <w:pPr>
        <w:spacing w:line="360" w:lineRule="auto"/>
        <w:jc w:val="center"/>
        <w:rPr>
          <w:sz w:val="24"/>
          <w:szCs w:val="24"/>
          <w:highlight w:val="none"/>
        </w:rPr>
      </w:pPr>
    </w:p>
    <w:p>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2025年雷达工程通辽市、内蒙古自治区太仆寺旗2部C波段天气雷达双偏振技术升级采购项目（重新招标）</w:t>
      </w:r>
      <w:bookmarkEnd w:id="0"/>
    </w:p>
    <w:p>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ZQCD-25356</w:t>
      </w:r>
      <w:bookmarkEnd w:id="1"/>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b/>
          <w:sz w:val="32"/>
          <w:szCs w:val="32"/>
          <w:highlight w:val="none"/>
        </w:rPr>
      </w:pPr>
    </w:p>
    <w:p>
      <w:pPr>
        <w:adjustRightInd w:val="0"/>
        <w:snapToGrid w:val="0"/>
        <w:spacing w:line="360" w:lineRule="auto"/>
        <w:jc w:val="left"/>
        <w:rPr>
          <w:rFonts w:ascii="仿宋_GB2312" w:eastAsia="仿宋_GB2312"/>
          <w:b/>
          <w:szCs w:val="21"/>
          <w:highlight w:val="none"/>
        </w:rPr>
      </w:pPr>
    </w:p>
    <w:p>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2025年10月</w:t>
      </w:r>
      <w:bookmarkEnd w:id="2"/>
    </w:p>
    <w:p>
      <w:pPr>
        <w:adjustRightInd w:val="0"/>
        <w:snapToGrid w:val="0"/>
        <w:spacing w:line="360" w:lineRule="auto"/>
        <w:ind w:firstLine="529" w:firstLineChars="147"/>
        <w:jc w:val="center"/>
        <w:rPr>
          <w:rFonts w:ascii="仿宋" w:eastAsia="仿宋" w:hAnsi="仿宋" w:cs="微软雅黑"/>
          <w:b/>
          <w:kern w:val="0"/>
          <w:sz w:val="36"/>
          <w:szCs w:val="36"/>
          <w:highlight w:val="none"/>
        </w:rPr>
      </w:pPr>
    </w:p>
    <w:p>
      <w:pPr>
        <w:spacing w:line="360" w:lineRule="auto"/>
        <w:jc w:val="center"/>
        <w:rPr>
          <w:sz w:val="24"/>
          <w:szCs w:val="24"/>
          <w:highlight w:val="none"/>
        </w:rPr>
      </w:pPr>
    </w:p>
    <w:p>
      <w:pPr>
        <w:spacing w:line="360" w:lineRule="auto"/>
        <w:jc w:val="center"/>
        <w:rPr>
          <w:sz w:val="24"/>
          <w:szCs w:val="24"/>
          <w:highlight w:val="none"/>
        </w:rPr>
      </w:pPr>
      <w:r>
        <w:rPr>
          <w:sz w:val="24"/>
          <w:szCs w:val="24"/>
          <w:highlight w:val="none"/>
        </w:rPr>
        <w:br w:type="page"/>
      </w:r>
    </w:p>
    <w:p>
      <w:pPr>
        <w:spacing w:line="360" w:lineRule="auto"/>
        <w:jc w:val="center"/>
        <w:rPr>
          <w:sz w:val="24"/>
          <w:szCs w:val="24"/>
          <w:highlight w:val="none"/>
        </w:rPr>
      </w:pPr>
    </w:p>
    <w:p>
      <w:pPr>
        <w:spacing w:line="360" w:lineRule="auto"/>
        <w:jc w:val="center"/>
        <w:rPr>
          <w:sz w:val="24"/>
          <w:szCs w:val="24"/>
          <w:highlight w:val="none"/>
        </w:rPr>
      </w:pPr>
    </w:p>
    <w:p>
      <w:pPr>
        <w:spacing w:line="360" w:lineRule="auto"/>
        <w:jc w:val="center"/>
        <w:rPr>
          <w:rFonts w:ascii="宋体" w:hAnsi="宋体"/>
          <w:b/>
          <w:bCs/>
          <w:sz w:val="36"/>
          <w:szCs w:val="36"/>
        </w:rPr>
      </w:pPr>
      <w:r>
        <w:rPr>
          <w:rFonts w:ascii="宋体" w:hAnsi="宋体" w:hint="eastAsia"/>
          <w:b/>
          <w:bCs/>
          <w:sz w:val="36"/>
          <w:szCs w:val="36"/>
        </w:rPr>
        <w:t>总 目 录</w:t>
      </w:r>
    </w:p>
    <w:p>
      <w:pPr>
        <w:spacing w:line="360" w:lineRule="auto"/>
        <w:jc w:val="center"/>
        <w:rPr>
          <w:b/>
          <w:sz w:val="28"/>
          <w:szCs w:val="28"/>
        </w:rPr>
      </w:pPr>
    </w:p>
    <w:p>
      <w:pPr>
        <w:spacing w:line="360" w:lineRule="auto"/>
        <w:jc w:val="center"/>
        <w:rPr>
          <w:rFonts w:ascii="宋体" w:hAnsi="宋体"/>
          <w:b/>
          <w:sz w:val="28"/>
          <w:szCs w:val="28"/>
        </w:rPr>
      </w:pPr>
      <w:r>
        <w:rPr>
          <w:rFonts w:ascii="宋体" w:hAnsi="宋体" w:hint="eastAsia"/>
          <w:b/>
          <w:sz w:val="28"/>
          <w:szCs w:val="28"/>
        </w:rPr>
        <w:t>第一分册   通用部分</w:t>
      </w:r>
    </w:p>
    <w:p>
      <w:pPr>
        <w:spacing w:line="360" w:lineRule="auto"/>
        <w:ind w:left="2517" w:firstLine="420"/>
        <w:jc w:val="left"/>
        <w:rPr>
          <w:b/>
          <w:szCs w:val="21"/>
        </w:rPr>
      </w:pPr>
      <w:r>
        <w:rPr>
          <w:rFonts w:hint="eastAsia"/>
          <w:b/>
          <w:szCs w:val="21"/>
        </w:rPr>
        <w:t>第一章  投标人须知通用部分</w:t>
      </w:r>
    </w:p>
    <w:p>
      <w:pPr>
        <w:spacing w:line="360" w:lineRule="auto"/>
        <w:ind w:left="2517" w:firstLine="420"/>
        <w:jc w:val="left"/>
        <w:rPr>
          <w:b/>
          <w:szCs w:val="21"/>
        </w:rPr>
      </w:pPr>
      <w:r>
        <w:rPr>
          <w:rFonts w:hint="eastAsia"/>
          <w:b/>
          <w:szCs w:val="21"/>
        </w:rPr>
        <w:t>第二章  投标文件格式</w:t>
      </w:r>
    </w:p>
    <w:p>
      <w:pPr>
        <w:spacing w:line="360" w:lineRule="auto"/>
        <w:ind w:left="2517" w:firstLine="420"/>
        <w:jc w:val="left"/>
        <w:rPr>
          <w:b/>
          <w:szCs w:val="21"/>
        </w:rPr>
      </w:pPr>
      <w:r>
        <w:rPr>
          <w:rFonts w:hint="eastAsia"/>
          <w:b/>
          <w:szCs w:val="21"/>
        </w:rPr>
        <w:t>第三章  投标被拒绝条款通用部分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第二分册   专用部分</w:t>
      </w:r>
    </w:p>
    <w:p>
      <w:pPr>
        <w:spacing w:line="360" w:lineRule="auto"/>
        <w:ind w:left="2520" w:firstLine="420"/>
        <w:jc w:val="left"/>
        <w:rPr>
          <w:b/>
          <w:szCs w:val="21"/>
        </w:rPr>
      </w:pPr>
      <w:r>
        <w:rPr>
          <w:rFonts w:hint="eastAsia"/>
          <w:b/>
          <w:szCs w:val="21"/>
        </w:rPr>
        <w:t>第四章  投标邀请书</w:t>
      </w:r>
    </w:p>
    <w:p>
      <w:pPr>
        <w:spacing w:line="360" w:lineRule="auto"/>
        <w:ind w:left="2520" w:firstLine="420"/>
        <w:jc w:val="left"/>
        <w:rPr>
          <w:b/>
          <w:szCs w:val="21"/>
        </w:rPr>
      </w:pPr>
      <w:r>
        <w:rPr>
          <w:rFonts w:hint="eastAsia"/>
          <w:b/>
          <w:szCs w:val="21"/>
        </w:rPr>
        <w:t>第五章  投标人须知专用部分</w:t>
      </w:r>
    </w:p>
    <w:p>
      <w:pPr>
        <w:spacing w:line="360" w:lineRule="auto"/>
        <w:ind w:left="2520" w:firstLine="420"/>
        <w:jc w:val="left"/>
        <w:rPr>
          <w:b/>
          <w:szCs w:val="21"/>
        </w:rPr>
      </w:pPr>
      <w:r>
        <w:rPr>
          <w:rFonts w:hint="eastAsia"/>
          <w:b/>
          <w:szCs w:val="21"/>
        </w:rPr>
        <w:t>第六章  评标方法和评标标准</w:t>
      </w:r>
    </w:p>
    <w:p>
      <w:pPr>
        <w:spacing w:line="360" w:lineRule="auto"/>
        <w:ind w:left="2520" w:firstLine="420"/>
        <w:jc w:val="left"/>
        <w:rPr>
          <w:b/>
          <w:szCs w:val="21"/>
        </w:rPr>
      </w:pPr>
      <w:r>
        <w:rPr>
          <w:rFonts w:hint="eastAsia"/>
          <w:b/>
          <w:szCs w:val="21"/>
        </w:rPr>
        <w:t>第七章  采购需求</w:t>
      </w:r>
    </w:p>
    <w:p>
      <w:pPr>
        <w:spacing w:line="360" w:lineRule="auto"/>
        <w:ind w:left="2520" w:firstLine="420"/>
        <w:jc w:val="left"/>
        <w:rPr>
          <w:rFonts w:hint="eastAsia"/>
          <w:b/>
          <w:szCs w:val="21"/>
        </w:rPr>
      </w:pPr>
      <w:r>
        <w:rPr>
          <w:rFonts w:hint="eastAsia"/>
          <w:b/>
          <w:szCs w:val="21"/>
        </w:rPr>
        <w:t>第八章  投标被拒绝条款专用部分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第三分册   采购合同</w:t>
      </w:r>
    </w:p>
    <w:p>
      <w:pPr>
        <w:spacing w:line="360" w:lineRule="auto"/>
        <w:ind w:left="2520" w:firstLine="420"/>
        <w:jc w:val="left"/>
        <w:rPr>
          <w:b/>
          <w:szCs w:val="21"/>
        </w:rPr>
      </w:pPr>
      <w:r>
        <w:rPr>
          <w:rFonts w:hint="eastAsia"/>
          <w:b/>
          <w:szCs w:val="21"/>
        </w:rPr>
        <w:t>第九章  采购合同</w:t>
      </w:r>
    </w:p>
    <w:p>
      <w:pPr>
        <w:spacing w:line="360" w:lineRule="auto"/>
        <w:ind w:left="2520" w:firstLine="420"/>
        <w:jc w:val="left"/>
        <w:rPr>
          <w:b/>
          <w:szCs w:val="21"/>
        </w:rPr>
      </w:pPr>
    </w:p>
    <w:p>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pPr>
        <w:spacing w:line="360" w:lineRule="auto"/>
        <w:jc w:val="center"/>
        <w:outlineLvl w:val="0"/>
        <w:rPr>
          <w:b/>
          <w:sz w:val="48"/>
          <w:szCs w:val="36"/>
        </w:rPr>
      </w:pPr>
      <w:r>
        <w:rPr>
          <w:rFonts w:hint="eastAsia"/>
          <w:b/>
          <w:sz w:val="48"/>
          <w:szCs w:val="36"/>
        </w:rPr>
        <w:t>第一分册：通用部分</w:t>
      </w:r>
    </w:p>
    <w:p>
      <w:pPr>
        <w:spacing w:line="360" w:lineRule="auto"/>
        <w:rPr>
          <w:b/>
          <w:bCs/>
          <w:sz w:val="28"/>
          <w:szCs w:val="28"/>
        </w:rPr>
      </w:pPr>
    </w:p>
    <w:p>
      <w:pPr>
        <w:spacing w:line="360" w:lineRule="auto"/>
        <w:jc w:val="center"/>
        <w:rPr>
          <w:b/>
          <w:bCs/>
          <w:sz w:val="28"/>
          <w:szCs w:val="28"/>
        </w:rPr>
      </w:pPr>
      <w:r>
        <w:rPr>
          <w:rFonts w:hint="eastAsia"/>
          <w:b/>
          <w:bCs/>
          <w:sz w:val="28"/>
          <w:szCs w:val="28"/>
        </w:rPr>
        <w:t>目    录</w:t>
      </w:r>
    </w:p>
    <w:p>
      <w:pPr>
        <w:spacing w:line="360" w:lineRule="auto"/>
        <w:jc w:val="center"/>
        <w:rPr>
          <w:b/>
          <w:bCs/>
          <w:sz w:val="28"/>
          <w:szCs w:val="28"/>
        </w:rPr>
      </w:pPr>
    </w:p>
    <w:p>
      <w:pPr>
        <w:spacing w:line="360" w:lineRule="auto"/>
        <w:ind w:firstLine="2258" w:firstLineChars="1075"/>
        <w:jc w:val="left"/>
        <w:rPr>
          <w:b/>
          <w:bCs/>
          <w:szCs w:val="21"/>
        </w:rPr>
      </w:pPr>
      <w:r>
        <w:rPr>
          <w:rFonts w:hint="eastAsia"/>
          <w:b/>
          <w:bCs/>
          <w:szCs w:val="21"/>
        </w:rPr>
        <w:t>第一章  投标人须知通用部分</w:t>
      </w:r>
    </w:p>
    <w:p>
      <w:pPr>
        <w:spacing w:line="360" w:lineRule="auto"/>
        <w:ind w:firstLine="2258" w:firstLineChars="1075"/>
        <w:jc w:val="left"/>
        <w:rPr>
          <w:b/>
          <w:bCs/>
          <w:szCs w:val="21"/>
        </w:rPr>
      </w:pPr>
      <w:r>
        <w:rPr>
          <w:rFonts w:hint="eastAsia"/>
          <w:b/>
          <w:bCs/>
          <w:szCs w:val="21"/>
        </w:rPr>
        <w:t>第二章  投标文件格式</w:t>
      </w:r>
    </w:p>
    <w:p>
      <w:pPr>
        <w:spacing w:line="360" w:lineRule="auto"/>
        <w:ind w:firstLine="2258" w:firstLineChars="1075"/>
        <w:jc w:val="left"/>
        <w:rPr>
          <w:b/>
          <w:bCs/>
          <w:szCs w:val="21"/>
        </w:rPr>
      </w:pPr>
      <w:r>
        <w:rPr>
          <w:rFonts w:hint="eastAsia"/>
          <w:b/>
          <w:bCs/>
          <w:szCs w:val="21"/>
        </w:rPr>
        <w:t>第三章  投标被拒绝条款通用部分</w:t>
      </w:r>
    </w:p>
    <w:p>
      <w:pPr>
        <w:jc w:val="center"/>
        <w:outlineLvl w:val="1"/>
        <w:rPr>
          <w:sz w:val="30"/>
          <w:szCs w:val="30"/>
        </w:rPr>
      </w:pPr>
      <w:bookmarkStart w:id="3" w:name="_Toc86202581"/>
      <w:r>
        <w:br w:type="page"/>
      </w:r>
      <w:r>
        <w:rPr>
          <w:rFonts w:hint="eastAsia"/>
          <w:b/>
          <w:bCs/>
          <w:sz w:val="30"/>
          <w:szCs w:val="30"/>
        </w:rPr>
        <w:t>第一章  投标人须知通用部分</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1.1适用范围</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中所述货物及相关服务的招标投标。本项目属性确定为货物类采购。</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1.2定义</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1.2.1</w:t>
      </w:r>
      <w:r>
        <w:rPr>
          <w:rFonts w:hint="eastAsia"/>
          <w:bCs/>
        </w:rPr>
        <w:t>“</w:t>
      </w:r>
      <w:r>
        <w:rPr>
          <w:rFonts w:hint="eastAsia"/>
          <w:bCs/>
        </w:rPr>
        <w:t>采购人</w:t>
      </w:r>
      <w:r>
        <w:rPr>
          <w:rFonts w:hint="eastAsia"/>
          <w:bCs/>
        </w:rPr>
        <w:t>”</w:t>
      </w:r>
      <w:r>
        <w:rPr>
          <w:rFonts w:hint="eastAsia"/>
          <w:bCs/>
        </w:rPr>
        <w:t>是指本项目的具体采购单位，具体名称详见</w:t>
      </w:r>
      <w:r>
        <w:rPr>
          <w:rFonts w:hint="eastAsia"/>
          <w:b/>
          <w:bCs/>
        </w:rPr>
        <w:t>第五章投标人须知专用部分</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1.2.2</w:t>
      </w:r>
      <w:r>
        <w:rPr>
          <w:rFonts w:hint="eastAsia"/>
          <w:bCs/>
        </w:rPr>
        <w:t>“</w:t>
      </w:r>
      <w:r>
        <w:rPr>
          <w:rFonts w:hint="eastAsia"/>
          <w:bCs/>
        </w:rPr>
        <w:t>招标货物</w:t>
      </w:r>
      <w:r>
        <w:rPr>
          <w:rFonts w:hint="eastAsia"/>
          <w:bCs/>
        </w:rPr>
        <w:t>”</w:t>
      </w:r>
      <w:r>
        <w:rPr>
          <w:rFonts w:hint="eastAsia"/>
          <w:bCs/>
        </w:rPr>
        <w:t>指本招标文件中</w:t>
      </w:r>
      <w:r>
        <w:rPr>
          <w:rFonts w:hint="eastAsia"/>
          <w:b/>
          <w:bCs/>
        </w:rPr>
        <w:t>第七章采购需求</w:t>
      </w:r>
      <w:r>
        <w:rPr>
          <w:rFonts w:hint="eastAsia"/>
          <w:bCs/>
        </w:rPr>
        <w:t>所述所有货物（包括不需要二次开发的软件）。</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Style w:val="px10"/>
          <w:rFonts w:hint="eastAsia"/>
          <w:bCs/>
        </w:rPr>
        <w:t>1.2.3</w:t>
      </w:r>
      <w:r>
        <w:rPr>
          <w:rStyle w:val="px10"/>
          <w:rFonts w:hint="eastAsia"/>
          <w:bCs/>
        </w:rPr>
        <w:t>“</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w:t>
      </w:r>
      <w:r>
        <w:rPr>
          <w:rFonts w:hint="eastAsia"/>
        </w:rPr>
        <w:t>“</w:t>
      </w:r>
      <w:r>
        <w:rPr>
          <w:rFonts w:hint="eastAsia"/>
        </w:rPr>
        <w:t>潜在投标人</w:t>
      </w:r>
      <w:r>
        <w:rPr>
          <w:rFonts w:hint="eastAsia"/>
        </w:rPr>
        <w:t>”</w:t>
      </w:r>
      <w:r>
        <w:rPr>
          <w:rFonts w:hint="eastAsia"/>
        </w:rPr>
        <w:t>指符合本招标文件各项规定的供应商。</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1.2.5</w:t>
      </w:r>
      <w:r>
        <w:rPr>
          <w:rFonts w:hint="eastAsia"/>
        </w:rPr>
        <w:t>“</w:t>
      </w:r>
      <w:r>
        <w:rPr>
          <w:rFonts w:hint="eastAsia"/>
        </w:rPr>
        <w:t>投标人</w:t>
      </w:r>
      <w:r>
        <w:rPr>
          <w:rFonts w:hint="eastAsia"/>
        </w:rPr>
        <w:t>”</w:t>
      </w:r>
      <w:r>
        <w:rPr>
          <w:rFonts w:hint="eastAsia"/>
        </w:rPr>
        <w:t>如无特殊说明，指符合本招标文件规定并参加投标的供应商。</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1.2.6本招标文件各部分规定的期间以时、日、月、年计算。期间开始的日，不计算在期间内，而从次日开始计算。期间届满的最后一天是节假日的，以节假日后的第一日为期间届满的日期。</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1.2.7本招标文件所称的复印件，包括原件经扫描或照相后的打印件、影印件等。复印件应清晰。</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1.2.8盖章及签字。</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1.2.8.1盖章。在本招标文件中，要求相关方在投标文件及相关文件上盖章的，均应使用与相关方名称全称相一致的公章，不得使用</w:t>
      </w:r>
      <w:r>
        <w:rPr>
          <w:rFonts w:hint="eastAsia"/>
        </w:rPr>
        <w:t>“</w:t>
      </w:r>
      <w:r>
        <w:rPr>
          <w:rFonts w:hint="eastAsia"/>
        </w:rPr>
        <w:t>投标专用章</w:t>
      </w:r>
      <w:r>
        <w:rPr>
          <w:rFonts w:hint="eastAsia"/>
        </w:rPr>
        <w:t>”</w:t>
      </w:r>
      <w:r>
        <w:rPr>
          <w:rFonts w:hint="eastAsia"/>
        </w:rPr>
        <w:t>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1.3合格投标人的条件</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bCs/>
        </w:rPr>
        <w:t>1.3.4本次招标是否允许代理商（指投标人提供的货物不是自己制造的，下同）投标，以及进口产品代理商投标应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第五章投标人须知专用部分5.3条</w:t>
      </w:r>
      <w:r>
        <w:rPr>
          <w:rFonts w:hint="eastAsia"/>
        </w:rPr>
        <w:t>有关代理商投标要求，以及进口产品代理商未按</w:t>
      </w:r>
      <w:r>
        <w:rPr>
          <w:rFonts w:hint="eastAsia"/>
          <w:b/>
        </w:rPr>
        <w:t>第五章投标人须知专用部分5.4条</w:t>
      </w:r>
      <w:r>
        <w:rPr>
          <w:rFonts w:hint="eastAsia"/>
        </w:rPr>
        <w:t>提交有关资料的，投标将被拒绝。</w:t>
      </w:r>
      <w:r>
        <w:rPr>
          <w:rFonts w:hint="eastAsia"/>
          <w:bCs/>
        </w:rPr>
        <w:t>制造商与一家或多家代理商参加相同品牌产品投标的处理规则详见</w:t>
      </w:r>
      <w:r>
        <w:rPr>
          <w:rFonts w:hint="eastAsia"/>
          <w:b/>
          <w:bCs/>
        </w:rPr>
        <w:t>1.28.4</w:t>
      </w:r>
      <w:r>
        <w:rPr>
          <w:rFonts w:hint="eastAsia"/>
          <w:bCs/>
        </w:rPr>
        <w:t>条。</w:t>
      </w:r>
    </w:p>
    <w:p>
      <w:pPr>
        <w:adjustRightInd w:val="0"/>
        <w:snapToGrid w:val="0"/>
        <w:spacing w:line="360" w:lineRule="auto"/>
        <w:ind w:firstLine="420" w:firstLineChars="200"/>
      </w:pPr>
      <w:r>
        <w:rPr>
          <w:rFonts w:ascii="宋体" w:hAnsi="宋体" w:hint="eastAsia"/>
        </w:rPr>
        <w:t>1.3.5单位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pPr>
        <w:tabs>
          <w:tab w:val="left" w:pos="1573"/>
        </w:tabs>
        <w:adjustRightInd w:val="0"/>
        <w:snapToGrid w:val="0"/>
        <w:spacing w:line="360" w:lineRule="auto"/>
        <w:ind w:firstLine="420" w:firstLineChars="200"/>
      </w:pPr>
      <w:r>
        <w:rPr>
          <w:rFonts w:ascii="宋体" w:hAnsi="宋体" w:hint="eastAsia"/>
        </w:rPr>
        <w:t>1.3.6</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（1）联合体应提供</w:t>
      </w:r>
      <w:r>
        <w:rPr>
          <w:rFonts w:hint="eastAsia"/>
        </w:rPr>
        <w:t>“</w:t>
      </w:r>
      <w:r>
        <w:rPr>
          <w:rFonts w:hint="eastAsia"/>
        </w:rPr>
        <w:t>联合体协议</w:t>
      </w:r>
      <w:r>
        <w:rPr>
          <w:rFonts w:hint="eastAsia"/>
        </w:rPr>
        <w:t>”</w:t>
      </w:r>
      <w:r>
        <w:rPr>
          <w:rFonts w:hint="eastAsia"/>
        </w:rPr>
        <w:t>，该协议书对联合体各方均具有法律约束力。联合体投标文件未附联合体协议的，其投标将被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1.3.7投标的货物是否必须取得《气象专用技术装备使用许可证》，见</w:t>
      </w:r>
      <w:r>
        <w:rPr>
          <w:rFonts w:hint="eastAsia"/>
          <w:b/>
        </w:rPr>
        <w:t>第五章投标人须知专用部分。</w:t>
      </w:r>
      <w:r>
        <w:rPr>
          <w:rFonts w:hint="eastAsia"/>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1.3.8以投标截止日为基准日，投标人之前三年存在不良信用记录的，其投标将被作为无效投标被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（1）不良信用记录指存在下列情形之一：</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w:t>
      </w:r>
      <w:r>
        <w:rPr>
          <w:rFonts w:hint="eastAsia"/>
        </w:rPr>
        <w:t>“</w:t>
      </w:r>
      <w:r>
        <w:rPr>
          <w:rFonts w:hint="eastAsia"/>
        </w:rPr>
        <w:t>较大数额罚款</w:t>
      </w:r>
      <w:r>
        <w:rPr>
          <w:rFonts w:hint="eastAsia"/>
        </w:rPr>
        <w:t>”</w:t>
      </w:r>
      <w:r>
        <w:rPr>
          <w:rFonts w:hint="eastAsia"/>
        </w:rPr>
        <w:t>标准高于200 万元的，从其规定。</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（3）信用记录查询：采购中心或采购人通过</w:t>
      </w:r>
      <w:r>
        <w:rPr>
          <w:rFonts w:hint="eastAsia"/>
        </w:rPr>
        <w:t>“</w:t>
      </w:r>
      <w:r>
        <w:rPr>
          <w:rFonts w:hint="eastAsia"/>
        </w:rPr>
        <w:t>信用中国</w:t>
      </w:r>
      <w:r>
        <w:rPr>
          <w:rFonts w:hint="eastAsia"/>
        </w:rPr>
        <w:t>”</w:t>
      </w:r>
      <w:r>
        <w:rPr>
          <w:rFonts w:hint="eastAsia"/>
        </w:rPr>
        <w:t>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1.3.9投标人在投标过程中不得向采购人和采购中心提供、给予任何有价值的物品，一经发现，按照投标无效处理。</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1.3.10投标人没有其他不符合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pPr>
        <w:tabs>
          <w:tab w:val="left" w:pos="8460"/>
        </w:tabs>
        <w:adjustRightInd w:val="0"/>
        <w:snapToGrid w:val="0"/>
        <w:spacing w:line="360" w:lineRule="auto"/>
        <w:ind w:firstLine="420" w:firstLineChars="200"/>
        <w:jc w:val="left"/>
        <w:rPr>
          <w:rFonts w:ascii="宋体" w:hAnsi="宋体"/>
          <w:kern w:val="0"/>
          <w:szCs w:val="21"/>
        </w:rPr>
      </w:pPr>
      <w:r>
        <w:rPr>
          <w:rFonts w:ascii="宋体" w:hAnsi="宋体" w:hint="eastAsia"/>
          <w:kern w:val="0"/>
          <w:szCs w:val="21"/>
        </w:rPr>
        <w:t>1.3.11投标人所投标的货物如是国家法律、法规、政策禁止采购人采购的货物，或者投标人所投标的货物使用了国家法律、法规、政策禁止采购人采购的货物作为零件，投标将被拒绝。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kern w:val="0"/>
        </w:rPr>
        <w:t>1.3.12</w:t>
      </w:r>
      <w:r>
        <w:rPr>
          <w:rFonts w:hint="eastAsia"/>
        </w:rPr>
        <w:t>如投标人授权代表不是法定代表人，须在投标函中具有法定代表人的授权，否则投标将被拒绝。</w:t>
      </w:r>
    </w:p>
    <w:p>
      <w:pPr>
        <w:tabs>
          <w:tab w:val="left" w:pos="8460"/>
        </w:tabs>
        <w:adjustRightInd w:val="0"/>
        <w:snapToGrid w:val="0"/>
        <w:spacing w:line="360" w:lineRule="auto"/>
        <w:ind w:firstLine="420" w:firstLineChars="200"/>
        <w:jc w:val="left"/>
        <w:rPr>
          <w:b/>
          <w:bCs/>
        </w:rPr>
      </w:pPr>
      <w:r>
        <w:rPr>
          <w:rFonts w:hint="eastAsia"/>
          <w:b/>
          <w:bCs/>
        </w:rPr>
        <w:t>1.4进口产品规定</w:t>
      </w:r>
    </w:p>
    <w:p>
      <w:pPr>
        <w:tabs>
          <w:tab w:val="left" w:pos="8460"/>
        </w:tabs>
        <w:adjustRightInd w:val="0"/>
        <w:snapToGrid w:val="0"/>
        <w:spacing w:line="360" w:lineRule="auto"/>
        <w:ind w:firstLine="420" w:firstLineChars="200"/>
        <w:jc w:val="left"/>
        <w:rPr>
          <w:rFonts w:hint="eastAsia"/>
        </w:rPr>
      </w:pPr>
      <w:r>
        <w:rPr>
          <w:rFonts w:ascii="宋体" w:hAnsi="宋体" w:hint="eastAsia"/>
          <w:szCs w:val="21"/>
        </w:rPr>
        <w:t>1.4.1本项目是否允许进口产品投标，见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5.8条有关进口产品投标要求的，投标将被拒绝。</w:t>
      </w:r>
    </w:p>
    <w:p>
      <w:pPr>
        <w:tabs>
          <w:tab w:val="left" w:pos="8460"/>
        </w:tabs>
        <w:adjustRightInd w:val="0"/>
        <w:snapToGrid w:val="0"/>
        <w:spacing w:line="360" w:lineRule="auto"/>
        <w:ind w:firstLine="420" w:firstLineChars="200"/>
        <w:jc w:val="left"/>
        <w:rPr>
          <w:rFonts w:ascii="宋体" w:hAnsi="宋体"/>
          <w:bCs/>
          <w:szCs w:val="21"/>
        </w:rPr>
      </w:pPr>
      <w:r>
        <w:rPr>
          <w:rFonts w:ascii="宋体" w:hAnsi="宋体" w:hint="eastAsia"/>
          <w:bCs/>
          <w:szCs w:val="21"/>
        </w:rPr>
        <w:t>1.4.2如允许采购进口产品，应当遵守《财政部关于印发&lt;政府采购进口产品管理办法&gt;的通知》（财库〔2007〕119 号）、财政部办公厅《关于政府采购进口产品管理有关问题的通知》（财办库〔2008〕248 号）的相关规定。</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1.5中小企业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1.5.2以联合体形式参加本次采购活动的，如联合体各方均为中小企业，则联合体视同中小企业，其中联合体各方均为小微企业（小型和微型企业的简称，下同）的，则联合体视同小微企业。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1.5.4 如本项目不是预留采购份额面向中小企业采购，则价格优惠政策如下：</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1.5.6享受中小企业扶持政策获得本项目政府采购合同的，小微企业不得将合同分包给大中型企业，中型企业不得将合同分包给大型企业。</w:t>
      </w:r>
    </w:p>
    <w:p>
      <w:pPr>
        <w:tabs>
          <w:tab w:val="left" w:pos="8460"/>
        </w:tabs>
        <w:adjustRightInd w:val="0"/>
        <w:snapToGrid w:val="0"/>
        <w:spacing w:line="360" w:lineRule="auto"/>
        <w:ind w:firstLine="420" w:firstLineChars="200"/>
        <w:jc w:val="left"/>
        <w:rPr>
          <w:rFonts w:ascii="宋体" w:hAnsi="宋体"/>
          <w:b/>
          <w:szCs w:val="21"/>
        </w:rPr>
      </w:pPr>
      <w:r>
        <w:rPr>
          <w:rFonts w:ascii="宋体" w:hAnsi="宋体" w:hint="eastAsia"/>
          <w:b/>
          <w:szCs w:val="21"/>
        </w:rPr>
        <w:t>1.6节能及环保产品</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1.6.2如投标产品属于上述政府优先采购产品类别的，将在评标时将视情况予以优先采购，具体优先采购办法如有详见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1.7串通投标</w:t>
      </w:r>
    </w:p>
    <w:p>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1.8采购预算</w:t>
      </w:r>
    </w:p>
    <w:p>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1.9投标费用</w:t>
      </w:r>
    </w:p>
    <w:p>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w:t>
      </w:r>
      <w:r>
        <w:rPr>
          <w:rFonts w:hint="eastAsia"/>
        </w:rPr>
        <w:t>—</w:t>
      </w:r>
      <w:r>
        <w:rPr>
          <w:rFonts w:hint="eastAsia"/>
        </w:rPr>
        <w:t>100（含）万费率1%，100</w:t>
      </w:r>
      <w:r>
        <w:rPr>
          <w:rFonts w:hint="eastAsia"/>
        </w:rPr>
        <w:t>—</w:t>
      </w:r>
      <w:r>
        <w:rPr>
          <w:rFonts w:hint="eastAsia"/>
        </w:rPr>
        <w:t>500（含）万费率0.8%，500</w:t>
      </w:r>
      <w:r>
        <w:rPr>
          <w:rFonts w:hint="eastAsia"/>
        </w:rPr>
        <w:t>—</w:t>
      </w:r>
      <w:r>
        <w:rPr>
          <w:rFonts w:hint="eastAsia"/>
        </w:rPr>
        <w:t>1000（含）万费率0.45% ，1000</w:t>
      </w:r>
      <w:r>
        <w:rPr>
          <w:rFonts w:hint="eastAsia"/>
        </w:rPr>
        <w:t>—</w:t>
      </w:r>
      <w:r>
        <w:rPr>
          <w:rFonts w:hint="eastAsia"/>
        </w:rPr>
        <w:t>5000（含）万费率0.25%，5000</w:t>
      </w:r>
      <w:r>
        <w:rPr>
          <w:rFonts w:hint="eastAsia"/>
        </w:rPr>
        <w:t>—</w:t>
      </w:r>
      <w:r>
        <w:rPr>
          <w:rFonts w:hint="eastAsia"/>
        </w:rPr>
        <w:t>10000（含）万费率0.1%，10000</w:t>
      </w:r>
      <w:r>
        <w:rPr>
          <w:rFonts w:hint="eastAsia"/>
        </w:rPr>
        <w:t>—</w:t>
      </w:r>
      <w:r>
        <w:rPr>
          <w:rFonts w:hint="eastAsia"/>
        </w:rPr>
        <w:t>50000（含）万费率0.05%，50000</w:t>
      </w:r>
      <w:r>
        <w:rPr>
          <w:rFonts w:hint="eastAsia"/>
        </w:rPr>
        <w:t>—</w:t>
      </w:r>
      <w:r>
        <w:rPr>
          <w:rFonts w:hint="eastAsia"/>
        </w:rPr>
        <w:t>100000（含）万费率0.04%，100000万以上费率0.01%），再根据项目技术复杂程度、组织项目采购的难易程度上下浮动20%。</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1.10通知</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1.11招标文件的组成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招标文件由通用部分、专用部分和采购合同构成，具体</w:t>
      </w:r>
      <w:r>
        <w:t>包括：</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第八章  投标被拒绝条款专用部分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pPr>
        <w:pStyle w:val="10"/>
        <w:numPr>
          <w:ilvl w:val="0"/>
          <w:numId w:val="0"/>
        </w:numPr>
        <w:tabs>
          <w:tab w:val="left" w:pos="709"/>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1.14投标文件的组成及要求</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1.14.2投标人应提交以下商务文件，且不允许在投标截止后补正。其中加*项除特别说明外，若缺失或无效，会导致投标被拒绝。</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（1）*法定代表人身份证明或授权委托书</w:t>
      </w:r>
    </w:p>
    <w:p>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（5）资格、资信证明文件：</w:t>
      </w:r>
    </w:p>
    <w:p>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w:t>
      </w:r>
      <w:r>
        <w:rPr>
          <w:rFonts w:ascii="宋体" w:hAnsi="宋体" w:hint="eastAsia"/>
          <w:szCs w:val="21"/>
        </w:rPr>
        <w:t>*财务状况证明</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w:t>
      </w:r>
      <w:r>
        <w:rPr>
          <w:rFonts w:ascii="宋体" w:hAnsi="宋体" w:hint="eastAsia"/>
          <w:szCs w:val="21"/>
        </w:rPr>
        <w:t>投标人信用查询记录（</w:t>
      </w:r>
      <w:r>
        <w:rPr>
          <w:rFonts w:hint="eastAsia"/>
        </w:rPr>
        <w:t>“</w:t>
      </w:r>
      <w:r>
        <w:rPr>
          <w:rFonts w:hint="eastAsia"/>
        </w:rPr>
        <w:t>信用中国</w:t>
      </w:r>
      <w:r>
        <w:rPr>
          <w:rFonts w:hint="eastAsia"/>
        </w:rPr>
        <w:t>”</w:t>
      </w:r>
      <w:r>
        <w:rPr>
          <w:rFonts w:hint="eastAsia"/>
        </w:rPr>
        <w:t>网站相关截图，网址：www.creditchina.gov.cn）</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bCs/>
        </w:rPr>
        <w:t>*投标货物的《</w:t>
      </w:r>
      <w:r>
        <w:rPr>
          <w:rFonts w:hint="eastAsia"/>
        </w:rPr>
        <w:t>气象专用技术装备使用许可证》</w:t>
      </w:r>
      <w:r>
        <w:rPr>
          <w:rFonts w:ascii="宋体" w:hAnsi="宋体" w:hint="eastAsia"/>
          <w:szCs w:val="21"/>
        </w:rPr>
        <w:t>（投标</w:t>
      </w:r>
      <w:r>
        <w:rPr>
          <w:rFonts w:hint="eastAsia"/>
        </w:rPr>
        <w:t>货物不必须取得《气象专用技术装备使用许可证》的，可以不提供）</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bCs/>
        </w:rPr>
        <w:t>⑧</w:t>
      </w:r>
      <w:r>
        <w:rPr>
          <w:rFonts w:ascii="宋体" w:hAnsi="宋体" w:hint="eastAsia"/>
          <w:bCs/>
        </w:rPr>
        <w:t>*进口产品制造商授权书（投标货物不是进口产品的，不提供）</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hint="eastAsia"/>
          <w:szCs w:val="21"/>
        </w:rPr>
        <w:t>⑨</w:t>
      </w:r>
      <w:r>
        <w:rPr>
          <w:rFonts w:ascii="宋体" w:hAnsi="宋体" w:hint="eastAsia"/>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微软雅黑" w:eastAsia="微软雅黑" w:hAnsi="微软雅黑" w:hint="eastAsia"/>
          <w:szCs w:val="21"/>
        </w:rPr>
        <w:t>⑩</w:t>
      </w:r>
      <w:r>
        <w:rPr>
          <w:rFonts w:ascii="宋体" w:hAnsi="宋体"/>
          <w:bCs/>
        </w:rPr>
        <w:t>*</w:t>
      </w:r>
      <w:r>
        <w:rPr>
          <w:rFonts w:ascii="宋体" w:hAnsi="宋体" w:hint="eastAsia"/>
          <w:szCs w:val="21"/>
        </w:rPr>
        <w:t>联合体协议（如有）</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分包意向协议（如有）</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12</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hint="eastAsia"/>
        </w:rPr>
        <w:t>按照</w:t>
      </w:r>
      <w:r>
        <w:rPr>
          <w:rFonts w:hint="eastAsia"/>
          <w:b/>
        </w:rPr>
        <w:t>第五章投标人须知专用部分5.2条</w:t>
      </w:r>
      <w:r>
        <w:rPr>
          <w:rFonts w:hint="eastAsia"/>
        </w:rPr>
        <w:t>规定应提交的特殊资质条件证明文件</w:t>
      </w:r>
    </w:p>
    <w:p>
      <w:pPr>
        <w:tabs>
          <w:tab w:val="left" w:pos="5580"/>
        </w:tabs>
        <w:adjustRightInd w:val="0"/>
        <w:snapToGrid w:val="0"/>
        <w:spacing w:line="360" w:lineRule="auto"/>
        <w:jc w:val="left"/>
        <w:rPr>
          <w:rFonts w:ascii="宋体" w:hAnsi="宋体"/>
          <w:szCs w:val="21"/>
        </w:rPr>
      </w:pPr>
      <w:r>
        <w:rPr>
          <w:rFonts w:ascii="宋体" w:hAnsi="宋体" w:hint="eastAsia"/>
          <w:szCs w:val="21"/>
        </w:rPr>
        <w:t xml:space="preserve">    （6）*银行保函或投标保证金说明函（本项目不要求提交投标保证金的不提供）</w:t>
      </w:r>
    </w:p>
    <w:p>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（7）*</w:t>
      </w:r>
      <w:r>
        <w:rPr>
          <w:rFonts w:hint="eastAsia"/>
        </w:rPr>
        <w:t>按照</w:t>
      </w:r>
      <w:r>
        <w:rPr>
          <w:rFonts w:hint="eastAsia"/>
          <w:b/>
        </w:rPr>
        <w:t>第五章投标人须知专用部分5.13条</w:t>
      </w:r>
      <w:r>
        <w:rPr>
          <w:rFonts w:hint="eastAsia"/>
        </w:rPr>
        <w:t>规定应提交的其他商务文件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（8）投标人自行编制的商务文件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（2）*分项报价表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（3）*技术要求偏离表</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（4）主要标的信息表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w:t>
      </w:r>
      <w:r>
        <w:rPr>
          <w:rFonts w:hint="eastAsia"/>
        </w:rPr>
        <w:t>按照</w:t>
      </w:r>
      <w:r>
        <w:rPr>
          <w:rFonts w:hint="eastAsia"/>
          <w:b/>
        </w:rPr>
        <w:t>第五章投标人须知专用部分5.13条</w:t>
      </w:r>
      <w:r>
        <w:rPr>
          <w:rFonts w:hint="eastAsia"/>
        </w:rPr>
        <w:t>规定应提交的其他技术文件</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（6）投标人项目实施和售后服务方案</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（7）投标人自行编写的技术文件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1.15投标文件签署及相关要求</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1.15.2投标文件的盖章、签字等签署要求见1.2.8条。其中</w:t>
      </w:r>
      <w:r>
        <w:rPr>
          <w:rFonts w:hint="eastAsia"/>
        </w:rPr>
        <w:t>“</w:t>
      </w:r>
      <w:r>
        <w:rPr>
          <w:rFonts w:hint="eastAsia"/>
        </w:rPr>
        <w:t>投标函</w:t>
      </w:r>
      <w:r>
        <w:rPr>
          <w:rFonts w:hint="eastAsia"/>
        </w:rPr>
        <w:t>”</w:t>
      </w:r>
      <w:r>
        <w:rPr>
          <w:rFonts w:hint="eastAsia"/>
        </w:rPr>
        <w:t>及</w:t>
      </w:r>
      <w:r>
        <w:rPr>
          <w:rFonts w:hint="eastAsia"/>
        </w:rPr>
        <w:t>“</w:t>
      </w:r>
      <w:r>
        <w:rPr>
          <w:rFonts w:hint="eastAsia"/>
        </w:rPr>
        <w:t>法定代表人授权委托书</w:t>
      </w:r>
      <w:r>
        <w:rPr>
          <w:rFonts w:hint="eastAsia"/>
        </w:rPr>
        <w:t>”</w:t>
      </w:r>
      <w:r>
        <w:rPr>
          <w:rFonts w:hint="eastAsia"/>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pPr>
        <w:pStyle w:val="10"/>
        <w:numPr>
          <w:ilvl w:val="0"/>
          <w:numId w:val="0"/>
        </w:numPr>
        <w:tabs>
          <w:tab w:val="left" w:pos="709"/>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1.16投标保证金</w:t>
      </w:r>
    </w:p>
    <w:p>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w:t>
      </w:r>
      <w:r>
        <w:rPr>
          <w:rFonts w:ascii="宋体" w:hAnsi="宋体" w:hint="eastAsia"/>
          <w:szCs w:val="21"/>
        </w:rPr>
        <w:t>“</w:t>
      </w:r>
      <w:r>
        <w:rPr>
          <w:rFonts w:ascii="宋体" w:hAnsi="宋体" w:hint="eastAsia"/>
          <w:szCs w:val="21"/>
        </w:rPr>
        <w:t>投标保证金</w:t>
      </w:r>
      <w:r>
        <w:rPr>
          <w:rFonts w:ascii="宋体" w:hAnsi="宋体" w:hint="eastAsia"/>
          <w:szCs w:val="21"/>
        </w:rPr>
        <w:t>”</w:t>
      </w:r>
      <w:r>
        <w:rPr>
          <w:rFonts w:ascii="宋体" w:hAnsi="宋体" w:hint="eastAsia"/>
          <w:szCs w:val="21"/>
        </w:rPr>
        <w:t>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1.17投标报价</w:t>
      </w:r>
    </w:p>
    <w:p>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购买货物及其运送、安装、调试、验收、保险和相关服务等的费用和所需缴纳的所有税、费。上述所有价格内容及其他应包括在总价中的价格内容应在分项报价表中分别逐项列出，由于分项报价填报不完整、不清楚或存在其它任何失误，所导致的任何不利后果均应当由投标人自行承担。</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1.17.2本项目的采购预算（或最高限价）详见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pPr>
        <w:adjustRightInd w:val="0"/>
        <w:snapToGrid w:val="0"/>
        <w:spacing w:line="360" w:lineRule="auto"/>
        <w:ind w:firstLine="420" w:firstLineChars="200"/>
        <w:jc w:val="left"/>
        <w:rPr>
          <w:rFonts w:ascii="宋体" w:eastAsia="宋体" w:hAnsi="宋体" w:cs="Times New Roman" w:hint="eastAsia"/>
          <w:szCs w:val="21"/>
        </w:rPr>
      </w:pPr>
      <w:r>
        <w:rPr>
          <w:rFonts w:ascii="宋体" w:hAnsi="宋体" w:hint="eastAsia"/>
          <w:szCs w:val="21"/>
        </w:rPr>
        <w:t>1.17.3投标人要按分项报价表的内容填写货物单价（包括货物报</w:t>
      </w:r>
      <w:r>
        <w:rPr>
          <w:rFonts w:ascii="宋体" w:eastAsia="宋体" w:hAnsi="宋体" w:cs="Times New Roman" w:hint="eastAsia"/>
          <w:szCs w:val="21"/>
        </w:rPr>
        <w:t>价以及品牌、型号、产地、装箱、包装、包装物料、运输和保险费用等）、总价及其他事项。</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1.18分包</w:t>
      </w:r>
    </w:p>
    <w:p>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1.19投标内容填写说明</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w:t>
      </w:r>
      <w:r>
        <w:rPr>
          <w:rFonts w:ascii="宋体" w:hAnsi="宋体" w:hint="eastAsia"/>
          <w:szCs w:val="21"/>
        </w:rPr>
        <w:t>“</w:t>
      </w:r>
      <w:r>
        <w:rPr>
          <w:rFonts w:ascii="宋体" w:hAnsi="宋体" w:hint="eastAsia"/>
          <w:szCs w:val="21"/>
        </w:rPr>
        <w:t>无</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未测试</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没有相应指标</w:t>
      </w:r>
      <w:r>
        <w:rPr>
          <w:rFonts w:ascii="宋体" w:hAnsi="宋体" w:hint="eastAsia"/>
          <w:szCs w:val="21"/>
        </w:rPr>
        <w:t>”</w:t>
      </w:r>
      <w:r>
        <w:rPr>
          <w:rFonts w:ascii="宋体" w:hAnsi="宋体" w:hint="eastAsia"/>
          <w:szCs w:val="21"/>
        </w:rPr>
        <w:t>等明确的回答文字。投标文件未按规定提交或留有空项，将被视为投标文件完整性有缺陷。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1.20投标有效期</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pPr>
        <w:pStyle w:val="10"/>
        <w:numPr>
          <w:ilvl w:val="0"/>
          <w:numId w:val="0"/>
        </w:numPr>
        <w:tabs>
          <w:tab w:val="left" w:pos="709"/>
          <w:tab w:val="left" w:pos="1573"/>
        </w:tabs>
        <w:adjustRightInd w:val="0"/>
        <w:snapToGrid w:val="0"/>
        <w:spacing w:line="360" w:lineRule="auto"/>
        <w:ind w:firstLine="420" w:firstLineChars="200"/>
        <w:jc w:val="left"/>
        <w:rPr>
          <w:rFonts w:hint="eastAsia"/>
          <w:b/>
        </w:rPr>
      </w:pPr>
      <w:r>
        <w:rPr>
          <w:rFonts w:hint="eastAsia"/>
          <w:b/>
        </w:rPr>
        <w:t>1.21投标截止时间</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中国气象局政府采购中心电子采购系统（地址：http：//cmagp.cmaidp.cma.cn/portalweb），</w:t>
      </w:r>
      <w:r>
        <w:rPr>
          <w:rFonts w:ascii="宋体" w:cs="微软雅黑" w:hint="eastAsia"/>
          <w:szCs w:val="21"/>
        </w:rPr>
        <w:t>下载电子采购系统的投标（响应）工具，制作并于投标截止时间前上传加密的电子投标文件，文件上传成功后，将获得系统回执。该系统的上传通道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1.24开标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1.25组建评标委员会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1.26初审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1.26.1投标文件的初审分为资格性审查和符合性审查。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w:t>
      </w:r>
      <w:r>
        <w:rPr>
          <w:rFonts w:hint="eastAsia"/>
        </w:rPr>
        <w:t>①</w:t>
      </w:r>
      <w:r>
        <w:rPr>
          <w:rFonts w:hint="eastAsia"/>
        </w:rPr>
        <w:t>投标人法人资格证明文件，</w:t>
      </w:r>
      <w:r>
        <w:rPr>
          <w:rFonts w:hint="eastAsia"/>
        </w:rPr>
        <w:t>②</w:t>
      </w:r>
      <w:r>
        <w:rPr>
          <w:rFonts w:hint="eastAsia"/>
        </w:rPr>
        <w:t>以投标截止日为基准日，近一年</w:t>
      </w:r>
      <w:r>
        <w:t>内</w:t>
      </w:r>
      <w:r>
        <w:rPr>
          <w:rFonts w:hint="eastAsia"/>
        </w:rPr>
        <w:t>任何</w:t>
      </w:r>
      <w:r>
        <w:t>完税凭证或税务部门出具的税收减免证明</w:t>
      </w:r>
      <w:r>
        <w:rPr>
          <w:rFonts w:hint="eastAsia"/>
        </w:rPr>
        <w:t>，</w:t>
      </w:r>
      <w:r>
        <w:t>③</w:t>
      </w:r>
      <w:r>
        <w:rPr>
          <w:rFonts w:hint="eastAsia"/>
        </w:rPr>
        <w:t>以投标截止日为基准日，</w:t>
      </w:r>
      <w:r>
        <w:t>近</w:t>
      </w:r>
      <w:r>
        <w:rPr>
          <w:rFonts w:hint="eastAsia"/>
        </w:rPr>
        <w:t>一年</w:t>
      </w:r>
      <w:r>
        <w:t>内</w:t>
      </w:r>
      <w:r>
        <w:rPr>
          <w:rFonts w:hint="eastAsia"/>
        </w:rPr>
        <w:t>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w:t>
      </w:r>
      <w:r>
        <w:rPr>
          <w:rFonts w:hint="eastAsia"/>
        </w:rPr>
        <w:t>⑦</w:t>
      </w:r>
      <w:r>
        <w:rPr>
          <w:rFonts w:hint="eastAsia"/>
        </w:rPr>
        <w:t>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pPr>
        <w:tabs>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进口产品制造商授权书（如有）、中小企业声明函或残疾人福利性单位声明函或监狱企业证明文件（如有）、联合体协议（如有）、分包意向协议（如有）、分项报价表、技术偏离表、按照第五章投标人须知专用部分5.13条规定应提交的其他商务文件和技术文件、实质性*号条款响应等进行审查，以确定其是否满足招标文件的实质性要求。没有通过初审的投标人不再进行详细评审。</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pPr>
        <w:widowControl/>
        <w:adjustRightInd w:val="0"/>
        <w:snapToGrid w:val="0"/>
        <w:spacing w:line="360" w:lineRule="auto"/>
        <w:ind w:firstLine="420" w:firstLineChars="200"/>
        <w:jc w:val="left"/>
        <w:rPr>
          <w:rFonts w:ascii="宋体" w:hAnsi="宋体" w:hint="eastAsia"/>
          <w:szCs w:val="21"/>
        </w:rPr>
      </w:pPr>
      <w:r>
        <w:rPr>
          <w:rFonts w:hint="eastAsia"/>
          <w:bCs/>
        </w:rPr>
        <w:t>（1）代表投标人进行述标的述标人应是投标人的正式员工。如采取现场方式述标，述标人应持</w:t>
      </w:r>
      <w:r>
        <w:rPr>
          <w:rFonts w:ascii="宋体" w:hAnsi="宋体" w:hint="eastAsia"/>
          <w:bCs/>
          <w:szCs w:val="21"/>
        </w:rPr>
        <w:t>有委托其述标的委托书（见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pPr>
        <w:pStyle w:val="10"/>
        <w:numPr>
          <w:ilvl w:val="0"/>
          <w:numId w:val="0"/>
        </w:numPr>
        <w:tabs>
          <w:tab w:val="left" w:pos="709"/>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（6）投标人放弃述标不影响其投标的有效性。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（4）根据1.26.8条修正后的分项报价表总价金额小于开标一览表总价金额；</w:t>
      </w:r>
    </w:p>
    <w:p>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（5）根据1.26.8条修正后的分项报价表总价金额大于开标一览表总价金额，评标委员会按1.27条规定的程序要求其对单价进行调整，并使其分项报价表总价金额等于开标一览表总价金额时，投标人</w:t>
      </w:r>
      <w:r>
        <w:rPr>
          <w:rFonts w:ascii="宋体" w:eastAsia="拒绝" w:hAnsi="宋体" w:hint="eastAsia"/>
          <w:szCs w:val="21"/>
        </w:rPr>
        <w:t>拒绝</w:t>
      </w:r>
      <w:r>
        <w:rPr>
          <w:rFonts w:ascii="宋体" w:hAnsi="宋体" w:hint="eastAsia"/>
          <w:szCs w:val="21"/>
        </w:rPr>
        <w:t>调整的；</w:t>
      </w:r>
    </w:p>
    <w:p>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1.27投标的澄清</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1.27.3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1.28对投标文件的详细评审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投标产品质量、售后服务、价格等各项因素作为评价的基础，综合评选出最佳投标方案。每一投标人的最终得分为评标委员会所有成员给其评分的算数平均值。其中：</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（1）业绩。投标人类似项目的业绩等；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w:t>
      </w:r>
      <w:r>
        <w:t>2</w:t>
      </w:r>
      <w:r>
        <w:rPr>
          <w:rFonts w:hint="eastAsia"/>
        </w:rPr>
        <w:t>）投标产品技术性能及质量。包括对招标文件应答情况，技术规格有无偏离，产品的性能、标准，产品的先进性、可靠性、稳定性及质量保证等；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（3）售后服务。包括投标人在项目所在地所能提供的售后服务、技术支持机构的情况、售后服务承诺及售后服务人员情况等；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（4）评审价格。开标一览表中该投标人的投标总价。如本项目</w:t>
      </w:r>
      <w:r>
        <w:rPr>
          <w:rFonts w:hint="eastAsia"/>
          <w:bCs/>
        </w:rPr>
        <w:t>不是专门或部分面向中小企业采购的项目，小微企业享受价格扣除优惠，用扣除后的价格参与评审。具体见1.5.4</w:t>
      </w:r>
      <w:r>
        <w:rPr>
          <w:rFonts w:hint="eastAsia"/>
        </w:rPr>
        <w:t>及</w:t>
      </w:r>
      <w:r>
        <w:rPr>
          <w:rFonts w:hint="eastAsia"/>
          <w:b/>
        </w:rPr>
        <w:t>第六章评标方法和评标标准。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1.28.4提供相同品牌产品且通过资格审查、符合性审查的不同投标人参加同一合同项下投标的，按一家投标人计算，评审后得分最高的同品牌投标人获得中标人推荐资格；评审得分相同的，投标报价低的获得中标人推荐资格，其他同品牌投标人不作为中标候选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非单一产品采购项目，采购人应当根据采购项目技术构成、产品价格比重等合理确定核心产品。不同投标人提供的核心产品品牌相同的，按前款规定处理。本项目是否设有核心产品，详见</w:t>
      </w:r>
      <w:r>
        <w:rPr>
          <w:rFonts w:hint="eastAsia"/>
          <w:b/>
          <w:bCs/>
        </w:rPr>
        <w:t>第五章投标人须知专用部分。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1.29确定中标人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1.29.3采购人也可授权评标委员会按本条规定直接确定中标人。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1.30评审过程要求</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1.32采购项目废标</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（2）通过资格审查的投标人不足3家；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（4）出现影响采购公正的违法、违规行为的。</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1.33中标通知</w:t>
      </w:r>
    </w:p>
    <w:p>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规格型号、数量、单价、服务要求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1.33.3中标通知书是合同的组成部分。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1.34合同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1.34.6违反1.34.4、1.34.5条的规定，给对方造成损失的，应承担赔偿责任。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pPr>
        <w:pStyle w:val="10"/>
        <w:numPr>
          <w:ilvl w:val="0"/>
          <w:numId w:val="0"/>
        </w:numPr>
        <w:tabs>
          <w:tab w:val="left" w:pos="709"/>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投标人或潜在投标人针对同一采购程序环节的质疑须一次性提出。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3</w:t>
      </w:r>
      <w:r>
        <w:t>）具体、明确的质疑事项和与质疑事项相关的请求；</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4</w:t>
      </w:r>
      <w:r>
        <w:t>）事实依据；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5</w:t>
      </w:r>
      <w:r>
        <w:t>）必要的法律依据；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6</w:t>
      </w:r>
      <w:r>
        <w:t>）提出质疑的日期。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质疑函范本可在中国政府采购网下载。</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1.37.6有下列情形之一的，属于无效质疑，采购中心可不予受理：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（1）未在有效期限内提出质疑的；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（2）质疑未以书面形式提出的；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（3）质疑函不符合1.37.4要求或财政部规章要求，内容不完整的；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（4）质疑事项已经进入投诉或者诉讼程序的；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（5）质疑缺乏事实和法律依据的；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pPr>
        <w:pStyle w:val="10"/>
        <w:numPr>
          <w:ilvl w:val="0"/>
          <w:numId w:val="0"/>
        </w:numPr>
        <w:tabs>
          <w:tab w:val="left" w:pos="709"/>
          <w:tab w:val="left" w:pos="1573"/>
        </w:tabs>
        <w:adjustRightInd w:val="0"/>
        <w:snapToGrid w:val="0"/>
        <w:spacing w:line="360" w:lineRule="auto"/>
      </w:pPr>
      <w:r>
        <w:rPr>
          <w:rFonts w:hint="eastAsia"/>
        </w:rPr>
        <w:t xml:space="preserve">    （8）其它不符合受理条件的情形。</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pPr>
        <w:pStyle w:val="10"/>
        <w:numPr>
          <w:ilvl w:val="0"/>
          <w:numId w:val="0"/>
        </w:numPr>
        <w:tabs>
          <w:tab w:val="left" w:pos="709"/>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投诉书范本可在中国政府采购网下载。</w:t>
      </w:r>
    </w:p>
    <w:p>
      <w:pPr>
        <w:pStyle w:val="10"/>
        <w:numPr>
          <w:ilvl w:val="0"/>
          <w:numId w:val="0"/>
        </w:numPr>
        <w:tabs>
          <w:tab w:val="left" w:pos="709"/>
          <w:tab w:val="left" w:pos="1573"/>
        </w:tabs>
        <w:adjustRightInd w:val="0"/>
        <w:snapToGrid w:val="0"/>
        <w:spacing w:line="360" w:lineRule="auto"/>
        <w:ind w:left="984" w:hanging="598" w:leftChars="184" w:hangingChars="285"/>
        <w:outlineLvl w:val="2"/>
        <w:rPr>
          <w:b/>
        </w:rPr>
      </w:pPr>
      <w:r>
        <w:rPr>
          <w:rFonts w:hint="eastAsia"/>
          <w:b/>
        </w:rPr>
        <w:t>九、保密和披露</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p>
      <w:pPr>
        <w:pStyle w:val="10"/>
        <w:numPr>
          <w:ilvl w:val="0"/>
          <w:numId w:val="0"/>
        </w:numPr>
        <w:tabs>
          <w:tab w:val="left" w:pos="709"/>
          <w:tab w:val="left" w:pos="1573"/>
        </w:tabs>
        <w:adjustRightInd w:val="0"/>
        <w:snapToGrid w:val="0"/>
        <w:spacing w:line="360" w:lineRule="auto"/>
        <w:ind w:firstLine="420" w:firstLineChars="200"/>
      </w:pPr>
      <w:bookmarkEnd w:id="5"/>
      <w:r>
        <w:rPr>
          <w:rFonts w:hint="eastAsia"/>
        </w:rPr>
        <w:t>1.39.1投标人自领取招标文件之日起，须履行本招标项目下保密义务，不得将因本次招标获得的信息向第三人外传。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bookmarkEnd w:id="3"/>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1.40供应商诚信评价</w:t>
      </w:r>
    </w:p>
    <w:p>
      <w:pPr>
        <w:tabs>
          <w:tab w:val="left" w:pos="1573"/>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pPr>
        <w:tabs>
          <w:tab w:val="left" w:pos="1573"/>
        </w:tabs>
        <w:adjustRightInd w:val="0"/>
        <w:snapToGrid w:val="0"/>
        <w:spacing w:line="360" w:lineRule="auto"/>
        <w:ind w:firstLine="210" w:firstLineChars="100"/>
        <w:jc w:val="center"/>
        <w:rPr>
          <w:bCs/>
          <w:szCs w:val="44"/>
        </w:rPr>
      </w:pPr>
      <w:r>
        <w:br w:type="page"/>
      </w:r>
      <w:r>
        <w:rPr>
          <w:rFonts w:hint="eastAsia"/>
          <w:b/>
          <w:bCs/>
          <w:sz w:val="30"/>
          <w:szCs w:val="30"/>
        </w:rPr>
        <w:t>第二章  投标文件格式</w:t>
      </w:r>
    </w:p>
    <w:p>
      <w:pPr>
        <w:pStyle w:val="10"/>
        <w:numPr>
          <w:ilvl w:val="0"/>
          <w:numId w:val="0"/>
        </w:numPr>
        <w:tabs>
          <w:tab w:val="left" w:pos="709"/>
          <w:tab w:val="left" w:pos="1573"/>
        </w:tabs>
        <w:spacing w:line="360" w:lineRule="auto"/>
        <w:ind w:firstLine="420" w:firstLineChars="200"/>
        <w:rPr>
          <w:szCs w:val="44"/>
        </w:rPr>
      </w:pPr>
    </w:p>
    <w:p>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pPr>
        <w:tabs>
          <w:tab w:val="left" w:pos="709"/>
          <w:tab w:val="left" w:pos="1573"/>
        </w:tabs>
        <w:adjustRightInd w:val="0"/>
        <w:snapToGrid w:val="0"/>
        <w:spacing w:line="360" w:lineRule="auto"/>
        <w:ind w:firstLine="420" w:firstLineChars="200"/>
        <w:rPr>
          <w:rFonts w:ascii="宋体" w:hAnsi="宋体"/>
          <w:bCs/>
          <w:szCs w:val="44"/>
        </w:rPr>
      </w:pPr>
      <w:r>
        <w:rPr>
          <w:rFonts w:ascii="宋体" w:hAnsi="宋体" w:hint="eastAsia"/>
          <w:b/>
          <w:bCs/>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pPr>
        <w:pStyle w:val="10"/>
        <w:numPr>
          <w:ilvl w:val="0"/>
          <w:numId w:val="0"/>
        </w:numPr>
        <w:tabs>
          <w:tab w:val="left" w:pos="709"/>
          <w:tab w:val="left" w:pos="1573"/>
        </w:tabs>
        <w:adjustRightInd w:val="0"/>
        <w:snapToGrid w:val="0"/>
        <w:spacing w:line="360" w:lineRule="auto"/>
        <w:ind w:firstLine="420" w:firstLineChars="200"/>
        <w:rPr>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pPr>
      <w:bookmarkStart w:id="8" w:name="插入_投标文件商务部分"/>
      <w:r>
        <w:rPr>
          <w:rFonts w:ascii="宋体" w:eastAsia="宋体" w:hAnsi="宋体" w:cs="Times New Roman" w:hint="eastAsia"/>
          <w:b/>
          <w:szCs w:val="20"/>
          <w:highlight w:val="none"/>
        </w:rPr>
        <w:t>2.6法定代表人身份证明或授权委托书</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r>
        <w:rPr>
          <w:rFonts w:ascii="Times New Roman" w:eastAsia="宋体" w:hAnsi="Times New Roman" w:cs="Times New Roman" w:hint="eastAsia"/>
          <w:szCs w:val="20"/>
          <w:highlight w:val="none"/>
        </w:rPr>
        <w:t>在格式文本中，</w:t>
      </w:r>
      <w:r>
        <w:rPr>
          <w:rFonts w:ascii="宋体" w:eastAsia="宋体" w:hAnsi="宋体" w:cs="Times New Roman" w:hint="eastAsia"/>
          <w:szCs w:val="21"/>
          <w:highlight w:val="none"/>
        </w:rPr>
        <w:t>除可填报内容外，任何实质性修改将被视为非实质性响应投标，从而导致该投标被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pPr>
        <w:tabs>
          <w:tab w:val="left" w:pos="5580"/>
        </w:tabs>
        <w:adjustRightInd w:val="0"/>
        <w:snapToGrid w:val="0"/>
        <w:spacing w:line="360" w:lineRule="auto"/>
        <w:ind w:firstLine="420" w:firstLineChars="200"/>
        <w:jc w:val="left"/>
        <w:outlineLvl w:val="4"/>
        <w:rPr>
          <w:rFonts w:ascii="华文楷体" w:eastAsia="华文楷体" w:hAnsi="华文楷体" w:cs="Times New Roman" w:hint="eastAsia"/>
          <w:szCs w:val="21"/>
          <w:highlight w:val="none"/>
        </w:rPr>
      </w:pPr>
      <w:r>
        <w:rPr>
          <w:rFonts w:ascii="宋体" w:eastAsia="宋体" w:hAnsi="宋体" w:cs="Times New Roman" w:hint="eastAsia"/>
          <w:b/>
          <w:szCs w:val="21"/>
          <w:highlight w:val="none"/>
        </w:rPr>
        <w:t>2.6.1</w:t>
      </w:r>
      <w:r>
        <w:rPr>
          <w:rFonts w:ascii="华文楷体" w:eastAsia="华文楷体" w:hAnsi="华文楷体" w:cs="Times New Roman" w:hint="eastAsia"/>
          <w:szCs w:val="21"/>
          <w:highlight w:val="none"/>
        </w:rPr>
        <w:t>如法定代表人直接办理此项目投标事务，按如下格式提供：</w:t>
      </w:r>
    </w:p>
    <w:p>
      <w:pPr>
        <w:tabs>
          <w:tab w:val="left" w:pos="5580"/>
        </w:tabs>
        <w:adjustRightInd w:val="0"/>
        <w:snapToGrid w:val="0"/>
        <w:spacing w:line="360" w:lineRule="auto"/>
        <w:jc w:val="center"/>
        <w:rPr>
          <w:rFonts w:ascii="华文楷体" w:eastAsia="华文楷体" w:hAnsi="华文楷体" w:cs="Times New Roman" w:hint="eastAsia"/>
          <w:b/>
          <w:szCs w:val="21"/>
          <w:highlight w:val="none"/>
        </w:rPr>
      </w:pPr>
    </w:p>
    <w:p>
      <w:pPr>
        <w:tabs>
          <w:tab w:val="left" w:pos="5580"/>
        </w:tabs>
        <w:adjustRightInd w:val="0"/>
        <w:snapToGrid w:val="0"/>
        <w:spacing w:line="360" w:lineRule="auto"/>
        <w:jc w:val="center"/>
        <w:rPr>
          <w:rFonts w:ascii="华文楷体" w:eastAsia="华文楷体" w:hAnsi="华文楷体" w:cs="Times New Roman"/>
          <w:b/>
          <w:szCs w:val="21"/>
          <w:highlight w:val="none"/>
        </w:rPr>
      </w:pPr>
      <w:r>
        <w:rPr>
          <w:rFonts w:ascii="华文楷体" w:eastAsia="华文楷体" w:hAnsi="华文楷体" w:cs="Times New Roman" w:hint="eastAsia"/>
          <w:b/>
          <w:szCs w:val="21"/>
          <w:highlight w:val="none"/>
        </w:rPr>
        <w:t>法定代表人（单位负责人）身份证明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widowControl/>
        <w:adjustRightInd w:val="0"/>
        <w:snapToGrid w:val="0"/>
        <w:spacing w:line="360" w:lineRule="auto"/>
        <w:ind w:firstLine="420" w:firstLineChars="200"/>
        <w:jc w:val="left"/>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投标人名称：</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姓名：</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szCs w:val="21"/>
          <w:highlight w:val="none"/>
        </w:rPr>
        <w:t>性别：</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ab/>
      </w:r>
      <w:r>
        <w:rPr>
          <w:rFonts w:ascii="华文楷体" w:eastAsia="华文楷体" w:hAnsi="华文楷体" w:cs="Times New Roman" w:hint="eastAsia"/>
          <w:szCs w:val="21"/>
          <w:highlight w:val="none"/>
        </w:rPr>
        <w:t>职务：</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szCs w:val="21"/>
          <w:highlight w:val="none"/>
        </w:rPr>
        <w:tab/>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系</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hint="eastAsia"/>
          <w:szCs w:val="21"/>
          <w:highlight w:val="none"/>
        </w:rPr>
        <w:t>（投标人名称）的法定代表人（单位负责人）。</w:t>
      </w:r>
    </w:p>
    <w:p>
      <w:pPr>
        <w:widowControl/>
        <w:adjustRightInd w:val="0"/>
        <w:snapToGrid w:val="0"/>
        <w:spacing w:line="360" w:lineRule="auto"/>
        <w:ind w:firstLine="840" w:firstLineChars="4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特此证明。</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投标人（电子签章）：</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附：法定代表人（单位负责人）身份证复印件。</w:t>
      </w:r>
      <w:r>
        <w:rPr>
          <w:rFonts w:ascii="华文楷体" w:eastAsia="华文楷体" w:hAnsi="华文楷体" w:cs="Times New Roman"/>
          <w:szCs w:val="21"/>
          <w:highlight w:val="non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p>
    <w:p>
      <w:pPr>
        <w:tabs>
          <w:tab w:val="left" w:pos="1573"/>
        </w:tabs>
        <w:adjustRightInd w:val="0"/>
        <w:snapToGrid w:val="0"/>
        <w:spacing w:line="360" w:lineRule="auto"/>
        <w:ind w:firstLine="420" w:firstLineChars="200"/>
        <w:outlineLvl w:val="4"/>
        <w:rPr>
          <w:rFonts w:ascii="宋体" w:eastAsia="宋体" w:hAnsi="宋体" w:cs="Times New Roman" w:hint="eastAsia"/>
          <w:bCs/>
          <w:szCs w:val="20"/>
          <w:highlight w:val="none"/>
        </w:rPr>
      </w:pPr>
      <w:r>
        <w:rPr>
          <w:rFonts w:ascii="宋体" w:eastAsia="宋体" w:hAnsi="宋体" w:cs="Times New Roman" w:hint="eastAsia"/>
          <w:b/>
          <w:bCs/>
          <w:szCs w:val="20"/>
          <w:highlight w:val="none"/>
        </w:rPr>
        <w:t>2.6.2</w:t>
      </w:r>
      <w:r>
        <w:rPr>
          <w:rFonts w:ascii="华文楷体" w:eastAsia="华文楷体" w:hAnsi="华文楷体" w:cs="Times New Roman" w:hint="eastAsia"/>
          <w:szCs w:val="21"/>
          <w:highlight w:val="none"/>
        </w:rPr>
        <w:t>如法定代表人授权他人办理此项目投标事务，按如下格式提供：</w:t>
      </w:r>
    </w:p>
    <w:p>
      <w:pPr>
        <w:tabs>
          <w:tab w:val="left" w:pos="1573"/>
        </w:tabs>
        <w:adjustRightInd w:val="0"/>
        <w:snapToGrid w:val="0"/>
        <w:spacing w:line="360" w:lineRule="auto"/>
        <w:ind w:firstLine="420" w:firstLineChars="200"/>
        <w:rPr>
          <w:rFonts w:ascii="宋体" w:eastAsia="宋体" w:hAnsi="宋体" w:cs="Times New Roman"/>
          <w:bCs/>
          <w:szCs w:val="20"/>
          <w:highlight w:val="none"/>
        </w:rPr>
      </w:pPr>
    </w:p>
    <w:p>
      <w:pPr>
        <w:tabs>
          <w:tab w:val="left" w:pos="5580"/>
        </w:tabs>
        <w:adjustRightInd w:val="0"/>
        <w:snapToGrid w:val="0"/>
        <w:spacing w:line="360" w:lineRule="auto"/>
        <w:jc w:val="center"/>
        <w:rPr>
          <w:rFonts w:ascii="华文楷体" w:eastAsia="华文楷体" w:hAnsi="华文楷体" w:cs="Times New Roman"/>
          <w:b/>
          <w:bCs/>
          <w:szCs w:val="21"/>
          <w:highlight w:val="none"/>
          <w:u w:val="single"/>
        </w:rPr>
      </w:pPr>
      <w:r>
        <w:rPr>
          <w:rFonts w:ascii="华文楷体" w:eastAsia="华文楷体" w:hAnsi="华文楷体" w:cs="Times New Roman" w:hint="eastAsia"/>
          <w:b/>
          <w:szCs w:val="21"/>
          <w:highlight w:val="none"/>
        </w:rPr>
        <w:t>法定代表人（单位负责人）</w:t>
      </w:r>
      <w:r>
        <w:rPr>
          <w:rFonts w:ascii="华文楷体" w:eastAsia="华文楷体" w:hAnsi="华文楷体" w:cs="Times New Roman" w:hint="eastAsia"/>
          <w:b/>
          <w:bCs/>
          <w:szCs w:val="21"/>
          <w:highlight w:val="none"/>
        </w:rPr>
        <w:t>授权委托书</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u w:val="single"/>
        </w:rPr>
        <w:t>中国气象局政府采购中心</w:t>
      </w:r>
      <w:r>
        <w:rPr>
          <w:rFonts w:ascii="华文楷体" w:eastAsia="华文楷体" w:hAnsi="华文楷体" w:cs="Times New Roman" w:hint="eastAsia"/>
          <w:szCs w:val="21"/>
          <w:highlight w:val="none"/>
        </w:rPr>
        <w:t>：</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本授权书声明：</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(投标人全称)的</w:t>
      </w:r>
      <w:r>
        <w:rPr>
          <w:rFonts w:ascii="华文楷体" w:eastAsia="华文楷体" w:hAnsi="华文楷体" w:cs="Times New Roman" w:hint="eastAsia"/>
          <w:szCs w:val="21"/>
          <w:highlight w:val="none"/>
        </w:rPr>
        <w:t>法定代表人（单位负责人）</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b/>
          <w:bCs/>
          <w:szCs w:val="21"/>
          <w:highlight w:val="none"/>
        </w:rPr>
        <w:t>法定代表人姓名、职务</w:t>
      </w:r>
      <w:r>
        <w:rPr>
          <w:rFonts w:ascii="华文楷体" w:eastAsia="华文楷体" w:hAnsi="华文楷体" w:cs="Times New Roman" w:hint="eastAsia"/>
          <w:szCs w:val="21"/>
          <w:highlight w:val="none"/>
        </w:rPr>
        <w:t>）授权</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(投标人授权代表姓名)</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职务、职称)</w:t>
      </w:r>
      <w:r>
        <w:rPr>
          <w:rFonts w:ascii="华文楷体" w:eastAsia="华文楷体" w:hAnsi="华文楷体" w:cs="Times New Roman" w:hint="eastAsia"/>
          <w:szCs w:val="21"/>
          <w:highlight w:val="none"/>
        </w:rPr>
        <w:t>为本公司合法代理人</w:t>
      </w:r>
      <w:r>
        <w:rPr>
          <w:rFonts w:ascii="华文楷体" w:eastAsia="华文楷体" w:hAnsi="华文楷体" w:cs="Times New Roman" w:hint="eastAsia"/>
          <w:b/>
          <w:bCs/>
          <w:szCs w:val="21"/>
          <w:highlight w:val="none"/>
        </w:rPr>
        <w:t>，</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（包号），并以本公司名义处理一切与之有关的事务，其法律后果由本公司承担。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代理人无转委托权。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投标人(电子签章)：</w:t>
      </w:r>
      <w:r>
        <w:rPr>
          <w:rFonts w:ascii="华文楷体" w:eastAsia="华文楷体" w:hAnsi="华文楷体" w:cs="Times New Roman" w:hint="eastAsia"/>
          <w:bCs/>
          <w:szCs w:val="21"/>
          <w:highlight w:val="none"/>
        </w:rPr>
        <w:t xml:space="preserve"> </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法定代表人（单位负责人）（签字或盖章）：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投标人授权代表(签字或盖章)：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附：授权代表身份证复印件</w:t>
      </w:r>
    </w:p>
    <w:p>
      <w:pPr>
        <w:rPr>
          <w:highlight w:val="none"/>
        </w:rPr>
      </w:pPr>
      <w:r>
        <w:rPr>
          <w:rFonts w:ascii="华文楷体" w:eastAsia="华文楷体" w:hAnsi="华文楷体" w:cs="Times New Roman" w:hint="eastAsia"/>
          <w:szCs w:val="21"/>
          <w:highlight w:val="none"/>
        </w:rPr>
        <w:t>注：本授权委托书需由</w:t>
      </w:r>
      <w:r>
        <w:rPr>
          <w:rFonts w:ascii="华文楷体" w:eastAsia="华文楷体" w:hAnsi="华文楷体" w:cs="Times New Roman" w:hint="eastAsia"/>
          <w:szCs w:val="21"/>
          <w:highlight w:val="none"/>
        </w:rPr>
        <w:t>投标人</w:t>
      </w:r>
      <w:r>
        <w:rPr>
          <w:rFonts w:ascii="华文楷体" w:eastAsia="华文楷体" w:hAnsi="华文楷体" w:cs="Times New Roman" w:hint="eastAsia"/>
          <w:szCs w:val="21"/>
          <w:highlight w:val="none"/>
        </w:rPr>
        <w:t>加盖单位公章并由其法定代表人（单位负责人）和授权代表签字或盖章。</w:t>
      </w:r>
      <w:r>
        <w:rPr>
          <w:rFonts w:ascii="华文楷体" w:eastAsia="华文楷体" w:hAnsi="华文楷体" w:cs="Times New Roman" w:hint="eastAsia"/>
          <w:szCs w:val="20"/>
          <w:highlight w:val="none"/>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3.截止到投标截止日，所投货物中无国家法律、法规、政策禁止采购人采购的货物，也未使用国家法律、法规、政策禁止采购人采购的货物作为零件。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4.按招标文件要求提供和交付的货物和服务的投标报价详见开标一览表。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5.完全理解投标报价超过预算金额或最高限价时，投标无效。</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开标一览表或投标文件中未注明出处的优惠金额可由采购人按用户利益最大化原则分摊到主要设备费用中，折算后的价格作为维保和追加设备的计费依据，其集成费、服务费、培训费等非设备费用将保持原值不变。</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7.保证忠实地执行双方所签订的合同，并承担合同规定的责任和义务。</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8.完全理解招标文件中的各项商务和技术要求，若有偏差，已在投标文件商务条款和技术要求偏离表中予以明确特别说明。</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9.完全理解贵方不一定接受最低价的投标或收到的任何投标。</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10.愿意向贵方提供任何与本项投标有关的数据、情况和技术资料。若贵方需要，我方愿意提供我方作出的一切承诺的证明材料。</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11.我方已详细审核全部投标文件，包括投标文件修改书（如有的话）、参考资料及有关附件，确认无误。</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12.采购人若需追加采购本项目招标文件所列货物及相关服务的，在不改变合同其他实质性条款的前提下，按相同或更优惠的折扣率保证供货。</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13.接受招标文件中合同条款的全部条款且无任何异议。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14.本次投标没有与其他投标人相互串通，没有组织或参与陪标、围标、串标等法律禁止行为。</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_______</w:t>
      </w:r>
      <w:r>
        <w:rPr>
          <w:rFonts w:ascii="华文楷体" w:eastAsia="华文楷体" w:hAnsi="华文楷体" w:cs="Times New Roman" w:hint="eastAsia"/>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firstLine="420" w:firstLineChars="200"/>
        <w:rPr>
          <w:rFonts w:ascii="宋体" w:eastAsia="宋体" w:hAnsi="宋体" w:cs="Times New Roman" w:hint="eastAsia"/>
          <w:b/>
          <w:szCs w:val="21"/>
        </w:rPr>
      </w:pPr>
    </w:p>
    <w:p>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单位名称</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统一社会信用代码</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详细地址</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主管部门</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rPr>
              <w:t>授权代表</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组织形式</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hint="eastAsia"/>
              </w:rPr>
              <w:t>企业类型</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hint="eastAsia"/>
              </w:rPr>
              <w:t>所属行业</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单位优势及特长</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单位概况</w:t>
            </w:r>
          </w:p>
        </w:tc>
        <w:tc>
          <w:tcPr>
            <w:tcW w:w="678" w:type="pct"/>
            <w:vMerge w:val="restart"/>
            <w:vAlign w:val="center"/>
          </w:tcPr>
          <w:p>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vAlign w:val="center"/>
          </w:tcPr>
          <w:p>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tcPr>
          <w:p>
            <w:pPr>
              <w:ind w:right="-42" w:rightChars="-20"/>
              <w:rPr>
                <w:rFonts w:ascii="Arial" w:eastAsia="黑体" w:hAnsi="Arial" w:cs="Arial"/>
              </w:rPr>
            </w:pPr>
            <w:r>
              <w:rPr>
                <w:rFonts w:ascii="Arial" w:eastAsia="黑体" w:hAnsi="Arial" w:cs="Arial" w:hint="eastAsia"/>
              </w:rPr>
              <w:t>管理人员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jc w:val="center"/>
              <w:rPr>
                <w:rFonts w:ascii="Arial" w:eastAsia="黑体" w:hAnsi="Arial" w:cs="Arial"/>
              </w:rPr>
            </w:pPr>
          </w:p>
        </w:tc>
        <w:tc>
          <w:tcPr>
            <w:tcW w:w="940" w:type="pct"/>
            <w:gridSpan w:val="3"/>
            <w:vMerge/>
            <w:vAlign w:val="center"/>
          </w:tcPr>
          <w:p>
            <w:pPr>
              <w:snapToGrid w:val="0"/>
              <w:ind w:right="-42" w:rightChars="-20"/>
              <w:jc w:val="center"/>
              <w:rPr>
                <w:rFonts w:ascii="Arial" w:eastAsia="黑体" w:hAnsi="Arial" w:cs="Arial"/>
              </w:rPr>
            </w:pPr>
          </w:p>
        </w:tc>
        <w:tc>
          <w:tcPr>
            <w:tcW w:w="2586" w:type="pct"/>
            <w:gridSpan w:val="4"/>
          </w:tcPr>
          <w:p>
            <w:pPr>
              <w:ind w:right="-42" w:rightChars="-20"/>
              <w:rPr>
                <w:rFonts w:ascii="Arial" w:eastAsia="黑体" w:hAnsi="Arial" w:cs="Arial"/>
              </w:rPr>
            </w:pPr>
            <w:r>
              <w:rPr>
                <w:rFonts w:ascii="Arial" w:eastAsia="黑体" w:hAnsi="Arial" w:cs="Arial" w:hint="eastAsia"/>
              </w:rPr>
              <w:t>技术人员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vAlign w:val="center"/>
          </w:tcPr>
          <w:p>
            <w:pPr>
              <w:ind w:right="-42" w:rightChars="-20"/>
              <w:jc w:val="center"/>
              <w:rPr>
                <w:rFonts w:ascii="Arial" w:eastAsia="黑体" w:hAnsi="Arial" w:cs="Arial"/>
              </w:rPr>
            </w:pPr>
            <w:r>
              <w:rPr>
                <w:rFonts w:ascii="Arial" w:eastAsia="黑体" w:hAnsi="Arial" w:cs="Arial"/>
              </w:rPr>
              <w:t>中级职称</w:t>
            </w:r>
          </w:p>
        </w:tc>
        <w:tc>
          <w:tcPr>
            <w:tcW w:w="757" w:type="pct"/>
            <w:vAlign w:val="center"/>
          </w:tcPr>
          <w:p>
            <w:pPr>
              <w:ind w:right="-42" w:rightChars="-20"/>
              <w:jc w:val="center"/>
              <w:rPr>
                <w:rFonts w:ascii="Arial" w:eastAsia="黑体" w:hAnsi="Arial" w:cs="Arial"/>
              </w:rPr>
            </w:pPr>
            <w:r>
              <w:rPr>
                <w:rFonts w:ascii="Arial" w:eastAsia="黑体" w:hAnsi="Arial" w:cs="Arial"/>
              </w:rPr>
              <w:t>初级职称</w:t>
            </w:r>
          </w:p>
        </w:tc>
        <w:tc>
          <w:tcPr>
            <w:tcW w:w="1023" w:type="pct"/>
            <w:vAlign w:val="center"/>
          </w:tcPr>
          <w:p>
            <w:pPr>
              <w:ind w:right="-42" w:rightChars="-20"/>
              <w:jc w:val="center"/>
              <w:rPr>
                <w:rFonts w:ascii="Arial" w:eastAsia="黑体" w:hAnsi="Arial" w:cs="Arial"/>
              </w:rPr>
            </w:pPr>
            <w:r>
              <w:rPr>
                <w:rFonts w:ascii="Arial" w:eastAsia="黑体" w:hAnsi="Arial" w:cs="Arial"/>
              </w:rPr>
              <w:t>技工</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人数</w:t>
            </w:r>
          </w:p>
        </w:tc>
        <w:tc>
          <w:tcPr>
            <w:tcW w:w="940" w:type="pct"/>
            <w:gridSpan w:val="3"/>
          </w:tcPr>
          <w:p>
            <w:pPr>
              <w:snapToGrid w:val="0"/>
              <w:ind w:right="-42" w:rightChars="-20"/>
              <w:rPr>
                <w:rFonts w:ascii="Arial" w:eastAsia="黑体" w:hAnsi="Arial" w:cs="Arial"/>
              </w:rPr>
            </w:pPr>
          </w:p>
        </w:tc>
        <w:tc>
          <w:tcPr>
            <w:tcW w:w="806" w:type="pct"/>
            <w:gridSpan w:val="2"/>
          </w:tcPr>
          <w:p>
            <w:pPr>
              <w:ind w:right="-42" w:rightChars="-20"/>
              <w:rPr>
                <w:rFonts w:ascii="Arial" w:eastAsia="黑体" w:hAnsi="Arial" w:cs="Arial"/>
              </w:rPr>
            </w:pPr>
          </w:p>
        </w:tc>
        <w:tc>
          <w:tcPr>
            <w:tcW w:w="757" w:type="pct"/>
          </w:tcPr>
          <w:p>
            <w:pPr>
              <w:ind w:right="-42" w:rightChars="-20"/>
              <w:rPr>
                <w:rFonts w:ascii="Arial" w:eastAsia="黑体" w:hAnsi="Arial" w:cs="Arial"/>
              </w:rPr>
            </w:pPr>
          </w:p>
        </w:tc>
        <w:tc>
          <w:tcPr>
            <w:tcW w:w="1023" w:type="pct"/>
          </w:tcPr>
          <w:p>
            <w:pPr>
              <w:ind w:right="-42" w:rightChars="-20"/>
              <w:rPr>
                <w:rFonts w:ascii="Arial" w:eastAsia="黑体"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restart"/>
            <w:vAlign w:val="center"/>
          </w:tcPr>
          <w:p>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vAlign w:val="center"/>
          </w:tcPr>
          <w:p>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vAlign w:val="center"/>
          </w:tcPr>
          <w:p>
            <w:pPr>
              <w:ind w:right="-42" w:rightChars="-20"/>
              <w:jc w:val="center"/>
              <w:rPr>
                <w:rFonts w:ascii="Arial" w:eastAsia="黑体" w:hAnsi="Arial" w:cs="Arial"/>
              </w:rPr>
            </w:pPr>
            <w:r>
              <w:rPr>
                <w:rFonts w:ascii="Arial" w:eastAsia="黑体" w:hAnsi="Arial" w:cs="Arial"/>
              </w:rPr>
              <w:t>资金来源</w:t>
            </w:r>
          </w:p>
        </w:tc>
        <w:tc>
          <w:tcPr>
            <w:tcW w:w="757" w:type="pct"/>
            <w:vAlign w:val="center"/>
          </w:tcPr>
          <w:p>
            <w:pPr>
              <w:ind w:right="-42" w:rightChars="-20"/>
              <w:jc w:val="center"/>
              <w:rPr>
                <w:rFonts w:ascii="Arial" w:eastAsia="黑体" w:hAnsi="Arial" w:cs="Arial"/>
              </w:rPr>
            </w:pPr>
            <w:r>
              <w:rPr>
                <w:rFonts w:ascii="Arial" w:eastAsia="黑体" w:hAnsi="Arial" w:cs="Arial"/>
              </w:rPr>
              <w:t>自有资金</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rPr>
                <w:rFonts w:ascii="Arial" w:eastAsia="黑体" w:hAnsi="Arial" w:cs="Arial"/>
              </w:rPr>
            </w:pPr>
          </w:p>
        </w:tc>
        <w:tc>
          <w:tcPr>
            <w:tcW w:w="940" w:type="pct"/>
            <w:gridSpan w:val="3"/>
            <w:vMerge/>
            <w:vAlign w:val="center"/>
          </w:tcPr>
          <w:p>
            <w:pPr>
              <w:snapToGrid w:val="0"/>
              <w:ind w:right="-42" w:rightChars="-20"/>
              <w:rPr>
                <w:rFonts w:ascii="Arial" w:eastAsia="黑体" w:hAnsi="Arial" w:cs="Arial"/>
              </w:rPr>
            </w:pPr>
          </w:p>
        </w:tc>
        <w:tc>
          <w:tcPr>
            <w:tcW w:w="806" w:type="pct"/>
            <w:gridSpan w:val="2"/>
            <w:vMerge/>
            <w:vAlign w:val="center"/>
          </w:tcPr>
          <w:p>
            <w:pPr>
              <w:ind w:right="-42" w:rightChars="-20"/>
              <w:jc w:val="center"/>
              <w:rPr>
                <w:rFonts w:ascii="Arial" w:eastAsia="黑体" w:hAnsi="Arial" w:cs="Arial"/>
              </w:rPr>
            </w:pPr>
          </w:p>
        </w:tc>
        <w:tc>
          <w:tcPr>
            <w:tcW w:w="757" w:type="pct"/>
            <w:vAlign w:val="center"/>
          </w:tcPr>
          <w:p>
            <w:pPr>
              <w:ind w:right="-42" w:rightChars="-20"/>
              <w:jc w:val="center"/>
              <w:rPr>
                <w:rFonts w:ascii="Arial" w:eastAsia="黑体" w:hAnsi="Arial" w:cs="Arial"/>
              </w:rPr>
            </w:pPr>
            <w:r>
              <w:rPr>
                <w:rFonts w:ascii="Arial" w:eastAsia="黑体" w:hAnsi="Arial" w:cs="Arial"/>
              </w:rPr>
              <w:t>银行贷款</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原值</w:t>
            </w:r>
          </w:p>
        </w:tc>
        <w:tc>
          <w:tcPr>
            <w:tcW w:w="806" w:type="pct"/>
            <w:gridSpan w:val="2"/>
            <w:vAlign w:val="center"/>
          </w:tcPr>
          <w:p>
            <w:pPr>
              <w:ind w:right="-42" w:firstLine="630" w:rightChars="-20" w:firstLineChars="300"/>
              <w:jc w:val="right"/>
              <w:rPr>
                <w:rFonts w:ascii="Arial" w:eastAsia="黑体" w:hAnsi="Arial" w:cs="Arial"/>
              </w:rPr>
            </w:pPr>
            <w:r>
              <w:rPr>
                <w:rFonts w:ascii="Arial" w:eastAsia="黑体" w:hAnsi="Arial" w:cs="Arial"/>
              </w:rPr>
              <w:t>万元</w:t>
            </w:r>
          </w:p>
        </w:tc>
        <w:tc>
          <w:tcPr>
            <w:tcW w:w="757" w:type="pct"/>
            <w:vAlign w:val="center"/>
          </w:tcPr>
          <w:p>
            <w:pPr>
              <w:ind w:right="-42" w:rightChars="-20"/>
              <w:jc w:val="center"/>
              <w:rPr>
                <w:rFonts w:ascii="Arial" w:eastAsia="黑体" w:hAnsi="Arial" w:cs="Arial"/>
              </w:rPr>
            </w:pPr>
            <w:r>
              <w:rPr>
                <w:rFonts w:ascii="Arial" w:eastAsia="黑体" w:hAnsi="Arial" w:cs="Arial"/>
              </w:rPr>
              <w:t>净值</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企业财务状况</w:t>
            </w: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vAlign w:val="center"/>
          </w:tcPr>
          <w:p>
            <w:pPr>
              <w:ind w:right="-42" w:rightChars="-20"/>
              <w:jc w:val="center"/>
              <w:rPr>
                <w:rFonts w:ascii="Arial" w:eastAsia="黑体" w:hAnsi="Arial" w:cs="Arial"/>
              </w:rPr>
            </w:pPr>
            <w:r>
              <w:rPr>
                <w:rFonts w:ascii="Arial" w:eastAsia="黑体" w:hAnsi="Arial" w:cs="Arial"/>
              </w:rPr>
              <w:t>利润总额</w:t>
            </w:r>
          </w:p>
        </w:tc>
        <w:tc>
          <w:tcPr>
            <w:tcW w:w="757" w:type="pct"/>
            <w:vAlign w:val="center"/>
          </w:tcPr>
          <w:p>
            <w:pPr>
              <w:ind w:right="-42" w:rightChars="-20"/>
              <w:jc w:val="center"/>
              <w:rPr>
                <w:rFonts w:ascii="Arial" w:eastAsia="黑体" w:hAnsi="Arial" w:cs="Arial"/>
              </w:rPr>
            </w:pPr>
            <w:r>
              <w:rPr>
                <w:rFonts w:ascii="Arial" w:eastAsia="黑体" w:hAnsi="Arial" w:cs="Arial"/>
              </w:rPr>
              <w:t>税后利润</w:t>
            </w:r>
          </w:p>
        </w:tc>
        <w:tc>
          <w:tcPr>
            <w:tcW w:w="1023" w:type="pct"/>
            <w:vAlign w:val="center"/>
          </w:tcPr>
          <w:p>
            <w:pPr>
              <w:ind w:right="-42" w:rightChars="-20"/>
              <w:jc w:val="center"/>
              <w:rPr>
                <w:rFonts w:ascii="Arial" w:eastAsia="黑体" w:hAnsi="Arial" w:cs="Arial"/>
              </w:rPr>
            </w:pPr>
            <w:r>
              <w:rPr>
                <w:rFonts w:ascii="Arial" w:eastAsia="黑体" w:hAnsi="Arial" w:cs="Arial"/>
              </w:rPr>
              <w:t>负债总额</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vAlign w:val="center"/>
          </w:tcPr>
          <w:p>
            <w:pPr>
              <w:snapToGrid w:val="0"/>
              <w:ind w:right="-42" w:rightChars="-20"/>
              <w:rPr>
                <w:rFonts w:ascii="Arial" w:eastAsia="黑体" w:hAnsi="Arial" w:cs="Arial"/>
              </w:rPr>
            </w:pPr>
          </w:p>
        </w:tc>
        <w:tc>
          <w:tcPr>
            <w:tcW w:w="806" w:type="pct"/>
            <w:gridSpan w:val="2"/>
            <w:vAlign w:val="center"/>
          </w:tcPr>
          <w:p>
            <w:pPr>
              <w:ind w:right="-42" w:rightChars="-20"/>
              <w:rPr>
                <w:rFonts w:ascii="Arial" w:eastAsia="黑体" w:hAnsi="Arial" w:cs="Arial"/>
              </w:rPr>
            </w:pPr>
          </w:p>
        </w:tc>
        <w:tc>
          <w:tcPr>
            <w:tcW w:w="757" w:type="pct"/>
            <w:vAlign w:val="center"/>
          </w:tcPr>
          <w:p>
            <w:pPr>
              <w:ind w:right="-42" w:rightChars="-20"/>
              <w:rPr>
                <w:rFonts w:ascii="Arial" w:eastAsia="黑体" w:hAnsi="Arial" w:cs="Arial"/>
              </w:rPr>
            </w:pPr>
          </w:p>
        </w:tc>
        <w:tc>
          <w:tcPr>
            <w:tcW w:w="1023" w:type="pct"/>
            <w:vAlign w:val="center"/>
          </w:tcPr>
          <w:p>
            <w:pPr>
              <w:ind w:right="-42" w:rightChars="-20"/>
              <w:rPr>
                <w:rFonts w:ascii="Arial" w:eastAsia="黑体" w:hAnsi="Arial" w:cs="Arial"/>
              </w:rPr>
            </w:pPr>
          </w:p>
        </w:tc>
      </w:tr>
    </w:tbl>
    <w:p>
      <w:pPr>
        <w:tabs>
          <w:tab w:val="left" w:pos="5580"/>
        </w:tabs>
        <w:adjustRightInd w:val="0"/>
        <w:snapToGrid w:val="0"/>
        <w:spacing w:line="360" w:lineRule="auto"/>
        <w:jc w:val="center"/>
        <w:rPr>
          <w:rFonts w:ascii="宋体" w:hAnsi="宋体"/>
          <w:szCs w:val="21"/>
        </w:rPr>
      </w:pPr>
    </w:p>
    <w:p>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9" w:name="OLE_LINK46"/>
      <w:r>
        <w:rPr>
          <w:rFonts w:hint="eastAsia"/>
        </w:rPr>
        <w:t>“微型企业”。</w:t>
      </w:r>
      <w:bookmarkEnd w:id="9"/>
      <w:r>
        <w:rPr>
          <w:rFonts w:hint="eastAsia"/>
        </w:rPr>
        <w:t>属于监狱企业的应填写为“监狱企业”，属于残疾人福利性单位的应填写为“残疾人福利性单位”。</w:t>
      </w:r>
    </w:p>
    <w:p>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如投标人提交的投标文件商务条款及合同条款与招标文件的要求存在偏离，需逐项填写；如投标人完全满足招标文件的要求，则需应答“完全满足招标文件的全部要求”；如</w:t>
      </w:r>
      <w:r>
        <w:rPr>
          <w:rFonts w:ascii="Times New Roman" w:eastAsia="宋体" w:hAnsi="Times New Roman" w:cs="Times New Roman" w:hint="eastAsia"/>
          <w:szCs w:val="20"/>
        </w:rPr>
        <w:t>项目分包的，应以包为单位分别填写；如未逐包分别填写，可能导致的不利后果由投标人承担。</w:t>
      </w:r>
    </w:p>
    <w:p>
      <w:pPr>
        <w:tabs>
          <w:tab w:val="left" w:pos="1573"/>
        </w:tabs>
        <w:adjustRightInd w:val="0"/>
        <w:snapToGrid w:val="0"/>
        <w:spacing w:line="360" w:lineRule="auto"/>
        <w:ind w:firstLine="412" w:firstLineChars="196"/>
        <w:rPr>
          <w:rFonts w:ascii="宋体" w:eastAsia="宋体" w:hAnsi="宋体" w:cs="Times New Roman"/>
          <w:szCs w:val="21"/>
        </w:rPr>
      </w:pPr>
    </w:p>
    <w:p>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1701"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招标文件商务文件要求</w:t>
            </w:r>
          </w:p>
        </w:tc>
        <w:tc>
          <w:tcPr>
            <w:tcW w:w="184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投标文件的应答</w:t>
            </w:r>
          </w:p>
        </w:tc>
        <w:tc>
          <w:tcPr>
            <w:tcW w:w="1276"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投标文件中的对应页码</w:t>
            </w:r>
          </w:p>
        </w:tc>
        <w:tc>
          <w:tcPr>
            <w:tcW w:w="1843"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pPr>
        <w:tabs>
          <w:tab w:val="left" w:pos="1260"/>
        </w:tabs>
        <w:adjustRightInd w:val="0"/>
        <w:snapToGrid w:val="0"/>
        <w:spacing w:line="360" w:lineRule="auto"/>
        <w:ind w:firstLine="840" w:firstLineChars="400"/>
        <w:rPr>
          <w:rFonts w:ascii="华文楷体" w:eastAsia="华文楷体" w:hAnsi="华文楷体" w:cs="Times New Roman" w:hint="eastAsia"/>
          <w:szCs w:val="21"/>
        </w:rPr>
      </w:pPr>
      <w:r>
        <w:rPr>
          <w:rFonts w:ascii="华文楷体" w:eastAsia="华文楷体" w:hAnsi="华文楷体" w:cs="Times New Roman" w:hint="eastAsia"/>
          <w:szCs w:val="21"/>
        </w:rPr>
        <w:t>2、“投标文件的页码范围”填写应答内容所在电子文档的文件名称及对应页码。</w:t>
      </w:r>
    </w:p>
    <w:p>
      <w:pPr>
        <w:tabs>
          <w:tab w:val="left" w:pos="1260"/>
        </w:tabs>
        <w:adjustRightInd w:val="0"/>
        <w:snapToGrid w:val="0"/>
        <w:spacing w:line="360" w:lineRule="auto"/>
        <w:ind w:firstLine="735" w:firstLineChars="35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示例：如某应答内容在投标人自行编制的商务文件10-13页，则填列“投标人自行编制的商务文件10-13页”。</w:t>
      </w:r>
    </w:p>
    <w:p/>
    <w:p>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10</w:t>
      </w:r>
      <w:r>
        <w:rPr>
          <w:rFonts w:ascii="宋体" w:eastAsia="宋体" w:hAnsi="宋体" w:cs="Times New Roman"/>
          <w:b/>
          <w:szCs w:val="20"/>
          <w:highlight w:val="none"/>
        </w:rPr>
        <w:t>资格</w:t>
      </w:r>
      <w:r>
        <w:rPr>
          <w:rFonts w:ascii="宋体" w:eastAsia="宋体" w:hAnsi="宋体" w:cs="Times New Roman" w:hint="eastAsia"/>
          <w:b/>
          <w:szCs w:val="20"/>
          <w:highlight w:val="none"/>
        </w:rPr>
        <w:t>、资信</w:t>
      </w:r>
      <w:r>
        <w:rPr>
          <w:rFonts w:ascii="宋体" w:eastAsia="宋体" w:hAnsi="宋体" w:cs="Times New Roman"/>
          <w:b/>
          <w:szCs w:val="20"/>
          <w:highlight w:val="none"/>
        </w:rPr>
        <w:t>证明文件</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2.10.1投标人</w:t>
      </w:r>
      <w:r>
        <w:rPr>
          <w:b/>
          <w:highlight w:val="none"/>
        </w:rPr>
        <w:t>法人</w:t>
      </w:r>
      <w:r>
        <w:rPr>
          <w:rFonts w:hint="eastAsia"/>
          <w:b/>
          <w:highlight w:val="none"/>
        </w:rPr>
        <w:t>资格</w:t>
      </w:r>
      <w:r>
        <w:rPr>
          <w:b/>
          <w:highlight w:val="none"/>
        </w:rPr>
        <w:t>证明文件</w:t>
      </w:r>
    </w:p>
    <w:p>
      <w:pPr>
        <w:pStyle w:val="10"/>
        <w:numPr>
          <w:ilvl w:val="0"/>
          <w:numId w:val="0"/>
        </w:numPr>
        <w:tabs>
          <w:tab w:val="left" w:pos="1573"/>
        </w:tabs>
        <w:adjustRightInd w:val="0"/>
        <w:snapToGrid w:val="0"/>
        <w:spacing w:line="360" w:lineRule="auto"/>
        <w:ind w:firstLine="420" w:firstLineChars="200"/>
        <w:jc w:val="left"/>
        <w:rPr>
          <w:highlight w:val="none"/>
        </w:rPr>
      </w:pPr>
      <w:r>
        <w:rPr>
          <w:rFonts w:hint="eastAsia"/>
          <w:highlight w:val="none"/>
        </w:rPr>
        <w:t>截止至投标截止日仍有效的投标人法人资格的证明文件（法人营业执照、事业单位法人证书等）的复印件。</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2.10.2近一年内任何完税凭证或税务部门出具的税收减免证明</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2.10.3近一年内任何一期社会保障资金缴纳凭证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以投标截止日为基准日，投标人开标前一年内任何一期缴纳社会保险的凭据（专用收据或社会保险缴纳清单），依法不需要缴纳社会保障资金的投标人，应提供相应证明文件证明其不需要缴纳社会保障资金。</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2.10.4财务状况证明</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2.10.5参加政府采购活动前三年内，在经营活动中没有重大违法记录的声明</w:t>
      </w:r>
    </w:p>
    <w:p>
      <w:pPr>
        <w:pStyle w:val="10"/>
        <w:numPr>
          <w:ilvl w:val="0"/>
          <w:numId w:val="0"/>
        </w:numPr>
        <w:tabs>
          <w:tab w:val="left" w:pos="1573"/>
        </w:tabs>
        <w:adjustRightInd w:val="0"/>
        <w:snapToGrid w:val="0"/>
        <w:spacing w:line="360" w:lineRule="auto"/>
        <w:ind w:firstLine="420" w:firstLineChars="200"/>
        <w:jc w:val="left"/>
        <w:rPr>
          <w:b/>
          <w:highlight w:val="none"/>
        </w:rPr>
      </w:pPr>
      <w:r>
        <w:rPr>
          <w:rFonts w:hint="eastAsia"/>
          <w:highlight w:val="none"/>
        </w:rPr>
        <w:t>在格式文本中，除可填报内容外，任何实质性修改将被视为非实质性响应投标，从而导致该投标被</w:t>
      </w:r>
      <w:r>
        <w:rPr>
          <w:rFonts w:eastAsia="拒绝" w:hint="eastAsia"/>
          <w:b/>
          <w:highlight w:val="none"/>
        </w:rPr>
        <w:t>拒绝</w:t>
      </w:r>
      <w:r>
        <w:rPr>
          <w:rFonts w:hint="eastAsia"/>
          <w:highlight w:val="none"/>
        </w:rPr>
        <w:t>。</w:t>
      </w:r>
    </w:p>
    <w:p>
      <w:pPr>
        <w:tabs>
          <w:tab w:val="left" w:pos="1573"/>
        </w:tabs>
        <w:adjustRightInd w:val="0"/>
        <w:snapToGrid w:val="0"/>
        <w:spacing w:line="360" w:lineRule="auto"/>
        <w:jc w:val="center"/>
        <w:rPr>
          <w:rFonts w:ascii="华文楷体" w:eastAsia="华文楷体" w:hAnsi="华文楷体" w:cs="Times New Roman"/>
          <w:b/>
          <w:szCs w:val="20"/>
          <w:highlight w:val="none"/>
        </w:rPr>
      </w:pPr>
      <w:r>
        <w:rPr>
          <w:rFonts w:ascii="华文楷体" w:eastAsia="华文楷体" w:hAnsi="华文楷体" w:cs="Times New Roman" w:hint="eastAsia"/>
          <w:b/>
          <w:szCs w:val="20"/>
          <w:highlight w:val="none"/>
        </w:rPr>
        <w:t>近三年内，在经营活动中没有重大违法记录的声明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致：中国气象局政府采购中心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进行了投标，在此郑重声明：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pPr>
        <w:tabs>
          <w:tab w:val="left" w:pos="1573"/>
        </w:tabs>
        <w:adjustRightInd w:val="0"/>
        <w:snapToGrid w:val="0"/>
        <w:spacing w:line="360" w:lineRule="auto"/>
        <w:ind w:left="941" w:leftChars="448"/>
        <w:rPr>
          <w:rFonts w:ascii="华文楷体" w:eastAsia="华文楷体" w:hAnsi="华文楷体" w:cs="Times New Roman"/>
          <w:bCs/>
          <w:szCs w:val="21"/>
          <w:highlight w:val="none"/>
        </w:rPr>
      </w:pPr>
      <w:r>
        <w:rPr>
          <w:rFonts w:ascii="华文楷体" w:eastAsia="华文楷体" w:hAnsi="华文楷体" w:cs="Times New Roman" w:hint="eastAsia"/>
          <w:bCs/>
          <w:szCs w:val="21"/>
          <w:highlight w:val="none"/>
        </w:rPr>
        <w:t>投标人(电子签章)：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leftChars="448"/>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djustRightInd w:val="0"/>
        <w:snapToGrid w:val="0"/>
        <w:spacing w:line="360" w:lineRule="auto"/>
        <w:ind w:firstLine="412" w:firstLineChars="196"/>
        <w:rPr>
          <w:rFonts w:ascii="Times New Roman" w:eastAsia="宋体" w:hAnsi="Times New Roman" w:cs="Times New Roman"/>
          <w:szCs w:val="20"/>
          <w:highlight w:val="none"/>
        </w:rPr>
      </w:pP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bookmarkStart w:id="10" w:name="_Hlt509739007"/>
      <w:bookmarkEnd w:id="10"/>
      <w:r>
        <w:rPr>
          <w:rFonts w:hint="eastAsia"/>
          <w:b/>
          <w:highlight w:val="none"/>
        </w:rPr>
        <w:t>2.10.6投标人信用查询记录。</w:t>
      </w:r>
    </w:p>
    <w:p>
      <w:pPr>
        <w:tabs>
          <w:tab w:val="left" w:pos="5580"/>
        </w:tabs>
        <w:adjustRightInd w:val="0"/>
        <w:snapToGrid w:val="0"/>
        <w:spacing w:line="360" w:lineRule="auto"/>
        <w:ind w:firstLine="420" w:firstLineChars="200"/>
        <w:jc w:val="left"/>
        <w:rPr>
          <w:rFonts w:ascii="宋体" w:eastAsia="宋体" w:hAnsi="宋体" w:cs="Times New Roman"/>
          <w:szCs w:val="20"/>
          <w:highlight w:val="none"/>
        </w:rPr>
      </w:pPr>
      <w:r>
        <w:rPr>
          <w:rFonts w:ascii="宋体" w:eastAsia="宋体" w:hAnsi="宋体" w:cs="Times New Roman" w:hint="eastAsia"/>
          <w:szCs w:val="20"/>
          <w:highlight w:val="none"/>
        </w:rPr>
        <w:t>投标人提供在“信用中国”网站（</w:t>
      </w:r>
      <w:r>
        <w:rPr>
          <w:rFonts w:ascii="宋体" w:eastAsia="宋体" w:hAnsi="宋体" w:cs="Times New Roman"/>
          <w:szCs w:val="20"/>
          <w:highlight w:val="none"/>
        </w:rPr>
        <w:t>www.creditchina.gov.cn）</w:t>
      </w:r>
      <w:r>
        <w:rPr>
          <w:rFonts w:ascii="宋体" w:eastAsia="宋体" w:hAnsi="宋体" w:cs="Times New Roman" w:hint="eastAsia"/>
          <w:szCs w:val="20"/>
          <w:highlight w:val="none"/>
        </w:rPr>
        <w:t>查询记录截图，查询时间为招标文件发出之日后。</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2.10.7投标货物的《气象专用技术装备使用许可证》。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Times New Roman" w:eastAsia="宋体" w:hAnsi="Times New Roman" w:cs="Times New Roman" w:hint="eastAsia"/>
          <w:szCs w:val="20"/>
          <w:highlight w:val="none"/>
        </w:rPr>
        <w:t>如投标货物必须取得《气象专用技术装备使用许可证》的，应提供气象行业主管部门颁发的且至投标截止日仍有效的《气象专用技术装备使用许可证》的复印件，所载产品名称、规格型号应与投标货物的名称、规格型号一致。</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2.10.8进口产品制造商授权书</w:t>
      </w:r>
    </w:p>
    <w:p>
      <w:pPr>
        <w:adjustRightInd w:val="0"/>
        <w:snapToGrid w:val="0"/>
        <w:spacing w:line="360" w:lineRule="auto"/>
        <w:ind w:firstLine="412" w:firstLineChars="196"/>
        <w:rPr>
          <w:rFonts w:ascii="宋体" w:eastAsia="宋体" w:hAnsi="宋体" w:cs="Times New Roman"/>
          <w:szCs w:val="20"/>
          <w:highlight w:val="none"/>
        </w:rPr>
      </w:pPr>
      <w:r>
        <w:rPr>
          <w:rFonts w:ascii="宋体" w:eastAsia="宋体" w:hAnsi="宋体" w:cs="Times New Roman" w:hint="eastAsia"/>
          <w:b/>
          <w:szCs w:val="21"/>
          <w:highlight w:val="none"/>
        </w:rPr>
        <w:t>第五章投标人须知专用部分</w:t>
      </w:r>
      <w:r>
        <w:rPr>
          <w:rFonts w:ascii="宋体" w:eastAsia="宋体" w:hAnsi="宋体" w:cs="Times New Roman" w:hint="eastAsia"/>
          <w:szCs w:val="21"/>
          <w:highlight w:val="none"/>
        </w:rPr>
        <w:t>如对</w:t>
      </w:r>
      <w:r>
        <w:rPr>
          <w:rFonts w:ascii="宋体" w:eastAsia="宋体" w:hAnsi="宋体" w:cs="Times New Roman" w:hint="eastAsia"/>
          <w:szCs w:val="20"/>
          <w:highlight w:val="none"/>
        </w:rPr>
        <w:t>进口产品代理商有专门要求时提供（以下为参考格式，可自拟）。</w:t>
      </w:r>
    </w:p>
    <w:p>
      <w:pPr>
        <w:adjustRightInd w:val="0"/>
        <w:snapToGrid w:val="0"/>
        <w:spacing w:line="360" w:lineRule="auto"/>
        <w:ind w:firstLine="412" w:firstLineChars="196"/>
        <w:rPr>
          <w:rFonts w:ascii="宋体" w:eastAsia="宋体" w:hAnsi="宋体" w:cs="Times New Roman"/>
          <w:szCs w:val="20"/>
          <w:highlight w:val="none"/>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highlight w:val="none"/>
        </w:rPr>
      </w:pPr>
      <w:r>
        <w:rPr>
          <w:rFonts w:ascii="华文楷体" w:eastAsia="华文楷体" w:hAnsi="华文楷体" w:cs="Times New Roman" w:hint="eastAsia"/>
          <w:b/>
          <w:szCs w:val="20"/>
          <w:highlight w:val="none"/>
        </w:rPr>
        <w:t>进口产品制造商授权书</w:t>
      </w:r>
    </w:p>
    <w:p>
      <w:pPr>
        <w:tabs>
          <w:tab w:val="left" w:pos="1573"/>
        </w:tabs>
        <w:adjustRightInd w:val="0"/>
        <w:snapToGrid w:val="0"/>
        <w:spacing w:line="360" w:lineRule="auto"/>
        <w:rPr>
          <w:rFonts w:ascii="华文楷体" w:eastAsia="华文楷体" w:hAnsi="华文楷体" w:cs="Times New Roman"/>
          <w:b/>
          <w:bCs/>
          <w:szCs w:val="20"/>
          <w:highlight w:val="none"/>
        </w:rPr>
      </w:pPr>
      <w:r>
        <w:rPr>
          <w:rFonts w:ascii="华文楷体" w:eastAsia="华文楷体" w:hAnsi="华文楷体" w:cs="Times New Roman" w:hint="eastAsia"/>
          <w:szCs w:val="21"/>
          <w:highlight w:val="none"/>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我们</w:t>
      </w:r>
      <w:r>
        <w:rPr>
          <w:rFonts w:ascii="华文楷体" w:eastAsia="华文楷体" w:hAnsi="华文楷体" w:cs="Times New Roman" w:hint="eastAsia"/>
          <w:szCs w:val="21"/>
          <w:highlight w:val="none"/>
          <w:u w:val="single"/>
        </w:rPr>
        <w:t>（制造商名称）</w:t>
      </w:r>
      <w:r>
        <w:rPr>
          <w:rFonts w:ascii="华文楷体" w:eastAsia="华文楷体" w:hAnsi="华文楷体" w:cs="Times New Roman" w:hint="eastAsia"/>
          <w:szCs w:val="21"/>
          <w:highlight w:val="none"/>
        </w:rPr>
        <w:t>是按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法律成立的一家制造商，主要营业地点设在</w:t>
      </w:r>
      <w:r>
        <w:rPr>
          <w:rFonts w:ascii="华文楷体" w:eastAsia="华文楷体" w:hAnsi="华文楷体" w:cs="Times New Roman" w:hint="eastAsia"/>
          <w:szCs w:val="21"/>
          <w:highlight w:val="none"/>
          <w:u w:val="single"/>
        </w:rPr>
        <w:t>（制造商地址）</w:t>
      </w:r>
      <w:r>
        <w:rPr>
          <w:rFonts w:ascii="华文楷体" w:eastAsia="华文楷体" w:hAnsi="华文楷体" w:cs="Times New Roman" w:hint="eastAsia"/>
          <w:szCs w:val="21"/>
          <w:highlight w:val="none"/>
        </w:rPr>
        <w:t>。兹指派按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的法律正式成立的，主要营业地点设在</w:t>
      </w:r>
      <w:r>
        <w:rPr>
          <w:rFonts w:ascii="华文楷体" w:eastAsia="华文楷体" w:hAnsi="华文楷体" w:cs="Times New Roman" w:hint="eastAsia"/>
          <w:szCs w:val="21"/>
          <w:highlight w:val="none"/>
          <w:u w:val="single"/>
        </w:rPr>
        <w:t>（投标人地址）</w:t>
      </w:r>
      <w:r>
        <w:rPr>
          <w:rFonts w:ascii="华文楷体" w:eastAsia="华文楷体" w:hAnsi="华文楷体" w:cs="Times New Roman" w:hint="eastAsia"/>
          <w:szCs w:val="21"/>
          <w:highlight w:val="none"/>
        </w:rPr>
        <w:t>的</w:t>
      </w:r>
      <w:r>
        <w:rPr>
          <w:rFonts w:ascii="华文楷体" w:eastAsia="华文楷体" w:hAnsi="华文楷体" w:cs="Times New Roman" w:hint="eastAsia"/>
          <w:szCs w:val="21"/>
          <w:highlight w:val="none"/>
          <w:u w:val="single"/>
        </w:rPr>
        <w:t>（投标人名称）</w:t>
      </w:r>
      <w:r>
        <w:rPr>
          <w:rFonts w:ascii="华文楷体" w:eastAsia="华文楷体" w:hAnsi="华文楷体" w:cs="Times New Roman" w:hint="eastAsia"/>
          <w:szCs w:val="21"/>
          <w:highlight w:val="none"/>
        </w:rPr>
        <w:t>作为我方真正的合法的代理人进行下列有效的活动：</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（1）代表我方办理贵方</w:t>
      </w:r>
      <w:r>
        <w:rPr>
          <w:rFonts w:ascii="华文楷体" w:eastAsia="华文楷体" w:hAnsi="华文楷体" w:cs="Times New Roman" w:hint="eastAsia"/>
          <w:szCs w:val="21"/>
          <w:highlight w:val="none"/>
          <w:u w:val="single"/>
        </w:rPr>
        <w:t xml:space="preserve"> （项目编号、项目名称、包号）</w:t>
      </w:r>
      <w:r>
        <w:rPr>
          <w:rFonts w:ascii="华文楷体" w:eastAsia="华文楷体" w:hAnsi="华文楷体" w:cs="Times New Roman" w:hint="eastAsia"/>
          <w:szCs w:val="21"/>
          <w:highlight w:val="none"/>
        </w:rPr>
        <w:t xml:space="preserve"> 投标邀请要求提供的由我方制造的货物的有关事宜，并对我方具有约束力。</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（2）作为制造商，我方保证以投标合作者来约束自己，并对该投标共同和分别承担招标文件中所规定的义务。</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（3）我方兹授予</w:t>
      </w:r>
      <w:r>
        <w:rPr>
          <w:rFonts w:ascii="华文楷体" w:eastAsia="华文楷体" w:hAnsi="华文楷体" w:cs="Times New Roman" w:hint="eastAsia"/>
          <w:szCs w:val="21"/>
          <w:highlight w:val="none"/>
          <w:u w:val="single"/>
        </w:rPr>
        <w:t xml:space="preserve"> （投标人名称） </w:t>
      </w:r>
      <w:r>
        <w:rPr>
          <w:rFonts w:ascii="华文楷体" w:eastAsia="华文楷体" w:hAnsi="华文楷体" w:cs="Times New Roman" w:hint="eastAsia"/>
          <w:szCs w:val="21"/>
          <w:highlight w:val="none"/>
        </w:rPr>
        <w:t xml:space="preserve">全权办理和履行上述我方为完成上述各点所必须的事宜，具有替换或撤销的全权。兹确认 </w:t>
      </w:r>
      <w:r>
        <w:rPr>
          <w:rFonts w:ascii="华文楷体" w:eastAsia="华文楷体" w:hAnsi="华文楷体" w:cs="Times New Roman" w:hint="eastAsia"/>
          <w:szCs w:val="21"/>
          <w:highlight w:val="none"/>
          <w:u w:val="single"/>
        </w:rPr>
        <w:t xml:space="preserve">（投标人名称） </w:t>
      </w:r>
      <w:r>
        <w:rPr>
          <w:rFonts w:ascii="华文楷体" w:eastAsia="华文楷体" w:hAnsi="华文楷体" w:cs="Times New Roman" w:hint="eastAsia"/>
          <w:szCs w:val="21"/>
          <w:highlight w:val="none"/>
        </w:rPr>
        <w:t>或其正式授权代表依此合法地办理一切事宜。</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（4）我方于</w:t>
      </w:r>
      <w:r>
        <w:rPr>
          <w:rFonts w:ascii="华文楷体" w:eastAsia="华文楷体" w:hAnsi="华文楷体" w:cs="Times New Roman" w:hint="eastAsia"/>
          <w:szCs w:val="21"/>
          <w:highlight w:val="none"/>
          <w:u w:val="single"/>
        </w:rPr>
        <w:t xml:space="preserve"> 年 月 日</w:t>
      </w:r>
      <w:r>
        <w:rPr>
          <w:rFonts w:ascii="华文楷体" w:eastAsia="华文楷体" w:hAnsi="华文楷体" w:cs="Times New Roman" w:hint="eastAsia"/>
          <w:szCs w:val="21"/>
          <w:highlight w:val="none"/>
        </w:rPr>
        <w:t>签署本文件，</w:t>
      </w:r>
      <w:r>
        <w:rPr>
          <w:rFonts w:ascii="华文楷体" w:eastAsia="华文楷体" w:hAnsi="华文楷体" w:cs="Times New Roman" w:hint="eastAsia"/>
          <w:szCs w:val="21"/>
          <w:highlight w:val="none"/>
          <w:u w:val="single"/>
        </w:rPr>
        <w:t xml:space="preserve"> （投标人名称）</w:t>
      </w:r>
      <w:r>
        <w:rPr>
          <w:rFonts w:ascii="华文楷体" w:eastAsia="华文楷体" w:hAnsi="华文楷体" w:cs="Times New Roman" w:hint="eastAsia"/>
          <w:szCs w:val="21"/>
          <w:highlight w:val="none"/>
        </w:rPr>
        <w:t>于</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年</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月</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日接受此件，以此为证。</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制造商名称（制造商公章）：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制造商签字人职务和部门：</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制造商签字人（签字或盖章）：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（以上格式仅供参考，投标人就以上内容自拟格式，但必须体现出制造商名称及地址、被授权单位名称及地址，授权事项中要求明确体现出制造商同意对投标人提供其制造的货物及相关伴随服务等内容）</w:t>
      </w:r>
    </w:p>
    <w:p>
      <w:pPr>
        <w:pStyle w:val="10"/>
        <w:numPr>
          <w:ilvl w:val="0"/>
          <w:numId w:val="0"/>
        </w:numPr>
        <w:tabs>
          <w:tab w:val="left" w:pos="1573"/>
        </w:tabs>
        <w:adjustRightInd w:val="0"/>
        <w:snapToGrid w:val="0"/>
        <w:spacing w:line="360" w:lineRule="auto"/>
        <w:ind w:firstLine="420" w:firstLineChars="200"/>
        <w:jc w:val="left"/>
        <w:outlineLvl w:val="4"/>
        <w:rPr>
          <w:rFonts w:hint="eastAsia"/>
          <w:b/>
          <w:highlight w:val="none"/>
        </w:rPr>
      </w:pPr>
      <w:bookmarkStart w:id="11" w:name="_Toc86202647"/>
      <w:r>
        <w:rPr>
          <w:rFonts w:hint="eastAsia"/>
          <w:b/>
          <w:highlight w:val="none"/>
        </w:rPr>
        <w:t>2.10.9中</w:t>
      </w:r>
      <w:r>
        <w:rPr>
          <w:b/>
          <w:highlight w:val="none"/>
        </w:rPr>
        <w:t>小企业声明函</w:t>
      </w:r>
      <w:r>
        <w:rPr>
          <w:rFonts w:hint="eastAsia"/>
          <w:b/>
          <w:highlight w:val="none"/>
        </w:rPr>
        <w:t>、</w:t>
      </w:r>
      <w:r>
        <w:rPr>
          <w:rFonts w:hint="eastAsia"/>
          <w:b/>
          <w:bCs/>
          <w:highlight w:val="none"/>
        </w:rPr>
        <w:t>残疾人福利性单位声明函、监狱企业证明文件</w:t>
      </w:r>
    </w:p>
    <w:p>
      <w:pPr>
        <w:tabs>
          <w:tab w:val="left" w:pos="5580"/>
        </w:tabs>
        <w:adjustRightInd w:val="0"/>
        <w:snapToGrid w:val="0"/>
        <w:spacing w:line="360" w:lineRule="auto"/>
        <w:ind w:firstLine="420" w:firstLineChars="200"/>
        <w:jc w:val="left"/>
        <w:rPr>
          <w:rFonts w:ascii="Times New Roman" w:eastAsia="宋体" w:hAnsi="Times New Roman" w:cs="Times New Roman" w:hint="eastAsia"/>
          <w:szCs w:val="20"/>
          <w:highlight w:val="none"/>
        </w:rPr>
      </w:pPr>
      <w:r>
        <w:rPr>
          <w:rFonts w:ascii="Times New Roman" w:eastAsia="宋体" w:hAnsi="Times New Roman" w:cs="Times New Roman" w:hint="eastAsia"/>
          <w:bCs/>
          <w:szCs w:val="20"/>
          <w:highlight w:val="none"/>
        </w:rPr>
        <w:t>属于预留采购份额面向中小企业采购的项目，必须提供；不属于预留采购份额面向中小企业采购的项目，可以不提供，但不能享受可能的价格扣除优惠。</w:t>
      </w:r>
      <w:r>
        <w:rPr>
          <w:rFonts w:ascii="Times New Roman" w:eastAsia="宋体" w:hAnsi="Times New Roman" w:cs="Times New Roman" w:hint="eastAsia"/>
          <w:szCs w:val="20"/>
          <w:highlight w:val="none"/>
        </w:rPr>
        <w:t>在《中小企业声明函》、《</w:t>
      </w:r>
      <w:r>
        <w:rPr>
          <w:rFonts w:ascii="Times New Roman" w:eastAsia="宋体" w:hAnsi="Times New Roman" w:cs="Times New Roman" w:hint="eastAsia"/>
          <w:bCs/>
          <w:szCs w:val="20"/>
          <w:highlight w:val="none"/>
        </w:rPr>
        <w:t>残疾人福利性单位声明函》</w:t>
      </w:r>
      <w:r>
        <w:rPr>
          <w:rFonts w:ascii="Times New Roman" w:eastAsia="宋体" w:hAnsi="Times New Roman" w:cs="Times New Roman" w:hint="eastAsia"/>
          <w:szCs w:val="20"/>
          <w:highlight w:val="none"/>
        </w:rPr>
        <w:t>格式文本中，除可填报内容外，对内容的任何实质性修改将被视为相关要求未得到响应，从而导致该投标被拒绝或者</w:t>
      </w:r>
      <w:r>
        <w:rPr>
          <w:rFonts w:ascii="Times New Roman" w:eastAsia="宋体" w:hAnsi="Times New Roman" w:cs="Times New Roman" w:hint="eastAsia"/>
          <w:bCs/>
          <w:szCs w:val="20"/>
          <w:highlight w:val="none"/>
        </w:rPr>
        <w:t>不能享受可能的价格扣除优惠</w:t>
      </w:r>
      <w:r>
        <w:rPr>
          <w:rFonts w:ascii="Times New Roman" w:eastAsia="宋体" w:hAnsi="Times New Roman" w:cs="Times New Roman" w:hint="eastAsia"/>
          <w:szCs w:val="20"/>
          <w:highlight w:val="none"/>
        </w:rPr>
        <w:t>。</w:t>
      </w:r>
    </w:p>
    <w:p>
      <w:pPr>
        <w:tabs>
          <w:tab w:val="left" w:pos="8460"/>
        </w:tabs>
        <w:adjustRightInd w:val="0"/>
        <w:snapToGrid w:val="0"/>
        <w:spacing w:line="360" w:lineRule="auto"/>
        <w:ind w:firstLine="420" w:firstLineChars="200"/>
        <w:jc w:val="left"/>
        <w:rPr>
          <w:rFonts w:ascii="宋体" w:eastAsia="宋体" w:hAnsi="宋体" w:cs="仿宋_GB2312" w:hint="eastAsia"/>
          <w:szCs w:val="21"/>
          <w:highlight w:val="none"/>
        </w:rPr>
      </w:pPr>
      <w:r>
        <w:rPr>
          <w:rFonts w:ascii="宋体" w:eastAsia="宋体" w:hAnsi="宋体" w:cs="Times New Roman" w:hint="eastAsia"/>
          <w:b/>
          <w:bCs/>
          <w:szCs w:val="20"/>
          <w:highlight w:val="none"/>
        </w:rPr>
        <w:t>（1）中小</w:t>
      </w:r>
      <w:r>
        <w:rPr>
          <w:rFonts w:ascii="宋体" w:eastAsia="宋体" w:hAnsi="宋体" w:cs="Times New Roman"/>
          <w:b/>
          <w:bCs/>
          <w:szCs w:val="20"/>
          <w:highlight w:val="none"/>
        </w:rPr>
        <w:t>企业声明函</w:t>
      </w:r>
      <w:r>
        <w:rPr>
          <w:rFonts w:ascii="宋体" w:eastAsia="宋体" w:hAnsi="宋体" w:cs="Times New Roman" w:hint="eastAsia"/>
          <w:b/>
          <w:bCs/>
          <w:szCs w:val="20"/>
          <w:highlight w:val="none"/>
        </w:rPr>
        <w:t>。</w:t>
      </w:r>
      <w:r>
        <w:rPr>
          <w:rFonts w:ascii="宋体" w:eastAsia="宋体" w:hAnsi="宋体" w:cs="仿宋_GB2312" w:hint="eastAsia"/>
          <w:szCs w:val="21"/>
          <w:highlight w:val="none"/>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highlight w:val="none"/>
        </w:rPr>
        <w:t>符合中小企业划分标准视同中小企业的个体工商户。</w:t>
      </w:r>
      <w:r>
        <w:rPr>
          <w:rFonts w:ascii="宋体" w:eastAsia="宋体" w:hAnsi="宋体" w:cs="仿宋_GB2312" w:hint="eastAsia"/>
          <w:szCs w:val="21"/>
          <w:highlight w:val="none"/>
        </w:rPr>
        <w:t>本声明由投标人提供，并对其真实性负责。</w:t>
      </w:r>
      <w:r>
        <w:rPr>
          <w:rFonts w:ascii="宋体" w:eastAsia="宋体" w:hAnsi="宋体" w:cs="仿宋_GB2312" w:hint="eastAsia"/>
          <w:szCs w:val="21"/>
          <w:highlight w:val="none"/>
        </w:rPr>
        <w:t>投标人</w:t>
      </w:r>
      <w:r>
        <w:rPr>
          <w:rFonts w:ascii="宋体" w:eastAsia="宋体" w:hAnsi="宋体" w:cs="仿宋_GB2312" w:hint="eastAsia"/>
          <w:szCs w:val="21"/>
          <w:highlight w:val="none"/>
        </w:rPr>
        <w:t>为非企业单位的，无需提供此声明，提供此声明的，声明无效。</w:t>
      </w:r>
    </w:p>
    <w:p>
      <w:pPr>
        <w:tabs>
          <w:tab w:val="left" w:pos="8460"/>
        </w:tabs>
        <w:adjustRightInd w:val="0"/>
        <w:snapToGrid w:val="0"/>
        <w:spacing w:line="360" w:lineRule="auto"/>
        <w:ind w:firstLine="420" w:firstLineChars="200"/>
        <w:jc w:val="left"/>
        <w:rPr>
          <w:rFonts w:ascii="Times New Roman" w:eastAsia="宋体" w:hAnsi="Times New Roman" w:cs="Times New Roman"/>
          <w:b/>
          <w:bCs/>
          <w:szCs w:val="20"/>
          <w:highlight w:val="none"/>
        </w:rPr>
      </w:pPr>
    </w:p>
    <w:p>
      <w:pPr>
        <w:pStyle w:val="10"/>
        <w:numPr>
          <w:ilvl w:val="0"/>
          <w:numId w:val="0"/>
        </w:numPr>
        <w:tabs>
          <w:tab w:val="left" w:pos="1573"/>
        </w:tabs>
        <w:adjustRightInd w:val="0"/>
        <w:snapToGrid w:val="0"/>
        <w:spacing w:line="360" w:lineRule="auto"/>
        <w:ind w:left="105"/>
        <w:jc w:val="center"/>
        <w:rPr>
          <w:rFonts w:ascii="华文楷体" w:eastAsia="华文楷体" w:hAnsi="华文楷体"/>
          <w:b/>
          <w:bCs/>
          <w:highlight w:val="none"/>
        </w:rPr>
      </w:pPr>
      <w:r>
        <w:rPr>
          <w:rFonts w:ascii="华文楷体" w:eastAsia="华文楷体" w:hAnsi="华文楷体" w:hint="eastAsia"/>
          <w:b/>
          <w:bCs/>
          <w:highlight w:val="none"/>
        </w:rPr>
        <w:t>中小</w:t>
      </w:r>
      <w:r>
        <w:rPr>
          <w:rFonts w:ascii="华文楷体" w:eastAsia="华文楷体" w:hAnsi="华文楷体"/>
          <w:b/>
          <w:bCs/>
          <w:highlight w:val="none"/>
        </w:rPr>
        <w:t>企业声明函</w:t>
      </w:r>
      <w:r>
        <w:rPr>
          <w:rFonts w:ascii="华文楷体" w:eastAsia="华文楷体" w:hAnsi="华文楷体" w:hint="eastAsia"/>
          <w:b/>
          <w:bCs/>
          <w:highlight w:val="none"/>
        </w:rPr>
        <w:t>（货物）</w:t>
      </w:r>
    </w:p>
    <w:p>
      <w:pPr>
        <w:tabs>
          <w:tab w:val="left" w:pos="1573"/>
        </w:tabs>
        <w:autoSpaceDN w:val="0"/>
        <w:adjustRightInd w:val="0"/>
        <w:snapToGrid w:val="0"/>
        <w:spacing w:line="360" w:lineRule="auto"/>
        <w:ind w:left="105" w:firstLine="412" w:leftChars="50" w:firstLineChars="196"/>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本公司（联合体）郑重声明，根据《政府采购促进中小企业发展管理办法》（财库﹝2020﹞46 号）的规定，本公司（联合体）参加</w:t>
      </w:r>
      <w:r>
        <w:rPr>
          <w:rFonts w:ascii="华文楷体" w:eastAsia="华文楷体" w:hAnsi="华文楷体" w:cs="仿宋_GB2312" w:hint="eastAsia"/>
          <w:szCs w:val="21"/>
          <w:highlight w:val="none"/>
          <w:u w:val="single"/>
        </w:rPr>
        <w:t>（单位名称）</w:t>
      </w:r>
      <w:r>
        <w:rPr>
          <w:rFonts w:ascii="华文楷体" w:eastAsia="华文楷体" w:hAnsi="华文楷体" w:cs="仿宋_GB2312" w:hint="eastAsia"/>
          <w:szCs w:val="21"/>
          <w:highlight w:val="none"/>
        </w:rPr>
        <w:t>的</w:t>
      </w:r>
      <w:r>
        <w:rPr>
          <w:rFonts w:ascii="华文楷体" w:eastAsia="华文楷体" w:hAnsi="华文楷体" w:cs="仿宋_GB2312" w:hint="eastAsia"/>
          <w:szCs w:val="21"/>
          <w:highlight w:val="none"/>
          <w:u w:val="single"/>
        </w:rPr>
        <w:t>（项目名称）</w:t>
      </w:r>
      <w:r>
        <w:rPr>
          <w:rFonts w:ascii="华文楷体" w:eastAsia="华文楷体" w:hAnsi="华文楷体" w:cs="仿宋_GB2312" w:hint="eastAsia"/>
          <w:szCs w:val="21"/>
          <w:highlight w:val="none"/>
        </w:rPr>
        <w:t>采购活动，提供的货物全部由符合政策要求的中小企业制造。相关企业（含联合体中的中小企业、签订分包意向协议的中小企业） 的具体情况如下：</w:t>
      </w:r>
    </w:p>
    <w:p>
      <w:pPr>
        <w:autoSpaceDN w:val="0"/>
        <w:spacing w:line="440" w:lineRule="exact"/>
        <w:ind w:firstLine="420" w:firstLineChars="20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 1.</w:t>
      </w:r>
      <w:r>
        <w:rPr>
          <w:rFonts w:ascii="华文楷体" w:eastAsia="华文楷体" w:hAnsi="华文楷体" w:cs="仿宋_GB2312" w:hint="eastAsia"/>
          <w:szCs w:val="21"/>
          <w:highlight w:val="none"/>
          <w:u w:val="single"/>
        </w:rPr>
        <w:t>（ 标的名称 ）</w:t>
      </w:r>
      <w:r>
        <w:rPr>
          <w:rFonts w:ascii="华文楷体" w:eastAsia="华文楷体" w:hAnsi="华文楷体" w:cs="仿宋_GB2312" w:hint="eastAsia"/>
          <w:szCs w:val="21"/>
          <w:highlight w:val="none"/>
        </w:rPr>
        <w:t xml:space="preserve"> ， 属于</w:t>
      </w:r>
      <w:r>
        <w:rPr>
          <w:rFonts w:ascii="华文楷体" w:eastAsia="华文楷体" w:hAnsi="华文楷体" w:cs="仿宋_GB2312" w:hint="eastAsia"/>
          <w:szCs w:val="21"/>
          <w:highlight w:val="none"/>
          <w:u w:val="single"/>
        </w:rPr>
        <w:t>（招标文件中明确的所属行业 ）</w:t>
      </w:r>
      <w:r>
        <w:rPr>
          <w:rFonts w:ascii="华文楷体" w:eastAsia="华文楷体" w:hAnsi="华文楷体" w:cs="仿宋_GB2312" w:hint="eastAsia"/>
          <w:szCs w:val="21"/>
          <w:highlight w:val="none"/>
        </w:rPr>
        <w:t>行业；制造商为（企业名称），从业人员</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人，营业收入为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万元，资产总额为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万元，属于</w:t>
      </w:r>
      <w:r>
        <w:rPr>
          <w:rFonts w:ascii="华文楷体" w:eastAsia="华文楷体" w:hAnsi="华文楷体" w:cs="仿宋_GB2312" w:hint="eastAsia"/>
          <w:szCs w:val="21"/>
          <w:highlight w:val="none"/>
          <w:u w:val="single"/>
        </w:rPr>
        <w:t>（中型企业、小型企业、微型企业）</w:t>
      </w:r>
      <w:r>
        <w:rPr>
          <w:rFonts w:ascii="华文楷体" w:eastAsia="华文楷体" w:hAnsi="华文楷体" w:cs="仿宋_GB2312" w:hint="eastAsia"/>
          <w:szCs w:val="21"/>
          <w:highlight w:val="none"/>
        </w:rPr>
        <w:t>；</w:t>
      </w:r>
    </w:p>
    <w:p>
      <w:pPr>
        <w:autoSpaceDN w:val="0"/>
        <w:spacing w:line="440" w:lineRule="exact"/>
        <w:ind w:firstLine="420" w:firstLineChars="20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 2.</w:t>
      </w:r>
      <w:r>
        <w:rPr>
          <w:rFonts w:ascii="华文楷体" w:eastAsia="华文楷体" w:hAnsi="华文楷体" w:cs="仿宋_GB2312" w:hint="eastAsia"/>
          <w:szCs w:val="21"/>
          <w:highlight w:val="none"/>
          <w:u w:val="single"/>
        </w:rPr>
        <w:t>（ 标的名称 ）</w:t>
      </w:r>
      <w:r>
        <w:rPr>
          <w:rFonts w:ascii="华文楷体" w:eastAsia="华文楷体" w:hAnsi="华文楷体" w:cs="仿宋_GB2312" w:hint="eastAsia"/>
          <w:szCs w:val="21"/>
          <w:highlight w:val="none"/>
        </w:rPr>
        <w:t xml:space="preserve"> ， 属于</w:t>
      </w:r>
      <w:r>
        <w:rPr>
          <w:rFonts w:ascii="华文楷体" w:eastAsia="华文楷体" w:hAnsi="华文楷体" w:cs="仿宋_GB2312" w:hint="eastAsia"/>
          <w:szCs w:val="21"/>
          <w:highlight w:val="none"/>
          <w:u w:val="single"/>
        </w:rPr>
        <w:t>（招标文件中明确的所属行业 ）</w:t>
      </w:r>
      <w:r>
        <w:rPr>
          <w:rFonts w:ascii="华文楷体" w:eastAsia="华文楷体" w:hAnsi="华文楷体" w:cs="仿宋_GB2312" w:hint="eastAsia"/>
          <w:szCs w:val="21"/>
          <w:highlight w:val="none"/>
        </w:rPr>
        <w:t>行业；制造商为（企业名称），从业人员</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人，营业收入为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万元，资产总额为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万元，属于</w:t>
      </w:r>
      <w:r>
        <w:rPr>
          <w:rFonts w:ascii="华文楷体" w:eastAsia="华文楷体" w:hAnsi="华文楷体" w:cs="仿宋_GB2312" w:hint="eastAsia"/>
          <w:szCs w:val="21"/>
          <w:highlight w:val="none"/>
          <w:u w:val="single"/>
        </w:rPr>
        <w:t>（中型企业、小型企业、微型企业）</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以上企业，不属于大企业的分支机构，不存在控股股东为大企业的情形，也不存在与大企业的负责人为同一人的情形。</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本企业对上述声明内容的真实性负责。如有虚假，将依法承担相应责任。</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注：从业人员、营业收入、资产总额填报上一年度数据，无上一年度数据的新成立企业可不填报</w:t>
      </w:r>
    </w:p>
    <w:p>
      <w:pPr>
        <w:autoSpaceDN w:val="0"/>
        <w:spacing w:line="440" w:lineRule="exact"/>
        <w:ind w:right="170"/>
        <w:rPr>
          <w:rFonts w:ascii="华文楷体" w:eastAsia="华文楷体" w:hAnsi="华文楷体" w:cs="仿宋_GB2312"/>
          <w:szCs w:val="21"/>
          <w:highlight w:val="none"/>
        </w:rPr>
      </w:pPr>
    </w:p>
    <w:p>
      <w:pPr>
        <w:adjustRightInd w:val="0"/>
        <w:snapToGrid w:val="0"/>
        <w:spacing w:line="480" w:lineRule="auto"/>
        <w:ind w:right="105" w:firstLine="3780" w:rightChars="50" w:firstLineChars="1800"/>
        <w:jc w:val="left"/>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投标人名称（电子签章）：</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w:t>
      </w:r>
    </w:p>
    <w:p>
      <w:pPr>
        <w:adjustRightInd w:val="0"/>
        <w:snapToGrid w:val="0"/>
        <w:spacing w:line="480" w:lineRule="auto"/>
        <w:ind w:right="105" w:firstLine="3780" w:rightChars="50" w:firstLineChars="1800"/>
        <w:jc w:val="left"/>
        <w:rPr>
          <w:rFonts w:ascii="华文楷体" w:eastAsia="华文楷体" w:hAnsi="华文楷体" w:cs="仿宋_GB2312" w:hint="eastAsia"/>
          <w:szCs w:val="21"/>
          <w:highlight w:val="none"/>
          <w:u w:val="single"/>
        </w:rPr>
      </w:pPr>
      <w:r>
        <w:rPr>
          <w:rFonts w:ascii="华文楷体" w:eastAsia="华文楷体" w:hAnsi="华文楷体" w:cs="仿宋_GB2312" w:hint="eastAsia"/>
          <w:szCs w:val="21"/>
          <w:highlight w:val="none"/>
        </w:rPr>
        <w:t>日 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szCs w:val="21"/>
          <w:highlight w:val="none"/>
        </w:rPr>
      </w:pPr>
      <w:r>
        <w:rPr>
          <w:rFonts w:ascii="宋体" w:eastAsia="宋体" w:hAnsi="宋体" w:cs="仿宋_GB2312" w:hint="eastAsia"/>
          <w:b/>
          <w:szCs w:val="21"/>
          <w:highlight w:val="none"/>
        </w:rPr>
        <w:t>（2）《残疾人福利性单位声明函》。</w:t>
      </w:r>
      <w:r>
        <w:rPr>
          <w:rFonts w:ascii="宋体" w:eastAsia="宋体" w:hAnsi="宋体" w:cs="仿宋_GB2312" w:hint="eastAsia"/>
          <w:szCs w:val="21"/>
          <w:highlight w:val="none"/>
        </w:rPr>
        <w:t>本声明适用于</w:t>
      </w:r>
      <w:r>
        <w:rPr>
          <w:rFonts w:ascii="宋体" w:eastAsia="宋体" w:hAnsi="宋体" w:cs="Times New Roman" w:hint="eastAsia"/>
          <w:szCs w:val="21"/>
          <w:highlight w:val="none"/>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highlight w:val="none"/>
        </w:rPr>
        <w:t>本声明由投标人提供，并对其真实性负责。</w:t>
      </w:r>
    </w:p>
    <w:p>
      <w:pPr>
        <w:tabs>
          <w:tab w:val="left" w:pos="1573"/>
        </w:tabs>
        <w:autoSpaceDN w:val="0"/>
        <w:adjustRightInd w:val="0"/>
        <w:snapToGrid w:val="0"/>
        <w:spacing w:line="360" w:lineRule="auto"/>
        <w:jc w:val="center"/>
        <w:rPr>
          <w:rFonts w:ascii="华文楷体" w:eastAsia="华文楷体" w:hAnsi="华文楷体" w:cs="仿宋_GB2312" w:hint="eastAsia"/>
          <w:b/>
          <w:szCs w:val="21"/>
          <w:highlight w:val="none"/>
        </w:rPr>
      </w:pPr>
    </w:p>
    <w:p>
      <w:pPr>
        <w:tabs>
          <w:tab w:val="left" w:pos="1573"/>
        </w:tabs>
        <w:autoSpaceDN w:val="0"/>
        <w:adjustRightInd w:val="0"/>
        <w:snapToGrid w:val="0"/>
        <w:spacing w:line="360" w:lineRule="auto"/>
        <w:jc w:val="center"/>
        <w:rPr>
          <w:rFonts w:ascii="华文楷体" w:eastAsia="华文楷体" w:hAnsi="华文楷体" w:cs="Times New Roman"/>
          <w:b/>
          <w:bCs/>
          <w:szCs w:val="20"/>
          <w:highlight w:val="none"/>
        </w:rPr>
      </w:pPr>
      <w:r>
        <w:rPr>
          <w:rFonts w:ascii="华文楷体" w:eastAsia="华文楷体" w:hAnsi="华文楷体" w:cs="Times New Roman" w:hint="eastAsia"/>
          <w:b/>
          <w:bCs/>
          <w:szCs w:val="20"/>
          <w:highlight w:val="none"/>
        </w:rPr>
        <w:t>残疾人福利性单位声明函</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本单位对上述声明的真实性负责。如有虚假，将依法承担相应责任。</w:t>
      </w:r>
    </w:p>
    <w:p>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highlight w:val="none"/>
        </w:rPr>
      </w:pPr>
    </w:p>
    <w:p>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 xml:space="preserve">                                     投标人名称（电子签章）：</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r>
        <w:rPr>
          <w:rFonts w:ascii="华文楷体" w:eastAsia="华文楷体" w:hAnsi="华文楷体" w:cs="Times New Roman" w:hint="eastAsia"/>
          <w:bCs/>
          <w:szCs w:val="20"/>
          <w:highlight w:val="none"/>
        </w:rPr>
        <w:t xml:space="preserve">                      日  期：</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hint="eastAsia"/>
          <w:szCs w:val="21"/>
          <w:highlight w:val="none"/>
        </w:rPr>
      </w:pPr>
      <w:r>
        <w:rPr>
          <w:rFonts w:ascii="宋体" w:eastAsia="宋体" w:hAnsi="宋体" w:cs="Times New Roman" w:hint="eastAsia"/>
          <w:b/>
          <w:szCs w:val="21"/>
          <w:highlight w:val="none"/>
        </w:rPr>
        <w:t>（3）</w:t>
      </w:r>
      <w:r>
        <w:rPr>
          <w:rFonts w:ascii="宋体" w:eastAsia="宋体" w:hAnsi="宋体" w:cs="Times New Roman" w:hint="eastAsia"/>
          <w:b/>
          <w:bCs/>
          <w:szCs w:val="20"/>
          <w:highlight w:val="none"/>
        </w:rPr>
        <w:t>监狱企业证明文件。</w:t>
      </w:r>
      <w:r>
        <w:rPr>
          <w:rFonts w:ascii="宋体" w:eastAsia="宋体" w:hAnsi="宋体" w:cs="Times New Roman" w:hint="eastAsia"/>
          <w:bCs/>
          <w:szCs w:val="20"/>
          <w:highlight w:val="none"/>
        </w:rPr>
        <w:t>该文件适用于</w:t>
      </w:r>
      <w:r>
        <w:rPr>
          <w:rFonts w:ascii="宋体" w:eastAsia="宋体" w:hAnsi="宋体" w:cs="Times New Roman" w:hint="eastAsia"/>
          <w:szCs w:val="21"/>
          <w:highlight w:val="none"/>
        </w:rPr>
        <w:t>符合《财政部 司法部&lt;关于政府采购支持监狱企业发展有关问题的通知&gt;》（财库〔2014〕68号）规定的监狱和戒毒企业，由</w:t>
      </w:r>
      <w:r>
        <w:rPr>
          <w:rFonts w:ascii="宋体" w:eastAsia="宋体" w:hAnsi="宋体" w:cs="仿宋_GB2312" w:hint="eastAsia"/>
          <w:szCs w:val="21"/>
          <w:highlight w:val="none"/>
        </w:rPr>
        <w:t>省级以上监狱管理局、戒毒管理局（含新疆生产建设兵团）出具，投标人提供。</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2.10.10</w:t>
      </w:r>
      <w:r>
        <w:rPr>
          <w:rFonts w:hint="eastAsia"/>
          <w:b/>
          <w:highlight w:val="none"/>
        </w:rPr>
        <w:t>联合体协议</w:t>
      </w:r>
    </w:p>
    <w:p>
      <w:pPr>
        <w:tabs>
          <w:tab w:val="left" w:pos="1573"/>
        </w:tabs>
        <w:autoSpaceDN w:val="0"/>
        <w:adjustRightInd w:val="0"/>
        <w:snapToGrid w:val="0"/>
        <w:spacing w:line="360" w:lineRule="auto"/>
        <w:rPr>
          <w:rFonts w:ascii="宋体" w:eastAsia="宋体" w:hAnsi="宋体" w:cs="Times New Roman" w:hint="eastAsia"/>
          <w:b/>
          <w:szCs w:val="21"/>
          <w:highlight w:val="none"/>
        </w:rPr>
      </w:pPr>
      <w:r>
        <w:rPr>
          <w:rFonts w:ascii="宋体" w:eastAsia="宋体" w:hAnsi="宋体" w:cs="Times New Roman" w:hint="eastAsia"/>
          <w:b/>
          <w:szCs w:val="21"/>
          <w:highlight w:val="none"/>
        </w:rPr>
        <w:t xml:space="preserve">    </w:t>
      </w:r>
      <w:r>
        <w:rPr>
          <w:rFonts w:ascii="宋体" w:eastAsia="宋体" w:hAnsi="宋体" w:cs="Times New Roman" w:hint="eastAsia"/>
          <w:szCs w:val="21"/>
          <w:highlight w:val="none"/>
        </w:rPr>
        <w:t>投标人为</w:t>
      </w:r>
      <w:r>
        <w:rPr>
          <w:rFonts w:ascii="宋体" w:eastAsia="宋体" w:hAnsi="宋体" w:cs="Times New Roman" w:hint="eastAsia"/>
          <w:szCs w:val="21"/>
          <w:highlight w:val="none"/>
        </w:rPr>
        <w:t>联合体</w:t>
      </w:r>
      <w:r>
        <w:rPr>
          <w:rFonts w:ascii="宋体" w:eastAsia="宋体" w:hAnsi="宋体" w:cs="Times New Roman" w:hint="eastAsia"/>
          <w:szCs w:val="21"/>
          <w:highlight w:val="none"/>
        </w:rPr>
        <w:t>的提供。</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p>
      <w:pPr>
        <w:spacing w:line="480" w:lineRule="auto"/>
        <w:jc w:val="center"/>
        <w:rPr>
          <w:rFonts w:ascii="华文楷体" w:eastAsia="华文楷体" w:hAnsi="华文楷体" w:cs="Times New Roman" w:hint="eastAsia"/>
          <w:highlight w:val="none"/>
        </w:rPr>
      </w:pPr>
      <w:r>
        <w:rPr>
          <w:rFonts w:ascii="华文楷体" w:eastAsia="华文楷体" w:hAnsi="华文楷体" w:cs="仿宋" w:hint="eastAsia"/>
          <w:sz w:val="24"/>
          <w:szCs w:val="24"/>
          <w:highlight w:val="none"/>
        </w:rPr>
        <w:t>联合体协议</w:t>
      </w:r>
    </w:p>
    <w:p>
      <w:pPr>
        <w:spacing w:line="360" w:lineRule="auto"/>
        <w:rPr>
          <w:rFonts w:ascii="华文楷体" w:eastAsia="华文楷体" w:hAnsi="华文楷体" w:cs="仿宋_GB2312"/>
          <w:szCs w:val="21"/>
          <w:highlight w:val="none"/>
        </w:rPr>
      </w:pPr>
      <w:r>
        <w:rPr>
          <w:rFonts w:ascii="华文楷体" w:eastAsia="华文楷体" w:hAnsi="华文楷体" w:cs="仿宋_GB2312" w:hint="eastAsia"/>
          <w:szCs w:val="21"/>
          <w:highlight w:val="none"/>
          <w:u w:val="single"/>
        </w:rPr>
        <w:t>中国气象局政府采购中心</w:t>
      </w:r>
      <w:r>
        <w:rPr>
          <w:rFonts w:ascii="华文楷体" w:eastAsia="华文楷体" w:hAnsi="华文楷体" w:cs="仿宋_GB2312" w:hint="eastAsia"/>
          <w:szCs w:val="21"/>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经研究，我方决定自愿组成联合体共同参加</w:t>
      </w:r>
      <w:r>
        <w:rPr>
          <w:rFonts w:ascii="华文楷体" w:eastAsia="华文楷体" w:hAnsi="华文楷体" w:cs="仿宋_GB2312" w:hint="eastAsia"/>
          <w:szCs w:val="21"/>
          <w:highlight w:val="none"/>
          <w:u w:val="single"/>
        </w:rPr>
        <w:t>(项目名称、项目编号、包号)</w:t>
      </w:r>
      <w:r>
        <w:rPr>
          <w:rFonts w:ascii="华文楷体" w:eastAsia="华文楷体" w:hAnsi="华文楷体" w:cs="仿宋_GB2312" w:hint="eastAsia"/>
          <w:szCs w:val="21"/>
          <w:highlight w:val="none"/>
        </w:rPr>
        <w:t>项目的投标。现就联合体投标事宜订立如下协议：</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一、联合体成员：</w:t>
      </w:r>
    </w:p>
    <w:p>
      <w:pPr>
        <w:spacing w:line="360" w:lineRule="auto"/>
        <w:ind w:firstLine="420" w:firstLineChars="200"/>
        <w:rPr>
          <w:rFonts w:ascii="华文楷体" w:eastAsia="华文楷体" w:hAnsi="华文楷体" w:cs="仿宋_GB2312"/>
          <w:szCs w:val="21"/>
          <w:highlight w:val="none"/>
          <w:u w:val="single"/>
        </w:rPr>
      </w:pPr>
      <w:bookmarkStart w:id="12" w:name="_Toc15561_WPSOffice_Level2"/>
      <w:bookmarkStart w:id="13" w:name="_Toc23749_WPSOffice_Level2"/>
      <w:r>
        <w:rPr>
          <w:rFonts w:ascii="华文楷体" w:eastAsia="华文楷体" w:hAnsi="华文楷体" w:cs="仿宋_GB2312" w:hint="eastAsia"/>
          <w:szCs w:val="21"/>
          <w:highlight w:val="none"/>
        </w:rPr>
        <w:t>1.</w:t>
      </w:r>
      <w:bookmarkEnd w:id="12"/>
      <w:bookmarkEnd w:id="13"/>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4" w:name="_Toc22173_WPSOffice_Level2"/>
      <w:bookmarkStart w:id="15" w:name="_Toc405_WPSOffice_Level2"/>
      <w:r>
        <w:rPr>
          <w:rFonts w:ascii="华文楷体" w:eastAsia="华文楷体" w:hAnsi="华文楷体" w:cs="仿宋_GB2312" w:hint="eastAsia"/>
          <w:szCs w:val="21"/>
          <w:highlight w:val="none"/>
        </w:rPr>
        <w:t>2.</w:t>
      </w:r>
      <w:bookmarkEnd w:id="14"/>
      <w:bookmarkEnd w:id="15"/>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6" w:name="_Toc23482_WPSOffice_Level2"/>
      <w:bookmarkStart w:id="17" w:name="_Toc7084_WPSOffice_Level2"/>
      <w:r>
        <w:rPr>
          <w:rFonts w:ascii="华文楷体" w:eastAsia="华文楷体" w:hAnsi="华文楷体" w:cs="仿宋_GB2312" w:hint="eastAsia"/>
          <w:szCs w:val="21"/>
          <w:highlight w:val="none"/>
        </w:rPr>
        <w:t>3.</w:t>
      </w:r>
      <w:bookmarkEnd w:id="16"/>
      <w:bookmarkEnd w:id="17"/>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二、</w:t>
      </w:r>
      <w:r>
        <w:rPr>
          <w:rFonts w:ascii="华文楷体" w:eastAsia="华文楷体" w:hAnsi="华文楷体" w:cs="仿宋_GB2312" w:hint="eastAsia"/>
          <w:szCs w:val="21"/>
          <w:highlight w:val="none"/>
          <w:u w:val="single"/>
        </w:rPr>
        <w:t>(某成员单位名称)</w:t>
      </w:r>
      <w:r>
        <w:rPr>
          <w:rFonts w:ascii="华文楷体" w:eastAsia="华文楷体" w:hAnsi="华文楷体" w:cs="仿宋_GB2312" w:hint="eastAsia"/>
          <w:szCs w:val="21"/>
          <w:highlight w:val="none"/>
        </w:rPr>
        <w:t>为(联合体名称)牵头人。</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四、联合体将严格按照招标文件的各项要求，递交投标文件，参加投标，履行中标义务和中标后的合同，并向采购人承担连带责任。</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五、联合体各成员单位内部的职责分工如下：</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。按照本条上述分工，联合体成员单位各自所承担的合同工作量比例如下：</w:t>
      </w:r>
      <w:r>
        <w:rPr>
          <w:rFonts w:ascii="仿宋" w:eastAsia="仿宋" w:hAnsi="仿宋" w:cs="仿宋_GB2312" w:hint="eastAsia"/>
          <w:sz w:val="24"/>
          <w:szCs w:val="24"/>
          <w:highlight w:val="none"/>
          <w:u w:val="single"/>
        </w:rPr>
        <w:t xml:space="preserve">                  </w:t>
      </w:r>
      <w:r>
        <w:rPr>
          <w:rFonts w:ascii="仿宋" w:eastAsia="仿宋" w:hAnsi="仿宋" w:cs="仿宋_GB2312" w:hint="eastAsia"/>
          <w:sz w:val="24"/>
          <w:szCs w:val="24"/>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按照本条上述分工，中小企业合同金额为：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。我公司（联合体）保证组成联合体的中小企业与联合体内其他企业之间不存在直接控股、管理关系。（专门面向中小企业的采购项目接受联合体投标的，需增加此内容）</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六、本协议书自签署之日起生效，合同履行完毕后自动失效。</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七、本协议书一式</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份，联合体成员和采购人各执</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w:t>
      </w:r>
    </w:p>
    <w:p>
      <w:pPr>
        <w:spacing w:line="360" w:lineRule="auto"/>
        <w:ind w:firstLine="420" w:firstLineChars="20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牵头人名称(电子签章)：</w:t>
      </w:r>
      <w:r>
        <w:rPr>
          <w:rFonts w:ascii="华文楷体" w:eastAsia="华文楷体" w:hAnsi="华文楷体" w:cs="仿宋_GB2312" w:hint="eastAsia"/>
          <w:szCs w:val="21"/>
          <w:highlight w:val="none"/>
          <w:u w:val="single"/>
        </w:rPr>
        <w:t xml:space="preserve">                            </w:t>
      </w:r>
    </w:p>
    <w:p>
      <w:pPr>
        <w:spacing w:line="360" w:lineRule="auto"/>
        <w:ind w:firstLine="2835" w:firstLineChars="135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成员名称(公章)：</w:t>
      </w:r>
      <w:r>
        <w:rPr>
          <w:rFonts w:ascii="华文楷体" w:eastAsia="华文楷体" w:hAnsi="华文楷体" w:cs="仿宋_GB2312" w:hint="eastAsia"/>
          <w:szCs w:val="21"/>
          <w:highlight w:val="none"/>
          <w:u w:val="singl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日期：</w:t>
      </w:r>
      <w:r>
        <w:rPr>
          <w:rFonts w:ascii="华文楷体" w:eastAsia="华文楷体" w:hAnsi="华文楷体" w:cs="仿宋_GB2312" w:hint="eastAsia"/>
          <w:szCs w:val="24"/>
          <w:highlight w:val="none"/>
          <w:u w:val="single"/>
        </w:rPr>
        <w:t xml:space="preserve">              </w:t>
      </w:r>
      <w:r>
        <w:rPr>
          <w:rFonts w:ascii="华文楷体" w:eastAsia="华文楷体" w:hAnsi="华文楷体" w:cs="仿宋_GB2312" w:hint="eastAsia"/>
          <w:szCs w:val="21"/>
          <w:highlight w:val="non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注：1、联合体其他成员可直接加盖公章，不需要电子签章。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2、牵头投标人可加盖公章后，扫描并上传至电子投标文件及相关文件相应位置，再进行电子签章。</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pStyle w:val="10"/>
        <w:numPr>
          <w:ilvl w:val="0"/>
          <w:numId w:val="0"/>
        </w:numPr>
        <w:tabs>
          <w:tab w:val="left" w:pos="1573"/>
        </w:tabs>
        <w:adjustRightInd w:val="0"/>
        <w:snapToGrid w:val="0"/>
        <w:spacing w:line="360" w:lineRule="auto"/>
        <w:ind w:firstLine="420" w:firstLineChars="200"/>
        <w:jc w:val="left"/>
        <w:outlineLvl w:val="4"/>
        <w:rPr>
          <w:rFonts w:hint="eastAsia"/>
          <w:b/>
          <w:highlight w:val="none"/>
        </w:rPr>
      </w:pPr>
      <w:r>
        <w:rPr>
          <w:rFonts w:hint="eastAsia"/>
          <w:b/>
          <w:highlight w:val="none"/>
        </w:rPr>
        <w:t>2.10.11分包意向协议</w:t>
      </w:r>
    </w:p>
    <w:p>
      <w:pPr>
        <w:keepNext/>
        <w:keepLines/>
        <w:spacing w:before="240" w:after="64" w:line="317" w:lineRule="auto"/>
        <w:jc w:val="center"/>
        <w:rPr>
          <w:rFonts w:ascii="华文楷体" w:eastAsia="华文楷体" w:hAnsi="华文楷体" w:cs="仿宋" w:hint="eastAsia"/>
          <w:bCs/>
          <w:kern w:val="0"/>
          <w:szCs w:val="28"/>
          <w:highlight w:val="none"/>
        </w:rPr>
      </w:pPr>
      <w:r>
        <w:rPr>
          <w:rFonts w:ascii="华文楷体" w:eastAsia="华文楷体" w:hAnsi="华文楷体" w:cs="仿宋" w:hint="eastAsia"/>
          <w:bCs/>
          <w:kern w:val="0"/>
          <w:sz w:val="24"/>
          <w:szCs w:val="28"/>
          <w:highlight w:val="none"/>
        </w:rPr>
        <w:t>分包意向协议（如有）</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甲方：（分包单位）</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乙方：（承包单位）   </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经甲、乙双方协商，甲方</w:t>
      </w:r>
      <w:r>
        <w:rPr>
          <w:rFonts w:ascii="华文楷体" w:eastAsia="华文楷体" w:hAnsi="华文楷体" w:cs="仿宋_GB2312" w:hint="eastAsia"/>
          <w:kern w:val="0"/>
          <w:szCs w:val="21"/>
          <w:highlight w:val="none"/>
        </w:rPr>
        <w:t>拟在中标后将成交项目</w:t>
      </w:r>
      <w:r>
        <w:rPr>
          <w:rFonts w:ascii="华文楷体" w:eastAsia="华文楷体" w:hAnsi="华文楷体" w:cs="仿宋_GB2312" w:hint="eastAsia"/>
          <w:szCs w:val="21"/>
          <w:highlight w:val="none"/>
          <w:u w:val="single"/>
        </w:rPr>
        <w:t>（项目编号、项目名称、包号）</w:t>
      </w:r>
      <w:r>
        <w:rPr>
          <w:rFonts w:ascii="华文楷体" w:eastAsia="华文楷体" w:hAnsi="华文楷体" w:cs="仿宋_GB2312" w:hint="eastAsia"/>
          <w:szCs w:val="21"/>
          <w:highlight w:val="none"/>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highlight w:val="none"/>
        </w:rPr>
        <w:t>约定</w:t>
      </w:r>
      <w:r>
        <w:rPr>
          <w:rFonts w:ascii="华文楷体" w:eastAsia="华文楷体" w:hAnsi="华文楷体" w:cs="仿宋_GB2312" w:hint="eastAsia"/>
          <w:szCs w:val="21"/>
          <w:highlight w:val="none"/>
        </w:rPr>
        <w:t>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甲乙双方保证，</w:t>
      </w:r>
      <w:r>
        <w:rPr>
          <w:rFonts w:ascii="华文楷体" w:eastAsia="华文楷体" w:hAnsi="华文楷体" w:cs="仿宋_GB2312"/>
          <w:szCs w:val="21"/>
          <w:highlight w:val="none"/>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甲方名称（盖章）：                乙方名称（盖章）：</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日期：                            日期：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注：1、乙方可直接加盖公章，不需要电子签章。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2、投标人（甲方）可加盖公章后，扫描并上传至电子投标文件及相关文件相应位置，再进行电子签章。</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bookmarkEnd w:id="11"/>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2.10.12其他资格证明文件</w:t>
      </w:r>
    </w:p>
    <w:p>
      <w:pPr>
        <w:rPr>
          <w:highlight w:val="none"/>
        </w:rPr>
      </w:pPr>
      <w:r>
        <w:rPr>
          <w:rFonts w:ascii="Times New Roman" w:eastAsia="宋体" w:hAnsi="Times New Roman" w:cs="Times New Roman" w:hint="eastAsia"/>
          <w:szCs w:val="20"/>
          <w:highlight w:val="none"/>
        </w:rPr>
        <w:t>按照</w:t>
      </w:r>
      <w:r>
        <w:rPr>
          <w:rFonts w:ascii="Times New Roman" w:eastAsia="宋体" w:hAnsi="Times New Roman" w:cs="Times New Roman" w:hint="eastAsia"/>
          <w:b/>
          <w:szCs w:val="20"/>
          <w:highlight w:val="none"/>
        </w:rPr>
        <w:t>第五章投标人须知专用部分5.2条</w:t>
      </w:r>
      <w:r>
        <w:rPr>
          <w:rFonts w:ascii="Times New Roman" w:eastAsia="宋体" w:hAnsi="Times New Roman" w:cs="Times New Roman" w:hint="eastAsia"/>
          <w:szCs w:val="20"/>
          <w:highlight w:val="none"/>
        </w:rPr>
        <w:t>规定应提交的特殊资质条件证明文件。</w:t>
      </w:r>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11银行保函或投标保证金说明函</w:t>
      </w:r>
    </w:p>
    <w:p>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2.11.1银行保函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需用带银行抬头的格式纸出具，使用银行保函提交投标保证金的投标人提供。本项目不要求提交投标保证金的，不提供。</w:t>
      </w:r>
    </w:p>
    <w:p>
      <w:pPr>
        <w:pStyle w:val="PlainText"/>
        <w:rPr>
          <w:highlight w:val="none"/>
        </w:rPr>
      </w:pPr>
    </w:p>
    <w:p>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本保函作为</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（投标人全称）</w:t>
      </w:r>
      <w:r>
        <w:rPr>
          <w:rFonts w:ascii="华文楷体" w:eastAsia="华文楷体" w:hAnsi="华文楷体" w:hint="eastAsia"/>
          <w:highlight w:val="none"/>
        </w:rPr>
        <w:t>（以下简称“投标人”）对中国气象局政府采购中心的投标邀请提供的银行保函。投标项目名称为：</w:t>
      </w:r>
      <w:r>
        <w:rPr>
          <w:rFonts w:ascii="华文楷体" w:eastAsia="华文楷体" w:hAnsi="华文楷体" w:hint="eastAsia"/>
          <w:highlight w:val="none"/>
          <w:u w:val="single"/>
        </w:rPr>
        <w:t xml:space="preserve">       </w:t>
      </w:r>
      <w:r>
        <w:rPr>
          <w:rFonts w:ascii="华文楷体" w:eastAsia="华文楷体" w:hAnsi="华文楷体" w:hint="eastAsia"/>
          <w:highlight w:val="none"/>
        </w:rPr>
        <w:t>（项目编号：</w:t>
      </w:r>
      <w:r>
        <w:rPr>
          <w:rFonts w:ascii="华文楷体" w:eastAsia="华文楷体" w:hAnsi="华文楷体" w:hint="eastAsia"/>
          <w:highlight w:val="none"/>
          <w:u w:val="single"/>
        </w:rPr>
        <w:t xml:space="preserve">     ）</w:t>
      </w:r>
      <w:r>
        <w:rPr>
          <w:rFonts w:ascii="华文楷体" w:eastAsia="华文楷体" w:hAnsi="华文楷体" w:hint="eastAsia"/>
          <w:highlight w:val="none"/>
        </w:rPr>
        <w:t>分包号：</w:t>
      </w:r>
      <w:r>
        <w:rPr>
          <w:rFonts w:ascii="华文楷体" w:eastAsia="华文楷体" w:hAnsi="华文楷体" w:hint="eastAsia"/>
          <w:highlight w:val="none"/>
          <w:u w:val="single"/>
        </w:rPr>
        <w:t xml:space="preserve">     </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u w:val="single"/>
        </w:rPr>
        <w:t xml:space="preserve">         </w:t>
      </w:r>
      <w:r>
        <w:rPr>
          <w:rFonts w:ascii="华文楷体" w:eastAsia="华文楷体" w:hAnsi="华文楷体" w:hint="eastAsia"/>
          <w:b/>
          <w:highlight w:val="none"/>
        </w:rPr>
        <w:t>（保函开具银行名称）</w:t>
      </w:r>
      <w:r>
        <w:rPr>
          <w:rFonts w:ascii="华文楷体" w:eastAsia="华文楷体" w:hAnsi="华文楷体" w:hint="eastAsia"/>
          <w:highlight w:val="none"/>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hint="eastAsia"/>
          <w:highlight w:val="none"/>
          <w:u w:val="single"/>
        </w:rPr>
        <w:t xml:space="preserve">      </w:t>
      </w:r>
      <w:r>
        <w:rPr>
          <w:rFonts w:ascii="华文楷体" w:eastAsia="华文楷体" w:hAnsi="华文楷体" w:hint="eastAsia"/>
          <w:highlight w:val="none"/>
        </w:rPr>
        <w:t>元的保证金：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2、投标人不接受按照招标文件规定的方法对其投标价格算术错误更正的；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3、投标人有违法违规行为给招标人造成损失的；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4、在收到中标通知后30天内，投标人未能与买方签订合同；</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5、在收到中标通知后，投标人未能按规定的时间交纳</w:t>
      </w:r>
      <w:r>
        <w:rPr>
          <w:rFonts w:ascii="华文楷体" w:eastAsia="华文楷体" w:hAnsi="华文楷体" w:hint="eastAsia"/>
          <w:highlight w:val="none"/>
        </w:rPr>
        <w:t>代理服务费</w:t>
      </w:r>
      <w:r>
        <w:rPr>
          <w:rFonts w:ascii="华文楷体" w:eastAsia="华文楷体" w:hAnsi="华文楷体" w:hint="eastAsia"/>
          <w:highlight w:val="none"/>
        </w:rPr>
        <w:t>。</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本保函自开标之日起</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 个日历日内有效，并在贵方和投标人同意延长的有效期内保持有效。延长的有效期只需通知本行即可。贵方有权提前终止或解除本保函。</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出具保函银行名称：_____________________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签字：_____________________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    （印刷字体姓名和职务）</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银行公章： 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联系人姓名：</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银行地址：</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邮编：</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电话：</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传真：</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hAnsi="宋体" w:hint="eastAsia"/>
          <w:highlight w:val="none"/>
        </w:rPr>
      </w:pPr>
    </w:p>
    <w:p>
      <w:pPr>
        <w:tabs>
          <w:tab w:val="left" w:pos="1573"/>
        </w:tabs>
        <w:adjustRightInd w:val="0"/>
        <w:snapToGrid w:val="0"/>
        <w:spacing w:line="360" w:lineRule="auto"/>
        <w:ind w:firstLine="412" w:firstLineChars="196"/>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1.2投标保证金说明函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使用银行信汇、电汇、银行汇票缴纳投标保证金的投标人提供。汇款凭证复印件应作为附件。本项目不要求提交投标保证金的，不提供。</w:t>
      </w:r>
    </w:p>
    <w:p>
      <w:pPr>
        <w:pStyle w:val="a0"/>
        <w:adjustRightInd w:val="0"/>
        <w:snapToGrid w:val="0"/>
        <w:spacing w:line="360" w:lineRule="auto"/>
        <w:ind w:firstLine="420" w:firstLineChars="200"/>
        <w:jc w:val="left"/>
        <w:rPr>
          <w:rFonts w:hAnsi="宋体"/>
          <w:highlight w:val="none"/>
        </w:rPr>
      </w:pP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项目名称：             项目编号：     分包号：（如无分包，请填写“无”）</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l、投标保证金金额人民币(大写) </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元，以 </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（填写：信汇或电汇）</w:t>
      </w:r>
      <w:r>
        <w:rPr>
          <w:rFonts w:ascii="华文楷体" w:eastAsia="华文楷体" w:hAnsi="华文楷体" w:hint="eastAsia"/>
          <w:highlight w:val="none"/>
        </w:rPr>
        <w:t>方式支付。</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2、在担保期内，贵方根据下列事实中的任何一点，即可无条件地扣留保证金。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(2)投标人以他人名义投标、相互串通投标或者以其他方式弄虚作假的，投标人提交的投标文件中提交虚假资料或失实资料的；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(3)中标人不按本招标文件规定与采购人签订合同的；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(4)中标人不按本招标文件的规定提交履约保证金的；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(5)中标人不按本招标文件的规定缴纳</w:t>
      </w:r>
      <w:r>
        <w:rPr>
          <w:rFonts w:ascii="华文楷体" w:eastAsia="华文楷体" w:hAnsi="华文楷体" w:hint="eastAsia"/>
          <w:highlight w:val="none"/>
        </w:rPr>
        <w:t>代理服务费</w:t>
      </w:r>
      <w:r>
        <w:rPr>
          <w:rFonts w:ascii="华文楷体" w:eastAsia="华文楷体" w:hAnsi="华文楷体" w:hint="eastAsia"/>
          <w:highlight w:val="none"/>
        </w:rPr>
        <w:t>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3、保证金自开标之日起生效，至少到投标有效期结束时有效。</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投标人(电子签章)：</w:t>
      </w:r>
      <w:r>
        <w:rPr>
          <w:rFonts w:ascii="华文楷体" w:eastAsia="华文楷体" w:hAnsi="华文楷体" w:hint="eastAsia"/>
          <w:bCs/>
          <w:highlight w:val="none"/>
        </w:rPr>
        <w:t>____________</w:t>
      </w:r>
    </w:p>
    <w:p>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pPr>
        <w:pStyle w:val="PlainText"/>
        <w:adjustRightInd w:val="0"/>
        <w:snapToGrid w:val="0"/>
        <w:spacing w:line="360" w:lineRule="auto"/>
        <w:rPr>
          <w:rFonts w:ascii="华文楷体" w:eastAsia="华文楷体" w:hAnsi="华文楷体"/>
          <w:highlight w:val="none"/>
        </w:rPr>
      </w:pPr>
      <w:r>
        <w:rPr>
          <w:rFonts w:ascii="华文楷体" w:eastAsia="华文楷体" w:hAnsi="华文楷体" w:hint="eastAsia"/>
          <w:highlight w:val="none"/>
        </w:rPr>
        <w:t>附件：银行汇款凭证</w:t>
      </w:r>
    </w:p>
    <w:p>
      <w:pPr>
        <w:rPr>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pStyle w:val="PlainText"/>
        <w:adjustRightInd w:val="0"/>
        <w:snapToGrid w:val="0"/>
        <w:spacing w:line="360" w:lineRule="auto"/>
        <w:ind w:firstLine="412" w:firstLineChars="196"/>
        <w:outlineLvl w:val="3"/>
        <w:rPr>
          <w:rFonts w:hint="eastAsia"/>
          <w:b/>
        </w:rPr>
      </w:pPr>
      <w:r>
        <w:rPr>
          <w:rFonts w:hint="eastAsia"/>
          <w:b/>
        </w:rPr>
        <w:t>2.12述标委托书</w:t>
      </w:r>
    </w:p>
    <w:p>
      <w:pPr>
        <w:pStyle w:val="PlainText"/>
        <w:adjustRightInd w:val="0"/>
        <w:snapToGrid w:val="0"/>
        <w:spacing w:line="360" w:lineRule="auto"/>
        <w:rPr>
          <w:rFonts w:hint="eastAsia"/>
        </w:rPr>
      </w:pPr>
      <w:r>
        <w:rPr>
          <w:rFonts w:hint="eastAsia"/>
        </w:rPr>
        <w:t xml:space="preserve">    本项目需要现场述标时，由代表投标人进行述标的述标人提供。</w:t>
      </w:r>
    </w:p>
    <w:p>
      <w:pPr>
        <w:pStyle w:val="PlainText"/>
        <w:adjustRightInd w:val="0"/>
        <w:snapToGrid w:val="0"/>
        <w:spacing w:line="360" w:lineRule="auto"/>
        <w:rPr>
          <w:rFonts w:hint="eastAsia"/>
        </w:rPr>
      </w:pPr>
    </w:p>
    <w:p>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pPr>
        <w:widowControl/>
        <w:adjustRightInd w:val="0"/>
        <w:snapToGrid w:val="0"/>
        <w:spacing w:line="360" w:lineRule="auto"/>
        <w:ind w:firstLine="420" w:firstLineChars="200"/>
        <w:jc w:val="left"/>
        <w:rPr>
          <w:rFonts w:ascii="华文楷体" w:eastAsia="华文楷体" w:hAnsi="华文楷体" w:cs="Times New Roman"/>
          <w:szCs w:val="21"/>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w:t>
      </w:r>
      <w:r>
        <w:rPr>
          <w:rFonts w:ascii="宋体" w:eastAsia="宋体" w:hAnsi="宋体" w:cs="Times New Roman" w:hint="eastAsia"/>
          <w:b/>
          <w:szCs w:val="21"/>
          <w:lang w:val="en-US" w:eastAsia="zh-CN"/>
        </w:rPr>
        <w:t>3</w:t>
      </w:r>
      <w:r>
        <w:rPr>
          <w:rFonts w:ascii="宋体" w:eastAsia="宋体" w:hAnsi="宋体" w:cs="Times New Roman" w:hint="eastAsia"/>
          <w:b/>
          <w:szCs w:val="20"/>
        </w:rPr>
        <w:t>其他商务文件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照第五章投标人须知专用部分5.13条规定应提交的各种商务文件。</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w:t>
      </w:r>
      <w:r>
        <w:rPr>
          <w:rFonts w:ascii="宋体" w:eastAsia="宋体" w:hAnsi="宋体" w:cs="Times New Roman" w:hint="eastAsia"/>
          <w:b/>
          <w:szCs w:val="20"/>
          <w:lang w:val="en-US" w:eastAsia="zh-CN"/>
        </w:rPr>
        <w:t>4</w:t>
      </w:r>
      <w:r>
        <w:rPr>
          <w:rFonts w:ascii="宋体" w:hAnsi="宋体" w:hint="eastAsia"/>
          <w:b/>
        </w:rPr>
        <w:t>投标人自行编写的商务文件</w:t>
      </w:r>
    </w:p>
    <w:p>
      <w:pPr>
        <w:adjustRightInd w:val="0"/>
        <w:snapToGrid w:val="0"/>
        <w:spacing w:line="360" w:lineRule="auto"/>
        <w:ind w:firstLine="420"/>
        <w:outlineLvl w:val="9"/>
        <w:rPr>
          <w:rFonts w:ascii="宋体" w:eastAsia="宋体" w:hAnsi="宋体" w:cs="Times New Roman"/>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p w:rsidR="00A77B3E"/>
    <w:p>
      <w:pPr>
        <w:tabs>
          <w:tab w:val="left" w:pos="1573"/>
        </w:tabs>
        <w:adjustRightInd w:val="0"/>
        <w:snapToGrid w:val="0"/>
        <w:spacing w:line="360" w:lineRule="auto"/>
        <w:ind w:firstLine="412" w:firstLineChars="196"/>
        <w:jc w:val="left"/>
        <w:rPr>
          <w:rFonts w:ascii="宋体" w:hAnsi="宋体"/>
          <w:b/>
          <w:szCs w:val="21"/>
          <w:highlight w:val="none"/>
        </w:rPr>
        <w:sectPr>
          <w:headerReference w:type="default" r:id="rId4"/>
          <w:footerReference w:type="default" r:id="rId5"/>
          <w:pgSz w:w="11906" w:h="16838"/>
          <w:pgMar w:top="1418" w:right="1418" w:bottom="1418" w:left="1701" w:header="851" w:footer="851" w:gutter="0"/>
          <w:pgNumType w:start="1"/>
          <w:cols w:space="708"/>
          <w:docGrid w:type="linesAndChars" w:linePitch="312"/>
        </w:sectPr>
      </w:pPr>
      <w:bookmarkEnd w:id="8"/>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pPr>
        <w:adjustRightInd w:val="0"/>
        <w:snapToGrid w:val="0"/>
        <w:spacing w:line="360" w:lineRule="auto"/>
        <w:ind w:firstLine="420"/>
        <w:outlineLvl w:val="3"/>
        <w:rPr>
          <w:rFonts w:ascii="宋体" w:eastAsia="宋体" w:hAnsi="宋体" w:cs="Times New Roman"/>
          <w:b/>
          <w:szCs w:val="21"/>
        </w:rPr>
      </w:pPr>
      <w:bookmarkStart w:id="18" w:name="插入_投标文件技术部分"/>
      <w:r>
        <w:rPr>
          <w:rFonts w:ascii="宋体" w:eastAsia="宋体" w:hAnsi="宋体" w:cs="Times New Roman" w:hint="eastAsia"/>
          <w:b/>
          <w:szCs w:val="21"/>
        </w:rPr>
        <w:t>2.15开标一览表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0" w:type="auto"/>
          <w:tblInd w:w="-66" w:type="dxa"/>
          <w:tblLayout w:type="fixed"/>
          <w:tblCellMar>
            <w:top w:w="0" w:type="dxa"/>
            <w:left w:w="0" w:type="dxa"/>
            <w:bottom w:w="0" w:type="dxa"/>
            <w:right w:w="0" w:type="dxa"/>
          </w:tblCellMar>
        </w:tblPrEx>
        <w:trPr>
          <w:cantSplit/>
          <w:trHeight w:val="503"/>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人民币大写（元）</w:t>
            </w:r>
            <w:r>
              <w:rPr>
                <w:rFonts w:ascii="华文楷体" w:eastAsia="华文楷体" w:hAnsi="华文楷体" w:cs="Times New Roman"/>
                <w:szCs w:val="21"/>
              </w:rPr>
              <w:t>：</w:t>
            </w:r>
          </w:p>
        </w:tc>
        <w:tc>
          <w:tcPr>
            <w:tcW w:w="2551" w:type="dxa"/>
            <w:vMerge w:val="restart"/>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r>
        <w:tblPrEx>
          <w:tblW w:w="0" w:type="auto"/>
          <w:tblInd w:w="-66" w:type="dxa"/>
          <w:tblLayout w:type="fixed"/>
          <w:tblCellMar>
            <w:top w:w="0" w:type="dxa"/>
            <w:left w:w="0" w:type="dxa"/>
            <w:bottom w:w="0" w:type="dxa"/>
            <w:right w:w="0" w:type="dxa"/>
          </w:tblCellMar>
        </w:tblPrEx>
        <w:trPr>
          <w:cantSplit/>
          <w:trHeight w:val="415"/>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人民币小写（元）</w:t>
            </w:r>
            <w:r>
              <w:rPr>
                <w:rFonts w:ascii="华文楷体" w:eastAsia="华文楷体" w:hAnsi="华文楷体" w:cs="Times New Roman"/>
                <w:szCs w:val="21"/>
              </w:rPr>
              <w:t>：</w:t>
            </w:r>
          </w:p>
        </w:tc>
        <w:tc>
          <w:tcPr>
            <w:tcW w:w="2551" w:type="dxa"/>
            <w:vMerge/>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rPr>
          <w:rFonts w:ascii="华文楷体" w:eastAsia="华文楷体" w:hAnsi="华文楷体" w:cs="Times New Roman"/>
          <w:szCs w:val="21"/>
        </w:rPr>
      </w:pP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5580"/>
        </w:tabs>
        <w:adjustRightInd w:val="0"/>
        <w:snapToGrid w:val="0"/>
        <w:spacing w:line="360" w:lineRule="auto"/>
        <w:jc w:val="left"/>
        <w:rPr>
          <w:rFonts w:ascii="华文楷体" w:eastAsia="华文楷体" w:hAnsi="华文楷体" w:cs="Times New Roman"/>
          <w:szCs w:val="21"/>
        </w:rPr>
      </w:pPr>
    </w:p>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2.16分</w:t>
      </w:r>
      <w:r>
        <w:rPr>
          <w:rFonts w:ascii="宋体" w:hAnsi="宋体" w:hint="eastAsia"/>
          <w:b/>
          <w:szCs w:val="21"/>
        </w:rPr>
        <w:t>项报价表</w:t>
      </w:r>
    </w:p>
    <w:p>
      <w:pPr>
        <w:adjustRightInd w:val="0"/>
        <w:snapToGrid w:val="0"/>
        <w:spacing w:line="360" w:lineRule="auto"/>
        <w:jc w:val="center"/>
        <w:rPr>
          <w:rFonts w:ascii="华文楷体" w:eastAsia="华文楷体" w:hAnsi="华文楷体"/>
          <w:b/>
          <w:szCs w:val="21"/>
        </w:rPr>
      </w:pPr>
      <w:r>
        <w:rPr>
          <w:rFonts w:ascii="华文楷体" w:eastAsia="华文楷体" w:hAnsi="华文楷体" w:hint="eastAsia"/>
          <w:b/>
          <w:szCs w:val="21"/>
        </w:rPr>
        <w:t xml:space="preserve">   分项报价表</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 xml:space="preserve">                                                                单位：元</w:t>
      </w:r>
    </w:p>
    <w:tbl>
      <w:tblPr>
        <w:tblStyle w:val="TableNormal"/>
        <w:tblW w:w="8240" w:type="dxa"/>
        <w:tblInd w:w="93" w:type="dxa"/>
        <w:tblLayout w:type="fixed"/>
        <w:tblCellMar>
          <w:top w:w="0" w:type="dxa"/>
          <w:left w:w="108" w:type="dxa"/>
          <w:bottom w:w="0" w:type="dxa"/>
          <w:right w:w="108" w:type="dxa"/>
        </w:tblCellMar>
      </w:tblPr>
      <w:tblGrid>
        <w:gridCol w:w="441"/>
        <w:gridCol w:w="874"/>
        <w:gridCol w:w="761"/>
        <w:gridCol w:w="529"/>
        <w:gridCol w:w="561"/>
        <w:gridCol w:w="713"/>
        <w:gridCol w:w="608"/>
        <w:gridCol w:w="466"/>
        <w:gridCol w:w="416"/>
        <w:gridCol w:w="450"/>
        <w:gridCol w:w="450"/>
        <w:gridCol w:w="416"/>
        <w:gridCol w:w="482"/>
        <w:gridCol w:w="434"/>
        <w:gridCol w:w="639"/>
      </w:tblGrid>
      <w:tr>
        <w:tblPrEx>
          <w:tblW w:w="8240" w:type="dxa"/>
          <w:tblInd w:w="93" w:type="dxa"/>
          <w:tblLayout w:type="fixed"/>
          <w:tblCellMar>
            <w:top w:w="0" w:type="dxa"/>
            <w:left w:w="108" w:type="dxa"/>
            <w:bottom w:w="0" w:type="dxa"/>
            <w:right w:w="108" w:type="dxa"/>
          </w:tblCellMar>
        </w:tblPrEx>
        <w:trPr>
          <w:trHeight w:val="560"/>
        </w:trPr>
        <w:tc>
          <w:tcPr>
            <w:tcW w:w="44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序号</w:t>
            </w:r>
          </w:p>
        </w:tc>
        <w:tc>
          <w:tcPr>
            <w:tcW w:w="87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采购人名称</w:t>
            </w:r>
          </w:p>
        </w:tc>
        <w:tc>
          <w:tcPr>
            <w:tcW w:w="7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货物（服务）名称</w:t>
            </w:r>
          </w:p>
        </w:tc>
        <w:tc>
          <w:tcPr>
            <w:tcW w:w="52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是否核心产品</w:t>
            </w:r>
          </w:p>
        </w:tc>
        <w:tc>
          <w:tcPr>
            <w:tcW w:w="5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品牌及型号、产地</w:t>
            </w:r>
          </w:p>
        </w:tc>
        <w:tc>
          <w:tcPr>
            <w:tcW w:w="2203" w:type="dxa"/>
            <w:gridSpan w:val="4"/>
            <w:tcBorders>
              <w:top w:val="single" w:sz="4" w:space="0" w:color="auto"/>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货物部件（具体服务）</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16"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折扣</w:t>
            </w:r>
          </w:p>
        </w:tc>
        <w:tc>
          <w:tcPr>
            <w:tcW w:w="482"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设备运费及保险费</w:t>
            </w:r>
          </w:p>
        </w:tc>
        <w:tc>
          <w:tcPr>
            <w:tcW w:w="43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报价</w:t>
            </w:r>
          </w:p>
        </w:tc>
        <w:tc>
          <w:tcPr>
            <w:tcW w:w="63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针对采购人的总报</w:t>
            </w:r>
            <w:r>
              <w:rPr>
                <w:rFonts w:ascii="宋体" w:hAnsi="宋体" w:cs="宋体" w:hint="eastAsia"/>
                <w:kern w:val="0"/>
                <w:sz w:val="20"/>
              </w:rPr>
              <w:t>价</w:t>
            </w:r>
          </w:p>
        </w:tc>
      </w:tr>
      <w:tr>
        <w:tblPrEx>
          <w:tblW w:w="8240" w:type="dxa"/>
          <w:tblInd w:w="93" w:type="dxa"/>
          <w:tblLayout w:type="fixed"/>
          <w:tblCellMar>
            <w:top w:w="0" w:type="dxa"/>
            <w:left w:w="108" w:type="dxa"/>
            <w:bottom w:w="0" w:type="dxa"/>
            <w:right w:w="108" w:type="dxa"/>
          </w:tblCellMar>
        </w:tblPrEx>
        <w:trPr>
          <w:trHeight w:val="990"/>
        </w:trPr>
        <w:tc>
          <w:tcPr>
            <w:tcW w:w="44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名称</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简要描述</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single" w:sz="4" w:space="0" w:color="auto"/>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项</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3</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4</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5</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6</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7</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8</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9</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10</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11</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12</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13</w:t>
            </w:r>
          </w:p>
        </w:tc>
        <w:tc>
          <w:tcPr>
            <w:tcW w:w="63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14</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87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hint="eastAsia"/>
                <w:kern w:val="0"/>
                <w:sz w:val="18"/>
                <w:szCs w:val="18"/>
              </w:rPr>
              <w:t>采购人1</w:t>
            </w: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货物1</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val="restart"/>
            <w:tcBorders>
              <w:top w:val="nil"/>
              <w:left w:val="single" w:sz="4" w:space="0" w:color="auto"/>
              <w:bottom w:val="single" w:sz="4" w:space="0" w:color="000000"/>
              <w:right w:val="single" w:sz="4" w:space="0" w:color="auto"/>
            </w:tcBorders>
            <w:shd w:val="clear" w:color="auto" w:fill="auto"/>
            <w:noWrap/>
            <w:vAlign w:val="center"/>
          </w:tcPr>
          <w:p>
            <w:pPr>
              <w:widowControl/>
              <w:jc w:val="center"/>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货物2</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kern w:val="0"/>
                <w:sz w:val="18"/>
                <w:szCs w:val="18"/>
              </w:rPr>
              <w:t>……</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52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采购人2</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bl>
    <w:p>
      <w:pPr>
        <w:adjustRightInd w:val="0"/>
        <w:snapToGrid w:val="0"/>
        <w:spacing w:line="360" w:lineRule="auto"/>
        <w:rPr>
          <w:rFonts w:ascii="华文楷体" w:eastAsia="华文楷体" w:hAnsi="华文楷体" w:hint="eastAsia"/>
          <w:szCs w:val="21"/>
        </w:rPr>
      </w:pPr>
    </w:p>
    <w:p>
      <w:pPr>
        <w:adjustRightInd w:val="0"/>
        <w:snapToGrid w:val="0"/>
        <w:spacing w:line="360" w:lineRule="auto"/>
        <w:jc w:val="left"/>
        <w:rPr>
          <w:rFonts w:ascii="华文楷体" w:eastAsia="华文楷体" w:hAnsi="华文楷体" w:hint="eastAsia"/>
          <w:szCs w:val="21"/>
        </w:rPr>
      </w:pPr>
      <w:r>
        <w:rPr>
          <w:rFonts w:ascii="华文楷体" w:eastAsia="华文楷体" w:hAnsi="华文楷体" w:hint="eastAsia"/>
          <w:szCs w:val="21"/>
        </w:rPr>
        <w:t>说明</w:t>
      </w:r>
      <w:r>
        <w:rPr>
          <w:rFonts w:ascii="华文楷体" w:eastAsia="华文楷体" w:hAnsi="华文楷体"/>
          <w:szCs w:val="21"/>
        </w:rPr>
        <w:t>:</w:t>
      </w:r>
      <w:r>
        <w:rPr>
          <w:rFonts w:ascii="华文楷体" w:eastAsia="华文楷体" w:hAnsi="华文楷体" w:hint="eastAsia"/>
          <w:szCs w:val="21"/>
        </w:rPr>
        <w:t xml:space="preserve"> </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1、如货物（服务）不拆分的，项5可按项2填列，项7同项9，项8同项10。</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2、如货物（服务）需拆分的，项5按拆分后的具体部件、具体服务名称等填列，针对某货物（服务）的项7×项8 之和应等于该货物（服务）项9。</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示例：如“货物1”拆分为“部件1”和“部件2”，则“货物1”项9“单价”=“部件1”项7“单价”×项8“数量”+“部件2”项7“单价”×项8“数量”</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3、项14应等于某采购人所有货物（服务）报价之和。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示例：如“采购人1”采购“货物1”和“货物2”，则“采购人1”项14“针对采购人的总报价单价”=“货物1”项13+“货物2”项13</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4、开标一览表中“投标总价”应等于所有采购人项14“针对采购人的总报价”之和。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示例：有“采购人1”和“采购人2”共两个采购人，则开标一览表中“投标总价”=“采购人1”项14+“采购人2”项14。</w:t>
      </w:r>
    </w:p>
    <w:p>
      <w:pPr>
        <w:adjustRightInd w:val="0"/>
        <w:snapToGrid w:val="0"/>
        <w:spacing w:line="360" w:lineRule="auto"/>
        <w:ind w:firstLine="105" w:firstLineChars="50"/>
        <w:jc w:val="left"/>
      </w:pPr>
      <w:r>
        <w:rPr>
          <w:rFonts w:ascii="华文楷体" w:eastAsia="华文楷体" w:hAnsi="华文楷体"/>
          <w:szCs w:val="21"/>
        </w:rPr>
        <w:t xml:space="preserve"> </w:t>
      </w:r>
      <w:r>
        <w:rPr>
          <w:rFonts w:ascii="华文楷体" w:eastAsia="华文楷体" w:hAnsi="华文楷体" w:hint="eastAsia"/>
          <w:szCs w:val="21"/>
        </w:rPr>
        <w:t xml:space="preserve">  </w:t>
      </w:r>
      <w:r>
        <w:rPr>
          <w:rFonts w:ascii="华文楷体" w:eastAsia="华文楷体" w:hAnsi="华文楷体"/>
          <w:szCs w:val="21"/>
        </w:rPr>
        <w:t xml:space="preserve"> </w:t>
      </w:r>
      <w:r>
        <w:rPr>
          <w:rFonts w:ascii="华文楷体" w:eastAsia="华文楷体" w:hAnsi="华文楷体" w:hint="eastAsia"/>
          <w:szCs w:val="21"/>
        </w:rPr>
        <w:t>5、投标人如认为还有需要提供的内容可另列表说明。</w:t>
      </w:r>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2.17技术要求偏离表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招标文件技术要求</w:t>
            </w:r>
          </w:p>
        </w:tc>
        <w:tc>
          <w:tcPr>
            <w:tcW w:w="70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vAlign w:val="center"/>
          </w:tcPr>
          <w:p>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bl>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投标人所提供的货物，应符合招标文件中采购需求提出的质量、技术要求，如对技术要求提出合理建议或更改，应在技术要求偏离表中注明。此部分不能简单填写“满足”，必须按要求附上相应证明材料，只填写“满足”而不能提供相关证明材料的或相关材料不符合要求的，不作为评审依据。</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2、采购需求标注为*的实质性条款应逐条应答，其余可填写完全满足招标文件的全部要求；</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3、“偏差”栏只能填写“正”、“无”或“负”。</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4、“投标文件的页码范围”填写应答内容所在电子文档的文件名称及对应页码。</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示例：如某应答内容在投标人自行编制的技术文件10-13页，则填列“投标人自行编制的技术文件10-13页”。</w:t>
      </w:r>
    </w:p>
    <w:p/>
    <w:p>
      <w:pPr>
        <w:adjustRightInd w:val="0"/>
        <w:snapToGrid w:val="0"/>
        <w:spacing w:line="360" w:lineRule="auto"/>
        <w:ind w:firstLine="420"/>
        <w:outlineLvl w:val="3"/>
        <w:rPr>
          <w:rFonts w:ascii="宋体" w:eastAsia="宋体" w:hAnsi="宋体" w:cs="Times New Roman"/>
          <w:b/>
          <w:szCs w:val="21"/>
        </w:rPr>
      </w:pPr>
      <w:bookmarkStart w:id="19" w:name="_Ref462505472"/>
      <w:r>
        <w:rPr>
          <w:rFonts w:ascii="宋体" w:eastAsia="宋体" w:hAnsi="宋体" w:cs="Times New Roman" w:hint="eastAsia"/>
          <w:b/>
          <w:szCs w:val="21"/>
        </w:rPr>
        <w:t>2.18主要标的信息表</w:t>
      </w:r>
      <w:bookmarkEnd w:id="19"/>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w:t>
      </w:r>
    </w:p>
    <w:tbl>
      <w:tblPr>
        <w:tblStyle w:val="TableNormal"/>
        <w:tblW w:w="5000" w:type="pct"/>
        <w:tblInd w:w="0" w:type="dxa"/>
        <w:tblCellMar>
          <w:top w:w="0" w:type="dxa"/>
          <w:left w:w="108" w:type="dxa"/>
          <w:bottom w:w="0" w:type="dxa"/>
          <w:right w:w="108" w:type="dxa"/>
        </w:tblCellMar>
      </w:tblPr>
      <w:tblGrid>
        <w:gridCol w:w="995"/>
        <w:gridCol w:w="1594"/>
        <w:gridCol w:w="1362"/>
        <w:gridCol w:w="1454"/>
        <w:gridCol w:w="1454"/>
        <w:gridCol w:w="1663"/>
      </w:tblGrid>
      <w:tr>
        <w:tblPrEx>
          <w:tblW w:w="5000" w:type="pct"/>
          <w:tblInd w:w="0" w:type="dxa"/>
          <w:tblCellMar>
            <w:top w:w="0" w:type="dxa"/>
            <w:left w:w="108" w:type="dxa"/>
            <w:bottom w:w="0" w:type="dxa"/>
            <w:right w:w="108" w:type="dxa"/>
          </w:tblCellMar>
        </w:tblPrEx>
        <w:tc>
          <w:tcPr>
            <w:tcW w:w="584"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5"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799"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853"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853"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6"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tblPrEx>
          <w:tblW w:w="5000" w:type="pct"/>
          <w:tblInd w:w="0" w:type="dxa"/>
          <w:tblCellMar>
            <w:top w:w="0" w:type="dxa"/>
            <w:left w:w="108" w:type="dxa"/>
            <w:bottom w:w="0" w:type="dxa"/>
            <w:right w:w="108" w:type="dxa"/>
          </w:tblCellMar>
        </w:tblPrEx>
        <w:trPr>
          <w:trHeight w:val="350"/>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bl>
    <w:p>
      <w:r>
        <w:rPr>
          <w:rFonts w:ascii="宋体" w:eastAsia="宋体" w:hAnsi="宋体" w:cs="Times New Roman" w:hint="eastAsia"/>
          <w:szCs w:val="21"/>
        </w:rPr>
        <w:t>注：必须按此格式填写，用途是用来发布中标公告时按照中国政府采购网格式公布供应商的主要标的信息。</w:t>
      </w:r>
    </w:p>
    <w:p>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w:t>
      </w:r>
      <w:r>
        <w:rPr>
          <w:rFonts w:ascii="宋体" w:eastAsia="宋体" w:hAnsi="宋体" w:cs="Times New Roman" w:hint="eastAsia"/>
          <w:b/>
          <w:szCs w:val="21"/>
          <w:lang w:val="en-US" w:eastAsia="zh-CN"/>
        </w:rPr>
        <w:t>9</w:t>
      </w:r>
      <w:r>
        <w:rPr>
          <w:rFonts w:ascii="宋体" w:hAnsi="宋体" w:hint="eastAsia"/>
          <w:b/>
          <w:szCs w:val="21"/>
        </w:rPr>
        <w:t>投标人项目实施和售后服务方案</w:t>
      </w:r>
    </w:p>
    <w:p>
      <w:pPr>
        <w:adjustRightInd w:val="0"/>
        <w:snapToGrid w:val="0"/>
        <w:spacing w:line="360" w:lineRule="auto"/>
        <w:ind w:firstLine="420" w:firstLineChars="200"/>
        <w:rPr>
          <w:rFonts w:ascii="宋体" w:eastAsia="宋体" w:hAnsi="宋体" w:cs="Times New Roman"/>
          <w:szCs w:val="20"/>
        </w:rPr>
      </w:pPr>
      <w:r>
        <w:rPr>
          <w:rFonts w:ascii="宋体" w:hAnsi="宋体" w:hint="eastAsia"/>
        </w:rPr>
        <w:t>服务方案包括但不限于可能涉及的运行维护、升级更新、备品备件、耗材等后续采购，以及其他相关情况。格式由投标人自拟。</w:t>
      </w:r>
    </w:p>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w:t>
      </w:r>
      <w:r>
        <w:rPr>
          <w:rFonts w:ascii="宋体" w:eastAsia="宋体" w:hAnsi="宋体" w:cs="Times New Roman" w:hint="eastAsia"/>
          <w:b/>
          <w:szCs w:val="21"/>
          <w:lang w:val="en-US" w:eastAsia="zh-CN"/>
        </w:rPr>
        <w:t>20</w:t>
      </w:r>
      <w:r>
        <w:rPr>
          <w:rFonts w:ascii="宋体" w:eastAsia="宋体" w:hAnsi="宋体" w:cs="Times New Roman" w:hint="eastAsia"/>
          <w:b/>
          <w:szCs w:val="21"/>
        </w:rPr>
        <w:t>其他技术文件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照第五章投标人须知专用部分5.13条规定应提交的各种技术文件。如招标文件第七章采购需求等章节中有专门格式要求，按专门格式编写。如无专门格式要求，由投标人自拟格式编写。</w:t>
      </w:r>
    </w:p>
    <w:p/>
    <w:p w:rsidR="00AB56BB" w:rsidRPr="00A61158" w:rsidP="00AB56BB">
      <w:pPr>
        <w:adjustRightInd w:val="0"/>
        <w:snapToGrid w:val="0"/>
        <w:spacing w:line="360" w:lineRule="auto"/>
        <w:ind w:firstLine="420"/>
        <w:outlineLvl w:val="3"/>
        <w:rPr>
          <w:rFonts w:ascii="宋体" w:hAnsi="宋体"/>
          <w:b/>
          <w:szCs w:val="21"/>
        </w:rPr>
      </w:pPr>
      <w:r>
        <w:rPr>
          <w:rFonts w:ascii="宋体" w:hAnsi="宋体" w:hint="eastAsia"/>
          <w:b/>
          <w:szCs w:val="21"/>
        </w:rPr>
        <w:t>2</w:t>
      </w:r>
      <w:r w:rsidRPr="00A61158">
        <w:rPr>
          <w:rFonts w:ascii="宋体" w:hAnsi="宋体" w:hint="eastAsia"/>
          <w:b/>
          <w:szCs w:val="21"/>
        </w:rPr>
        <w:t>.2</w:t>
      </w:r>
      <w:r>
        <w:rPr>
          <w:rFonts w:ascii="宋体" w:hAnsi="宋体" w:hint="eastAsia"/>
          <w:b/>
          <w:szCs w:val="21"/>
        </w:rPr>
        <w:t>1</w:t>
      </w:r>
      <w:r>
        <w:rPr>
          <w:rFonts w:ascii="宋体" w:hAnsi="宋体" w:hint="eastAsia"/>
          <w:b/>
          <w:szCs w:val="21"/>
        </w:rPr>
        <w:t>投标人自行编写的技术文件</w:t>
      </w:r>
    </w:p>
    <w:p w:rsidR="00D14861" w:rsidP="00AB56BB">
      <w:pPr>
        <w:ind w:firstLine="420" w:firstLineChars="200"/>
      </w:pPr>
      <w:r w:rsidRPr="003F7497">
        <w:rPr>
          <w:rFonts w:hint="eastAsia"/>
        </w:rPr>
        <w:t>投标人</w:t>
      </w:r>
      <w:r w:rsidRPr="00117062">
        <w:rPr>
          <w:rFonts w:ascii="宋体" w:hAnsi="宋体" w:hint="eastAsia"/>
        </w:rPr>
        <w:t>按</w:t>
      </w:r>
      <w:r w:rsidRPr="00117062">
        <w:rPr>
          <w:rFonts w:hint="eastAsia"/>
          <w:b/>
        </w:rPr>
        <w:t>第一章投标人须知通用部分</w:t>
      </w:r>
      <w:r w:rsidRPr="00117062">
        <w:rPr>
          <w:rFonts w:ascii="宋体" w:hAnsi="宋体" w:hint="eastAsia"/>
        </w:rPr>
        <w:t>以及</w:t>
      </w:r>
      <w:r>
        <w:rPr>
          <w:rFonts w:hint="eastAsia"/>
          <w:b/>
        </w:rPr>
        <w:t>第五章</w:t>
      </w:r>
      <w:r w:rsidRPr="00117062">
        <w:rPr>
          <w:rFonts w:hint="eastAsia"/>
          <w:b/>
        </w:rPr>
        <w:t>投标人须知专用部分</w:t>
      </w:r>
      <w:r w:rsidRPr="00117062">
        <w:rPr>
          <w:rFonts w:ascii="宋体" w:hAnsi="宋体" w:hint="eastAsia"/>
        </w:rPr>
        <w:t>的规定以及招标文件</w:t>
      </w:r>
      <w:r>
        <w:rPr>
          <w:rFonts w:hint="eastAsia"/>
          <w:b/>
          <w:bCs/>
        </w:rPr>
        <w:t>第七章</w:t>
      </w:r>
      <w:r w:rsidRPr="00C9619F">
        <w:rPr>
          <w:rFonts w:hint="eastAsia"/>
          <w:b/>
          <w:bCs/>
        </w:rPr>
        <w:t>采购需求</w:t>
      </w:r>
      <w:r w:rsidRPr="00C9619F">
        <w:rPr>
          <w:rFonts w:ascii="宋体" w:hAnsi="宋体" w:hint="eastAsia"/>
        </w:rPr>
        <w:t>中的要求自行编写，包括投标人认为需要提供的其它说明和资料。详尽、易于理解、评审和富于建设性的技术方案将在评审时具有优势。</w:t>
      </w:r>
    </w:p>
    <w:p w:rsidR="00A77B3E"/>
    <w:p>
      <w:pPr>
        <w:adjustRightInd w:val="0"/>
        <w:snapToGrid w:val="0"/>
        <w:spacing w:line="360" w:lineRule="auto"/>
        <w:ind w:firstLine="412" w:firstLineChars="196"/>
        <w:rPr>
          <w:b/>
          <w:highlight w:val="none"/>
        </w:rPr>
        <w:sectPr>
          <w:pgSz w:w="11906" w:h="16838"/>
          <w:pgMar w:top="1418" w:right="1418" w:bottom="1418" w:left="1701" w:header="851" w:footer="851" w:gutter="0"/>
          <w:pgNumType w:start="59"/>
          <w:cols w:space="708"/>
          <w:docGrid w:type="linesAndChars" w:linePitch="312"/>
        </w:sectPr>
      </w:pPr>
      <w:bookmarkEnd w:id="18"/>
    </w:p>
    <w:p>
      <w:pPr>
        <w:adjustRightInd w:val="0"/>
        <w:snapToGrid w:val="0"/>
        <w:spacing w:line="360" w:lineRule="auto"/>
        <w:ind w:firstLine="600" w:firstLineChars="200"/>
        <w:jc w:val="center"/>
        <w:outlineLvl w:val="1"/>
        <w:rPr>
          <w:b/>
          <w:bCs/>
          <w:sz w:val="30"/>
          <w:szCs w:val="30"/>
          <w:highlight w:val="none"/>
        </w:rPr>
      </w:pPr>
      <w:bookmarkEnd w:id="7"/>
      <w:r>
        <w:rPr>
          <w:rFonts w:hint="eastAsia"/>
          <w:b/>
          <w:bCs/>
          <w:sz w:val="30"/>
          <w:szCs w:val="30"/>
          <w:highlight w:val="none"/>
        </w:rPr>
        <w:t>第三章  投标被拒绝条款通用部分</w:t>
      </w:r>
    </w:p>
    <w:p>
      <w:pPr>
        <w:spacing w:line="360" w:lineRule="auto"/>
        <w:ind w:firstLine="420" w:firstLineChars="200"/>
        <w:jc w:val="left"/>
        <w:rPr>
          <w:szCs w:val="21"/>
          <w:highlight w:val="none"/>
        </w:rPr>
      </w:pPr>
      <w:r>
        <w:rPr>
          <w:rFonts w:hint="eastAsia"/>
          <w:szCs w:val="21"/>
          <w:highlight w:val="none"/>
        </w:rPr>
        <w:t>本项目投标被拒绝通用条款详见下表。除下表及</w:t>
      </w:r>
      <w:r>
        <w:rPr>
          <w:rFonts w:ascii="黑体" w:eastAsia="黑体" w:hAnsi="黑体" w:hint="eastAsia"/>
          <w:b/>
          <w:bCs/>
          <w:szCs w:val="21"/>
          <w:highlight w:val="none"/>
        </w:rPr>
        <w:t>第八章投标被拒绝条款专用部分</w:t>
      </w:r>
      <w:r>
        <w:rPr>
          <w:rFonts w:hint="eastAsia"/>
          <w:szCs w:val="21"/>
          <w:highlight w:val="none"/>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34"/>
        <w:gridCol w:w="850"/>
        <w:gridCol w:w="7723"/>
      </w:tblGrid>
      <w:tr>
        <w:tblPrEx>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563"/>
        </w:trPr>
        <w:tc>
          <w:tcPr>
            <w:tcW w:w="534" w:type="dxa"/>
            <w:vAlign w:val="center"/>
          </w:tcPr>
          <w:p>
            <w:pPr>
              <w:jc w:val="left"/>
              <w:rPr>
                <w:sz w:val="18"/>
                <w:szCs w:val="18"/>
                <w:highlight w:val="none"/>
              </w:rPr>
            </w:pPr>
            <w:r>
              <w:rPr>
                <w:rFonts w:hint="eastAsia"/>
                <w:sz w:val="18"/>
                <w:szCs w:val="18"/>
                <w:highlight w:val="none"/>
              </w:rPr>
              <w:t>序号</w:t>
            </w:r>
          </w:p>
        </w:tc>
        <w:tc>
          <w:tcPr>
            <w:tcW w:w="850" w:type="dxa"/>
            <w:vAlign w:val="center"/>
          </w:tcPr>
          <w:p>
            <w:pPr>
              <w:jc w:val="center"/>
              <w:rPr>
                <w:sz w:val="18"/>
                <w:szCs w:val="18"/>
                <w:highlight w:val="none"/>
              </w:rPr>
            </w:pPr>
            <w:r>
              <w:rPr>
                <w:rFonts w:hint="eastAsia"/>
                <w:sz w:val="18"/>
                <w:szCs w:val="18"/>
                <w:highlight w:val="none"/>
              </w:rPr>
              <w:t>对应</w:t>
            </w:r>
          </w:p>
          <w:p>
            <w:pPr>
              <w:jc w:val="center"/>
              <w:rPr>
                <w:sz w:val="18"/>
                <w:szCs w:val="18"/>
                <w:highlight w:val="none"/>
              </w:rPr>
            </w:pPr>
            <w:r>
              <w:rPr>
                <w:rFonts w:hint="eastAsia"/>
                <w:sz w:val="18"/>
                <w:szCs w:val="18"/>
                <w:highlight w:val="none"/>
              </w:rPr>
              <w:t>条款号</w:t>
            </w:r>
          </w:p>
        </w:tc>
        <w:tc>
          <w:tcPr>
            <w:tcW w:w="7723" w:type="dxa"/>
            <w:vAlign w:val="center"/>
          </w:tcPr>
          <w:p>
            <w:pPr>
              <w:jc w:val="center"/>
              <w:rPr>
                <w:sz w:val="18"/>
                <w:szCs w:val="18"/>
                <w:highlight w:val="none"/>
              </w:rPr>
            </w:pPr>
            <w:r>
              <w:rPr>
                <w:rFonts w:hint="eastAsia"/>
                <w:sz w:val="18"/>
                <w:szCs w:val="18"/>
                <w:highlight w:val="none"/>
              </w:rPr>
              <w:t>内 容</w:t>
            </w:r>
          </w:p>
        </w:tc>
      </w:tr>
      <w:tr>
        <w:tblPrEx>
          <w:tblW w:w="9107" w:type="dxa"/>
          <w:tblLayout w:type="fixed"/>
          <w:tblCellMar>
            <w:top w:w="0" w:type="dxa"/>
            <w:left w:w="108" w:type="dxa"/>
            <w:bottom w:w="0" w:type="dxa"/>
            <w:right w:w="108" w:type="dxa"/>
          </w:tblCellMar>
          <w:tblLook w:val="0000"/>
        </w:tblPrEx>
        <w:trPr>
          <w:cantSplit/>
        </w:trPr>
        <w:tc>
          <w:tcPr>
            <w:tcW w:w="9107" w:type="dxa"/>
            <w:gridSpan w:val="3"/>
            <w:vAlign w:val="center"/>
          </w:tcPr>
          <w:p>
            <w:pPr>
              <w:jc w:val="center"/>
              <w:rPr>
                <w:b/>
                <w:sz w:val="18"/>
                <w:szCs w:val="18"/>
                <w:highlight w:val="none"/>
              </w:rPr>
            </w:pPr>
            <w:r>
              <w:rPr>
                <w:rFonts w:hint="eastAsia"/>
                <w:b/>
                <w:sz w:val="18"/>
                <w:szCs w:val="18"/>
                <w:highlight w:val="none"/>
              </w:rPr>
              <w:t>第一章 投标人须知通用部分</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为本项目提供整体设计、规范编制或者项目管理、监理、检测等服务的供应商，或者</w:t>
            </w:r>
            <w:r>
              <w:rPr>
                <w:rFonts w:hint="eastAsia"/>
                <w:sz w:val="18"/>
                <w:szCs w:val="18"/>
                <w:highlight w:val="none"/>
              </w:rPr>
              <w:t>未在</w:t>
            </w:r>
            <w:r>
              <w:rPr>
                <w:sz w:val="18"/>
                <w:szCs w:val="18"/>
                <w:highlight w:val="none"/>
              </w:rPr>
              <w:t>中国气象局政府采购中心登记并领取</w:t>
            </w:r>
            <w:r>
              <w:rPr>
                <w:rFonts w:hint="eastAsia"/>
                <w:sz w:val="18"/>
                <w:szCs w:val="18"/>
                <w:highlight w:val="none"/>
              </w:rPr>
              <w:t>或购买招标文件的投标人将被拒绝。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1.3.2</w:t>
            </w:r>
          </w:p>
        </w:tc>
        <w:tc>
          <w:tcPr>
            <w:tcW w:w="7723" w:type="dxa"/>
            <w:vAlign w:val="center"/>
          </w:tcPr>
          <w:p>
            <w:pPr>
              <w:tabs>
                <w:tab w:val="left" w:pos="8460"/>
              </w:tabs>
              <w:adjustRightInd w:val="0"/>
              <w:snapToGrid w:val="0"/>
              <w:spacing w:line="360" w:lineRule="auto"/>
              <w:jc w:val="left"/>
              <w:rPr>
                <w:sz w:val="18"/>
                <w:szCs w:val="18"/>
                <w:highlight w:val="none"/>
              </w:rPr>
            </w:pPr>
            <w:r>
              <w:rPr>
                <w:rFonts w:hint="eastAsia"/>
                <w:sz w:val="18"/>
                <w:szCs w:val="18"/>
                <w:highlight w:val="none"/>
              </w:rPr>
              <w:t>不符合《中华人民共和国政府采购法》第二十二条规定条件的投标人将被拒绝。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1.3.3</w:t>
            </w:r>
          </w:p>
        </w:tc>
        <w:tc>
          <w:tcPr>
            <w:tcW w:w="7723" w:type="dxa"/>
            <w:vAlign w:val="center"/>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具有</w:t>
            </w:r>
            <w:r>
              <w:rPr>
                <w:rFonts w:hint="eastAsia"/>
                <w:b/>
                <w:bCs/>
                <w:sz w:val="18"/>
                <w:szCs w:val="18"/>
                <w:highlight w:val="none"/>
              </w:rPr>
              <w:t>第五章投标人须知专用部分5.2条</w:t>
            </w:r>
            <w:r>
              <w:rPr>
                <w:rFonts w:hint="eastAsia"/>
                <w:bCs/>
                <w:sz w:val="18"/>
                <w:szCs w:val="18"/>
                <w:highlight w:val="none"/>
              </w:rPr>
              <w:t>规定的且至投标截止日仍有效的特殊资质条件，否则投</w:t>
            </w:r>
          </w:p>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1.3.4</w:t>
            </w:r>
          </w:p>
        </w:tc>
        <w:tc>
          <w:tcPr>
            <w:tcW w:w="7723" w:type="dxa"/>
            <w:vAlign w:val="center"/>
          </w:tcPr>
          <w:p>
            <w:pPr>
              <w:pStyle w:val="10"/>
              <w:numPr>
                <w:ilvl w:val="0"/>
                <w:numId w:val="0"/>
              </w:numPr>
              <w:tabs>
                <w:tab w:val="left" w:pos="709"/>
                <w:tab w:val="left" w:pos="1573"/>
              </w:tabs>
              <w:adjustRightInd w:val="0"/>
              <w:snapToGrid w:val="0"/>
              <w:spacing w:line="360" w:lineRule="auto"/>
              <w:rPr>
                <w:rFonts w:hint="eastAsia"/>
                <w:sz w:val="18"/>
                <w:szCs w:val="18"/>
                <w:highlight w:val="none"/>
              </w:rPr>
            </w:pPr>
            <w:r>
              <w:rPr>
                <w:rFonts w:hint="eastAsia"/>
                <w:bCs/>
                <w:sz w:val="18"/>
                <w:szCs w:val="18"/>
                <w:highlight w:val="none"/>
              </w:rPr>
              <w:t>本次招标是否允许代理商（指投标人提供的货物不是自己制造的，下同）投标，以及进口产品代理商投标应</w:t>
            </w:r>
            <w:r>
              <w:rPr>
                <w:rFonts w:hint="eastAsia"/>
                <w:sz w:val="18"/>
                <w:szCs w:val="18"/>
                <w:highlight w:val="none"/>
              </w:rPr>
              <w:t>提交的资料详见</w:t>
            </w:r>
            <w:r>
              <w:rPr>
                <w:rFonts w:hint="eastAsia"/>
                <w:b/>
                <w:sz w:val="18"/>
                <w:szCs w:val="18"/>
                <w:highlight w:val="none"/>
              </w:rPr>
              <w:t>第五章投标人须知专用部分</w:t>
            </w:r>
            <w:r>
              <w:rPr>
                <w:rFonts w:hint="eastAsia"/>
                <w:sz w:val="18"/>
                <w:szCs w:val="18"/>
                <w:highlight w:val="none"/>
              </w:rPr>
              <w:t>。不符合</w:t>
            </w:r>
            <w:r>
              <w:rPr>
                <w:rFonts w:hint="eastAsia"/>
                <w:b/>
                <w:sz w:val="18"/>
                <w:szCs w:val="18"/>
                <w:highlight w:val="none"/>
              </w:rPr>
              <w:t>第五章投标人须知专用部分5.3条</w:t>
            </w:r>
            <w:r>
              <w:rPr>
                <w:rFonts w:hint="eastAsia"/>
                <w:sz w:val="18"/>
                <w:szCs w:val="18"/>
                <w:highlight w:val="none"/>
              </w:rPr>
              <w:t>有关代理商投标要求，以及进口产品代理商未按</w:t>
            </w:r>
            <w:r>
              <w:rPr>
                <w:rFonts w:hint="eastAsia"/>
                <w:b/>
                <w:sz w:val="18"/>
                <w:szCs w:val="18"/>
                <w:highlight w:val="none"/>
              </w:rPr>
              <w:t>第五章投标人须知专用部分5.4条</w:t>
            </w:r>
            <w:r>
              <w:rPr>
                <w:rFonts w:hint="eastAsia"/>
                <w:sz w:val="18"/>
                <w:szCs w:val="18"/>
                <w:highlight w:val="none"/>
              </w:rPr>
              <w:t>提交有关资料的，投标将被拒绝。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1.3.5</w:t>
            </w:r>
          </w:p>
        </w:tc>
        <w:tc>
          <w:tcPr>
            <w:tcW w:w="7723" w:type="dxa"/>
            <w:vAlign w:val="center"/>
          </w:tcPr>
          <w:p>
            <w:pPr>
              <w:rPr>
                <w:rFonts w:ascii="宋体" w:hAnsi="宋体"/>
                <w:sz w:val="18"/>
                <w:szCs w:val="18"/>
                <w:highlight w:val="none"/>
              </w:rPr>
            </w:pPr>
            <w:r>
              <w:rPr>
                <w:rFonts w:ascii="宋体" w:hAnsi="宋体" w:hint="eastAsia"/>
                <w:sz w:val="18"/>
                <w:szCs w:val="18"/>
                <w:highlight w:val="none"/>
              </w:rPr>
              <w:t>单位负责人为同一人或者存在直接控股、管理关系的不同投标人，不得参加同一分包的政府采购活动，</w:t>
            </w:r>
            <w:r>
              <w:rPr>
                <w:rFonts w:hint="eastAsia"/>
                <w:sz w:val="18"/>
                <w:szCs w:val="18"/>
                <w:highlight w:val="none"/>
              </w:rPr>
              <w:t>否则投标将被</w:t>
            </w:r>
            <w:r>
              <w:rPr>
                <w:rFonts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1.3.6</w:t>
            </w:r>
          </w:p>
        </w:tc>
        <w:tc>
          <w:tcPr>
            <w:tcW w:w="7723" w:type="dxa"/>
            <w:vAlign w:val="center"/>
          </w:tcPr>
          <w:p>
            <w:pPr>
              <w:pStyle w:val="10"/>
              <w:numPr>
                <w:ilvl w:val="0"/>
                <w:numId w:val="0"/>
              </w:numPr>
              <w:tabs>
                <w:tab w:val="left" w:pos="709"/>
                <w:tab w:val="left" w:pos="1573"/>
              </w:tabs>
              <w:adjustRightInd w:val="0"/>
              <w:snapToGrid w:val="0"/>
              <w:spacing w:line="360" w:lineRule="auto"/>
              <w:rPr>
                <w:rFonts w:ascii="Times New Roman" w:hAnsi="Times New Roman"/>
                <w:sz w:val="18"/>
                <w:szCs w:val="18"/>
                <w:highlight w:val="none"/>
              </w:rPr>
            </w:pPr>
            <w:r>
              <w:rPr>
                <w:rFonts w:hint="eastAsia"/>
                <w:sz w:val="18"/>
                <w:szCs w:val="18"/>
                <w:highlight w:val="none"/>
              </w:rPr>
              <w:t>如果不允许联合体投标，则联合体投标将被拒绝。如果允许联合体投标，其投标被拒绝的情形如下：（1）联合体投标文件未附联合体协议的，其投标将被拒绝。（2）以联合体形式参加投标的，联合体各方均应当符合《中华人民共和国政府采购法》第二十二条第一款规定的条件。否则，其提交的联合投标将被</w:t>
            </w:r>
            <w:r>
              <w:rPr>
                <w:rFonts w:eastAsia="拒绝" w:hint="eastAsia"/>
                <w:b/>
                <w:sz w:val="18"/>
                <w:szCs w:val="18"/>
                <w:highlight w:val="none"/>
              </w:rPr>
              <w:t>拒绝</w:t>
            </w:r>
            <w:r>
              <w:rPr>
                <w:rFonts w:hint="eastAsia"/>
                <w:sz w:val="18"/>
                <w:szCs w:val="18"/>
                <w:highlight w:val="none"/>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1.3.7</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1.3.8</w:t>
            </w:r>
          </w:p>
        </w:tc>
        <w:tc>
          <w:tcPr>
            <w:tcW w:w="7723" w:type="dxa"/>
            <w:vAlign w:val="center"/>
          </w:tcPr>
          <w:p>
            <w:pPr>
              <w:pStyle w:val="10"/>
              <w:numPr>
                <w:ilvl w:val="0"/>
                <w:numId w:val="0"/>
              </w:numPr>
              <w:tabs>
                <w:tab w:val="left" w:pos="709"/>
                <w:tab w:val="left" w:pos="1573"/>
              </w:tabs>
              <w:adjustRightInd w:val="0"/>
              <w:snapToGrid w:val="0"/>
              <w:jc w:val="left"/>
              <w:rPr>
                <w:rFonts w:hint="eastAsia"/>
                <w:sz w:val="18"/>
                <w:szCs w:val="18"/>
                <w:highlight w:val="none"/>
              </w:rPr>
            </w:pPr>
            <w:r>
              <w:rPr>
                <w:rFonts w:hint="eastAsia"/>
                <w:sz w:val="18"/>
                <w:szCs w:val="18"/>
                <w:highlight w:val="none"/>
              </w:rPr>
              <w:t>以投标截止日为基准日，投标人之前三年存在不良信用记录的，其投标将被作为无效投标被拒绝。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1.3.9</w:t>
            </w:r>
          </w:p>
        </w:tc>
        <w:tc>
          <w:tcPr>
            <w:tcW w:w="7723" w:type="dxa"/>
            <w:vAlign w:val="center"/>
          </w:tcPr>
          <w:p>
            <w:pPr>
              <w:rPr>
                <w:rFonts w:ascii="宋体" w:hAnsi="宋体"/>
                <w:sz w:val="18"/>
                <w:szCs w:val="18"/>
                <w:highlight w:val="none"/>
              </w:rPr>
            </w:pPr>
            <w:r>
              <w:rPr>
                <w:rFonts w:ascii="宋体" w:hAnsi="宋体" w:hint="eastAsia"/>
                <w:sz w:val="18"/>
                <w:szCs w:val="18"/>
                <w:highlight w:val="none"/>
              </w:rPr>
              <w:t>投标人在投标过程中向采购人和采购中心提供、给予任何有价值的物品。</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1.3.10</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kern w:val="0"/>
                <w:sz w:val="18"/>
                <w:szCs w:val="18"/>
                <w:highlight w:val="none"/>
              </w:rPr>
              <w:t>投标人没有其他不符合</w:t>
            </w:r>
            <w:r>
              <w:rPr>
                <w:rFonts w:ascii="宋体" w:hAnsi="宋体"/>
                <w:kern w:val="0"/>
                <w:sz w:val="18"/>
                <w:szCs w:val="18"/>
                <w:highlight w:val="none"/>
              </w:rPr>
              <w:t>国家法律法规的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，以及</w:t>
            </w:r>
            <w:r>
              <w:rPr>
                <w:rFonts w:ascii="宋体" w:hAnsi="宋体"/>
                <w:kern w:val="0"/>
                <w:sz w:val="18"/>
                <w:szCs w:val="18"/>
                <w:highlight w:val="none"/>
              </w:rPr>
              <w:t>本招标文件</w:t>
            </w:r>
            <w:r>
              <w:rPr>
                <w:rFonts w:ascii="宋体" w:hAnsi="宋体" w:hint="eastAsia"/>
                <w:kern w:val="0"/>
                <w:sz w:val="18"/>
                <w:szCs w:val="18"/>
                <w:highlight w:val="none"/>
              </w:rPr>
              <w:t>所</w:t>
            </w:r>
            <w:r>
              <w:rPr>
                <w:rFonts w:ascii="宋体" w:hAnsi="宋体"/>
                <w:kern w:val="0"/>
                <w:sz w:val="18"/>
                <w:szCs w:val="18"/>
                <w:highlight w:val="none"/>
              </w:rPr>
              <w:t>规定的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1.3.11</w:t>
            </w:r>
          </w:p>
        </w:tc>
        <w:tc>
          <w:tcPr>
            <w:tcW w:w="7723" w:type="dxa"/>
            <w:vAlign w:val="center"/>
          </w:tcPr>
          <w:p>
            <w:pPr>
              <w:tabs>
                <w:tab w:val="left" w:pos="8460"/>
              </w:tabs>
              <w:adjustRightInd w:val="0"/>
              <w:snapToGrid w:val="0"/>
              <w:spacing w:line="360" w:lineRule="auto"/>
              <w:jc w:val="left"/>
              <w:rPr>
                <w:rFonts w:ascii="宋体" w:hAnsi="宋体" w:hint="eastAsia"/>
                <w:kern w:val="0"/>
                <w:sz w:val="18"/>
                <w:szCs w:val="18"/>
                <w:highlight w:val="none"/>
              </w:rPr>
            </w:pPr>
            <w:r>
              <w:rPr>
                <w:rFonts w:ascii="宋体" w:hAnsi="宋体" w:hint="eastAsia"/>
                <w:kern w:val="0"/>
                <w:sz w:val="18"/>
                <w:szCs w:val="18"/>
                <w:highlight w:val="none"/>
              </w:rPr>
              <w:t>投标人所投标的货物如是国家法律、法规、政策禁止采购人采购的货物，或者投标人所投标的货物使用了国家法律、法规、政策禁止采购人采购的货物作为零件，投标将被拒绝。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1.3.12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如投标人授权代表不是法定代表人，须在投标函中具有法定代表人的授权，否则投标将被拒绝。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1.4.1</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本项目是否允许进口产品投标，见</w:t>
            </w:r>
            <w:r>
              <w:rPr>
                <w:rFonts w:ascii="宋体" w:hAnsi="宋体" w:hint="eastAsia"/>
                <w:b/>
                <w:bCs/>
                <w:sz w:val="18"/>
                <w:szCs w:val="18"/>
                <w:highlight w:val="none"/>
              </w:rPr>
              <w:t>第五章投标人须知专用部分</w:t>
            </w:r>
            <w:r>
              <w:rPr>
                <w:rFonts w:ascii="宋体" w:hAnsi="宋体" w:hint="eastAsia"/>
                <w:sz w:val="18"/>
                <w:szCs w:val="18"/>
                <w:highlight w:val="none"/>
              </w:rPr>
              <w:t>。</w:t>
            </w:r>
            <w:r>
              <w:rPr>
                <w:rFonts w:hint="eastAsia"/>
                <w:sz w:val="18"/>
                <w:szCs w:val="18"/>
                <w:highlight w:val="none"/>
              </w:rPr>
              <w:t>不符合</w:t>
            </w:r>
            <w:r>
              <w:rPr>
                <w:rFonts w:hint="eastAsia"/>
                <w:b/>
                <w:sz w:val="18"/>
                <w:szCs w:val="18"/>
                <w:highlight w:val="none"/>
              </w:rPr>
              <w:t>第五章投标人须知专用部分</w:t>
            </w:r>
            <w:r>
              <w:rPr>
                <w:rFonts w:hint="eastAsia"/>
                <w:sz w:val="18"/>
                <w:szCs w:val="18"/>
                <w:highlight w:val="none"/>
              </w:rPr>
              <w:t>5.8条有关进口产品投标要求的，投标将被拒绝。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1.5.3</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本项目如是预留采购份额面向中小企业采购，投标人应按照</w:t>
            </w:r>
            <w:r>
              <w:rPr>
                <w:rFonts w:ascii="宋体" w:hAnsi="宋体" w:hint="eastAsia"/>
                <w:b/>
                <w:sz w:val="18"/>
                <w:szCs w:val="18"/>
                <w:highlight w:val="none"/>
              </w:rPr>
              <w:t>第二章投标文件格式</w:t>
            </w:r>
            <w:r>
              <w:rPr>
                <w:rFonts w:ascii="宋体" w:hAnsi="宋体" w:hint="eastAsia"/>
                <w:sz w:val="18"/>
                <w:szCs w:val="18"/>
                <w:highlight w:val="none"/>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highlight w:val="none"/>
              </w:rPr>
              <w:t>第二章投标文件格式</w:t>
            </w:r>
            <w:r>
              <w:rPr>
                <w:rFonts w:ascii="宋体" w:hAnsi="宋体" w:hint="eastAsia"/>
                <w:sz w:val="18"/>
                <w:szCs w:val="18"/>
                <w:highlight w:val="none"/>
              </w:rPr>
              <w:t>）还应明确中小企业合同金额，且应达到合同总金额的30%以上（小微企业的比例不低于中小企业合同金额的60%），否则投标将被拒绝。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1.6.1</w:t>
            </w:r>
          </w:p>
        </w:tc>
        <w:tc>
          <w:tcPr>
            <w:tcW w:w="7723" w:type="dxa"/>
            <w:vAlign w:val="center"/>
          </w:tcPr>
          <w:p>
            <w:pPr>
              <w:rPr>
                <w:rFonts w:ascii="宋体" w:hAnsi="宋体"/>
                <w:sz w:val="18"/>
                <w:szCs w:val="18"/>
                <w:highlight w:val="none"/>
              </w:rPr>
            </w:pPr>
            <w:r>
              <w:rPr>
                <w:rFonts w:ascii="宋体" w:hAnsi="宋体" w:hint="eastAsia"/>
                <w:sz w:val="18"/>
                <w:szCs w:val="18"/>
                <w:highlight w:val="none"/>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1.7.1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有下列情形之一的，属于投标人相互串通投标，按照投标无效处理：</w:t>
            </w:r>
            <w:r>
              <w:rPr>
                <w:rFonts w:ascii="宋体" w:hAnsi="宋体" w:hint="eastAsia"/>
                <w:sz w:val="18"/>
                <w:szCs w:val="18"/>
                <w:highlight w:val="none"/>
              </w:rPr>
              <w:t>（1）法定代表人为同一人的投标人，同时参与本次招标相同包的投标；</w:t>
            </w:r>
            <w:r>
              <w:rPr>
                <w:rFonts w:ascii="宋体" w:hAnsi="宋体" w:hint="eastAsia"/>
                <w:sz w:val="18"/>
                <w:szCs w:val="18"/>
                <w:highlight w:val="none"/>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highlight w:val="none"/>
              </w:rPr>
              <w:t>；（6）</w:t>
            </w:r>
            <w:r>
              <w:rPr>
                <w:rFonts w:ascii="宋体" w:hAnsi="宋体" w:hint="eastAsia"/>
                <w:sz w:val="18"/>
                <w:szCs w:val="18"/>
                <w:highlight w:val="none"/>
                <w:shd w:val="clear" w:color="auto" w:fill="FFFFFF"/>
              </w:rPr>
              <w:t>投标人之间为谋取中标或者排斥特定投标人而采取的其他联合行动。</w:t>
            </w:r>
          </w:p>
        </w:tc>
      </w:tr>
      <w:tr>
        <w:tblPrEx>
          <w:tblW w:w="9107" w:type="dxa"/>
          <w:tblLayout w:type="fixed"/>
          <w:tblCellMar>
            <w:top w:w="0" w:type="dxa"/>
            <w:left w:w="108" w:type="dxa"/>
            <w:bottom w:w="0" w:type="dxa"/>
            <w:right w:w="108" w:type="dxa"/>
          </w:tblCellMar>
          <w:tblLook w:val="0000"/>
        </w:tblPrEx>
        <w:trPr>
          <w:cantSplit/>
          <w:trHeight w:val="2274"/>
        </w:trPr>
        <w:tc>
          <w:tcPr>
            <w:tcW w:w="534" w:type="dxa"/>
            <w:vAlign w:val="center"/>
          </w:tcPr>
          <w:p>
            <w:pPr>
              <w:numPr>
                <w:ilvl w:val="0"/>
                <w:numId w:val="3"/>
              </w:numPr>
              <w:spacing w:line="360" w:lineRule="auto"/>
              <w:ind w:left="0" w:firstLine="0"/>
              <w:jc w:val="left"/>
              <w:rPr>
                <w:rFonts w:ascii="宋体" w:hAnsi="宋体"/>
                <w:bCs/>
                <w:sz w:val="18"/>
                <w:szCs w:val="18"/>
                <w:highlight w:val="none"/>
              </w:rPr>
            </w:pPr>
          </w:p>
        </w:tc>
        <w:tc>
          <w:tcPr>
            <w:tcW w:w="850" w:type="dxa"/>
            <w:vAlign w:val="center"/>
          </w:tcPr>
          <w:p>
            <w:pPr>
              <w:spacing w:line="360" w:lineRule="auto"/>
              <w:rPr>
                <w:rFonts w:ascii="宋体" w:hAnsi="宋体"/>
                <w:bCs/>
                <w:sz w:val="18"/>
                <w:szCs w:val="18"/>
                <w:highlight w:val="none"/>
              </w:rPr>
            </w:pPr>
            <w:r>
              <w:rPr>
                <w:rFonts w:ascii="宋体" w:hAnsi="宋体" w:hint="eastAsia"/>
                <w:bCs/>
                <w:sz w:val="18"/>
                <w:szCs w:val="18"/>
                <w:highlight w:val="none"/>
              </w:rPr>
              <w:t>1.7.2</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highlight w:val="none"/>
              </w:rPr>
              <w:t>（7）不同投标人的投标文件为同一人签字。</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1.7.3</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1.14.2</w:t>
            </w:r>
          </w:p>
        </w:tc>
        <w:tc>
          <w:tcPr>
            <w:tcW w:w="7723" w:type="dxa"/>
            <w:vAlign w:val="center"/>
          </w:tcPr>
          <w:p>
            <w:pPr>
              <w:tabs>
                <w:tab w:val="left" w:pos="5580"/>
              </w:tabs>
              <w:adjustRightInd w:val="0"/>
              <w:snapToGrid w:val="0"/>
              <w:spacing w:line="360" w:lineRule="auto"/>
              <w:jc w:val="left"/>
              <w:rPr>
                <w:rFonts w:ascii="宋体" w:hAnsi="宋体"/>
                <w:sz w:val="18"/>
                <w:szCs w:val="18"/>
                <w:highlight w:val="none"/>
              </w:rPr>
            </w:pPr>
            <w:r>
              <w:rPr>
                <w:rFonts w:hint="eastAsia"/>
                <w:sz w:val="18"/>
                <w:szCs w:val="18"/>
                <w:highlight w:val="none"/>
              </w:rPr>
              <w:t>投标人未提交全以下商务文件（特别说明除外）：（1）法定代表人身份证明或授权委托书；</w:t>
            </w:r>
            <w:r>
              <w:rPr>
                <w:rFonts w:ascii="宋体" w:hAnsi="宋体" w:hint="eastAsia"/>
                <w:sz w:val="18"/>
                <w:szCs w:val="18"/>
                <w:highlight w:val="none"/>
              </w:rPr>
              <w:t>（2）</w:t>
            </w:r>
            <w:r>
              <w:rPr>
                <w:rFonts w:hint="eastAsia"/>
                <w:sz w:val="18"/>
                <w:szCs w:val="18"/>
                <w:highlight w:val="none"/>
              </w:rPr>
              <w:t>投标函；</w:t>
            </w:r>
            <w:r>
              <w:rPr>
                <w:rFonts w:ascii="宋体" w:hAnsi="宋体" w:hint="eastAsia"/>
                <w:sz w:val="18"/>
                <w:szCs w:val="18"/>
                <w:highlight w:val="none"/>
              </w:rPr>
              <w:t>（</w:t>
            </w:r>
            <w:r>
              <w:rPr>
                <w:rFonts w:hint="eastAsia"/>
                <w:sz w:val="18"/>
                <w:szCs w:val="18"/>
                <w:highlight w:val="none"/>
              </w:rPr>
              <w:t>3</w:t>
            </w:r>
            <w:r>
              <w:rPr>
                <w:rFonts w:ascii="宋体" w:hAnsi="宋体" w:hint="eastAsia"/>
                <w:sz w:val="18"/>
                <w:szCs w:val="18"/>
                <w:highlight w:val="none"/>
              </w:rPr>
              <w:t>）资格、资信证明文件：</w:t>
            </w:r>
            <w:r>
              <w:rPr>
                <w:rFonts w:ascii="宋体" w:hAnsi="宋体" w:hint="eastAsia"/>
                <w:sz w:val="18"/>
                <w:szCs w:val="18"/>
                <w:highlight w:val="none"/>
              </w:rPr>
              <w:t>①</w:t>
            </w:r>
            <w:r>
              <w:rPr>
                <w:rFonts w:ascii="宋体" w:hAnsi="宋体" w:hint="eastAsia"/>
                <w:sz w:val="18"/>
                <w:szCs w:val="18"/>
                <w:highlight w:val="none"/>
              </w:rPr>
              <w:t>投标人</w:t>
            </w:r>
            <w:r>
              <w:rPr>
                <w:rFonts w:ascii="宋体" w:hAnsi="宋体"/>
                <w:sz w:val="18"/>
                <w:szCs w:val="18"/>
                <w:highlight w:val="none"/>
              </w:rPr>
              <w:t>法人</w:t>
            </w:r>
            <w:r>
              <w:rPr>
                <w:rFonts w:ascii="宋体" w:hAnsi="宋体" w:hint="eastAsia"/>
                <w:sz w:val="18"/>
                <w:szCs w:val="18"/>
                <w:highlight w:val="none"/>
              </w:rPr>
              <w:t>资格</w:t>
            </w:r>
            <w:r>
              <w:rPr>
                <w:rFonts w:ascii="宋体" w:hAnsi="宋体"/>
                <w:sz w:val="18"/>
                <w:szCs w:val="18"/>
                <w:highlight w:val="none"/>
              </w:rPr>
              <w:t>证明文件</w:t>
            </w:r>
            <w:r>
              <w:rPr>
                <w:rFonts w:hint="eastAsia"/>
                <w:sz w:val="18"/>
                <w:szCs w:val="18"/>
                <w:highlight w:val="none"/>
              </w:rPr>
              <w:t>；</w:t>
            </w:r>
            <w:r>
              <w:rPr>
                <w:rFonts w:ascii="宋体" w:hAnsi="宋体" w:hint="eastAsia"/>
                <w:sz w:val="18"/>
                <w:szCs w:val="18"/>
                <w:highlight w:val="none"/>
              </w:rPr>
              <w:t>②</w:t>
            </w:r>
            <w:r>
              <w:rPr>
                <w:rFonts w:ascii="宋体" w:hAnsi="宋体" w:hint="eastAsia"/>
                <w:sz w:val="18"/>
                <w:szCs w:val="18"/>
                <w:highlight w:val="none"/>
              </w:rPr>
              <w:t>以投标截止日为基准日，近一年内内任何完税凭证或税务部门出具的税收减免证明</w:t>
            </w:r>
            <w:r>
              <w:rPr>
                <w:rFonts w:hint="eastAsia"/>
                <w:sz w:val="18"/>
                <w:szCs w:val="18"/>
                <w:highlight w:val="none"/>
              </w:rPr>
              <w:t>；</w:t>
            </w:r>
            <w:r>
              <w:rPr>
                <w:rFonts w:ascii="宋体" w:hAnsi="宋体" w:hint="eastAsia"/>
                <w:sz w:val="18"/>
                <w:szCs w:val="18"/>
                <w:highlight w:val="none"/>
              </w:rPr>
              <w:t>③</w:t>
            </w:r>
            <w:r>
              <w:rPr>
                <w:rFonts w:ascii="宋体" w:hAnsi="宋体" w:hint="eastAsia"/>
                <w:sz w:val="18"/>
                <w:szCs w:val="18"/>
                <w:highlight w:val="none"/>
              </w:rPr>
              <w:t>以投标截止日为基准日，近一年内的任何一期社会保障资金缴纳凭证</w:t>
            </w:r>
            <w:r>
              <w:rPr>
                <w:rFonts w:hint="eastAsia"/>
                <w:sz w:val="18"/>
                <w:szCs w:val="18"/>
                <w:highlight w:val="none"/>
              </w:rPr>
              <w:t>；</w:t>
            </w:r>
            <w:r>
              <w:rPr>
                <w:rFonts w:ascii="宋体" w:hAnsi="宋体" w:hint="eastAsia"/>
                <w:sz w:val="18"/>
                <w:szCs w:val="18"/>
                <w:highlight w:val="none"/>
              </w:rPr>
              <w:t>④</w:t>
            </w:r>
            <w:r>
              <w:rPr>
                <w:rFonts w:ascii="宋体" w:hAnsi="宋体" w:hint="eastAsia"/>
                <w:sz w:val="18"/>
                <w:szCs w:val="18"/>
                <w:highlight w:val="none"/>
              </w:rPr>
              <w:t>财务状况证明</w:t>
            </w:r>
            <w:r>
              <w:rPr>
                <w:rFonts w:hint="eastAsia"/>
                <w:sz w:val="18"/>
                <w:szCs w:val="18"/>
                <w:highlight w:val="none"/>
              </w:rPr>
              <w:t>；</w:t>
            </w:r>
            <w:r>
              <w:rPr>
                <w:rFonts w:ascii="宋体" w:hAnsi="宋体" w:hint="eastAsia"/>
                <w:sz w:val="18"/>
                <w:szCs w:val="18"/>
                <w:highlight w:val="none"/>
              </w:rPr>
              <w:t>⑤</w:t>
            </w:r>
            <w:r>
              <w:rPr>
                <w:rFonts w:ascii="宋体" w:hAnsi="宋体" w:hint="eastAsia"/>
                <w:sz w:val="18"/>
                <w:szCs w:val="18"/>
                <w:highlight w:val="none"/>
              </w:rPr>
              <w:t>近三年内参加政府采购活动中没有重大违法记录声明</w:t>
            </w:r>
            <w:r>
              <w:rPr>
                <w:rFonts w:hint="eastAsia"/>
                <w:sz w:val="18"/>
                <w:szCs w:val="18"/>
                <w:highlight w:val="none"/>
              </w:rPr>
              <w:t>；</w:t>
            </w:r>
            <w:r>
              <w:rPr>
                <w:rFonts w:ascii="宋体" w:hAnsi="宋体" w:hint="eastAsia"/>
                <w:sz w:val="18"/>
                <w:szCs w:val="18"/>
                <w:highlight w:val="none"/>
              </w:rPr>
              <w:t>⑥</w:t>
            </w:r>
            <w:r>
              <w:rPr>
                <w:rFonts w:ascii="宋体" w:hAnsi="宋体" w:hint="eastAsia"/>
                <w:bCs/>
                <w:sz w:val="18"/>
                <w:szCs w:val="18"/>
                <w:highlight w:val="none"/>
              </w:rPr>
              <w:t>投标货物的《</w:t>
            </w:r>
            <w:r>
              <w:rPr>
                <w:rFonts w:hint="eastAsia"/>
                <w:sz w:val="18"/>
                <w:szCs w:val="18"/>
                <w:highlight w:val="none"/>
              </w:rPr>
              <w:t>气象专用技术装备使用许可证》</w:t>
            </w:r>
            <w:r>
              <w:rPr>
                <w:rFonts w:ascii="宋体" w:hAnsi="宋体" w:hint="eastAsia"/>
                <w:sz w:val="18"/>
                <w:szCs w:val="18"/>
                <w:highlight w:val="none"/>
              </w:rPr>
              <w:t>（投标</w:t>
            </w:r>
            <w:r>
              <w:rPr>
                <w:rFonts w:hint="eastAsia"/>
                <w:sz w:val="18"/>
                <w:szCs w:val="18"/>
                <w:highlight w:val="none"/>
              </w:rPr>
              <w:t>货物不必须取得《气象专用技术装备使用许可证》的，可以不提供）</w:t>
            </w:r>
            <w:r>
              <w:rPr>
                <w:rFonts w:ascii="宋体" w:hAnsi="宋体" w:hint="eastAsia"/>
                <w:sz w:val="18"/>
                <w:szCs w:val="18"/>
                <w:highlight w:val="none"/>
              </w:rPr>
              <w:t>；</w:t>
            </w:r>
            <w:r>
              <w:rPr>
                <w:rFonts w:ascii="宋体" w:hAnsi="宋体" w:hint="eastAsia"/>
                <w:sz w:val="18"/>
                <w:szCs w:val="18"/>
                <w:highlight w:val="none"/>
              </w:rPr>
              <w:t>⑦</w:t>
            </w:r>
            <w:r>
              <w:rPr>
                <w:rFonts w:ascii="宋体" w:hAnsi="宋体" w:hint="eastAsia"/>
                <w:sz w:val="18"/>
                <w:szCs w:val="18"/>
                <w:highlight w:val="none"/>
              </w:rPr>
              <w:t>进口产品制造商授权书（投标货物不是进口产品的，不提供）；</w:t>
            </w:r>
            <w:r>
              <w:rPr>
                <w:rFonts w:ascii="宋体" w:hAnsi="宋体" w:hint="eastAsia"/>
                <w:bCs/>
                <w:sz w:val="18"/>
                <w:szCs w:val="18"/>
                <w:highlight w:val="none"/>
              </w:rPr>
              <w:t>⑧</w:t>
            </w:r>
            <w:r>
              <w:rPr>
                <w:rFonts w:ascii="宋体" w:hAnsi="宋体" w:hint="eastAsia"/>
                <w:sz w:val="18"/>
                <w:szCs w:val="18"/>
                <w:highlight w:val="none"/>
              </w:rPr>
              <w:t>中小</w:t>
            </w:r>
            <w:r>
              <w:rPr>
                <w:rFonts w:ascii="宋体" w:hAnsi="宋体"/>
                <w:sz w:val="18"/>
                <w:szCs w:val="18"/>
                <w:highlight w:val="none"/>
              </w:rPr>
              <w:t>企业声明函</w:t>
            </w:r>
            <w:r>
              <w:rPr>
                <w:rFonts w:ascii="宋体" w:hAnsi="宋体" w:hint="eastAsia"/>
                <w:sz w:val="18"/>
                <w:szCs w:val="18"/>
                <w:highlight w:val="none"/>
              </w:rPr>
              <w:t>或残疾人福利</w:t>
            </w:r>
            <w:r>
              <w:rPr>
                <w:rFonts w:hint="eastAsia"/>
                <w:bCs/>
                <w:sz w:val="18"/>
                <w:szCs w:val="18"/>
                <w:highlight w:val="none"/>
              </w:rPr>
              <w:t>性单位声明函或监狱企业证明文件（不是预留采购份额面向中小企业采购的项目，可以不提供，但不能享受可能的价格扣除优惠）；</w:t>
            </w:r>
            <w:r>
              <w:rPr>
                <w:rFonts w:ascii="宋体" w:hAnsi="宋体" w:hint="eastAsia"/>
                <w:sz w:val="18"/>
                <w:szCs w:val="18"/>
                <w:highlight w:val="none"/>
              </w:rPr>
              <w:t>⑨</w:t>
            </w:r>
            <w:r>
              <w:rPr>
                <w:rFonts w:ascii="宋体" w:hAnsi="宋体" w:hint="eastAsia"/>
                <w:sz w:val="18"/>
                <w:szCs w:val="18"/>
                <w:highlight w:val="none"/>
              </w:rPr>
              <w:t>联合体协议（如有）；</w:t>
            </w:r>
            <w:r>
              <w:rPr>
                <w:rFonts w:ascii="微软雅黑" w:eastAsia="微软雅黑" w:hAnsi="微软雅黑" w:hint="eastAsia"/>
                <w:sz w:val="18"/>
                <w:szCs w:val="18"/>
                <w:highlight w:val="none"/>
              </w:rPr>
              <w:t>⑩</w:t>
            </w:r>
            <w:r>
              <w:rPr>
                <w:rFonts w:ascii="宋体" w:hAnsi="宋体" w:hint="eastAsia"/>
                <w:sz w:val="18"/>
                <w:szCs w:val="18"/>
                <w:highlight w:val="none"/>
              </w:rPr>
              <w:t>分包意向协议（如有）；</w:t>
            </w:r>
            <w:r>
              <w:rPr>
                <w:rFonts w:ascii="宋体" w:hAnsi="宋体"/>
                <w:sz w:val="18"/>
                <w:szCs w:val="18"/>
                <w:highlight w:val="none"/>
              </w:rPr>
              <w:fldChar w:fldCharType="begin"/>
            </w:r>
            <w:r>
              <w:rPr>
                <w:rFonts w:ascii="宋体" w:hAnsi="宋体"/>
                <w:sz w:val="18"/>
                <w:szCs w:val="18"/>
                <w:highlight w:val="none"/>
              </w:rPr>
              <w:instrText xml:space="preserve"> </w:instrText>
            </w:r>
            <w:r>
              <w:rPr>
                <w:rFonts w:ascii="宋体" w:hAnsi="宋体" w:hint="eastAsia"/>
                <w:sz w:val="18"/>
                <w:szCs w:val="18"/>
                <w:highlight w:val="none"/>
              </w:rPr>
              <w:instrText>eq \o\ac(</w:instrText>
            </w:r>
            <w:r>
              <w:rPr>
                <w:rFonts w:ascii="宋体" w:hAnsi="宋体" w:hint="eastAsia"/>
                <w:sz w:val="18"/>
                <w:szCs w:val="18"/>
                <w:highlight w:val="none"/>
              </w:rPr>
              <w:instrText>○</w:instrText>
            </w:r>
            <w:r>
              <w:rPr>
                <w:rFonts w:ascii="宋体" w:hAnsi="宋体" w:hint="eastAsia"/>
                <w:sz w:val="18"/>
                <w:szCs w:val="18"/>
                <w:highlight w:val="none"/>
              </w:rPr>
              <w:instrText>,</w:instrText>
            </w:r>
            <w:r>
              <w:rPr>
                <w:rFonts w:ascii="微软雅黑" w:hAnsi="宋体" w:hint="eastAsia"/>
                <w:position w:val="3"/>
                <w:sz w:val="6"/>
                <w:szCs w:val="18"/>
                <w:highlight w:val="none"/>
              </w:rPr>
              <w:instrText>11</w:instrText>
            </w:r>
            <w:r>
              <w:rPr>
                <w:rFonts w:ascii="宋体" w:hAnsi="宋体" w:hint="eastAsia"/>
                <w:sz w:val="18"/>
                <w:szCs w:val="18"/>
                <w:highlight w:val="none"/>
              </w:rPr>
              <w:instrText>)</w:instrText>
            </w:r>
            <w:r>
              <w:rPr>
                <w:rFonts w:ascii="宋体" w:hAnsi="宋体"/>
                <w:sz w:val="18"/>
                <w:szCs w:val="18"/>
                <w:highlight w:val="none"/>
              </w:rPr>
              <w:fldChar w:fldCharType="separate"/>
            </w:r>
            <w:r>
              <w:rPr>
                <w:rFonts w:ascii="宋体" w:hAnsi="宋体"/>
                <w:sz w:val="18"/>
                <w:szCs w:val="18"/>
                <w:highlight w:val="none"/>
              </w:rPr>
              <w:fldChar w:fldCharType="end"/>
            </w:r>
            <w:r>
              <w:rPr>
                <w:rFonts w:hint="eastAsia"/>
                <w:sz w:val="18"/>
                <w:szCs w:val="18"/>
                <w:highlight w:val="none"/>
              </w:rPr>
              <w:t>按照</w:t>
            </w:r>
            <w:r>
              <w:rPr>
                <w:rFonts w:hint="eastAsia"/>
                <w:b/>
                <w:sz w:val="18"/>
                <w:szCs w:val="18"/>
                <w:highlight w:val="none"/>
              </w:rPr>
              <w:t>第五章投标人须知专用部分5.2条</w:t>
            </w:r>
            <w:r>
              <w:rPr>
                <w:rFonts w:hint="eastAsia"/>
                <w:sz w:val="18"/>
                <w:szCs w:val="18"/>
                <w:highlight w:val="none"/>
              </w:rPr>
              <w:t>规定应提交的特殊资质条件证明文件。</w:t>
            </w:r>
            <w:r>
              <w:rPr>
                <w:rFonts w:ascii="宋体" w:hAnsi="宋体" w:hint="eastAsia"/>
                <w:sz w:val="18"/>
                <w:szCs w:val="18"/>
                <w:highlight w:val="none"/>
              </w:rPr>
              <w:t>（4）银行保函或投标保证金说明函（本项目不要求提交投标保证金的不提供）。（5）</w:t>
            </w: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规定应提交的其他商务文件。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1.14.3</w:t>
            </w:r>
          </w:p>
        </w:tc>
        <w:tc>
          <w:tcPr>
            <w:tcW w:w="7723" w:type="dxa"/>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sz w:val="18"/>
                <w:szCs w:val="18"/>
                <w:highlight w:val="none"/>
              </w:rPr>
            </w:pPr>
            <w:r>
              <w:rPr>
                <w:rFonts w:hint="eastAsia"/>
                <w:sz w:val="18"/>
                <w:szCs w:val="18"/>
                <w:highlight w:val="none"/>
              </w:rPr>
              <w:t>投标人未提交全以下技术文件：1、开标一览表；2、分项报价表；3、技术要求偏离表；4、</w:t>
            </w:r>
          </w:p>
          <w:p>
            <w:pPr>
              <w:pStyle w:val="10"/>
              <w:numPr>
                <w:ilvl w:val="0"/>
                <w:numId w:val="0"/>
              </w:numPr>
              <w:tabs>
                <w:tab w:val="left" w:pos="709"/>
                <w:tab w:val="left" w:pos="1573"/>
              </w:tabs>
              <w:adjustRightInd w:val="0"/>
              <w:snapToGrid w:val="0"/>
              <w:spacing w:line="360" w:lineRule="auto"/>
              <w:ind w:left="707" w:hanging="707" w:hangingChars="393"/>
              <w:jc w:val="left"/>
              <w:rPr>
                <w:sz w:val="18"/>
                <w:szCs w:val="18"/>
                <w:highlight w:val="none"/>
              </w:rPr>
            </w:pP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规定应提交的其他技术文件。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1.15.2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rFonts w:hint="eastAsia"/>
                <w:sz w:val="18"/>
                <w:szCs w:val="18"/>
                <w:highlight w:val="none"/>
              </w:rPr>
            </w:pPr>
            <w:r>
              <w:rPr>
                <w:rFonts w:hint="eastAsia"/>
                <w:sz w:val="18"/>
                <w:szCs w:val="18"/>
                <w:highlight w:val="none"/>
              </w:rPr>
              <w:t>投标文件的盖章、签字等签署要求见1.2.8条。其中</w:t>
            </w:r>
            <w:r>
              <w:rPr>
                <w:rFonts w:hint="eastAsia"/>
                <w:sz w:val="18"/>
                <w:szCs w:val="18"/>
                <w:highlight w:val="none"/>
              </w:rPr>
              <w:t>“</w:t>
            </w:r>
            <w:r>
              <w:rPr>
                <w:rFonts w:hint="eastAsia"/>
                <w:sz w:val="18"/>
                <w:szCs w:val="18"/>
                <w:highlight w:val="none"/>
              </w:rPr>
              <w:t>投标函</w:t>
            </w:r>
            <w:r>
              <w:rPr>
                <w:rFonts w:hint="eastAsia"/>
                <w:sz w:val="18"/>
                <w:szCs w:val="18"/>
                <w:highlight w:val="none"/>
              </w:rPr>
              <w:t>”</w:t>
            </w:r>
            <w:r>
              <w:rPr>
                <w:rFonts w:hint="eastAsia"/>
                <w:sz w:val="18"/>
                <w:szCs w:val="18"/>
                <w:highlight w:val="none"/>
              </w:rPr>
              <w:t>及</w:t>
            </w:r>
            <w:r>
              <w:rPr>
                <w:rFonts w:hint="eastAsia"/>
                <w:sz w:val="18"/>
                <w:szCs w:val="18"/>
                <w:highlight w:val="none"/>
              </w:rPr>
              <w:t>“</w:t>
            </w:r>
            <w:r>
              <w:rPr>
                <w:rFonts w:hint="eastAsia"/>
                <w:sz w:val="18"/>
                <w:szCs w:val="18"/>
                <w:highlight w:val="none"/>
              </w:rPr>
              <w:t>法定代表人授权委托书</w:t>
            </w:r>
            <w:r>
              <w:rPr>
                <w:rFonts w:hint="eastAsia"/>
                <w:sz w:val="18"/>
                <w:szCs w:val="18"/>
                <w:highlight w:val="none"/>
              </w:rPr>
              <w:t>”</w:t>
            </w:r>
            <w:r>
              <w:rPr>
                <w:rFonts w:hint="eastAsia"/>
                <w:sz w:val="18"/>
                <w:szCs w:val="18"/>
                <w:highlight w:val="none"/>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在进行电子签章。不符合规定的文件将被</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1.16.3</w:t>
            </w:r>
          </w:p>
        </w:tc>
        <w:tc>
          <w:tcPr>
            <w:tcW w:w="7723" w:type="dxa"/>
            <w:vAlign w:val="center"/>
          </w:tcPr>
          <w:p>
            <w:pPr>
              <w:tabs>
                <w:tab w:val="left" w:pos="1573"/>
              </w:tabs>
              <w:adjustRightInd w:val="0"/>
              <w:snapToGrid w:val="0"/>
              <w:spacing w:line="360" w:lineRule="auto"/>
              <w:rPr>
                <w:rFonts w:ascii="宋体" w:hAnsi="宋体"/>
                <w:sz w:val="18"/>
                <w:szCs w:val="18"/>
                <w:highlight w:val="none"/>
              </w:rPr>
            </w:pPr>
            <w:r>
              <w:rPr>
                <w:rFonts w:ascii="宋体" w:hAnsi="宋体" w:hint="eastAsia"/>
                <w:bCs/>
                <w:sz w:val="18"/>
                <w:szCs w:val="18"/>
                <w:highlight w:val="none"/>
              </w:rPr>
              <w:t>如本项目</w:t>
            </w:r>
            <w:r>
              <w:rPr>
                <w:rFonts w:ascii="宋体" w:hAnsi="宋体" w:hint="eastAsia"/>
                <w:sz w:val="18"/>
                <w:szCs w:val="18"/>
                <w:highlight w:val="none"/>
              </w:rPr>
              <w:t>要求投标人提供投标保证金，</w:t>
            </w:r>
            <w:r>
              <w:rPr>
                <w:rFonts w:hint="eastAsia"/>
                <w:sz w:val="18"/>
                <w:szCs w:val="18"/>
                <w:highlight w:val="none"/>
              </w:rPr>
              <w:t>投标人未提供，或者</w:t>
            </w:r>
            <w:r>
              <w:rPr>
                <w:rFonts w:ascii="宋体" w:hAnsi="宋体" w:hint="eastAsia"/>
                <w:sz w:val="18"/>
                <w:szCs w:val="18"/>
                <w:highlight w:val="none"/>
              </w:rPr>
              <w:t>提交的投标保证金的有效期限少于投标有效期，或所提交保证金金额小于本项目应提供投标保证金额</w:t>
            </w:r>
            <w:r>
              <w:rPr>
                <w:rFonts w:ascii="宋体" w:hAnsi="宋体" w:hint="eastAsia"/>
                <w:bCs/>
                <w:sz w:val="18"/>
                <w:szCs w:val="18"/>
                <w:highlight w:val="none"/>
              </w:rPr>
              <w:t>的</w:t>
            </w:r>
            <w:r>
              <w:rPr>
                <w:rFonts w:ascii="宋体" w:hAnsi="宋体" w:hint="eastAsia"/>
                <w:sz w:val="18"/>
                <w:szCs w:val="18"/>
                <w:highlight w:val="none"/>
              </w:rPr>
              <w:t>投标人，其投标将被</w:t>
            </w:r>
            <w:r>
              <w:rPr>
                <w:rFonts w:ascii="宋体" w:hAnsi="宋体"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1.17.2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sz w:val="18"/>
                <w:szCs w:val="18"/>
                <w:highlight w:val="none"/>
              </w:rPr>
            </w:pPr>
            <w:r>
              <w:rPr>
                <w:rFonts w:hint="eastAsia"/>
                <w:sz w:val="18"/>
                <w:szCs w:val="18"/>
                <w:highlight w:val="none"/>
              </w:rPr>
              <w:t>本项目的采购预算（或最高限价）详见</w:t>
            </w:r>
            <w:r>
              <w:rPr>
                <w:rFonts w:hint="eastAsia"/>
                <w:b/>
                <w:bCs/>
                <w:sz w:val="18"/>
                <w:szCs w:val="18"/>
                <w:highlight w:val="none"/>
              </w:rPr>
              <w:t>第五章投标人须知专用部分。</w:t>
            </w:r>
            <w:r>
              <w:rPr>
                <w:rFonts w:hint="eastAsia"/>
                <w:bCs/>
                <w:sz w:val="18"/>
                <w:szCs w:val="18"/>
                <w:highlight w:val="none"/>
              </w:rPr>
              <w:t>投标人应有明确报价，</w:t>
            </w:r>
            <w:r>
              <w:rPr>
                <w:rFonts w:hint="eastAsia"/>
                <w:sz w:val="18"/>
                <w:szCs w:val="18"/>
                <w:highlight w:val="none"/>
              </w:rPr>
              <w:t>不接受无报价投标和有选择的报价以及有条件的优惠报价，且</w:t>
            </w:r>
            <w:r>
              <w:rPr>
                <w:rFonts w:hint="eastAsia"/>
                <w:bCs/>
                <w:sz w:val="18"/>
                <w:szCs w:val="18"/>
                <w:highlight w:val="none"/>
              </w:rPr>
              <w:t>报价未超过采购预算（或最高限价），否则投标将被</w:t>
            </w:r>
            <w:r>
              <w:rPr>
                <w:rFonts w:hint="eastAsia"/>
                <w:b/>
                <w:bCs/>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1.17.4</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开标一览表有以下情况之一的，将导致投标被</w:t>
            </w:r>
            <w:r>
              <w:rPr>
                <w:rFonts w:ascii="宋体" w:hAnsi="宋体" w:hint="eastAsia"/>
                <w:b/>
                <w:sz w:val="18"/>
                <w:szCs w:val="18"/>
                <w:highlight w:val="none"/>
              </w:rPr>
              <w:t>拒绝</w:t>
            </w:r>
            <w:r>
              <w:rPr>
                <w:rFonts w:ascii="宋体" w:hAnsi="宋体" w:hint="eastAsia"/>
                <w:sz w:val="18"/>
                <w:szCs w:val="18"/>
                <w:highlight w:val="none"/>
              </w:rPr>
              <w:t>且不允许在开标后补正：（1）投标人投报多包时，未按包分别填写开标一览表的；（2）未填写投标总价的；（3）未填写投标总价大写金额的。</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1.18</w:t>
            </w:r>
          </w:p>
        </w:tc>
        <w:tc>
          <w:tcPr>
            <w:tcW w:w="7723" w:type="dxa"/>
            <w:vAlign w:val="center"/>
          </w:tcPr>
          <w:p>
            <w:pPr>
              <w:tabs>
                <w:tab w:val="left" w:pos="1480"/>
              </w:tabs>
              <w:adjustRightInd w:val="0"/>
              <w:snapToGrid w:val="0"/>
              <w:spacing w:line="360" w:lineRule="auto"/>
              <w:rPr>
                <w:rFonts w:ascii="宋体" w:hAnsi="宋体"/>
                <w:sz w:val="18"/>
                <w:szCs w:val="18"/>
                <w:highlight w:val="none"/>
                <w:lang w:val="zh-CN"/>
              </w:rPr>
            </w:pPr>
            <w:r>
              <w:rPr>
                <w:rFonts w:ascii="宋体" w:hAnsi="宋体" w:hint="eastAsia"/>
                <w:sz w:val="18"/>
                <w:szCs w:val="18"/>
                <w:highlight w:val="none"/>
              </w:rPr>
              <w:t>本项目是否允许投标人将项目的非主体、非关键性工作交由他人完成详见</w:t>
            </w:r>
            <w:r>
              <w:rPr>
                <w:rFonts w:ascii="宋体" w:hAnsi="宋体" w:hint="eastAsia"/>
                <w:b/>
                <w:bCs/>
                <w:sz w:val="18"/>
                <w:szCs w:val="18"/>
                <w:highlight w:val="none"/>
              </w:rPr>
              <w:t>第五章投标人须知专用部分</w:t>
            </w:r>
            <w:r>
              <w:rPr>
                <w:rFonts w:ascii="宋体" w:hAnsi="宋体" w:hint="eastAsia"/>
                <w:sz w:val="18"/>
                <w:szCs w:val="18"/>
                <w:highlight w:val="none"/>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highlight w:val="none"/>
                <w:lang w:val="zh-CN"/>
              </w:rPr>
              <w:t>不符合招标文件中有关分包规定的，其投标将被</w:t>
            </w:r>
            <w:r>
              <w:rPr>
                <w:rFonts w:ascii="宋体" w:hAnsi="宋体" w:hint="eastAsia"/>
                <w:b/>
                <w:sz w:val="18"/>
                <w:szCs w:val="18"/>
                <w:highlight w:val="none"/>
                <w:lang w:val="zh-CN"/>
              </w:rPr>
              <w:t>拒绝</w:t>
            </w:r>
            <w:r>
              <w:rPr>
                <w:rFonts w:ascii="宋体" w:hAnsi="宋体" w:hint="eastAsia"/>
                <w:sz w:val="18"/>
                <w:szCs w:val="18"/>
                <w:highlight w:val="none"/>
                <w:lang w:val="zh-CN"/>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1.20.1</w:t>
            </w:r>
          </w:p>
        </w:tc>
        <w:tc>
          <w:tcPr>
            <w:tcW w:w="7723" w:type="dxa"/>
            <w:vAlign w:val="center"/>
          </w:tcPr>
          <w:p>
            <w:pPr>
              <w:rPr>
                <w:rFonts w:ascii="宋体" w:hAnsi="宋体"/>
                <w:sz w:val="18"/>
                <w:szCs w:val="18"/>
                <w:highlight w:val="none"/>
              </w:rPr>
            </w:pPr>
            <w:r>
              <w:rPr>
                <w:rFonts w:ascii="宋体" w:hAnsi="宋体" w:hint="eastAsia"/>
                <w:sz w:val="18"/>
                <w:szCs w:val="18"/>
                <w:highlight w:val="none"/>
              </w:rPr>
              <w:t>本项目投标有效期详见</w:t>
            </w:r>
            <w:r>
              <w:rPr>
                <w:rFonts w:ascii="宋体" w:hAnsi="宋体" w:cs="Arial" w:hint="eastAsia"/>
                <w:b/>
                <w:sz w:val="18"/>
                <w:szCs w:val="18"/>
                <w:highlight w:val="none"/>
              </w:rPr>
              <w:t>第五章投标人须知专用部分</w:t>
            </w:r>
            <w:r>
              <w:rPr>
                <w:rFonts w:ascii="宋体" w:hAnsi="宋体" w:hint="eastAsia"/>
                <w:sz w:val="18"/>
                <w:szCs w:val="18"/>
                <w:highlight w:val="none"/>
              </w:rPr>
              <w:t>。有效期短于该规定期限的投标将被拒绝。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1.26.5</w:t>
            </w:r>
          </w:p>
        </w:tc>
        <w:tc>
          <w:tcPr>
            <w:tcW w:w="7723" w:type="dxa"/>
            <w:vAlign w:val="center"/>
          </w:tcPr>
          <w:p>
            <w:pPr>
              <w:rPr>
                <w:rFonts w:ascii="宋体" w:hAnsi="宋体" w:hint="eastAsia"/>
                <w:sz w:val="18"/>
                <w:szCs w:val="18"/>
                <w:highlight w:val="none"/>
                <w:lang w:val="zh-CN"/>
              </w:rPr>
            </w:pPr>
            <w:r>
              <w:rPr>
                <w:rFonts w:hint="eastAsia"/>
                <w:sz w:val="18"/>
                <w:szCs w:val="18"/>
                <w:highlight w:val="none"/>
              </w:rPr>
              <w:t>投标文件实质上没有响应招标文件的要求，评标委员会将予以</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1.26.8</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1.26.9</w:t>
            </w:r>
          </w:p>
        </w:tc>
        <w:tc>
          <w:tcPr>
            <w:tcW w:w="7723" w:type="dxa"/>
            <w:vAlign w:val="center"/>
          </w:tcPr>
          <w:p>
            <w:pPr>
              <w:adjustRightInd w:val="0"/>
              <w:snapToGrid w:val="0"/>
              <w:spacing w:line="360" w:lineRule="auto"/>
              <w:rPr>
                <w:rFonts w:ascii="宋体" w:hAnsi="宋体"/>
                <w:sz w:val="18"/>
                <w:szCs w:val="18"/>
                <w:highlight w:val="none"/>
              </w:rPr>
            </w:pPr>
            <w:r>
              <w:rPr>
                <w:rFonts w:ascii="宋体" w:hAnsi="宋体" w:hint="eastAsia"/>
                <w:sz w:val="18"/>
                <w:szCs w:val="18"/>
                <w:highlight w:val="none"/>
              </w:rPr>
              <w:t>如发现下列情况之一的，其投标属于非实质响应招标文件要求，其投标将被</w:t>
            </w:r>
            <w:r>
              <w:rPr>
                <w:rFonts w:ascii="宋体" w:hAnsi="宋体" w:hint="eastAsia"/>
                <w:b/>
                <w:sz w:val="18"/>
                <w:szCs w:val="18"/>
                <w:highlight w:val="none"/>
              </w:rPr>
              <w:t>拒绝</w:t>
            </w:r>
            <w:r>
              <w:rPr>
                <w:rFonts w:ascii="宋体" w:hAnsi="宋体" w:hint="eastAsia"/>
                <w:sz w:val="18"/>
                <w:szCs w:val="18"/>
                <w:highlight w:val="none"/>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1.27.2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highlight w:val="none"/>
              </w:rPr>
              <w:t>拒绝</w:t>
            </w:r>
            <w:r>
              <w:rPr>
                <w:rFonts w:hint="eastAsia"/>
                <w:sz w:val="18"/>
                <w:szCs w:val="18"/>
                <w:highlight w:val="none"/>
              </w:rPr>
              <w:t>该投标。</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1.27.3</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1.30.1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在评审期间，投标人企图影响采购人、采购中心、评标委员会的任何活动，将导致投标被</w:t>
            </w:r>
            <w:r>
              <w:rPr>
                <w:rFonts w:hint="eastAsia"/>
                <w:b/>
                <w:sz w:val="18"/>
                <w:szCs w:val="18"/>
                <w:highlight w:val="none"/>
              </w:rPr>
              <w:t>拒绝</w:t>
            </w:r>
            <w:r>
              <w:rPr>
                <w:rFonts w:hint="eastAsia"/>
                <w:sz w:val="18"/>
                <w:szCs w:val="18"/>
                <w:highlight w:val="none"/>
              </w:rPr>
              <w:t>，并由其承担相应的法律责任。</w:t>
            </w:r>
          </w:p>
        </w:tc>
      </w:tr>
      <w:tr>
        <w:tblPrEx>
          <w:tblW w:w="9107" w:type="dxa"/>
          <w:tblLayout w:type="fixed"/>
          <w:tblCellMar>
            <w:top w:w="0" w:type="dxa"/>
            <w:left w:w="108" w:type="dxa"/>
            <w:bottom w:w="0" w:type="dxa"/>
            <w:right w:w="108" w:type="dxa"/>
          </w:tblCellMar>
          <w:tblLook w:val="0000"/>
        </w:tblPrEx>
        <w:trPr>
          <w:cantSplit/>
          <w:trHeight w:val="376"/>
        </w:trPr>
        <w:tc>
          <w:tcPr>
            <w:tcW w:w="9107" w:type="dxa"/>
            <w:gridSpan w:val="3"/>
            <w:vAlign w:val="center"/>
          </w:tcPr>
          <w:p>
            <w:pPr>
              <w:jc w:val="center"/>
              <w:rPr>
                <w:rFonts w:ascii="宋体" w:hAnsi="宋体"/>
                <w:b/>
                <w:sz w:val="18"/>
                <w:szCs w:val="18"/>
                <w:highlight w:val="none"/>
                <w:lang w:val="zh-CN"/>
              </w:rPr>
            </w:pPr>
            <w:r>
              <w:rPr>
                <w:rFonts w:ascii="宋体" w:hAnsi="宋体" w:hint="eastAsia"/>
                <w:b/>
                <w:sz w:val="18"/>
                <w:szCs w:val="18"/>
                <w:highlight w:val="none"/>
              </w:rPr>
              <w:t>第二章 投标文件格式</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2.6</w:t>
            </w:r>
          </w:p>
        </w:tc>
        <w:tc>
          <w:tcPr>
            <w:tcW w:w="7723" w:type="dxa"/>
            <w:vAlign w:val="center"/>
          </w:tcPr>
          <w:p>
            <w:pPr>
              <w:rPr>
                <w:sz w:val="18"/>
                <w:szCs w:val="18"/>
                <w:highlight w:val="none"/>
                <w:lang w:val="zh-CN"/>
              </w:rPr>
            </w:pPr>
            <w:r>
              <w:rPr>
                <w:rFonts w:hint="eastAsia"/>
                <w:b/>
                <w:sz w:val="18"/>
                <w:szCs w:val="18"/>
                <w:highlight w:val="none"/>
              </w:rPr>
              <w:t>法定代表人身份证明或授权委托书。</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2.7</w:t>
            </w:r>
          </w:p>
        </w:tc>
        <w:tc>
          <w:tcPr>
            <w:tcW w:w="7723" w:type="dxa"/>
            <w:vAlign w:val="center"/>
          </w:tcPr>
          <w:p>
            <w:pPr>
              <w:rPr>
                <w:sz w:val="18"/>
                <w:szCs w:val="18"/>
                <w:highlight w:val="none"/>
              </w:rPr>
            </w:pPr>
            <w:r>
              <w:rPr>
                <w:rFonts w:ascii="宋体" w:hAnsi="宋体" w:hint="eastAsia"/>
                <w:b/>
                <w:sz w:val="18"/>
                <w:szCs w:val="18"/>
                <w:highlight w:val="none"/>
              </w:rPr>
              <w:t>投标函。</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2.10.5</w:t>
            </w:r>
          </w:p>
        </w:tc>
        <w:tc>
          <w:tcPr>
            <w:tcW w:w="7723" w:type="dxa"/>
            <w:vAlign w:val="center"/>
          </w:tcPr>
          <w:p>
            <w:pPr>
              <w:pStyle w:val="10"/>
              <w:numPr>
                <w:ilvl w:val="0"/>
                <w:numId w:val="0"/>
              </w:numPr>
              <w:tabs>
                <w:tab w:val="left" w:pos="709"/>
                <w:tab w:val="left" w:pos="1573"/>
              </w:tabs>
              <w:adjustRightInd w:val="0"/>
              <w:snapToGrid w:val="0"/>
              <w:spacing w:line="360" w:lineRule="auto"/>
              <w:jc w:val="left"/>
              <w:rPr>
                <w:b/>
                <w:sz w:val="18"/>
                <w:szCs w:val="18"/>
                <w:highlight w:val="none"/>
              </w:rPr>
            </w:pPr>
            <w:r>
              <w:rPr>
                <w:rFonts w:hint="eastAsia"/>
                <w:b/>
                <w:sz w:val="18"/>
                <w:szCs w:val="18"/>
                <w:highlight w:val="none"/>
              </w:rPr>
              <w:t>参加政府采购活动前三年内，在经营活动中没有重大违法记录的声明。</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hint="eastAsia"/>
                <w:sz w:val="18"/>
                <w:szCs w:val="18"/>
                <w:highlight w:val="none"/>
              </w:rPr>
            </w:pPr>
            <w:r>
              <w:rPr>
                <w:rFonts w:ascii="宋体" w:hAnsi="宋体" w:hint="eastAsia"/>
                <w:sz w:val="18"/>
                <w:szCs w:val="18"/>
                <w:highlight w:val="none"/>
              </w:rPr>
              <w:t>2.10.9</w:t>
            </w:r>
          </w:p>
        </w:tc>
        <w:tc>
          <w:tcPr>
            <w:tcW w:w="7723" w:type="dxa"/>
            <w:vAlign w:val="center"/>
          </w:tcPr>
          <w:p>
            <w:pPr>
              <w:pStyle w:val="10"/>
              <w:numPr>
                <w:ilvl w:val="0"/>
                <w:numId w:val="0"/>
              </w:numPr>
              <w:tabs>
                <w:tab w:val="left" w:pos="709"/>
                <w:tab w:val="left" w:pos="1573"/>
              </w:tabs>
              <w:adjustRightInd w:val="0"/>
              <w:snapToGrid w:val="0"/>
              <w:spacing w:line="360" w:lineRule="auto"/>
              <w:jc w:val="left"/>
              <w:outlineLvl w:val="4"/>
              <w:rPr>
                <w:rFonts w:hint="eastAsia"/>
                <w:sz w:val="18"/>
                <w:szCs w:val="18"/>
                <w:highlight w:val="none"/>
              </w:rPr>
            </w:pPr>
            <w:r>
              <w:rPr>
                <w:rFonts w:hint="eastAsia"/>
                <w:b/>
                <w:sz w:val="18"/>
                <w:szCs w:val="18"/>
                <w:highlight w:val="none"/>
              </w:rPr>
              <w:t>中</w:t>
            </w:r>
            <w:r>
              <w:rPr>
                <w:b/>
                <w:sz w:val="18"/>
                <w:szCs w:val="18"/>
                <w:highlight w:val="none"/>
              </w:rPr>
              <w:t>小企业声明函</w:t>
            </w:r>
            <w:r>
              <w:rPr>
                <w:rFonts w:hint="eastAsia"/>
                <w:b/>
                <w:sz w:val="18"/>
                <w:szCs w:val="18"/>
                <w:highlight w:val="none"/>
              </w:rPr>
              <w:t>、</w:t>
            </w:r>
            <w:r>
              <w:rPr>
                <w:rFonts w:hint="eastAsia"/>
                <w:b/>
                <w:bCs/>
                <w:sz w:val="18"/>
                <w:szCs w:val="18"/>
                <w:highlight w:val="none"/>
              </w:rPr>
              <w:t>残疾人福利性单位声明函。</w:t>
            </w:r>
            <w:r>
              <w:rPr>
                <w:rFonts w:hint="eastAsia"/>
                <w:sz w:val="18"/>
                <w:szCs w:val="18"/>
                <w:highlight w:val="none"/>
              </w:rPr>
              <w:t>在《中小企业声明函》、《</w:t>
            </w:r>
            <w:r>
              <w:rPr>
                <w:rFonts w:hint="eastAsia"/>
                <w:bCs/>
                <w:sz w:val="18"/>
                <w:szCs w:val="18"/>
                <w:highlight w:val="none"/>
              </w:rPr>
              <w:t>残疾人福利性单位声明函》</w:t>
            </w:r>
            <w:r>
              <w:rPr>
                <w:rFonts w:hint="eastAsia"/>
                <w:sz w:val="18"/>
                <w:szCs w:val="18"/>
                <w:highlight w:val="none"/>
              </w:rPr>
              <w:t>格式文本中，除可填报内容外，对内容的任何实质性修改将被视为相关要求未得到响应，从而导致该投标被拒绝或者</w:t>
            </w:r>
            <w:r>
              <w:rPr>
                <w:rFonts w:hint="eastAsia"/>
                <w:bCs/>
                <w:sz w:val="18"/>
                <w:szCs w:val="18"/>
                <w:highlight w:val="none"/>
              </w:rPr>
              <w:t>不能享受可能的价格扣除优惠</w:t>
            </w:r>
            <w:r>
              <w:rPr>
                <w:rFonts w:hint="eastAsia"/>
                <w:sz w:val="18"/>
                <w:szCs w:val="18"/>
                <w:highlight w:val="none"/>
              </w:rPr>
              <w:t>。</w:t>
            </w:r>
          </w:p>
        </w:tc>
      </w:tr>
    </w:tbl>
    <w:p>
      <w:pPr>
        <w:spacing w:line="360" w:lineRule="auto"/>
        <w:jc w:val="left"/>
        <w:rPr>
          <w:b/>
          <w:bCs/>
          <w:sz w:val="44"/>
          <w:szCs w:val="44"/>
          <w:highlight w:val="none"/>
        </w:rPr>
      </w:pPr>
    </w:p>
    <w:p>
      <w:pPr>
        <w:spacing w:line="360" w:lineRule="auto"/>
        <w:jc w:val="left"/>
        <w:rPr>
          <w:rFonts w:ascii="宋体" w:hAnsi="宋体" w:cs="微软雅黑" w:hint="eastAsia"/>
          <w:b/>
          <w:color w:val="0000FF"/>
          <w:kern w:val="0"/>
          <w:szCs w:val="21"/>
          <w:highlight w:val="none"/>
        </w:rPr>
      </w:pPr>
      <w:r>
        <w:rPr>
          <w:b/>
          <w:bCs/>
          <w:sz w:val="44"/>
          <w:szCs w:val="44"/>
          <w:highlight w:val="none"/>
        </w:rPr>
        <w:br w:type="page"/>
      </w:r>
    </w:p>
    <w:p>
      <w:pPr>
        <w:spacing w:line="360" w:lineRule="auto"/>
        <w:jc w:val="left"/>
        <w:rPr>
          <w:rFonts w:ascii="宋体" w:hAnsi="宋体" w:cs="微软雅黑" w:hint="eastAsia"/>
          <w:b/>
          <w:color w:val="0000FF"/>
          <w:kern w:val="0"/>
          <w:szCs w:val="21"/>
          <w:highlight w:val="none"/>
        </w:rPr>
      </w:pPr>
    </w:p>
    <w:p>
      <w:pPr>
        <w:spacing w:line="360" w:lineRule="auto"/>
        <w:jc w:val="left"/>
        <w:rPr>
          <w:b/>
          <w:bCs/>
          <w:sz w:val="44"/>
          <w:szCs w:val="44"/>
          <w:highlight w:val="none"/>
        </w:rPr>
      </w:pPr>
    </w:p>
    <w:p>
      <w:pPr>
        <w:spacing w:line="360" w:lineRule="auto"/>
        <w:jc w:val="center"/>
        <w:outlineLvl w:val="0"/>
        <w:rPr>
          <w:rFonts w:ascii="宋体" w:hAnsi="宋体"/>
          <w:b/>
          <w:sz w:val="48"/>
          <w:szCs w:val="36"/>
          <w:highlight w:val="none"/>
        </w:rPr>
      </w:pPr>
      <w:r>
        <w:rPr>
          <w:rFonts w:hint="eastAsia"/>
          <w:b/>
          <w:sz w:val="48"/>
          <w:szCs w:val="36"/>
          <w:highlight w:val="none"/>
        </w:rPr>
        <w:t>第二分册：专用部分</w:t>
      </w:r>
    </w:p>
    <w:p>
      <w:pPr>
        <w:spacing w:line="360" w:lineRule="auto"/>
        <w:rPr>
          <w:highlight w:val="none"/>
        </w:rPr>
      </w:pPr>
    </w:p>
    <w:p>
      <w:pPr>
        <w:spacing w:line="360" w:lineRule="auto"/>
        <w:jc w:val="center"/>
        <w:rPr>
          <w:highlight w:val="none"/>
        </w:rPr>
      </w:pPr>
      <w:r>
        <w:rPr>
          <w:rFonts w:hint="eastAsia"/>
          <w:b/>
          <w:bCs/>
          <w:sz w:val="28"/>
          <w:szCs w:val="28"/>
          <w:highlight w:val="none"/>
        </w:rPr>
        <w:t>目    录</w:t>
      </w:r>
    </w:p>
    <w:p>
      <w:pPr>
        <w:spacing w:line="360" w:lineRule="auto"/>
        <w:rPr>
          <w:b/>
          <w:bCs/>
          <w:szCs w:val="21"/>
          <w:highlight w:val="none"/>
        </w:rPr>
      </w:pPr>
    </w:p>
    <w:p>
      <w:pPr>
        <w:adjustRightInd w:val="0"/>
        <w:snapToGrid w:val="0"/>
        <w:spacing w:line="360" w:lineRule="auto"/>
        <w:ind w:left="2520" w:leftChars="1200"/>
        <w:jc w:val="left"/>
        <w:rPr>
          <w:b/>
          <w:bCs/>
          <w:szCs w:val="21"/>
          <w:highlight w:val="none"/>
        </w:rPr>
      </w:pPr>
      <w:r>
        <w:rPr>
          <w:rFonts w:hint="eastAsia"/>
          <w:b/>
          <w:bCs/>
          <w:szCs w:val="21"/>
          <w:highlight w:val="none"/>
        </w:rPr>
        <w:t>第四章  投标邀请书</w:t>
      </w:r>
    </w:p>
    <w:p>
      <w:pPr>
        <w:adjustRightInd w:val="0"/>
        <w:snapToGrid w:val="0"/>
        <w:spacing w:line="360" w:lineRule="auto"/>
        <w:ind w:left="2520" w:leftChars="1200"/>
        <w:jc w:val="left"/>
        <w:rPr>
          <w:b/>
          <w:bCs/>
          <w:szCs w:val="21"/>
          <w:highlight w:val="none"/>
        </w:rPr>
      </w:pPr>
      <w:r>
        <w:rPr>
          <w:rFonts w:hint="eastAsia"/>
          <w:b/>
          <w:bCs/>
          <w:szCs w:val="21"/>
          <w:highlight w:val="none"/>
        </w:rPr>
        <w:t>第五章  投标人须知专用部分</w:t>
      </w:r>
    </w:p>
    <w:p>
      <w:pPr>
        <w:adjustRightInd w:val="0"/>
        <w:snapToGrid w:val="0"/>
        <w:spacing w:line="360" w:lineRule="auto"/>
        <w:ind w:left="2520" w:leftChars="1200"/>
        <w:jc w:val="left"/>
        <w:rPr>
          <w:b/>
          <w:bCs/>
          <w:szCs w:val="21"/>
          <w:highlight w:val="none"/>
        </w:rPr>
      </w:pPr>
      <w:r>
        <w:rPr>
          <w:rFonts w:hint="eastAsia"/>
          <w:b/>
          <w:bCs/>
          <w:szCs w:val="21"/>
          <w:highlight w:val="none"/>
        </w:rPr>
        <w:t>第六章  评标方法和评标标准</w:t>
      </w:r>
    </w:p>
    <w:p>
      <w:pPr>
        <w:adjustRightInd w:val="0"/>
        <w:snapToGrid w:val="0"/>
        <w:spacing w:line="360" w:lineRule="auto"/>
        <w:ind w:left="2520" w:leftChars="1200"/>
        <w:jc w:val="left"/>
        <w:rPr>
          <w:b/>
          <w:bCs/>
          <w:szCs w:val="21"/>
          <w:highlight w:val="none"/>
        </w:rPr>
      </w:pPr>
      <w:r>
        <w:rPr>
          <w:rFonts w:hint="eastAsia"/>
          <w:b/>
          <w:bCs/>
          <w:szCs w:val="21"/>
          <w:highlight w:val="none"/>
        </w:rPr>
        <w:t>第七章  采购需求</w:t>
      </w:r>
    </w:p>
    <w:p>
      <w:pPr>
        <w:adjustRightInd w:val="0"/>
        <w:snapToGrid w:val="0"/>
        <w:spacing w:line="360" w:lineRule="auto"/>
        <w:ind w:left="2520" w:leftChars="1200"/>
        <w:jc w:val="left"/>
        <w:rPr>
          <w:b/>
          <w:bCs/>
          <w:szCs w:val="21"/>
          <w:highlight w:val="none"/>
        </w:rPr>
      </w:pPr>
      <w:r>
        <w:rPr>
          <w:rFonts w:hint="eastAsia"/>
          <w:b/>
          <w:bCs/>
          <w:szCs w:val="21"/>
          <w:highlight w:val="none"/>
        </w:rPr>
        <w:t>第八章  投标被拒绝条款专用部分</w:t>
      </w:r>
    </w:p>
    <w:p>
      <w:pPr>
        <w:adjustRightInd w:val="0"/>
        <w:snapToGrid w:val="0"/>
        <w:spacing w:line="360" w:lineRule="auto"/>
        <w:ind w:left="2520" w:leftChars="1200"/>
        <w:jc w:val="left"/>
        <w:rPr>
          <w:b/>
          <w:bCs/>
          <w:szCs w:val="21"/>
          <w:highlight w:val="none"/>
        </w:rPr>
      </w:pPr>
      <w:r>
        <w:rPr>
          <w:b/>
          <w:bCs/>
          <w:szCs w:val="21"/>
          <w:highlight w:val="none"/>
        </w:rPr>
        <w:br w:type="page"/>
      </w:r>
    </w:p>
    <w:p>
      <w:pPr>
        <w:adjustRightInd w:val="0"/>
        <w:snapToGrid w:val="0"/>
        <w:spacing w:line="360" w:lineRule="auto"/>
        <w:ind w:firstLine="600" w:firstLineChars="200"/>
        <w:jc w:val="center"/>
        <w:outlineLvl w:val="1"/>
        <w:rPr>
          <w:b/>
          <w:bCs/>
          <w:sz w:val="30"/>
          <w:szCs w:val="30"/>
          <w:highlight w:val="none"/>
        </w:rPr>
      </w:pPr>
      <w:r>
        <w:rPr>
          <w:rFonts w:hint="eastAsia"/>
          <w:b/>
          <w:bCs/>
          <w:sz w:val="30"/>
          <w:szCs w:val="30"/>
          <w:highlight w:val="none"/>
        </w:rPr>
        <w:t>第四章  投标邀请书</w:t>
      </w:r>
    </w:p>
    <w:p>
      <w:pPr>
        <w:spacing w:line="360" w:lineRule="auto"/>
        <w:jc w:val="center"/>
        <w:rPr>
          <w:b/>
          <w:bCs/>
          <w:sz w:val="28"/>
          <w:szCs w:val="28"/>
          <w:highlight w:val="none"/>
        </w:rPr>
      </w:pPr>
    </w:p>
    <w:p>
      <w:pPr>
        <w:spacing w:line="360" w:lineRule="auto"/>
        <w:ind w:firstLine="630" w:firstLineChars="300"/>
        <w:rPr>
          <w:rFonts w:ascii="宋体" w:hAnsi="宋体" w:hint="eastAsia"/>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0" w:name="采购人_recorderOrgName"/>
      <w:r>
        <w:rPr>
          <w:rFonts w:ascii="宋体" w:hAnsi="宋体" w:cs="微软雅黑"/>
          <w:b/>
          <w:color w:val="0000FF"/>
          <w:kern w:val="0"/>
          <w:szCs w:val="21"/>
          <w:highlight w:val="none"/>
        </w:rPr>
        <w:t>通辽市气象局；内蒙古自治区太仆寺旗气象局</w:t>
      </w:r>
      <w:bookmarkEnd w:id="20"/>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1" w:name="项目名称_taskName"/>
      <w:r>
        <w:rPr>
          <w:rFonts w:ascii="宋体" w:hAnsi="宋体" w:cs="微软雅黑"/>
          <w:b/>
          <w:color w:val="0000FF"/>
          <w:kern w:val="0"/>
          <w:szCs w:val="21"/>
          <w:highlight w:val="none"/>
        </w:rPr>
        <w:t>2025年雷达工程通辽市、内蒙古自治区太仆寺旗2部C波段天气雷达双偏振技术升级采购项目（重新招标）</w:t>
      </w:r>
      <w:bookmarkEnd w:id="21"/>
      <w:r>
        <w:rPr>
          <w:rFonts w:ascii="宋体" w:hAnsi="宋体" w:cs="宋体" w:hint="eastAsia"/>
          <w:b/>
          <w:bCs/>
          <w:szCs w:val="21"/>
          <w:highlight w:val="none"/>
        </w:rPr>
        <w:t>。</w:t>
      </w:r>
    </w:p>
    <w:p>
      <w:pPr>
        <w:spacing w:line="360" w:lineRule="auto"/>
        <w:ind w:firstLine="420" w:firstLineChars="200"/>
        <w:rPr>
          <w:rFonts w:ascii="宋体" w:hAnsi="宋体" w:cs="宋体" w:hint="eastAsia"/>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2" w:name="封面_projectNo_2"/>
      <w:r>
        <w:rPr>
          <w:rFonts w:ascii="宋体" w:hAnsi="宋体" w:cs="微软雅黑" w:hint="eastAsia"/>
          <w:b/>
          <w:color w:val="0000FF"/>
          <w:kern w:val="0"/>
          <w:szCs w:val="21"/>
          <w:highlight w:val="none"/>
        </w:rPr>
        <w:t>ZQCD-25356</w:t>
      </w:r>
      <w:bookmarkEnd w:id="22"/>
      <w:r>
        <w:rPr>
          <w:rFonts w:ascii="宋体" w:hAnsi="宋体" w:cs="宋体" w:hint="eastAsia"/>
          <w:b/>
          <w:bCs/>
          <w:szCs w:val="21"/>
          <w:highlight w:val="none"/>
        </w:rPr>
        <w:t>。</w:t>
      </w:r>
    </w:p>
    <w:p>
      <w:pPr>
        <w:spacing w:line="360" w:lineRule="auto"/>
        <w:ind w:firstLine="420" w:firstLineChars="200"/>
        <w:rPr>
          <w:rFonts w:ascii="宋体" w:hAnsi="宋体" w:hint="eastAsia"/>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pPr>
        <w:adjustRightInd w:val="0"/>
        <w:snapToGrid w:val="0"/>
        <w:spacing w:line="360" w:lineRule="auto"/>
        <w:ind w:firstLine="420" w:firstLineChars="200"/>
        <w:rPr>
          <w:rFonts w:ascii="宋体" w:hAnsi="宋体" w:cs="宋体" w:hint="eastAsia"/>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3" w:name="包数量_packageCount"/>
      <w:r>
        <w:rPr>
          <w:rFonts w:ascii="宋体" w:hAnsi="宋体" w:cs="微软雅黑" w:hint="eastAsia"/>
          <w:color w:val="0000FF"/>
          <w:kern w:val="0"/>
          <w:szCs w:val="21"/>
          <w:highlight w:val="none"/>
        </w:rPr>
        <w:t>1</w:t>
      </w:r>
      <w:bookmarkEnd w:id="23"/>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上述货物的供应、运输、安装调试、培训及售后服务。</w:t>
      </w:r>
    </w:p>
    <w:p>
      <w:pPr>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具体采购范围及所应达到的具体要求，以本采购文件中第七章</w:t>
      </w:r>
      <w:r>
        <w:rPr>
          <w:rFonts w:ascii="宋体" w:hAnsi="宋体" w:hint="eastAsia"/>
          <w:bCs/>
          <w:szCs w:val="21"/>
          <w:highlight w:val="none"/>
        </w:rPr>
        <w:t>“</w:t>
      </w:r>
      <w:r>
        <w:rPr>
          <w:rFonts w:ascii="宋体" w:hAnsi="宋体" w:hint="eastAsia"/>
          <w:bCs/>
          <w:szCs w:val="21"/>
          <w:highlight w:val="none"/>
        </w:rPr>
        <w:t>采购需求</w:t>
      </w:r>
      <w:r>
        <w:rPr>
          <w:rFonts w:ascii="宋体" w:hAnsi="宋体" w:hint="eastAsia"/>
          <w:bCs/>
          <w:szCs w:val="21"/>
          <w:highlight w:val="none"/>
        </w:rPr>
        <w:t>”</w:t>
      </w:r>
      <w:r>
        <w:rPr>
          <w:rFonts w:ascii="宋体" w:hAnsi="宋体" w:hint="eastAsia"/>
          <w:bCs/>
          <w:szCs w:val="21"/>
          <w:highlight w:val="none"/>
        </w:rPr>
        <w:t>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pPr>
        <w:adjustRightInd w:val="0"/>
        <w:snapToGrid w:val="0"/>
        <w:spacing w:line="360" w:lineRule="auto"/>
        <w:ind w:firstLine="420" w:firstLineChars="200"/>
        <w:rPr>
          <w:rFonts w:ascii="宋体" w:hAnsi="宋体" w:cs="宋体"/>
          <w:b/>
          <w:szCs w:val="21"/>
          <w:highlight w:val="none"/>
          <w:u w:val="single"/>
        </w:rPr>
      </w:pPr>
      <w:r>
        <w:rPr>
          <w:rFonts w:ascii="宋体" w:hAnsi="宋体" w:hint="eastAsia"/>
          <w:bCs/>
          <w:szCs w:val="21"/>
          <w:highlight w:val="none"/>
        </w:rPr>
        <w:t>4、履约时间：</w:t>
      </w:r>
      <w:bookmarkStart w:id="24" w:name="合同履约期限_contractPerformancePeriod"/>
      <w:r>
        <w:rPr>
          <w:rFonts w:ascii="宋体" w:hAnsi="宋体" w:cs="微软雅黑" w:hint="eastAsia"/>
          <w:b/>
          <w:color w:val="0000FF"/>
          <w:kern w:val="0"/>
          <w:szCs w:val="21"/>
          <w:highlight w:val="none"/>
        </w:rPr>
        <w:t>合同签订后60天内交货，120天内完成安装调试并具备验收条件</w:t>
      </w:r>
      <w:bookmarkEnd w:id="24"/>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5" w:name="合同履约期限_performanceAddress"/>
      <w:r>
        <w:rPr>
          <w:rFonts w:ascii="宋体" w:hAnsi="宋体" w:cs="微软雅黑" w:hint="eastAsia"/>
          <w:b/>
          <w:color w:val="0000FF"/>
          <w:kern w:val="0"/>
          <w:szCs w:val="21"/>
          <w:highlight w:val="none"/>
        </w:rPr>
        <w:t>通辽市气象局；内蒙古自治区太仆寺旗气象局</w:t>
      </w:r>
      <w:bookmarkEnd w:id="25"/>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hint="eastAsia"/>
          <w:bCs/>
          <w:szCs w:val="21"/>
          <w:highlight w:val="none"/>
        </w:rPr>
      </w:pPr>
      <w:r>
        <w:rPr>
          <w:rFonts w:ascii="宋体" w:hAnsi="宋体" w:cs="宋体" w:hint="eastAsia"/>
          <w:b/>
          <w:szCs w:val="21"/>
          <w:highlight w:val="none"/>
        </w:rPr>
        <w:t>四、</w:t>
      </w:r>
      <w:r>
        <w:rPr>
          <w:rFonts w:ascii="宋体" w:hAnsi="宋体" w:hint="eastAsia"/>
          <w:b/>
          <w:szCs w:val="24"/>
          <w:highlight w:val="none"/>
        </w:rPr>
        <w:t>招标文件获取</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w:t>
      </w:r>
      <w:r>
        <w:rPr>
          <w:rFonts w:ascii="宋体" w:hAnsi="宋体" w:hint="eastAsia"/>
          <w:szCs w:val="21"/>
          <w:highlight w:val="none"/>
        </w:rPr>
        <w:t>“</w:t>
      </w:r>
      <w:r>
        <w:rPr>
          <w:rFonts w:ascii="宋体" w:hAnsi="宋体" w:hint="eastAsia"/>
          <w:szCs w:val="21"/>
          <w:highlight w:val="none"/>
        </w:rPr>
        <w:t>供应商专栏</w:t>
      </w:r>
      <w:r>
        <w:rPr>
          <w:rFonts w:ascii="宋体" w:hAnsi="宋体" w:hint="eastAsia"/>
          <w:szCs w:val="21"/>
          <w:highlight w:val="none"/>
        </w:rPr>
        <w:t>”</w:t>
      </w:r>
      <w:r>
        <w:rPr>
          <w:rFonts w:ascii="宋体" w:hAnsi="宋体" w:hint="eastAsia"/>
          <w:szCs w:val="21"/>
          <w:highlight w:val="none"/>
        </w:rPr>
        <w:t>中的《供应商注册地址及流程手册》并进行注册。</w:t>
      </w:r>
    </w:p>
    <w:p>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6" w:name="项目公告_signUpFirstTime"/>
      <w:r>
        <w:rPr>
          <w:rFonts w:ascii="宋体" w:hint="eastAsia"/>
          <w:szCs w:val="21"/>
          <w:highlight w:val="none"/>
        </w:rPr>
        <w:t>2025年10月22日 00:00:00</w:t>
      </w:r>
      <w:bookmarkEnd w:id="26"/>
      <w:r>
        <w:rPr>
          <w:rFonts w:ascii="宋体" w:hint="eastAsia"/>
          <w:szCs w:val="21"/>
          <w:highlight w:val="none"/>
        </w:rPr>
        <w:t>至</w:t>
      </w:r>
      <w:bookmarkStart w:id="27" w:name="项目公告_signUpLastTime"/>
      <w:r>
        <w:rPr>
          <w:rFonts w:ascii="宋体" w:hint="eastAsia"/>
          <w:szCs w:val="21"/>
          <w:highlight w:val="none"/>
        </w:rPr>
        <w:t>2025年10月29日 23:59:59</w:t>
      </w:r>
      <w:bookmarkEnd w:id="27"/>
      <w:r>
        <w:rPr>
          <w:rFonts w:ascii="宋体" w:hAnsi="宋体" w:hint="eastAsia"/>
          <w:szCs w:val="21"/>
          <w:highlight w:val="none"/>
        </w:rPr>
        <w:t>（北京时间）。请潜在供应商务必在网上报名截止时间前进行报名并按包号下载招标文件，超过报名截止时间的将无法报名。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pPr>
        <w:adjustRightInd w:val="0"/>
        <w:snapToGrid w:val="0"/>
        <w:spacing w:line="360" w:lineRule="auto"/>
        <w:ind w:firstLine="420" w:firstLineChars="200"/>
        <w:rPr>
          <w:rFonts w:ascii="宋体" w:hint="eastAsia"/>
          <w:b/>
          <w:bCs/>
          <w:szCs w:val="21"/>
          <w:highlight w:val="none"/>
        </w:rPr>
      </w:pPr>
      <w:r>
        <w:rPr>
          <w:rFonts w:ascii="宋体" w:hint="eastAsia"/>
          <w:b/>
          <w:bCs/>
          <w:szCs w:val="21"/>
          <w:highlight w:val="none"/>
        </w:rPr>
        <w:t>五、投标截止时间及投标方式</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1、投标文件提交截止时间：</w:t>
      </w:r>
      <w:bookmarkStart w:id="28" w:name="项目公告_openBidTime"/>
      <w:r>
        <w:rPr>
          <w:rFonts w:ascii="宋体" w:hAnsi="宋体" w:hint="eastAsia"/>
          <w:bCs/>
          <w:szCs w:val="21"/>
          <w:highlight w:val="none"/>
        </w:rPr>
        <w:t>2025年11月18日 14:00:00</w:t>
      </w:r>
      <w:bookmarkEnd w:id="28"/>
      <w:r>
        <w:rPr>
          <w:rFonts w:ascii="宋体" w:hint="eastAsia"/>
          <w:bCs/>
          <w:szCs w:val="21"/>
          <w:highlight w:val="none"/>
        </w:rPr>
        <w:t>（北京时间）</w:t>
      </w:r>
      <w:r>
        <w:rPr>
          <w:rFonts w:ascii="宋体" w:hint="eastAsia"/>
          <w:szCs w:val="21"/>
          <w:highlight w:val="none"/>
        </w:rPr>
        <w:t>。</w:t>
      </w:r>
    </w:p>
    <w:p>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pPr>
        <w:autoSpaceDN w:val="0"/>
        <w:spacing w:line="360" w:lineRule="auto"/>
        <w:ind w:firstLine="420" w:firstLineChars="200"/>
        <w:rPr>
          <w:rFonts w:ascii="宋体" w:cs="微软雅黑" w:hint="eastAsia"/>
          <w:szCs w:val="21"/>
        </w:rPr>
      </w:pPr>
      <w:r>
        <w:rPr>
          <w:rFonts w:ascii="宋体" w:hint="eastAsia"/>
          <w:szCs w:val="21"/>
        </w:rPr>
        <w:t>3、请符合投标条件的投标人安装投标（响应）工具，完成投标文件编制后于投标文件提交截止时间前上传加密的投标文件，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rPr>
        <w:t>供应商在投标过程中，涉及系统平台操作的技术问题，可致电采购中心技术支持电话。</w:t>
      </w:r>
    </w:p>
    <w:p>
      <w:pPr>
        <w:tabs>
          <w:tab w:val="left" w:pos="1573"/>
        </w:tabs>
        <w:adjustRightInd w:val="0"/>
        <w:snapToGrid w:val="0"/>
        <w:spacing w:line="360" w:lineRule="auto"/>
        <w:ind w:firstLine="412" w:firstLineChars="196"/>
        <w:rPr>
          <w:rFonts w:ascii="宋体" w:hAnsi="宋体" w:hint="eastAsia"/>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pPr>
        <w:tabs>
          <w:tab w:val="left" w:pos="1573"/>
        </w:tabs>
        <w:adjustRightInd w:val="0"/>
        <w:snapToGrid w:val="0"/>
        <w:spacing w:line="360" w:lineRule="auto"/>
        <w:ind w:firstLine="412" w:firstLineChars="196"/>
        <w:rPr>
          <w:rFonts w:ascii="宋体" w:hAnsi="宋体" w:hint="eastAsia"/>
          <w:bCs/>
          <w:szCs w:val="21"/>
          <w:highlight w:val="none"/>
        </w:rPr>
      </w:pPr>
      <w:bookmarkStart w:id="29" w:name="开标地点_openArddress"/>
      <w:r>
        <w:rPr>
          <w:rFonts w:ascii="宋体" w:hAnsi="宋体" w:hint="eastAsia"/>
          <w:b/>
          <w:szCs w:val="21"/>
          <w:highlight w:val="none"/>
          <w:u w:val="single"/>
        </w:rPr>
        <w:t>北京市海淀区中关村南大街46号中国气象局北区8号楼4层404会议室（科技大楼前草坪西侧），届时投标人的法定代表人或其授权的投标人授权代表可到场参加。</w:t>
      </w:r>
      <w:bookmarkEnd w:id="29"/>
    </w:p>
    <w:p>
      <w:pPr>
        <w:tabs>
          <w:tab w:val="left" w:pos="1573"/>
        </w:tabs>
        <w:adjustRightInd w:val="0"/>
        <w:snapToGrid w:val="0"/>
        <w:spacing w:line="360" w:lineRule="auto"/>
        <w:ind w:firstLine="412" w:firstLineChars="196"/>
        <w:rPr>
          <w:rFonts w:ascii="宋体" w:hAnsi="宋体" w:hint="eastAsia"/>
          <w:b/>
          <w:bCs/>
          <w:szCs w:val="21"/>
          <w:highlight w:val="none"/>
        </w:rPr>
      </w:pPr>
      <w:r>
        <w:rPr>
          <w:rFonts w:ascii="宋体" w:hAnsi="宋体" w:hint="eastAsia"/>
          <w:b/>
          <w:bCs/>
          <w:szCs w:val="21"/>
          <w:highlight w:val="none"/>
        </w:rPr>
        <w:t>七、信息发布</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本项目采购公告已在</w:t>
      </w:r>
      <w:r>
        <w:rPr>
          <w:rFonts w:ascii="宋体" w:hAnsi="宋体" w:hint="eastAsia"/>
          <w:bCs/>
          <w:szCs w:val="21"/>
          <w:highlight w:val="none"/>
        </w:rPr>
        <w:t>“</w:t>
      </w:r>
      <w:r>
        <w:rPr>
          <w:rFonts w:ascii="宋体" w:hAnsi="宋体" w:hint="eastAsia"/>
          <w:bCs/>
          <w:szCs w:val="21"/>
          <w:highlight w:val="none"/>
        </w:rPr>
        <w:t>中国政府采购网</w:t>
      </w:r>
      <w:r>
        <w:rPr>
          <w:rFonts w:ascii="宋体" w:hAnsi="宋体" w:hint="eastAsia"/>
          <w:bCs/>
          <w:szCs w:val="21"/>
          <w:highlight w:val="none"/>
        </w:rPr>
        <w:t>”</w:t>
      </w:r>
      <w:r>
        <w:rPr>
          <w:rFonts w:ascii="宋体" w:hAnsi="宋体" w:hint="eastAsia"/>
          <w:bCs/>
          <w:szCs w:val="21"/>
          <w:highlight w:val="none"/>
        </w:rPr>
        <w:t>等媒体上发布。</w:t>
      </w:r>
    </w:p>
    <w:p>
      <w:pPr>
        <w:tabs>
          <w:tab w:val="left" w:pos="943"/>
          <w:tab w:val="left" w:pos="1573"/>
        </w:tabs>
        <w:adjustRightInd w:val="0"/>
        <w:snapToGrid w:val="0"/>
        <w:spacing w:line="360" w:lineRule="auto"/>
        <w:ind w:firstLine="420" w:firstLineChars="200"/>
        <w:rPr>
          <w:rFonts w:ascii="宋体" w:hAnsi="宋体" w:hint="eastAsia"/>
          <w:b/>
          <w:szCs w:val="21"/>
          <w:highlight w:val="none"/>
        </w:rPr>
      </w:pPr>
      <w:r>
        <w:rPr>
          <w:rFonts w:ascii="宋体" w:hAnsi="宋体" w:hint="eastAsia"/>
          <w:b/>
          <w:szCs w:val="21"/>
          <w:highlight w:val="none"/>
        </w:rPr>
        <w:t>八、联系方式</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0" w:name="contactName"/>
      <w:r>
        <w:rPr>
          <w:rFonts w:ascii="宋体" w:hAnsi="宋体" w:cs="微软雅黑"/>
          <w:b/>
          <w:color w:val="0000FF"/>
          <w:kern w:val="0"/>
          <w:szCs w:val="21"/>
          <w:highlight w:val="none"/>
        </w:rPr>
        <w:t>陈龙光</w:t>
      </w:r>
      <w:bookmarkEnd w:id="30"/>
    </w:p>
    <w:p>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1" w:name="contactPhone"/>
      <w:r>
        <w:rPr>
          <w:rFonts w:ascii="宋体" w:hAnsi="宋体" w:cs="微软雅黑"/>
          <w:b/>
          <w:color w:val="0000FF"/>
          <w:kern w:val="0"/>
          <w:szCs w:val="21"/>
          <w:highlight w:val="none"/>
        </w:rPr>
        <w:t>010-58995155</w:t>
      </w:r>
      <w:bookmarkEnd w:id="31"/>
    </w:p>
    <w:p>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2" w:name="采购人1_recorderOrgName"/>
      <w:r>
        <w:rPr>
          <w:rFonts w:ascii="宋体" w:hAnsi="宋体" w:cs="微软雅黑"/>
          <w:b/>
          <w:color w:val="0000FF"/>
          <w:kern w:val="0"/>
          <w:szCs w:val="21"/>
          <w:highlight w:val="none"/>
        </w:rPr>
        <w:t>通辽市气象局；内蒙古自治区太仆寺旗气象局</w:t>
      </w:r>
      <w:bookmarkEnd w:id="32"/>
    </w:p>
    <w:p>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3" w:name="采购项目负责人_contactsName"/>
      <w:r>
        <w:rPr>
          <w:rFonts w:ascii="宋体" w:hAnsi="宋体" w:cs="微软雅黑"/>
          <w:b/>
          <w:color w:val="0000FF"/>
          <w:kern w:val="0"/>
          <w:szCs w:val="21"/>
          <w:highlight w:val="none"/>
        </w:rPr>
        <w:t>范志力</w:t>
      </w:r>
      <w:bookmarkEnd w:id="33"/>
    </w:p>
    <w:p>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4" w:name="采购项目负责人办公电话_contactsTel"/>
      <w:r>
        <w:rPr>
          <w:rFonts w:ascii="宋体" w:hAnsi="宋体" w:cs="微软雅黑"/>
          <w:b/>
          <w:color w:val="0000FF"/>
          <w:kern w:val="0"/>
          <w:szCs w:val="21"/>
          <w:highlight w:val="none"/>
        </w:rPr>
        <w:t>0475-8510444</w:t>
      </w:r>
      <w:bookmarkEnd w:id="34"/>
    </w:p>
    <w:p>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5" w:name="采购单位所在地址_recorderOrgAddress"/>
      <w:r>
        <w:rPr>
          <w:rFonts w:ascii="宋体" w:hAnsi="宋体" w:cs="微软雅黑"/>
          <w:b/>
          <w:color w:val="0000FF"/>
          <w:kern w:val="0"/>
          <w:szCs w:val="21"/>
          <w:highlight w:val="none"/>
        </w:rPr>
        <w:t>内蒙古通辽市科尔沁区霍林郭勒大街33号工会大厦通辽市气象局</w:t>
      </w:r>
      <w:bookmarkEnd w:id="35"/>
    </w:p>
    <w:p>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6" w:name="技术电话_technicalSupportPhoneNumber"/>
      <w:r>
        <w:rPr>
          <w:rFonts w:ascii="宋体" w:hAnsi="宋体" w:cs="宋体" w:hint="eastAsia"/>
          <w:szCs w:val="21"/>
          <w:highlight w:val="none"/>
        </w:rPr>
        <w:t>010-68406701</w:t>
      </w:r>
      <w:bookmarkEnd w:id="36"/>
    </w:p>
    <w:p>
      <w:pPr>
        <w:spacing w:line="360" w:lineRule="auto"/>
        <w:jc w:val="center"/>
        <w:outlineLvl w:val="1"/>
        <w:rPr>
          <w:b/>
          <w:sz w:val="30"/>
          <w:szCs w:val="30"/>
          <w:highlight w:val="none"/>
        </w:rPr>
      </w:pPr>
      <w:r>
        <w:rPr>
          <w:b/>
          <w:bCs/>
          <w:szCs w:val="21"/>
          <w:highlight w:val="none"/>
        </w:rPr>
        <w:br w:type="page"/>
      </w:r>
      <w:bookmarkStart w:id="37" w:name="投标人须知专用部分_TBXZ"/>
      <w:r>
        <w:rPr>
          <w:rFonts w:hint="eastAsia"/>
          <w:b/>
          <w:sz w:val="30"/>
          <w:szCs w:val="30"/>
          <w:highlight w:val="none"/>
        </w:rPr>
        <w:t>第五章  投标人须知专用部分</w:t>
      </w:r>
    </w:p>
    <w:p>
      <w:pPr>
        <w:spacing w:line="360" w:lineRule="auto"/>
        <w:jc w:val="left"/>
        <w:rPr>
          <w:rFonts w:ascii="黑体" w:eastAsia="黑体" w:hAnsi="黑体"/>
          <w:kern w:val="44"/>
          <w:szCs w:val="28"/>
          <w:highlight w:val="none"/>
        </w:rPr>
      </w:pPr>
      <w:r>
        <w:rPr>
          <w:rFonts w:ascii="黑体" w:eastAsia="黑体" w:hAnsi="黑体" w:hint="eastAsia"/>
          <w:kern w:val="44"/>
          <w:szCs w:val="28"/>
          <w:highlight w:val="none"/>
        </w:rPr>
        <w:t xml:space="preserve">    </w:t>
      </w:r>
    </w:p>
    <w:p>
      <w:pPr>
        <w:adjustRightInd w:val="0"/>
        <w:snapToGrid w:val="0"/>
        <w:spacing w:line="360" w:lineRule="auto"/>
        <w:ind w:firstLine="420" w:firstLineChars="200"/>
        <w:rPr>
          <w:rFonts w:ascii="宋体" w:hAnsi="宋体"/>
          <w:szCs w:val="21"/>
          <w:highlight w:val="none"/>
        </w:rPr>
      </w:pPr>
      <w:r>
        <w:rPr>
          <w:rFonts w:hint="eastAsia"/>
          <w:bCs/>
          <w:kern w:val="44"/>
          <w:szCs w:val="28"/>
          <w:highlight w:val="none"/>
        </w:rPr>
        <w:t>投标人须知专用部分</w:t>
      </w:r>
      <w:r>
        <w:rPr>
          <w:rFonts w:hint="eastAsia"/>
          <w:szCs w:val="21"/>
          <w:highlight w:val="none"/>
        </w:rPr>
        <w:t>表格中要求事项已列入第三章、第八章投标被拒绝条款的，若有缺失或无效，将导致投标被拒绝且不允许在开标后补正</w:t>
      </w:r>
      <w:r>
        <w:rPr>
          <w:rFonts w:ascii="宋体" w:hAnsi="宋体" w:hint="eastAsia"/>
          <w:szCs w:val="21"/>
          <w:highlight w:val="none"/>
        </w:rPr>
        <w:t>。投标人须知通用部分或招标文件其余部分与本表不一致的，以本表要求为准。</w:t>
      </w:r>
    </w:p>
    <w:p>
      <w:pPr>
        <w:adjustRightInd w:val="0"/>
        <w:snapToGrid w:val="0"/>
        <w:spacing w:line="360" w:lineRule="auto"/>
        <w:ind w:firstLine="420" w:firstLineChars="200"/>
        <w:rPr>
          <w:szCs w:val="21"/>
          <w:highlight w:val="none"/>
        </w:r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pPr>
              <w:jc w:val="center"/>
              <w:rPr>
                <w:b/>
                <w:szCs w:val="21"/>
                <w:highlight w:val="none"/>
              </w:rPr>
            </w:pPr>
            <w:r>
              <w:rPr>
                <w:rFonts w:hint="eastAsia"/>
                <w:b/>
                <w:szCs w:val="21"/>
                <w:highlight w:val="none"/>
              </w:rPr>
              <w:t>序号</w:t>
            </w:r>
          </w:p>
        </w:tc>
        <w:tc>
          <w:tcPr>
            <w:tcW w:w="1418" w:type="dxa"/>
            <w:noWrap w:val="0"/>
            <w:vAlign w:val="center"/>
          </w:tcPr>
          <w:p>
            <w:pPr>
              <w:jc w:val="center"/>
              <w:rPr>
                <w:b/>
                <w:szCs w:val="21"/>
                <w:highlight w:val="none"/>
              </w:rPr>
            </w:pPr>
            <w:r>
              <w:rPr>
                <w:rFonts w:hint="eastAsia"/>
                <w:b/>
                <w:szCs w:val="21"/>
                <w:highlight w:val="none"/>
              </w:rPr>
              <w:t>对应投标人须知通用部分的条款</w:t>
            </w:r>
          </w:p>
        </w:tc>
        <w:tc>
          <w:tcPr>
            <w:tcW w:w="1701" w:type="dxa"/>
            <w:noWrap w:val="0"/>
            <w:vAlign w:val="center"/>
          </w:tcPr>
          <w:p>
            <w:pPr>
              <w:jc w:val="center"/>
              <w:rPr>
                <w:b/>
                <w:szCs w:val="21"/>
                <w:highlight w:val="none"/>
              </w:rPr>
            </w:pPr>
            <w:r>
              <w:rPr>
                <w:rFonts w:hint="eastAsia"/>
                <w:b/>
                <w:szCs w:val="21"/>
                <w:highlight w:val="none"/>
              </w:rPr>
              <w:t>内容</w:t>
            </w:r>
          </w:p>
        </w:tc>
        <w:tc>
          <w:tcPr>
            <w:tcW w:w="5209" w:type="dxa"/>
            <w:noWrap w:val="0"/>
            <w:vAlign w:val="center"/>
          </w:tcPr>
          <w:p>
            <w:pPr>
              <w:jc w:val="center"/>
              <w:rPr>
                <w:b/>
                <w:szCs w:val="21"/>
                <w:highlight w:val="none"/>
              </w:rPr>
            </w:pPr>
            <w:r>
              <w:rPr>
                <w:rFonts w:hint="eastAsia"/>
                <w:b/>
                <w:szCs w:val="21"/>
                <w:highlight w:val="none"/>
              </w:rPr>
              <w:t>说明与要求</w:t>
            </w:r>
          </w:p>
        </w:tc>
      </w:tr>
      <w:tr>
        <w:tblPrEx>
          <w:tblW w:w="0" w:type="auto"/>
          <w:tblInd w:w="0" w:type="dxa"/>
          <w:tblLayout w:type="fixed"/>
          <w:tblCellMar>
            <w:top w:w="0" w:type="dxa"/>
            <w:left w:w="108" w:type="dxa"/>
            <w:bottom w:w="0" w:type="dxa"/>
            <w:right w:w="108" w:type="dxa"/>
          </w:tblCellMar>
        </w:tblPrEx>
        <w:trPr>
          <w:trHeight w:val="302"/>
        </w:trPr>
        <w:tc>
          <w:tcPr>
            <w:tcW w:w="675" w:type="dxa"/>
            <w:noWrap w:val="0"/>
            <w:vAlign w:val="center"/>
          </w:tcPr>
          <w:p>
            <w:pPr>
              <w:rPr>
                <w:szCs w:val="21"/>
                <w:highlight w:val="none"/>
              </w:rPr>
            </w:pPr>
            <w:r>
              <w:rPr>
                <w:rFonts w:hint="eastAsia"/>
                <w:szCs w:val="21"/>
                <w:highlight w:val="none"/>
              </w:rPr>
              <w:t>5.1</w:t>
            </w:r>
          </w:p>
        </w:tc>
        <w:tc>
          <w:tcPr>
            <w:tcW w:w="1418" w:type="dxa"/>
            <w:noWrap w:val="0"/>
            <w:vAlign w:val="center"/>
          </w:tcPr>
          <w:p>
            <w:pPr>
              <w:rPr>
                <w:szCs w:val="21"/>
                <w:highlight w:val="none"/>
              </w:rPr>
            </w:pPr>
            <w:r>
              <w:rPr>
                <w:rFonts w:hint="eastAsia"/>
                <w:szCs w:val="21"/>
                <w:highlight w:val="none"/>
              </w:rPr>
              <w:t>1.2.1</w:t>
            </w:r>
          </w:p>
        </w:tc>
        <w:tc>
          <w:tcPr>
            <w:tcW w:w="1701" w:type="dxa"/>
            <w:noWrap w:val="0"/>
            <w:vAlign w:val="center"/>
          </w:tcPr>
          <w:p>
            <w:pPr>
              <w:rPr>
                <w:szCs w:val="21"/>
                <w:highlight w:val="none"/>
              </w:rPr>
            </w:pPr>
            <w:r>
              <w:rPr>
                <w:rFonts w:hint="eastAsia"/>
                <w:szCs w:val="21"/>
                <w:highlight w:val="none"/>
              </w:rPr>
              <w:t>采购人名称</w:t>
            </w:r>
          </w:p>
        </w:tc>
        <w:tc>
          <w:tcPr>
            <w:tcW w:w="5209" w:type="dxa"/>
            <w:noWrap w:val="0"/>
            <w:vAlign w:val="center"/>
          </w:tcPr>
          <w:p>
            <w:pPr>
              <w:rPr>
                <w:szCs w:val="21"/>
                <w:highlight w:val="none"/>
              </w:rPr>
            </w:pPr>
            <w:bookmarkStart w:id="38" w:name="采购人2_recorderOrgName"/>
            <w:r>
              <w:rPr>
                <w:rFonts w:ascii="宋体" w:hAnsi="宋体" w:cs="微软雅黑" w:hint="eastAsia"/>
                <w:kern w:val="0"/>
                <w:szCs w:val="21"/>
                <w:highlight w:val="none"/>
              </w:rPr>
              <w:t>通辽市气象局；内蒙古自治区太仆寺旗气象局</w:t>
            </w:r>
            <w:bookmarkEnd w:id="38"/>
          </w:p>
        </w:tc>
      </w:tr>
      <w:tr>
        <w:tblPrEx>
          <w:tblW w:w="0" w:type="auto"/>
          <w:tblInd w:w="0" w:type="dxa"/>
          <w:tblLayout w:type="fixed"/>
          <w:tblCellMar>
            <w:top w:w="0" w:type="dxa"/>
            <w:left w:w="108" w:type="dxa"/>
            <w:bottom w:w="0" w:type="dxa"/>
            <w:right w:w="108" w:type="dxa"/>
          </w:tblCellMar>
        </w:tblPrEx>
        <w:trPr>
          <w:trHeight w:val="449"/>
        </w:trPr>
        <w:tc>
          <w:tcPr>
            <w:tcW w:w="675" w:type="dxa"/>
            <w:noWrap w:val="0"/>
            <w:vAlign w:val="center"/>
          </w:tcPr>
          <w:p>
            <w:pPr>
              <w:rPr>
                <w:szCs w:val="21"/>
                <w:highlight w:val="none"/>
              </w:rPr>
            </w:pPr>
            <w:r>
              <w:rPr>
                <w:rFonts w:hint="eastAsia"/>
                <w:szCs w:val="21"/>
                <w:highlight w:val="none"/>
              </w:rPr>
              <w:t>5.2</w:t>
            </w:r>
          </w:p>
        </w:tc>
        <w:tc>
          <w:tcPr>
            <w:tcW w:w="1418" w:type="dxa"/>
            <w:noWrap w:val="0"/>
            <w:vAlign w:val="center"/>
          </w:tcPr>
          <w:p>
            <w:pPr>
              <w:rPr>
                <w:szCs w:val="21"/>
                <w:highlight w:val="none"/>
              </w:rPr>
            </w:pPr>
            <w:r>
              <w:rPr>
                <w:rFonts w:hint="eastAsia"/>
                <w:szCs w:val="21"/>
                <w:highlight w:val="none"/>
              </w:rPr>
              <w:t>1.3.3、1.14.2</w:t>
            </w:r>
          </w:p>
        </w:tc>
        <w:tc>
          <w:tcPr>
            <w:tcW w:w="1701" w:type="dxa"/>
            <w:noWrap w:val="0"/>
            <w:vAlign w:val="center"/>
          </w:tcPr>
          <w:p>
            <w:pPr>
              <w:rPr>
                <w:szCs w:val="21"/>
                <w:highlight w:val="none"/>
              </w:rPr>
            </w:pPr>
            <w:r>
              <w:rPr>
                <w:rFonts w:hint="eastAsia"/>
                <w:szCs w:val="21"/>
                <w:highlight w:val="none"/>
              </w:rPr>
              <w:t>投标人特殊资质条件</w:t>
            </w:r>
          </w:p>
        </w:tc>
        <w:tc>
          <w:tcPr>
            <w:tcW w:w="5209" w:type="dxa"/>
            <w:noWrap w:val="0"/>
            <w:vAlign w:val="center"/>
          </w:tcPr>
          <w:p>
            <w:pPr>
              <w:rPr>
                <w:kern w:val="0"/>
                <w:szCs w:val="21"/>
                <w:highlight w:val="none"/>
              </w:rPr>
            </w:pPr>
            <w:r>
              <w:rPr>
                <w:rFonts w:cs="微软雅黑" w:hint="eastAsia"/>
                <w:kern w:val="0"/>
                <w:szCs w:val="21"/>
                <w:highlight w:val="none"/>
              </w:rPr>
              <w:t>投标人应具有以下有效期超过投标截止日的资质：</w:t>
            </w:r>
            <w:bookmarkStart w:id="39" w:name="资_bidderQualificationValidBeyondDeadline"/>
            <w:r>
              <w:rPr>
                <w:rFonts w:ascii="宋体" w:hAnsi="宋体" w:cs="微软雅黑" w:hint="eastAsia"/>
                <w:kern w:val="0"/>
                <w:szCs w:val="21"/>
                <w:highlight w:val="none"/>
              </w:rPr>
              <w:t>无</w:t>
            </w:r>
            <w:bookmarkEnd w:id="39"/>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5.3</w:t>
            </w:r>
          </w:p>
        </w:tc>
        <w:tc>
          <w:tcPr>
            <w:tcW w:w="1418" w:type="dxa"/>
            <w:noWrap w:val="0"/>
            <w:vAlign w:val="center"/>
          </w:tcPr>
          <w:p>
            <w:pPr>
              <w:rPr>
                <w:szCs w:val="21"/>
                <w:highlight w:val="none"/>
              </w:rPr>
            </w:pPr>
            <w:r>
              <w:rPr>
                <w:rFonts w:hint="eastAsia"/>
                <w:szCs w:val="21"/>
                <w:highlight w:val="none"/>
              </w:rPr>
              <w:t>1.3.4</w:t>
            </w:r>
          </w:p>
        </w:tc>
        <w:tc>
          <w:tcPr>
            <w:tcW w:w="1701" w:type="dxa"/>
            <w:noWrap w:val="0"/>
            <w:vAlign w:val="center"/>
          </w:tcPr>
          <w:p>
            <w:pPr>
              <w:rPr>
                <w:szCs w:val="21"/>
                <w:highlight w:val="none"/>
              </w:rPr>
            </w:pPr>
            <w:r>
              <w:rPr>
                <w:rFonts w:hint="eastAsia"/>
                <w:szCs w:val="21"/>
                <w:highlight w:val="none"/>
              </w:rPr>
              <w:t>是否允许代理商投标</w:t>
            </w:r>
          </w:p>
        </w:tc>
        <w:tc>
          <w:tcPr>
            <w:tcW w:w="5209" w:type="dxa"/>
            <w:noWrap w:val="0"/>
            <w:vAlign w:val="center"/>
          </w:tcPr>
          <w:p>
            <w:pPr>
              <w:rPr>
                <w:rFonts w:asciiTheme="minorEastAsia" w:hAnsiTheme="minorEastAsia" w:cstheme="minorEastAsia" w:hint="eastAsia"/>
                <w:kern w:val="0"/>
                <w:szCs w:val="21"/>
                <w:highlight w:val="none"/>
              </w:rPr>
            </w:pPr>
            <w:bookmarkStart w:id="40" w:name="代理商投标_agentFlagText"/>
            <w:r>
              <w:rPr>
                <w:rFonts w:asciiTheme="minorEastAsia" w:eastAsiaTheme="minorEastAsia" w:hAnsiTheme="minorEastAsia" w:cstheme="minorEastAsia" w:hint="eastAsia"/>
                <w:kern w:val="0"/>
                <w:szCs w:val="21"/>
                <w:highlight w:val="none"/>
              </w:rPr>
              <w:t>不允许（仅针对以下产品：1、……，2、……不允许代理商投标）</w:t>
            </w:r>
            <w:bookmarkEnd w:id="40"/>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rFonts w:hint="eastAsia"/>
                <w:szCs w:val="21"/>
                <w:highlight w:val="none"/>
              </w:rPr>
            </w:pPr>
            <w:r>
              <w:rPr>
                <w:rFonts w:hint="eastAsia"/>
                <w:szCs w:val="21"/>
                <w:highlight w:val="none"/>
              </w:rPr>
              <w:t>5.4</w:t>
            </w:r>
          </w:p>
        </w:tc>
        <w:tc>
          <w:tcPr>
            <w:tcW w:w="1418" w:type="dxa"/>
            <w:noWrap w:val="0"/>
            <w:vAlign w:val="center"/>
          </w:tcPr>
          <w:p>
            <w:pPr>
              <w:rPr>
                <w:rFonts w:hint="eastAsia"/>
                <w:szCs w:val="21"/>
                <w:highlight w:val="none"/>
              </w:rPr>
            </w:pPr>
            <w:r>
              <w:rPr>
                <w:rFonts w:hint="eastAsia"/>
                <w:szCs w:val="21"/>
                <w:highlight w:val="none"/>
              </w:rPr>
              <w:t>1.3.4</w:t>
            </w:r>
          </w:p>
        </w:tc>
        <w:tc>
          <w:tcPr>
            <w:tcW w:w="1701" w:type="dxa"/>
            <w:noWrap w:val="0"/>
            <w:vAlign w:val="center"/>
          </w:tcPr>
          <w:p>
            <w:pPr>
              <w:rPr>
                <w:rFonts w:hint="eastAsia"/>
                <w:szCs w:val="21"/>
                <w:highlight w:val="none"/>
              </w:rPr>
            </w:pPr>
            <w:r>
              <w:rPr>
                <w:rFonts w:hint="eastAsia"/>
                <w:szCs w:val="21"/>
                <w:highlight w:val="none"/>
              </w:rPr>
              <w:t>进口产品代理商应提交资料</w:t>
            </w:r>
          </w:p>
        </w:tc>
        <w:tc>
          <w:tcPr>
            <w:tcW w:w="5209" w:type="dxa"/>
            <w:noWrap w:val="0"/>
            <w:vAlign w:val="center"/>
          </w:tcPr>
          <w:p>
            <w:pPr>
              <w:rPr>
                <w:rFonts w:ascii="宋体" w:hAnsi="宋体" w:cs="微软雅黑"/>
                <w:kern w:val="0"/>
                <w:szCs w:val="21"/>
                <w:highlight w:val="none"/>
              </w:rPr>
            </w:pPr>
            <w:bookmarkStart w:id="41" w:name="进口产品_agentMaterials"/>
            <w:r>
              <w:rPr>
                <w:rFonts w:ascii="宋体" w:hAnsi="宋体" w:cs="微软雅黑" w:hint="eastAsia"/>
                <w:kern w:val="0"/>
                <w:szCs w:val="21"/>
                <w:highlight w:val="none"/>
              </w:rPr>
              <w:t>不涉及进口产品</w:t>
            </w:r>
            <w:bookmarkEnd w:id="41"/>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5.5</w:t>
            </w:r>
          </w:p>
        </w:tc>
        <w:tc>
          <w:tcPr>
            <w:tcW w:w="1418" w:type="dxa"/>
            <w:noWrap w:val="0"/>
            <w:vAlign w:val="center"/>
          </w:tcPr>
          <w:p>
            <w:pPr>
              <w:rPr>
                <w:szCs w:val="21"/>
                <w:highlight w:val="none"/>
              </w:rPr>
            </w:pPr>
            <w:r>
              <w:rPr>
                <w:rFonts w:hint="eastAsia"/>
                <w:szCs w:val="21"/>
                <w:highlight w:val="none"/>
              </w:rPr>
              <w:t>1.3.4，1.28.4</w:t>
            </w:r>
          </w:p>
        </w:tc>
        <w:tc>
          <w:tcPr>
            <w:tcW w:w="1701" w:type="dxa"/>
            <w:noWrap w:val="0"/>
            <w:vAlign w:val="center"/>
          </w:tcPr>
          <w:p>
            <w:pPr>
              <w:rPr>
                <w:szCs w:val="21"/>
                <w:highlight w:val="none"/>
              </w:rPr>
            </w:pPr>
            <w:r>
              <w:rPr>
                <w:rFonts w:hint="eastAsia"/>
                <w:szCs w:val="21"/>
                <w:highlight w:val="none"/>
              </w:rPr>
              <w:t>是否设有核心产品</w:t>
            </w:r>
          </w:p>
        </w:tc>
        <w:tc>
          <w:tcPr>
            <w:tcW w:w="5209" w:type="dxa"/>
            <w:noWrap w:val="0"/>
            <w:vAlign w:val="center"/>
          </w:tcPr>
          <w:p>
            <w:pPr>
              <w:rPr>
                <w:rFonts w:asciiTheme="minorEastAsia" w:hAnsiTheme="minorEastAsia" w:cstheme="minorEastAsia" w:hint="eastAsia"/>
                <w:kern w:val="0"/>
                <w:szCs w:val="21"/>
                <w:highlight w:val="none"/>
              </w:rPr>
            </w:pPr>
            <w:bookmarkStart w:id="42" w:name="是否设有核心产品_coreFlagText"/>
            <w:r>
              <w:rPr>
                <w:rFonts w:asciiTheme="minorEastAsia" w:eastAsiaTheme="minorEastAsia" w:hAnsiTheme="minorEastAsia" w:cstheme="minorEastAsia" w:hint="eastAsia"/>
                <w:kern w:val="0"/>
                <w:szCs w:val="21"/>
                <w:highlight w:val="none"/>
              </w:rPr>
              <w:t>不设有</w:t>
            </w:r>
            <w:bookmarkEnd w:id="42"/>
          </w:p>
        </w:tc>
      </w:tr>
      <w:tr>
        <w:tblPrEx>
          <w:tblW w:w="0" w:type="auto"/>
          <w:tblInd w:w="0" w:type="dxa"/>
          <w:tblLayout w:type="fixed"/>
          <w:tblCellMar>
            <w:top w:w="0" w:type="dxa"/>
            <w:left w:w="108" w:type="dxa"/>
            <w:bottom w:w="0" w:type="dxa"/>
            <w:right w:w="108" w:type="dxa"/>
          </w:tblCellMar>
        </w:tblPrEx>
        <w:trPr>
          <w:trHeight w:val="609"/>
        </w:trPr>
        <w:tc>
          <w:tcPr>
            <w:tcW w:w="675" w:type="dxa"/>
            <w:noWrap w:val="0"/>
            <w:vAlign w:val="center"/>
          </w:tcPr>
          <w:p>
            <w:pPr>
              <w:rPr>
                <w:szCs w:val="21"/>
                <w:highlight w:val="none"/>
              </w:rPr>
            </w:pPr>
            <w:r>
              <w:rPr>
                <w:rFonts w:hint="eastAsia"/>
                <w:szCs w:val="21"/>
                <w:highlight w:val="none"/>
              </w:rPr>
              <w:t>5.6</w:t>
            </w:r>
          </w:p>
        </w:tc>
        <w:tc>
          <w:tcPr>
            <w:tcW w:w="1418" w:type="dxa"/>
            <w:noWrap w:val="0"/>
            <w:vAlign w:val="center"/>
          </w:tcPr>
          <w:p>
            <w:pPr>
              <w:rPr>
                <w:szCs w:val="21"/>
                <w:highlight w:val="none"/>
              </w:rPr>
            </w:pPr>
            <w:r>
              <w:rPr>
                <w:rFonts w:hint="eastAsia"/>
                <w:szCs w:val="21"/>
                <w:highlight w:val="none"/>
              </w:rPr>
              <w:t>1.3.6</w:t>
            </w:r>
          </w:p>
        </w:tc>
        <w:tc>
          <w:tcPr>
            <w:tcW w:w="1701" w:type="dxa"/>
            <w:noWrap w:val="0"/>
            <w:vAlign w:val="center"/>
          </w:tcPr>
          <w:p>
            <w:pPr>
              <w:rPr>
                <w:szCs w:val="21"/>
                <w:highlight w:val="none"/>
              </w:rPr>
            </w:pPr>
            <w:r>
              <w:rPr>
                <w:rFonts w:hint="eastAsia"/>
                <w:szCs w:val="21"/>
                <w:highlight w:val="none"/>
              </w:rPr>
              <w:t>是否允许联合体投标</w:t>
            </w:r>
          </w:p>
        </w:tc>
        <w:tc>
          <w:tcPr>
            <w:tcW w:w="5209" w:type="dxa"/>
            <w:noWrap w:val="0"/>
            <w:vAlign w:val="center"/>
          </w:tcPr>
          <w:p>
            <w:pPr>
              <w:rPr>
                <w:rFonts w:ascii="宋体" w:hAnsi="宋体" w:cs="微软雅黑" w:hint="eastAsia"/>
                <w:kern w:val="0"/>
                <w:szCs w:val="21"/>
                <w:highlight w:val="none"/>
              </w:rPr>
            </w:pPr>
            <w:bookmarkStart w:id="43" w:name="联合体投标_jointFlagText"/>
            <w:r>
              <w:rPr>
                <w:rFonts w:ascii="宋体" w:hAnsi="宋体" w:cs="微软雅黑" w:hint="eastAsia"/>
                <w:kern w:val="0"/>
                <w:szCs w:val="21"/>
                <w:highlight w:val="none"/>
              </w:rPr>
              <w:t>不允许</w:t>
            </w:r>
            <w:bookmarkEnd w:id="43"/>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5.7</w:t>
            </w:r>
          </w:p>
        </w:tc>
        <w:tc>
          <w:tcPr>
            <w:tcW w:w="1418" w:type="dxa"/>
            <w:noWrap w:val="0"/>
            <w:vAlign w:val="center"/>
          </w:tcPr>
          <w:p>
            <w:pPr>
              <w:rPr>
                <w:szCs w:val="21"/>
                <w:highlight w:val="none"/>
              </w:rPr>
            </w:pPr>
            <w:r>
              <w:rPr>
                <w:rFonts w:hint="eastAsia"/>
                <w:szCs w:val="21"/>
                <w:highlight w:val="none"/>
              </w:rPr>
              <w:t>1.3.7</w:t>
            </w:r>
          </w:p>
        </w:tc>
        <w:tc>
          <w:tcPr>
            <w:tcW w:w="1701" w:type="dxa"/>
            <w:noWrap w:val="0"/>
            <w:vAlign w:val="center"/>
          </w:tcPr>
          <w:p>
            <w:pPr>
              <w:rPr>
                <w:szCs w:val="21"/>
                <w:highlight w:val="none"/>
              </w:rPr>
            </w:pPr>
            <w:r>
              <w:rPr>
                <w:rFonts w:hint="eastAsia"/>
                <w:szCs w:val="21"/>
                <w:highlight w:val="none"/>
              </w:rPr>
              <w:t>投标的货物，是否必须取得《气象专用技术装备使用许可证》</w:t>
            </w:r>
          </w:p>
        </w:tc>
        <w:tc>
          <w:tcPr>
            <w:tcW w:w="5209" w:type="dxa"/>
            <w:noWrap w:val="0"/>
            <w:vAlign w:val="center"/>
          </w:tcPr>
          <w:p>
            <w:pPr>
              <w:rPr>
                <w:rFonts w:asciiTheme="minorEastAsia" w:hAnsiTheme="minorEastAsia" w:cstheme="minorEastAsia" w:hint="eastAsia"/>
                <w:kern w:val="0"/>
                <w:szCs w:val="21"/>
                <w:highlight w:val="none"/>
              </w:rPr>
            </w:pPr>
            <w:bookmarkStart w:id="44" w:name="许可证_exclusiveLicenseFlagText"/>
            <w:r>
              <w:rPr>
                <w:rFonts w:asciiTheme="minorEastAsia" w:eastAsiaTheme="minorEastAsia" w:hAnsiTheme="minorEastAsia" w:cstheme="minorEastAsia" w:hint="eastAsia"/>
                <w:kern w:val="0"/>
                <w:szCs w:val="21"/>
                <w:highlight w:val="none"/>
              </w:rPr>
              <w:t>不必须</w:t>
            </w:r>
            <w:bookmarkEnd w:id="4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szCs w:val="21"/>
                <w:highlight w:val="none"/>
              </w:rPr>
            </w:pPr>
            <w:r>
              <w:rPr>
                <w:rFonts w:hint="eastAsia"/>
                <w:szCs w:val="21"/>
                <w:highlight w:val="none"/>
              </w:rPr>
              <w:t>5.8</w:t>
            </w:r>
          </w:p>
        </w:tc>
        <w:tc>
          <w:tcPr>
            <w:tcW w:w="1418" w:type="dxa"/>
            <w:noWrap w:val="0"/>
            <w:vAlign w:val="center"/>
          </w:tcPr>
          <w:p>
            <w:pPr>
              <w:rPr>
                <w:szCs w:val="21"/>
                <w:highlight w:val="none"/>
              </w:rPr>
            </w:pPr>
            <w:r>
              <w:rPr>
                <w:rFonts w:hint="eastAsia"/>
                <w:szCs w:val="21"/>
                <w:highlight w:val="none"/>
              </w:rPr>
              <w:t>1.4.1</w:t>
            </w:r>
          </w:p>
        </w:tc>
        <w:tc>
          <w:tcPr>
            <w:tcW w:w="1701" w:type="dxa"/>
            <w:noWrap w:val="0"/>
            <w:vAlign w:val="center"/>
          </w:tcPr>
          <w:p>
            <w:pPr>
              <w:rPr>
                <w:szCs w:val="21"/>
                <w:highlight w:val="none"/>
              </w:rPr>
            </w:pPr>
            <w:r>
              <w:rPr>
                <w:rFonts w:hint="eastAsia"/>
                <w:szCs w:val="21"/>
                <w:highlight w:val="none"/>
              </w:rPr>
              <w:t>是否允许进口产品投标</w:t>
            </w:r>
          </w:p>
        </w:tc>
        <w:tc>
          <w:tcPr>
            <w:tcW w:w="5209" w:type="dxa"/>
            <w:noWrap w:val="0"/>
            <w:vAlign w:val="center"/>
          </w:tcPr>
          <w:p>
            <w:pPr>
              <w:rPr>
                <w:rFonts w:asciiTheme="minorEastAsia" w:hAnsiTheme="minorEastAsia" w:cstheme="minorEastAsia" w:hint="eastAsia"/>
                <w:kern w:val="0"/>
                <w:szCs w:val="21"/>
                <w:highlight w:val="none"/>
              </w:rPr>
            </w:pPr>
            <w:bookmarkStart w:id="45" w:name="进口产品投标_entranceFlagText"/>
            <w:r>
              <w:rPr>
                <w:rFonts w:asciiTheme="minorEastAsia" w:eastAsiaTheme="minorEastAsia" w:hAnsiTheme="minorEastAsia" w:cstheme="minorEastAsia" w:hint="eastAsia"/>
                <w:kern w:val="0"/>
                <w:szCs w:val="21"/>
                <w:highlight w:val="none"/>
              </w:rPr>
              <w:t>不允许</w:t>
            </w:r>
            <w:bookmarkEnd w:id="45"/>
          </w:p>
        </w:tc>
      </w:tr>
      <w:tr>
        <w:tblPrEx>
          <w:tblW w:w="0" w:type="auto"/>
          <w:tblInd w:w="0" w:type="dxa"/>
          <w:tblLayout w:type="fixed"/>
          <w:tblCellMar>
            <w:top w:w="0" w:type="dxa"/>
            <w:left w:w="108" w:type="dxa"/>
            <w:bottom w:w="0" w:type="dxa"/>
            <w:right w:w="108" w:type="dxa"/>
          </w:tblCellMar>
        </w:tblPrEx>
        <w:trPr>
          <w:trHeight w:val="1009"/>
        </w:trPr>
        <w:tc>
          <w:tcPr>
            <w:tcW w:w="675" w:type="dxa"/>
            <w:noWrap w:val="0"/>
            <w:vAlign w:val="center"/>
          </w:tcPr>
          <w:p>
            <w:pPr>
              <w:rPr>
                <w:rFonts w:hint="eastAsia"/>
                <w:szCs w:val="21"/>
                <w:highlight w:val="none"/>
              </w:rPr>
            </w:pPr>
            <w:r>
              <w:rPr>
                <w:rFonts w:hint="eastAsia"/>
                <w:szCs w:val="21"/>
                <w:highlight w:val="none"/>
              </w:rPr>
              <w:t>5.9</w:t>
            </w:r>
          </w:p>
        </w:tc>
        <w:tc>
          <w:tcPr>
            <w:tcW w:w="1418" w:type="dxa"/>
            <w:noWrap w:val="0"/>
            <w:vAlign w:val="center"/>
          </w:tcPr>
          <w:p>
            <w:pPr>
              <w:rPr>
                <w:rFonts w:hint="eastAsia"/>
                <w:szCs w:val="21"/>
                <w:highlight w:val="none"/>
              </w:rPr>
            </w:pPr>
            <w:r>
              <w:rPr>
                <w:rFonts w:hint="eastAsia"/>
                <w:szCs w:val="21"/>
                <w:highlight w:val="none"/>
              </w:rPr>
              <w:t>1.5.1</w:t>
            </w:r>
          </w:p>
        </w:tc>
        <w:tc>
          <w:tcPr>
            <w:tcW w:w="1701" w:type="dxa"/>
            <w:noWrap w:val="0"/>
            <w:vAlign w:val="center"/>
          </w:tcPr>
          <w:p>
            <w:pPr>
              <w:rPr>
                <w:rFonts w:hint="eastAsia"/>
                <w:szCs w:val="21"/>
                <w:highlight w:val="none"/>
              </w:rPr>
            </w:pPr>
            <w:r>
              <w:rPr>
                <w:rFonts w:hint="eastAsia"/>
                <w:szCs w:val="21"/>
                <w:highlight w:val="none"/>
              </w:rPr>
              <w:t>采购标的对应的中小企业划分标准所属行业</w:t>
            </w:r>
          </w:p>
        </w:tc>
        <w:tc>
          <w:tcPr>
            <w:tcW w:w="5209" w:type="dxa"/>
            <w:noWrap w:val="0"/>
            <w:vAlign w:val="center"/>
          </w:tcPr>
          <w:p>
            <w:pPr>
              <w:rPr>
                <w:rFonts w:ascii="Calibri" w:hAnsi="Calibri" w:hint="eastAsia"/>
                <w:highlight w:val="none"/>
              </w:rPr>
            </w:pPr>
            <w:r>
              <w:rPr>
                <w:rFonts w:ascii="Calibri" w:hAnsi="Calibri" w:hint="eastAsia"/>
                <w:szCs w:val="22"/>
                <w:highlight w:val="none"/>
              </w:rPr>
              <w:t>所属行业划分标准为：《关于印发中小企业划型标准规定的通知》（工信部联企业〔2011〕300号）</w:t>
            </w:r>
          </w:p>
          <w:p>
            <w:pPr>
              <w:rPr>
                <w:rFonts w:ascii="宋体" w:hAnsi="宋体" w:cs="微软雅黑" w:hint="eastAsia"/>
                <w:kern w:val="0"/>
                <w:szCs w:val="21"/>
                <w:highlight w:val="none"/>
              </w:rPr>
            </w:pPr>
            <w:bookmarkStart w:id="46" w:name="行业_smeIndustryClassification"/>
            <w:r>
              <w:rPr>
                <w:rFonts w:ascii="宋体" w:hAnsi="宋体" w:cs="微软雅黑" w:hint="eastAsia"/>
                <w:kern w:val="0"/>
                <w:szCs w:val="21"/>
                <w:highlight w:val="none"/>
              </w:rPr>
              <w:t>（1）标的：    ，属于工业 行业；</w:t>
            </w:r>
            <w:bookmarkEnd w:id="46"/>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rFonts w:hint="eastAsia"/>
                <w:szCs w:val="21"/>
                <w:highlight w:val="none"/>
              </w:rPr>
            </w:pPr>
            <w:r>
              <w:rPr>
                <w:rFonts w:hint="eastAsia"/>
                <w:szCs w:val="21"/>
                <w:highlight w:val="none"/>
              </w:rPr>
              <w:t>5.10</w:t>
            </w:r>
          </w:p>
        </w:tc>
        <w:tc>
          <w:tcPr>
            <w:tcW w:w="1418" w:type="dxa"/>
            <w:noWrap w:val="0"/>
            <w:vAlign w:val="center"/>
          </w:tcPr>
          <w:p>
            <w:pPr>
              <w:jc w:val="left"/>
              <w:rPr>
                <w:rFonts w:hint="eastAsia"/>
                <w:szCs w:val="21"/>
                <w:highlight w:val="none"/>
              </w:rPr>
            </w:pPr>
            <w:r>
              <w:rPr>
                <w:rFonts w:hint="eastAsia"/>
                <w:szCs w:val="21"/>
                <w:highlight w:val="none"/>
              </w:rPr>
              <w:t>1.5.3</w:t>
            </w:r>
          </w:p>
        </w:tc>
        <w:tc>
          <w:tcPr>
            <w:tcW w:w="1701" w:type="dxa"/>
            <w:noWrap w:val="0"/>
            <w:vAlign w:val="center"/>
          </w:tcPr>
          <w:p>
            <w:pPr>
              <w:rPr>
                <w:rFonts w:hint="eastAsia"/>
                <w:szCs w:val="21"/>
                <w:highlight w:val="none"/>
              </w:rPr>
            </w:pPr>
            <w:r>
              <w:rPr>
                <w:rFonts w:hint="eastAsia"/>
                <w:szCs w:val="21"/>
                <w:highlight w:val="none"/>
              </w:rPr>
              <w:t>是否预留采购份额面向中小企业采购</w:t>
            </w:r>
          </w:p>
        </w:tc>
        <w:tc>
          <w:tcPr>
            <w:tcW w:w="5209" w:type="dxa"/>
            <w:noWrap w:val="0"/>
            <w:vAlign w:val="center"/>
          </w:tcPr>
          <w:p>
            <w:pPr>
              <w:rPr>
                <w:rFonts w:ascii="宋体" w:hAnsi="宋体" w:cs="微软雅黑" w:hint="eastAsia"/>
                <w:kern w:val="0"/>
                <w:szCs w:val="21"/>
                <w:highlight w:val="none"/>
              </w:rPr>
            </w:pPr>
            <w:bookmarkStart w:id="47" w:name="中小企业_minorEnterprisesFlagText"/>
            <w:r>
              <w:rPr>
                <w:rFonts w:ascii="Wingdings 2" w:hAnsi="Wingdings 2" w:cs="微软雅黑" w:hint="eastAsia"/>
                <w:kern w:val="0"/>
                <w:szCs w:val="21"/>
                <w:highlight w:val="none"/>
                <w:lang w:eastAsia="zh-CN"/>
              </w:rPr>
              <w:t>否</w:t>
            </w:r>
            <w:bookmarkEnd w:id="47"/>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5.11</w:t>
            </w:r>
          </w:p>
        </w:tc>
        <w:tc>
          <w:tcPr>
            <w:tcW w:w="1418" w:type="dxa"/>
            <w:noWrap w:val="0"/>
            <w:vAlign w:val="center"/>
          </w:tcPr>
          <w:p>
            <w:pPr>
              <w:rPr>
                <w:szCs w:val="21"/>
                <w:highlight w:val="none"/>
              </w:rPr>
            </w:pPr>
            <w:r>
              <w:rPr>
                <w:rFonts w:hint="eastAsia"/>
                <w:szCs w:val="21"/>
                <w:highlight w:val="none"/>
              </w:rPr>
              <w:t>1.9.2</w:t>
            </w:r>
          </w:p>
        </w:tc>
        <w:tc>
          <w:tcPr>
            <w:tcW w:w="1701" w:type="dxa"/>
            <w:noWrap w:val="0"/>
            <w:vAlign w:val="center"/>
          </w:tcPr>
          <w:p>
            <w:pPr>
              <w:rPr>
                <w:szCs w:val="21"/>
                <w:highlight w:val="none"/>
              </w:rPr>
            </w:pPr>
            <w:r>
              <w:rPr>
                <w:rFonts w:hint="eastAsia"/>
                <w:szCs w:val="21"/>
                <w:highlight w:val="none"/>
              </w:rPr>
              <w:t>中标人是否需要交纳代理服务费</w:t>
            </w:r>
          </w:p>
        </w:tc>
        <w:tc>
          <w:tcPr>
            <w:tcW w:w="5209" w:type="dxa"/>
            <w:noWrap w:val="0"/>
            <w:vAlign w:val="center"/>
          </w:tcPr>
          <w:p>
            <w:pPr>
              <w:rPr>
                <w:rFonts w:hint="eastAsia"/>
                <w:highlight w:val="none"/>
              </w:rPr>
            </w:pPr>
            <w:bookmarkStart w:id="48" w:name="中标服务费_finalAmountText"/>
            <w:r>
              <w:rPr>
                <w:rFonts w:hint="eastAsia"/>
                <w:highlight w:val="none"/>
                <w:lang w:eastAsia="zh-CN"/>
              </w:rPr>
              <w:t>是，中标服务费：4.8万元。</w:t>
            </w:r>
            <w:bookmarkEnd w:id="48"/>
            <w:r>
              <w:rPr>
                <w:rFonts w:ascii="宋体" w:hAnsi="宋体" w:cs="微软雅黑" w:hint="eastAsia"/>
                <w:kern w:val="0"/>
                <w:szCs w:val="21"/>
                <w:highlight w:val="none"/>
              </w:rPr>
              <w:t xml:space="preserve"> </w:t>
            </w:r>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5.12</w:t>
            </w:r>
          </w:p>
        </w:tc>
        <w:tc>
          <w:tcPr>
            <w:tcW w:w="1418" w:type="dxa"/>
            <w:noWrap w:val="0"/>
            <w:vAlign w:val="center"/>
          </w:tcPr>
          <w:p>
            <w:pPr>
              <w:rPr>
                <w:szCs w:val="21"/>
                <w:highlight w:val="none"/>
              </w:rPr>
            </w:pPr>
            <w:r>
              <w:rPr>
                <w:rFonts w:hint="eastAsia"/>
                <w:szCs w:val="21"/>
                <w:highlight w:val="none"/>
              </w:rPr>
              <w:t>1.12.7</w:t>
            </w:r>
          </w:p>
        </w:tc>
        <w:tc>
          <w:tcPr>
            <w:tcW w:w="1701" w:type="dxa"/>
            <w:noWrap w:val="0"/>
            <w:vAlign w:val="center"/>
          </w:tcPr>
          <w:p>
            <w:pPr>
              <w:rPr>
                <w:szCs w:val="21"/>
                <w:highlight w:val="none"/>
              </w:rPr>
            </w:pPr>
            <w:r>
              <w:rPr>
                <w:rFonts w:hint="eastAsia"/>
                <w:szCs w:val="21"/>
                <w:highlight w:val="none"/>
              </w:rPr>
              <w:t>是否组织现场考察或开标前答疑会</w:t>
            </w:r>
          </w:p>
        </w:tc>
        <w:tc>
          <w:tcPr>
            <w:tcW w:w="5209" w:type="dxa"/>
            <w:noWrap w:val="0"/>
            <w:vAlign w:val="center"/>
          </w:tcPr>
          <w:p>
            <w:pPr>
              <w:rPr>
                <w:rFonts w:ascii="宋体" w:hAnsi="宋体" w:cs="微软雅黑" w:hint="eastAsia"/>
                <w:kern w:val="0"/>
                <w:szCs w:val="21"/>
                <w:highlight w:val="none"/>
              </w:rPr>
            </w:pPr>
            <w:bookmarkStart w:id="49" w:name="答疑会_answeringQuestionFlagText"/>
            <w:r>
              <w:rPr>
                <w:rFonts w:ascii="宋体" w:hAnsi="宋体" w:cs="微软雅黑" w:hint="eastAsia"/>
                <w:kern w:val="0"/>
                <w:szCs w:val="21"/>
                <w:highlight w:val="none"/>
              </w:rPr>
              <w:t>否</w:t>
            </w:r>
            <w:bookmarkEnd w:id="49"/>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5.13</w:t>
            </w:r>
          </w:p>
        </w:tc>
        <w:tc>
          <w:tcPr>
            <w:tcW w:w="1418" w:type="dxa"/>
            <w:noWrap w:val="0"/>
            <w:vAlign w:val="center"/>
          </w:tcPr>
          <w:p>
            <w:pPr>
              <w:rPr>
                <w:szCs w:val="21"/>
                <w:highlight w:val="none"/>
              </w:rPr>
            </w:pPr>
            <w:r>
              <w:rPr>
                <w:rFonts w:hint="eastAsia"/>
                <w:szCs w:val="21"/>
                <w:highlight w:val="none"/>
              </w:rPr>
              <w:t>1.14.2、1.14.3</w:t>
            </w:r>
          </w:p>
        </w:tc>
        <w:tc>
          <w:tcPr>
            <w:tcW w:w="1701" w:type="dxa"/>
            <w:noWrap w:val="0"/>
            <w:vAlign w:val="center"/>
          </w:tcPr>
          <w:p>
            <w:pPr>
              <w:rPr>
                <w:szCs w:val="21"/>
                <w:highlight w:val="none"/>
              </w:rPr>
            </w:pPr>
            <w:r>
              <w:rPr>
                <w:rFonts w:hint="eastAsia"/>
                <w:szCs w:val="21"/>
                <w:highlight w:val="none"/>
              </w:rPr>
              <w:t>投标人应提交其他商务文件和技术文件</w:t>
            </w:r>
          </w:p>
        </w:tc>
        <w:tc>
          <w:tcPr>
            <w:tcW w:w="5209" w:type="dxa"/>
            <w:noWrap w:val="0"/>
            <w:vAlign w:val="center"/>
          </w:tcPr>
          <w:p>
            <w:pPr>
              <w:rPr>
                <w:rFonts w:ascii="宋体" w:hAnsi="宋体" w:cs="微软雅黑" w:hint="eastAsia"/>
                <w:kern w:val="0"/>
                <w:szCs w:val="21"/>
                <w:highlight w:val="none"/>
              </w:rPr>
            </w:pPr>
            <w:r>
              <w:rPr>
                <w:rFonts w:ascii="宋体" w:hAnsi="宋体" w:cs="微软雅黑" w:hint="eastAsia"/>
                <w:kern w:val="0"/>
                <w:szCs w:val="21"/>
                <w:highlight w:val="none"/>
              </w:rPr>
              <w:t>除通用册投标人须知要求提交的商务和技术文件外，投标人还应提交下列商务和技术文件：</w:t>
            </w:r>
          </w:p>
          <w:p>
            <w:pPr>
              <w:rPr>
                <w:rFonts w:hint="default"/>
                <w:kern w:val="0"/>
                <w:szCs w:val="21"/>
                <w:highlight w:val="none"/>
              </w:rPr>
            </w:pPr>
            <w:r>
              <w:rPr>
                <w:rFonts w:hint="eastAsia"/>
                <w:kern w:val="0"/>
                <w:szCs w:val="21"/>
                <w:highlight w:val="none"/>
                <w:lang w:val="en-US" w:eastAsia="zh-CN"/>
              </w:rPr>
              <w:t>无</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5.14</w:t>
            </w:r>
          </w:p>
        </w:tc>
        <w:tc>
          <w:tcPr>
            <w:tcW w:w="1418" w:type="dxa"/>
            <w:noWrap w:val="0"/>
            <w:vAlign w:val="center"/>
          </w:tcPr>
          <w:p>
            <w:pPr>
              <w:rPr>
                <w:szCs w:val="21"/>
                <w:highlight w:val="none"/>
              </w:rPr>
            </w:pPr>
            <w:r>
              <w:rPr>
                <w:rFonts w:hint="eastAsia"/>
                <w:szCs w:val="21"/>
                <w:highlight w:val="none"/>
              </w:rPr>
              <w:t>1.16.1</w:t>
            </w:r>
          </w:p>
        </w:tc>
        <w:tc>
          <w:tcPr>
            <w:tcW w:w="1701" w:type="dxa"/>
            <w:noWrap w:val="0"/>
            <w:vAlign w:val="center"/>
          </w:tcPr>
          <w:p>
            <w:pPr>
              <w:rPr>
                <w:szCs w:val="21"/>
                <w:highlight w:val="none"/>
              </w:rPr>
            </w:pPr>
            <w:r>
              <w:rPr>
                <w:rFonts w:hint="eastAsia"/>
                <w:szCs w:val="21"/>
                <w:highlight w:val="none"/>
              </w:rPr>
              <w:t>本次招标是否需要提交投标保证金</w:t>
            </w:r>
          </w:p>
        </w:tc>
        <w:tc>
          <w:tcPr>
            <w:tcW w:w="5209" w:type="dxa"/>
            <w:noWrap w:val="0"/>
            <w:vAlign w:val="center"/>
          </w:tcPr>
          <w:p>
            <w:pPr>
              <w:rPr>
                <w:rFonts w:asciiTheme="minorEastAsia" w:hAnsiTheme="minorEastAsia" w:cstheme="minorEastAsia" w:hint="eastAsia"/>
                <w:kern w:val="0"/>
                <w:szCs w:val="21"/>
                <w:highlight w:val="none"/>
              </w:rPr>
            </w:pPr>
            <w:bookmarkStart w:id="50" w:name="标保证金_bailFlagText"/>
            <w:r>
              <w:rPr>
                <w:rFonts w:asciiTheme="minorEastAsia" w:eastAsiaTheme="minorEastAsia" w:hAnsiTheme="minorEastAsia" w:cstheme="minorEastAsia" w:hint="eastAsia"/>
                <w:kern w:val="0"/>
                <w:szCs w:val="21"/>
                <w:highlight w:val="none"/>
              </w:rPr>
              <w:t>否</w:t>
            </w:r>
            <w:bookmarkEnd w:id="50"/>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rFonts w:hint="eastAsia"/>
                <w:szCs w:val="21"/>
                <w:highlight w:val="none"/>
              </w:rPr>
            </w:pPr>
            <w:r>
              <w:rPr>
                <w:rFonts w:hint="eastAsia"/>
                <w:szCs w:val="21"/>
                <w:highlight w:val="none"/>
              </w:rPr>
              <w:t>5.15</w:t>
            </w:r>
          </w:p>
        </w:tc>
        <w:tc>
          <w:tcPr>
            <w:tcW w:w="1418" w:type="dxa"/>
            <w:noWrap w:val="0"/>
            <w:vAlign w:val="center"/>
          </w:tcPr>
          <w:p>
            <w:pPr>
              <w:rPr>
                <w:rFonts w:hint="eastAsia"/>
                <w:szCs w:val="21"/>
                <w:highlight w:val="none"/>
              </w:rPr>
            </w:pPr>
            <w:r>
              <w:rPr>
                <w:rFonts w:hint="eastAsia"/>
                <w:szCs w:val="21"/>
                <w:highlight w:val="none"/>
              </w:rPr>
              <w:t>1.17.2</w:t>
            </w:r>
          </w:p>
        </w:tc>
        <w:tc>
          <w:tcPr>
            <w:tcW w:w="1701" w:type="dxa"/>
            <w:noWrap w:val="0"/>
            <w:vAlign w:val="center"/>
          </w:tcPr>
          <w:p>
            <w:pPr>
              <w:rPr>
                <w:rFonts w:hint="eastAsia"/>
                <w:szCs w:val="21"/>
                <w:highlight w:val="none"/>
              </w:rPr>
            </w:pPr>
            <w:r>
              <w:rPr>
                <w:rFonts w:hint="eastAsia"/>
                <w:szCs w:val="21"/>
                <w:highlight w:val="none"/>
              </w:rPr>
              <w:t>项目预算</w:t>
            </w:r>
          </w:p>
        </w:tc>
        <w:tc>
          <w:tcPr>
            <w:tcW w:w="5209" w:type="dxa"/>
            <w:noWrap w:val="0"/>
            <w:vAlign w:val="center"/>
          </w:tcPr>
          <w:p>
            <w:pPr>
              <w:rPr>
                <w:rFonts w:ascii="宋体" w:hAnsi="宋体" w:cs="微软雅黑"/>
                <w:kern w:val="0"/>
                <w:szCs w:val="21"/>
                <w:highlight w:val="none"/>
              </w:rPr>
            </w:pPr>
            <w:r>
              <w:rPr>
                <w:rFonts w:hint="eastAsia"/>
                <w:szCs w:val="21"/>
                <w:highlight w:val="none"/>
              </w:rPr>
              <w:t>本项目采购预算（或最高限价）为人民币</w:t>
            </w:r>
            <w:r>
              <w:rPr>
                <w:rFonts w:ascii="宋体" w:hAnsi="宋体" w:cs="微软雅黑" w:hint="eastAsia"/>
                <w:kern w:val="0"/>
                <w:szCs w:val="21"/>
                <w:highlight w:val="none"/>
              </w:rPr>
              <w:t xml:space="preserve">  </w:t>
            </w:r>
            <w:bookmarkStart w:id="51" w:name="预算金额_budgetAmount"/>
            <w:r>
              <w:rPr>
                <w:rFonts w:ascii="宋体" w:hAnsi="宋体" w:cs="微软雅黑" w:hint="eastAsia"/>
                <w:kern w:val="0"/>
                <w:szCs w:val="21"/>
                <w:highlight w:val="none"/>
              </w:rPr>
              <w:t>520.000000</w:t>
            </w:r>
            <w:bookmarkEnd w:id="51"/>
            <w:r>
              <w:rPr>
                <w:rFonts w:ascii="宋体" w:hAnsi="宋体" w:cs="微软雅黑" w:hint="eastAsia"/>
                <w:kern w:val="0"/>
                <w:szCs w:val="21"/>
                <w:highlight w:val="none"/>
              </w:rPr>
              <w:t>万元</w:t>
            </w:r>
            <w:bookmarkStart w:id="52" w:name="预算明细_packMoneyDetail"/>
            <w:r>
              <w:rPr>
                <w:rFonts w:hint="eastAsia"/>
                <w:szCs w:val="21"/>
                <w:highlight w:val="none"/>
              </w:rPr>
              <w:t>,包 1 采购预算(或最高限价)为人民币 520.000000 万元</w:t>
            </w:r>
            <w:bookmarkEnd w:id="52"/>
            <w:r>
              <w:rPr>
                <w:rFonts w:hint="eastAsia"/>
                <w:szCs w:val="21"/>
                <w:highlight w:val="none"/>
              </w:rPr>
              <w:t>。</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5.16</w:t>
            </w:r>
          </w:p>
        </w:tc>
        <w:tc>
          <w:tcPr>
            <w:tcW w:w="1418" w:type="dxa"/>
            <w:noWrap w:val="0"/>
            <w:vAlign w:val="center"/>
          </w:tcPr>
          <w:p>
            <w:pPr>
              <w:rPr>
                <w:szCs w:val="21"/>
                <w:highlight w:val="none"/>
              </w:rPr>
            </w:pPr>
            <w:r>
              <w:rPr>
                <w:rFonts w:hint="eastAsia"/>
                <w:szCs w:val="21"/>
                <w:highlight w:val="none"/>
              </w:rPr>
              <w:t>1.18.1</w:t>
            </w:r>
          </w:p>
        </w:tc>
        <w:tc>
          <w:tcPr>
            <w:tcW w:w="1701" w:type="dxa"/>
            <w:noWrap w:val="0"/>
            <w:vAlign w:val="center"/>
          </w:tcPr>
          <w:p>
            <w:pPr>
              <w:rPr>
                <w:szCs w:val="21"/>
                <w:highlight w:val="none"/>
              </w:rPr>
            </w:pPr>
            <w:r>
              <w:rPr>
                <w:rFonts w:hint="eastAsia"/>
                <w:szCs w:val="21"/>
                <w:highlight w:val="none"/>
              </w:rPr>
              <w:t>是否允许投标人将项目非主体、非关键性工作交由他人完成</w:t>
            </w:r>
          </w:p>
        </w:tc>
        <w:tc>
          <w:tcPr>
            <w:tcW w:w="5209" w:type="dxa"/>
            <w:noWrap w:val="0"/>
            <w:vAlign w:val="center"/>
          </w:tcPr>
          <w:p>
            <w:pPr>
              <w:rPr>
                <w:rFonts w:ascii="宋体" w:hAnsi="宋体" w:cs="微软雅黑" w:hint="eastAsia"/>
                <w:kern w:val="0"/>
                <w:szCs w:val="21"/>
                <w:highlight w:val="none"/>
              </w:rPr>
            </w:pPr>
            <w:bookmarkStart w:id="53" w:name="关键性工作_entrustingOthersFlagText"/>
            <w:r>
              <w:rPr>
                <w:rFonts w:ascii="Wingdings 2" w:hAnsi="Wingdings 2" w:cs="微软雅黑"/>
                <w:kern w:val="0"/>
                <w:szCs w:val="21"/>
                <w:highlight w:val="none"/>
              </w:rPr>
              <w:t>不允许</w:t>
            </w:r>
            <w:bookmarkEnd w:id="53"/>
          </w:p>
        </w:tc>
      </w:tr>
      <w:tr>
        <w:tblPrEx>
          <w:tblW w:w="0" w:type="auto"/>
          <w:tblInd w:w="0" w:type="dxa"/>
          <w:tblLayout w:type="fixed"/>
          <w:tblCellMar>
            <w:top w:w="0" w:type="dxa"/>
            <w:left w:w="108" w:type="dxa"/>
            <w:bottom w:w="0" w:type="dxa"/>
            <w:right w:w="108" w:type="dxa"/>
          </w:tblCellMar>
        </w:tblPrEx>
        <w:trPr>
          <w:trHeight w:val="556"/>
        </w:trPr>
        <w:tc>
          <w:tcPr>
            <w:tcW w:w="675" w:type="dxa"/>
            <w:noWrap w:val="0"/>
            <w:vAlign w:val="center"/>
          </w:tcPr>
          <w:p>
            <w:pPr>
              <w:rPr>
                <w:szCs w:val="21"/>
                <w:highlight w:val="none"/>
              </w:rPr>
            </w:pPr>
            <w:r>
              <w:rPr>
                <w:rFonts w:hint="eastAsia"/>
                <w:szCs w:val="21"/>
                <w:highlight w:val="none"/>
              </w:rPr>
              <w:t>5.17</w:t>
            </w:r>
          </w:p>
        </w:tc>
        <w:tc>
          <w:tcPr>
            <w:tcW w:w="1418" w:type="dxa"/>
            <w:noWrap w:val="0"/>
            <w:vAlign w:val="center"/>
          </w:tcPr>
          <w:p>
            <w:pPr>
              <w:rPr>
                <w:szCs w:val="21"/>
                <w:highlight w:val="none"/>
              </w:rPr>
            </w:pPr>
            <w:r>
              <w:rPr>
                <w:rFonts w:hint="eastAsia"/>
                <w:szCs w:val="21"/>
                <w:highlight w:val="none"/>
              </w:rPr>
              <w:t>1.20.1</w:t>
            </w:r>
          </w:p>
        </w:tc>
        <w:tc>
          <w:tcPr>
            <w:tcW w:w="1701" w:type="dxa"/>
            <w:noWrap w:val="0"/>
            <w:vAlign w:val="center"/>
          </w:tcPr>
          <w:p>
            <w:pPr>
              <w:rPr>
                <w:szCs w:val="21"/>
                <w:highlight w:val="none"/>
              </w:rPr>
            </w:pPr>
            <w:r>
              <w:rPr>
                <w:rFonts w:hint="eastAsia"/>
                <w:szCs w:val="21"/>
                <w:highlight w:val="none"/>
              </w:rPr>
              <w:t>投标有效期</w:t>
            </w:r>
          </w:p>
        </w:tc>
        <w:tc>
          <w:tcPr>
            <w:tcW w:w="5209" w:type="dxa"/>
            <w:noWrap w:val="0"/>
            <w:vAlign w:val="center"/>
          </w:tcPr>
          <w:p>
            <w:pPr>
              <w:rPr>
                <w:szCs w:val="21"/>
                <w:highlight w:val="none"/>
              </w:rPr>
            </w:pPr>
            <w:bookmarkStart w:id="54" w:name="投标有效期_bidExpirationDate"/>
            <w:r>
              <w:rPr>
                <w:rFonts w:ascii="宋体" w:hAnsi="宋体" w:cs="微软雅黑" w:hint="eastAsia"/>
                <w:kern w:val="0"/>
                <w:szCs w:val="21"/>
                <w:highlight w:val="none"/>
              </w:rPr>
              <w:t>120日历天</w:t>
            </w:r>
            <w:bookmarkEnd w:id="5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rFonts w:hint="eastAsia"/>
                <w:szCs w:val="21"/>
                <w:highlight w:val="none"/>
              </w:rPr>
            </w:pPr>
            <w:r>
              <w:rPr>
                <w:rFonts w:hint="eastAsia"/>
                <w:szCs w:val="21"/>
              </w:rPr>
              <w:t>5.18</w:t>
            </w:r>
          </w:p>
        </w:tc>
        <w:tc>
          <w:tcPr>
            <w:tcW w:w="1418" w:type="dxa"/>
            <w:noWrap w:val="0"/>
            <w:vAlign w:val="center"/>
          </w:tcPr>
          <w:p>
            <w:pPr>
              <w:rPr>
                <w:rFonts w:hint="eastAsia"/>
                <w:szCs w:val="21"/>
                <w:highlight w:val="none"/>
              </w:rPr>
            </w:pPr>
            <w:r>
              <w:rPr>
                <w:rFonts w:hint="eastAsia"/>
                <w:szCs w:val="21"/>
              </w:rPr>
              <w:t>1.22</w:t>
            </w:r>
          </w:p>
        </w:tc>
        <w:tc>
          <w:tcPr>
            <w:tcW w:w="1701" w:type="dxa"/>
            <w:noWrap w:val="0"/>
            <w:vAlign w:val="center"/>
          </w:tcPr>
          <w:p>
            <w:pPr>
              <w:rPr>
                <w:rFonts w:hint="eastAsia"/>
                <w:szCs w:val="21"/>
                <w:highlight w:val="none"/>
              </w:rPr>
            </w:pPr>
            <w:r>
              <w:rPr>
                <w:rFonts w:hint="eastAsia"/>
                <w:szCs w:val="21"/>
              </w:rPr>
              <w:t>投标文件递交</w:t>
            </w:r>
          </w:p>
        </w:tc>
        <w:tc>
          <w:tcPr>
            <w:tcW w:w="5209" w:type="dxa"/>
            <w:noWrap w:val="0"/>
            <w:vAlign w:val="center"/>
          </w:tcPr>
          <w:p>
            <w:pPr>
              <w:adjustRightInd w:val="0"/>
              <w:snapToGrid w:val="0"/>
              <w:spacing w:line="360" w:lineRule="auto"/>
              <w:jc w:val="left"/>
              <w:rPr>
                <w:rFonts w:hint="eastAsia"/>
                <w:szCs w:val="21"/>
                <w:highlight w:val="none"/>
              </w:rPr>
            </w:pPr>
            <w:r>
              <w:rPr>
                <w:rFonts w:ascii="宋体" w:hAnsi="宋体" w:hint="eastAsia"/>
                <w:bCs/>
                <w:szCs w:val="21"/>
              </w:rPr>
              <w:t>通过系统</w:t>
            </w:r>
            <w:r>
              <w:rPr>
                <w:rFonts w:ascii="宋体" w:cs="微软雅黑" w:hint="eastAsia"/>
                <w:szCs w:val="21"/>
              </w:rPr>
              <w:t>上传加密的电子投标文件</w:t>
            </w:r>
            <w:bookmarkStart w:id="55" w:name="_GoBack"/>
            <w:bookmarkEnd w:id="55"/>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szCs w:val="21"/>
                <w:highlight w:val="none"/>
              </w:rPr>
            </w:pPr>
            <w:r>
              <w:rPr>
                <w:rFonts w:hint="eastAsia"/>
                <w:szCs w:val="21"/>
                <w:highlight w:val="none"/>
              </w:rPr>
              <w:t>5.19</w:t>
            </w:r>
          </w:p>
        </w:tc>
        <w:tc>
          <w:tcPr>
            <w:tcW w:w="1418" w:type="dxa"/>
            <w:noWrap w:val="0"/>
            <w:vAlign w:val="center"/>
          </w:tcPr>
          <w:p>
            <w:pPr>
              <w:rPr>
                <w:szCs w:val="21"/>
                <w:highlight w:val="none"/>
              </w:rPr>
            </w:pPr>
            <w:r>
              <w:rPr>
                <w:rFonts w:hint="eastAsia"/>
                <w:szCs w:val="21"/>
                <w:highlight w:val="none"/>
              </w:rPr>
              <w:t>1.26.2</w:t>
            </w:r>
          </w:p>
        </w:tc>
        <w:tc>
          <w:tcPr>
            <w:tcW w:w="1701" w:type="dxa"/>
            <w:noWrap w:val="0"/>
            <w:vAlign w:val="center"/>
          </w:tcPr>
          <w:p>
            <w:pPr>
              <w:rPr>
                <w:szCs w:val="21"/>
                <w:highlight w:val="none"/>
              </w:rPr>
            </w:pPr>
            <w:r>
              <w:rPr>
                <w:rFonts w:hint="eastAsia"/>
                <w:szCs w:val="21"/>
                <w:highlight w:val="none"/>
              </w:rPr>
              <w:t>是否进行述标</w:t>
            </w:r>
          </w:p>
        </w:tc>
        <w:tc>
          <w:tcPr>
            <w:tcW w:w="5209" w:type="dxa"/>
            <w:noWrap w:val="0"/>
            <w:vAlign w:val="center"/>
          </w:tcPr>
          <w:p>
            <w:pPr>
              <w:rPr>
                <w:rFonts w:ascii="宋体" w:hAnsi="宋体" w:cs="微软雅黑" w:hint="eastAsia"/>
                <w:kern w:val="0"/>
                <w:szCs w:val="21"/>
                <w:highlight w:val="none"/>
              </w:rPr>
            </w:pPr>
            <w:bookmarkStart w:id="56" w:name="进行述标_describeStandardFlagText"/>
            <w:r>
              <w:rPr>
                <w:rFonts w:ascii="宋体" w:hAnsi="宋体" w:cs="微软雅黑" w:hint="eastAsia"/>
                <w:kern w:val="0"/>
                <w:szCs w:val="21"/>
                <w:highlight w:val="none"/>
              </w:rPr>
              <w:t>否</w:t>
            </w:r>
            <w:bookmarkEnd w:id="56"/>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5.20</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采购资金的支付方式、时间、条件</w:t>
            </w:r>
          </w:p>
        </w:tc>
        <w:tc>
          <w:tcPr>
            <w:tcW w:w="5209" w:type="dxa"/>
            <w:noWrap w:val="0"/>
            <w:vAlign w:val="center"/>
          </w:tcPr>
          <w:p>
            <w:pPr>
              <w:rPr>
                <w:rFonts w:ascii="宋体" w:hAnsi="宋体" w:hint="eastAsia"/>
                <w:szCs w:val="21"/>
                <w:highlight w:val="none"/>
              </w:rPr>
            </w:pPr>
            <w:r>
              <w:rPr>
                <w:rFonts w:ascii="宋体" w:hAnsi="宋体" w:hint="eastAsia"/>
                <w:szCs w:val="21"/>
                <w:highlight w:val="none"/>
              </w:rPr>
              <w:t>详见第九章采购合同</w:t>
            </w:r>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5.21</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其他事项</w:t>
            </w:r>
          </w:p>
        </w:tc>
        <w:tc>
          <w:tcPr>
            <w:tcW w:w="5209" w:type="dxa"/>
            <w:noWrap w:val="0"/>
            <w:vAlign w:val="center"/>
          </w:tcPr>
          <w:p>
            <w:pPr>
              <w:rPr>
                <w:rFonts w:ascii="宋体" w:hAnsi="宋体" w:hint="eastAsia"/>
                <w:szCs w:val="21"/>
                <w:highlight w:val="none"/>
              </w:rPr>
            </w:pPr>
            <w:bookmarkStart w:id="57" w:name="其他事项_ottherReemarks"/>
            <w:r>
              <w:rPr>
                <w:rFonts w:ascii="宋体" w:hAnsi="宋体" w:hint="eastAsia"/>
                <w:szCs w:val="21"/>
                <w:highlight w:val="none"/>
              </w:rPr>
              <w:t>无</w:t>
            </w:r>
            <w:bookmarkEnd w:id="57"/>
          </w:p>
        </w:tc>
      </w:tr>
    </w:tbl>
    <w:p>
      <w:pPr>
        <w:rPr>
          <w:highlight w:val="none"/>
        </w:rPr>
      </w:pPr>
    </w:p>
    <w:p w:rsidR="00A77B3E"/>
    <w:p>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space="708"/>
          <w:docGrid w:type="linesAndChars" w:linePitch="312"/>
        </w:sectPr>
      </w:pPr>
      <w:bookmarkEnd w:id="37"/>
    </w:p>
    <w:p>
      <w:pPr>
        <w:spacing w:before="156" w:beforeLines="50" w:line="360" w:lineRule="auto"/>
        <w:ind w:firstLine="300" w:firstLineChars="100"/>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pPr>
        <w:spacing w:line="360" w:lineRule="auto"/>
        <w:ind w:firstLine="412" w:firstLineChars="196"/>
        <w:jc w:val="left"/>
        <w:rPr>
          <w:highlight w:val="none"/>
        </w:rPr>
      </w:pPr>
      <w:r>
        <w:rPr>
          <w:rFonts w:ascii="宋体" w:hAnsi="宋体" w:hint="eastAsia"/>
          <w:b/>
          <w:szCs w:val="21"/>
          <w:highlight w:val="none"/>
        </w:rPr>
        <w:t>一、评标方法：</w:t>
      </w:r>
      <w:r>
        <w:rPr>
          <w:highlight w:val="none"/>
        </w:rPr>
        <w:t xml:space="preserve"> </w:t>
      </w:r>
    </w:p>
    <w:p>
      <w:pPr>
        <w:spacing w:line="360" w:lineRule="auto"/>
        <w:ind w:firstLine="412" w:firstLineChars="196"/>
        <w:jc w:val="left"/>
        <w:rPr>
          <w:rFonts w:ascii="宋体" w:hAnsi="宋体"/>
          <w:szCs w:val="21"/>
          <w:highlight w:val="none"/>
        </w:rPr>
      </w:pP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pPr>
        <w:spacing w:line="360" w:lineRule="auto"/>
        <w:ind w:firstLine="420" w:firstLineChars="200"/>
        <w:rPr>
          <w:rFonts w:ascii="宋体" w:hAnsi="宋体"/>
          <w:b/>
          <w:bCs/>
          <w:szCs w:val="21"/>
          <w:highlight w:val="none"/>
        </w:rPr>
      </w:pPr>
      <w:r>
        <w:rPr>
          <w:rFonts w:ascii="宋体" w:hAnsi="宋体" w:hint="eastAsia"/>
          <w:b/>
          <w:bCs/>
          <w:szCs w:val="21"/>
          <w:highlight w:val="none"/>
        </w:rPr>
        <w:t>二、评分标准：</w:t>
      </w:r>
    </w:p>
    <w:p>
      <w:pPr>
        <w:spacing w:line="360" w:lineRule="auto"/>
        <w:ind w:firstLine="420" w:firstLineChars="200"/>
        <w:jc w:val="left"/>
        <w:rPr>
          <w:rFonts w:hint="eastAsia"/>
          <w:highlight w:val="none"/>
        </w:rPr>
      </w:pPr>
      <w:r>
        <w:rPr>
          <w:rFonts w:ascii="宋体" w:hAnsi="宋体" w:hint="eastAsia"/>
          <w:szCs w:val="21"/>
          <w:highlight w:val="none"/>
        </w:rPr>
        <w:t>评分标准见下表</w:t>
      </w:r>
      <w:r>
        <w:rPr>
          <w:rFonts w:hint="eastAsia"/>
          <w:highlight w:val="none"/>
        </w:rPr>
        <w:t>。</w:t>
      </w:r>
    </w:p>
    <w:p>
      <w:pPr>
        <w:ind w:firstLine="420" w:firstLineChars="200"/>
        <w:rPr>
          <w:rFonts w:ascii="Calibri" w:hAnsi="Calibri"/>
          <w:b/>
          <w:szCs w:val="22"/>
          <w:highlight w:val="none"/>
        </w:rPr>
      </w:pPr>
    </w:p>
    <w:p w:rsidR="00A77B3E">
      <w:bookmarkStart w:id="58"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54"/>
        <w:gridCol w:w="253"/>
        <w:gridCol w:w="1288"/>
        <w:gridCol w:w="253"/>
        <w:gridCol w:w="7055"/>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(30)</w:t>
            </w:r>
          </w:p>
        </w:tc>
        <w:tc>
          <w:tcPr/>
          <w:p>
            <w:r>
              <w:t>评审标准：</w:t>
            </w:r>
          </w:p>
          <w:p>
            <w:r>
              <w:t>采用低价优先法计算，公式：投标人得分=评标基准价/评标价×价格分值</w:t>
            </w:r>
          </w:p>
          <w:p>
            <w:r>
              <w:t>评审标准说明：</w:t>
            </w:r>
          </w:p>
          <w:p>
            <w:r>
              <w:t>1、评标基准价：满足招标文件要求，且经过价格扣除后的最低投标价。</w:t>
              <w:cr/>
              <w:t>2、评标价：经过价格扣除的投标价。</w:t>
              <w:cr/>
              <w:t>3、价格分值：价格分满分。</w:t>
              <w:cr/>
              <w:t>4、投标产品满足招标文件小微企业有关政策优惠条件，投标价格将给予扣除。</w:t>
              <w:cr/>
              <w:t>5、按上述公式计算出每个投标单位的投标报价得分，保留小数点后二位，小数点后第三位四舍五入。</w:t>
              <w:cr/>
              <w:t>6、经评审委员会确认，报价明显低于其他通过符合性审查投标人的报价，有可能影响产品质量或者不能诚信履约的，且投标人提供的书面说明材料不能证明其报价合理性的，评标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生产厂家、投标人、投标产品非强制资质要求（客观分）</w:t>
            </w:r>
          </w:p>
        </w:tc>
        <w:tc>
          <w:tcPr/>
          <w:p>
            <w:r>
              <w:t>勾选打分</w:t>
            </w:r>
            <w:r>
              <w:t>(1)</w:t>
            </w:r>
          </w:p>
        </w:tc>
        <w:tc>
          <w:tcPr/>
          <w:p>
            <w:r>
              <w:t>评审标准：</w:t>
            </w:r>
          </w:p>
          <w:p>
            <w:r>
              <w:t>投标人具有 ISO9000系列或GJB9001B质量管理体系认证，得1分。否则不得分。</w:t>
            </w:r>
          </w:p>
          <w:p>
            <w:r>
              <w:t>评审标准说明：</w:t>
            </w:r>
          </w:p>
          <w:p>
            <w:r>
              <w:t>须提供投标截止日仍有效的相关证书复印件，并加盖投标人公章。</w:t>
            </w:r>
          </w:p>
          <w:p/>
        </w:tc>
      </w:tr>
      <w:tr>
        <w:tblPrEx>
          <w:tblW w:w="5000" w:type="pct"/>
          <w:tblCellMar>
            <w:left w:w="108" w:type="dxa"/>
            <w:right w:w="108" w:type="dxa"/>
          </w:tblCellMar>
        </w:tblPrEx>
        <w:tc>
          <w:tcPr/>
          <w:p>
            <w:r>
              <w:t>3</w:t>
            </w:r>
          </w:p>
        </w:tc>
        <w:tc>
          <w:tcPr>
            <w:vMerge/>
          </w:tcPr>
          <w:p>
            <w:r>
              <w:t>商务部分</w:t>
            </w:r>
          </w:p>
        </w:tc>
        <w:tc>
          <w:tcPr/>
          <w:p>
            <w:r>
              <w:t>投标人业绩（客观分）</w:t>
            </w:r>
          </w:p>
        </w:tc>
        <w:tc>
          <w:tcPr/>
          <w:p>
            <w:r>
              <w:t>勾选打分</w:t>
            </w:r>
            <w:r>
              <w:t>(5)</w:t>
            </w:r>
          </w:p>
        </w:tc>
        <w:tc>
          <w:tcPr/>
          <w:p>
            <w:r>
              <w:t>评审标准：</w:t>
            </w:r>
          </w:p>
          <w:p>
            <w:r>
              <w:t>销售合同必须包括新一代天气雷达双偏振升级，每提供1份合同得1分，最多得5分。否则不得分。</w:t>
            </w:r>
          </w:p>
          <w:p>
            <w:r>
              <w:t>评审标准说明：</w:t>
            </w:r>
          </w:p>
          <w:p>
            <w:r>
              <w:t>1、需提供投标人的销售合同（必须包括合同首页、金额页、标的页、签字盖章页）复印件并加盖投标人公章。</w:t>
              <w:cr/>
              <w:t>2、合同签署日期为投标截止日前三年内。如合同无签署日期无效。</w:t>
              <w:cr/>
              <w:t>3、合同标的必须包括该项评审标准中要求的标的。</w:t>
              <w:cr/>
              <w:t>4、合同签字盖章页必须有甲乙双方的签字和盖章。</w:t>
              <w:cr/>
              <w:t>5、所有复印件应清晰，不得有任何涂改、遮挡。</w:t>
              <w:cr/>
              <w:t>提供的材料不符合以上1-5要求的无效。</w:t>
            </w:r>
          </w:p>
          <w:p/>
        </w:tc>
      </w:tr>
      <w:tr>
        <w:tblPrEx>
          <w:tblW w:w="5000" w:type="pct"/>
          <w:tblCellMar>
            <w:left w:w="108" w:type="dxa"/>
            <w:right w:w="108" w:type="dxa"/>
          </w:tblCellMar>
        </w:tblPrEx>
        <w:tc>
          <w:tcPr/>
          <w:p>
            <w:r>
              <w:t>4</w:t>
            </w:r>
          </w:p>
        </w:tc>
        <w:tc>
          <w:tcPr>
            <w:vMerge w:val="restart"/>
          </w:tcPr>
          <w:p>
            <w:r>
              <w:t>服务部分</w:t>
            </w:r>
          </w:p>
        </w:tc>
        <w:tc>
          <w:tcPr/>
          <w:p>
            <w:r>
              <w:t>售后服务（主观分）</w:t>
            </w:r>
          </w:p>
        </w:tc>
        <w:tc>
          <w:tcPr/>
          <w:p>
            <w:r>
              <w:t>勾选打分</w:t>
            </w:r>
            <w:r>
              <w:t>(2)</w:t>
            </w:r>
          </w:p>
        </w:tc>
        <w:tc>
          <w:tcPr/>
          <w:p>
            <w:r>
              <w:t>评审标准：</w:t>
            </w:r>
          </w:p>
          <w:p>
            <w:r>
              <w:t>一档0分</w:t>
              <w:cr/>
              <w:t>二档0.5分</w:t>
              <w:cr/>
              <w:t>三档1分</w:t>
              <w:cr/>
              <w:t>四档2分</w:t>
            </w:r>
          </w:p>
          <w:p>
            <w:r>
              <w:t>评审标准说明：</w:t>
            </w:r>
          </w:p>
          <w:p>
            <w:r>
              <w:t>根据投标人提供售后服务方案进行评分。售后服务方案应包括售后服务响应速度、售后服务承诺、技术支持服务、售后人员配置等。具体评分标准如下：</w:t>
              <w:cr/>
              <w:t>一档：未提供售后服务方案；</w:t>
              <w:cr/>
              <w:t>二档：售后服务方案不完整（指缺失售后服务响应速度、售后服务承诺、技术支持服务、售后人员配置中任一项内容）；</w:t>
              <w:cr/>
              <w:t>三档：售后服务方案较完整，但针对性一般，没有建立合理的技术支持机构或技术支持小组，技术支持内容不明确；或者未提供质保期内的7×24小时电话技术支持和保修的承诺。</w:t>
              <w:cr/>
              <w:t>四档：售后服务方案完整，针对性强，建立合理的技术支持机构或技术支持小组，技术支持内容明确；书面承诺提供质保期内的7×24小时电话技术支持和保修，电话支持无法解决的问题必须提供现场技术支持，并应采购人服务保障要求，开展现场保障。完全满足采购文件需求。</w:t>
            </w:r>
          </w:p>
          <w:p/>
        </w:tc>
      </w:tr>
      <w:tr>
        <w:tblPrEx>
          <w:tblW w:w="5000" w:type="pct"/>
          <w:tblCellMar>
            <w:left w:w="108" w:type="dxa"/>
            <w:right w:w="108" w:type="dxa"/>
          </w:tblCellMar>
        </w:tblPrEx>
        <w:tc>
          <w:tcPr/>
          <w:p>
            <w:r>
              <w:t>5</w:t>
            </w:r>
          </w:p>
        </w:tc>
        <w:tc>
          <w:tcPr>
            <w:vMerge/>
          </w:tcPr>
          <w:p>
            <w:r>
              <w:t>服务部分</w:t>
            </w:r>
          </w:p>
        </w:tc>
        <w:tc>
          <w:tcPr/>
          <w:p>
            <w:r>
              <w:t>质保服务方案（主观分）</w:t>
            </w:r>
          </w:p>
        </w:tc>
        <w:tc>
          <w:tcPr/>
          <w:p>
            <w:r>
              <w:t>勾选打分</w:t>
            </w:r>
            <w:r>
              <w:t>(2)</w:t>
            </w:r>
          </w:p>
        </w:tc>
        <w:tc>
          <w:tcPr/>
          <w:p>
            <w:r>
              <w:t>评审标准：</w:t>
            </w:r>
          </w:p>
          <w:p>
            <w:r>
              <w:t>一档0分</w:t>
              <w:cr/>
              <w:t>二档0.5分</w:t>
              <w:cr/>
              <w:t>三档1分</w:t>
              <w:cr/>
              <w:t>四档2分</w:t>
            </w:r>
          </w:p>
          <w:p>
            <w:r>
              <w:t>评审标准说明：</w:t>
            </w:r>
          </w:p>
          <w:p>
            <w:r>
              <w:t>根据投标人提供的质保方案进行评分。具体评分标准如下：</w:t>
              <w:cr/>
              <w:t xml:space="preserve">一档：未提供质保方案。 </w:t>
              <w:cr/>
              <w:t xml:space="preserve">二档：质保方案能按照招标文件的要求进行响应，方案结构不清晰，缺乏系统性。 </w:t>
              <w:cr/>
              <w:t xml:space="preserve">三档：质保方案基本能按照招标文件的要求进行响应，有一定针对性，基本满足采购文件的需求。 </w:t>
              <w:cr/>
              <w:t>四档：质保方案能按照招标文件的要求进行响应，详细具体，针对性强，与项目实际情况相契合，完全满足采购文件的需求。</w:t>
            </w:r>
          </w:p>
          <w:p/>
        </w:tc>
      </w:tr>
      <w:tr>
        <w:tblPrEx>
          <w:tblW w:w="5000" w:type="pct"/>
          <w:tblCellMar>
            <w:left w:w="108" w:type="dxa"/>
            <w:right w:w="108" w:type="dxa"/>
          </w:tblCellMar>
        </w:tblPrEx>
        <w:tc>
          <w:tcPr/>
          <w:p>
            <w:r>
              <w:t>6</w:t>
            </w:r>
          </w:p>
        </w:tc>
        <w:tc>
          <w:tcPr>
            <w:vMerge/>
          </w:tcPr>
          <w:p>
            <w:r>
              <w:t>服务部分</w:t>
            </w:r>
          </w:p>
        </w:tc>
        <w:tc>
          <w:tcPr/>
          <w:p>
            <w:r>
              <w:t>培训承诺及方案（主观分）</w:t>
            </w:r>
          </w:p>
        </w:tc>
        <w:tc>
          <w:tcPr/>
          <w:p>
            <w:r>
              <w:t>勾选打分</w:t>
            </w:r>
            <w:r>
              <w:t>(2)</w:t>
            </w:r>
          </w:p>
        </w:tc>
        <w:tc>
          <w:tcPr/>
          <w:p>
            <w:r>
              <w:t>评审标准：</w:t>
            </w:r>
          </w:p>
          <w:p>
            <w:r>
              <w:t>一档0分</w:t>
              <w:cr/>
              <w:t>二档0.5分</w:t>
              <w:cr/>
              <w:t>三档1分</w:t>
              <w:cr/>
              <w:t>四档2分</w:t>
            </w:r>
          </w:p>
          <w:p>
            <w:r>
              <w:t>评审标准说明：</w:t>
            </w:r>
          </w:p>
          <w:p>
            <w:r>
              <w:t>投标人应提供该项评审标准中要求的培训课时及培训人数的承诺，以及培训方案。承诺的培训课时及培训人数达不到要求，或者培训课时与培训方案中课表的课时不符，视同未承诺。具体标准评分如下：</w:t>
              <w:cr/>
              <w:t>一档：未同时提供承诺和培训方案；</w:t>
              <w:cr/>
              <w:t>二档：同时提供承诺和培训方案，但培训方案不完整（指缺失培训计划、培训材料（讲义）、培训课表、主要授课教师介绍任意一项）；</w:t>
              <w:cr/>
              <w:t>三档：同时提供承诺和培训方案，培训方案完整，但课程设计重点不突出或针对性不强，基本满足采购文件需求；</w:t>
              <w:cr/>
              <w:t>四档：同时提供承诺和培训方案，培训方案完整，课程设计重点突出、针对性强，完全满足采购文件需求。</w:t>
            </w:r>
          </w:p>
          <w:p/>
        </w:tc>
      </w:tr>
      <w:tr>
        <w:tblPrEx>
          <w:tblW w:w="5000" w:type="pct"/>
          <w:tblCellMar>
            <w:left w:w="108" w:type="dxa"/>
            <w:right w:w="108" w:type="dxa"/>
          </w:tblCellMar>
        </w:tblPrEx>
        <w:tc>
          <w:tcPr/>
          <w:p>
            <w:r>
              <w:t>7</w:t>
            </w:r>
          </w:p>
        </w:tc>
        <w:tc>
          <w:tcPr>
            <w:vMerge/>
          </w:tcPr>
          <w:p>
            <w:r>
              <w:t>服务部分</w:t>
            </w:r>
          </w:p>
        </w:tc>
        <w:tc>
          <w:tcPr/>
          <w:p>
            <w:r>
              <w:t>交货期保证（客观分）</w:t>
            </w:r>
          </w:p>
        </w:tc>
        <w:tc>
          <w:tcPr/>
          <w:p>
            <w:r>
              <w:t>勾选打分</w:t>
            </w:r>
            <w:r>
              <w:t>(1)</w:t>
            </w:r>
          </w:p>
        </w:tc>
        <w:tc>
          <w:tcPr/>
          <w:p>
            <w:r>
              <w:t>评审标准：</w:t>
            </w:r>
          </w:p>
          <w:p>
            <w:r>
              <w:t>针对本项目采购的新一代天气雷达双偏振升级，</w:t>
              <w:cr/>
              <w:t>承诺每提前10天交货的得0.5分，最多得1分。否则不得分。</w:t>
            </w:r>
          </w:p>
          <w:p>
            <w:r>
              <w:t>评审标准说明：</w:t>
            </w:r>
          </w:p>
          <w:p>
            <w:r>
              <w:t>投标人应提供交货时间承诺。评审标准中所指提前交货天数，是指比本采购文件第四章和第七章规定的相关标的交货期提前的天数。</w:t>
            </w:r>
          </w:p>
          <w:p/>
        </w:tc>
      </w:tr>
      <w:tr>
        <w:tblPrEx>
          <w:tblW w:w="5000" w:type="pct"/>
          <w:tblCellMar>
            <w:left w:w="108" w:type="dxa"/>
            <w:right w:w="108" w:type="dxa"/>
          </w:tblCellMar>
        </w:tblPrEx>
        <w:tc>
          <w:tcPr/>
          <w:p>
            <w:r>
              <w:t>8</w:t>
            </w:r>
          </w:p>
        </w:tc>
        <w:tc>
          <w:tcPr>
            <w:vMerge/>
          </w:tcPr>
          <w:p>
            <w:r>
              <w:t>服务部分</w:t>
            </w:r>
          </w:p>
        </w:tc>
        <w:tc>
          <w:tcPr/>
          <w:p>
            <w:r>
              <w:t>用户满意度证明（客观分）</w:t>
            </w:r>
          </w:p>
        </w:tc>
        <w:tc>
          <w:tcPr/>
          <w:p>
            <w:r>
              <w:t>勾选打分</w:t>
            </w:r>
            <w:r>
              <w:t>(3)</w:t>
            </w:r>
          </w:p>
        </w:tc>
        <w:tc>
          <w:tcPr/>
          <w:p>
            <w:r>
              <w:t>评审标准：</w:t>
            </w:r>
          </w:p>
          <w:p>
            <w:r>
              <w:t>针对新一代天气雷达双偏振升级设备，每提供 1份用户证明材料得1分，最多得3分。否则不得分。</w:t>
            </w:r>
          </w:p>
          <w:p>
            <w:r>
              <w:t>评审标准说明：</w:t>
            </w:r>
          </w:p>
          <w:p>
            <w:r>
              <w:t>针对该项评审标准中所指标的，提供用户在投标截止日前三年内出具的，涵盖稳定运行、实际应用情况等内容且用户评价为正面或满意的用户证明（含用户单位联系人、联系方式），并加盖投标人公章。</w:t>
            </w:r>
          </w:p>
          <w:p/>
        </w:tc>
      </w:tr>
      <w:tr>
        <w:tblPrEx>
          <w:tblW w:w="5000" w:type="pct"/>
          <w:tblCellMar>
            <w:left w:w="108" w:type="dxa"/>
            <w:right w:w="108" w:type="dxa"/>
          </w:tblCellMar>
        </w:tblPrEx>
        <w:tc>
          <w:tcPr/>
          <w:p>
            <w:r>
              <w:t>9</w:t>
            </w:r>
          </w:p>
        </w:tc>
        <w:tc>
          <w:tcPr>
            <w:vMerge/>
          </w:tcPr>
          <w:p>
            <w:r>
              <w:t>服务部分</w:t>
            </w:r>
          </w:p>
        </w:tc>
        <w:tc>
          <w:tcPr/>
          <w:p>
            <w:r>
              <w:t>服务团队（客观分）</w:t>
            </w:r>
          </w:p>
        </w:tc>
        <w:tc>
          <w:tcPr/>
          <w:p>
            <w:r>
              <w:t>勾选打分</w:t>
            </w:r>
            <w:r>
              <w:t>(3)</w:t>
            </w:r>
          </w:p>
        </w:tc>
        <w:tc>
          <w:tcPr/>
          <w:p>
            <w:r>
              <w:t>评审标准：</w:t>
            </w:r>
          </w:p>
          <w:p>
            <w:r>
              <w:t xml:space="preserve">1、投标人为本项目拟派的服务团队中项目经理应具有3年以上相关工作经验的得1分； </w:t>
              <w:cr/>
              <w:t>2、除项目经理外至少8人具有2年及以上相关工作经验的，得2分；为本项目派出的技术人员至少5人具有1年及以上相关工作经验的，得1分；其他不得分。</w:t>
            </w:r>
          </w:p>
          <w:p>
            <w:r>
              <w:t>评审标准说明：</w:t>
            </w:r>
          </w:p>
          <w:p>
            <w: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以上材料需加盖投标人公章。</w:t>
            </w:r>
          </w:p>
          <w:p/>
        </w:tc>
      </w:tr>
      <w:tr>
        <w:tblPrEx>
          <w:tblW w:w="5000" w:type="pct"/>
          <w:tblCellMar>
            <w:left w:w="108" w:type="dxa"/>
            <w:right w:w="108" w:type="dxa"/>
          </w:tblCellMar>
        </w:tblPrEx>
        <w:tc>
          <w:tcPr/>
          <w:p>
            <w:r>
              <w:t>10</w:t>
            </w:r>
          </w:p>
        </w:tc>
        <w:tc>
          <w:tcPr>
            <w:vMerge w:val="restart"/>
          </w:tcPr>
          <w:p>
            <w:r>
              <w:t>技术部分</w:t>
            </w:r>
          </w:p>
        </w:tc>
        <w:tc>
          <w:tcPr/>
          <w:p>
            <w:r>
              <w:t>投标产品重要技术指标（客观分）</w:t>
            </w:r>
          </w:p>
        </w:tc>
        <w:tc>
          <w:tcPr/>
          <w:p>
            <w:r>
              <w:t>区间打分</w:t>
            </w:r>
            <w:r>
              <w:t>(40)</w:t>
            </w:r>
          </w:p>
        </w:tc>
        <w:tc>
          <w:tcPr/>
          <w:p>
            <w:r>
              <w:t>评审标准：</w:t>
            </w:r>
          </w:p>
          <w:p>
            <w:r>
              <w:t>标注#的重要指标共20项，每满足1项（如有多个下级指标，则每个下级指标均应满足）得2分，满分40分。</w:t>
            </w:r>
          </w:p>
          <w:p>
            <w:r>
              <w:t>评审标准说明：</w:t>
            </w:r>
          </w:p>
          <w:p>
            <w:r>
              <w:t>需提供技术文档。响应且满足招标文件第七章详细技术指标要求，标注#的重要指标需提供第三方出具的并加盖投标人公章的测试报告作为证明材料。</w:t>
            </w:r>
          </w:p>
          <w:p/>
        </w:tc>
      </w:tr>
      <w:tr>
        <w:tblPrEx>
          <w:tblW w:w="5000" w:type="pct"/>
          <w:tblCellMar>
            <w:left w:w="108" w:type="dxa"/>
            <w:right w:w="108" w:type="dxa"/>
          </w:tblCellMar>
        </w:tblPrEx>
        <w:tc>
          <w:tcPr/>
          <w:p>
            <w:r>
              <w:t>11</w:t>
            </w:r>
          </w:p>
        </w:tc>
        <w:tc>
          <w:tcPr>
            <w:vMerge/>
          </w:tcPr>
          <w:p>
            <w:r>
              <w:t>技术部分</w:t>
            </w:r>
          </w:p>
        </w:tc>
        <w:tc>
          <w:tcPr/>
          <w:p>
            <w:r>
              <w:t>投标产品技术方案及综合性能（主观分）</w:t>
            </w:r>
          </w:p>
        </w:tc>
        <w:tc>
          <w:tcPr/>
          <w:p>
            <w:r>
              <w:t>勾选打分</w:t>
            </w:r>
            <w:r>
              <w:t>(4)</w:t>
            </w:r>
          </w:p>
        </w:tc>
        <w:tc>
          <w:tcPr/>
          <w:p>
            <w:r>
              <w:t>评审标准：</w:t>
            </w:r>
          </w:p>
          <w:p>
            <w:r>
              <w:t>一档0分</w:t>
              <w:cr/>
              <w:t>二档1分</w:t>
              <w:cr/>
              <w:t>三档2分</w:t>
              <w:cr/>
              <w:t>四档4分</w:t>
            </w:r>
          </w:p>
          <w:p>
            <w:r>
              <w:t>评审标准说明：</w:t>
            </w:r>
          </w:p>
          <w:p>
            <w:r>
              <w:t>根据投标人提供的技术方案和能证明投标产品技术性能的第三方测试报告进行评分，具体评分标准如下：</w:t>
              <w:cr/>
              <w:t>一档：未提供技术方案，或者投标产品综合技术性能不能满足采购文件要求。</w:t>
              <w:cr/>
              <w:t>二档：技术方案能按照招标文件的格式进行响应，技术响应比较浅显，缺乏针对性，投标产品综合技术性能满足采购文件要求。</w:t>
              <w:cr/>
              <w:t xml:space="preserve">三档：技术方案基本能按照招标文件的要求进行响应，有一定针对性，基本满足采购文件的需求，投标产品综合技术性能满足且部分优于采购文件要求。 </w:t>
              <w:cr/>
              <w:t>四档：技术方案能按照招标文件的要求进行响应，详细具体，针对性强，与项目实际情况相契合，完全满足采购文件的需求，投标产品综合技术性能满足且总体上优于采购文件要求。</w:t>
              <w:cr/>
              <w:t>注：应提供能证明投标产品技术性能的第三方测试报告（包括测试内容、测试方法、测试结论等），并加盖投标人公章。其中，测试内容应包括但不限于标注#的重要指标。综合技术性能由评审委员会根据技术性能指标，主观综合评判。</w:t>
            </w:r>
          </w:p>
          <w:p/>
        </w:tc>
      </w:tr>
      <w:tr>
        <w:tblPrEx>
          <w:tblW w:w="5000" w:type="pct"/>
          <w:tblCellMar>
            <w:left w:w="108" w:type="dxa"/>
            <w:right w:w="108" w:type="dxa"/>
          </w:tblCellMar>
        </w:tblPrEx>
        <w:tc>
          <w:tcPr/>
          <w:p>
            <w:r>
              <w:t>12</w:t>
            </w:r>
          </w:p>
        </w:tc>
        <w:tc>
          <w:tcPr>
            <w:vMerge/>
          </w:tcPr>
          <w:p>
            <w:r>
              <w:t>技术部分</w:t>
            </w:r>
          </w:p>
        </w:tc>
        <w:tc>
          <w:tcPr/>
          <w:p>
            <w:r>
              <w:t>实施方案（主观分）</w:t>
            </w:r>
          </w:p>
        </w:tc>
        <w:tc>
          <w:tcPr/>
          <w:p>
            <w:r>
              <w:t>勾选打分</w:t>
            </w:r>
            <w:r>
              <w:t>(2)</w:t>
            </w:r>
          </w:p>
        </w:tc>
        <w:tc>
          <w:tcPr/>
          <w:p>
            <w:r>
              <w:t>评审标准：</w:t>
            </w:r>
          </w:p>
          <w:p>
            <w:r>
              <w:t>一档0分</w:t>
              <w:cr/>
              <w:t>二档0.5分</w:t>
              <w:cr/>
              <w:t>三档1分</w:t>
              <w:cr/>
              <w:t>四档2分</w:t>
            </w:r>
          </w:p>
          <w:p>
            <w:r>
              <w:t>评审标准说明：</w:t>
            </w:r>
          </w:p>
          <w:p>
            <w:r>
              <w:t>根据投标人提供实施方案进行评分。具体如下：实施方案应结合采购需求，包括投标产品的生产、运输、安装、调试及试运行等。具体评分标准如下：</w:t>
              <w:cr/>
              <w:t>一档：未提供实施方案。</w:t>
              <w:cr/>
              <w:t>二档：实施方案不完整（指缺失投标产品的生产、运输、安装、调试及试运行的任意一项内容）；</w:t>
              <w:cr/>
              <w:t>三档：实施方案完整，但没有专门针对本项目的措施，或者有关措施不合理、不可行、不具体；</w:t>
              <w:cr/>
              <w:t>四档：实施方案完整，且有专门针对本项目的合理、可行、具体、详实的措施，能满足采购文件需求。</w:t>
            </w:r>
          </w:p>
          <w:p/>
        </w:tc>
      </w:tr>
      <w:tr>
        <w:tblPrEx>
          <w:tblW w:w="5000" w:type="pct"/>
          <w:tblCellMar>
            <w:left w:w="108" w:type="dxa"/>
            <w:right w:w="108" w:type="dxa"/>
          </w:tblCellMar>
        </w:tblPrEx>
        <w:tc>
          <w:tcPr/>
          <w:p>
            <w:r>
              <w:t>13</w:t>
            </w:r>
          </w:p>
        </w:tc>
        <w:tc>
          <w:tcPr>
            <w:vMerge/>
          </w:tcPr>
          <w:p>
            <w:r>
              <w:t>技术部分</w:t>
            </w:r>
          </w:p>
        </w:tc>
        <w:tc>
          <w:tcPr/>
          <w:p>
            <w:r>
              <w:t>投标产品的环境适应性（客观分）</w:t>
            </w:r>
          </w:p>
        </w:tc>
        <w:tc>
          <w:tcPr/>
          <w:p>
            <w:r>
              <w:t>勾选打分</w:t>
            </w:r>
            <w:r>
              <w:t>(3)</w:t>
            </w:r>
          </w:p>
        </w:tc>
        <w:tc>
          <w:tcPr/>
          <w:p>
            <w:r>
              <w:t>评审标准：</w:t>
            </w:r>
          </w:p>
          <w:p>
            <w:r>
              <w:t>针对新一代天气雷达双偏振升级设备，测试报告应涵盖温度（-40~50℃），湿热（温度：30℃，湿度：95%~98%，48h）（环境指标）等内容，每包含一项得1.5分，最多得3分。</w:t>
            </w:r>
          </w:p>
          <w:p>
            <w:r>
              <w:t>评审标准说明：</w:t>
            </w:r>
          </w:p>
          <w:p>
            <w:r>
              <w:t>针对该项评审标准中所指标的物，提供第三方检测机构出具的，有该项评审标准所规定的内容且判定结果为符合的环境适应性测试报告，并加盖投标人公章。</w:t>
            </w:r>
          </w:p>
          <w:p/>
        </w:tc>
      </w:tr>
      <w:tr>
        <w:tblPrEx>
          <w:tblW w:w="5000" w:type="pct"/>
          <w:tblCellMar>
            <w:left w:w="108" w:type="dxa"/>
            <w:right w:w="108" w:type="dxa"/>
          </w:tblCellMar>
        </w:tblPrEx>
        <w:tc>
          <w:tcPr/>
          <w:p>
            <w:r>
              <w:t>14</w:t>
            </w:r>
          </w:p>
        </w:tc>
        <w:tc>
          <w:tcPr>
            <w:vMerge/>
          </w:tcPr>
          <w:p>
            <w:r>
              <w:t>技术部分</w:t>
            </w:r>
          </w:p>
        </w:tc>
        <w:tc>
          <w:tcPr/>
          <w:p>
            <w:r>
              <w:t>投标产品软件兼容性（客观分）</w:t>
            </w:r>
          </w:p>
        </w:tc>
        <w:tc>
          <w:tcPr/>
          <w:p>
            <w:r>
              <w:t>勾选打分</w:t>
            </w:r>
            <w:r>
              <w:t>(2)</w:t>
            </w:r>
          </w:p>
        </w:tc>
        <w:tc>
          <w:tcPr/>
          <w:p>
            <w:r>
              <w:t>评审标准：</w:t>
            </w:r>
          </w:p>
          <w:p>
            <w:r>
              <w:t>投标产品软件兼容性强，观测数据能接入采购人现有气象数据平台得2分。否则不得分。</w:t>
            </w:r>
          </w:p>
          <w:p>
            <w:r>
              <w:t>评审标准说明：</w:t>
            </w:r>
          </w:p>
          <w:p>
            <w:r>
              <w:t>需提供用户证明或详细可行的接入方案。</w:t>
            </w:r>
          </w:p>
          <w:p/>
        </w:tc>
      </w:tr>
    </w:tbl>
    <w:p w:rsidR="00A77B3E">
      <w:r>
        <w:t xml:space="preserve">      </w:t>
      </w:r>
    </w:p>
    <w:p w:rsidR="00A77B3E"/>
    <w:p>
      <w:pPr>
        <w:adjustRightInd w:val="0"/>
        <w:snapToGrid w:val="0"/>
        <w:spacing w:line="360" w:lineRule="auto"/>
        <w:jc w:val="left"/>
        <w:rPr>
          <w:rFonts w:ascii="宋体" w:hAnsi="宋体" w:hint="eastAsia"/>
          <w:bCs/>
          <w:szCs w:val="21"/>
          <w:highlight w:val="none"/>
        </w:rPr>
      </w:pPr>
      <w:bookmarkEnd w:id="58"/>
    </w:p>
    <w:p>
      <w:pPr>
        <w:adjustRightInd w:val="0"/>
        <w:snapToGrid w:val="0"/>
        <w:spacing w:line="360" w:lineRule="auto"/>
        <w:jc w:val="center"/>
        <w:outlineLvl w:val="1"/>
        <w:rPr>
          <w:rFonts w:hint="default"/>
          <w:b/>
          <w:bCs/>
          <w:sz w:val="30"/>
          <w:szCs w:val="30"/>
        </w:rPr>
      </w:pPr>
      <w:r>
        <w:rPr>
          <w:bCs/>
          <w:szCs w:val="21"/>
          <w:highlight w:val="none"/>
        </w:rPr>
        <w:br w:type="page"/>
      </w:r>
      <w:bookmarkStart w:id="59" w:name="插入_采购需求书"/>
      <w:bookmarkStart w:id="60" w:name="插入_采购需求标题"/>
      <w:r>
        <w:rPr>
          <w:rFonts w:hint="default"/>
          <w:b/>
          <w:bCs/>
          <w:sz w:val="30"/>
          <w:szCs w:val="30"/>
        </w:rPr>
        <w:t>第七章  采购需求</w:t>
      </w:r>
      <w:bookmarkEnd w:id="60"/>
    </w:p>
    <w:p>
      <w:pPr>
        <w:spacing w:line="560" w:lineRule="exact"/>
        <w:ind w:firstLine="560" w:firstLineChars="200"/>
        <w:rPr>
          <w:rFonts w:eastAsia="仿宋"/>
          <w:sz w:val="28"/>
          <w:szCs w:val="20"/>
        </w:rPr>
      </w:pPr>
      <w:r>
        <w:rPr>
          <w:rFonts w:eastAsia="仿宋"/>
          <w:sz w:val="28"/>
          <w:szCs w:val="20"/>
        </w:rPr>
        <w:t>一、项目概况及总体要求</w:t>
      </w:r>
      <w:r>
        <w:rPr>
          <w:rFonts w:ascii="仿宋" w:eastAsia="仿宋" w:hAnsi="仿宋" w:cs="仿宋" w:hint="eastAsia"/>
          <w:sz w:val="28"/>
          <w:szCs w:val="20"/>
        </w:rPr>
        <w:t>（详见采购需求-其他技术及商务需求）</w:t>
      </w:r>
    </w:p>
    <w:p>
      <w:pPr>
        <w:spacing w:line="560" w:lineRule="exact"/>
        <w:ind w:firstLine="560" w:firstLineChars="200"/>
        <w:rPr>
          <w:rFonts w:eastAsia="仿宋"/>
          <w:sz w:val="28"/>
          <w:szCs w:val="20"/>
        </w:rPr>
      </w:pPr>
      <w:r>
        <w:rPr>
          <w:rFonts w:eastAsia="仿宋"/>
          <w:sz w:val="28"/>
          <w:szCs w:val="20"/>
        </w:rPr>
        <w:t>二、设备需求一览表（详见采购需求附表）</w:t>
      </w:r>
    </w:p>
    <w:p>
      <w:pPr>
        <w:spacing w:line="560" w:lineRule="exact"/>
        <w:ind w:firstLine="560" w:firstLineChars="200"/>
        <w:rPr>
          <w:rFonts w:eastAsia="仿宋"/>
          <w:sz w:val="28"/>
          <w:szCs w:val="20"/>
        </w:rPr>
      </w:pPr>
      <w:r>
        <w:rPr>
          <w:rFonts w:eastAsia="仿宋"/>
          <w:sz w:val="28"/>
          <w:szCs w:val="20"/>
        </w:rPr>
        <w:t>三、技术性能指标</w:t>
      </w:r>
    </w:p>
    <w:p>
      <w:pPr>
        <w:spacing w:line="560" w:lineRule="exact"/>
        <w:ind w:firstLine="560" w:firstLineChars="200"/>
        <w:rPr>
          <w:rFonts w:eastAsia="仿宋" w:hint="eastAsia"/>
          <w:sz w:val="28"/>
          <w:szCs w:val="20"/>
        </w:rPr>
      </w:pPr>
      <w:r>
        <w:rPr>
          <w:rFonts w:eastAsia="仿宋"/>
          <w:sz w:val="28"/>
          <w:szCs w:val="20"/>
        </w:rPr>
        <w:t>表</w:t>
      </w:r>
      <w:r>
        <w:rPr>
          <w:rFonts w:eastAsia="仿宋" w:hint="eastAsia"/>
          <w:sz w:val="28"/>
          <w:szCs w:val="20"/>
        </w:rPr>
        <w:t>1</w:t>
      </w:r>
      <w:r>
        <w:rPr>
          <w:rFonts w:eastAsia="仿宋"/>
          <w:sz w:val="28"/>
          <w:szCs w:val="20"/>
        </w:rPr>
        <w:t>.C波段天气雷达双偏振技术升级性能指标</w:t>
      </w:r>
      <w:r>
        <w:rPr>
          <w:rFonts w:eastAsia="仿宋" w:hint="eastAsia"/>
          <w:sz w:val="28"/>
          <w:szCs w:val="20"/>
        </w:rPr>
        <w:t>要求</w:t>
      </w:r>
    </w:p>
    <w:tbl>
      <w:tblPr>
        <w:tblStyle w:val="TableNormal"/>
        <w:tblW w:w="90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818"/>
        <w:gridCol w:w="141"/>
        <w:gridCol w:w="830"/>
        <w:gridCol w:w="76"/>
        <w:gridCol w:w="544"/>
        <w:gridCol w:w="9"/>
        <w:gridCol w:w="364"/>
        <w:gridCol w:w="457"/>
        <w:gridCol w:w="426"/>
        <w:gridCol w:w="1401"/>
        <w:gridCol w:w="3936"/>
      </w:tblGrid>
      <w:tr>
        <w:tblPrEx>
          <w:tblW w:w="90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345"/>
          <w:jc w:val="center"/>
        </w:trPr>
        <w:tc>
          <w:tcPr>
            <w:tcW w:w="9002" w:type="dxa"/>
            <w:gridSpan w:val="11"/>
            <w:vAlign w:val="center"/>
          </w:tcPr>
          <w:p>
            <w:pPr>
              <w:pStyle w:val="a2"/>
              <w:ind w:firstLine="0" w:firstLineChars="0"/>
              <w:rPr>
                <w:rFonts w:ascii="Times New Roman"/>
                <w:sz w:val="24"/>
                <w:szCs w:val="24"/>
              </w:rPr>
            </w:pPr>
            <w:r>
              <w:rPr>
                <w:rFonts w:ascii="Times New Roman" w:hint="eastAsia"/>
                <w:b/>
                <w:bCs/>
                <w:sz w:val="24"/>
                <w:szCs w:val="24"/>
              </w:rPr>
              <w:t>总体技术要求</w:t>
            </w:r>
          </w:p>
        </w:tc>
      </w:tr>
      <w:tr>
        <w:tblPrEx>
          <w:tblW w:w="9002" w:type="dxa"/>
          <w:jc w:val="center"/>
          <w:tblLayout w:type="fixed"/>
          <w:tblCellMar>
            <w:top w:w="0" w:type="dxa"/>
            <w:left w:w="108" w:type="dxa"/>
            <w:bottom w:w="0" w:type="dxa"/>
            <w:right w:w="108" w:type="dxa"/>
          </w:tblCellMar>
          <w:tblLook w:val="0000"/>
        </w:tblPrEx>
        <w:trPr>
          <w:trHeight w:val="345"/>
          <w:jc w:val="center"/>
        </w:trPr>
        <w:tc>
          <w:tcPr>
            <w:tcW w:w="5066" w:type="dxa"/>
            <w:gridSpan w:val="10"/>
            <w:vAlign w:val="center"/>
          </w:tcPr>
          <w:p>
            <w:pPr>
              <w:pStyle w:val="a2"/>
              <w:ind w:firstLine="0" w:firstLineChars="0"/>
              <w:rPr>
                <w:rFonts w:ascii="Times New Roman" w:hint="eastAsia"/>
                <w:sz w:val="24"/>
                <w:szCs w:val="24"/>
              </w:rPr>
            </w:pPr>
            <w:r>
              <w:rPr>
                <w:rFonts w:ascii="Times New Roman" w:hint="eastAsia"/>
                <w:sz w:val="24"/>
                <w:szCs w:val="24"/>
              </w:rPr>
              <w:t>项目</w:t>
            </w:r>
          </w:p>
        </w:tc>
        <w:tc>
          <w:tcPr>
            <w:tcW w:w="3936" w:type="dxa"/>
            <w:vAlign w:val="center"/>
          </w:tcPr>
          <w:p>
            <w:pPr>
              <w:pStyle w:val="a2"/>
              <w:ind w:firstLine="0" w:firstLineChars="0"/>
              <w:rPr>
                <w:rFonts w:ascii="Times New Roman"/>
                <w:sz w:val="24"/>
                <w:szCs w:val="24"/>
              </w:rPr>
            </w:pPr>
            <w:r>
              <w:rPr>
                <w:rFonts w:ascii="Times New Roman"/>
                <w:sz w:val="24"/>
                <w:szCs w:val="24"/>
              </w:rPr>
              <w:t>性能指标</w:t>
            </w:r>
            <w:r>
              <w:rPr>
                <w:rFonts w:ascii="Times New Roman" w:hint="eastAsia"/>
                <w:sz w:val="24"/>
                <w:szCs w:val="24"/>
              </w:rPr>
              <w:t>要求</w:t>
            </w:r>
          </w:p>
        </w:tc>
      </w:tr>
      <w:tr>
        <w:tblPrEx>
          <w:tblW w:w="9002" w:type="dxa"/>
          <w:jc w:val="center"/>
          <w:tblLayout w:type="fixed"/>
          <w:tblCellMar>
            <w:top w:w="0" w:type="dxa"/>
            <w:left w:w="108" w:type="dxa"/>
            <w:bottom w:w="0" w:type="dxa"/>
            <w:right w:w="108" w:type="dxa"/>
          </w:tblCellMar>
          <w:tblLook w:val="0000"/>
        </w:tblPrEx>
        <w:trPr>
          <w:trHeight w:val="349"/>
          <w:jc w:val="center"/>
        </w:trPr>
        <w:tc>
          <w:tcPr>
            <w:tcW w:w="5066" w:type="dxa"/>
            <w:gridSpan w:val="10"/>
            <w:vAlign w:val="center"/>
          </w:tcPr>
          <w:p>
            <w:pPr>
              <w:pStyle w:val="a2"/>
              <w:ind w:firstLine="0" w:firstLineChars="0"/>
              <w:rPr>
                <w:rFonts w:ascii="Times New Roman"/>
                <w:sz w:val="24"/>
                <w:szCs w:val="24"/>
              </w:rPr>
            </w:pPr>
            <w:r>
              <w:rPr>
                <w:rFonts w:ascii="Times New Roman"/>
                <w:sz w:val="24"/>
                <w:szCs w:val="24"/>
              </w:rPr>
              <w:t>工作频率</w:t>
            </w:r>
          </w:p>
        </w:tc>
        <w:tc>
          <w:tcPr>
            <w:tcW w:w="3936" w:type="dxa"/>
            <w:vAlign w:val="center"/>
          </w:tcPr>
          <w:p>
            <w:pPr>
              <w:pStyle w:val="a2"/>
              <w:ind w:firstLine="0" w:firstLineChars="0"/>
              <w:rPr>
                <w:rFonts w:ascii="Times New Roman"/>
                <w:sz w:val="24"/>
                <w:szCs w:val="24"/>
              </w:rPr>
            </w:pPr>
            <w:r>
              <w:rPr>
                <w:rFonts w:ascii="Times New Roman"/>
                <w:sz w:val="24"/>
                <w:szCs w:val="24"/>
              </w:rPr>
              <w:t>C</w:t>
            </w:r>
            <w:r>
              <w:rPr>
                <w:rFonts w:ascii="Times New Roman" w:hint="eastAsia"/>
                <w:sz w:val="24"/>
                <w:szCs w:val="24"/>
              </w:rPr>
              <w:t>波段 5.3</w:t>
            </w:r>
            <w:r>
              <w:rPr>
                <w:rFonts w:ascii="Times New Roman"/>
                <w:sz w:val="24"/>
                <w:szCs w:val="24"/>
              </w:rPr>
              <w:t>GHz</w:t>
            </w:r>
            <w:r>
              <w:rPr>
                <w:rFonts w:ascii="Times New Roman" w:hint="eastAsia"/>
                <w:sz w:val="24"/>
                <w:szCs w:val="24"/>
              </w:rPr>
              <w:t>～5.7</w:t>
            </w:r>
            <w:r>
              <w:rPr>
                <w:rFonts w:ascii="Times New Roman"/>
                <w:sz w:val="24"/>
                <w:szCs w:val="24"/>
              </w:rPr>
              <w:t>GHz</w:t>
            </w:r>
            <w:r>
              <w:rPr>
                <w:rFonts w:ascii="Times New Roman" w:hint="eastAsia"/>
                <w:sz w:val="24"/>
                <w:szCs w:val="24"/>
              </w:rPr>
              <w:t>范围内可选</w:t>
            </w:r>
          </w:p>
        </w:tc>
      </w:tr>
      <w:tr>
        <w:tblPrEx>
          <w:tblW w:w="9002" w:type="dxa"/>
          <w:jc w:val="center"/>
          <w:tblLayout w:type="fixed"/>
          <w:tblCellMar>
            <w:top w:w="0" w:type="dxa"/>
            <w:left w:w="108" w:type="dxa"/>
            <w:bottom w:w="0" w:type="dxa"/>
            <w:right w:w="108" w:type="dxa"/>
          </w:tblCellMar>
          <w:tblLook w:val="0000"/>
        </w:tblPrEx>
        <w:trPr>
          <w:trHeight w:val="439"/>
          <w:jc w:val="center"/>
        </w:trPr>
        <w:tc>
          <w:tcPr>
            <w:tcW w:w="2418" w:type="dxa"/>
            <w:gridSpan w:val="6"/>
            <w:vMerge w:val="restart"/>
            <w:vAlign w:val="center"/>
          </w:tcPr>
          <w:p>
            <w:pPr>
              <w:pStyle w:val="a2"/>
              <w:ind w:firstLine="0" w:firstLineChars="0"/>
              <w:rPr>
                <w:rFonts w:ascii="Times New Roman"/>
                <w:sz w:val="24"/>
                <w:szCs w:val="24"/>
              </w:rPr>
            </w:pPr>
            <w:r>
              <w:rPr>
                <w:rFonts w:ascii="Times New Roman"/>
                <w:sz w:val="24"/>
                <w:szCs w:val="24"/>
              </w:rPr>
              <w:t>天线扫描范围</w:t>
            </w:r>
          </w:p>
        </w:tc>
        <w:tc>
          <w:tcPr>
            <w:tcW w:w="2648" w:type="dxa"/>
            <w:gridSpan w:val="4"/>
            <w:vAlign w:val="center"/>
          </w:tcPr>
          <w:p>
            <w:pPr>
              <w:pStyle w:val="a2"/>
              <w:ind w:firstLine="0" w:firstLineChars="0"/>
              <w:rPr>
                <w:rFonts w:ascii="Times New Roman"/>
                <w:sz w:val="24"/>
                <w:szCs w:val="24"/>
              </w:rPr>
            </w:pPr>
            <w:r>
              <w:rPr>
                <w:rFonts w:ascii="Times New Roman"/>
                <w:sz w:val="24"/>
                <w:szCs w:val="24"/>
              </w:rPr>
              <w:t>方位角</w:t>
            </w:r>
          </w:p>
        </w:tc>
        <w:tc>
          <w:tcPr>
            <w:tcW w:w="3936" w:type="dxa"/>
            <w:vAlign w:val="center"/>
          </w:tcPr>
          <w:p>
            <w:pPr>
              <w:pStyle w:val="a2"/>
              <w:ind w:firstLine="0" w:firstLineChars="0"/>
              <w:rPr>
                <w:rFonts w:ascii="Times New Roman"/>
                <w:sz w:val="24"/>
                <w:szCs w:val="24"/>
              </w:rPr>
            </w:pPr>
            <w:r>
              <w:rPr>
                <w:rFonts w:ascii="Times New Roman"/>
                <w:sz w:val="24"/>
                <w:szCs w:val="24"/>
              </w:rPr>
              <w:t>0～360°（无限制）</w:t>
            </w:r>
          </w:p>
        </w:tc>
      </w:tr>
      <w:tr>
        <w:tblPrEx>
          <w:tblW w:w="9002" w:type="dxa"/>
          <w:jc w:val="center"/>
          <w:tblLayout w:type="fixed"/>
          <w:tblCellMar>
            <w:top w:w="0" w:type="dxa"/>
            <w:left w:w="108" w:type="dxa"/>
            <w:bottom w:w="0" w:type="dxa"/>
            <w:right w:w="108" w:type="dxa"/>
          </w:tblCellMar>
          <w:tblLook w:val="0000"/>
        </w:tblPrEx>
        <w:trPr>
          <w:trHeight w:val="439"/>
          <w:jc w:val="center"/>
        </w:trPr>
        <w:tc>
          <w:tcPr>
            <w:tcW w:w="2418" w:type="dxa"/>
            <w:gridSpan w:val="6"/>
            <w:vMerge/>
            <w:vAlign w:val="center"/>
          </w:tcPr>
          <w:p>
            <w:pPr>
              <w:pStyle w:val="a2"/>
              <w:ind w:firstLine="0" w:firstLineChars="0"/>
              <w:rPr>
                <w:rFonts w:ascii="Times New Roman"/>
                <w:sz w:val="24"/>
                <w:szCs w:val="24"/>
              </w:rPr>
            </w:pPr>
          </w:p>
        </w:tc>
        <w:tc>
          <w:tcPr>
            <w:tcW w:w="2648" w:type="dxa"/>
            <w:gridSpan w:val="4"/>
            <w:vAlign w:val="center"/>
          </w:tcPr>
          <w:p>
            <w:pPr>
              <w:pStyle w:val="a2"/>
              <w:ind w:firstLine="0" w:firstLineChars="0"/>
              <w:rPr>
                <w:rFonts w:ascii="Times New Roman"/>
                <w:sz w:val="24"/>
                <w:szCs w:val="24"/>
              </w:rPr>
            </w:pPr>
            <w:r>
              <w:rPr>
                <w:rFonts w:ascii="Times New Roman"/>
                <w:sz w:val="24"/>
                <w:szCs w:val="24"/>
              </w:rPr>
              <w:t>俯仰角</w:t>
            </w:r>
          </w:p>
        </w:tc>
        <w:tc>
          <w:tcPr>
            <w:tcW w:w="3936" w:type="dxa"/>
            <w:vAlign w:val="center"/>
          </w:tcPr>
          <w:p>
            <w:pPr>
              <w:pStyle w:val="a2"/>
              <w:ind w:firstLine="0" w:firstLineChars="0"/>
              <w:rPr>
                <w:rFonts w:ascii="Times New Roman"/>
                <w:sz w:val="24"/>
                <w:szCs w:val="24"/>
              </w:rPr>
            </w:pPr>
            <w:r>
              <w:rPr>
                <w:rFonts w:ascii="Times New Roman"/>
                <w:sz w:val="24"/>
                <w:szCs w:val="24"/>
              </w:rPr>
              <w:t>-2°～+90°（电气及机械限位）</w:t>
            </w:r>
          </w:p>
        </w:tc>
      </w:tr>
      <w:tr>
        <w:tblPrEx>
          <w:tblW w:w="9002" w:type="dxa"/>
          <w:jc w:val="center"/>
          <w:tblLayout w:type="fixed"/>
          <w:tblCellMar>
            <w:top w:w="0" w:type="dxa"/>
            <w:left w:w="108" w:type="dxa"/>
            <w:bottom w:w="0" w:type="dxa"/>
            <w:right w:w="108" w:type="dxa"/>
          </w:tblCellMar>
          <w:tblLook w:val="0000"/>
        </w:tblPrEx>
        <w:trPr>
          <w:trHeight w:val="453"/>
          <w:jc w:val="center"/>
        </w:trPr>
        <w:tc>
          <w:tcPr>
            <w:tcW w:w="2418" w:type="dxa"/>
            <w:gridSpan w:val="6"/>
            <w:vMerge w:val="restart"/>
            <w:vAlign w:val="center"/>
          </w:tcPr>
          <w:p>
            <w:pPr>
              <w:pStyle w:val="a2"/>
              <w:ind w:firstLine="0" w:firstLineChars="0"/>
              <w:rPr>
                <w:rFonts w:ascii="Times New Roman"/>
                <w:sz w:val="24"/>
                <w:szCs w:val="24"/>
              </w:rPr>
            </w:pPr>
            <w:r>
              <w:rPr>
                <w:rFonts w:ascii="Times New Roman"/>
                <w:sz w:val="24"/>
                <w:szCs w:val="24"/>
              </w:rPr>
              <w:t>探测距离范围</w:t>
            </w:r>
            <w:r>
              <w:rPr>
                <w:rFonts w:ascii="Times New Roman" w:hint="eastAsia"/>
                <w:sz w:val="24"/>
                <w:szCs w:val="24"/>
              </w:rPr>
              <w:t>（km）</w:t>
            </w:r>
          </w:p>
        </w:tc>
        <w:tc>
          <w:tcPr>
            <w:tcW w:w="2648" w:type="dxa"/>
            <w:gridSpan w:val="4"/>
            <w:vAlign w:val="center"/>
          </w:tcPr>
          <w:p>
            <w:pPr>
              <w:pStyle w:val="a2"/>
              <w:ind w:firstLine="0" w:firstLineChars="0"/>
              <w:rPr>
                <w:rFonts w:ascii="Times New Roman"/>
                <w:sz w:val="24"/>
                <w:szCs w:val="24"/>
              </w:rPr>
            </w:pPr>
            <w:r>
              <w:rPr>
                <w:rFonts w:ascii="Times New Roman"/>
                <w:sz w:val="24"/>
                <w:szCs w:val="24"/>
              </w:rPr>
              <w:t>盲区</w:t>
            </w:r>
          </w:p>
        </w:tc>
        <w:tc>
          <w:tcPr>
            <w:tcW w:w="3936" w:type="dxa"/>
            <w:vAlign w:val="center"/>
          </w:tcPr>
          <w:p>
            <w:pPr>
              <w:pStyle w:val="a2"/>
              <w:ind w:firstLine="0" w:firstLineChars="0"/>
              <w:rPr>
                <w:rFonts w:ascii="Times New Roman"/>
                <w:sz w:val="24"/>
                <w:szCs w:val="24"/>
              </w:rPr>
            </w:pPr>
            <w:r>
              <w:rPr>
                <w:rFonts w:ascii="Times New Roman" w:hint="eastAsia"/>
                <w:sz w:val="24"/>
                <w:szCs w:val="24"/>
              </w:rPr>
              <w:t>≤</w:t>
            </w:r>
            <w:r>
              <w:rPr>
                <w:rFonts w:ascii="Times New Roman" w:hint="eastAsia"/>
                <w:sz w:val="24"/>
                <w:szCs w:val="24"/>
              </w:rPr>
              <w:t>0.5</w:t>
            </w:r>
          </w:p>
        </w:tc>
      </w:tr>
      <w:tr>
        <w:tblPrEx>
          <w:tblW w:w="9002" w:type="dxa"/>
          <w:jc w:val="center"/>
          <w:tblLayout w:type="fixed"/>
          <w:tblCellMar>
            <w:top w:w="0" w:type="dxa"/>
            <w:left w:w="108" w:type="dxa"/>
            <w:bottom w:w="0" w:type="dxa"/>
            <w:right w:w="108" w:type="dxa"/>
          </w:tblCellMar>
          <w:tblLook w:val="0000"/>
        </w:tblPrEx>
        <w:trPr>
          <w:trHeight w:val="453"/>
          <w:jc w:val="center"/>
        </w:trPr>
        <w:tc>
          <w:tcPr>
            <w:tcW w:w="2418" w:type="dxa"/>
            <w:gridSpan w:val="6"/>
            <w:vMerge/>
            <w:vAlign w:val="center"/>
          </w:tcPr>
          <w:p>
            <w:pPr>
              <w:pStyle w:val="a2"/>
              <w:ind w:firstLine="0" w:firstLineChars="0"/>
              <w:rPr>
                <w:rFonts w:ascii="Times New Roman"/>
                <w:sz w:val="24"/>
                <w:szCs w:val="24"/>
              </w:rPr>
            </w:pPr>
          </w:p>
        </w:tc>
        <w:tc>
          <w:tcPr>
            <w:tcW w:w="2648" w:type="dxa"/>
            <w:gridSpan w:val="4"/>
            <w:vAlign w:val="center"/>
          </w:tcPr>
          <w:p>
            <w:pPr>
              <w:pStyle w:val="a2"/>
              <w:ind w:firstLine="0" w:firstLineChars="0"/>
              <w:rPr>
                <w:rFonts w:ascii="Times New Roman"/>
                <w:sz w:val="24"/>
                <w:szCs w:val="24"/>
              </w:rPr>
            </w:pPr>
            <w:r>
              <w:rPr>
                <w:rFonts w:ascii="Times New Roman"/>
                <w:sz w:val="24"/>
                <w:szCs w:val="24"/>
              </w:rPr>
              <w:t>强度</w:t>
            </w:r>
          </w:p>
        </w:tc>
        <w:tc>
          <w:tcPr>
            <w:tcW w:w="3936" w:type="dxa"/>
            <w:vAlign w:val="center"/>
          </w:tcPr>
          <w:p>
            <w:pPr>
              <w:pStyle w:val="a2"/>
              <w:ind w:firstLine="0" w:firstLineChars="0"/>
              <w:rPr>
                <w:rFonts w:ascii="Times New Roman"/>
                <w:sz w:val="24"/>
                <w:szCs w:val="24"/>
              </w:rPr>
            </w:pPr>
            <w:r>
              <w:rPr>
                <w:rFonts w:ascii="Times New Roman" w:hint="eastAsia"/>
                <w:sz w:val="24"/>
                <w:szCs w:val="24"/>
              </w:rPr>
              <w:t>≥</w:t>
            </w:r>
            <w:r>
              <w:rPr>
                <w:rFonts w:ascii="Times New Roman" w:hint="eastAsia"/>
                <w:sz w:val="24"/>
                <w:szCs w:val="24"/>
              </w:rPr>
              <w:t>400</w:t>
            </w:r>
          </w:p>
        </w:tc>
      </w:tr>
      <w:tr>
        <w:tblPrEx>
          <w:tblW w:w="9002" w:type="dxa"/>
          <w:jc w:val="center"/>
          <w:tblLayout w:type="fixed"/>
          <w:tblCellMar>
            <w:top w:w="0" w:type="dxa"/>
            <w:left w:w="108" w:type="dxa"/>
            <w:bottom w:w="0" w:type="dxa"/>
            <w:right w:w="108" w:type="dxa"/>
          </w:tblCellMar>
          <w:tblLook w:val="0000"/>
        </w:tblPrEx>
        <w:trPr>
          <w:trHeight w:val="453"/>
          <w:jc w:val="center"/>
        </w:trPr>
        <w:tc>
          <w:tcPr>
            <w:tcW w:w="2418" w:type="dxa"/>
            <w:gridSpan w:val="6"/>
            <w:vMerge/>
            <w:vAlign w:val="center"/>
          </w:tcPr>
          <w:p>
            <w:pPr>
              <w:pStyle w:val="a2"/>
              <w:ind w:firstLine="0" w:firstLineChars="0"/>
              <w:rPr>
                <w:rFonts w:ascii="Times New Roman"/>
                <w:sz w:val="24"/>
                <w:szCs w:val="24"/>
              </w:rPr>
            </w:pPr>
          </w:p>
        </w:tc>
        <w:tc>
          <w:tcPr>
            <w:tcW w:w="2648" w:type="dxa"/>
            <w:gridSpan w:val="4"/>
            <w:vAlign w:val="center"/>
          </w:tcPr>
          <w:p>
            <w:pPr>
              <w:pStyle w:val="a2"/>
              <w:ind w:firstLine="0" w:firstLineChars="0"/>
              <w:rPr>
                <w:rFonts w:ascii="Times New Roman"/>
                <w:sz w:val="24"/>
                <w:szCs w:val="24"/>
              </w:rPr>
            </w:pPr>
            <w:r>
              <w:rPr>
                <w:rFonts w:ascii="Times New Roman"/>
                <w:sz w:val="24"/>
                <w:szCs w:val="24"/>
              </w:rPr>
              <w:t>速度</w:t>
            </w:r>
          </w:p>
        </w:tc>
        <w:tc>
          <w:tcPr>
            <w:tcW w:w="3936" w:type="dxa"/>
            <w:vAlign w:val="center"/>
          </w:tcPr>
          <w:p>
            <w:pPr>
              <w:pStyle w:val="a2"/>
              <w:ind w:firstLine="0" w:firstLineChars="0"/>
              <w:rPr>
                <w:rFonts w:ascii="Times New Roman"/>
                <w:sz w:val="24"/>
                <w:szCs w:val="24"/>
              </w:rPr>
            </w:pPr>
            <w:r>
              <w:rPr>
                <w:rFonts w:ascii="Times New Roman" w:hint="eastAsia"/>
                <w:sz w:val="24"/>
                <w:szCs w:val="24"/>
              </w:rPr>
              <w:t>≥</w:t>
            </w:r>
            <w:r>
              <w:rPr>
                <w:rFonts w:ascii="Times New Roman" w:hint="eastAsia"/>
                <w:sz w:val="24"/>
                <w:szCs w:val="24"/>
              </w:rPr>
              <w:t>200</w:t>
            </w:r>
          </w:p>
        </w:tc>
      </w:tr>
      <w:tr>
        <w:tblPrEx>
          <w:tblW w:w="9002" w:type="dxa"/>
          <w:jc w:val="center"/>
          <w:tblLayout w:type="fixed"/>
          <w:tblCellMar>
            <w:top w:w="0" w:type="dxa"/>
            <w:left w:w="108" w:type="dxa"/>
            <w:bottom w:w="0" w:type="dxa"/>
            <w:right w:w="108" w:type="dxa"/>
          </w:tblCellMar>
          <w:tblLook w:val="0000"/>
        </w:tblPrEx>
        <w:trPr>
          <w:trHeight w:val="67"/>
          <w:jc w:val="center"/>
        </w:trPr>
        <w:tc>
          <w:tcPr>
            <w:tcW w:w="2418" w:type="dxa"/>
            <w:gridSpan w:val="6"/>
            <w:vMerge/>
            <w:vAlign w:val="center"/>
          </w:tcPr>
          <w:p>
            <w:pPr>
              <w:pStyle w:val="a2"/>
              <w:ind w:firstLine="0" w:firstLineChars="0"/>
              <w:rPr>
                <w:rFonts w:ascii="Times New Roman"/>
                <w:sz w:val="24"/>
                <w:szCs w:val="24"/>
              </w:rPr>
            </w:pPr>
          </w:p>
        </w:tc>
        <w:tc>
          <w:tcPr>
            <w:tcW w:w="2648" w:type="dxa"/>
            <w:gridSpan w:val="4"/>
            <w:vAlign w:val="center"/>
          </w:tcPr>
          <w:p>
            <w:pPr>
              <w:pStyle w:val="a2"/>
              <w:ind w:firstLine="0" w:firstLineChars="0"/>
              <w:rPr>
                <w:rFonts w:ascii="Times New Roman"/>
                <w:sz w:val="24"/>
                <w:szCs w:val="24"/>
              </w:rPr>
            </w:pPr>
            <w:r>
              <w:rPr>
                <w:rFonts w:ascii="Times New Roman"/>
                <w:sz w:val="24"/>
                <w:szCs w:val="24"/>
              </w:rPr>
              <w:t>谱宽</w:t>
            </w:r>
          </w:p>
        </w:tc>
        <w:tc>
          <w:tcPr>
            <w:tcW w:w="3936" w:type="dxa"/>
            <w:vAlign w:val="center"/>
          </w:tcPr>
          <w:p>
            <w:pPr>
              <w:pStyle w:val="a2"/>
              <w:ind w:firstLine="0" w:firstLineChars="0"/>
              <w:rPr>
                <w:rFonts w:ascii="Times New Roman"/>
                <w:sz w:val="24"/>
                <w:szCs w:val="24"/>
              </w:rPr>
            </w:pPr>
            <w:r>
              <w:rPr>
                <w:rFonts w:ascii="Times New Roman" w:hint="eastAsia"/>
                <w:sz w:val="24"/>
                <w:szCs w:val="24"/>
              </w:rPr>
              <w:t>≥</w:t>
            </w:r>
            <w:r>
              <w:rPr>
                <w:rFonts w:ascii="Times New Roman" w:hint="eastAsia"/>
                <w:sz w:val="24"/>
                <w:szCs w:val="24"/>
              </w:rPr>
              <w:t>200</w:t>
            </w:r>
          </w:p>
        </w:tc>
      </w:tr>
      <w:tr>
        <w:tblPrEx>
          <w:tblW w:w="9002" w:type="dxa"/>
          <w:jc w:val="center"/>
          <w:tblLayout w:type="fixed"/>
          <w:tblCellMar>
            <w:top w:w="0" w:type="dxa"/>
            <w:left w:w="108" w:type="dxa"/>
            <w:bottom w:w="0" w:type="dxa"/>
            <w:right w:w="108" w:type="dxa"/>
          </w:tblCellMar>
          <w:tblLook w:val="0000"/>
        </w:tblPrEx>
        <w:trPr>
          <w:trHeight w:val="64"/>
          <w:jc w:val="center"/>
        </w:trPr>
        <w:tc>
          <w:tcPr>
            <w:tcW w:w="2418" w:type="dxa"/>
            <w:gridSpan w:val="6"/>
            <w:vMerge/>
            <w:vAlign w:val="center"/>
          </w:tcPr>
          <w:p>
            <w:pPr>
              <w:pStyle w:val="a2"/>
              <w:ind w:firstLine="0" w:firstLineChars="0"/>
              <w:rPr>
                <w:rFonts w:ascii="Times New Roman"/>
                <w:sz w:val="24"/>
                <w:szCs w:val="24"/>
              </w:rPr>
            </w:pPr>
          </w:p>
        </w:tc>
        <w:tc>
          <w:tcPr>
            <w:tcW w:w="2648" w:type="dxa"/>
            <w:gridSpan w:val="4"/>
            <w:vAlign w:val="center"/>
          </w:tcPr>
          <w:p>
            <w:pPr>
              <w:pStyle w:val="a2"/>
              <w:ind w:firstLine="0" w:firstLineChars="0"/>
              <w:rPr>
                <w:rFonts w:ascii="Times New Roman"/>
                <w:sz w:val="24"/>
                <w:szCs w:val="24"/>
              </w:rPr>
            </w:pPr>
            <w:r>
              <w:rPr>
                <w:rFonts w:ascii="Times New Roman"/>
                <w:sz w:val="24"/>
                <w:szCs w:val="24"/>
              </w:rPr>
              <w:t>差分反射率</w:t>
            </w:r>
          </w:p>
        </w:tc>
        <w:tc>
          <w:tcPr>
            <w:tcW w:w="3936" w:type="dxa"/>
            <w:vAlign w:val="center"/>
          </w:tcPr>
          <w:p>
            <w:pPr>
              <w:pStyle w:val="a2"/>
              <w:ind w:firstLine="0" w:firstLineChars="0"/>
              <w:rPr>
                <w:rFonts w:ascii="Times New Roman"/>
                <w:sz w:val="24"/>
                <w:szCs w:val="24"/>
              </w:rPr>
            </w:pPr>
            <w:r>
              <w:rPr>
                <w:rFonts w:ascii="Times New Roman" w:hint="eastAsia"/>
                <w:sz w:val="24"/>
                <w:szCs w:val="24"/>
              </w:rPr>
              <w:t>≥</w:t>
            </w:r>
            <w:r>
              <w:rPr>
                <w:rFonts w:ascii="Times New Roman" w:hint="eastAsia"/>
                <w:sz w:val="24"/>
                <w:szCs w:val="24"/>
              </w:rPr>
              <w:t>200</w:t>
            </w:r>
          </w:p>
        </w:tc>
      </w:tr>
      <w:tr>
        <w:tblPrEx>
          <w:tblW w:w="9002" w:type="dxa"/>
          <w:jc w:val="center"/>
          <w:tblLayout w:type="fixed"/>
          <w:tblCellMar>
            <w:top w:w="0" w:type="dxa"/>
            <w:left w:w="108" w:type="dxa"/>
            <w:bottom w:w="0" w:type="dxa"/>
            <w:right w:w="108" w:type="dxa"/>
          </w:tblCellMar>
          <w:tblLook w:val="0000"/>
        </w:tblPrEx>
        <w:trPr>
          <w:trHeight w:val="64"/>
          <w:jc w:val="center"/>
        </w:trPr>
        <w:tc>
          <w:tcPr>
            <w:tcW w:w="2418" w:type="dxa"/>
            <w:gridSpan w:val="6"/>
            <w:vMerge/>
            <w:vAlign w:val="center"/>
          </w:tcPr>
          <w:p>
            <w:pPr>
              <w:pStyle w:val="a2"/>
              <w:ind w:firstLine="0" w:firstLineChars="0"/>
              <w:rPr>
                <w:rFonts w:ascii="Times New Roman"/>
                <w:sz w:val="24"/>
                <w:szCs w:val="24"/>
              </w:rPr>
            </w:pPr>
          </w:p>
        </w:tc>
        <w:tc>
          <w:tcPr>
            <w:tcW w:w="2648" w:type="dxa"/>
            <w:gridSpan w:val="4"/>
            <w:vAlign w:val="center"/>
          </w:tcPr>
          <w:p>
            <w:pPr>
              <w:pStyle w:val="a2"/>
              <w:ind w:firstLine="0" w:firstLineChars="0"/>
              <w:rPr>
                <w:rFonts w:ascii="Times New Roman"/>
                <w:sz w:val="24"/>
                <w:szCs w:val="24"/>
              </w:rPr>
            </w:pPr>
            <w:r>
              <w:rPr>
                <w:rFonts w:ascii="Times New Roman"/>
                <w:sz w:val="24"/>
                <w:szCs w:val="24"/>
              </w:rPr>
              <w:t>相关系数</w:t>
            </w:r>
          </w:p>
        </w:tc>
        <w:tc>
          <w:tcPr>
            <w:tcW w:w="3936" w:type="dxa"/>
            <w:vAlign w:val="center"/>
          </w:tcPr>
          <w:p>
            <w:pPr>
              <w:pStyle w:val="a2"/>
              <w:ind w:firstLine="0" w:firstLineChars="0"/>
              <w:rPr>
                <w:rFonts w:ascii="Times New Roman"/>
                <w:sz w:val="24"/>
                <w:szCs w:val="24"/>
              </w:rPr>
            </w:pPr>
            <w:r>
              <w:rPr>
                <w:rFonts w:ascii="Times New Roman" w:hint="eastAsia"/>
                <w:sz w:val="24"/>
                <w:szCs w:val="24"/>
              </w:rPr>
              <w:t>≥</w:t>
            </w:r>
            <w:r>
              <w:rPr>
                <w:rFonts w:ascii="Times New Roman" w:hint="eastAsia"/>
                <w:sz w:val="24"/>
                <w:szCs w:val="24"/>
              </w:rPr>
              <w:t>200</w:t>
            </w:r>
          </w:p>
        </w:tc>
      </w:tr>
      <w:tr>
        <w:tblPrEx>
          <w:tblW w:w="9002" w:type="dxa"/>
          <w:jc w:val="center"/>
          <w:tblLayout w:type="fixed"/>
          <w:tblCellMar>
            <w:top w:w="0" w:type="dxa"/>
            <w:left w:w="108" w:type="dxa"/>
            <w:bottom w:w="0" w:type="dxa"/>
            <w:right w:w="108" w:type="dxa"/>
          </w:tblCellMar>
          <w:tblLook w:val="0000"/>
        </w:tblPrEx>
        <w:trPr>
          <w:trHeight w:val="64"/>
          <w:jc w:val="center"/>
        </w:trPr>
        <w:tc>
          <w:tcPr>
            <w:tcW w:w="2418" w:type="dxa"/>
            <w:gridSpan w:val="6"/>
            <w:vMerge/>
            <w:vAlign w:val="center"/>
          </w:tcPr>
          <w:p>
            <w:pPr>
              <w:pStyle w:val="a2"/>
              <w:ind w:firstLine="0" w:firstLineChars="0"/>
              <w:rPr>
                <w:rFonts w:ascii="Times New Roman"/>
                <w:sz w:val="24"/>
                <w:szCs w:val="24"/>
              </w:rPr>
            </w:pPr>
          </w:p>
        </w:tc>
        <w:tc>
          <w:tcPr>
            <w:tcW w:w="2648" w:type="dxa"/>
            <w:gridSpan w:val="4"/>
            <w:vAlign w:val="center"/>
          </w:tcPr>
          <w:p>
            <w:pPr>
              <w:pStyle w:val="a2"/>
              <w:ind w:firstLine="0" w:firstLineChars="0"/>
              <w:rPr>
                <w:rFonts w:ascii="Times New Roman"/>
                <w:sz w:val="24"/>
                <w:szCs w:val="24"/>
              </w:rPr>
            </w:pPr>
            <w:r>
              <w:rPr>
                <w:rFonts w:ascii="Times New Roman"/>
                <w:sz w:val="24"/>
                <w:szCs w:val="24"/>
              </w:rPr>
              <w:t>差分传播相移</w:t>
            </w:r>
          </w:p>
        </w:tc>
        <w:tc>
          <w:tcPr>
            <w:tcW w:w="3936" w:type="dxa"/>
            <w:vAlign w:val="center"/>
          </w:tcPr>
          <w:p>
            <w:pPr>
              <w:pStyle w:val="a2"/>
              <w:ind w:firstLine="0" w:firstLineChars="0"/>
              <w:rPr>
                <w:rFonts w:ascii="Times New Roman"/>
                <w:sz w:val="24"/>
                <w:szCs w:val="24"/>
              </w:rPr>
            </w:pPr>
            <w:r>
              <w:rPr>
                <w:rFonts w:ascii="Times New Roman" w:hint="eastAsia"/>
                <w:sz w:val="24"/>
                <w:szCs w:val="24"/>
              </w:rPr>
              <w:t>≥</w:t>
            </w:r>
            <w:r>
              <w:rPr>
                <w:rFonts w:ascii="Times New Roman" w:hint="eastAsia"/>
                <w:sz w:val="24"/>
                <w:szCs w:val="24"/>
              </w:rPr>
              <w:t>200</w:t>
            </w:r>
          </w:p>
        </w:tc>
      </w:tr>
      <w:tr>
        <w:tblPrEx>
          <w:tblW w:w="9002" w:type="dxa"/>
          <w:jc w:val="center"/>
          <w:tblLayout w:type="fixed"/>
          <w:tblCellMar>
            <w:top w:w="0" w:type="dxa"/>
            <w:left w:w="108" w:type="dxa"/>
            <w:bottom w:w="0" w:type="dxa"/>
            <w:right w:w="108" w:type="dxa"/>
          </w:tblCellMar>
          <w:tblLook w:val="0000"/>
        </w:tblPrEx>
        <w:trPr>
          <w:trHeight w:val="64"/>
          <w:jc w:val="center"/>
        </w:trPr>
        <w:tc>
          <w:tcPr>
            <w:tcW w:w="2418" w:type="dxa"/>
            <w:gridSpan w:val="6"/>
            <w:vMerge/>
            <w:vAlign w:val="center"/>
          </w:tcPr>
          <w:p>
            <w:pPr>
              <w:pStyle w:val="a2"/>
              <w:ind w:firstLine="0" w:firstLineChars="0"/>
              <w:rPr>
                <w:rFonts w:ascii="Times New Roman"/>
                <w:sz w:val="24"/>
                <w:szCs w:val="24"/>
              </w:rPr>
            </w:pPr>
          </w:p>
        </w:tc>
        <w:tc>
          <w:tcPr>
            <w:tcW w:w="2648" w:type="dxa"/>
            <w:gridSpan w:val="4"/>
            <w:vAlign w:val="center"/>
          </w:tcPr>
          <w:p>
            <w:pPr>
              <w:pStyle w:val="a2"/>
              <w:ind w:firstLine="0" w:firstLineChars="0"/>
              <w:rPr>
                <w:rFonts w:ascii="Times New Roman"/>
                <w:sz w:val="24"/>
                <w:szCs w:val="24"/>
              </w:rPr>
            </w:pPr>
            <w:r>
              <w:rPr>
                <w:rFonts w:ascii="Times New Roman"/>
                <w:sz w:val="24"/>
                <w:szCs w:val="24"/>
              </w:rPr>
              <w:t>差分传播相移率</w:t>
            </w:r>
          </w:p>
        </w:tc>
        <w:tc>
          <w:tcPr>
            <w:tcW w:w="3936" w:type="dxa"/>
            <w:vAlign w:val="center"/>
          </w:tcPr>
          <w:p>
            <w:pPr>
              <w:pStyle w:val="a2"/>
              <w:ind w:firstLine="0" w:firstLineChars="0"/>
              <w:rPr>
                <w:rFonts w:ascii="Times New Roman"/>
                <w:sz w:val="24"/>
                <w:szCs w:val="24"/>
              </w:rPr>
            </w:pPr>
            <w:r>
              <w:rPr>
                <w:rFonts w:ascii="Times New Roman" w:hint="eastAsia"/>
                <w:sz w:val="24"/>
                <w:szCs w:val="24"/>
              </w:rPr>
              <w:t>≥</w:t>
            </w:r>
            <w:r>
              <w:rPr>
                <w:rFonts w:ascii="Times New Roman" w:hint="eastAsia"/>
                <w:sz w:val="24"/>
                <w:szCs w:val="24"/>
              </w:rPr>
              <w:t>200</w:t>
            </w:r>
          </w:p>
        </w:tc>
      </w:tr>
      <w:tr>
        <w:tblPrEx>
          <w:tblW w:w="9002" w:type="dxa"/>
          <w:jc w:val="center"/>
          <w:tblLayout w:type="fixed"/>
          <w:tblCellMar>
            <w:top w:w="0" w:type="dxa"/>
            <w:left w:w="108" w:type="dxa"/>
            <w:bottom w:w="0" w:type="dxa"/>
            <w:right w:w="108" w:type="dxa"/>
          </w:tblCellMar>
          <w:tblLook w:val="0000"/>
        </w:tblPrEx>
        <w:trPr>
          <w:trHeight w:val="64"/>
          <w:jc w:val="center"/>
        </w:trPr>
        <w:tc>
          <w:tcPr>
            <w:tcW w:w="2418" w:type="dxa"/>
            <w:gridSpan w:val="6"/>
            <w:vMerge/>
            <w:vAlign w:val="center"/>
          </w:tcPr>
          <w:p>
            <w:pPr>
              <w:pStyle w:val="a2"/>
              <w:ind w:firstLine="0" w:firstLineChars="0"/>
              <w:rPr>
                <w:rFonts w:ascii="Times New Roman"/>
                <w:sz w:val="24"/>
                <w:szCs w:val="24"/>
              </w:rPr>
            </w:pPr>
          </w:p>
        </w:tc>
        <w:tc>
          <w:tcPr>
            <w:tcW w:w="2648" w:type="dxa"/>
            <w:gridSpan w:val="4"/>
            <w:vAlign w:val="center"/>
          </w:tcPr>
          <w:p>
            <w:pPr>
              <w:pStyle w:val="a2"/>
              <w:ind w:firstLine="0" w:firstLineChars="0"/>
              <w:rPr>
                <w:rFonts w:ascii="Times New Roman"/>
                <w:sz w:val="24"/>
                <w:szCs w:val="24"/>
              </w:rPr>
            </w:pPr>
            <w:r>
              <w:rPr>
                <w:rFonts w:ascii="Times New Roman"/>
                <w:sz w:val="24"/>
                <w:szCs w:val="24"/>
              </w:rPr>
              <w:t>退偏振比</w:t>
            </w:r>
          </w:p>
        </w:tc>
        <w:tc>
          <w:tcPr>
            <w:tcW w:w="3936" w:type="dxa"/>
            <w:vAlign w:val="center"/>
          </w:tcPr>
          <w:p>
            <w:pPr>
              <w:pStyle w:val="a2"/>
              <w:ind w:firstLine="0" w:firstLineChars="0"/>
              <w:rPr>
                <w:rFonts w:ascii="Times New Roman"/>
                <w:sz w:val="24"/>
                <w:szCs w:val="24"/>
              </w:rPr>
            </w:pPr>
            <w:r>
              <w:rPr>
                <w:rFonts w:ascii="Times New Roman" w:hint="eastAsia"/>
                <w:sz w:val="24"/>
                <w:szCs w:val="24"/>
              </w:rPr>
              <w:t>≥</w:t>
            </w:r>
            <w:r>
              <w:rPr>
                <w:rFonts w:ascii="Times New Roman" w:hint="eastAsia"/>
                <w:sz w:val="24"/>
                <w:szCs w:val="24"/>
              </w:rPr>
              <w:t>200</w:t>
            </w:r>
          </w:p>
        </w:tc>
      </w:tr>
      <w:tr>
        <w:tblPrEx>
          <w:tblW w:w="9002" w:type="dxa"/>
          <w:jc w:val="center"/>
          <w:tblLayout w:type="fixed"/>
          <w:tblCellMar>
            <w:top w:w="0" w:type="dxa"/>
            <w:left w:w="108" w:type="dxa"/>
            <w:bottom w:w="0" w:type="dxa"/>
            <w:right w:w="108" w:type="dxa"/>
          </w:tblCellMar>
          <w:tblLook w:val="0000"/>
        </w:tblPrEx>
        <w:trPr>
          <w:trHeight w:val="64"/>
          <w:jc w:val="center"/>
        </w:trPr>
        <w:tc>
          <w:tcPr>
            <w:tcW w:w="5066" w:type="dxa"/>
            <w:gridSpan w:val="10"/>
            <w:vAlign w:val="center"/>
          </w:tcPr>
          <w:p>
            <w:pPr>
              <w:pStyle w:val="a2"/>
              <w:ind w:firstLine="0" w:firstLineChars="0"/>
              <w:rPr>
                <w:rFonts w:ascii="Times New Roman"/>
                <w:sz w:val="24"/>
                <w:szCs w:val="24"/>
              </w:rPr>
            </w:pPr>
            <w:r>
              <w:rPr>
                <w:rFonts w:ascii="Times New Roman" w:hint="eastAsia"/>
                <w:sz w:val="24"/>
                <w:szCs w:val="24"/>
              </w:rPr>
              <w:t>探测</w:t>
            </w:r>
            <w:r>
              <w:rPr>
                <w:rFonts w:ascii="Times New Roman"/>
                <w:sz w:val="24"/>
                <w:szCs w:val="24"/>
              </w:rPr>
              <w:t>高度</w:t>
            </w:r>
            <w:r>
              <w:rPr>
                <w:rFonts w:ascii="Times New Roman" w:hint="eastAsia"/>
                <w:sz w:val="24"/>
                <w:szCs w:val="24"/>
              </w:rPr>
              <w:t>（km）</w:t>
            </w:r>
          </w:p>
        </w:tc>
        <w:tc>
          <w:tcPr>
            <w:tcW w:w="3936" w:type="dxa"/>
            <w:vAlign w:val="center"/>
          </w:tcPr>
          <w:p>
            <w:pPr>
              <w:pStyle w:val="a2"/>
              <w:ind w:firstLine="0" w:firstLineChars="0"/>
              <w:rPr>
                <w:rFonts w:ascii="Times New Roman" w:hint="eastAsia"/>
                <w:sz w:val="24"/>
                <w:szCs w:val="24"/>
              </w:rPr>
            </w:pPr>
            <w:r>
              <w:rPr>
                <w:rFonts w:ascii="Times New Roman" w:hint="eastAsia"/>
                <w:sz w:val="24"/>
                <w:szCs w:val="24"/>
              </w:rPr>
              <w:t>≥</w:t>
            </w:r>
            <w:r>
              <w:rPr>
                <w:rFonts w:ascii="Times New Roman" w:hint="eastAsia"/>
                <w:sz w:val="24"/>
                <w:szCs w:val="24"/>
              </w:rPr>
              <w:t>24</w:t>
            </w:r>
          </w:p>
        </w:tc>
      </w:tr>
      <w:tr>
        <w:tblPrEx>
          <w:tblW w:w="9002" w:type="dxa"/>
          <w:jc w:val="center"/>
          <w:tblLayout w:type="fixed"/>
          <w:tblCellMar>
            <w:top w:w="0" w:type="dxa"/>
            <w:left w:w="108" w:type="dxa"/>
            <w:bottom w:w="0" w:type="dxa"/>
            <w:right w:w="108" w:type="dxa"/>
          </w:tblCellMar>
          <w:tblLook w:val="0000"/>
        </w:tblPrEx>
        <w:trPr>
          <w:trHeight w:val="453"/>
          <w:jc w:val="center"/>
        </w:trPr>
        <w:tc>
          <w:tcPr>
            <w:tcW w:w="2418" w:type="dxa"/>
            <w:gridSpan w:val="6"/>
            <w:vMerge w:val="restart"/>
            <w:vAlign w:val="center"/>
          </w:tcPr>
          <w:p>
            <w:pPr>
              <w:pStyle w:val="a2"/>
              <w:ind w:firstLine="0" w:firstLineChars="0"/>
              <w:rPr>
                <w:rFonts w:ascii="Times New Roman" w:hint="eastAsia"/>
                <w:sz w:val="24"/>
                <w:szCs w:val="24"/>
              </w:rPr>
            </w:pPr>
            <w:r>
              <w:rPr>
                <w:rFonts w:ascii="Times New Roman"/>
                <w:sz w:val="24"/>
                <w:szCs w:val="24"/>
              </w:rPr>
              <w:t>分辨</w:t>
            </w:r>
            <w:r>
              <w:rPr>
                <w:rFonts w:ascii="Times New Roman" w:hint="eastAsia"/>
                <w:sz w:val="24"/>
                <w:szCs w:val="24"/>
              </w:rPr>
              <w:t>力</w:t>
            </w:r>
          </w:p>
        </w:tc>
        <w:tc>
          <w:tcPr>
            <w:tcW w:w="2648" w:type="dxa"/>
            <w:gridSpan w:val="4"/>
            <w:vAlign w:val="center"/>
          </w:tcPr>
          <w:p>
            <w:pPr>
              <w:pStyle w:val="a2"/>
              <w:ind w:firstLine="0" w:firstLineChars="0"/>
              <w:rPr>
                <w:rFonts w:ascii="Times New Roman"/>
                <w:sz w:val="24"/>
                <w:szCs w:val="24"/>
              </w:rPr>
            </w:pPr>
            <w:r>
              <w:rPr>
                <w:rFonts w:ascii="Times New Roman"/>
                <w:sz w:val="24"/>
                <w:szCs w:val="24"/>
              </w:rPr>
              <w:t>距离(m)</w:t>
            </w:r>
          </w:p>
        </w:tc>
        <w:tc>
          <w:tcPr>
            <w:tcW w:w="3936" w:type="dxa"/>
            <w:vAlign w:val="center"/>
          </w:tcPr>
          <w:p>
            <w:pPr>
              <w:pStyle w:val="a2"/>
              <w:ind w:firstLine="0" w:firstLineChars="0"/>
              <w:rPr>
                <w:rFonts w:ascii="Times New Roman"/>
                <w:sz w:val="24"/>
                <w:szCs w:val="24"/>
              </w:rPr>
            </w:pPr>
            <w:r>
              <w:rPr>
                <w:rFonts w:ascii="Times New Roman" w:hint="eastAsia"/>
                <w:sz w:val="24"/>
                <w:szCs w:val="24"/>
              </w:rPr>
              <w:t>≤</w:t>
            </w:r>
            <w:r>
              <w:rPr>
                <w:rFonts w:ascii="Times New Roman" w:hint="eastAsia"/>
                <w:sz w:val="24"/>
                <w:szCs w:val="24"/>
              </w:rPr>
              <w:t>1</w:t>
            </w:r>
            <w:r>
              <w:rPr>
                <w:rFonts w:ascii="Times New Roman"/>
                <w:sz w:val="24"/>
                <w:szCs w:val="24"/>
              </w:rPr>
              <w:t>50</w:t>
            </w:r>
          </w:p>
        </w:tc>
      </w:tr>
      <w:tr>
        <w:tblPrEx>
          <w:tblW w:w="9002" w:type="dxa"/>
          <w:jc w:val="center"/>
          <w:tblLayout w:type="fixed"/>
          <w:tblCellMar>
            <w:top w:w="0" w:type="dxa"/>
            <w:left w:w="108" w:type="dxa"/>
            <w:bottom w:w="0" w:type="dxa"/>
            <w:right w:w="108" w:type="dxa"/>
          </w:tblCellMar>
          <w:tblLook w:val="0000"/>
        </w:tblPrEx>
        <w:trPr>
          <w:trHeight w:val="49"/>
          <w:jc w:val="center"/>
        </w:trPr>
        <w:tc>
          <w:tcPr>
            <w:tcW w:w="2418" w:type="dxa"/>
            <w:gridSpan w:val="6"/>
            <w:vMerge/>
            <w:vAlign w:val="center"/>
          </w:tcPr>
          <w:p>
            <w:pPr>
              <w:pStyle w:val="a2"/>
              <w:ind w:firstLine="0" w:firstLineChars="0"/>
              <w:rPr>
                <w:rFonts w:ascii="Times New Roman"/>
                <w:sz w:val="24"/>
                <w:szCs w:val="24"/>
              </w:rPr>
            </w:pPr>
          </w:p>
        </w:tc>
        <w:tc>
          <w:tcPr>
            <w:tcW w:w="2648" w:type="dxa"/>
            <w:gridSpan w:val="4"/>
            <w:vAlign w:val="center"/>
          </w:tcPr>
          <w:p>
            <w:pPr>
              <w:pStyle w:val="a2"/>
              <w:ind w:firstLine="0" w:firstLineChars="0"/>
              <w:rPr>
                <w:rFonts w:ascii="Times New Roman"/>
                <w:sz w:val="24"/>
                <w:szCs w:val="24"/>
              </w:rPr>
            </w:pPr>
            <w:r>
              <w:rPr>
                <w:rFonts w:ascii="Times New Roman"/>
                <w:sz w:val="24"/>
                <w:szCs w:val="24"/>
              </w:rPr>
              <w:t>方位角(°)</w:t>
            </w:r>
          </w:p>
        </w:tc>
        <w:tc>
          <w:tcPr>
            <w:tcW w:w="3936" w:type="dxa"/>
            <w:vAlign w:val="center"/>
          </w:tcPr>
          <w:p>
            <w:pPr>
              <w:pStyle w:val="a2"/>
              <w:ind w:firstLine="0" w:firstLineChars="0"/>
              <w:rPr>
                <w:rFonts w:ascii="Times New Roman"/>
                <w:sz w:val="24"/>
                <w:szCs w:val="24"/>
              </w:rPr>
            </w:pPr>
            <w:r>
              <w:rPr>
                <w:rFonts w:ascii="Times New Roman" w:hint="eastAsia"/>
                <w:sz w:val="24"/>
                <w:szCs w:val="24"/>
              </w:rPr>
              <w:t>≤</w:t>
            </w:r>
            <w:r>
              <w:rPr>
                <w:rFonts w:ascii="Times New Roman" w:hint="eastAsia"/>
                <w:sz w:val="24"/>
                <w:szCs w:val="24"/>
              </w:rPr>
              <w:t>0.0</w:t>
            </w:r>
            <w:r>
              <w:rPr>
                <w:rFonts w:ascii="Times New Roman"/>
                <w:sz w:val="24"/>
                <w:szCs w:val="24"/>
              </w:rPr>
              <w:t>22</w:t>
            </w:r>
          </w:p>
        </w:tc>
      </w:tr>
      <w:tr>
        <w:tblPrEx>
          <w:tblW w:w="9002" w:type="dxa"/>
          <w:jc w:val="center"/>
          <w:tblLayout w:type="fixed"/>
          <w:tblCellMar>
            <w:top w:w="0" w:type="dxa"/>
            <w:left w:w="108" w:type="dxa"/>
            <w:bottom w:w="0" w:type="dxa"/>
            <w:right w:w="108" w:type="dxa"/>
          </w:tblCellMar>
          <w:tblLook w:val="0000"/>
        </w:tblPrEx>
        <w:trPr>
          <w:trHeight w:val="44"/>
          <w:jc w:val="center"/>
        </w:trPr>
        <w:tc>
          <w:tcPr>
            <w:tcW w:w="2418" w:type="dxa"/>
            <w:gridSpan w:val="6"/>
            <w:vMerge/>
            <w:vAlign w:val="center"/>
          </w:tcPr>
          <w:p>
            <w:pPr>
              <w:pStyle w:val="a2"/>
              <w:ind w:firstLine="0" w:firstLineChars="0"/>
              <w:rPr>
                <w:rFonts w:ascii="Times New Roman"/>
                <w:sz w:val="24"/>
                <w:szCs w:val="24"/>
              </w:rPr>
            </w:pPr>
          </w:p>
        </w:tc>
        <w:tc>
          <w:tcPr>
            <w:tcW w:w="2648" w:type="dxa"/>
            <w:gridSpan w:val="4"/>
            <w:vAlign w:val="center"/>
          </w:tcPr>
          <w:p>
            <w:pPr>
              <w:pStyle w:val="a2"/>
              <w:ind w:firstLine="0" w:firstLineChars="0"/>
              <w:rPr>
                <w:rFonts w:ascii="Times New Roman"/>
                <w:sz w:val="24"/>
                <w:szCs w:val="24"/>
              </w:rPr>
            </w:pPr>
            <w:r>
              <w:rPr>
                <w:rFonts w:ascii="Times New Roman" w:hint="eastAsia"/>
                <w:sz w:val="24"/>
                <w:szCs w:val="24"/>
              </w:rPr>
              <w:t>俯仰角</w:t>
            </w:r>
            <w:r>
              <w:rPr>
                <w:rFonts w:ascii="Times New Roman"/>
                <w:sz w:val="24"/>
                <w:szCs w:val="24"/>
              </w:rPr>
              <w:t>(°)</w:t>
            </w:r>
          </w:p>
        </w:tc>
        <w:tc>
          <w:tcPr>
            <w:tcW w:w="3936" w:type="dxa"/>
            <w:vAlign w:val="center"/>
          </w:tcPr>
          <w:p>
            <w:pPr>
              <w:pStyle w:val="a2"/>
              <w:ind w:firstLine="0" w:firstLineChars="0"/>
              <w:rPr>
                <w:rFonts w:ascii="Times New Roman"/>
                <w:sz w:val="24"/>
                <w:szCs w:val="24"/>
              </w:rPr>
            </w:pPr>
            <w:r>
              <w:rPr>
                <w:rFonts w:ascii="Times New Roman" w:hint="eastAsia"/>
                <w:sz w:val="24"/>
                <w:szCs w:val="24"/>
              </w:rPr>
              <w:t>≤</w:t>
            </w:r>
            <w:r>
              <w:rPr>
                <w:rFonts w:ascii="Times New Roman" w:hint="eastAsia"/>
                <w:sz w:val="24"/>
                <w:szCs w:val="24"/>
              </w:rPr>
              <w:t>0.0</w:t>
            </w:r>
            <w:r>
              <w:rPr>
                <w:rFonts w:ascii="Times New Roman"/>
                <w:sz w:val="24"/>
                <w:szCs w:val="24"/>
              </w:rPr>
              <w:t>22</w:t>
            </w:r>
          </w:p>
        </w:tc>
      </w:tr>
      <w:tr>
        <w:tblPrEx>
          <w:tblW w:w="9002" w:type="dxa"/>
          <w:jc w:val="center"/>
          <w:tblLayout w:type="fixed"/>
          <w:tblCellMar>
            <w:top w:w="0" w:type="dxa"/>
            <w:left w:w="108" w:type="dxa"/>
            <w:bottom w:w="0" w:type="dxa"/>
            <w:right w:w="108" w:type="dxa"/>
          </w:tblCellMar>
          <w:tblLook w:val="0000"/>
        </w:tblPrEx>
        <w:trPr>
          <w:trHeight w:val="44"/>
          <w:jc w:val="center"/>
        </w:trPr>
        <w:tc>
          <w:tcPr>
            <w:tcW w:w="2418" w:type="dxa"/>
            <w:gridSpan w:val="6"/>
            <w:vMerge/>
            <w:vAlign w:val="center"/>
          </w:tcPr>
          <w:p>
            <w:pPr>
              <w:pStyle w:val="a2"/>
              <w:ind w:firstLine="0" w:firstLineChars="0"/>
              <w:rPr>
                <w:rFonts w:ascii="Times New Roman"/>
                <w:sz w:val="24"/>
                <w:szCs w:val="24"/>
              </w:rPr>
            </w:pPr>
          </w:p>
        </w:tc>
        <w:tc>
          <w:tcPr>
            <w:tcW w:w="2648" w:type="dxa"/>
            <w:gridSpan w:val="4"/>
            <w:vAlign w:val="center"/>
          </w:tcPr>
          <w:p>
            <w:pPr>
              <w:pStyle w:val="a2"/>
              <w:ind w:firstLine="0" w:firstLineChars="0"/>
              <w:rPr>
                <w:rFonts w:ascii="Times New Roman"/>
                <w:sz w:val="24"/>
                <w:szCs w:val="24"/>
              </w:rPr>
            </w:pPr>
            <w:r>
              <w:rPr>
                <w:rFonts w:ascii="Times New Roman"/>
                <w:sz w:val="24"/>
                <w:szCs w:val="24"/>
              </w:rPr>
              <w:t>强度(</w:t>
            </w:r>
            <w:r>
              <w:rPr>
                <w:rFonts w:ascii="Times New Roman" w:hint="eastAsia"/>
                <w:sz w:val="24"/>
                <w:szCs w:val="24"/>
              </w:rPr>
              <w:t>d</w:t>
            </w:r>
            <w:r>
              <w:rPr>
                <w:rFonts w:ascii="Times New Roman"/>
                <w:sz w:val="24"/>
                <w:szCs w:val="24"/>
              </w:rPr>
              <w:t>BZ)</w:t>
            </w:r>
          </w:p>
        </w:tc>
        <w:tc>
          <w:tcPr>
            <w:tcW w:w="3936" w:type="dxa"/>
            <w:vAlign w:val="center"/>
          </w:tcPr>
          <w:p>
            <w:pPr>
              <w:pStyle w:val="a2"/>
              <w:ind w:firstLine="0" w:firstLineChars="0"/>
              <w:rPr>
                <w:rFonts w:ascii="Times New Roman"/>
                <w:sz w:val="24"/>
                <w:szCs w:val="24"/>
              </w:rPr>
            </w:pPr>
            <w:r>
              <w:rPr>
                <w:rFonts w:ascii="Times New Roman" w:hint="eastAsia"/>
                <w:sz w:val="24"/>
                <w:szCs w:val="24"/>
              </w:rPr>
              <w:t>≤</w:t>
            </w:r>
            <w:r>
              <w:rPr>
                <w:rFonts w:ascii="Times New Roman" w:hint="eastAsia"/>
                <w:sz w:val="24"/>
                <w:szCs w:val="24"/>
              </w:rPr>
              <w:t>0.5</w:t>
            </w:r>
          </w:p>
        </w:tc>
      </w:tr>
      <w:tr>
        <w:tblPrEx>
          <w:tblW w:w="9002" w:type="dxa"/>
          <w:jc w:val="center"/>
          <w:tblLayout w:type="fixed"/>
          <w:tblCellMar>
            <w:top w:w="0" w:type="dxa"/>
            <w:left w:w="108" w:type="dxa"/>
            <w:bottom w:w="0" w:type="dxa"/>
            <w:right w:w="108" w:type="dxa"/>
          </w:tblCellMar>
          <w:tblLook w:val="0000"/>
        </w:tblPrEx>
        <w:trPr>
          <w:trHeight w:val="44"/>
          <w:jc w:val="center"/>
        </w:trPr>
        <w:tc>
          <w:tcPr>
            <w:tcW w:w="2418" w:type="dxa"/>
            <w:gridSpan w:val="6"/>
            <w:vMerge/>
            <w:vAlign w:val="center"/>
          </w:tcPr>
          <w:p>
            <w:pPr>
              <w:pStyle w:val="a2"/>
              <w:ind w:firstLine="0" w:firstLineChars="0"/>
              <w:rPr>
                <w:rFonts w:ascii="Times New Roman"/>
                <w:sz w:val="24"/>
                <w:szCs w:val="24"/>
              </w:rPr>
            </w:pPr>
          </w:p>
        </w:tc>
        <w:tc>
          <w:tcPr>
            <w:tcW w:w="2648" w:type="dxa"/>
            <w:gridSpan w:val="4"/>
            <w:vAlign w:val="center"/>
          </w:tcPr>
          <w:p>
            <w:pPr>
              <w:pStyle w:val="a2"/>
              <w:ind w:firstLine="0" w:firstLineChars="0"/>
              <w:rPr>
                <w:rFonts w:ascii="Times New Roman"/>
                <w:sz w:val="24"/>
                <w:szCs w:val="24"/>
              </w:rPr>
            </w:pPr>
            <w:r>
              <w:rPr>
                <w:rFonts w:ascii="Times New Roman"/>
                <w:sz w:val="24"/>
                <w:szCs w:val="24"/>
              </w:rPr>
              <w:t>速度(m/s)</w:t>
            </w:r>
          </w:p>
        </w:tc>
        <w:tc>
          <w:tcPr>
            <w:tcW w:w="3936" w:type="dxa"/>
            <w:vAlign w:val="center"/>
          </w:tcPr>
          <w:p>
            <w:pPr>
              <w:pStyle w:val="a2"/>
              <w:ind w:firstLine="0" w:firstLineChars="0"/>
              <w:rPr>
                <w:rFonts w:ascii="Times New Roman"/>
                <w:sz w:val="24"/>
                <w:szCs w:val="24"/>
              </w:rPr>
            </w:pPr>
            <w:r>
              <w:rPr>
                <w:rFonts w:ascii="Times New Roman" w:hint="eastAsia"/>
                <w:sz w:val="24"/>
                <w:szCs w:val="24"/>
              </w:rPr>
              <w:t>≤</w:t>
            </w:r>
            <w:r>
              <w:rPr>
                <w:rFonts w:ascii="Times New Roman" w:hint="eastAsia"/>
                <w:sz w:val="24"/>
                <w:szCs w:val="24"/>
              </w:rPr>
              <w:t>0.5</w:t>
            </w:r>
          </w:p>
        </w:tc>
      </w:tr>
      <w:tr>
        <w:tblPrEx>
          <w:tblW w:w="9002" w:type="dxa"/>
          <w:jc w:val="center"/>
          <w:tblLayout w:type="fixed"/>
          <w:tblCellMar>
            <w:top w:w="0" w:type="dxa"/>
            <w:left w:w="108" w:type="dxa"/>
            <w:bottom w:w="0" w:type="dxa"/>
            <w:right w:w="108" w:type="dxa"/>
          </w:tblCellMar>
          <w:tblLook w:val="0000"/>
        </w:tblPrEx>
        <w:trPr>
          <w:trHeight w:val="44"/>
          <w:jc w:val="center"/>
        </w:trPr>
        <w:tc>
          <w:tcPr>
            <w:tcW w:w="2418" w:type="dxa"/>
            <w:gridSpan w:val="6"/>
            <w:vMerge/>
            <w:vAlign w:val="center"/>
          </w:tcPr>
          <w:p>
            <w:pPr>
              <w:pStyle w:val="a2"/>
              <w:ind w:firstLine="0" w:firstLineChars="0"/>
              <w:rPr>
                <w:rFonts w:ascii="Times New Roman"/>
                <w:sz w:val="24"/>
                <w:szCs w:val="24"/>
              </w:rPr>
            </w:pPr>
          </w:p>
        </w:tc>
        <w:tc>
          <w:tcPr>
            <w:tcW w:w="2648" w:type="dxa"/>
            <w:gridSpan w:val="4"/>
            <w:vAlign w:val="center"/>
          </w:tcPr>
          <w:p>
            <w:pPr>
              <w:pStyle w:val="a2"/>
              <w:ind w:firstLine="0" w:firstLineChars="0"/>
              <w:rPr>
                <w:rFonts w:ascii="Times New Roman"/>
                <w:sz w:val="24"/>
                <w:szCs w:val="24"/>
              </w:rPr>
            </w:pPr>
            <w:r>
              <w:rPr>
                <w:rFonts w:ascii="Times New Roman"/>
                <w:sz w:val="24"/>
                <w:szCs w:val="24"/>
              </w:rPr>
              <w:t>谱宽(m/s)</w:t>
            </w:r>
          </w:p>
        </w:tc>
        <w:tc>
          <w:tcPr>
            <w:tcW w:w="3936" w:type="dxa"/>
            <w:vAlign w:val="center"/>
          </w:tcPr>
          <w:p>
            <w:pPr>
              <w:pStyle w:val="a2"/>
              <w:ind w:firstLine="0" w:firstLineChars="0"/>
              <w:rPr>
                <w:rFonts w:ascii="Times New Roman"/>
                <w:sz w:val="24"/>
                <w:szCs w:val="24"/>
              </w:rPr>
            </w:pPr>
            <w:r>
              <w:rPr>
                <w:rFonts w:ascii="Times New Roman" w:hint="eastAsia"/>
                <w:sz w:val="24"/>
                <w:szCs w:val="24"/>
              </w:rPr>
              <w:t>≤</w:t>
            </w:r>
            <w:r>
              <w:rPr>
                <w:rFonts w:ascii="Times New Roman" w:hint="eastAsia"/>
                <w:sz w:val="24"/>
                <w:szCs w:val="24"/>
              </w:rPr>
              <w:t>0.5</w:t>
            </w:r>
          </w:p>
        </w:tc>
      </w:tr>
      <w:tr>
        <w:tblPrEx>
          <w:tblW w:w="9002" w:type="dxa"/>
          <w:jc w:val="center"/>
          <w:tblLayout w:type="fixed"/>
          <w:tblCellMar>
            <w:top w:w="0" w:type="dxa"/>
            <w:left w:w="108" w:type="dxa"/>
            <w:bottom w:w="0" w:type="dxa"/>
            <w:right w:w="108" w:type="dxa"/>
          </w:tblCellMar>
          <w:tblLook w:val="0000"/>
        </w:tblPrEx>
        <w:trPr>
          <w:trHeight w:val="44"/>
          <w:jc w:val="center"/>
        </w:trPr>
        <w:tc>
          <w:tcPr>
            <w:tcW w:w="2418" w:type="dxa"/>
            <w:gridSpan w:val="6"/>
            <w:vMerge/>
            <w:vAlign w:val="center"/>
          </w:tcPr>
          <w:p>
            <w:pPr>
              <w:pStyle w:val="a2"/>
              <w:ind w:firstLine="0" w:firstLineChars="0"/>
              <w:rPr>
                <w:rFonts w:ascii="Times New Roman"/>
                <w:sz w:val="24"/>
                <w:szCs w:val="24"/>
              </w:rPr>
            </w:pPr>
          </w:p>
        </w:tc>
        <w:tc>
          <w:tcPr>
            <w:tcW w:w="2648" w:type="dxa"/>
            <w:gridSpan w:val="4"/>
            <w:vAlign w:val="center"/>
          </w:tcPr>
          <w:p>
            <w:pPr>
              <w:pStyle w:val="a2"/>
              <w:ind w:firstLine="0" w:firstLineChars="0"/>
              <w:rPr>
                <w:rFonts w:ascii="Times New Roman"/>
                <w:sz w:val="24"/>
                <w:szCs w:val="24"/>
              </w:rPr>
            </w:pPr>
            <w:r>
              <w:rPr>
                <w:rFonts w:ascii="Times New Roman"/>
                <w:sz w:val="24"/>
                <w:szCs w:val="24"/>
              </w:rPr>
              <w:t>差分反射率 (dB)</w:t>
            </w:r>
          </w:p>
        </w:tc>
        <w:tc>
          <w:tcPr>
            <w:tcW w:w="3936" w:type="dxa"/>
            <w:vAlign w:val="center"/>
          </w:tcPr>
          <w:p>
            <w:pPr>
              <w:pStyle w:val="a2"/>
              <w:ind w:firstLine="0" w:firstLineChars="0"/>
              <w:rPr>
                <w:rFonts w:ascii="Times New Roman"/>
                <w:sz w:val="24"/>
                <w:szCs w:val="24"/>
              </w:rPr>
            </w:pPr>
            <w:r>
              <w:rPr>
                <w:rFonts w:ascii="Times New Roman" w:hint="eastAsia"/>
                <w:sz w:val="24"/>
                <w:szCs w:val="24"/>
              </w:rPr>
              <w:t>≤</w:t>
            </w:r>
            <w:r>
              <w:rPr>
                <w:rFonts w:ascii="Times New Roman" w:hint="eastAsia"/>
                <w:sz w:val="24"/>
                <w:szCs w:val="24"/>
              </w:rPr>
              <w:t>0.1</w:t>
            </w:r>
          </w:p>
        </w:tc>
      </w:tr>
      <w:tr>
        <w:tblPrEx>
          <w:tblW w:w="9002" w:type="dxa"/>
          <w:jc w:val="center"/>
          <w:tblLayout w:type="fixed"/>
          <w:tblCellMar>
            <w:top w:w="0" w:type="dxa"/>
            <w:left w:w="108" w:type="dxa"/>
            <w:bottom w:w="0" w:type="dxa"/>
            <w:right w:w="108" w:type="dxa"/>
          </w:tblCellMar>
          <w:tblLook w:val="0000"/>
        </w:tblPrEx>
        <w:trPr>
          <w:trHeight w:val="44"/>
          <w:jc w:val="center"/>
        </w:trPr>
        <w:tc>
          <w:tcPr>
            <w:tcW w:w="2418" w:type="dxa"/>
            <w:gridSpan w:val="6"/>
            <w:vMerge/>
            <w:vAlign w:val="center"/>
          </w:tcPr>
          <w:p>
            <w:pPr>
              <w:pStyle w:val="a2"/>
              <w:ind w:firstLine="0" w:firstLineChars="0"/>
              <w:rPr>
                <w:rFonts w:ascii="Times New Roman"/>
                <w:sz w:val="24"/>
                <w:szCs w:val="24"/>
              </w:rPr>
            </w:pPr>
          </w:p>
        </w:tc>
        <w:tc>
          <w:tcPr>
            <w:tcW w:w="2648" w:type="dxa"/>
            <w:gridSpan w:val="4"/>
            <w:vAlign w:val="center"/>
          </w:tcPr>
          <w:p>
            <w:pPr>
              <w:pStyle w:val="a2"/>
              <w:ind w:firstLine="0" w:firstLineChars="0"/>
              <w:rPr>
                <w:rFonts w:ascii="Times New Roman"/>
                <w:sz w:val="24"/>
                <w:szCs w:val="24"/>
              </w:rPr>
            </w:pPr>
            <w:r>
              <w:rPr>
                <w:rFonts w:ascii="Times New Roman"/>
                <w:sz w:val="24"/>
                <w:szCs w:val="24"/>
              </w:rPr>
              <w:t>相关系数</w:t>
            </w:r>
          </w:p>
        </w:tc>
        <w:tc>
          <w:tcPr>
            <w:tcW w:w="3936" w:type="dxa"/>
            <w:vAlign w:val="center"/>
          </w:tcPr>
          <w:p>
            <w:pPr>
              <w:pStyle w:val="a2"/>
              <w:ind w:firstLine="0" w:firstLineChars="0"/>
              <w:rPr>
                <w:rFonts w:ascii="Times New Roman"/>
                <w:sz w:val="24"/>
                <w:szCs w:val="24"/>
              </w:rPr>
            </w:pPr>
            <w:r>
              <w:rPr>
                <w:rFonts w:ascii="Times New Roman" w:hint="eastAsia"/>
                <w:sz w:val="24"/>
                <w:szCs w:val="24"/>
              </w:rPr>
              <w:t>≤</w:t>
            </w:r>
            <w:r>
              <w:rPr>
                <w:rFonts w:ascii="Times New Roman" w:hint="eastAsia"/>
                <w:sz w:val="24"/>
                <w:szCs w:val="24"/>
              </w:rPr>
              <w:t>0.005</w:t>
            </w:r>
          </w:p>
        </w:tc>
      </w:tr>
      <w:tr>
        <w:tblPrEx>
          <w:tblW w:w="9002" w:type="dxa"/>
          <w:jc w:val="center"/>
          <w:tblLayout w:type="fixed"/>
          <w:tblCellMar>
            <w:top w:w="0" w:type="dxa"/>
            <w:left w:w="108" w:type="dxa"/>
            <w:bottom w:w="0" w:type="dxa"/>
            <w:right w:w="108" w:type="dxa"/>
          </w:tblCellMar>
          <w:tblLook w:val="0000"/>
        </w:tblPrEx>
        <w:trPr>
          <w:trHeight w:val="44"/>
          <w:jc w:val="center"/>
        </w:trPr>
        <w:tc>
          <w:tcPr>
            <w:tcW w:w="2418" w:type="dxa"/>
            <w:gridSpan w:val="6"/>
            <w:vMerge/>
            <w:vAlign w:val="center"/>
          </w:tcPr>
          <w:p>
            <w:pPr>
              <w:pStyle w:val="a2"/>
              <w:ind w:firstLine="0" w:firstLineChars="0"/>
              <w:rPr>
                <w:rFonts w:ascii="Times New Roman"/>
                <w:sz w:val="24"/>
                <w:szCs w:val="24"/>
              </w:rPr>
            </w:pPr>
          </w:p>
        </w:tc>
        <w:tc>
          <w:tcPr>
            <w:tcW w:w="2648" w:type="dxa"/>
            <w:gridSpan w:val="4"/>
            <w:vAlign w:val="center"/>
          </w:tcPr>
          <w:p>
            <w:pPr>
              <w:pStyle w:val="a2"/>
              <w:ind w:firstLine="0" w:firstLineChars="0"/>
              <w:rPr>
                <w:rFonts w:ascii="Times New Roman"/>
                <w:sz w:val="24"/>
                <w:szCs w:val="24"/>
              </w:rPr>
            </w:pPr>
            <w:r>
              <w:rPr>
                <w:rFonts w:ascii="Times New Roman"/>
                <w:sz w:val="24"/>
                <w:szCs w:val="24"/>
              </w:rPr>
              <w:t>差分传播相移(°)</w:t>
            </w:r>
          </w:p>
        </w:tc>
        <w:tc>
          <w:tcPr>
            <w:tcW w:w="3936" w:type="dxa"/>
            <w:vAlign w:val="center"/>
          </w:tcPr>
          <w:p>
            <w:pPr>
              <w:pStyle w:val="a2"/>
              <w:ind w:firstLine="0" w:firstLineChars="0"/>
              <w:rPr>
                <w:rFonts w:ascii="Times New Roman"/>
                <w:sz w:val="24"/>
                <w:szCs w:val="24"/>
              </w:rPr>
            </w:pPr>
            <w:r>
              <w:rPr>
                <w:rFonts w:ascii="Times New Roman" w:hint="eastAsia"/>
                <w:sz w:val="24"/>
                <w:szCs w:val="24"/>
              </w:rPr>
              <w:t>≤</w:t>
            </w:r>
            <w:r>
              <w:rPr>
                <w:rFonts w:ascii="Times New Roman" w:hint="eastAsia"/>
                <w:sz w:val="24"/>
                <w:szCs w:val="24"/>
              </w:rPr>
              <w:t>0.1</w:t>
            </w:r>
          </w:p>
        </w:tc>
      </w:tr>
      <w:tr>
        <w:tblPrEx>
          <w:tblW w:w="9002" w:type="dxa"/>
          <w:jc w:val="center"/>
          <w:tblLayout w:type="fixed"/>
          <w:tblCellMar>
            <w:top w:w="0" w:type="dxa"/>
            <w:left w:w="108" w:type="dxa"/>
            <w:bottom w:w="0" w:type="dxa"/>
            <w:right w:w="108" w:type="dxa"/>
          </w:tblCellMar>
          <w:tblLook w:val="0000"/>
        </w:tblPrEx>
        <w:trPr>
          <w:trHeight w:val="44"/>
          <w:jc w:val="center"/>
        </w:trPr>
        <w:tc>
          <w:tcPr>
            <w:tcW w:w="2418" w:type="dxa"/>
            <w:gridSpan w:val="6"/>
            <w:vMerge/>
            <w:vAlign w:val="center"/>
          </w:tcPr>
          <w:p>
            <w:pPr>
              <w:pStyle w:val="a2"/>
              <w:ind w:firstLine="0" w:firstLineChars="0"/>
              <w:rPr>
                <w:rFonts w:ascii="Times New Roman"/>
                <w:sz w:val="24"/>
                <w:szCs w:val="24"/>
              </w:rPr>
            </w:pPr>
          </w:p>
        </w:tc>
        <w:tc>
          <w:tcPr>
            <w:tcW w:w="2648" w:type="dxa"/>
            <w:gridSpan w:val="4"/>
            <w:vAlign w:val="center"/>
          </w:tcPr>
          <w:p>
            <w:pPr>
              <w:pStyle w:val="a2"/>
              <w:ind w:firstLine="0" w:firstLineChars="0"/>
              <w:rPr>
                <w:rFonts w:ascii="Times New Roman"/>
                <w:sz w:val="24"/>
                <w:szCs w:val="24"/>
              </w:rPr>
            </w:pPr>
            <w:r>
              <w:rPr>
                <w:rFonts w:ascii="Times New Roman"/>
                <w:sz w:val="24"/>
                <w:szCs w:val="24"/>
              </w:rPr>
              <w:t>差分传播相移率(°/km)</w:t>
            </w:r>
          </w:p>
        </w:tc>
        <w:tc>
          <w:tcPr>
            <w:tcW w:w="3936" w:type="dxa"/>
            <w:vAlign w:val="center"/>
          </w:tcPr>
          <w:p>
            <w:pPr>
              <w:pStyle w:val="a2"/>
              <w:ind w:firstLine="0" w:firstLineChars="0"/>
              <w:rPr>
                <w:rFonts w:ascii="Times New Roman"/>
                <w:sz w:val="24"/>
                <w:szCs w:val="24"/>
              </w:rPr>
            </w:pPr>
            <w:r>
              <w:rPr>
                <w:rFonts w:ascii="Times New Roman" w:hint="eastAsia"/>
                <w:sz w:val="24"/>
                <w:szCs w:val="24"/>
              </w:rPr>
              <w:t>≤</w:t>
            </w:r>
            <w:r>
              <w:rPr>
                <w:rFonts w:ascii="Times New Roman" w:hint="eastAsia"/>
                <w:sz w:val="24"/>
                <w:szCs w:val="24"/>
              </w:rPr>
              <w:t>0.1</w:t>
            </w:r>
          </w:p>
        </w:tc>
      </w:tr>
      <w:tr>
        <w:tblPrEx>
          <w:tblW w:w="9002" w:type="dxa"/>
          <w:jc w:val="center"/>
          <w:tblLayout w:type="fixed"/>
          <w:tblCellMar>
            <w:top w:w="0" w:type="dxa"/>
            <w:left w:w="108" w:type="dxa"/>
            <w:bottom w:w="0" w:type="dxa"/>
            <w:right w:w="108" w:type="dxa"/>
          </w:tblCellMar>
          <w:tblLook w:val="0000"/>
        </w:tblPrEx>
        <w:trPr>
          <w:trHeight w:val="44"/>
          <w:jc w:val="center"/>
        </w:trPr>
        <w:tc>
          <w:tcPr>
            <w:tcW w:w="2418" w:type="dxa"/>
            <w:gridSpan w:val="6"/>
            <w:vMerge/>
            <w:vAlign w:val="center"/>
          </w:tcPr>
          <w:p>
            <w:pPr>
              <w:pStyle w:val="a2"/>
              <w:ind w:firstLine="0" w:firstLineChars="0"/>
              <w:rPr>
                <w:rFonts w:ascii="Times New Roman"/>
                <w:sz w:val="24"/>
                <w:szCs w:val="24"/>
              </w:rPr>
            </w:pPr>
          </w:p>
        </w:tc>
        <w:tc>
          <w:tcPr>
            <w:tcW w:w="2648" w:type="dxa"/>
            <w:gridSpan w:val="4"/>
            <w:vAlign w:val="center"/>
          </w:tcPr>
          <w:p>
            <w:pPr>
              <w:pStyle w:val="a2"/>
              <w:ind w:firstLine="0" w:firstLineChars="0"/>
              <w:rPr>
                <w:rFonts w:ascii="Times New Roman"/>
                <w:sz w:val="24"/>
                <w:szCs w:val="24"/>
              </w:rPr>
            </w:pPr>
            <w:r>
              <w:rPr>
                <w:rFonts w:ascii="Times New Roman"/>
                <w:sz w:val="24"/>
                <w:szCs w:val="24"/>
              </w:rPr>
              <w:t>退偏振比(dB)</w:t>
            </w:r>
          </w:p>
        </w:tc>
        <w:tc>
          <w:tcPr>
            <w:tcW w:w="3936" w:type="dxa"/>
            <w:vAlign w:val="center"/>
          </w:tcPr>
          <w:p>
            <w:pPr>
              <w:pStyle w:val="a2"/>
              <w:ind w:firstLine="0" w:firstLineChars="0"/>
              <w:rPr>
                <w:rFonts w:ascii="Times New Roman"/>
                <w:sz w:val="24"/>
                <w:szCs w:val="24"/>
              </w:rPr>
            </w:pPr>
            <w:r>
              <w:rPr>
                <w:rFonts w:ascii="Times New Roman" w:hint="eastAsia"/>
                <w:sz w:val="24"/>
                <w:szCs w:val="24"/>
              </w:rPr>
              <w:t>≤</w:t>
            </w:r>
            <w:r>
              <w:rPr>
                <w:rFonts w:ascii="Times New Roman" w:hint="eastAsia"/>
                <w:sz w:val="24"/>
                <w:szCs w:val="24"/>
              </w:rPr>
              <w:t>0.1</w:t>
            </w:r>
          </w:p>
        </w:tc>
      </w:tr>
      <w:tr>
        <w:tblPrEx>
          <w:tblW w:w="9002" w:type="dxa"/>
          <w:jc w:val="center"/>
          <w:tblLayout w:type="fixed"/>
          <w:tblCellMar>
            <w:top w:w="0" w:type="dxa"/>
            <w:left w:w="108" w:type="dxa"/>
            <w:bottom w:w="0" w:type="dxa"/>
            <w:right w:w="108" w:type="dxa"/>
          </w:tblCellMar>
          <w:tblLook w:val="0000"/>
        </w:tblPrEx>
        <w:trPr>
          <w:trHeight w:val="44"/>
          <w:jc w:val="center"/>
        </w:trPr>
        <w:tc>
          <w:tcPr>
            <w:tcW w:w="5066" w:type="dxa"/>
            <w:gridSpan w:val="10"/>
            <w:vAlign w:val="center"/>
          </w:tcPr>
          <w:p>
            <w:pPr>
              <w:pStyle w:val="a2"/>
              <w:ind w:firstLine="0" w:firstLineChars="0"/>
              <w:rPr>
                <w:rFonts w:ascii="Times New Roman"/>
                <w:sz w:val="24"/>
                <w:szCs w:val="24"/>
              </w:rPr>
            </w:pPr>
            <w:r>
              <w:rPr>
                <w:rFonts w:ascii="Times New Roman"/>
                <w:color w:val="FF0000"/>
                <w:sz w:val="24"/>
                <w:szCs w:val="24"/>
              </w:rPr>
              <w:t>#</w:t>
            </w:r>
            <w:r>
              <w:rPr>
                <w:rFonts w:ascii="Times New Roman"/>
                <w:sz w:val="24"/>
                <w:szCs w:val="24"/>
              </w:rPr>
              <w:t>系统相位噪声(°)</w:t>
            </w:r>
          </w:p>
        </w:tc>
        <w:tc>
          <w:tcPr>
            <w:tcW w:w="3936" w:type="dxa"/>
            <w:vAlign w:val="center"/>
          </w:tcPr>
          <w:p>
            <w:pPr>
              <w:pStyle w:val="a2"/>
              <w:ind w:firstLine="0" w:firstLineChars="0"/>
              <w:rPr>
                <w:rFonts w:ascii="Times New Roman"/>
                <w:sz w:val="24"/>
                <w:szCs w:val="24"/>
              </w:rPr>
            </w:pPr>
            <w:r>
              <w:rPr>
                <w:rFonts w:ascii="Times New Roman"/>
                <w:sz w:val="24"/>
                <w:szCs w:val="24"/>
              </w:rPr>
              <w:t>≤0.</w:t>
            </w:r>
            <w:r>
              <w:rPr>
                <w:rFonts w:ascii="Times New Roman" w:hint="eastAsia"/>
                <w:sz w:val="24"/>
                <w:szCs w:val="24"/>
              </w:rPr>
              <w:t>06</w:t>
            </w:r>
          </w:p>
        </w:tc>
      </w:tr>
      <w:tr>
        <w:tblPrEx>
          <w:tblW w:w="9002" w:type="dxa"/>
          <w:jc w:val="center"/>
          <w:tblLayout w:type="fixed"/>
          <w:tblCellMar>
            <w:top w:w="0" w:type="dxa"/>
            <w:left w:w="108" w:type="dxa"/>
            <w:bottom w:w="0" w:type="dxa"/>
            <w:right w:w="108" w:type="dxa"/>
          </w:tblCellMar>
          <w:tblLook w:val="0000"/>
        </w:tblPrEx>
        <w:trPr>
          <w:trHeight w:val="44"/>
          <w:jc w:val="center"/>
        </w:trPr>
        <w:tc>
          <w:tcPr>
            <w:tcW w:w="5066" w:type="dxa"/>
            <w:gridSpan w:val="10"/>
            <w:vAlign w:val="center"/>
          </w:tcPr>
          <w:p>
            <w:pPr>
              <w:pStyle w:val="a2"/>
              <w:ind w:firstLine="0" w:firstLineChars="0"/>
              <w:rPr>
                <w:rFonts w:ascii="Times New Roman"/>
                <w:sz w:val="24"/>
                <w:szCs w:val="24"/>
              </w:rPr>
            </w:pPr>
            <w:r>
              <w:rPr>
                <w:rFonts w:ascii="Times New Roman"/>
                <w:color w:val="FF0000"/>
                <w:sz w:val="24"/>
                <w:szCs w:val="24"/>
              </w:rPr>
              <w:t>#</w:t>
            </w:r>
            <w:r>
              <w:rPr>
                <w:rFonts w:ascii="Times New Roman"/>
                <w:sz w:val="24"/>
                <w:szCs w:val="24"/>
              </w:rPr>
              <w:t>系统极限改善因子(dB)</w:t>
            </w:r>
          </w:p>
        </w:tc>
        <w:tc>
          <w:tcPr>
            <w:tcW w:w="3936" w:type="dxa"/>
            <w:vAlign w:val="center"/>
          </w:tcPr>
          <w:p>
            <w:pPr>
              <w:pStyle w:val="a2"/>
              <w:ind w:firstLine="0" w:firstLineChars="0"/>
              <w:rPr>
                <w:rFonts w:ascii="Times New Roman"/>
                <w:sz w:val="24"/>
                <w:szCs w:val="24"/>
              </w:rPr>
            </w:pPr>
            <w:r>
              <w:rPr>
                <w:rFonts w:ascii="Times New Roman"/>
                <w:sz w:val="24"/>
                <w:szCs w:val="24"/>
              </w:rPr>
              <w:t>≥</w:t>
            </w:r>
            <w:r>
              <w:rPr>
                <w:rFonts w:ascii="Times New Roman" w:hint="eastAsia"/>
                <w:sz w:val="24"/>
                <w:szCs w:val="24"/>
              </w:rPr>
              <w:t>58.0</w:t>
            </w:r>
          </w:p>
        </w:tc>
      </w:tr>
      <w:tr>
        <w:tblPrEx>
          <w:tblW w:w="9002" w:type="dxa"/>
          <w:jc w:val="center"/>
          <w:tblLayout w:type="fixed"/>
          <w:tblCellMar>
            <w:top w:w="0" w:type="dxa"/>
            <w:left w:w="108" w:type="dxa"/>
            <w:bottom w:w="0" w:type="dxa"/>
            <w:right w:w="108" w:type="dxa"/>
          </w:tblCellMar>
          <w:tblLook w:val="0000"/>
        </w:tblPrEx>
        <w:trPr>
          <w:trHeight w:val="44"/>
          <w:jc w:val="center"/>
        </w:trPr>
        <w:tc>
          <w:tcPr>
            <w:tcW w:w="5066" w:type="dxa"/>
            <w:gridSpan w:val="10"/>
            <w:vAlign w:val="center"/>
          </w:tcPr>
          <w:p>
            <w:pPr>
              <w:pStyle w:val="a2"/>
              <w:ind w:firstLine="0" w:firstLineChars="0"/>
              <w:rPr>
                <w:rFonts w:ascii="Times New Roman"/>
                <w:sz w:val="24"/>
                <w:szCs w:val="24"/>
              </w:rPr>
            </w:pPr>
            <w:r>
              <w:rPr>
                <w:rFonts w:ascii="Times New Roman"/>
                <w:color w:val="FF0000"/>
                <w:sz w:val="24"/>
                <w:szCs w:val="24"/>
              </w:rPr>
              <w:t>#</w:t>
            </w:r>
            <w:r>
              <w:rPr>
                <w:rFonts w:ascii="Times New Roman"/>
                <w:sz w:val="24"/>
                <w:szCs w:val="24"/>
              </w:rPr>
              <w:t>地物杂波抑制能力(dB)</w:t>
            </w:r>
          </w:p>
        </w:tc>
        <w:tc>
          <w:tcPr>
            <w:tcW w:w="3936" w:type="dxa"/>
            <w:vAlign w:val="center"/>
          </w:tcPr>
          <w:p>
            <w:pPr>
              <w:pStyle w:val="a2"/>
              <w:ind w:firstLine="0" w:firstLineChars="0"/>
              <w:rPr>
                <w:rFonts w:ascii="Times New Roman"/>
                <w:sz w:val="24"/>
                <w:szCs w:val="24"/>
              </w:rPr>
            </w:pPr>
            <w:r>
              <w:rPr>
                <w:rFonts w:ascii="Times New Roman"/>
                <w:sz w:val="24"/>
                <w:szCs w:val="24"/>
              </w:rPr>
              <w:t>≥</w:t>
            </w:r>
            <w:r>
              <w:rPr>
                <w:rFonts w:ascii="Times New Roman" w:hint="eastAsia"/>
                <w:sz w:val="24"/>
                <w:szCs w:val="24"/>
              </w:rPr>
              <w:t>60</w:t>
            </w:r>
            <w:r>
              <w:rPr>
                <w:rFonts w:ascii="Times New Roman"/>
                <w:sz w:val="24"/>
                <w:szCs w:val="24"/>
              </w:rPr>
              <w:t>.0</w:t>
            </w:r>
          </w:p>
        </w:tc>
      </w:tr>
      <w:tr>
        <w:tblPrEx>
          <w:tblW w:w="9002" w:type="dxa"/>
          <w:jc w:val="center"/>
          <w:tblLayout w:type="fixed"/>
          <w:tblCellMar>
            <w:top w:w="0" w:type="dxa"/>
            <w:left w:w="108" w:type="dxa"/>
            <w:bottom w:w="0" w:type="dxa"/>
            <w:right w:w="108" w:type="dxa"/>
          </w:tblCellMar>
          <w:tblLook w:val="0000"/>
        </w:tblPrEx>
        <w:trPr>
          <w:trHeight w:val="44"/>
          <w:jc w:val="center"/>
        </w:trPr>
        <w:tc>
          <w:tcPr>
            <w:tcW w:w="2418" w:type="dxa"/>
            <w:gridSpan w:val="6"/>
            <w:vMerge w:val="restart"/>
            <w:vAlign w:val="center"/>
          </w:tcPr>
          <w:p>
            <w:pPr>
              <w:pStyle w:val="a2"/>
              <w:ind w:firstLine="0" w:firstLineChars="0"/>
              <w:jc w:val="both"/>
              <w:rPr>
                <w:rFonts w:ascii="Times New Roman" w:hint="eastAsia"/>
                <w:sz w:val="24"/>
                <w:szCs w:val="24"/>
              </w:rPr>
            </w:pPr>
            <w:r>
              <w:rPr>
                <w:rFonts w:ascii="Times New Roman" w:hint="eastAsia"/>
                <w:sz w:val="24"/>
                <w:szCs w:val="24"/>
              </w:rPr>
              <w:t>双线偏振参数检验</w:t>
            </w:r>
          </w:p>
        </w:tc>
        <w:tc>
          <w:tcPr>
            <w:tcW w:w="2648" w:type="dxa"/>
            <w:gridSpan w:val="4"/>
            <w:vAlign w:val="center"/>
          </w:tcPr>
          <w:p>
            <w:pPr>
              <w:pStyle w:val="a2"/>
              <w:ind w:firstLine="0" w:firstLineChars="0"/>
              <w:rPr>
                <w:rFonts w:ascii="Times New Roman"/>
                <w:sz w:val="24"/>
                <w:szCs w:val="24"/>
              </w:rPr>
            </w:pPr>
            <w:r>
              <w:rPr>
                <w:rFonts w:ascii="Times New Roman"/>
                <w:sz w:val="24"/>
                <w:szCs w:val="24"/>
              </w:rPr>
              <w:t>差分反射率标准差(dB)</w:t>
            </w:r>
          </w:p>
        </w:tc>
        <w:tc>
          <w:tcPr>
            <w:tcW w:w="3936" w:type="dxa"/>
            <w:vAlign w:val="center"/>
          </w:tcPr>
          <w:p>
            <w:pPr>
              <w:pStyle w:val="a2"/>
              <w:ind w:firstLine="0" w:firstLineChars="0"/>
              <w:rPr>
                <w:rFonts w:ascii="Times New Roman" w:hint="eastAsia"/>
                <w:sz w:val="24"/>
                <w:szCs w:val="24"/>
              </w:rPr>
            </w:pPr>
            <w:r>
              <w:rPr>
                <w:rFonts w:ascii="Times New Roman" w:hint="eastAsia"/>
                <w:sz w:val="24"/>
                <w:szCs w:val="24"/>
              </w:rPr>
              <w:t>≤</w:t>
            </w:r>
            <w:r>
              <w:rPr>
                <w:rFonts w:ascii="Times New Roman"/>
                <w:sz w:val="24"/>
                <w:szCs w:val="24"/>
              </w:rPr>
              <w:t>0.2</w:t>
            </w:r>
          </w:p>
        </w:tc>
      </w:tr>
      <w:tr>
        <w:tblPrEx>
          <w:tblW w:w="9002" w:type="dxa"/>
          <w:jc w:val="center"/>
          <w:tblLayout w:type="fixed"/>
          <w:tblCellMar>
            <w:top w:w="0" w:type="dxa"/>
            <w:left w:w="108" w:type="dxa"/>
            <w:bottom w:w="0" w:type="dxa"/>
            <w:right w:w="108" w:type="dxa"/>
          </w:tblCellMar>
          <w:tblLook w:val="0000"/>
        </w:tblPrEx>
        <w:trPr>
          <w:trHeight w:val="44"/>
          <w:jc w:val="center"/>
        </w:trPr>
        <w:tc>
          <w:tcPr>
            <w:tcW w:w="2418" w:type="dxa"/>
            <w:gridSpan w:val="6"/>
            <w:vMerge/>
            <w:vAlign w:val="center"/>
          </w:tcPr>
          <w:p>
            <w:pPr>
              <w:pStyle w:val="a2"/>
              <w:ind w:firstLine="0" w:firstLineChars="0"/>
              <w:rPr>
                <w:rFonts w:ascii="Times New Roman" w:hint="eastAsia"/>
                <w:sz w:val="24"/>
                <w:szCs w:val="24"/>
              </w:rPr>
            </w:pPr>
          </w:p>
        </w:tc>
        <w:tc>
          <w:tcPr>
            <w:tcW w:w="2648" w:type="dxa"/>
            <w:gridSpan w:val="4"/>
            <w:vAlign w:val="center"/>
          </w:tcPr>
          <w:p>
            <w:pPr>
              <w:pStyle w:val="a2"/>
              <w:ind w:firstLine="0" w:firstLineChars="0"/>
              <w:rPr>
                <w:rFonts w:ascii="Times New Roman"/>
                <w:sz w:val="24"/>
                <w:szCs w:val="24"/>
              </w:rPr>
            </w:pPr>
            <w:r>
              <w:rPr>
                <w:rFonts w:ascii="Times New Roman"/>
                <w:sz w:val="24"/>
                <w:szCs w:val="24"/>
              </w:rPr>
              <w:t>差分传播相移标准差(°)</w:t>
            </w:r>
          </w:p>
        </w:tc>
        <w:tc>
          <w:tcPr>
            <w:tcW w:w="3936" w:type="dxa"/>
            <w:vAlign w:val="center"/>
          </w:tcPr>
          <w:p>
            <w:pPr>
              <w:pStyle w:val="a2"/>
              <w:ind w:firstLine="0" w:firstLineChars="0"/>
              <w:rPr>
                <w:rFonts w:ascii="Times New Roman" w:hint="eastAsia"/>
                <w:sz w:val="24"/>
                <w:szCs w:val="24"/>
              </w:rPr>
            </w:pPr>
            <w:r>
              <w:rPr>
                <w:rFonts w:ascii="Times New Roman"/>
                <w:sz w:val="24"/>
                <w:szCs w:val="24"/>
              </w:rPr>
              <w:t>≤3.0</w:t>
            </w:r>
          </w:p>
        </w:tc>
      </w:tr>
      <w:tr>
        <w:tblPrEx>
          <w:tblW w:w="9002" w:type="dxa"/>
          <w:jc w:val="center"/>
          <w:tblLayout w:type="fixed"/>
          <w:tblCellMar>
            <w:top w:w="0" w:type="dxa"/>
            <w:left w:w="108" w:type="dxa"/>
            <w:bottom w:w="0" w:type="dxa"/>
            <w:right w:w="108" w:type="dxa"/>
          </w:tblCellMar>
          <w:tblLook w:val="0000"/>
        </w:tblPrEx>
        <w:trPr>
          <w:trHeight w:val="44"/>
          <w:jc w:val="center"/>
        </w:trPr>
        <w:tc>
          <w:tcPr>
            <w:tcW w:w="2418" w:type="dxa"/>
            <w:gridSpan w:val="6"/>
            <w:vMerge w:val="restart"/>
            <w:vAlign w:val="center"/>
          </w:tcPr>
          <w:p>
            <w:pPr>
              <w:pStyle w:val="a2"/>
              <w:ind w:firstLine="0" w:firstLineChars="0"/>
              <w:rPr>
                <w:rFonts w:ascii="Times New Roman"/>
                <w:sz w:val="24"/>
                <w:szCs w:val="24"/>
              </w:rPr>
            </w:pPr>
            <w:r>
              <w:rPr>
                <w:rFonts w:ascii="Times New Roman" w:hint="eastAsia"/>
                <w:sz w:val="24"/>
                <w:szCs w:val="24"/>
              </w:rPr>
              <w:t>测量误差</w:t>
            </w:r>
          </w:p>
        </w:tc>
        <w:tc>
          <w:tcPr>
            <w:tcW w:w="2648" w:type="dxa"/>
            <w:gridSpan w:val="4"/>
            <w:vAlign w:val="center"/>
          </w:tcPr>
          <w:p>
            <w:pPr>
              <w:pStyle w:val="a2"/>
              <w:ind w:firstLine="0" w:firstLineChars="0"/>
              <w:rPr>
                <w:rFonts w:ascii="Times New Roman"/>
                <w:sz w:val="24"/>
                <w:szCs w:val="24"/>
              </w:rPr>
            </w:pPr>
            <w:r>
              <w:rPr>
                <w:rFonts w:ascii="Times New Roman"/>
                <w:sz w:val="24"/>
                <w:szCs w:val="24"/>
              </w:rPr>
              <w:t>距离定位(m)</w:t>
            </w:r>
          </w:p>
        </w:tc>
        <w:tc>
          <w:tcPr>
            <w:tcW w:w="3936" w:type="dxa"/>
            <w:vAlign w:val="center"/>
          </w:tcPr>
          <w:p>
            <w:pPr>
              <w:pStyle w:val="a2"/>
              <w:ind w:firstLine="0" w:firstLineChars="0"/>
              <w:rPr>
                <w:rFonts w:ascii="Times New Roman" w:hint="eastAsia"/>
                <w:sz w:val="24"/>
                <w:szCs w:val="24"/>
              </w:rPr>
            </w:pPr>
            <w:r>
              <w:rPr>
                <w:rFonts w:ascii="Times New Roman"/>
                <w:sz w:val="24"/>
                <w:szCs w:val="24"/>
              </w:rPr>
              <w:t>≤50.0</w:t>
            </w:r>
          </w:p>
        </w:tc>
      </w:tr>
      <w:tr>
        <w:tblPrEx>
          <w:tblW w:w="9002" w:type="dxa"/>
          <w:jc w:val="center"/>
          <w:tblLayout w:type="fixed"/>
          <w:tblCellMar>
            <w:top w:w="0" w:type="dxa"/>
            <w:left w:w="108" w:type="dxa"/>
            <w:bottom w:w="0" w:type="dxa"/>
            <w:right w:w="108" w:type="dxa"/>
          </w:tblCellMar>
          <w:tblLook w:val="0000"/>
        </w:tblPrEx>
        <w:trPr>
          <w:trHeight w:val="44"/>
          <w:jc w:val="center"/>
        </w:trPr>
        <w:tc>
          <w:tcPr>
            <w:tcW w:w="2418" w:type="dxa"/>
            <w:gridSpan w:val="6"/>
            <w:vMerge/>
            <w:vAlign w:val="center"/>
          </w:tcPr>
          <w:p>
            <w:pPr>
              <w:pStyle w:val="a2"/>
              <w:ind w:firstLine="0" w:firstLineChars="0"/>
              <w:rPr>
                <w:rFonts w:ascii="Times New Roman"/>
                <w:sz w:val="24"/>
                <w:szCs w:val="24"/>
              </w:rPr>
            </w:pPr>
          </w:p>
        </w:tc>
        <w:tc>
          <w:tcPr>
            <w:tcW w:w="2648" w:type="dxa"/>
            <w:gridSpan w:val="4"/>
            <w:vAlign w:val="center"/>
          </w:tcPr>
          <w:p>
            <w:pPr>
              <w:pStyle w:val="a2"/>
              <w:ind w:firstLine="0" w:firstLineChars="0"/>
              <w:rPr>
                <w:rFonts w:ascii="Times New Roman"/>
                <w:sz w:val="24"/>
                <w:szCs w:val="24"/>
              </w:rPr>
            </w:pPr>
            <w:r>
              <w:rPr>
                <w:rFonts w:ascii="Times New Roman"/>
                <w:sz w:val="24"/>
                <w:szCs w:val="24"/>
              </w:rPr>
              <w:t>相关系数</w:t>
            </w:r>
          </w:p>
        </w:tc>
        <w:tc>
          <w:tcPr>
            <w:tcW w:w="3936" w:type="dxa"/>
            <w:vAlign w:val="center"/>
          </w:tcPr>
          <w:p>
            <w:pPr>
              <w:pStyle w:val="a2"/>
              <w:ind w:firstLine="0" w:firstLineChars="0"/>
              <w:rPr>
                <w:rFonts w:ascii="Times New Roman" w:hint="eastAsia"/>
                <w:sz w:val="24"/>
                <w:szCs w:val="24"/>
              </w:rPr>
            </w:pPr>
            <w:r>
              <w:rPr>
                <w:rFonts w:ascii="Times New Roman"/>
                <w:sz w:val="24"/>
                <w:szCs w:val="24"/>
              </w:rPr>
              <w:t>≤0.01</w:t>
            </w:r>
          </w:p>
        </w:tc>
      </w:tr>
      <w:tr>
        <w:tblPrEx>
          <w:tblW w:w="9002" w:type="dxa"/>
          <w:jc w:val="center"/>
          <w:tblLayout w:type="fixed"/>
          <w:tblCellMar>
            <w:top w:w="0" w:type="dxa"/>
            <w:left w:w="108" w:type="dxa"/>
            <w:bottom w:w="0" w:type="dxa"/>
            <w:right w:w="108" w:type="dxa"/>
          </w:tblCellMar>
          <w:tblLook w:val="0000"/>
        </w:tblPrEx>
        <w:trPr>
          <w:trHeight w:val="44"/>
          <w:jc w:val="center"/>
        </w:trPr>
        <w:tc>
          <w:tcPr>
            <w:tcW w:w="2418" w:type="dxa"/>
            <w:gridSpan w:val="6"/>
            <w:vMerge/>
            <w:vAlign w:val="center"/>
          </w:tcPr>
          <w:p>
            <w:pPr>
              <w:pStyle w:val="a2"/>
              <w:ind w:firstLine="0" w:firstLineChars="0"/>
              <w:rPr>
                <w:rFonts w:ascii="Times New Roman"/>
                <w:sz w:val="24"/>
                <w:szCs w:val="24"/>
              </w:rPr>
            </w:pPr>
          </w:p>
        </w:tc>
        <w:tc>
          <w:tcPr>
            <w:tcW w:w="2648" w:type="dxa"/>
            <w:gridSpan w:val="4"/>
            <w:vAlign w:val="center"/>
          </w:tcPr>
          <w:p>
            <w:pPr>
              <w:pStyle w:val="a2"/>
              <w:ind w:firstLine="0" w:firstLineChars="0"/>
              <w:rPr>
                <w:rFonts w:ascii="Times New Roman"/>
                <w:sz w:val="24"/>
                <w:szCs w:val="24"/>
              </w:rPr>
            </w:pPr>
            <w:r>
              <w:rPr>
                <w:rFonts w:ascii="Times New Roman"/>
                <w:sz w:val="24"/>
                <w:szCs w:val="24"/>
              </w:rPr>
              <w:t>退偏振比(dB)</w:t>
            </w:r>
          </w:p>
        </w:tc>
        <w:tc>
          <w:tcPr>
            <w:tcW w:w="3936" w:type="dxa"/>
            <w:vAlign w:val="center"/>
          </w:tcPr>
          <w:p>
            <w:pPr>
              <w:pStyle w:val="a2"/>
              <w:ind w:firstLine="0" w:firstLineChars="0"/>
              <w:rPr>
                <w:rFonts w:ascii="Times New Roman" w:hint="eastAsia"/>
                <w:sz w:val="24"/>
                <w:szCs w:val="24"/>
              </w:rPr>
            </w:pPr>
            <w:r>
              <w:rPr>
                <w:rFonts w:ascii="Times New Roman"/>
                <w:sz w:val="24"/>
                <w:szCs w:val="24"/>
              </w:rPr>
              <w:t>≤0.3</w:t>
            </w:r>
          </w:p>
        </w:tc>
      </w:tr>
      <w:tr>
        <w:tblPrEx>
          <w:tblW w:w="9002" w:type="dxa"/>
          <w:jc w:val="center"/>
          <w:tblLayout w:type="fixed"/>
          <w:tblCellMar>
            <w:top w:w="0" w:type="dxa"/>
            <w:left w:w="108" w:type="dxa"/>
            <w:bottom w:w="0" w:type="dxa"/>
            <w:right w:w="108" w:type="dxa"/>
          </w:tblCellMar>
          <w:tblLook w:val="0000"/>
        </w:tblPrEx>
        <w:trPr>
          <w:trHeight w:val="44"/>
          <w:jc w:val="center"/>
        </w:trPr>
        <w:tc>
          <w:tcPr>
            <w:tcW w:w="5066" w:type="dxa"/>
            <w:gridSpan w:val="10"/>
            <w:vAlign w:val="center"/>
          </w:tcPr>
          <w:p>
            <w:pPr>
              <w:pStyle w:val="a2"/>
              <w:ind w:firstLine="0" w:firstLineChars="0"/>
              <w:rPr>
                <w:rFonts w:ascii="Times New Roman"/>
                <w:sz w:val="24"/>
                <w:szCs w:val="24"/>
              </w:rPr>
            </w:pPr>
            <w:r>
              <w:rPr>
                <w:rFonts w:ascii="Times New Roman"/>
                <w:sz w:val="24"/>
                <w:szCs w:val="24"/>
              </w:rPr>
              <w:t>预热时间(min)</w:t>
            </w:r>
          </w:p>
        </w:tc>
        <w:tc>
          <w:tcPr>
            <w:tcW w:w="3936" w:type="dxa"/>
            <w:vAlign w:val="center"/>
          </w:tcPr>
          <w:p>
            <w:pPr>
              <w:pStyle w:val="a2"/>
              <w:ind w:firstLine="0" w:firstLineChars="0"/>
              <w:rPr>
                <w:rFonts w:ascii="Times New Roman"/>
                <w:sz w:val="24"/>
                <w:szCs w:val="24"/>
              </w:rPr>
            </w:pPr>
            <w:r>
              <w:rPr>
                <w:rFonts w:ascii="Times New Roman"/>
                <w:sz w:val="24"/>
                <w:szCs w:val="24"/>
              </w:rPr>
              <w:t>≤15</w:t>
            </w:r>
          </w:p>
        </w:tc>
      </w:tr>
      <w:tr>
        <w:tblPrEx>
          <w:tblW w:w="9002" w:type="dxa"/>
          <w:jc w:val="center"/>
          <w:tblLayout w:type="fixed"/>
          <w:tblCellMar>
            <w:top w:w="0" w:type="dxa"/>
            <w:left w:w="108" w:type="dxa"/>
            <w:bottom w:w="0" w:type="dxa"/>
            <w:right w:w="108" w:type="dxa"/>
          </w:tblCellMar>
          <w:tblLook w:val="0000"/>
        </w:tblPrEx>
        <w:trPr>
          <w:cantSplit/>
          <w:trHeight w:val="283"/>
          <w:jc w:val="center"/>
        </w:trPr>
        <w:tc>
          <w:tcPr>
            <w:tcW w:w="5066" w:type="dxa"/>
            <w:gridSpan w:val="10"/>
            <w:vAlign w:val="center"/>
          </w:tcPr>
          <w:p>
            <w:pPr>
              <w:pStyle w:val="a2"/>
              <w:ind w:firstLine="0" w:firstLineChars="0"/>
              <w:rPr>
                <w:rFonts w:ascii="Times New Roman"/>
                <w:sz w:val="24"/>
                <w:szCs w:val="24"/>
              </w:rPr>
            </w:pPr>
            <w:r>
              <w:rPr>
                <w:rFonts w:ascii="Times New Roman"/>
                <w:sz w:val="24"/>
                <w:szCs w:val="24"/>
              </w:rPr>
              <w:t>最小可测回波强度(</w:t>
            </w:r>
            <w:r>
              <w:rPr>
                <w:rFonts w:ascii="Times New Roman" w:hint="eastAsia"/>
                <w:sz w:val="24"/>
                <w:szCs w:val="24"/>
              </w:rPr>
              <w:t>d</w:t>
            </w:r>
            <w:r>
              <w:rPr>
                <w:rFonts w:ascii="Times New Roman"/>
                <w:sz w:val="24"/>
                <w:szCs w:val="24"/>
              </w:rPr>
              <w:t>BZ)</w:t>
            </w:r>
          </w:p>
        </w:tc>
        <w:tc>
          <w:tcPr>
            <w:tcW w:w="3936" w:type="dxa"/>
            <w:vAlign w:val="center"/>
          </w:tcPr>
          <w:p>
            <w:pPr>
              <w:pStyle w:val="a2"/>
              <w:ind w:firstLine="0" w:firstLineChars="0"/>
              <w:jc w:val="center"/>
              <w:rPr>
                <w:rFonts w:ascii="Times New Roman"/>
                <w:sz w:val="24"/>
                <w:szCs w:val="24"/>
              </w:rPr>
            </w:pPr>
            <w:r>
              <w:rPr>
                <w:rFonts w:ascii="Times New Roman"/>
                <w:sz w:val="24"/>
                <w:szCs w:val="24"/>
              </w:rPr>
              <w:t>≤-3.5</w:t>
            </w:r>
            <w:r>
              <w:rPr>
                <w:rFonts w:ascii="Times New Roman" w:hint="eastAsia"/>
                <w:sz w:val="36"/>
                <w:szCs w:val="36"/>
              </w:rPr>
              <w:t>（</w:t>
            </w:r>
            <w:r>
              <w:rPr>
                <w:bCs/>
                <w:color w:val="auto"/>
                <w:sz w:val="22"/>
                <w:szCs w:val="22"/>
              </w:rPr>
              <w:t>2.0μs</w:t>
            </w:r>
            <w:r>
              <w:rPr>
                <w:rFonts w:hint="eastAsia"/>
                <w:bCs/>
                <w:color w:val="auto"/>
                <w:sz w:val="22"/>
                <w:szCs w:val="22"/>
              </w:rPr>
              <w:t>@</w:t>
            </w:r>
            <w:r>
              <w:rPr>
                <w:bCs/>
                <w:color w:val="auto"/>
                <w:sz w:val="22"/>
                <w:szCs w:val="22"/>
              </w:rPr>
              <w:t xml:space="preserve"> 50km</w:t>
            </w:r>
            <w:r>
              <w:rPr>
                <w:rFonts w:ascii="Times New Roman" w:hint="eastAsia"/>
                <w:sz w:val="36"/>
                <w:szCs w:val="36"/>
              </w:rPr>
              <w:t>）</w:t>
            </w:r>
          </w:p>
        </w:tc>
      </w:tr>
      <w:tr>
        <w:tblPrEx>
          <w:tblW w:w="9002" w:type="dxa"/>
          <w:jc w:val="center"/>
          <w:tblLayout w:type="fixed"/>
          <w:tblCellMar>
            <w:top w:w="0" w:type="dxa"/>
            <w:left w:w="108" w:type="dxa"/>
            <w:bottom w:w="0" w:type="dxa"/>
            <w:right w:w="108" w:type="dxa"/>
          </w:tblCellMar>
          <w:tblLook w:val="0000"/>
        </w:tblPrEx>
        <w:trPr>
          <w:cantSplit/>
          <w:trHeight w:val="453"/>
          <w:jc w:val="center"/>
        </w:trPr>
        <w:tc>
          <w:tcPr>
            <w:tcW w:w="5066" w:type="dxa"/>
            <w:gridSpan w:val="10"/>
            <w:vAlign w:val="center"/>
          </w:tcPr>
          <w:p>
            <w:pPr>
              <w:pStyle w:val="a2"/>
              <w:ind w:firstLine="0" w:firstLineChars="0"/>
              <w:rPr>
                <w:rFonts w:ascii="Times New Roman"/>
                <w:sz w:val="24"/>
                <w:szCs w:val="24"/>
              </w:rPr>
            </w:pPr>
            <w:r>
              <w:rPr>
                <w:rFonts w:ascii="Times New Roman" w:hint="eastAsia"/>
                <w:sz w:val="24"/>
                <w:szCs w:val="24"/>
              </w:rPr>
              <w:t>退距离模糊恢复比例</w:t>
            </w:r>
          </w:p>
        </w:tc>
        <w:tc>
          <w:tcPr>
            <w:tcW w:w="3936" w:type="dxa"/>
            <w:vAlign w:val="center"/>
          </w:tcPr>
          <w:p>
            <w:pPr>
              <w:pStyle w:val="a2"/>
              <w:ind w:firstLine="0" w:firstLineChars="0"/>
              <w:rPr>
                <w:rFonts w:ascii="Times New Roman"/>
                <w:sz w:val="24"/>
                <w:szCs w:val="24"/>
              </w:rPr>
            </w:pPr>
            <w:r>
              <w:rPr>
                <w:rFonts w:ascii="Times New Roman"/>
                <w:sz w:val="24"/>
                <w:szCs w:val="24"/>
              </w:rPr>
              <w:t>≥60%</w:t>
            </w:r>
          </w:p>
        </w:tc>
      </w:tr>
      <w:tr>
        <w:tblPrEx>
          <w:tblW w:w="9002" w:type="dxa"/>
          <w:jc w:val="center"/>
          <w:tblLayout w:type="fixed"/>
          <w:tblCellMar>
            <w:top w:w="0" w:type="dxa"/>
            <w:left w:w="108" w:type="dxa"/>
            <w:bottom w:w="0" w:type="dxa"/>
            <w:right w:w="108" w:type="dxa"/>
          </w:tblCellMar>
          <w:tblLook w:val="0000"/>
        </w:tblPrEx>
        <w:trPr>
          <w:cantSplit/>
          <w:trHeight w:val="340"/>
          <w:jc w:val="center"/>
        </w:trPr>
        <w:tc>
          <w:tcPr>
            <w:tcW w:w="2418" w:type="dxa"/>
            <w:gridSpan w:val="6"/>
            <w:vMerge w:val="restart"/>
            <w:vAlign w:val="center"/>
          </w:tcPr>
          <w:p>
            <w:pPr>
              <w:pStyle w:val="a2"/>
              <w:ind w:firstLine="0" w:firstLineChars="0"/>
              <w:rPr>
                <w:rFonts w:ascii="Times New Roman"/>
                <w:sz w:val="24"/>
                <w:szCs w:val="24"/>
              </w:rPr>
            </w:pPr>
            <w:r>
              <w:rPr>
                <w:rFonts w:ascii="Times New Roman" w:hint="eastAsia"/>
                <w:sz w:val="24"/>
                <w:szCs w:val="24"/>
              </w:rPr>
              <w:t>测量范围</w:t>
            </w:r>
          </w:p>
        </w:tc>
        <w:tc>
          <w:tcPr>
            <w:tcW w:w="2648" w:type="dxa"/>
            <w:gridSpan w:val="4"/>
            <w:vAlign w:val="center"/>
          </w:tcPr>
          <w:p>
            <w:pPr>
              <w:pStyle w:val="a2"/>
              <w:ind w:firstLine="0" w:firstLineChars="0"/>
              <w:rPr>
                <w:rFonts w:ascii="Times New Roman"/>
                <w:sz w:val="24"/>
                <w:szCs w:val="24"/>
              </w:rPr>
            </w:pPr>
            <w:r>
              <w:rPr>
                <w:rFonts w:ascii="Times New Roman"/>
                <w:sz w:val="24"/>
                <w:szCs w:val="24"/>
              </w:rPr>
              <w:t>强度值(</w:t>
            </w:r>
            <w:r>
              <w:rPr>
                <w:rFonts w:ascii="Times New Roman" w:hint="eastAsia"/>
                <w:sz w:val="24"/>
                <w:szCs w:val="24"/>
              </w:rPr>
              <w:t>d</w:t>
            </w:r>
            <w:r>
              <w:rPr>
                <w:rFonts w:ascii="Times New Roman"/>
                <w:sz w:val="24"/>
                <w:szCs w:val="24"/>
              </w:rPr>
              <w:t>BZ)</w:t>
            </w:r>
          </w:p>
        </w:tc>
        <w:tc>
          <w:tcPr>
            <w:tcW w:w="3936" w:type="dxa"/>
            <w:vAlign w:val="center"/>
          </w:tcPr>
          <w:p>
            <w:pPr>
              <w:pStyle w:val="a2"/>
              <w:ind w:firstLine="0" w:firstLineChars="0"/>
              <w:rPr>
                <w:rFonts w:ascii="Times New Roman" w:hint="eastAsia"/>
                <w:sz w:val="24"/>
                <w:szCs w:val="24"/>
              </w:rPr>
            </w:pPr>
            <w:r>
              <w:rPr>
                <w:rFonts w:ascii="Times New Roman"/>
                <w:sz w:val="24"/>
                <w:szCs w:val="24"/>
              </w:rPr>
              <w:t>-35</w:t>
            </w:r>
            <w:r>
              <w:rPr>
                <w:rFonts w:ascii="Times New Roman" w:hint="eastAsia"/>
                <w:sz w:val="24"/>
                <w:szCs w:val="24"/>
              </w:rPr>
              <w:t>～</w:t>
            </w:r>
            <w:r>
              <w:rPr>
                <w:rFonts w:ascii="Times New Roman"/>
                <w:sz w:val="24"/>
                <w:szCs w:val="24"/>
              </w:rPr>
              <w:t>75</w:t>
            </w:r>
          </w:p>
        </w:tc>
      </w:tr>
      <w:tr>
        <w:tblPrEx>
          <w:tblW w:w="9002" w:type="dxa"/>
          <w:jc w:val="center"/>
          <w:tblLayout w:type="fixed"/>
          <w:tblCellMar>
            <w:top w:w="0" w:type="dxa"/>
            <w:left w:w="108" w:type="dxa"/>
            <w:bottom w:w="0" w:type="dxa"/>
            <w:right w:w="108" w:type="dxa"/>
          </w:tblCellMar>
          <w:tblLook w:val="0000"/>
        </w:tblPrEx>
        <w:trPr>
          <w:cantSplit/>
          <w:trHeight w:val="340"/>
          <w:jc w:val="center"/>
        </w:trPr>
        <w:tc>
          <w:tcPr>
            <w:tcW w:w="2418" w:type="dxa"/>
            <w:gridSpan w:val="6"/>
            <w:vMerge/>
            <w:vAlign w:val="center"/>
          </w:tcPr>
          <w:p>
            <w:pPr>
              <w:pStyle w:val="a2"/>
              <w:ind w:firstLine="0" w:firstLineChars="0"/>
              <w:rPr>
                <w:rFonts w:ascii="Times New Roman" w:hint="eastAsia"/>
                <w:sz w:val="24"/>
                <w:szCs w:val="24"/>
              </w:rPr>
            </w:pPr>
          </w:p>
        </w:tc>
        <w:tc>
          <w:tcPr>
            <w:tcW w:w="2648" w:type="dxa"/>
            <w:gridSpan w:val="4"/>
            <w:vAlign w:val="center"/>
          </w:tcPr>
          <w:p>
            <w:pPr>
              <w:pStyle w:val="a2"/>
              <w:ind w:firstLine="0" w:firstLineChars="0"/>
              <w:rPr>
                <w:rFonts w:ascii="Times New Roman" w:hint="eastAsia"/>
                <w:sz w:val="24"/>
                <w:szCs w:val="24"/>
              </w:rPr>
            </w:pPr>
            <w:r>
              <w:rPr>
                <w:rFonts w:ascii="Times New Roman"/>
                <w:sz w:val="24"/>
                <w:szCs w:val="24"/>
              </w:rPr>
              <w:t>速度值(m/s)</w:t>
            </w:r>
          </w:p>
        </w:tc>
        <w:tc>
          <w:tcPr>
            <w:tcW w:w="3936" w:type="dxa"/>
            <w:vAlign w:val="center"/>
          </w:tcPr>
          <w:p>
            <w:pPr>
              <w:pStyle w:val="a2"/>
              <w:ind w:firstLine="0" w:firstLineChars="0"/>
              <w:rPr>
                <w:rFonts w:ascii="Times New Roman" w:hint="eastAsia"/>
                <w:sz w:val="24"/>
                <w:szCs w:val="24"/>
              </w:rPr>
            </w:pPr>
            <w:r>
              <w:rPr>
                <w:rFonts w:ascii="Times New Roman"/>
                <w:sz w:val="24"/>
                <w:szCs w:val="24"/>
              </w:rPr>
              <w:t>-48</w:t>
            </w:r>
            <w:r>
              <w:rPr>
                <w:rFonts w:ascii="Times New Roman" w:hint="eastAsia"/>
                <w:sz w:val="24"/>
                <w:szCs w:val="24"/>
              </w:rPr>
              <w:t>～</w:t>
            </w:r>
            <w:r>
              <w:rPr>
                <w:rFonts w:ascii="Times New Roman"/>
                <w:sz w:val="24"/>
                <w:szCs w:val="24"/>
              </w:rPr>
              <w:t>48</w:t>
            </w:r>
          </w:p>
        </w:tc>
      </w:tr>
      <w:tr>
        <w:tblPrEx>
          <w:tblW w:w="9002" w:type="dxa"/>
          <w:jc w:val="center"/>
          <w:tblLayout w:type="fixed"/>
          <w:tblCellMar>
            <w:top w:w="0" w:type="dxa"/>
            <w:left w:w="108" w:type="dxa"/>
            <w:bottom w:w="0" w:type="dxa"/>
            <w:right w:w="108" w:type="dxa"/>
          </w:tblCellMar>
          <w:tblLook w:val="0000"/>
        </w:tblPrEx>
        <w:trPr>
          <w:cantSplit/>
          <w:trHeight w:val="340"/>
          <w:jc w:val="center"/>
        </w:trPr>
        <w:tc>
          <w:tcPr>
            <w:tcW w:w="2418" w:type="dxa"/>
            <w:gridSpan w:val="6"/>
            <w:vMerge/>
            <w:vAlign w:val="center"/>
          </w:tcPr>
          <w:p>
            <w:pPr>
              <w:pStyle w:val="a2"/>
              <w:ind w:firstLine="0" w:firstLineChars="0"/>
              <w:rPr>
                <w:rFonts w:ascii="Times New Roman" w:hint="eastAsia"/>
                <w:sz w:val="24"/>
                <w:szCs w:val="24"/>
              </w:rPr>
            </w:pPr>
          </w:p>
        </w:tc>
        <w:tc>
          <w:tcPr>
            <w:tcW w:w="2648" w:type="dxa"/>
            <w:gridSpan w:val="4"/>
            <w:vAlign w:val="center"/>
          </w:tcPr>
          <w:p>
            <w:pPr>
              <w:pStyle w:val="a2"/>
              <w:ind w:firstLine="0" w:firstLineChars="0"/>
              <w:rPr>
                <w:rFonts w:ascii="Times New Roman" w:hint="eastAsia"/>
                <w:sz w:val="24"/>
                <w:szCs w:val="24"/>
              </w:rPr>
            </w:pPr>
            <w:r>
              <w:rPr>
                <w:rFonts w:ascii="Times New Roman"/>
                <w:sz w:val="24"/>
                <w:szCs w:val="24"/>
              </w:rPr>
              <w:t>谱宽值(m/s)</w:t>
            </w:r>
          </w:p>
        </w:tc>
        <w:tc>
          <w:tcPr>
            <w:tcW w:w="3936" w:type="dxa"/>
            <w:vAlign w:val="center"/>
          </w:tcPr>
          <w:p>
            <w:pPr>
              <w:pStyle w:val="a2"/>
              <w:ind w:firstLine="0" w:firstLineChars="0"/>
              <w:rPr>
                <w:rFonts w:ascii="Times New Roman" w:hint="eastAsia"/>
                <w:sz w:val="24"/>
                <w:szCs w:val="24"/>
              </w:rPr>
            </w:pPr>
            <w:r>
              <w:rPr>
                <w:rFonts w:ascii="Times New Roman"/>
                <w:sz w:val="24"/>
                <w:szCs w:val="24"/>
              </w:rPr>
              <w:t>0</w:t>
            </w:r>
            <w:r>
              <w:rPr>
                <w:rFonts w:ascii="Times New Roman" w:hint="eastAsia"/>
                <w:sz w:val="24"/>
                <w:szCs w:val="24"/>
              </w:rPr>
              <w:t>～</w:t>
            </w:r>
            <w:r>
              <w:rPr>
                <w:rFonts w:ascii="Times New Roman"/>
                <w:sz w:val="24"/>
                <w:szCs w:val="24"/>
              </w:rPr>
              <w:t>16</w:t>
            </w:r>
          </w:p>
        </w:tc>
      </w:tr>
      <w:tr>
        <w:tblPrEx>
          <w:tblW w:w="9002" w:type="dxa"/>
          <w:jc w:val="center"/>
          <w:tblLayout w:type="fixed"/>
          <w:tblCellMar>
            <w:top w:w="0" w:type="dxa"/>
            <w:left w:w="108" w:type="dxa"/>
            <w:bottom w:w="0" w:type="dxa"/>
            <w:right w:w="108" w:type="dxa"/>
          </w:tblCellMar>
          <w:tblLook w:val="0000"/>
        </w:tblPrEx>
        <w:trPr>
          <w:cantSplit/>
          <w:trHeight w:val="340"/>
          <w:jc w:val="center"/>
        </w:trPr>
        <w:tc>
          <w:tcPr>
            <w:tcW w:w="2418" w:type="dxa"/>
            <w:gridSpan w:val="6"/>
            <w:vMerge/>
            <w:vAlign w:val="center"/>
          </w:tcPr>
          <w:p>
            <w:pPr>
              <w:pStyle w:val="a2"/>
              <w:ind w:firstLine="0" w:firstLineChars="0"/>
              <w:rPr>
                <w:rFonts w:ascii="Times New Roman" w:hint="eastAsia"/>
                <w:sz w:val="24"/>
                <w:szCs w:val="24"/>
              </w:rPr>
            </w:pPr>
          </w:p>
        </w:tc>
        <w:tc>
          <w:tcPr>
            <w:tcW w:w="2648" w:type="dxa"/>
            <w:gridSpan w:val="4"/>
            <w:vAlign w:val="center"/>
          </w:tcPr>
          <w:p>
            <w:pPr>
              <w:pStyle w:val="a2"/>
              <w:ind w:firstLine="0" w:firstLineChars="0"/>
              <w:rPr>
                <w:rFonts w:ascii="Times New Roman" w:hint="eastAsia"/>
                <w:sz w:val="24"/>
                <w:szCs w:val="24"/>
              </w:rPr>
            </w:pPr>
            <w:r>
              <w:rPr>
                <w:rFonts w:ascii="Times New Roman"/>
                <w:sz w:val="24"/>
                <w:szCs w:val="24"/>
              </w:rPr>
              <w:t>差分反射率(dB)</w:t>
            </w:r>
          </w:p>
        </w:tc>
        <w:tc>
          <w:tcPr>
            <w:tcW w:w="3936" w:type="dxa"/>
            <w:vAlign w:val="center"/>
          </w:tcPr>
          <w:p>
            <w:pPr>
              <w:pStyle w:val="a2"/>
              <w:ind w:firstLine="0" w:firstLineChars="0"/>
              <w:rPr>
                <w:rFonts w:ascii="Times New Roman" w:hint="eastAsia"/>
                <w:sz w:val="24"/>
                <w:szCs w:val="24"/>
              </w:rPr>
            </w:pPr>
            <w:r>
              <w:rPr>
                <w:rFonts w:ascii="Times New Roman"/>
                <w:sz w:val="24"/>
                <w:szCs w:val="24"/>
              </w:rPr>
              <w:t>-7.9</w:t>
            </w:r>
            <w:r>
              <w:rPr>
                <w:rFonts w:ascii="Times New Roman" w:hint="eastAsia"/>
                <w:sz w:val="24"/>
                <w:szCs w:val="24"/>
              </w:rPr>
              <w:t>～</w:t>
            </w:r>
            <w:r>
              <w:rPr>
                <w:rFonts w:ascii="Times New Roman"/>
                <w:sz w:val="24"/>
                <w:szCs w:val="24"/>
              </w:rPr>
              <w:t>7.9</w:t>
            </w:r>
          </w:p>
        </w:tc>
      </w:tr>
      <w:tr>
        <w:tblPrEx>
          <w:tblW w:w="9002" w:type="dxa"/>
          <w:jc w:val="center"/>
          <w:tblLayout w:type="fixed"/>
          <w:tblCellMar>
            <w:top w:w="0" w:type="dxa"/>
            <w:left w:w="108" w:type="dxa"/>
            <w:bottom w:w="0" w:type="dxa"/>
            <w:right w:w="108" w:type="dxa"/>
          </w:tblCellMar>
          <w:tblLook w:val="0000"/>
        </w:tblPrEx>
        <w:trPr>
          <w:cantSplit/>
          <w:trHeight w:val="340"/>
          <w:jc w:val="center"/>
        </w:trPr>
        <w:tc>
          <w:tcPr>
            <w:tcW w:w="2418" w:type="dxa"/>
            <w:gridSpan w:val="6"/>
            <w:vMerge/>
            <w:vAlign w:val="center"/>
          </w:tcPr>
          <w:p>
            <w:pPr>
              <w:pStyle w:val="a2"/>
              <w:ind w:firstLine="0" w:firstLineChars="0"/>
              <w:rPr>
                <w:rFonts w:ascii="Times New Roman" w:hint="eastAsia"/>
                <w:sz w:val="24"/>
                <w:szCs w:val="24"/>
              </w:rPr>
            </w:pPr>
          </w:p>
        </w:tc>
        <w:tc>
          <w:tcPr>
            <w:tcW w:w="2648" w:type="dxa"/>
            <w:gridSpan w:val="4"/>
            <w:vAlign w:val="center"/>
          </w:tcPr>
          <w:p>
            <w:pPr>
              <w:pStyle w:val="a2"/>
              <w:ind w:firstLine="0" w:firstLineChars="0"/>
              <w:rPr>
                <w:rFonts w:ascii="Times New Roman" w:hint="eastAsia"/>
                <w:sz w:val="24"/>
                <w:szCs w:val="24"/>
              </w:rPr>
            </w:pPr>
            <w:r>
              <w:rPr>
                <w:rFonts w:ascii="Times New Roman"/>
                <w:sz w:val="24"/>
                <w:szCs w:val="24"/>
              </w:rPr>
              <w:t>相关系数</w:t>
            </w:r>
          </w:p>
        </w:tc>
        <w:tc>
          <w:tcPr>
            <w:tcW w:w="3936" w:type="dxa"/>
            <w:vAlign w:val="center"/>
          </w:tcPr>
          <w:p>
            <w:pPr>
              <w:pStyle w:val="a2"/>
              <w:ind w:firstLine="0" w:firstLineChars="0"/>
              <w:rPr>
                <w:rFonts w:ascii="Times New Roman" w:hint="eastAsia"/>
                <w:sz w:val="24"/>
                <w:szCs w:val="24"/>
              </w:rPr>
            </w:pPr>
            <w:r>
              <w:rPr>
                <w:rFonts w:ascii="Times New Roman"/>
                <w:sz w:val="24"/>
                <w:szCs w:val="24"/>
              </w:rPr>
              <w:t>0</w:t>
            </w:r>
            <w:r>
              <w:rPr>
                <w:rFonts w:ascii="Times New Roman" w:hint="eastAsia"/>
                <w:sz w:val="24"/>
                <w:szCs w:val="24"/>
              </w:rPr>
              <w:t>～</w:t>
            </w:r>
            <w:r>
              <w:rPr>
                <w:rFonts w:ascii="Times New Roman"/>
                <w:sz w:val="24"/>
                <w:szCs w:val="24"/>
              </w:rPr>
              <w:t>1.0</w:t>
            </w:r>
          </w:p>
        </w:tc>
      </w:tr>
      <w:tr>
        <w:tblPrEx>
          <w:tblW w:w="9002" w:type="dxa"/>
          <w:jc w:val="center"/>
          <w:tblLayout w:type="fixed"/>
          <w:tblCellMar>
            <w:top w:w="0" w:type="dxa"/>
            <w:left w:w="108" w:type="dxa"/>
            <w:bottom w:w="0" w:type="dxa"/>
            <w:right w:w="108" w:type="dxa"/>
          </w:tblCellMar>
          <w:tblLook w:val="0000"/>
        </w:tblPrEx>
        <w:trPr>
          <w:cantSplit/>
          <w:trHeight w:val="340"/>
          <w:jc w:val="center"/>
        </w:trPr>
        <w:tc>
          <w:tcPr>
            <w:tcW w:w="2418" w:type="dxa"/>
            <w:gridSpan w:val="6"/>
            <w:vMerge/>
            <w:vAlign w:val="center"/>
          </w:tcPr>
          <w:p>
            <w:pPr>
              <w:pStyle w:val="a2"/>
              <w:ind w:firstLine="0" w:firstLineChars="0"/>
              <w:rPr>
                <w:rFonts w:ascii="Times New Roman" w:hint="eastAsia"/>
                <w:sz w:val="24"/>
                <w:szCs w:val="24"/>
              </w:rPr>
            </w:pPr>
          </w:p>
        </w:tc>
        <w:tc>
          <w:tcPr>
            <w:tcW w:w="2648" w:type="dxa"/>
            <w:gridSpan w:val="4"/>
            <w:vAlign w:val="center"/>
          </w:tcPr>
          <w:p>
            <w:pPr>
              <w:pStyle w:val="a2"/>
              <w:ind w:firstLine="0" w:firstLineChars="0"/>
              <w:rPr>
                <w:rFonts w:ascii="Times New Roman" w:hint="eastAsia"/>
                <w:sz w:val="24"/>
                <w:szCs w:val="24"/>
              </w:rPr>
            </w:pPr>
            <w:r>
              <w:rPr>
                <w:rFonts w:ascii="Times New Roman"/>
                <w:sz w:val="24"/>
                <w:szCs w:val="24"/>
              </w:rPr>
              <w:t>差分传播相移(°)</w:t>
            </w:r>
          </w:p>
        </w:tc>
        <w:tc>
          <w:tcPr>
            <w:tcW w:w="3936" w:type="dxa"/>
            <w:vAlign w:val="center"/>
          </w:tcPr>
          <w:p>
            <w:pPr>
              <w:pStyle w:val="a2"/>
              <w:ind w:firstLine="0" w:firstLineChars="0"/>
              <w:rPr>
                <w:rFonts w:ascii="Times New Roman" w:hint="eastAsia"/>
                <w:sz w:val="24"/>
                <w:szCs w:val="24"/>
              </w:rPr>
            </w:pPr>
            <w:r>
              <w:rPr>
                <w:rFonts w:ascii="Times New Roman"/>
                <w:sz w:val="24"/>
                <w:szCs w:val="24"/>
              </w:rPr>
              <w:t>0</w:t>
            </w:r>
            <w:r>
              <w:rPr>
                <w:rFonts w:ascii="Times New Roman" w:hint="eastAsia"/>
                <w:sz w:val="24"/>
                <w:szCs w:val="24"/>
              </w:rPr>
              <w:t>～</w:t>
            </w:r>
            <w:r>
              <w:rPr>
                <w:rFonts w:ascii="Times New Roman"/>
                <w:sz w:val="24"/>
                <w:szCs w:val="24"/>
              </w:rPr>
              <w:t>360</w:t>
            </w:r>
          </w:p>
        </w:tc>
      </w:tr>
      <w:tr>
        <w:tblPrEx>
          <w:tblW w:w="9002" w:type="dxa"/>
          <w:jc w:val="center"/>
          <w:tblLayout w:type="fixed"/>
          <w:tblCellMar>
            <w:top w:w="0" w:type="dxa"/>
            <w:left w:w="108" w:type="dxa"/>
            <w:bottom w:w="0" w:type="dxa"/>
            <w:right w:w="108" w:type="dxa"/>
          </w:tblCellMar>
          <w:tblLook w:val="0000"/>
        </w:tblPrEx>
        <w:trPr>
          <w:cantSplit/>
          <w:trHeight w:val="340"/>
          <w:jc w:val="center"/>
        </w:trPr>
        <w:tc>
          <w:tcPr>
            <w:tcW w:w="2418" w:type="dxa"/>
            <w:gridSpan w:val="6"/>
            <w:vMerge/>
            <w:vAlign w:val="center"/>
          </w:tcPr>
          <w:p>
            <w:pPr>
              <w:pStyle w:val="a2"/>
              <w:ind w:firstLine="0" w:firstLineChars="0"/>
              <w:rPr>
                <w:rFonts w:ascii="Times New Roman" w:hint="eastAsia"/>
                <w:sz w:val="24"/>
                <w:szCs w:val="24"/>
              </w:rPr>
            </w:pPr>
          </w:p>
        </w:tc>
        <w:tc>
          <w:tcPr>
            <w:tcW w:w="2648" w:type="dxa"/>
            <w:gridSpan w:val="4"/>
            <w:vAlign w:val="center"/>
          </w:tcPr>
          <w:p>
            <w:pPr>
              <w:pStyle w:val="a2"/>
              <w:ind w:firstLine="0" w:firstLineChars="0"/>
              <w:rPr>
                <w:rFonts w:ascii="Times New Roman" w:hint="eastAsia"/>
                <w:sz w:val="24"/>
                <w:szCs w:val="24"/>
              </w:rPr>
            </w:pPr>
            <w:r>
              <w:rPr>
                <w:rFonts w:ascii="Times New Roman"/>
                <w:sz w:val="24"/>
                <w:szCs w:val="24"/>
              </w:rPr>
              <w:t>差分传播相移率(°/km)</w:t>
            </w:r>
          </w:p>
        </w:tc>
        <w:tc>
          <w:tcPr>
            <w:tcW w:w="3936" w:type="dxa"/>
            <w:vAlign w:val="center"/>
          </w:tcPr>
          <w:p>
            <w:pPr>
              <w:pStyle w:val="a2"/>
              <w:ind w:firstLine="0" w:firstLineChars="0"/>
              <w:rPr>
                <w:rFonts w:ascii="Times New Roman" w:hint="eastAsia"/>
                <w:sz w:val="24"/>
                <w:szCs w:val="24"/>
              </w:rPr>
            </w:pPr>
            <w:r>
              <w:rPr>
                <w:rFonts w:ascii="Times New Roman"/>
                <w:sz w:val="24"/>
                <w:szCs w:val="24"/>
              </w:rPr>
              <w:t>-2</w:t>
            </w:r>
            <w:r>
              <w:rPr>
                <w:rFonts w:ascii="Times New Roman" w:hint="eastAsia"/>
                <w:sz w:val="24"/>
                <w:szCs w:val="24"/>
              </w:rPr>
              <w:t>～</w:t>
            </w:r>
            <w:r>
              <w:rPr>
                <w:rFonts w:ascii="Times New Roman"/>
                <w:sz w:val="24"/>
                <w:szCs w:val="24"/>
              </w:rPr>
              <w:t>10</w:t>
            </w:r>
          </w:p>
        </w:tc>
      </w:tr>
      <w:tr>
        <w:tblPrEx>
          <w:tblW w:w="9002" w:type="dxa"/>
          <w:jc w:val="center"/>
          <w:tblLayout w:type="fixed"/>
          <w:tblCellMar>
            <w:top w:w="0" w:type="dxa"/>
            <w:left w:w="108" w:type="dxa"/>
            <w:bottom w:w="0" w:type="dxa"/>
            <w:right w:w="108" w:type="dxa"/>
          </w:tblCellMar>
          <w:tblLook w:val="0000"/>
        </w:tblPrEx>
        <w:trPr>
          <w:cantSplit/>
          <w:trHeight w:val="340"/>
          <w:jc w:val="center"/>
        </w:trPr>
        <w:tc>
          <w:tcPr>
            <w:tcW w:w="2418" w:type="dxa"/>
            <w:gridSpan w:val="6"/>
            <w:vMerge/>
            <w:vAlign w:val="center"/>
          </w:tcPr>
          <w:p>
            <w:pPr>
              <w:pStyle w:val="a2"/>
              <w:ind w:firstLine="0" w:firstLineChars="0"/>
              <w:rPr>
                <w:rFonts w:ascii="Times New Roman" w:hint="eastAsia"/>
                <w:sz w:val="24"/>
                <w:szCs w:val="24"/>
              </w:rPr>
            </w:pPr>
          </w:p>
        </w:tc>
        <w:tc>
          <w:tcPr>
            <w:tcW w:w="2648" w:type="dxa"/>
            <w:gridSpan w:val="4"/>
            <w:vAlign w:val="center"/>
          </w:tcPr>
          <w:p>
            <w:pPr>
              <w:pStyle w:val="a2"/>
              <w:ind w:firstLine="0" w:firstLineChars="0"/>
              <w:rPr>
                <w:rFonts w:ascii="Times New Roman" w:hint="eastAsia"/>
                <w:sz w:val="24"/>
                <w:szCs w:val="24"/>
              </w:rPr>
            </w:pPr>
            <w:r>
              <w:rPr>
                <w:rFonts w:ascii="Times New Roman"/>
                <w:sz w:val="24"/>
                <w:szCs w:val="24"/>
              </w:rPr>
              <w:t>退偏振比(dB)</w:t>
            </w:r>
          </w:p>
        </w:tc>
        <w:tc>
          <w:tcPr>
            <w:tcW w:w="3936" w:type="dxa"/>
            <w:vAlign w:val="center"/>
          </w:tcPr>
          <w:p>
            <w:pPr>
              <w:pStyle w:val="a2"/>
              <w:ind w:firstLine="0" w:firstLineChars="0"/>
              <w:rPr>
                <w:rFonts w:ascii="Times New Roman" w:hint="eastAsia"/>
                <w:sz w:val="24"/>
                <w:szCs w:val="24"/>
              </w:rPr>
            </w:pPr>
            <w:r>
              <w:rPr>
                <w:rFonts w:ascii="Times New Roman"/>
                <w:sz w:val="24"/>
                <w:szCs w:val="24"/>
              </w:rPr>
              <w:t>-44</w:t>
            </w:r>
            <w:r>
              <w:rPr>
                <w:rFonts w:ascii="Times New Roman" w:hint="eastAsia"/>
                <w:sz w:val="24"/>
                <w:szCs w:val="24"/>
              </w:rPr>
              <w:t>～</w:t>
            </w:r>
            <w:r>
              <w:rPr>
                <w:rFonts w:ascii="Times New Roman"/>
                <w:sz w:val="24"/>
                <w:szCs w:val="24"/>
              </w:rPr>
              <w:t>6</w:t>
            </w:r>
          </w:p>
        </w:tc>
      </w:tr>
      <w:tr>
        <w:tblPrEx>
          <w:tblW w:w="9002" w:type="dxa"/>
          <w:jc w:val="center"/>
          <w:tblLayout w:type="fixed"/>
          <w:tblCellMar>
            <w:top w:w="0" w:type="dxa"/>
            <w:left w:w="108" w:type="dxa"/>
            <w:bottom w:w="0" w:type="dxa"/>
            <w:right w:w="108" w:type="dxa"/>
          </w:tblCellMar>
          <w:tblLook w:val="0000"/>
        </w:tblPrEx>
        <w:trPr>
          <w:cantSplit/>
          <w:trHeight w:val="340"/>
          <w:jc w:val="center"/>
        </w:trPr>
        <w:tc>
          <w:tcPr>
            <w:tcW w:w="2418" w:type="dxa"/>
            <w:gridSpan w:val="6"/>
            <w:vMerge w:val="restart"/>
            <w:vAlign w:val="center"/>
          </w:tcPr>
          <w:p>
            <w:pPr>
              <w:pStyle w:val="a2"/>
              <w:ind w:firstLine="0" w:firstLineChars="0"/>
              <w:rPr>
                <w:rFonts w:ascii="Times New Roman"/>
                <w:sz w:val="24"/>
                <w:szCs w:val="24"/>
              </w:rPr>
            </w:pPr>
            <w:r>
              <w:rPr>
                <w:rFonts w:ascii="Times New Roman" w:hint="eastAsia"/>
                <w:sz w:val="24"/>
                <w:szCs w:val="24"/>
              </w:rPr>
              <w:t>可靠性</w:t>
            </w:r>
          </w:p>
        </w:tc>
        <w:tc>
          <w:tcPr>
            <w:tcW w:w="2648" w:type="dxa"/>
            <w:gridSpan w:val="4"/>
            <w:vAlign w:val="center"/>
          </w:tcPr>
          <w:p>
            <w:pPr>
              <w:pStyle w:val="a2"/>
              <w:ind w:firstLine="0" w:firstLineChars="0"/>
              <w:rPr>
                <w:rFonts w:ascii="Times New Roman"/>
                <w:sz w:val="24"/>
                <w:szCs w:val="24"/>
              </w:rPr>
            </w:pPr>
            <w:r>
              <w:rPr>
                <w:rFonts w:ascii="Times New Roman" w:hint="eastAsia"/>
                <w:sz w:val="24"/>
                <w:szCs w:val="24"/>
              </w:rPr>
              <w:t>MTBF(h)</w:t>
            </w:r>
          </w:p>
        </w:tc>
        <w:tc>
          <w:tcPr>
            <w:tcW w:w="3936" w:type="dxa"/>
            <w:vAlign w:val="center"/>
          </w:tcPr>
          <w:p>
            <w:pPr>
              <w:pStyle w:val="a2"/>
              <w:ind w:firstLine="0" w:firstLineChars="0"/>
              <w:rPr>
                <w:rFonts w:ascii="Times New Roman"/>
                <w:sz w:val="24"/>
                <w:szCs w:val="24"/>
              </w:rPr>
            </w:pPr>
            <w:r>
              <w:rPr>
                <w:rFonts w:ascii="Times New Roman" w:hint="eastAsia"/>
                <w:sz w:val="24"/>
                <w:szCs w:val="24"/>
              </w:rPr>
              <w:t>≥</w:t>
            </w:r>
            <w:r>
              <w:rPr>
                <w:rFonts w:ascii="Times New Roman" w:hint="eastAsia"/>
                <w:sz w:val="24"/>
                <w:szCs w:val="24"/>
              </w:rPr>
              <w:t>1500</w:t>
            </w:r>
          </w:p>
        </w:tc>
      </w:tr>
      <w:tr>
        <w:tblPrEx>
          <w:tblW w:w="9002" w:type="dxa"/>
          <w:jc w:val="center"/>
          <w:tblLayout w:type="fixed"/>
          <w:tblCellMar>
            <w:top w:w="0" w:type="dxa"/>
            <w:left w:w="108" w:type="dxa"/>
            <w:bottom w:w="0" w:type="dxa"/>
            <w:right w:w="108" w:type="dxa"/>
          </w:tblCellMar>
          <w:tblLook w:val="0000"/>
        </w:tblPrEx>
        <w:trPr>
          <w:cantSplit/>
          <w:trHeight w:val="340"/>
          <w:jc w:val="center"/>
        </w:trPr>
        <w:tc>
          <w:tcPr>
            <w:tcW w:w="2418" w:type="dxa"/>
            <w:gridSpan w:val="6"/>
            <w:vMerge/>
            <w:vAlign w:val="center"/>
          </w:tcPr>
          <w:p>
            <w:pPr>
              <w:pStyle w:val="a2"/>
              <w:ind w:firstLine="0" w:firstLineChars="0"/>
              <w:rPr>
                <w:rFonts w:ascii="Times New Roman" w:hint="eastAsia"/>
                <w:sz w:val="24"/>
                <w:szCs w:val="24"/>
              </w:rPr>
            </w:pPr>
          </w:p>
        </w:tc>
        <w:tc>
          <w:tcPr>
            <w:tcW w:w="2648" w:type="dxa"/>
            <w:gridSpan w:val="4"/>
            <w:vAlign w:val="center"/>
          </w:tcPr>
          <w:p>
            <w:pPr>
              <w:pStyle w:val="a2"/>
              <w:ind w:firstLine="0" w:firstLineChars="0"/>
              <w:rPr>
                <w:rFonts w:ascii="Times New Roman"/>
                <w:sz w:val="24"/>
                <w:szCs w:val="24"/>
              </w:rPr>
            </w:pPr>
            <w:r>
              <w:rPr>
                <w:rFonts w:ascii="Times New Roman"/>
                <w:sz w:val="24"/>
                <w:szCs w:val="24"/>
              </w:rPr>
              <w:t>方位齿轮轴承(a)</w:t>
            </w:r>
          </w:p>
        </w:tc>
        <w:tc>
          <w:tcPr>
            <w:tcW w:w="3936" w:type="dxa"/>
            <w:vAlign w:val="center"/>
          </w:tcPr>
          <w:p>
            <w:pPr>
              <w:pStyle w:val="a2"/>
              <w:ind w:firstLine="0" w:firstLineChars="0"/>
              <w:rPr>
                <w:rFonts w:ascii="Times New Roman"/>
                <w:sz w:val="24"/>
                <w:szCs w:val="24"/>
              </w:rPr>
            </w:pPr>
            <w:r>
              <w:rPr>
                <w:rFonts w:ascii="Times New Roman"/>
                <w:sz w:val="24"/>
                <w:szCs w:val="24"/>
              </w:rPr>
              <w:t>≥10</w:t>
            </w:r>
          </w:p>
        </w:tc>
      </w:tr>
      <w:tr>
        <w:tblPrEx>
          <w:tblW w:w="9002" w:type="dxa"/>
          <w:jc w:val="center"/>
          <w:tblLayout w:type="fixed"/>
          <w:tblCellMar>
            <w:top w:w="0" w:type="dxa"/>
            <w:left w:w="108" w:type="dxa"/>
            <w:bottom w:w="0" w:type="dxa"/>
            <w:right w:w="108" w:type="dxa"/>
          </w:tblCellMar>
          <w:tblLook w:val="0000"/>
        </w:tblPrEx>
        <w:trPr>
          <w:cantSplit/>
          <w:trHeight w:val="340"/>
          <w:jc w:val="center"/>
        </w:trPr>
        <w:tc>
          <w:tcPr>
            <w:tcW w:w="2418" w:type="dxa"/>
            <w:gridSpan w:val="6"/>
            <w:vMerge/>
            <w:vAlign w:val="center"/>
          </w:tcPr>
          <w:p>
            <w:pPr>
              <w:pStyle w:val="a2"/>
              <w:ind w:firstLine="0" w:firstLineChars="0"/>
              <w:rPr>
                <w:rFonts w:ascii="Times New Roman"/>
                <w:sz w:val="24"/>
                <w:szCs w:val="24"/>
              </w:rPr>
            </w:pPr>
          </w:p>
        </w:tc>
        <w:tc>
          <w:tcPr>
            <w:tcW w:w="2648" w:type="dxa"/>
            <w:gridSpan w:val="4"/>
            <w:vAlign w:val="center"/>
          </w:tcPr>
          <w:p>
            <w:pPr>
              <w:pStyle w:val="a2"/>
              <w:ind w:firstLine="0" w:firstLineChars="0"/>
              <w:rPr>
                <w:rFonts w:ascii="Times New Roman"/>
                <w:sz w:val="24"/>
                <w:szCs w:val="24"/>
              </w:rPr>
            </w:pPr>
            <w:r>
              <w:rPr>
                <w:rFonts w:ascii="Times New Roman"/>
                <w:sz w:val="24"/>
                <w:szCs w:val="24"/>
              </w:rPr>
              <w:t>俯仰齿轮轴承(a)</w:t>
            </w:r>
          </w:p>
        </w:tc>
        <w:tc>
          <w:tcPr>
            <w:tcW w:w="3936" w:type="dxa"/>
            <w:vAlign w:val="center"/>
          </w:tcPr>
          <w:p>
            <w:pPr>
              <w:pStyle w:val="a2"/>
              <w:ind w:firstLine="0" w:firstLineChars="0"/>
              <w:rPr>
                <w:rFonts w:ascii="Times New Roman"/>
                <w:sz w:val="24"/>
                <w:szCs w:val="24"/>
              </w:rPr>
            </w:pPr>
            <w:r>
              <w:rPr>
                <w:rFonts w:ascii="Times New Roman"/>
                <w:sz w:val="24"/>
                <w:szCs w:val="24"/>
              </w:rPr>
              <w:t>≥10</w:t>
            </w:r>
          </w:p>
        </w:tc>
      </w:tr>
      <w:tr>
        <w:tblPrEx>
          <w:tblW w:w="9002" w:type="dxa"/>
          <w:jc w:val="center"/>
          <w:tblLayout w:type="fixed"/>
          <w:tblCellMar>
            <w:top w:w="0" w:type="dxa"/>
            <w:left w:w="108" w:type="dxa"/>
            <w:bottom w:w="0" w:type="dxa"/>
            <w:right w:w="108" w:type="dxa"/>
          </w:tblCellMar>
          <w:tblLook w:val="0000"/>
        </w:tblPrEx>
        <w:trPr>
          <w:cantSplit/>
          <w:trHeight w:val="340"/>
          <w:jc w:val="center"/>
        </w:trPr>
        <w:tc>
          <w:tcPr>
            <w:tcW w:w="2418" w:type="dxa"/>
            <w:gridSpan w:val="6"/>
            <w:vMerge/>
            <w:vAlign w:val="center"/>
          </w:tcPr>
          <w:p>
            <w:pPr>
              <w:pStyle w:val="a2"/>
              <w:ind w:firstLine="0" w:firstLineChars="0"/>
              <w:rPr>
                <w:rFonts w:ascii="Times New Roman"/>
                <w:sz w:val="24"/>
                <w:szCs w:val="24"/>
              </w:rPr>
            </w:pPr>
          </w:p>
        </w:tc>
        <w:tc>
          <w:tcPr>
            <w:tcW w:w="2648" w:type="dxa"/>
            <w:gridSpan w:val="4"/>
            <w:vAlign w:val="center"/>
          </w:tcPr>
          <w:p>
            <w:pPr>
              <w:pStyle w:val="a2"/>
              <w:ind w:firstLine="0" w:firstLineChars="0"/>
              <w:rPr>
                <w:rFonts w:ascii="Times New Roman"/>
                <w:sz w:val="24"/>
                <w:szCs w:val="24"/>
              </w:rPr>
            </w:pPr>
            <w:r>
              <w:rPr>
                <w:rFonts w:ascii="Times New Roman"/>
                <w:sz w:val="24"/>
                <w:szCs w:val="24"/>
              </w:rPr>
              <w:t>汇流环(a)</w:t>
            </w:r>
          </w:p>
        </w:tc>
        <w:tc>
          <w:tcPr>
            <w:tcW w:w="3936" w:type="dxa"/>
            <w:vAlign w:val="center"/>
          </w:tcPr>
          <w:p>
            <w:pPr>
              <w:pStyle w:val="a2"/>
              <w:ind w:firstLine="0" w:firstLineChars="0"/>
              <w:rPr>
                <w:rFonts w:ascii="Times New Roman"/>
                <w:sz w:val="24"/>
                <w:szCs w:val="24"/>
              </w:rPr>
            </w:pPr>
            <w:r>
              <w:rPr>
                <w:rFonts w:ascii="Times New Roman"/>
                <w:sz w:val="24"/>
                <w:szCs w:val="24"/>
              </w:rPr>
              <w:t>≥8</w:t>
            </w:r>
          </w:p>
        </w:tc>
      </w:tr>
      <w:tr>
        <w:tblPrEx>
          <w:tblW w:w="9002" w:type="dxa"/>
          <w:jc w:val="center"/>
          <w:tblLayout w:type="fixed"/>
          <w:tblCellMar>
            <w:top w:w="0" w:type="dxa"/>
            <w:left w:w="108" w:type="dxa"/>
            <w:bottom w:w="0" w:type="dxa"/>
            <w:right w:w="108" w:type="dxa"/>
          </w:tblCellMar>
          <w:tblLook w:val="0000"/>
        </w:tblPrEx>
        <w:trPr>
          <w:cantSplit/>
          <w:trHeight w:val="340"/>
          <w:jc w:val="center"/>
        </w:trPr>
        <w:tc>
          <w:tcPr>
            <w:tcW w:w="2418" w:type="dxa"/>
            <w:gridSpan w:val="6"/>
            <w:vMerge/>
            <w:vAlign w:val="center"/>
          </w:tcPr>
          <w:p>
            <w:pPr>
              <w:pStyle w:val="a2"/>
              <w:ind w:firstLine="0" w:firstLineChars="0"/>
              <w:rPr>
                <w:rFonts w:ascii="Times New Roman"/>
                <w:sz w:val="24"/>
                <w:szCs w:val="24"/>
              </w:rPr>
            </w:pPr>
          </w:p>
        </w:tc>
        <w:tc>
          <w:tcPr>
            <w:tcW w:w="2648" w:type="dxa"/>
            <w:gridSpan w:val="4"/>
            <w:vAlign w:val="center"/>
          </w:tcPr>
          <w:p>
            <w:pPr>
              <w:pStyle w:val="a2"/>
              <w:ind w:firstLine="0" w:firstLineChars="0"/>
              <w:rPr>
                <w:rFonts w:ascii="Times New Roman"/>
                <w:sz w:val="24"/>
                <w:szCs w:val="24"/>
              </w:rPr>
            </w:pPr>
            <w:r>
              <w:rPr>
                <w:rFonts w:ascii="Times New Roman"/>
                <w:sz w:val="24"/>
                <w:szCs w:val="24"/>
              </w:rPr>
              <w:t>速调管(h)</w:t>
            </w:r>
          </w:p>
        </w:tc>
        <w:tc>
          <w:tcPr>
            <w:tcW w:w="3936" w:type="dxa"/>
            <w:vAlign w:val="center"/>
          </w:tcPr>
          <w:p>
            <w:pPr>
              <w:pStyle w:val="a2"/>
              <w:ind w:firstLine="0" w:firstLineChars="0"/>
              <w:rPr>
                <w:rFonts w:ascii="Times New Roman"/>
                <w:sz w:val="24"/>
                <w:szCs w:val="24"/>
              </w:rPr>
            </w:pPr>
            <w:r>
              <w:rPr>
                <w:rFonts w:ascii="Times New Roman" w:hint="eastAsia"/>
                <w:sz w:val="24"/>
                <w:szCs w:val="24"/>
              </w:rPr>
              <w:t>≥</w:t>
            </w:r>
            <w:r>
              <w:rPr>
                <w:rFonts w:ascii="Times New Roman" w:hint="eastAsia"/>
                <w:sz w:val="24"/>
                <w:szCs w:val="24"/>
              </w:rPr>
              <w:t>15000</w:t>
            </w:r>
          </w:p>
        </w:tc>
      </w:tr>
      <w:tr>
        <w:tblPrEx>
          <w:tblW w:w="9002" w:type="dxa"/>
          <w:jc w:val="center"/>
          <w:tblLayout w:type="fixed"/>
          <w:tblCellMar>
            <w:top w:w="0" w:type="dxa"/>
            <w:left w:w="108" w:type="dxa"/>
            <w:bottom w:w="0" w:type="dxa"/>
            <w:right w:w="108" w:type="dxa"/>
          </w:tblCellMar>
          <w:tblLook w:val="0000"/>
        </w:tblPrEx>
        <w:trPr>
          <w:cantSplit/>
          <w:trHeight w:val="340"/>
          <w:jc w:val="center"/>
        </w:trPr>
        <w:tc>
          <w:tcPr>
            <w:tcW w:w="5066" w:type="dxa"/>
            <w:gridSpan w:val="10"/>
            <w:vAlign w:val="center"/>
          </w:tcPr>
          <w:p>
            <w:pPr>
              <w:pStyle w:val="a2"/>
              <w:ind w:firstLine="0" w:firstLineChars="0"/>
              <w:rPr>
                <w:rFonts w:ascii="Times New Roman"/>
                <w:sz w:val="24"/>
                <w:szCs w:val="24"/>
              </w:rPr>
            </w:pPr>
            <w:r>
              <w:rPr>
                <w:rFonts w:ascii="Times New Roman"/>
                <w:sz w:val="24"/>
                <w:szCs w:val="24"/>
              </w:rPr>
              <w:t>功耗(kW)</w:t>
            </w:r>
          </w:p>
        </w:tc>
        <w:tc>
          <w:tcPr>
            <w:tcW w:w="3936" w:type="dxa"/>
            <w:vAlign w:val="center"/>
          </w:tcPr>
          <w:p>
            <w:pPr>
              <w:pStyle w:val="a2"/>
              <w:ind w:firstLine="0" w:firstLineChars="0"/>
              <w:rPr>
                <w:rFonts w:ascii="Times New Roman"/>
                <w:sz w:val="24"/>
                <w:szCs w:val="24"/>
              </w:rPr>
            </w:pPr>
            <w:r>
              <w:rPr>
                <w:rFonts w:ascii="Times New Roman" w:hint="eastAsia"/>
                <w:sz w:val="24"/>
                <w:szCs w:val="24"/>
              </w:rPr>
              <w:t>≤</w:t>
            </w:r>
            <w:r>
              <w:rPr>
                <w:rFonts w:ascii="Times New Roman" w:hint="eastAsia"/>
                <w:sz w:val="24"/>
                <w:szCs w:val="24"/>
              </w:rPr>
              <w:t>5</w:t>
            </w:r>
            <w:r>
              <w:rPr>
                <w:rFonts w:ascii="Times New Roman"/>
                <w:sz w:val="24"/>
                <w:szCs w:val="24"/>
              </w:rPr>
              <w:t>0</w:t>
            </w:r>
          </w:p>
        </w:tc>
      </w:tr>
      <w:tr>
        <w:tblPrEx>
          <w:tblW w:w="9002" w:type="dxa"/>
          <w:jc w:val="center"/>
          <w:tblLayout w:type="fixed"/>
          <w:tblCellMar>
            <w:top w:w="0" w:type="dxa"/>
            <w:left w:w="108" w:type="dxa"/>
            <w:bottom w:w="0" w:type="dxa"/>
            <w:right w:w="108" w:type="dxa"/>
          </w:tblCellMar>
          <w:tblLook w:val="0000"/>
        </w:tblPrEx>
        <w:trPr>
          <w:cantSplit/>
          <w:trHeight w:val="340"/>
          <w:jc w:val="center"/>
        </w:trPr>
        <w:tc>
          <w:tcPr>
            <w:tcW w:w="2418" w:type="dxa"/>
            <w:gridSpan w:val="6"/>
            <w:vAlign w:val="center"/>
          </w:tcPr>
          <w:p>
            <w:pPr>
              <w:pStyle w:val="a2"/>
              <w:ind w:firstLine="0" w:firstLineChars="0"/>
              <w:rPr>
                <w:rFonts w:ascii="Times New Roman"/>
                <w:sz w:val="24"/>
                <w:szCs w:val="24"/>
              </w:rPr>
            </w:pPr>
            <w:r>
              <w:rPr>
                <w:rFonts w:ascii="Times New Roman" w:hint="eastAsia"/>
                <w:sz w:val="24"/>
                <w:szCs w:val="24"/>
              </w:rPr>
              <w:t>输出参数</w:t>
            </w:r>
          </w:p>
        </w:tc>
        <w:tc>
          <w:tcPr>
            <w:tcW w:w="6584" w:type="dxa"/>
            <w:gridSpan w:val="5"/>
            <w:vAlign w:val="center"/>
          </w:tcPr>
          <w:p>
            <w:pPr>
              <w:pStyle w:val="a2"/>
              <w:ind w:firstLine="0" w:firstLineChars="0"/>
              <w:rPr>
                <w:rFonts w:ascii="Times New Roman"/>
                <w:sz w:val="24"/>
                <w:szCs w:val="24"/>
              </w:rPr>
            </w:pPr>
            <w:r>
              <w:rPr>
                <w:rFonts w:ascii="Times New Roman" w:hint="eastAsia"/>
                <w:sz w:val="24"/>
                <w:szCs w:val="24"/>
              </w:rPr>
              <w:t>Z、V、W、ZDR、</w:t>
            </w:r>
            <w:r>
              <w:rPr>
                <w:rFonts w:ascii="Times New Roman"/>
                <w:sz w:val="24"/>
                <w:szCs w:val="24"/>
              </w:rPr>
              <w:t>ΦDP</w:t>
            </w:r>
            <w:r>
              <w:rPr>
                <w:rFonts w:ascii="Times New Roman" w:hint="eastAsia"/>
                <w:sz w:val="24"/>
                <w:szCs w:val="24"/>
              </w:rPr>
              <w:t>、KDP、</w:t>
            </w:r>
            <w:r>
              <w:rPr>
                <w:rFonts w:ascii="Times New Roman" w:hint="eastAsia"/>
                <w:sz w:val="24"/>
                <w:szCs w:val="24"/>
              </w:rPr>
              <w:t>ρ</w:t>
            </w:r>
            <w:r>
              <w:rPr>
                <w:rFonts w:ascii="Times New Roman" w:hint="eastAsia"/>
                <w:sz w:val="24"/>
                <w:szCs w:val="24"/>
              </w:rPr>
              <w:t>HV、LDR、 S</w:t>
            </w:r>
            <w:r>
              <w:rPr>
                <w:rFonts w:ascii="Times New Roman"/>
                <w:sz w:val="24"/>
                <w:szCs w:val="24"/>
              </w:rPr>
              <w:t>NR</w:t>
            </w:r>
          </w:p>
        </w:tc>
      </w:tr>
      <w:tr>
        <w:tblPrEx>
          <w:tblW w:w="9002" w:type="dxa"/>
          <w:jc w:val="center"/>
          <w:tblLayout w:type="fixed"/>
          <w:tblCellMar>
            <w:top w:w="0" w:type="dxa"/>
            <w:left w:w="108" w:type="dxa"/>
            <w:bottom w:w="0" w:type="dxa"/>
            <w:right w:w="108" w:type="dxa"/>
          </w:tblCellMar>
          <w:tblLook w:val="0000"/>
        </w:tblPrEx>
        <w:trPr>
          <w:cantSplit/>
          <w:jc w:val="center"/>
        </w:trPr>
        <w:tc>
          <w:tcPr>
            <w:tcW w:w="9002" w:type="dxa"/>
            <w:gridSpan w:val="11"/>
            <w:vAlign w:val="center"/>
          </w:tcPr>
          <w:p>
            <w:pPr>
              <w:pStyle w:val="a2"/>
              <w:ind w:firstLine="0" w:firstLineChars="0"/>
              <w:rPr>
                <w:rFonts w:ascii="Times New Roman"/>
                <w:sz w:val="24"/>
                <w:szCs w:val="24"/>
              </w:rPr>
            </w:pPr>
            <w:r>
              <w:rPr>
                <w:rFonts w:ascii="Times New Roman"/>
                <w:b/>
                <w:sz w:val="24"/>
                <w:szCs w:val="24"/>
              </w:rPr>
              <w:t>天线罩</w:t>
            </w:r>
            <w:r>
              <w:rPr>
                <w:rFonts w:ascii="Times New Roman" w:hint="eastAsia"/>
                <w:b/>
                <w:sz w:val="24"/>
                <w:szCs w:val="24"/>
              </w:rPr>
              <w:t>技术指标</w:t>
            </w:r>
          </w:p>
        </w:tc>
      </w:tr>
      <w:tr>
        <w:tblPrEx>
          <w:tblW w:w="9002" w:type="dxa"/>
          <w:jc w:val="center"/>
          <w:tblLayout w:type="fixed"/>
          <w:tblCellMar>
            <w:top w:w="0" w:type="dxa"/>
            <w:left w:w="108" w:type="dxa"/>
            <w:bottom w:w="0" w:type="dxa"/>
            <w:right w:w="108" w:type="dxa"/>
          </w:tblCellMar>
          <w:tblLook w:val="0000"/>
        </w:tblPrEx>
        <w:trPr>
          <w:cantSplit/>
          <w:jc w:val="center"/>
        </w:trPr>
        <w:tc>
          <w:tcPr>
            <w:tcW w:w="5066" w:type="dxa"/>
            <w:gridSpan w:val="10"/>
            <w:vAlign w:val="center"/>
          </w:tcPr>
          <w:p>
            <w:pPr>
              <w:pStyle w:val="a2"/>
              <w:ind w:firstLine="0" w:firstLineChars="0"/>
              <w:rPr>
                <w:rFonts w:ascii="Times New Roman"/>
                <w:sz w:val="24"/>
                <w:szCs w:val="24"/>
              </w:rPr>
            </w:pPr>
            <w:r>
              <w:rPr>
                <w:rFonts w:ascii="Times New Roman"/>
                <w:sz w:val="24"/>
                <w:szCs w:val="24"/>
              </w:rPr>
              <w:t>天线罩直径(m)</w:t>
            </w:r>
          </w:p>
        </w:tc>
        <w:tc>
          <w:tcPr>
            <w:tcW w:w="3936" w:type="dxa"/>
            <w:vAlign w:val="center"/>
          </w:tcPr>
          <w:p>
            <w:pPr>
              <w:pStyle w:val="a2"/>
              <w:ind w:firstLine="0" w:firstLineChars="0"/>
              <w:rPr>
                <w:rFonts w:ascii="Times New Roman"/>
                <w:sz w:val="24"/>
                <w:szCs w:val="24"/>
              </w:rPr>
            </w:pPr>
            <w:r>
              <w:rPr>
                <w:rFonts w:ascii="Times New Roman" w:eastAsia="宋体"/>
                <w:sz w:val="24"/>
                <w:szCs w:val="24"/>
              </w:rPr>
              <w:t>≥7.2</w:t>
            </w:r>
          </w:p>
        </w:tc>
      </w:tr>
      <w:tr>
        <w:tblPrEx>
          <w:tblW w:w="9002" w:type="dxa"/>
          <w:jc w:val="center"/>
          <w:tblLayout w:type="fixed"/>
          <w:tblCellMar>
            <w:top w:w="0" w:type="dxa"/>
            <w:left w:w="108" w:type="dxa"/>
            <w:bottom w:w="0" w:type="dxa"/>
            <w:right w:w="108" w:type="dxa"/>
          </w:tblCellMar>
          <w:tblLook w:val="0000"/>
        </w:tblPrEx>
        <w:trPr>
          <w:cantSplit/>
          <w:trHeight w:val="210"/>
          <w:jc w:val="center"/>
        </w:trPr>
        <w:tc>
          <w:tcPr>
            <w:tcW w:w="2418" w:type="dxa"/>
            <w:gridSpan w:val="6"/>
            <w:vMerge w:val="restart"/>
            <w:vAlign w:val="center"/>
          </w:tcPr>
          <w:p>
            <w:pPr>
              <w:pStyle w:val="a2"/>
              <w:ind w:firstLine="0" w:firstLineChars="0"/>
              <w:rPr>
                <w:rFonts w:ascii="Times New Roman"/>
                <w:sz w:val="24"/>
                <w:szCs w:val="24"/>
              </w:rPr>
            </w:pPr>
            <w:r>
              <w:rPr>
                <w:rFonts w:ascii="Times New Roman"/>
                <w:color w:val="FF0000"/>
                <w:sz w:val="24"/>
                <w:szCs w:val="24"/>
              </w:rPr>
              <w:t>#</w:t>
            </w:r>
            <w:r>
              <w:rPr>
                <w:rFonts w:ascii="Times New Roman"/>
                <w:sz w:val="24"/>
                <w:szCs w:val="24"/>
              </w:rPr>
              <w:t>引入波束偏差(°)</w:t>
            </w:r>
          </w:p>
        </w:tc>
        <w:tc>
          <w:tcPr>
            <w:tcW w:w="2648" w:type="dxa"/>
            <w:gridSpan w:val="4"/>
            <w:vAlign w:val="center"/>
          </w:tcPr>
          <w:p>
            <w:pPr>
              <w:pStyle w:val="a2"/>
              <w:ind w:firstLine="0" w:firstLineChars="0"/>
              <w:rPr>
                <w:rFonts w:ascii="Times New Roman"/>
                <w:sz w:val="24"/>
                <w:szCs w:val="24"/>
              </w:rPr>
            </w:pPr>
            <w:r>
              <w:rPr>
                <w:rFonts w:ascii="Times New Roman"/>
                <w:sz w:val="24"/>
                <w:szCs w:val="24"/>
              </w:rPr>
              <w:t>水平</w:t>
            </w:r>
          </w:p>
        </w:tc>
        <w:tc>
          <w:tcPr>
            <w:tcW w:w="3936" w:type="dxa"/>
            <w:vMerge w:val="restart"/>
            <w:vAlign w:val="center"/>
          </w:tcPr>
          <w:p>
            <w:pPr>
              <w:pStyle w:val="a2"/>
              <w:ind w:firstLine="0" w:firstLineChars="0"/>
              <w:rPr>
                <w:rFonts w:ascii="Times New Roman"/>
                <w:sz w:val="24"/>
                <w:szCs w:val="24"/>
              </w:rPr>
            </w:pPr>
            <w:r>
              <w:rPr>
                <w:rFonts w:ascii="Times New Roman"/>
                <w:sz w:val="24"/>
                <w:szCs w:val="24"/>
              </w:rPr>
              <w:t>≤0.03</w:t>
            </w:r>
          </w:p>
        </w:tc>
      </w:tr>
      <w:tr>
        <w:tblPrEx>
          <w:tblW w:w="9002" w:type="dxa"/>
          <w:jc w:val="center"/>
          <w:tblLayout w:type="fixed"/>
          <w:tblCellMar>
            <w:top w:w="0" w:type="dxa"/>
            <w:left w:w="108" w:type="dxa"/>
            <w:bottom w:w="0" w:type="dxa"/>
            <w:right w:w="108" w:type="dxa"/>
          </w:tblCellMar>
          <w:tblLook w:val="0000"/>
        </w:tblPrEx>
        <w:trPr>
          <w:cantSplit/>
          <w:trHeight w:val="215"/>
          <w:jc w:val="center"/>
        </w:trPr>
        <w:tc>
          <w:tcPr>
            <w:tcW w:w="2418" w:type="dxa"/>
            <w:gridSpan w:val="6"/>
            <w:vMerge/>
            <w:vAlign w:val="center"/>
          </w:tcPr>
          <w:p>
            <w:pPr>
              <w:pStyle w:val="a2"/>
              <w:ind w:firstLine="0" w:firstLineChars="0"/>
              <w:rPr>
                <w:rFonts w:ascii="Times New Roman"/>
                <w:sz w:val="24"/>
                <w:szCs w:val="24"/>
              </w:rPr>
            </w:pPr>
          </w:p>
        </w:tc>
        <w:tc>
          <w:tcPr>
            <w:tcW w:w="2648" w:type="dxa"/>
            <w:gridSpan w:val="4"/>
            <w:vAlign w:val="center"/>
          </w:tcPr>
          <w:p>
            <w:pPr>
              <w:pStyle w:val="a2"/>
              <w:ind w:firstLine="0" w:firstLineChars="0"/>
              <w:rPr>
                <w:rFonts w:ascii="Times New Roman"/>
                <w:sz w:val="24"/>
                <w:szCs w:val="24"/>
              </w:rPr>
            </w:pPr>
            <w:r>
              <w:rPr>
                <w:rFonts w:ascii="Times New Roman"/>
                <w:sz w:val="24"/>
                <w:szCs w:val="24"/>
              </w:rPr>
              <w:t>垂直</w:t>
            </w:r>
          </w:p>
        </w:tc>
        <w:tc>
          <w:tcPr>
            <w:tcW w:w="3936" w:type="dxa"/>
            <w:vMerge/>
            <w:vAlign w:val="center"/>
          </w:tcPr>
          <w:p>
            <w:pPr>
              <w:pStyle w:val="a2"/>
              <w:ind w:firstLine="0" w:firstLineChars="0"/>
              <w:rPr>
                <w:rFonts w:ascii="Times New Roman"/>
                <w:sz w:val="24"/>
                <w:szCs w:val="24"/>
              </w:rPr>
            </w:pPr>
          </w:p>
        </w:tc>
      </w:tr>
      <w:tr>
        <w:tblPrEx>
          <w:tblW w:w="9002" w:type="dxa"/>
          <w:jc w:val="center"/>
          <w:tblLayout w:type="fixed"/>
          <w:tblCellMar>
            <w:top w:w="0" w:type="dxa"/>
            <w:left w:w="108" w:type="dxa"/>
            <w:bottom w:w="0" w:type="dxa"/>
            <w:right w:w="108" w:type="dxa"/>
          </w:tblCellMar>
          <w:tblLook w:val="0000"/>
        </w:tblPrEx>
        <w:trPr>
          <w:cantSplit/>
          <w:trHeight w:val="225"/>
          <w:jc w:val="center"/>
        </w:trPr>
        <w:tc>
          <w:tcPr>
            <w:tcW w:w="2418" w:type="dxa"/>
            <w:gridSpan w:val="6"/>
            <w:vMerge w:val="restart"/>
            <w:vAlign w:val="center"/>
          </w:tcPr>
          <w:p>
            <w:pPr>
              <w:pStyle w:val="a2"/>
              <w:ind w:firstLine="0" w:firstLineChars="0"/>
              <w:rPr>
                <w:rFonts w:ascii="Times New Roman"/>
                <w:sz w:val="24"/>
                <w:szCs w:val="24"/>
              </w:rPr>
            </w:pPr>
            <w:r>
              <w:rPr>
                <w:rFonts w:ascii="Times New Roman"/>
                <w:sz w:val="24"/>
                <w:szCs w:val="24"/>
              </w:rPr>
              <w:t>引入波束展宽</w:t>
            </w:r>
          </w:p>
        </w:tc>
        <w:tc>
          <w:tcPr>
            <w:tcW w:w="2648" w:type="dxa"/>
            <w:gridSpan w:val="4"/>
            <w:vAlign w:val="center"/>
          </w:tcPr>
          <w:p>
            <w:pPr>
              <w:pStyle w:val="a2"/>
              <w:ind w:firstLine="0" w:firstLineChars="0"/>
              <w:rPr>
                <w:rFonts w:ascii="Times New Roman"/>
                <w:sz w:val="24"/>
                <w:szCs w:val="24"/>
              </w:rPr>
            </w:pPr>
            <w:r>
              <w:rPr>
                <w:rFonts w:ascii="Times New Roman"/>
                <w:sz w:val="24"/>
                <w:szCs w:val="24"/>
              </w:rPr>
              <w:t>水平</w:t>
            </w:r>
          </w:p>
        </w:tc>
        <w:tc>
          <w:tcPr>
            <w:tcW w:w="3936" w:type="dxa"/>
            <w:vMerge w:val="restart"/>
            <w:vAlign w:val="center"/>
          </w:tcPr>
          <w:p>
            <w:pPr>
              <w:pStyle w:val="a2"/>
              <w:ind w:firstLine="0" w:firstLineChars="0"/>
              <w:rPr>
                <w:rFonts w:ascii="Times New Roman"/>
                <w:sz w:val="24"/>
                <w:szCs w:val="24"/>
              </w:rPr>
            </w:pPr>
            <w:r>
              <w:rPr>
                <w:rFonts w:ascii="Times New Roman"/>
                <w:sz w:val="24"/>
                <w:szCs w:val="24"/>
              </w:rPr>
              <w:t>≤</w:t>
            </w:r>
            <w:r>
              <w:rPr>
                <w:rFonts w:ascii="Times New Roman" w:hint="eastAsia"/>
                <w:sz w:val="24"/>
                <w:szCs w:val="24"/>
              </w:rPr>
              <w:t>5</w:t>
            </w:r>
            <w:r>
              <w:rPr>
                <w:rFonts w:ascii="Times New Roman"/>
                <w:sz w:val="24"/>
                <w:szCs w:val="24"/>
              </w:rPr>
              <w:t xml:space="preserve">% </w:t>
            </w:r>
          </w:p>
        </w:tc>
      </w:tr>
      <w:tr>
        <w:tblPrEx>
          <w:tblW w:w="9002" w:type="dxa"/>
          <w:jc w:val="center"/>
          <w:tblLayout w:type="fixed"/>
          <w:tblCellMar>
            <w:top w:w="0" w:type="dxa"/>
            <w:left w:w="108" w:type="dxa"/>
            <w:bottom w:w="0" w:type="dxa"/>
            <w:right w:w="108" w:type="dxa"/>
          </w:tblCellMar>
          <w:tblLook w:val="0000"/>
        </w:tblPrEx>
        <w:trPr>
          <w:cantSplit/>
          <w:trHeight w:val="200"/>
          <w:jc w:val="center"/>
        </w:trPr>
        <w:tc>
          <w:tcPr>
            <w:tcW w:w="2418" w:type="dxa"/>
            <w:gridSpan w:val="6"/>
            <w:vMerge/>
            <w:vAlign w:val="center"/>
          </w:tcPr>
          <w:p>
            <w:pPr>
              <w:pStyle w:val="a2"/>
              <w:ind w:firstLine="0" w:firstLineChars="0"/>
              <w:rPr>
                <w:rFonts w:ascii="Times New Roman"/>
                <w:sz w:val="24"/>
                <w:szCs w:val="24"/>
              </w:rPr>
            </w:pPr>
          </w:p>
        </w:tc>
        <w:tc>
          <w:tcPr>
            <w:tcW w:w="2648" w:type="dxa"/>
            <w:gridSpan w:val="4"/>
            <w:vAlign w:val="center"/>
          </w:tcPr>
          <w:p>
            <w:pPr>
              <w:pStyle w:val="a2"/>
              <w:ind w:firstLine="0" w:firstLineChars="0"/>
              <w:rPr>
                <w:rFonts w:ascii="Times New Roman"/>
                <w:sz w:val="24"/>
                <w:szCs w:val="24"/>
              </w:rPr>
            </w:pPr>
            <w:r>
              <w:rPr>
                <w:rFonts w:ascii="Times New Roman"/>
                <w:sz w:val="24"/>
                <w:szCs w:val="24"/>
              </w:rPr>
              <w:t>垂直</w:t>
            </w:r>
          </w:p>
        </w:tc>
        <w:tc>
          <w:tcPr>
            <w:tcW w:w="3936" w:type="dxa"/>
            <w:vMerge/>
            <w:vAlign w:val="center"/>
          </w:tcPr>
          <w:p>
            <w:pPr>
              <w:pStyle w:val="a2"/>
              <w:ind w:firstLine="0" w:firstLineChars="0"/>
              <w:rPr>
                <w:rFonts w:ascii="Times New Roman"/>
                <w:sz w:val="24"/>
                <w:szCs w:val="24"/>
              </w:rPr>
            </w:pPr>
          </w:p>
        </w:tc>
      </w:tr>
      <w:tr>
        <w:tblPrEx>
          <w:tblW w:w="9002" w:type="dxa"/>
          <w:jc w:val="center"/>
          <w:tblLayout w:type="fixed"/>
          <w:tblCellMar>
            <w:top w:w="0" w:type="dxa"/>
            <w:left w:w="108" w:type="dxa"/>
            <w:bottom w:w="0" w:type="dxa"/>
            <w:right w:w="108" w:type="dxa"/>
          </w:tblCellMar>
          <w:tblLook w:val="0000"/>
        </w:tblPrEx>
        <w:trPr>
          <w:cantSplit/>
          <w:trHeight w:val="215"/>
          <w:jc w:val="center"/>
        </w:trPr>
        <w:tc>
          <w:tcPr>
            <w:tcW w:w="2418" w:type="dxa"/>
            <w:gridSpan w:val="6"/>
            <w:vMerge w:val="restart"/>
            <w:vAlign w:val="center"/>
          </w:tcPr>
          <w:p>
            <w:pPr>
              <w:pStyle w:val="a2"/>
              <w:ind w:firstLine="0" w:firstLineChars="0"/>
              <w:rPr>
                <w:rFonts w:ascii="Times New Roman"/>
                <w:sz w:val="24"/>
                <w:szCs w:val="24"/>
              </w:rPr>
            </w:pPr>
            <w:r>
              <w:rPr>
                <w:rFonts w:ascii="Times New Roman"/>
                <w:sz w:val="24"/>
                <w:szCs w:val="24"/>
              </w:rPr>
              <w:t>射频损失(dB)</w:t>
            </w:r>
          </w:p>
        </w:tc>
        <w:tc>
          <w:tcPr>
            <w:tcW w:w="2648" w:type="dxa"/>
            <w:gridSpan w:val="4"/>
            <w:vAlign w:val="center"/>
          </w:tcPr>
          <w:p>
            <w:pPr>
              <w:pStyle w:val="a2"/>
              <w:ind w:firstLine="0" w:firstLineChars="0"/>
              <w:rPr>
                <w:rFonts w:ascii="Times New Roman"/>
                <w:sz w:val="24"/>
                <w:szCs w:val="24"/>
              </w:rPr>
            </w:pPr>
            <w:r>
              <w:rPr>
                <w:rFonts w:ascii="Times New Roman"/>
                <w:sz w:val="24"/>
                <w:szCs w:val="24"/>
              </w:rPr>
              <w:t>水平</w:t>
            </w:r>
          </w:p>
        </w:tc>
        <w:tc>
          <w:tcPr>
            <w:tcW w:w="3936" w:type="dxa"/>
            <w:vMerge w:val="restart"/>
            <w:vAlign w:val="center"/>
          </w:tcPr>
          <w:p>
            <w:pPr>
              <w:pStyle w:val="a2"/>
              <w:ind w:firstLine="0" w:firstLineChars="0"/>
              <w:rPr>
                <w:rFonts w:ascii="Times New Roman"/>
                <w:sz w:val="24"/>
                <w:szCs w:val="24"/>
              </w:rPr>
            </w:pPr>
            <w:r>
              <w:rPr>
                <w:rFonts w:ascii="Times New Roman"/>
                <w:sz w:val="24"/>
                <w:szCs w:val="24"/>
              </w:rPr>
              <w:t>≤0.6</w:t>
            </w:r>
            <w:r>
              <w:rPr>
                <w:rFonts w:ascii="Times New Roman" w:hint="eastAsia"/>
                <w:sz w:val="24"/>
                <w:szCs w:val="24"/>
              </w:rPr>
              <w:t>（双程）</w:t>
            </w:r>
          </w:p>
        </w:tc>
      </w:tr>
      <w:tr>
        <w:tblPrEx>
          <w:tblW w:w="9002" w:type="dxa"/>
          <w:jc w:val="center"/>
          <w:tblLayout w:type="fixed"/>
          <w:tblCellMar>
            <w:top w:w="0" w:type="dxa"/>
            <w:left w:w="108" w:type="dxa"/>
            <w:bottom w:w="0" w:type="dxa"/>
            <w:right w:w="108" w:type="dxa"/>
          </w:tblCellMar>
          <w:tblLook w:val="0000"/>
        </w:tblPrEx>
        <w:trPr>
          <w:cantSplit/>
          <w:trHeight w:val="215"/>
          <w:jc w:val="center"/>
        </w:trPr>
        <w:tc>
          <w:tcPr>
            <w:tcW w:w="2418" w:type="dxa"/>
            <w:gridSpan w:val="6"/>
            <w:vMerge/>
            <w:vAlign w:val="center"/>
          </w:tcPr>
          <w:p>
            <w:pPr>
              <w:pStyle w:val="a2"/>
              <w:ind w:firstLine="0" w:firstLineChars="0"/>
              <w:rPr>
                <w:rFonts w:ascii="Times New Roman"/>
                <w:sz w:val="24"/>
                <w:szCs w:val="24"/>
              </w:rPr>
            </w:pPr>
          </w:p>
        </w:tc>
        <w:tc>
          <w:tcPr>
            <w:tcW w:w="2648" w:type="dxa"/>
            <w:gridSpan w:val="4"/>
            <w:vAlign w:val="center"/>
          </w:tcPr>
          <w:p>
            <w:pPr>
              <w:pStyle w:val="a2"/>
              <w:ind w:firstLine="0" w:firstLineChars="0"/>
              <w:rPr>
                <w:rFonts w:ascii="Times New Roman"/>
                <w:sz w:val="24"/>
                <w:szCs w:val="24"/>
              </w:rPr>
            </w:pPr>
            <w:r>
              <w:rPr>
                <w:rFonts w:ascii="Times New Roman"/>
                <w:sz w:val="24"/>
                <w:szCs w:val="24"/>
              </w:rPr>
              <w:t>垂直</w:t>
            </w:r>
          </w:p>
        </w:tc>
        <w:tc>
          <w:tcPr>
            <w:tcW w:w="3936" w:type="dxa"/>
            <w:vMerge/>
            <w:vAlign w:val="center"/>
          </w:tcPr>
          <w:p>
            <w:pPr>
              <w:pStyle w:val="a2"/>
              <w:ind w:firstLine="0" w:firstLineChars="0"/>
              <w:rPr>
                <w:rFonts w:ascii="Times New Roman"/>
                <w:sz w:val="24"/>
                <w:szCs w:val="24"/>
              </w:rPr>
            </w:pPr>
          </w:p>
        </w:tc>
      </w:tr>
      <w:tr>
        <w:tblPrEx>
          <w:tblW w:w="9002" w:type="dxa"/>
          <w:jc w:val="center"/>
          <w:tblLayout w:type="fixed"/>
          <w:tblCellMar>
            <w:top w:w="0" w:type="dxa"/>
            <w:left w:w="108" w:type="dxa"/>
            <w:bottom w:w="0" w:type="dxa"/>
            <w:right w:w="108" w:type="dxa"/>
          </w:tblCellMar>
          <w:tblLook w:val="0000"/>
        </w:tblPrEx>
        <w:trPr>
          <w:cantSplit/>
          <w:jc w:val="center"/>
        </w:trPr>
        <w:tc>
          <w:tcPr>
            <w:tcW w:w="5066" w:type="dxa"/>
            <w:gridSpan w:val="10"/>
            <w:vAlign w:val="center"/>
          </w:tcPr>
          <w:p>
            <w:pPr>
              <w:pStyle w:val="a2"/>
              <w:ind w:firstLine="0" w:firstLineChars="0"/>
              <w:rPr>
                <w:rFonts w:ascii="Times New Roman"/>
                <w:b/>
                <w:sz w:val="24"/>
                <w:szCs w:val="24"/>
              </w:rPr>
            </w:pPr>
            <w:r>
              <w:rPr>
                <w:rFonts w:ascii="Times New Roman" w:eastAsia="宋体"/>
                <w:sz w:val="24"/>
                <w:szCs w:val="24"/>
              </w:rPr>
              <w:t>与天线口径比</w:t>
            </w:r>
          </w:p>
        </w:tc>
        <w:tc>
          <w:tcPr>
            <w:tcW w:w="3936" w:type="dxa"/>
            <w:vAlign w:val="center"/>
          </w:tcPr>
          <w:p>
            <w:pPr>
              <w:pStyle w:val="a2"/>
              <w:ind w:firstLine="0" w:firstLineChars="0"/>
              <w:rPr>
                <w:rFonts w:ascii="Times New Roman"/>
                <w:b/>
                <w:sz w:val="24"/>
                <w:szCs w:val="24"/>
              </w:rPr>
            </w:pPr>
            <w:r>
              <w:rPr>
                <w:rFonts w:ascii="Times New Roman" w:eastAsia="宋体"/>
                <w:sz w:val="24"/>
                <w:szCs w:val="24"/>
              </w:rPr>
              <w:t>≥1.5</w:t>
            </w:r>
          </w:p>
        </w:tc>
      </w:tr>
      <w:tr>
        <w:tblPrEx>
          <w:tblW w:w="9002" w:type="dxa"/>
          <w:jc w:val="center"/>
          <w:tblLayout w:type="fixed"/>
          <w:tblCellMar>
            <w:top w:w="0" w:type="dxa"/>
            <w:left w:w="108" w:type="dxa"/>
            <w:bottom w:w="0" w:type="dxa"/>
            <w:right w:w="108" w:type="dxa"/>
          </w:tblCellMar>
          <w:tblLook w:val="0000"/>
        </w:tblPrEx>
        <w:trPr>
          <w:cantSplit/>
          <w:trHeight w:val="411"/>
          <w:jc w:val="center"/>
        </w:trPr>
        <w:tc>
          <w:tcPr>
            <w:tcW w:w="5066" w:type="dxa"/>
            <w:gridSpan w:val="10"/>
            <w:vAlign w:val="center"/>
          </w:tcPr>
          <w:p>
            <w:pPr>
              <w:pStyle w:val="a2"/>
              <w:ind w:firstLine="0" w:firstLineChars="0"/>
              <w:rPr>
                <w:rFonts w:ascii="Times New Roman"/>
                <w:b/>
                <w:sz w:val="24"/>
                <w:szCs w:val="24"/>
              </w:rPr>
            </w:pPr>
            <w:r>
              <w:rPr>
                <w:rFonts w:ascii="Times New Roman" w:eastAsia="宋体"/>
                <w:sz w:val="24"/>
                <w:szCs w:val="24"/>
              </w:rPr>
              <w:t>引入交叉极化隔离度影响(dB)</w:t>
            </w:r>
          </w:p>
        </w:tc>
        <w:tc>
          <w:tcPr>
            <w:tcW w:w="3936" w:type="dxa"/>
            <w:vAlign w:val="center"/>
          </w:tcPr>
          <w:p>
            <w:pPr>
              <w:pStyle w:val="a2"/>
              <w:ind w:firstLine="0" w:firstLineChars="0"/>
              <w:rPr>
                <w:rFonts w:ascii="Times New Roman"/>
                <w:b/>
                <w:sz w:val="24"/>
                <w:szCs w:val="24"/>
              </w:rPr>
            </w:pPr>
            <w:r>
              <w:rPr>
                <w:rFonts w:ascii="Times New Roman" w:eastAsia="宋体"/>
                <w:sz w:val="24"/>
                <w:szCs w:val="24"/>
              </w:rPr>
              <w:t>≤1.0</w:t>
            </w:r>
          </w:p>
        </w:tc>
      </w:tr>
      <w:tr>
        <w:tblPrEx>
          <w:tblW w:w="9002" w:type="dxa"/>
          <w:jc w:val="center"/>
          <w:tblLayout w:type="fixed"/>
          <w:tblCellMar>
            <w:top w:w="0" w:type="dxa"/>
            <w:left w:w="108" w:type="dxa"/>
            <w:bottom w:w="0" w:type="dxa"/>
            <w:right w:w="108" w:type="dxa"/>
          </w:tblCellMar>
          <w:tblLook w:val="0000"/>
        </w:tblPrEx>
        <w:trPr>
          <w:cantSplit/>
          <w:jc w:val="center"/>
        </w:trPr>
        <w:tc>
          <w:tcPr>
            <w:tcW w:w="9002" w:type="dxa"/>
            <w:gridSpan w:val="11"/>
            <w:vAlign w:val="center"/>
          </w:tcPr>
          <w:p>
            <w:pPr>
              <w:pStyle w:val="a2"/>
              <w:ind w:firstLine="0" w:firstLineChars="0"/>
              <w:rPr>
                <w:rFonts w:ascii="Times New Roman"/>
                <w:b/>
                <w:sz w:val="24"/>
                <w:szCs w:val="24"/>
              </w:rPr>
            </w:pPr>
            <w:r>
              <w:rPr>
                <w:rFonts w:ascii="Times New Roman"/>
                <w:b/>
                <w:sz w:val="24"/>
                <w:szCs w:val="24"/>
              </w:rPr>
              <w:t>天线系统</w:t>
            </w:r>
          </w:p>
        </w:tc>
      </w:tr>
      <w:tr>
        <w:tblPrEx>
          <w:tblW w:w="9002" w:type="dxa"/>
          <w:jc w:val="center"/>
          <w:tblLayout w:type="fixed"/>
          <w:tblCellMar>
            <w:top w:w="0" w:type="dxa"/>
            <w:left w:w="108" w:type="dxa"/>
            <w:bottom w:w="0" w:type="dxa"/>
            <w:right w:w="108" w:type="dxa"/>
          </w:tblCellMar>
          <w:tblLook w:val="0000"/>
        </w:tblPrEx>
        <w:trPr>
          <w:cantSplit/>
          <w:jc w:val="center"/>
        </w:trPr>
        <w:tc>
          <w:tcPr>
            <w:tcW w:w="5066" w:type="dxa"/>
            <w:gridSpan w:val="10"/>
            <w:vAlign w:val="center"/>
          </w:tcPr>
          <w:p>
            <w:pPr>
              <w:pStyle w:val="a2"/>
              <w:ind w:firstLine="0" w:firstLineChars="0"/>
              <w:rPr>
                <w:rFonts w:ascii="Times New Roman"/>
                <w:b/>
                <w:sz w:val="24"/>
                <w:szCs w:val="24"/>
              </w:rPr>
            </w:pPr>
            <w:r>
              <w:rPr>
                <w:rFonts w:ascii="Times New Roman"/>
                <w:sz w:val="24"/>
                <w:szCs w:val="24"/>
              </w:rPr>
              <w:t>天线反射体直径(m)</w:t>
            </w:r>
          </w:p>
        </w:tc>
        <w:tc>
          <w:tcPr>
            <w:tcW w:w="3936" w:type="dxa"/>
            <w:vAlign w:val="center"/>
          </w:tcPr>
          <w:p>
            <w:pPr>
              <w:pStyle w:val="a2"/>
              <w:ind w:firstLine="0" w:firstLineChars="0"/>
              <w:rPr>
                <w:rFonts w:ascii="Times New Roman"/>
                <w:b/>
                <w:sz w:val="24"/>
                <w:szCs w:val="24"/>
              </w:rPr>
            </w:pPr>
            <w:r>
              <w:rPr>
                <w:rFonts w:ascii="Times New Roman" w:eastAsia="宋体"/>
                <w:sz w:val="24"/>
                <w:szCs w:val="24"/>
              </w:rPr>
              <w:t>≥4.5</w:t>
            </w:r>
          </w:p>
        </w:tc>
      </w:tr>
      <w:tr>
        <w:tblPrEx>
          <w:tblW w:w="9002" w:type="dxa"/>
          <w:jc w:val="center"/>
          <w:tblLayout w:type="fixed"/>
          <w:tblCellMar>
            <w:top w:w="0" w:type="dxa"/>
            <w:left w:w="108" w:type="dxa"/>
            <w:bottom w:w="0" w:type="dxa"/>
            <w:right w:w="108" w:type="dxa"/>
          </w:tblCellMar>
          <w:tblLook w:val="0000"/>
        </w:tblPrEx>
        <w:trPr>
          <w:cantSplit/>
          <w:trHeight w:val="215"/>
          <w:jc w:val="center"/>
        </w:trPr>
        <w:tc>
          <w:tcPr>
            <w:tcW w:w="2409" w:type="dxa"/>
            <w:gridSpan w:val="5"/>
            <w:vMerge w:val="restart"/>
            <w:vAlign w:val="center"/>
          </w:tcPr>
          <w:p>
            <w:pPr>
              <w:pStyle w:val="a2"/>
              <w:ind w:firstLine="0" w:firstLineChars="0"/>
              <w:rPr>
                <w:rFonts w:ascii="Times New Roman"/>
                <w:sz w:val="24"/>
                <w:szCs w:val="24"/>
              </w:rPr>
            </w:pPr>
            <w:r>
              <w:rPr>
                <w:rFonts w:ascii="Times New Roman"/>
                <w:color w:val="FF0000"/>
                <w:sz w:val="24"/>
                <w:szCs w:val="24"/>
              </w:rPr>
              <w:t>#</w:t>
            </w:r>
            <w:r>
              <w:rPr>
                <w:rFonts w:ascii="Times New Roman"/>
                <w:sz w:val="24"/>
                <w:szCs w:val="24"/>
              </w:rPr>
              <w:t>功率增益(dB)</w:t>
            </w:r>
          </w:p>
        </w:tc>
        <w:tc>
          <w:tcPr>
            <w:tcW w:w="2657" w:type="dxa"/>
            <w:gridSpan w:val="5"/>
            <w:vAlign w:val="center"/>
          </w:tcPr>
          <w:p>
            <w:pPr>
              <w:pStyle w:val="a2"/>
              <w:ind w:firstLine="0" w:firstLineChars="0"/>
              <w:rPr>
                <w:rFonts w:ascii="Times New Roman"/>
                <w:sz w:val="24"/>
                <w:szCs w:val="24"/>
              </w:rPr>
            </w:pPr>
            <w:r>
              <w:rPr>
                <w:rFonts w:ascii="Times New Roman"/>
                <w:sz w:val="24"/>
                <w:szCs w:val="24"/>
              </w:rPr>
              <w:t>水平</w:t>
            </w:r>
          </w:p>
        </w:tc>
        <w:tc>
          <w:tcPr>
            <w:tcW w:w="3936" w:type="dxa"/>
            <w:vMerge w:val="restart"/>
            <w:vAlign w:val="center"/>
          </w:tcPr>
          <w:p>
            <w:pPr>
              <w:pStyle w:val="a2"/>
              <w:ind w:firstLine="0" w:firstLineChars="0"/>
              <w:rPr>
                <w:rFonts w:ascii="Times New Roman"/>
                <w:sz w:val="24"/>
                <w:szCs w:val="24"/>
              </w:rPr>
            </w:pPr>
            <w:r>
              <w:rPr>
                <w:rFonts w:ascii="Times New Roman"/>
                <w:sz w:val="24"/>
                <w:szCs w:val="24"/>
              </w:rPr>
              <w:t>≥43.0</w:t>
            </w:r>
          </w:p>
        </w:tc>
      </w:tr>
      <w:tr>
        <w:tblPrEx>
          <w:tblW w:w="9002" w:type="dxa"/>
          <w:jc w:val="center"/>
          <w:tblLayout w:type="fixed"/>
          <w:tblCellMar>
            <w:top w:w="0" w:type="dxa"/>
            <w:left w:w="108" w:type="dxa"/>
            <w:bottom w:w="0" w:type="dxa"/>
            <w:right w:w="108" w:type="dxa"/>
          </w:tblCellMar>
          <w:tblLook w:val="0000"/>
        </w:tblPrEx>
        <w:trPr>
          <w:cantSplit/>
          <w:trHeight w:val="399"/>
          <w:jc w:val="center"/>
        </w:trPr>
        <w:tc>
          <w:tcPr>
            <w:tcW w:w="2409" w:type="dxa"/>
            <w:gridSpan w:val="5"/>
            <w:vMerge/>
            <w:vAlign w:val="center"/>
          </w:tcPr>
          <w:p>
            <w:pPr>
              <w:pStyle w:val="a2"/>
              <w:ind w:firstLine="0" w:firstLineChars="0"/>
              <w:rPr>
                <w:rFonts w:ascii="Times New Roman"/>
                <w:sz w:val="24"/>
                <w:szCs w:val="24"/>
              </w:rPr>
            </w:pPr>
          </w:p>
        </w:tc>
        <w:tc>
          <w:tcPr>
            <w:tcW w:w="2657" w:type="dxa"/>
            <w:gridSpan w:val="5"/>
            <w:vAlign w:val="center"/>
          </w:tcPr>
          <w:p>
            <w:pPr>
              <w:pStyle w:val="a2"/>
              <w:ind w:firstLine="0" w:firstLineChars="0"/>
              <w:rPr>
                <w:rFonts w:ascii="Times New Roman"/>
                <w:sz w:val="24"/>
                <w:szCs w:val="24"/>
              </w:rPr>
            </w:pPr>
            <w:r>
              <w:rPr>
                <w:rFonts w:ascii="Times New Roman"/>
                <w:sz w:val="24"/>
                <w:szCs w:val="24"/>
              </w:rPr>
              <w:t>垂直</w:t>
            </w:r>
          </w:p>
        </w:tc>
        <w:tc>
          <w:tcPr>
            <w:tcW w:w="3936" w:type="dxa"/>
            <w:vMerge/>
            <w:vAlign w:val="center"/>
          </w:tcPr>
          <w:p>
            <w:pPr>
              <w:pStyle w:val="a2"/>
              <w:ind w:firstLine="0" w:firstLineChars="0"/>
              <w:rPr>
                <w:rFonts w:ascii="Times New Roman"/>
                <w:sz w:val="24"/>
                <w:szCs w:val="24"/>
              </w:rPr>
            </w:pPr>
          </w:p>
        </w:tc>
      </w:tr>
      <w:tr>
        <w:tblPrEx>
          <w:tblW w:w="9002" w:type="dxa"/>
          <w:jc w:val="center"/>
          <w:tblLayout w:type="fixed"/>
          <w:tblCellMar>
            <w:top w:w="0" w:type="dxa"/>
            <w:left w:w="108" w:type="dxa"/>
            <w:bottom w:w="0" w:type="dxa"/>
            <w:right w:w="108" w:type="dxa"/>
          </w:tblCellMar>
          <w:tblLook w:val="0000"/>
        </w:tblPrEx>
        <w:trPr>
          <w:cantSplit/>
          <w:jc w:val="center"/>
        </w:trPr>
        <w:tc>
          <w:tcPr>
            <w:tcW w:w="5066" w:type="dxa"/>
            <w:gridSpan w:val="10"/>
            <w:vAlign w:val="center"/>
          </w:tcPr>
          <w:p>
            <w:pPr>
              <w:pStyle w:val="a2"/>
              <w:ind w:firstLine="0" w:firstLineChars="0"/>
              <w:rPr>
                <w:rFonts w:ascii="Times New Roman"/>
                <w:sz w:val="24"/>
                <w:szCs w:val="24"/>
              </w:rPr>
            </w:pPr>
            <w:r>
              <w:rPr>
                <w:rFonts w:ascii="Times New Roman"/>
                <w:sz w:val="24"/>
                <w:szCs w:val="24"/>
              </w:rPr>
              <w:t>功率增益偏差(dB)</w:t>
            </w:r>
          </w:p>
        </w:tc>
        <w:tc>
          <w:tcPr>
            <w:tcW w:w="3936" w:type="dxa"/>
            <w:vAlign w:val="center"/>
          </w:tcPr>
          <w:p>
            <w:pPr>
              <w:pStyle w:val="a2"/>
              <w:ind w:firstLine="0" w:firstLineChars="0"/>
              <w:rPr>
                <w:rFonts w:ascii="Times New Roman"/>
                <w:sz w:val="24"/>
                <w:szCs w:val="24"/>
              </w:rPr>
            </w:pPr>
            <w:r>
              <w:rPr>
                <w:rFonts w:ascii="Times New Roman"/>
                <w:sz w:val="24"/>
                <w:szCs w:val="24"/>
              </w:rPr>
              <w:t>≤0.3</w:t>
            </w:r>
          </w:p>
        </w:tc>
      </w:tr>
      <w:tr>
        <w:tblPrEx>
          <w:tblW w:w="9002" w:type="dxa"/>
          <w:jc w:val="center"/>
          <w:tblLayout w:type="fixed"/>
          <w:tblCellMar>
            <w:top w:w="0" w:type="dxa"/>
            <w:left w:w="108" w:type="dxa"/>
            <w:bottom w:w="0" w:type="dxa"/>
            <w:right w:w="108" w:type="dxa"/>
          </w:tblCellMar>
          <w:tblLook w:val="0000"/>
        </w:tblPrEx>
        <w:trPr>
          <w:cantSplit/>
          <w:trHeight w:val="215"/>
          <w:jc w:val="center"/>
        </w:trPr>
        <w:tc>
          <w:tcPr>
            <w:tcW w:w="2409" w:type="dxa"/>
            <w:gridSpan w:val="5"/>
            <w:vMerge w:val="restart"/>
            <w:vAlign w:val="center"/>
          </w:tcPr>
          <w:p>
            <w:pPr>
              <w:pStyle w:val="a2"/>
              <w:ind w:firstLine="0" w:firstLineChars="0"/>
              <w:rPr>
                <w:rFonts w:ascii="Times New Roman"/>
                <w:sz w:val="24"/>
                <w:szCs w:val="24"/>
              </w:rPr>
            </w:pPr>
            <w:r>
              <w:rPr>
                <w:rFonts w:ascii="Times New Roman"/>
                <w:color w:val="FF0000"/>
                <w:sz w:val="24"/>
                <w:szCs w:val="24"/>
              </w:rPr>
              <w:t>#</w:t>
            </w:r>
            <w:r>
              <w:rPr>
                <w:rFonts w:ascii="Times New Roman"/>
                <w:sz w:val="24"/>
                <w:szCs w:val="24"/>
              </w:rPr>
              <w:t>波束宽度(°)</w:t>
            </w:r>
          </w:p>
        </w:tc>
        <w:tc>
          <w:tcPr>
            <w:tcW w:w="830" w:type="dxa"/>
            <w:gridSpan w:val="3"/>
            <w:vMerge w:val="restart"/>
            <w:vAlign w:val="center"/>
          </w:tcPr>
          <w:p>
            <w:pPr>
              <w:pStyle w:val="a2"/>
              <w:ind w:firstLine="0" w:firstLineChars="0"/>
              <w:rPr>
                <w:rFonts w:ascii="Times New Roman"/>
                <w:sz w:val="24"/>
                <w:szCs w:val="24"/>
              </w:rPr>
            </w:pPr>
            <w:r>
              <w:rPr>
                <w:rFonts w:ascii="Times New Roman"/>
                <w:sz w:val="24"/>
                <w:szCs w:val="24"/>
              </w:rPr>
              <w:t>水平</w:t>
            </w:r>
          </w:p>
        </w:tc>
        <w:tc>
          <w:tcPr>
            <w:tcW w:w="1827" w:type="dxa"/>
            <w:gridSpan w:val="2"/>
            <w:vAlign w:val="center"/>
          </w:tcPr>
          <w:p>
            <w:pPr>
              <w:pStyle w:val="a2"/>
              <w:ind w:firstLine="0" w:firstLineChars="0"/>
              <w:rPr>
                <w:rFonts w:ascii="Times New Roman"/>
                <w:sz w:val="24"/>
                <w:szCs w:val="24"/>
              </w:rPr>
            </w:pPr>
            <w:r>
              <w:rPr>
                <w:rFonts w:ascii="Times New Roman"/>
                <w:sz w:val="24"/>
                <w:szCs w:val="24"/>
              </w:rPr>
              <w:t>H面</w:t>
            </w:r>
          </w:p>
        </w:tc>
        <w:tc>
          <w:tcPr>
            <w:tcW w:w="3936" w:type="dxa"/>
            <w:vMerge w:val="restart"/>
            <w:vAlign w:val="center"/>
          </w:tcPr>
          <w:p>
            <w:pPr>
              <w:pStyle w:val="a2"/>
              <w:ind w:firstLine="0" w:firstLineChars="0"/>
              <w:rPr>
                <w:rFonts w:ascii="Times New Roman"/>
                <w:sz w:val="24"/>
                <w:szCs w:val="24"/>
              </w:rPr>
            </w:pPr>
            <w:r>
              <w:rPr>
                <w:rFonts w:ascii="Times New Roman"/>
                <w:sz w:val="24"/>
                <w:szCs w:val="24"/>
              </w:rPr>
              <w:t>≤1.0</w:t>
            </w:r>
          </w:p>
        </w:tc>
      </w:tr>
      <w:tr>
        <w:tblPrEx>
          <w:tblW w:w="9002" w:type="dxa"/>
          <w:jc w:val="center"/>
          <w:tblLayout w:type="fixed"/>
          <w:tblCellMar>
            <w:top w:w="0" w:type="dxa"/>
            <w:left w:w="108" w:type="dxa"/>
            <w:bottom w:w="0" w:type="dxa"/>
            <w:right w:w="108" w:type="dxa"/>
          </w:tblCellMar>
          <w:tblLook w:val="0000"/>
        </w:tblPrEx>
        <w:trPr>
          <w:cantSplit/>
          <w:trHeight w:val="215"/>
          <w:jc w:val="center"/>
        </w:trPr>
        <w:tc>
          <w:tcPr>
            <w:tcW w:w="2409" w:type="dxa"/>
            <w:gridSpan w:val="5"/>
            <w:vMerge/>
            <w:vAlign w:val="center"/>
          </w:tcPr>
          <w:p>
            <w:pPr>
              <w:pStyle w:val="a2"/>
              <w:ind w:firstLine="0" w:firstLineChars="0"/>
              <w:rPr>
                <w:rFonts w:ascii="Times New Roman"/>
                <w:sz w:val="24"/>
                <w:szCs w:val="24"/>
              </w:rPr>
            </w:pPr>
          </w:p>
        </w:tc>
        <w:tc>
          <w:tcPr>
            <w:tcW w:w="830" w:type="dxa"/>
            <w:gridSpan w:val="3"/>
            <w:vMerge/>
            <w:vAlign w:val="center"/>
          </w:tcPr>
          <w:p>
            <w:pPr>
              <w:pStyle w:val="a2"/>
              <w:ind w:firstLine="0" w:firstLineChars="0"/>
              <w:rPr>
                <w:rFonts w:ascii="Times New Roman"/>
                <w:sz w:val="24"/>
                <w:szCs w:val="24"/>
              </w:rPr>
            </w:pPr>
          </w:p>
        </w:tc>
        <w:tc>
          <w:tcPr>
            <w:tcW w:w="1827" w:type="dxa"/>
            <w:gridSpan w:val="2"/>
            <w:vAlign w:val="center"/>
          </w:tcPr>
          <w:p>
            <w:pPr>
              <w:pStyle w:val="a2"/>
              <w:ind w:firstLine="0" w:firstLineChars="0"/>
              <w:rPr>
                <w:rFonts w:ascii="Times New Roman"/>
                <w:sz w:val="24"/>
                <w:szCs w:val="24"/>
              </w:rPr>
            </w:pPr>
            <w:r>
              <w:rPr>
                <w:rFonts w:ascii="Times New Roman"/>
                <w:sz w:val="24"/>
                <w:szCs w:val="24"/>
              </w:rPr>
              <w:t>E面</w:t>
            </w:r>
          </w:p>
        </w:tc>
        <w:tc>
          <w:tcPr>
            <w:tcW w:w="3936" w:type="dxa"/>
            <w:vMerge/>
            <w:vAlign w:val="center"/>
          </w:tcPr>
          <w:p>
            <w:pPr>
              <w:pStyle w:val="a2"/>
              <w:ind w:firstLine="0" w:firstLineChars="0"/>
              <w:rPr>
                <w:rFonts w:ascii="Times New Roman"/>
                <w:sz w:val="24"/>
                <w:szCs w:val="24"/>
              </w:rPr>
            </w:pPr>
          </w:p>
        </w:tc>
      </w:tr>
      <w:tr>
        <w:tblPrEx>
          <w:tblW w:w="9002" w:type="dxa"/>
          <w:jc w:val="center"/>
          <w:tblLayout w:type="fixed"/>
          <w:tblCellMar>
            <w:top w:w="0" w:type="dxa"/>
            <w:left w:w="108" w:type="dxa"/>
            <w:bottom w:w="0" w:type="dxa"/>
            <w:right w:w="108" w:type="dxa"/>
          </w:tblCellMar>
          <w:tblLook w:val="0000"/>
        </w:tblPrEx>
        <w:trPr>
          <w:cantSplit/>
          <w:trHeight w:val="215"/>
          <w:jc w:val="center"/>
        </w:trPr>
        <w:tc>
          <w:tcPr>
            <w:tcW w:w="2409" w:type="dxa"/>
            <w:gridSpan w:val="5"/>
            <w:vMerge/>
            <w:vAlign w:val="center"/>
          </w:tcPr>
          <w:p>
            <w:pPr>
              <w:pStyle w:val="a2"/>
              <w:ind w:firstLine="0" w:firstLineChars="0"/>
              <w:rPr>
                <w:rFonts w:ascii="Times New Roman"/>
                <w:sz w:val="24"/>
                <w:szCs w:val="24"/>
              </w:rPr>
            </w:pPr>
          </w:p>
        </w:tc>
        <w:tc>
          <w:tcPr>
            <w:tcW w:w="830" w:type="dxa"/>
            <w:gridSpan w:val="3"/>
            <w:vMerge w:val="restart"/>
            <w:vAlign w:val="center"/>
          </w:tcPr>
          <w:p>
            <w:pPr>
              <w:pStyle w:val="a2"/>
              <w:ind w:firstLine="0" w:firstLineChars="0"/>
              <w:rPr>
                <w:rFonts w:ascii="Times New Roman"/>
                <w:sz w:val="24"/>
                <w:szCs w:val="24"/>
              </w:rPr>
            </w:pPr>
            <w:r>
              <w:rPr>
                <w:rFonts w:ascii="Times New Roman"/>
                <w:sz w:val="24"/>
                <w:szCs w:val="24"/>
              </w:rPr>
              <w:t>垂直</w:t>
            </w:r>
          </w:p>
        </w:tc>
        <w:tc>
          <w:tcPr>
            <w:tcW w:w="1827" w:type="dxa"/>
            <w:gridSpan w:val="2"/>
            <w:vAlign w:val="center"/>
          </w:tcPr>
          <w:p>
            <w:pPr>
              <w:pStyle w:val="a2"/>
              <w:ind w:firstLine="0" w:firstLineChars="0"/>
              <w:rPr>
                <w:rFonts w:ascii="Times New Roman"/>
                <w:sz w:val="24"/>
                <w:szCs w:val="24"/>
              </w:rPr>
            </w:pPr>
            <w:r>
              <w:rPr>
                <w:rFonts w:ascii="Times New Roman"/>
                <w:sz w:val="24"/>
                <w:szCs w:val="24"/>
              </w:rPr>
              <w:t>H面</w:t>
            </w:r>
          </w:p>
        </w:tc>
        <w:tc>
          <w:tcPr>
            <w:tcW w:w="3936" w:type="dxa"/>
            <w:vMerge w:val="restart"/>
            <w:vAlign w:val="center"/>
          </w:tcPr>
          <w:p>
            <w:pPr>
              <w:pStyle w:val="a2"/>
              <w:ind w:firstLine="0" w:firstLineChars="0"/>
              <w:rPr>
                <w:rFonts w:ascii="Times New Roman"/>
                <w:sz w:val="24"/>
                <w:szCs w:val="24"/>
              </w:rPr>
            </w:pPr>
            <w:r>
              <w:rPr>
                <w:rFonts w:ascii="Times New Roman"/>
                <w:sz w:val="24"/>
                <w:szCs w:val="24"/>
              </w:rPr>
              <w:t>≤1.0</w:t>
            </w:r>
          </w:p>
        </w:tc>
      </w:tr>
      <w:tr>
        <w:tblPrEx>
          <w:tblW w:w="9002" w:type="dxa"/>
          <w:jc w:val="center"/>
          <w:tblLayout w:type="fixed"/>
          <w:tblCellMar>
            <w:top w:w="0" w:type="dxa"/>
            <w:left w:w="108" w:type="dxa"/>
            <w:bottom w:w="0" w:type="dxa"/>
            <w:right w:w="108" w:type="dxa"/>
          </w:tblCellMar>
          <w:tblLook w:val="0000"/>
        </w:tblPrEx>
        <w:trPr>
          <w:cantSplit/>
          <w:trHeight w:val="215"/>
          <w:jc w:val="center"/>
        </w:trPr>
        <w:tc>
          <w:tcPr>
            <w:tcW w:w="2409" w:type="dxa"/>
            <w:gridSpan w:val="5"/>
            <w:vMerge/>
            <w:vAlign w:val="center"/>
          </w:tcPr>
          <w:p>
            <w:pPr>
              <w:pStyle w:val="a2"/>
              <w:ind w:firstLine="0" w:firstLineChars="0"/>
              <w:rPr>
                <w:rFonts w:ascii="Times New Roman"/>
                <w:sz w:val="24"/>
                <w:szCs w:val="24"/>
              </w:rPr>
            </w:pPr>
          </w:p>
        </w:tc>
        <w:tc>
          <w:tcPr>
            <w:tcW w:w="830" w:type="dxa"/>
            <w:gridSpan w:val="3"/>
            <w:vMerge/>
            <w:vAlign w:val="center"/>
          </w:tcPr>
          <w:p>
            <w:pPr>
              <w:pStyle w:val="a2"/>
              <w:ind w:firstLine="0" w:firstLineChars="0"/>
              <w:rPr>
                <w:rFonts w:ascii="Times New Roman"/>
                <w:sz w:val="24"/>
                <w:szCs w:val="24"/>
              </w:rPr>
            </w:pPr>
          </w:p>
        </w:tc>
        <w:tc>
          <w:tcPr>
            <w:tcW w:w="1827" w:type="dxa"/>
            <w:gridSpan w:val="2"/>
            <w:vAlign w:val="center"/>
          </w:tcPr>
          <w:p>
            <w:pPr>
              <w:pStyle w:val="a2"/>
              <w:ind w:firstLine="0" w:firstLineChars="0"/>
              <w:rPr>
                <w:rFonts w:ascii="Times New Roman"/>
                <w:sz w:val="24"/>
                <w:szCs w:val="24"/>
              </w:rPr>
            </w:pPr>
            <w:r>
              <w:rPr>
                <w:rFonts w:ascii="Times New Roman"/>
                <w:sz w:val="24"/>
                <w:szCs w:val="24"/>
              </w:rPr>
              <w:t>E面</w:t>
            </w:r>
          </w:p>
        </w:tc>
        <w:tc>
          <w:tcPr>
            <w:tcW w:w="3936" w:type="dxa"/>
            <w:vMerge/>
            <w:vAlign w:val="center"/>
          </w:tcPr>
          <w:p>
            <w:pPr>
              <w:pStyle w:val="a2"/>
              <w:ind w:firstLine="0" w:firstLineChars="0"/>
              <w:rPr>
                <w:rFonts w:ascii="Times New Roman"/>
                <w:sz w:val="24"/>
                <w:szCs w:val="24"/>
              </w:rPr>
            </w:pPr>
          </w:p>
        </w:tc>
      </w:tr>
      <w:tr>
        <w:tblPrEx>
          <w:tblW w:w="9002" w:type="dxa"/>
          <w:jc w:val="center"/>
          <w:tblLayout w:type="fixed"/>
          <w:tblCellMar>
            <w:top w:w="0" w:type="dxa"/>
            <w:left w:w="108" w:type="dxa"/>
            <w:bottom w:w="0" w:type="dxa"/>
            <w:right w:w="108" w:type="dxa"/>
          </w:tblCellMar>
          <w:tblLook w:val="0000"/>
        </w:tblPrEx>
        <w:trPr>
          <w:cantSplit/>
          <w:trHeight w:val="215"/>
          <w:jc w:val="center"/>
        </w:trPr>
        <w:tc>
          <w:tcPr>
            <w:tcW w:w="2409" w:type="dxa"/>
            <w:gridSpan w:val="5"/>
            <w:vMerge w:val="restart"/>
            <w:vAlign w:val="center"/>
          </w:tcPr>
          <w:p>
            <w:pPr>
              <w:pStyle w:val="a2"/>
              <w:ind w:firstLine="0" w:firstLineChars="0"/>
              <w:rPr>
                <w:rFonts w:ascii="Times New Roman"/>
                <w:sz w:val="24"/>
                <w:szCs w:val="24"/>
              </w:rPr>
            </w:pPr>
            <w:r>
              <w:rPr>
                <w:rFonts w:ascii="Times New Roman"/>
                <w:sz w:val="24"/>
                <w:szCs w:val="24"/>
              </w:rPr>
              <w:t>双极化波束宽度差异(°)</w:t>
            </w:r>
          </w:p>
        </w:tc>
        <w:tc>
          <w:tcPr>
            <w:tcW w:w="2657" w:type="dxa"/>
            <w:gridSpan w:val="5"/>
            <w:vAlign w:val="center"/>
          </w:tcPr>
          <w:p>
            <w:pPr>
              <w:pStyle w:val="a2"/>
              <w:ind w:firstLine="0" w:firstLineChars="0"/>
              <w:rPr>
                <w:rFonts w:ascii="Times New Roman"/>
                <w:sz w:val="24"/>
                <w:szCs w:val="24"/>
              </w:rPr>
            </w:pPr>
            <w:r>
              <w:rPr>
                <w:rFonts w:ascii="Times New Roman"/>
                <w:sz w:val="24"/>
                <w:szCs w:val="24"/>
              </w:rPr>
              <w:t>H面</w:t>
            </w:r>
          </w:p>
        </w:tc>
        <w:tc>
          <w:tcPr>
            <w:tcW w:w="3936" w:type="dxa"/>
            <w:vMerge w:val="restart"/>
            <w:vAlign w:val="center"/>
          </w:tcPr>
          <w:p>
            <w:pPr>
              <w:pStyle w:val="a2"/>
              <w:ind w:firstLine="0" w:firstLineChars="0"/>
              <w:rPr>
                <w:rFonts w:ascii="Times New Roman"/>
                <w:sz w:val="24"/>
                <w:szCs w:val="24"/>
              </w:rPr>
            </w:pPr>
            <w:r>
              <w:rPr>
                <w:rFonts w:ascii="Times New Roman"/>
                <w:sz w:val="24"/>
                <w:szCs w:val="24"/>
              </w:rPr>
              <w:t>≤0.1</w:t>
            </w:r>
            <w:r>
              <w:rPr>
                <w:rFonts w:ascii="Times New Roman" w:hint="eastAsia"/>
                <w:sz w:val="24"/>
                <w:szCs w:val="24"/>
              </w:rPr>
              <w:t>（</w:t>
            </w:r>
            <w:r>
              <w:rPr>
                <w:rFonts w:ascii="Times New Roman"/>
                <w:sz w:val="24"/>
                <w:szCs w:val="24"/>
              </w:rPr>
              <w:t>3dB处</w:t>
            </w:r>
            <w:r>
              <w:rPr>
                <w:rFonts w:ascii="Times New Roman" w:hint="eastAsia"/>
                <w:sz w:val="24"/>
                <w:szCs w:val="24"/>
              </w:rPr>
              <w:t>）</w:t>
            </w:r>
          </w:p>
        </w:tc>
      </w:tr>
      <w:tr>
        <w:tblPrEx>
          <w:tblW w:w="9002" w:type="dxa"/>
          <w:jc w:val="center"/>
          <w:tblLayout w:type="fixed"/>
          <w:tblCellMar>
            <w:top w:w="0" w:type="dxa"/>
            <w:left w:w="108" w:type="dxa"/>
            <w:bottom w:w="0" w:type="dxa"/>
            <w:right w:w="108" w:type="dxa"/>
          </w:tblCellMar>
          <w:tblLook w:val="0000"/>
        </w:tblPrEx>
        <w:trPr>
          <w:cantSplit/>
          <w:trHeight w:val="215"/>
          <w:jc w:val="center"/>
        </w:trPr>
        <w:tc>
          <w:tcPr>
            <w:tcW w:w="2409" w:type="dxa"/>
            <w:gridSpan w:val="5"/>
            <w:vMerge/>
            <w:vAlign w:val="center"/>
          </w:tcPr>
          <w:p>
            <w:pPr>
              <w:pStyle w:val="a2"/>
              <w:ind w:firstLine="0" w:firstLineChars="0"/>
              <w:rPr>
                <w:rFonts w:ascii="Times New Roman"/>
                <w:sz w:val="24"/>
                <w:szCs w:val="24"/>
              </w:rPr>
            </w:pPr>
          </w:p>
        </w:tc>
        <w:tc>
          <w:tcPr>
            <w:tcW w:w="2657" w:type="dxa"/>
            <w:gridSpan w:val="5"/>
            <w:vAlign w:val="center"/>
          </w:tcPr>
          <w:p>
            <w:pPr>
              <w:pStyle w:val="a2"/>
              <w:ind w:firstLine="0" w:firstLineChars="0"/>
              <w:rPr>
                <w:rFonts w:ascii="Times New Roman"/>
                <w:sz w:val="24"/>
                <w:szCs w:val="24"/>
              </w:rPr>
            </w:pPr>
            <w:r>
              <w:rPr>
                <w:rFonts w:ascii="Times New Roman"/>
                <w:sz w:val="24"/>
                <w:szCs w:val="24"/>
              </w:rPr>
              <w:t>E面</w:t>
            </w:r>
          </w:p>
        </w:tc>
        <w:tc>
          <w:tcPr>
            <w:tcW w:w="3936" w:type="dxa"/>
            <w:vMerge/>
            <w:vAlign w:val="center"/>
          </w:tcPr>
          <w:p>
            <w:pPr>
              <w:pStyle w:val="a2"/>
              <w:ind w:firstLine="0" w:firstLineChars="0"/>
              <w:rPr>
                <w:rFonts w:ascii="Times New Roman"/>
                <w:sz w:val="24"/>
                <w:szCs w:val="24"/>
              </w:rPr>
            </w:pPr>
          </w:p>
        </w:tc>
      </w:tr>
      <w:tr>
        <w:tblPrEx>
          <w:tblW w:w="9002" w:type="dxa"/>
          <w:jc w:val="center"/>
          <w:tblLayout w:type="fixed"/>
          <w:tblCellMar>
            <w:top w:w="0" w:type="dxa"/>
            <w:left w:w="108" w:type="dxa"/>
            <w:bottom w:w="0" w:type="dxa"/>
            <w:right w:w="108" w:type="dxa"/>
          </w:tblCellMar>
          <w:tblLook w:val="0000"/>
        </w:tblPrEx>
        <w:trPr>
          <w:cantSplit/>
          <w:jc w:val="center"/>
        </w:trPr>
        <w:tc>
          <w:tcPr>
            <w:tcW w:w="5066" w:type="dxa"/>
            <w:gridSpan w:val="10"/>
            <w:vAlign w:val="center"/>
          </w:tcPr>
          <w:p>
            <w:pPr>
              <w:pStyle w:val="a2"/>
              <w:ind w:firstLine="0" w:firstLineChars="0"/>
              <w:rPr>
                <w:rFonts w:ascii="Times New Roman"/>
                <w:sz w:val="24"/>
                <w:szCs w:val="24"/>
              </w:rPr>
            </w:pPr>
            <w:r>
              <w:rPr>
                <w:rFonts w:ascii="Times New Roman"/>
                <w:sz w:val="24"/>
                <w:szCs w:val="24"/>
              </w:rPr>
              <w:t>第一旁瓣电平(dB)</w:t>
            </w:r>
          </w:p>
        </w:tc>
        <w:tc>
          <w:tcPr>
            <w:tcW w:w="3936" w:type="dxa"/>
            <w:vAlign w:val="center"/>
          </w:tcPr>
          <w:p>
            <w:pPr>
              <w:pStyle w:val="a2"/>
              <w:ind w:firstLine="0" w:firstLineChars="0"/>
              <w:rPr>
                <w:rFonts w:ascii="Times New Roman"/>
                <w:sz w:val="24"/>
                <w:szCs w:val="24"/>
              </w:rPr>
            </w:pPr>
            <w:r>
              <w:rPr>
                <w:rFonts w:ascii="Times New Roman"/>
                <w:sz w:val="24"/>
                <w:szCs w:val="24"/>
              </w:rPr>
              <w:t>≤-2</w:t>
            </w:r>
            <w:r>
              <w:rPr>
                <w:rFonts w:ascii="Times New Roman" w:hint="eastAsia"/>
                <w:sz w:val="24"/>
                <w:szCs w:val="24"/>
              </w:rPr>
              <w:t>7</w:t>
            </w:r>
            <w:r>
              <w:rPr>
                <w:rFonts w:ascii="Times New Roman"/>
                <w:sz w:val="24"/>
                <w:szCs w:val="24"/>
              </w:rPr>
              <w:t>.0</w:t>
            </w:r>
          </w:p>
        </w:tc>
      </w:tr>
      <w:tr>
        <w:tblPrEx>
          <w:tblW w:w="9002" w:type="dxa"/>
          <w:jc w:val="center"/>
          <w:tblLayout w:type="fixed"/>
          <w:tblCellMar>
            <w:top w:w="0" w:type="dxa"/>
            <w:left w:w="108" w:type="dxa"/>
            <w:bottom w:w="0" w:type="dxa"/>
            <w:right w:w="108" w:type="dxa"/>
          </w:tblCellMar>
          <w:tblLook w:val="0000"/>
        </w:tblPrEx>
        <w:trPr>
          <w:cantSplit/>
          <w:jc w:val="center"/>
        </w:trPr>
        <w:tc>
          <w:tcPr>
            <w:tcW w:w="5066" w:type="dxa"/>
            <w:gridSpan w:val="10"/>
            <w:vAlign w:val="center"/>
          </w:tcPr>
          <w:p>
            <w:pPr>
              <w:pStyle w:val="a2"/>
              <w:ind w:firstLine="0" w:firstLineChars="0"/>
              <w:rPr>
                <w:rFonts w:cs="宋体" w:hint="eastAsia"/>
                <w:bCs/>
                <w:color w:val="auto"/>
              </w:rPr>
            </w:pPr>
            <w:r>
              <w:rPr>
                <w:rFonts w:ascii="Times New Roman"/>
                <w:sz w:val="24"/>
                <w:szCs w:val="24"/>
              </w:rPr>
              <w:t>旁瓣电平(dB)</w:t>
            </w:r>
          </w:p>
        </w:tc>
        <w:tc>
          <w:tcPr>
            <w:tcW w:w="3936" w:type="dxa"/>
            <w:vAlign w:val="center"/>
          </w:tcPr>
          <w:p>
            <w:pPr>
              <w:pStyle w:val="a2"/>
              <w:ind w:firstLine="0" w:firstLineChars="0"/>
              <w:rPr>
                <w:rFonts w:ascii="Times New Roman"/>
                <w:sz w:val="24"/>
                <w:szCs w:val="24"/>
              </w:rPr>
            </w:pPr>
            <w:r>
              <w:rPr>
                <w:rFonts w:ascii="Times New Roman"/>
                <w:sz w:val="24"/>
                <w:szCs w:val="24"/>
              </w:rPr>
              <w:t>≤-38.0  （ ±10°处）</w:t>
            </w:r>
          </w:p>
        </w:tc>
      </w:tr>
      <w:tr>
        <w:tblPrEx>
          <w:tblW w:w="9002" w:type="dxa"/>
          <w:jc w:val="center"/>
          <w:tblLayout w:type="fixed"/>
          <w:tblCellMar>
            <w:top w:w="0" w:type="dxa"/>
            <w:left w:w="108" w:type="dxa"/>
            <w:bottom w:w="0" w:type="dxa"/>
            <w:right w:w="108" w:type="dxa"/>
          </w:tblCellMar>
          <w:tblLook w:val="0000"/>
        </w:tblPrEx>
        <w:trPr>
          <w:cantSplit/>
          <w:jc w:val="center"/>
        </w:trPr>
        <w:tc>
          <w:tcPr>
            <w:tcW w:w="5066" w:type="dxa"/>
            <w:gridSpan w:val="10"/>
            <w:vAlign w:val="center"/>
          </w:tcPr>
          <w:p>
            <w:pPr>
              <w:pStyle w:val="a2"/>
              <w:ind w:firstLine="0" w:firstLineChars="0"/>
              <w:rPr>
                <w:rFonts w:ascii="Times New Roman"/>
                <w:sz w:val="24"/>
                <w:szCs w:val="24"/>
              </w:rPr>
            </w:pPr>
            <w:r>
              <w:rPr>
                <w:rFonts w:ascii="Times New Roman"/>
                <w:sz w:val="24"/>
                <w:szCs w:val="24"/>
              </w:rPr>
              <w:t>远端旁瓣电平(dB)</w:t>
            </w:r>
          </w:p>
        </w:tc>
        <w:tc>
          <w:tcPr>
            <w:tcW w:w="3936" w:type="dxa"/>
            <w:vAlign w:val="center"/>
          </w:tcPr>
          <w:p>
            <w:pPr>
              <w:pStyle w:val="a2"/>
              <w:ind w:firstLine="0" w:firstLineChars="0"/>
              <w:rPr>
                <w:rFonts w:ascii="Times New Roman"/>
                <w:sz w:val="24"/>
                <w:szCs w:val="24"/>
              </w:rPr>
            </w:pPr>
            <w:r>
              <w:rPr>
                <w:rFonts w:ascii="Times New Roman"/>
                <w:sz w:val="24"/>
                <w:szCs w:val="24"/>
              </w:rPr>
              <w:t>≤-40.0 （±10°以外）</w:t>
            </w:r>
          </w:p>
        </w:tc>
      </w:tr>
      <w:tr>
        <w:tblPrEx>
          <w:tblW w:w="9002" w:type="dxa"/>
          <w:jc w:val="center"/>
          <w:tblLayout w:type="fixed"/>
          <w:tblCellMar>
            <w:top w:w="0" w:type="dxa"/>
            <w:left w:w="108" w:type="dxa"/>
            <w:bottom w:w="0" w:type="dxa"/>
            <w:right w:w="108" w:type="dxa"/>
          </w:tblCellMar>
          <w:tblLook w:val="0000"/>
        </w:tblPrEx>
        <w:trPr>
          <w:cantSplit/>
          <w:jc w:val="center"/>
        </w:trPr>
        <w:tc>
          <w:tcPr>
            <w:tcW w:w="2409" w:type="dxa"/>
            <w:gridSpan w:val="5"/>
            <w:vMerge w:val="restart"/>
            <w:vAlign w:val="center"/>
          </w:tcPr>
          <w:p>
            <w:pPr>
              <w:pStyle w:val="a2"/>
              <w:ind w:firstLine="0" w:firstLineChars="0"/>
              <w:rPr>
                <w:rFonts w:ascii="Times New Roman"/>
                <w:sz w:val="24"/>
                <w:szCs w:val="24"/>
              </w:rPr>
            </w:pPr>
            <w:r>
              <w:rPr>
                <w:rFonts w:ascii="Times New Roman"/>
                <w:color w:val="FF0000"/>
                <w:sz w:val="24"/>
                <w:szCs w:val="24"/>
              </w:rPr>
              <w:t>#</w:t>
            </w:r>
            <w:r>
              <w:rPr>
                <w:rFonts w:ascii="Times New Roman"/>
                <w:sz w:val="24"/>
                <w:szCs w:val="24"/>
              </w:rPr>
              <w:t>交叉极化隔离度(dB)</w:t>
            </w:r>
          </w:p>
        </w:tc>
        <w:tc>
          <w:tcPr>
            <w:tcW w:w="2657" w:type="dxa"/>
            <w:gridSpan w:val="5"/>
            <w:vAlign w:val="center"/>
          </w:tcPr>
          <w:p>
            <w:pPr>
              <w:pStyle w:val="a2"/>
              <w:ind w:firstLine="0" w:firstLineChars="0"/>
              <w:rPr>
                <w:rFonts w:ascii="Times New Roman"/>
                <w:sz w:val="24"/>
                <w:szCs w:val="24"/>
              </w:rPr>
            </w:pPr>
            <w:r>
              <w:rPr>
                <w:rFonts w:ascii="Times New Roman"/>
                <w:sz w:val="24"/>
                <w:szCs w:val="24"/>
              </w:rPr>
              <w:t>水平</w:t>
            </w:r>
          </w:p>
        </w:tc>
        <w:tc>
          <w:tcPr>
            <w:tcW w:w="3936" w:type="dxa"/>
            <w:vMerge w:val="restart"/>
            <w:vAlign w:val="center"/>
          </w:tcPr>
          <w:p>
            <w:pPr>
              <w:pStyle w:val="a2"/>
              <w:ind w:firstLine="0" w:firstLineChars="0"/>
              <w:rPr>
                <w:rFonts w:ascii="Times New Roman"/>
                <w:sz w:val="24"/>
                <w:szCs w:val="24"/>
              </w:rPr>
            </w:pPr>
            <w:r>
              <w:rPr>
                <w:rFonts w:ascii="Times New Roman"/>
                <w:sz w:val="24"/>
                <w:szCs w:val="24"/>
              </w:rPr>
              <w:t>≥35.0</w:t>
            </w:r>
          </w:p>
        </w:tc>
      </w:tr>
      <w:tr>
        <w:tblPrEx>
          <w:tblW w:w="9002" w:type="dxa"/>
          <w:jc w:val="center"/>
          <w:tblLayout w:type="fixed"/>
          <w:tblCellMar>
            <w:top w:w="0" w:type="dxa"/>
            <w:left w:w="108" w:type="dxa"/>
            <w:bottom w:w="0" w:type="dxa"/>
            <w:right w:w="108" w:type="dxa"/>
          </w:tblCellMar>
          <w:tblLook w:val="0000"/>
        </w:tblPrEx>
        <w:trPr>
          <w:cantSplit/>
          <w:jc w:val="center"/>
        </w:trPr>
        <w:tc>
          <w:tcPr>
            <w:tcW w:w="2409" w:type="dxa"/>
            <w:gridSpan w:val="5"/>
            <w:vMerge/>
            <w:vAlign w:val="center"/>
          </w:tcPr>
          <w:p>
            <w:pPr>
              <w:pStyle w:val="a2"/>
              <w:ind w:firstLine="0" w:firstLineChars="0"/>
              <w:rPr>
                <w:rFonts w:ascii="Times New Roman"/>
                <w:sz w:val="24"/>
                <w:szCs w:val="24"/>
              </w:rPr>
            </w:pPr>
          </w:p>
        </w:tc>
        <w:tc>
          <w:tcPr>
            <w:tcW w:w="2657" w:type="dxa"/>
            <w:gridSpan w:val="5"/>
            <w:vAlign w:val="center"/>
          </w:tcPr>
          <w:p>
            <w:pPr>
              <w:pStyle w:val="a2"/>
              <w:ind w:firstLine="0" w:firstLineChars="0"/>
              <w:rPr>
                <w:rFonts w:ascii="Times New Roman"/>
                <w:sz w:val="24"/>
                <w:szCs w:val="24"/>
              </w:rPr>
            </w:pPr>
            <w:r>
              <w:rPr>
                <w:rFonts w:ascii="Times New Roman"/>
                <w:sz w:val="24"/>
                <w:szCs w:val="24"/>
              </w:rPr>
              <w:t>垂直</w:t>
            </w:r>
          </w:p>
        </w:tc>
        <w:tc>
          <w:tcPr>
            <w:tcW w:w="3936" w:type="dxa"/>
            <w:vMerge/>
            <w:vAlign w:val="center"/>
          </w:tcPr>
          <w:p>
            <w:pPr>
              <w:pStyle w:val="a2"/>
              <w:ind w:firstLine="0" w:firstLineChars="0"/>
              <w:rPr>
                <w:rFonts w:ascii="Times New Roman"/>
                <w:sz w:val="24"/>
                <w:szCs w:val="24"/>
              </w:rPr>
            </w:pPr>
          </w:p>
        </w:tc>
      </w:tr>
      <w:tr>
        <w:tblPrEx>
          <w:tblW w:w="9002" w:type="dxa"/>
          <w:jc w:val="center"/>
          <w:tblLayout w:type="fixed"/>
          <w:tblCellMar>
            <w:top w:w="0" w:type="dxa"/>
            <w:left w:w="108" w:type="dxa"/>
            <w:bottom w:w="0" w:type="dxa"/>
            <w:right w:w="108" w:type="dxa"/>
          </w:tblCellMar>
          <w:tblLook w:val="0000"/>
        </w:tblPrEx>
        <w:trPr>
          <w:cantSplit/>
          <w:trHeight w:val="197"/>
          <w:jc w:val="center"/>
        </w:trPr>
        <w:tc>
          <w:tcPr>
            <w:tcW w:w="5066" w:type="dxa"/>
            <w:gridSpan w:val="10"/>
            <w:vAlign w:val="center"/>
          </w:tcPr>
          <w:p>
            <w:pPr>
              <w:pStyle w:val="a2"/>
              <w:ind w:firstLine="0" w:firstLineChars="0"/>
              <w:rPr>
                <w:rFonts w:ascii="Times New Roman"/>
                <w:sz w:val="24"/>
                <w:szCs w:val="24"/>
              </w:rPr>
            </w:pPr>
            <w:r>
              <w:rPr>
                <w:rFonts w:ascii="Times New Roman"/>
                <w:sz w:val="24"/>
                <w:szCs w:val="24"/>
              </w:rPr>
              <w:t>双极化正交度(°)</w:t>
            </w:r>
          </w:p>
        </w:tc>
        <w:tc>
          <w:tcPr>
            <w:tcW w:w="3936" w:type="dxa"/>
            <w:vAlign w:val="center"/>
          </w:tcPr>
          <w:p>
            <w:pPr>
              <w:pStyle w:val="a2"/>
              <w:ind w:firstLine="0" w:firstLineChars="0"/>
              <w:rPr>
                <w:rFonts w:ascii="Times New Roman"/>
                <w:sz w:val="24"/>
                <w:szCs w:val="24"/>
              </w:rPr>
            </w:pPr>
            <w:r>
              <w:rPr>
                <w:rFonts w:ascii="Times New Roman"/>
                <w:sz w:val="24"/>
                <w:szCs w:val="24"/>
              </w:rPr>
              <w:t>90±0.03</w:t>
            </w:r>
          </w:p>
        </w:tc>
      </w:tr>
      <w:tr>
        <w:tblPrEx>
          <w:tblW w:w="9002" w:type="dxa"/>
          <w:jc w:val="center"/>
          <w:tblLayout w:type="fixed"/>
          <w:tblCellMar>
            <w:top w:w="0" w:type="dxa"/>
            <w:left w:w="108" w:type="dxa"/>
            <w:bottom w:w="0" w:type="dxa"/>
            <w:right w:w="108" w:type="dxa"/>
          </w:tblCellMar>
          <w:tblLook w:val="0000"/>
        </w:tblPrEx>
        <w:trPr>
          <w:cantSplit/>
          <w:jc w:val="center"/>
        </w:trPr>
        <w:tc>
          <w:tcPr>
            <w:tcW w:w="9002" w:type="dxa"/>
            <w:gridSpan w:val="11"/>
            <w:vAlign w:val="center"/>
          </w:tcPr>
          <w:p>
            <w:pPr>
              <w:pStyle w:val="a2"/>
              <w:ind w:firstLine="0" w:firstLineChars="0"/>
              <w:rPr>
                <w:rFonts w:ascii="Times New Roman"/>
                <w:b/>
                <w:sz w:val="24"/>
                <w:szCs w:val="24"/>
              </w:rPr>
            </w:pPr>
            <w:r>
              <w:rPr>
                <w:rFonts w:ascii="Times New Roman"/>
                <w:b/>
                <w:sz w:val="24"/>
                <w:szCs w:val="24"/>
              </w:rPr>
              <w:t>馈线系统</w:t>
            </w:r>
          </w:p>
        </w:tc>
      </w:tr>
      <w:tr>
        <w:tblPrEx>
          <w:tblW w:w="9002" w:type="dxa"/>
          <w:jc w:val="center"/>
          <w:tblLayout w:type="fixed"/>
          <w:tblCellMar>
            <w:top w:w="0" w:type="dxa"/>
            <w:left w:w="108" w:type="dxa"/>
            <w:bottom w:w="0" w:type="dxa"/>
            <w:right w:w="108" w:type="dxa"/>
          </w:tblCellMar>
          <w:tblLook w:val="0000"/>
        </w:tblPrEx>
        <w:trPr>
          <w:cantSplit/>
          <w:trHeight w:val="136"/>
          <w:jc w:val="center"/>
        </w:trPr>
        <w:tc>
          <w:tcPr>
            <w:tcW w:w="959" w:type="dxa"/>
            <w:gridSpan w:val="2"/>
            <w:vMerge w:val="restart"/>
            <w:vAlign w:val="center"/>
          </w:tcPr>
          <w:p>
            <w:pPr>
              <w:pStyle w:val="a2"/>
              <w:ind w:firstLine="0" w:firstLineChars="0"/>
              <w:jc w:val="both"/>
              <w:rPr>
                <w:rFonts w:ascii="Times New Roman"/>
                <w:sz w:val="24"/>
                <w:szCs w:val="24"/>
              </w:rPr>
            </w:pPr>
            <w:r>
              <w:rPr>
                <w:rFonts w:ascii="Times New Roman"/>
                <w:sz w:val="24"/>
                <w:szCs w:val="24"/>
              </w:rPr>
              <w:t>收发支路损耗(dB)</w:t>
            </w:r>
          </w:p>
        </w:tc>
        <w:tc>
          <w:tcPr>
            <w:tcW w:w="830" w:type="dxa"/>
            <w:vMerge w:val="restart"/>
            <w:vAlign w:val="center"/>
          </w:tcPr>
          <w:p>
            <w:pPr>
              <w:pStyle w:val="a2"/>
              <w:ind w:firstLine="0" w:firstLineChars="0"/>
              <w:jc w:val="both"/>
              <w:rPr>
                <w:rFonts w:ascii="Times New Roman" w:hAnsi="Times New Roman" w:cs="Times New Roman"/>
                <w:sz w:val="24"/>
                <w:szCs w:val="24"/>
              </w:rPr>
            </w:pPr>
            <w:r>
              <w:rPr>
                <w:rFonts w:ascii="Times New Roman" w:hAnsi="Times New Roman" w:cs="Times New Roman"/>
                <w:sz w:val="24"/>
                <w:szCs w:val="24"/>
              </w:rPr>
              <w:t>单发双收</w:t>
            </w:r>
          </w:p>
        </w:tc>
        <w:tc>
          <w:tcPr>
            <w:tcW w:w="993" w:type="dxa"/>
            <w:gridSpan w:val="4"/>
            <w:vMerge w:val="restart"/>
            <w:vAlign w:val="center"/>
          </w:tcPr>
          <w:p>
            <w:pPr>
              <w:pStyle w:val="a2"/>
              <w:ind w:firstLine="0" w:firstLineChars="0"/>
              <w:rPr>
                <w:rFonts w:ascii="Times New Roman"/>
                <w:sz w:val="24"/>
                <w:szCs w:val="24"/>
              </w:rPr>
            </w:pPr>
            <w:r>
              <w:rPr>
                <w:rFonts w:ascii="Times New Roman"/>
                <w:sz w:val="24"/>
                <w:szCs w:val="24"/>
              </w:rPr>
              <w:t>水平</w:t>
            </w:r>
          </w:p>
        </w:tc>
        <w:tc>
          <w:tcPr>
            <w:tcW w:w="2284" w:type="dxa"/>
            <w:gridSpan w:val="3"/>
            <w:vAlign w:val="center"/>
          </w:tcPr>
          <w:p>
            <w:pPr>
              <w:pStyle w:val="a2"/>
              <w:ind w:firstLine="0" w:firstLineChars="0"/>
              <w:jc w:val="both"/>
              <w:rPr>
                <w:rFonts w:ascii="Times New Roman"/>
                <w:sz w:val="24"/>
                <w:szCs w:val="24"/>
              </w:rPr>
            </w:pPr>
            <w:r>
              <w:rPr>
                <w:rFonts w:ascii="Times New Roman"/>
                <w:sz w:val="24"/>
                <w:szCs w:val="24"/>
              </w:rPr>
              <w:t>发射支路</w:t>
            </w:r>
          </w:p>
        </w:tc>
        <w:tc>
          <w:tcPr>
            <w:tcW w:w="3936" w:type="dxa"/>
            <w:vAlign w:val="center"/>
          </w:tcPr>
          <w:p>
            <w:pPr>
              <w:pStyle w:val="a2"/>
              <w:ind w:firstLine="0" w:firstLineChars="0"/>
              <w:rPr>
                <w:rFonts w:ascii="Times New Roman"/>
                <w:sz w:val="24"/>
                <w:szCs w:val="24"/>
              </w:rPr>
            </w:pPr>
            <w:r>
              <w:rPr>
                <w:rFonts w:ascii="Times New Roman" w:eastAsia="宋体"/>
                <w:sz w:val="24"/>
                <w:szCs w:val="24"/>
              </w:rPr>
              <w:t>≤4.0</w:t>
            </w:r>
          </w:p>
        </w:tc>
      </w:tr>
      <w:tr>
        <w:tblPrEx>
          <w:tblW w:w="9002" w:type="dxa"/>
          <w:jc w:val="center"/>
          <w:tblLayout w:type="fixed"/>
          <w:tblCellMar>
            <w:top w:w="0" w:type="dxa"/>
            <w:left w:w="108" w:type="dxa"/>
            <w:bottom w:w="0" w:type="dxa"/>
            <w:right w:w="108" w:type="dxa"/>
          </w:tblCellMar>
          <w:tblLook w:val="0000"/>
        </w:tblPrEx>
        <w:trPr>
          <w:cantSplit/>
          <w:trHeight w:val="135"/>
          <w:jc w:val="center"/>
        </w:trPr>
        <w:tc>
          <w:tcPr>
            <w:tcW w:w="959" w:type="dxa"/>
            <w:gridSpan w:val="2"/>
            <w:vMerge/>
            <w:vAlign w:val="center"/>
          </w:tcPr>
          <w:p>
            <w:pPr>
              <w:pStyle w:val="a2"/>
              <w:ind w:firstLine="0" w:firstLineChars="0"/>
              <w:rPr>
                <w:rFonts w:ascii="Times New Roman"/>
                <w:sz w:val="24"/>
                <w:szCs w:val="24"/>
              </w:rPr>
            </w:pPr>
          </w:p>
        </w:tc>
        <w:tc>
          <w:tcPr>
            <w:tcW w:w="830" w:type="dxa"/>
            <w:vMerge/>
            <w:vAlign w:val="center"/>
          </w:tcPr>
          <w:p>
            <w:pPr>
              <w:pStyle w:val="a2"/>
              <w:ind w:firstLine="0" w:firstLineChars="0"/>
              <w:jc w:val="both"/>
              <w:rPr>
                <w:rFonts w:ascii="Times New Roman" w:hAnsi="Times New Roman" w:cs="Times New Roman"/>
                <w:sz w:val="24"/>
                <w:szCs w:val="24"/>
              </w:rPr>
            </w:pPr>
          </w:p>
        </w:tc>
        <w:tc>
          <w:tcPr>
            <w:tcW w:w="993" w:type="dxa"/>
            <w:gridSpan w:val="4"/>
            <w:vMerge/>
            <w:vAlign w:val="center"/>
          </w:tcPr>
          <w:p>
            <w:pPr>
              <w:pStyle w:val="a2"/>
              <w:ind w:firstLine="0" w:firstLineChars="0"/>
              <w:rPr>
                <w:rFonts w:ascii="Times New Roman"/>
                <w:sz w:val="24"/>
                <w:szCs w:val="24"/>
              </w:rPr>
            </w:pPr>
          </w:p>
        </w:tc>
        <w:tc>
          <w:tcPr>
            <w:tcW w:w="2284" w:type="dxa"/>
            <w:gridSpan w:val="3"/>
            <w:vAlign w:val="center"/>
          </w:tcPr>
          <w:p>
            <w:pPr>
              <w:pStyle w:val="a2"/>
              <w:ind w:firstLine="0" w:firstLineChars="0"/>
              <w:jc w:val="both"/>
              <w:rPr>
                <w:rFonts w:ascii="Times New Roman"/>
                <w:sz w:val="24"/>
                <w:szCs w:val="24"/>
              </w:rPr>
            </w:pPr>
            <w:r>
              <w:rPr>
                <w:rFonts w:ascii="Times New Roman"/>
                <w:sz w:val="24"/>
                <w:szCs w:val="24"/>
              </w:rPr>
              <w:t>接收支路</w:t>
            </w:r>
          </w:p>
        </w:tc>
        <w:tc>
          <w:tcPr>
            <w:tcW w:w="3936" w:type="dxa"/>
          </w:tcPr>
          <w:p>
            <w:pPr>
              <w:pStyle w:val="a2"/>
              <w:ind w:firstLine="0" w:firstLineChars="0"/>
              <w:rPr>
                <w:rFonts w:ascii="Times New Roman"/>
                <w:sz w:val="24"/>
                <w:szCs w:val="24"/>
              </w:rPr>
            </w:pPr>
            <w:r>
              <w:rPr>
                <w:rFonts w:ascii="Times New Roman" w:eastAsia="宋体"/>
                <w:sz w:val="24"/>
                <w:szCs w:val="24"/>
              </w:rPr>
              <w:t>≤4.0</w:t>
            </w:r>
          </w:p>
        </w:tc>
      </w:tr>
      <w:tr>
        <w:tblPrEx>
          <w:tblW w:w="9002" w:type="dxa"/>
          <w:jc w:val="center"/>
          <w:tblLayout w:type="fixed"/>
          <w:tblCellMar>
            <w:top w:w="0" w:type="dxa"/>
            <w:left w:w="108" w:type="dxa"/>
            <w:bottom w:w="0" w:type="dxa"/>
            <w:right w:w="108" w:type="dxa"/>
          </w:tblCellMar>
          <w:tblLook w:val="0000"/>
        </w:tblPrEx>
        <w:trPr>
          <w:cantSplit/>
          <w:trHeight w:val="136"/>
          <w:jc w:val="center"/>
        </w:trPr>
        <w:tc>
          <w:tcPr>
            <w:tcW w:w="959" w:type="dxa"/>
            <w:gridSpan w:val="2"/>
            <w:vMerge/>
            <w:vAlign w:val="center"/>
          </w:tcPr>
          <w:p>
            <w:pPr>
              <w:pStyle w:val="a2"/>
              <w:ind w:firstLine="0" w:firstLineChars="0"/>
              <w:rPr>
                <w:rFonts w:ascii="Times New Roman"/>
                <w:sz w:val="24"/>
                <w:szCs w:val="24"/>
              </w:rPr>
            </w:pPr>
          </w:p>
        </w:tc>
        <w:tc>
          <w:tcPr>
            <w:tcW w:w="830" w:type="dxa"/>
            <w:vMerge w:val="restart"/>
            <w:vAlign w:val="center"/>
          </w:tcPr>
          <w:p>
            <w:pPr>
              <w:pStyle w:val="a2"/>
              <w:ind w:firstLine="0" w:firstLineChars="0"/>
              <w:jc w:val="both"/>
              <w:rPr>
                <w:rFonts w:ascii="Times New Roman" w:hAnsi="Times New Roman" w:cs="Times New Roman"/>
                <w:sz w:val="24"/>
                <w:szCs w:val="24"/>
              </w:rPr>
            </w:pPr>
            <w:r>
              <w:rPr>
                <w:rFonts w:ascii="Times New Roman" w:hAnsi="Times New Roman" w:cs="Times New Roman"/>
                <w:sz w:val="24"/>
                <w:szCs w:val="24"/>
              </w:rPr>
              <w:t>双发双收</w:t>
            </w:r>
          </w:p>
        </w:tc>
        <w:tc>
          <w:tcPr>
            <w:tcW w:w="993" w:type="dxa"/>
            <w:gridSpan w:val="4"/>
            <w:vMerge w:val="restart"/>
            <w:vAlign w:val="center"/>
          </w:tcPr>
          <w:p>
            <w:pPr>
              <w:pStyle w:val="a2"/>
              <w:ind w:firstLine="0" w:firstLineChars="0"/>
              <w:rPr>
                <w:rFonts w:ascii="Times New Roman"/>
                <w:sz w:val="24"/>
                <w:szCs w:val="24"/>
              </w:rPr>
            </w:pPr>
            <w:r>
              <w:rPr>
                <w:rFonts w:ascii="Times New Roman"/>
                <w:sz w:val="24"/>
                <w:szCs w:val="24"/>
              </w:rPr>
              <w:t>水平</w:t>
            </w:r>
          </w:p>
        </w:tc>
        <w:tc>
          <w:tcPr>
            <w:tcW w:w="2284" w:type="dxa"/>
            <w:gridSpan w:val="3"/>
            <w:vAlign w:val="center"/>
          </w:tcPr>
          <w:p>
            <w:pPr>
              <w:pStyle w:val="a2"/>
              <w:ind w:firstLine="0" w:firstLineChars="0"/>
              <w:jc w:val="both"/>
              <w:rPr>
                <w:rFonts w:ascii="Times New Roman"/>
                <w:sz w:val="24"/>
                <w:szCs w:val="24"/>
              </w:rPr>
            </w:pPr>
            <w:r>
              <w:rPr>
                <w:rFonts w:ascii="Times New Roman"/>
                <w:sz w:val="24"/>
                <w:szCs w:val="24"/>
              </w:rPr>
              <w:t>发射支路</w:t>
            </w:r>
          </w:p>
        </w:tc>
        <w:tc>
          <w:tcPr>
            <w:tcW w:w="3936" w:type="dxa"/>
          </w:tcPr>
          <w:p>
            <w:pPr>
              <w:pStyle w:val="a2"/>
              <w:ind w:firstLine="0" w:firstLineChars="0"/>
              <w:rPr>
                <w:rFonts w:ascii="Times New Roman"/>
                <w:sz w:val="24"/>
                <w:szCs w:val="24"/>
              </w:rPr>
            </w:pPr>
            <w:r>
              <w:rPr>
                <w:rFonts w:ascii="Times New Roman" w:eastAsia="宋体"/>
                <w:sz w:val="24"/>
                <w:szCs w:val="24"/>
              </w:rPr>
              <w:t>≤7.0</w:t>
            </w:r>
          </w:p>
        </w:tc>
      </w:tr>
      <w:tr>
        <w:tblPrEx>
          <w:tblW w:w="9002" w:type="dxa"/>
          <w:jc w:val="center"/>
          <w:tblLayout w:type="fixed"/>
          <w:tblCellMar>
            <w:top w:w="0" w:type="dxa"/>
            <w:left w:w="108" w:type="dxa"/>
            <w:bottom w:w="0" w:type="dxa"/>
            <w:right w:w="108" w:type="dxa"/>
          </w:tblCellMar>
          <w:tblLook w:val="0000"/>
        </w:tblPrEx>
        <w:trPr>
          <w:cantSplit/>
          <w:trHeight w:val="136"/>
          <w:jc w:val="center"/>
        </w:trPr>
        <w:tc>
          <w:tcPr>
            <w:tcW w:w="959" w:type="dxa"/>
            <w:gridSpan w:val="2"/>
            <w:vMerge/>
            <w:vAlign w:val="center"/>
          </w:tcPr>
          <w:p>
            <w:pPr>
              <w:pStyle w:val="a2"/>
              <w:ind w:firstLine="0" w:firstLineChars="0"/>
              <w:rPr>
                <w:rFonts w:ascii="Times New Roman"/>
                <w:sz w:val="24"/>
                <w:szCs w:val="24"/>
              </w:rPr>
            </w:pPr>
          </w:p>
        </w:tc>
        <w:tc>
          <w:tcPr>
            <w:tcW w:w="830" w:type="dxa"/>
            <w:vMerge/>
            <w:vAlign w:val="center"/>
          </w:tcPr>
          <w:p>
            <w:pPr>
              <w:pStyle w:val="a2"/>
              <w:ind w:firstLine="0" w:firstLineChars="0"/>
              <w:rPr>
                <w:rFonts w:ascii="Times New Roman"/>
                <w:sz w:val="24"/>
                <w:szCs w:val="24"/>
              </w:rPr>
            </w:pPr>
          </w:p>
        </w:tc>
        <w:tc>
          <w:tcPr>
            <w:tcW w:w="993" w:type="dxa"/>
            <w:gridSpan w:val="4"/>
            <w:vMerge/>
            <w:vAlign w:val="center"/>
          </w:tcPr>
          <w:p>
            <w:pPr>
              <w:pStyle w:val="a2"/>
              <w:ind w:firstLine="0" w:firstLineChars="0"/>
              <w:rPr>
                <w:rFonts w:ascii="Times New Roman"/>
                <w:sz w:val="24"/>
                <w:szCs w:val="24"/>
              </w:rPr>
            </w:pPr>
          </w:p>
        </w:tc>
        <w:tc>
          <w:tcPr>
            <w:tcW w:w="2284" w:type="dxa"/>
            <w:gridSpan w:val="3"/>
            <w:vAlign w:val="center"/>
          </w:tcPr>
          <w:p>
            <w:pPr>
              <w:pStyle w:val="a2"/>
              <w:ind w:firstLine="0" w:firstLineChars="0"/>
              <w:jc w:val="both"/>
              <w:rPr>
                <w:rFonts w:ascii="Times New Roman"/>
                <w:sz w:val="24"/>
                <w:szCs w:val="24"/>
              </w:rPr>
            </w:pPr>
            <w:r>
              <w:rPr>
                <w:rFonts w:ascii="Times New Roman"/>
                <w:sz w:val="24"/>
                <w:szCs w:val="24"/>
              </w:rPr>
              <w:t>接收支路</w:t>
            </w:r>
          </w:p>
        </w:tc>
        <w:tc>
          <w:tcPr>
            <w:tcW w:w="3936" w:type="dxa"/>
          </w:tcPr>
          <w:p>
            <w:pPr>
              <w:pStyle w:val="a2"/>
              <w:ind w:firstLine="0" w:firstLineChars="0"/>
              <w:rPr>
                <w:rFonts w:ascii="Times New Roman"/>
                <w:sz w:val="24"/>
                <w:szCs w:val="24"/>
              </w:rPr>
            </w:pPr>
            <w:r>
              <w:rPr>
                <w:rFonts w:ascii="Times New Roman" w:eastAsia="宋体"/>
                <w:sz w:val="24"/>
                <w:szCs w:val="24"/>
              </w:rPr>
              <w:t>≤4.0</w:t>
            </w:r>
          </w:p>
        </w:tc>
      </w:tr>
      <w:tr>
        <w:tblPrEx>
          <w:tblW w:w="9002" w:type="dxa"/>
          <w:jc w:val="center"/>
          <w:tblLayout w:type="fixed"/>
          <w:tblCellMar>
            <w:top w:w="0" w:type="dxa"/>
            <w:left w:w="108" w:type="dxa"/>
            <w:bottom w:w="0" w:type="dxa"/>
            <w:right w:w="108" w:type="dxa"/>
          </w:tblCellMar>
          <w:tblLook w:val="0000"/>
        </w:tblPrEx>
        <w:trPr>
          <w:cantSplit/>
          <w:trHeight w:val="135"/>
          <w:jc w:val="center"/>
        </w:trPr>
        <w:tc>
          <w:tcPr>
            <w:tcW w:w="959" w:type="dxa"/>
            <w:gridSpan w:val="2"/>
            <w:vMerge/>
            <w:vAlign w:val="center"/>
          </w:tcPr>
          <w:p>
            <w:pPr>
              <w:pStyle w:val="a2"/>
              <w:ind w:firstLine="0" w:firstLineChars="0"/>
              <w:rPr>
                <w:rFonts w:ascii="Times New Roman"/>
                <w:sz w:val="24"/>
                <w:szCs w:val="24"/>
              </w:rPr>
            </w:pPr>
          </w:p>
        </w:tc>
        <w:tc>
          <w:tcPr>
            <w:tcW w:w="830" w:type="dxa"/>
            <w:vMerge/>
            <w:vAlign w:val="center"/>
          </w:tcPr>
          <w:p>
            <w:pPr>
              <w:pStyle w:val="a2"/>
              <w:ind w:firstLine="0" w:firstLineChars="0"/>
              <w:rPr>
                <w:rFonts w:ascii="Times New Roman"/>
                <w:sz w:val="24"/>
                <w:szCs w:val="24"/>
              </w:rPr>
            </w:pPr>
          </w:p>
        </w:tc>
        <w:tc>
          <w:tcPr>
            <w:tcW w:w="993" w:type="dxa"/>
            <w:gridSpan w:val="4"/>
            <w:vMerge w:val="restart"/>
            <w:vAlign w:val="center"/>
          </w:tcPr>
          <w:p>
            <w:pPr>
              <w:pStyle w:val="a2"/>
              <w:ind w:firstLine="0" w:firstLineChars="0"/>
              <w:rPr>
                <w:rFonts w:ascii="Times New Roman"/>
                <w:sz w:val="24"/>
                <w:szCs w:val="24"/>
              </w:rPr>
            </w:pPr>
            <w:r>
              <w:rPr>
                <w:rFonts w:ascii="Times New Roman"/>
                <w:sz w:val="24"/>
                <w:szCs w:val="24"/>
              </w:rPr>
              <w:t>垂直</w:t>
            </w:r>
          </w:p>
        </w:tc>
        <w:tc>
          <w:tcPr>
            <w:tcW w:w="2284" w:type="dxa"/>
            <w:gridSpan w:val="3"/>
            <w:vAlign w:val="center"/>
          </w:tcPr>
          <w:p>
            <w:pPr>
              <w:pStyle w:val="a2"/>
              <w:ind w:firstLine="0" w:firstLineChars="0"/>
              <w:jc w:val="both"/>
              <w:rPr>
                <w:rFonts w:ascii="Times New Roman"/>
                <w:sz w:val="24"/>
                <w:szCs w:val="24"/>
              </w:rPr>
            </w:pPr>
            <w:r>
              <w:rPr>
                <w:rFonts w:ascii="Times New Roman"/>
                <w:sz w:val="24"/>
                <w:szCs w:val="24"/>
              </w:rPr>
              <w:t>发射支路</w:t>
            </w:r>
          </w:p>
        </w:tc>
        <w:tc>
          <w:tcPr>
            <w:tcW w:w="3936" w:type="dxa"/>
          </w:tcPr>
          <w:p>
            <w:pPr>
              <w:pStyle w:val="a2"/>
              <w:ind w:firstLine="0" w:firstLineChars="0"/>
              <w:rPr>
                <w:rFonts w:ascii="Times New Roman"/>
                <w:sz w:val="24"/>
                <w:szCs w:val="24"/>
              </w:rPr>
            </w:pPr>
            <w:r>
              <w:rPr>
                <w:rFonts w:ascii="Times New Roman" w:eastAsia="宋体"/>
                <w:sz w:val="24"/>
                <w:szCs w:val="24"/>
              </w:rPr>
              <w:t>≤7.0</w:t>
            </w:r>
          </w:p>
        </w:tc>
      </w:tr>
      <w:tr>
        <w:tblPrEx>
          <w:tblW w:w="9002" w:type="dxa"/>
          <w:jc w:val="center"/>
          <w:tblLayout w:type="fixed"/>
          <w:tblCellMar>
            <w:top w:w="0" w:type="dxa"/>
            <w:left w:w="108" w:type="dxa"/>
            <w:bottom w:w="0" w:type="dxa"/>
            <w:right w:w="108" w:type="dxa"/>
          </w:tblCellMar>
          <w:tblLook w:val="0000"/>
        </w:tblPrEx>
        <w:trPr>
          <w:cantSplit/>
          <w:trHeight w:val="135"/>
          <w:jc w:val="center"/>
        </w:trPr>
        <w:tc>
          <w:tcPr>
            <w:tcW w:w="959" w:type="dxa"/>
            <w:gridSpan w:val="2"/>
            <w:vMerge/>
            <w:vAlign w:val="center"/>
          </w:tcPr>
          <w:p>
            <w:pPr>
              <w:pStyle w:val="a2"/>
              <w:ind w:firstLine="0" w:firstLineChars="0"/>
              <w:rPr>
                <w:rFonts w:ascii="Times New Roman"/>
                <w:sz w:val="24"/>
                <w:szCs w:val="24"/>
              </w:rPr>
            </w:pPr>
          </w:p>
        </w:tc>
        <w:tc>
          <w:tcPr>
            <w:tcW w:w="830" w:type="dxa"/>
            <w:vMerge/>
            <w:vAlign w:val="center"/>
          </w:tcPr>
          <w:p>
            <w:pPr>
              <w:pStyle w:val="a2"/>
              <w:ind w:firstLine="0" w:firstLineChars="0"/>
              <w:rPr>
                <w:rFonts w:ascii="Times New Roman"/>
                <w:sz w:val="24"/>
                <w:szCs w:val="24"/>
              </w:rPr>
            </w:pPr>
          </w:p>
        </w:tc>
        <w:tc>
          <w:tcPr>
            <w:tcW w:w="993" w:type="dxa"/>
            <w:gridSpan w:val="4"/>
            <w:vMerge/>
            <w:vAlign w:val="center"/>
          </w:tcPr>
          <w:p>
            <w:pPr>
              <w:pStyle w:val="a2"/>
              <w:ind w:firstLine="0" w:firstLineChars="0"/>
              <w:rPr>
                <w:rFonts w:ascii="Times New Roman"/>
                <w:sz w:val="24"/>
                <w:szCs w:val="24"/>
              </w:rPr>
            </w:pPr>
          </w:p>
        </w:tc>
        <w:tc>
          <w:tcPr>
            <w:tcW w:w="2284" w:type="dxa"/>
            <w:gridSpan w:val="3"/>
            <w:vAlign w:val="center"/>
          </w:tcPr>
          <w:p>
            <w:pPr>
              <w:pStyle w:val="a2"/>
              <w:ind w:firstLine="0" w:firstLineChars="0"/>
              <w:jc w:val="both"/>
              <w:rPr>
                <w:rFonts w:ascii="Times New Roman"/>
                <w:sz w:val="24"/>
                <w:szCs w:val="24"/>
              </w:rPr>
            </w:pPr>
            <w:r>
              <w:rPr>
                <w:rFonts w:ascii="Times New Roman"/>
                <w:sz w:val="24"/>
                <w:szCs w:val="24"/>
              </w:rPr>
              <w:t>接收支路</w:t>
            </w:r>
          </w:p>
        </w:tc>
        <w:tc>
          <w:tcPr>
            <w:tcW w:w="3936" w:type="dxa"/>
          </w:tcPr>
          <w:p>
            <w:pPr>
              <w:pStyle w:val="a2"/>
              <w:ind w:firstLine="0" w:firstLineChars="0"/>
              <w:rPr>
                <w:rFonts w:ascii="Times New Roman"/>
                <w:sz w:val="24"/>
                <w:szCs w:val="24"/>
              </w:rPr>
            </w:pPr>
            <w:r>
              <w:rPr>
                <w:rFonts w:ascii="Times New Roman" w:eastAsia="宋体"/>
                <w:sz w:val="24"/>
                <w:szCs w:val="24"/>
              </w:rPr>
              <w:t>≤4.0</w:t>
            </w:r>
          </w:p>
        </w:tc>
      </w:tr>
      <w:tr>
        <w:tblPrEx>
          <w:tblW w:w="9002" w:type="dxa"/>
          <w:jc w:val="center"/>
          <w:tblLayout w:type="fixed"/>
          <w:tblCellMar>
            <w:top w:w="0" w:type="dxa"/>
            <w:left w:w="108" w:type="dxa"/>
            <w:bottom w:w="0" w:type="dxa"/>
            <w:right w:w="108" w:type="dxa"/>
          </w:tblCellMar>
          <w:tblLook w:val="0000"/>
        </w:tblPrEx>
        <w:trPr>
          <w:cantSplit/>
          <w:trHeight w:val="135"/>
          <w:jc w:val="center"/>
        </w:trPr>
        <w:tc>
          <w:tcPr>
            <w:tcW w:w="2782" w:type="dxa"/>
            <w:gridSpan w:val="7"/>
            <w:vMerge w:val="restart"/>
            <w:vAlign w:val="center"/>
          </w:tcPr>
          <w:p>
            <w:pPr>
              <w:pStyle w:val="a2"/>
              <w:ind w:firstLine="0" w:firstLineChars="0"/>
              <w:rPr>
                <w:rFonts w:ascii="Times New Roman"/>
                <w:sz w:val="24"/>
                <w:szCs w:val="24"/>
              </w:rPr>
            </w:pPr>
            <w:r>
              <w:rPr>
                <w:rFonts w:ascii="Times New Roman" w:hint="eastAsia"/>
                <w:sz w:val="24"/>
                <w:szCs w:val="24"/>
              </w:rPr>
              <w:t>水平垂直</w:t>
            </w:r>
            <w:r>
              <w:rPr>
                <w:rFonts w:ascii="Times New Roman"/>
                <w:sz w:val="24"/>
                <w:szCs w:val="24"/>
              </w:rPr>
              <w:t>收发支路损耗差异(dB)</w:t>
            </w:r>
          </w:p>
        </w:tc>
        <w:tc>
          <w:tcPr>
            <w:tcW w:w="2284" w:type="dxa"/>
            <w:gridSpan w:val="3"/>
            <w:vAlign w:val="center"/>
          </w:tcPr>
          <w:p>
            <w:pPr>
              <w:pStyle w:val="a2"/>
              <w:ind w:firstLine="0" w:firstLineChars="0"/>
              <w:jc w:val="both"/>
              <w:rPr>
                <w:rFonts w:ascii="Times New Roman"/>
                <w:sz w:val="24"/>
                <w:szCs w:val="24"/>
              </w:rPr>
            </w:pPr>
            <w:r>
              <w:rPr>
                <w:rFonts w:ascii="Times New Roman"/>
                <w:sz w:val="24"/>
                <w:szCs w:val="24"/>
              </w:rPr>
              <w:t>发射支路</w:t>
            </w:r>
          </w:p>
        </w:tc>
        <w:tc>
          <w:tcPr>
            <w:tcW w:w="3936" w:type="dxa"/>
            <w:vMerge w:val="restart"/>
            <w:vAlign w:val="center"/>
          </w:tcPr>
          <w:p>
            <w:pPr>
              <w:pStyle w:val="a2"/>
              <w:ind w:firstLine="0" w:firstLineChars="0"/>
              <w:rPr>
                <w:rFonts w:ascii="Times New Roman"/>
                <w:sz w:val="24"/>
                <w:szCs w:val="24"/>
              </w:rPr>
            </w:pPr>
            <w:r>
              <w:rPr>
                <w:rFonts w:ascii="Times New Roman"/>
                <w:sz w:val="24"/>
                <w:szCs w:val="24"/>
              </w:rPr>
              <w:t>≤0.3</w:t>
            </w:r>
            <w:r>
              <w:rPr>
                <w:rFonts w:ascii="Times New Roman" w:hint="eastAsia"/>
                <w:sz w:val="24"/>
                <w:szCs w:val="24"/>
              </w:rPr>
              <w:t>（双发双收）</w:t>
            </w:r>
          </w:p>
        </w:tc>
      </w:tr>
      <w:tr>
        <w:tblPrEx>
          <w:tblW w:w="9002" w:type="dxa"/>
          <w:jc w:val="center"/>
          <w:tblLayout w:type="fixed"/>
          <w:tblCellMar>
            <w:top w:w="0" w:type="dxa"/>
            <w:left w:w="108" w:type="dxa"/>
            <w:bottom w:w="0" w:type="dxa"/>
            <w:right w:w="108" w:type="dxa"/>
          </w:tblCellMar>
          <w:tblLook w:val="0000"/>
        </w:tblPrEx>
        <w:trPr>
          <w:cantSplit/>
          <w:trHeight w:val="347"/>
          <w:jc w:val="center"/>
        </w:trPr>
        <w:tc>
          <w:tcPr>
            <w:tcW w:w="2782" w:type="dxa"/>
            <w:gridSpan w:val="7"/>
            <w:vMerge/>
            <w:vAlign w:val="center"/>
          </w:tcPr>
          <w:p>
            <w:pPr>
              <w:pStyle w:val="a2"/>
              <w:ind w:firstLine="0" w:firstLineChars="0"/>
              <w:rPr>
                <w:rFonts w:ascii="Times New Roman"/>
                <w:sz w:val="24"/>
                <w:szCs w:val="24"/>
              </w:rPr>
            </w:pPr>
          </w:p>
        </w:tc>
        <w:tc>
          <w:tcPr>
            <w:tcW w:w="2284" w:type="dxa"/>
            <w:gridSpan w:val="3"/>
            <w:vAlign w:val="center"/>
          </w:tcPr>
          <w:p>
            <w:pPr>
              <w:pStyle w:val="a2"/>
              <w:ind w:firstLine="0" w:firstLineChars="0"/>
              <w:jc w:val="both"/>
              <w:rPr>
                <w:rFonts w:ascii="Times New Roman"/>
                <w:sz w:val="24"/>
                <w:szCs w:val="24"/>
              </w:rPr>
            </w:pPr>
            <w:r>
              <w:rPr>
                <w:rFonts w:ascii="Times New Roman"/>
                <w:sz w:val="24"/>
                <w:szCs w:val="24"/>
              </w:rPr>
              <w:t>接收支路</w:t>
            </w:r>
          </w:p>
        </w:tc>
        <w:tc>
          <w:tcPr>
            <w:tcW w:w="3936" w:type="dxa"/>
            <w:vMerge/>
            <w:vAlign w:val="center"/>
          </w:tcPr>
          <w:p>
            <w:pPr>
              <w:pStyle w:val="a2"/>
              <w:ind w:firstLine="0" w:firstLineChars="0"/>
              <w:rPr>
                <w:rFonts w:ascii="Times New Roman"/>
                <w:sz w:val="24"/>
                <w:szCs w:val="24"/>
              </w:rPr>
            </w:pPr>
          </w:p>
        </w:tc>
      </w:tr>
      <w:tr>
        <w:tblPrEx>
          <w:tblW w:w="9002" w:type="dxa"/>
          <w:jc w:val="center"/>
          <w:tblLayout w:type="fixed"/>
          <w:tblCellMar>
            <w:top w:w="0" w:type="dxa"/>
            <w:left w:w="108" w:type="dxa"/>
            <w:bottom w:w="0" w:type="dxa"/>
            <w:right w:w="108" w:type="dxa"/>
          </w:tblCellMar>
          <w:tblLook w:val="0000"/>
        </w:tblPrEx>
        <w:trPr>
          <w:cantSplit/>
          <w:trHeight w:val="135"/>
          <w:jc w:val="center"/>
        </w:trPr>
        <w:tc>
          <w:tcPr>
            <w:tcW w:w="2782" w:type="dxa"/>
            <w:gridSpan w:val="7"/>
            <w:vAlign w:val="center"/>
          </w:tcPr>
          <w:p>
            <w:pPr>
              <w:pStyle w:val="a2"/>
              <w:ind w:firstLine="0" w:firstLineChars="0"/>
              <w:rPr>
                <w:rFonts w:ascii="Times New Roman"/>
                <w:sz w:val="24"/>
                <w:szCs w:val="24"/>
              </w:rPr>
            </w:pPr>
            <w:r>
              <w:rPr>
                <w:rFonts w:ascii="Times New Roman"/>
                <w:sz w:val="24"/>
                <w:szCs w:val="24"/>
              </w:rPr>
              <w:t>驻波比</w:t>
            </w:r>
          </w:p>
        </w:tc>
        <w:tc>
          <w:tcPr>
            <w:tcW w:w="2284" w:type="dxa"/>
            <w:gridSpan w:val="3"/>
            <w:vAlign w:val="center"/>
          </w:tcPr>
          <w:p>
            <w:pPr>
              <w:pStyle w:val="a2"/>
              <w:ind w:firstLine="0" w:firstLineChars="0"/>
              <w:rPr>
                <w:rFonts w:ascii="Times New Roman"/>
                <w:sz w:val="24"/>
                <w:szCs w:val="24"/>
              </w:rPr>
            </w:pPr>
            <w:r>
              <w:rPr>
                <w:rFonts w:ascii="Times New Roman"/>
                <w:sz w:val="24"/>
                <w:szCs w:val="24"/>
              </w:rPr>
              <w:t>水平</w:t>
            </w:r>
          </w:p>
        </w:tc>
        <w:tc>
          <w:tcPr>
            <w:tcW w:w="3936" w:type="dxa"/>
            <w:vMerge w:val="restart"/>
            <w:vAlign w:val="center"/>
          </w:tcPr>
          <w:p>
            <w:pPr>
              <w:pStyle w:val="a2"/>
              <w:ind w:firstLine="0" w:firstLineChars="0"/>
              <w:rPr>
                <w:rFonts w:ascii="Times New Roman"/>
                <w:sz w:val="24"/>
                <w:szCs w:val="24"/>
              </w:rPr>
            </w:pPr>
            <w:r>
              <w:rPr>
                <w:rFonts w:ascii="Times New Roman"/>
                <w:sz w:val="24"/>
                <w:szCs w:val="24"/>
              </w:rPr>
              <w:t>≤1.5:1</w:t>
            </w:r>
          </w:p>
        </w:tc>
      </w:tr>
      <w:tr>
        <w:tblPrEx>
          <w:tblW w:w="9002" w:type="dxa"/>
          <w:jc w:val="center"/>
          <w:tblLayout w:type="fixed"/>
          <w:tblCellMar>
            <w:top w:w="0" w:type="dxa"/>
            <w:left w:w="108" w:type="dxa"/>
            <w:bottom w:w="0" w:type="dxa"/>
            <w:right w:w="108" w:type="dxa"/>
          </w:tblCellMar>
          <w:tblLook w:val="0000"/>
        </w:tblPrEx>
        <w:trPr>
          <w:cantSplit/>
          <w:trHeight w:val="135"/>
          <w:jc w:val="center"/>
        </w:trPr>
        <w:tc>
          <w:tcPr>
            <w:tcW w:w="2409" w:type="dxa"/>
            <w:gridSpan w:val="5"/>
            <w:vAlign w:val="center"/>
          </w:tcPr>
          <w:p>
            <w:pPr>
              <w:pStyle w:val="a2"/>
              <w:ind w:firstLine="0" w:firstLineChars="0"/>
              <w:rPr>
                <w:rFonts w:ascii="Times New Roman"/>
                <w:sz w:val="24"/>
                <w:szCs w:val="24"/>
              </w:rPr>
            </w:pPr>
          </w:p>
        </w:tc>
        <w:tc>
          <w:tcPr>
            <w:tcW w:w="2657" w:type="dxa"/>
            <w:gridSpan w:val="5"/>
            <w:vAlign w:val="center"/>
          </w:tcPr>
          <w:p>
            <w:pPr>
              <w:pStyle w:val="a2"/>
              <w:ind w:firstLine="0" w:firstLineChars="0"/>
              <w:rPr>
                <w:rFonts w:ascii="Times New Roman"/>
                <w:sz w:val="24"/>
                <w:szCs w:val="24"/>
              </w:rPr>
            </w:pPr>
            <w:r>
              <w:rPr>
                <w:rFonts w:ascii="Times New Roman"/>
                <w:sz w:val="24"/>
                <w:szCs w:val="24"/>
              </w:rPr>
              <w:t>垂直</w:t>
            </w:r>
          </w:p>
        </w:tc>
        <w:tc>
          <w:tcPr>
            <w:tcW w:w="3936" w:type="dxa"/>
            <w:vMerge/>
            <w:vAlign w:val="center"/>
          </w:tcPr>
          <w:p>
            <w:pPr>
              <w:pStyle w:val="a2"/>
              <w:ind w:firstLine="0" w:firstLineChars="0"/>
              <w:rPr>
                <w:rFonts w:ascii="Times New Roman"/>
                <w:sz w:val="24"/>
                <w:szCs w:val="24"/>
              </w:rPr>
            </w:pPr>
          </w:p>
        </w:tc>
      </w:tr>
      <w:tr>
        <w:tblPrEx>
          <w:tblW w:w="9002" w:type="dxa"/>
          <w:jc w:val="center"/>
          <w:tblLayout w:type="fixed"/>
          <w:tblCellMar>
            <w:top w:w="0" w:type="dxa"/>
            <w:left w:w="108" w:type="dxa"/>
            <w:bottom w:w="0" w:type="dxa"/>
            <w:right w:w="108" w:type="dxa"/>
          </w:tblCellMar>
          <w:tblLook w:val="0000"/>
        </w:tblPrEx>
        <w:trPr>
          <w:cantSplit/>
          <w:trHeight w:val="197"/>
          <w:jc w:val="center"/>
        </w:trPr>
        <w:tc>
          <w:tcPr>
            <w:tcW w:w="9002" w:type="dxa"/>
            <w:gridSpan w:val="11"/>
            <w:vAlign w:val="center"/>
          </w:tcPr>
          <w:p>
            <w:pPr>
              <w:pStyle w:val="a2"/>
              <w:ind w:firstLine="0" w:firstLineChars="0"/>
              <w:rPr>
                <w:rFonts w:ascii="Times New Roman"/>
                <w:b/>
                <w:sz w:val="24"/>
                <w:szCs w:val="24"/>
              </w:rPr>
            </w:pPr>
            <w:r>
              <w:rPr>
                <w:rFonts w:ascii="Times New Roman"/>
                <w:b/>
                <w:sz w:val="24"/>
                <w:szCs w:val="24"/>
              </w:rPr>
              <w:t>伺服系统</w:t>
            </w:r>
          </w:p>
        </w:tc>
      </w:tr>
      <w:tr>
        <w:tblPrEx>
          <w:tblW w:w="9002" w:type="dxa"/>
          <w:jc w:val="center"/>
          <w:tblLayout w:type="fixed"/>
          <w:tblCellMar>
            <w:top w:w="0" w:type="dxa"/>
            <w:left w:w="108" w:type="dxa"/>
            <w:bottom w:w="0" w:type="dxa"/>
            <w:right w:w="108" w:type="dxa"/>
          </w:tblCellMar>
          <w:tblLook w:val="0000"/>
        </w:tblPrEx>
        <w:trPr>
          <w:cantSplit/>
          <w:trHeight w:val="197"/>
          <w:jc w:val="center"/>
        </w:trPr>
        <w:tc>
          <w:tcPr>
            <w:tcW w:w="2409" w:type="dxa"/>
            <w:gridSpan w:val="5"/>
            <w:vMerge w:val="restart"/>
            <w:vAlign w:val="center"/>
          </w:tcPr>
          <w:p>
            <w:pPr>
              <w:pStyle w:val="a2"/>
              <w:ind w:firstLine="0" w:firstLineChars="0"/>
              <w:jc w:val="both"/>
              <w:rPr>
                <w:rFonts w:ascii="Times New Roman"/>
                <w:sz w:val="24"/>
                <w:szCs w:val="24"/>
              </w:rPr>
            </w:pPr>
            <w:r>
              <w:rPr>
                <w:rFonts w:ascii="Times New Roman"/>
                <w:color w:val="FF0000"/>
                <w:sz w:val="24"/>
                <w:szCs w:val="24"/>
              </w:rPr>
              <w:t>#</w:t>
            </w:r>
            <w:r>
              <w:rPr>
                <w:rFonts w:ascii="Times New Roman"/>
                <w:sz w:val="24"/>
                <w:szCs w:val="24"/>
              </w:rPr>
              <w:t>控制精度(°)</w:t>
            </w:r>
          </w:p>
        </w:tc>
        <w:tc>
          <w:tcPr>
            <w:tcW w:w="2657" w:type="dxa"/>
            <w:gridSpan w:val="5"/>
            <w:vAlign w:val="center"/>
          </w:tcPr>
          <w:p>
            <w:pPr>
              <w:pStyle w:val="a2"/>
              <w:ind w:firstLine="0" w:firstLineChars="0"/>
              <w:rPr>
                <w:rFonts w:ascii="Times New Roman"/>
                <w:sz w:val="24"/>
                <w:szCs w:val="24"/>
              </w:rPr>
            </w:pPr>
            <w:r>
              <w:rPr>
                <w:rFonts w:ascii="Times New Roman"/>
                <w:sz w:val="24"/>
                <w:szCs w:val="24"/>
              </w:rPr>
              <w:t>方位角最大误差</w:t>
            </w:r>
          </w:p>
        </w:tc>
        <w:tc>
          <w:tcPr>
            <w:tcW w:w="3936" w:type="dxa"/>
            <w:vMerge w:val="restart"/>
            <w:vAlign w:val="center"/>
          </w:tcPr>
          <w:p>
            <w:pPr>
              <w:pStyle w:val="a2"/>
              <w:ind w:firstLine="0" w:firstLineChars="0"/>
              <w:rPr>
                <w:rFonts w:ascii="Times New Roman"/>
                <w:sz w:val="24"/>
                <w:szCs w:val="24"/>
              </w:rPr>
            </w:pPr>
            <w:r>
              <w:rPr>
                <w:rFonts w:ascii="Times New Roman"/>
                <w:sz w:val="24"/>
                <w:szCs w:val="24"/>
              </w:rPr>
              <w:t>±0.1之间</w:t>
            </w:r>
          </w:p>
        </w:tc>
      </w:tr>
      <w:tr>
        <w:tblPrEx>
          <w:tblW w:w="9002" w:type="dxa"/>
          <w:jc w:val="center"/>
          <w:tblLayout w:type="fixed"/>
          <w:tblCellMar>
            <w:top w:w="0" w:type="dxa"/>
            <w:left w:w="108" w:type="dxa"/>
            <w:bottom w:w="0" w:type="dxa"/>
            <w:right w:w="108" w:type="dxa"/>
          </w:tblCellMar>
          <w:tblLook w:val="0000"/>
        </w:tblPrEx>
        <w:trPr>
          <w:cantSplit/>
          <w:trHeight w:val="197"/>
          <w:jc w:val="center"/>
        </w:trPr>
        <w:tc>
          <w:tcPr>
            <w:tcW w:w="2409" w:type="dxa"/>
            <w:gridSpan w:val="5"/>
            <w:vMerge/>
            <w:vAlign w:val="center"/>
          </w:tcPr>
          <w:p>
            <w:pPr>
              <w:pStyle w:val="a2"/>
              <w:ind w:firstLine="0" w:firstLineChars="0"/>
              <w:rPr>
                <w:rFonts w:ascii="Times New Roman"/>
                <w:sz w:val="24"/>
                <w:szCs w:val="24"/>
              </w:rPr>
            </w:pPr>
          </w:p>
        </w:tc>
        <w:tc>
          <w:tcPr>
            <w:tcW w:w="2657" w:type="dxa"/>
            <w:gridSpan w:val="5"/>
            <w:vAlign w:val="center"/>
          </w:tcPr>
          <w:p>
            <w:pPr>
              <w:pStyle w:val="a2"/>
              <w:ind w:firstLine="0" w:firstLineChars="0"/>
              <w:rPr>
                <w:rFonts w:ascii="Times New Roman"/>
                <w:sz w:val="24"/>
                <w:szCs w:val="24"/>
              </w:rPr>
            </w:pPr>
            <w:r>
              <w:rPr>
                <w:rFonts w:ascii="Times New Roman"/>
                <w:sz w:val="24"/>
                <w:szCs w:val="24"/>
              </w:rPr>
              <w:t>俯仰角最大误差</w:t>
            </w:r>
          </w:p>
        </w:tc>
        <w:tc>
          <w:tcPr>
            <w:tcW w:w="3936" w:type="dxa"/>
            <w:vMerge/>
            <w:vAlign w:val="center"/>
          </w:tcPr>
          <w:p>
            <w:pPr>
              <w:pStyle w:val="a2"/>
              <w:ind w:firstLine="0" w:firstLineChars="0"/>
              <w:rPr>
                <w:rFonts w:ascii="Times New Roman"/>
                <w:sz w:val="24"/>
                <w:szCs w:val="24"/>
              </w:rPr>
            </w:pPr>
          </w:p>
        </w:tc>
      </w:tr>
      <w:tr>
        <w:tblPrEx>
          <w:tblW w:w="9002" w:type="dxa"/>
          <w:jc w:val="center"/>
          <w:tblLayout w:type="fixed"/>
          <w:tblCellMar>
            <w:top w:w="0" w:type="dxa"/>
            <w:left w:w="108" w:type="dxa"/>
            <w:bottom w:w="0" w:type="dxa"/>
            <w:right w:w="108" w:type="dxa"/>
          </w:tblCellMar>
          <w:tblLook w:val="0000"/>
        </w:tblPrEx>
        <w:trPr>
          <w:cantSplit/>
          <w:trHeight w:val="197"/>
          <w:jc w:val="center"/>
        </w:trPr>
        <w:tc>
          <w:tcPr>
            <w:tcW w:w="2409" w:type="dxa"/>
            <w:gridSpan w:val="5"/>
            <w:vMerge w:val="restart"/>
            <w:vAlign w:val="center"/>
          </w:tcPr>
          <w:p>
            <w:pPr>
              <w:pStyle w:val="a2"/>
              <w:ind w:firstLine="0" w:firstLineChars="0"/>
              <w:jc w:val="both"/>
              <w:rPr>
                <w:rFonts w:ascii="Times New Roman"/>
                <w:sz w:val="24"/>
                <w:szCs w:val="24"/>
              </w:rPr>
            </w:pPr>
            <w:r>
              <w:rPr>
                <w:rFonts w:ascii="Times New Roman"/>
                <w:color w:val="FF0000"/>
                <w:sz w:val="24"/>
                <w:szCs w:val="24"/>
              </w:rPr>
              <w:t>#</w:t>
            </w:r>
            <w:r>
              <w:rPr>
                <w:rFonts w:ascii="Times New Roman"/>
                <w:sz w:val="24"/>
                <w:szCs w:val="24"/>
              </w:rPr>
              <w:t>天线波束指向误差(°)</w:t>
            </w:r>
          </w:p>
        </w:tc>
        <w:tc>
          <w:tcPr>
            <w:tcW w:w="2657" w:type="dxa"/>
            <w:gridSpan w:val="5"/>
            <w:vAlign w:val="center"/>
          </w:tcPr>
          <w:p>
            <w:pPr>
              <w:pStyle w:val="a2"/>
              <w:ind w:firstLine="0" w:firstLineChars="0"/>
              <w:rPr>
                <w:rFonts w:ascii="Times New Roman"/>
                <w:sz w:val="24"/>
                <w:szCs w:val="24"/>
              </w:rPr>
            </w:pPr>
            <w:r>
              <w:rPr>
                <w:rFonts w:ascii="Times New Roman"/>
                <w:sz w:val="24"/>
                <w:szCs w:val="24"/>
              </w:rPr>
              <w:t>方位角最大误差</w:t>
            </w:r>
          </w:p>
        </w:tc>
        <w:tc>
          <w:tcPr>
            <w:tcW w:w="3936" w:type="dxa"/>
            <w:vMerge w:val="restart"/>
            <w:vAlign w:val="center"/>
          </w:tcPr>
          <w:p>
            <w:pPr>
              <w:pStyle w:val="a2"/>
              <w:ind w:firstLine="0" w:firstLineChars="0"/>
              <w:rPr>
                <w:rFonts w:ascii="Times New Roman"/>
                <w:sz w:val="24"/>
                <w:szCs w:val="24"/>
              </w:rPr>
            </w:pPr>
            <w:r>
              <w:rPr>
                <w:rFonts w:ascii="Times New Roman"/>
                <w:sz w:val="24"/>
                <w:szCs w:val="24"/>
              </w:rPr>
              <w:t>±0.</w:t>
            </w:r>
            <w:r>
              <w:rPr>
                <w:rFonts w:ascii="Times New Roman" w:hint="eastAsia"/>
                <w:sz w:val="24"/>
                <w:szCs w:val="24"/>
              </w:rPr>
              <w:t>1</w:t>
            </w:r>
            <w:r>
              <w:rPr>
                <w:rFonts w:ascii="Times New Roman"/>
                <w:sz w:val="24"/>
                <w:szCs w:val="24"/>
              </w:rPr>
              <w:t>之间</w:t>
            </w:r>
          </w:p>
        </w:tc>
      </w:tr>
      <w:tr>
        <w:tblPrEx>
          <w:tblW w:w="9002" w:type="dxa"/>
          <w:jc w:val="center"/>
          <w:tblLayout w:type="fixed"/>
          <w:tblCellMar>
            <w:top w:w="0" w:type="dxa"/>
            <w:left w:w="108" w:type="dxa"/>
            <w:bottom w:w="0" w:type="dxa"/>
            <w:right w:w="108" w:type="dxa"/>
          </w:tblCellMar>
          <w:tblLook w:val="0000"/>
        </w:tblPrEx>
        <w:trPr>
          <w:cantSplit/>
          <w:trHeight w:val="197"/>
          <w:jc w:val="center"/>
        </w:trPr>
        <w:tc>
          <w:tcPr>
            <w:tcW w:w="2409" w:type="dxa"/>
            <w:gridSpan w:val="5"/>
            <w:vMerge/>
            <w:vAlign w:val="center"/>
          </w:tcPr>
          <w:p>
            <w:pPr>
              <w:pStyle w:val="a2"/>
              <w:ind w:firstLine="0" w:firstLineChars="0"/>
              <w:rPr>
                <w:rFonts w:ascii="Times New Roman"/>
                <w:sz w:val="24"/>
                <w:szCs w:val="24"/>
              </w:rPr>
            </w:pPr>
          </w:p>
        </w:tc>
        <w:tc>
          <w:tcPr>
            <w:tcW w:w="2657" w:type="dxa"/>
            <w:gridSpan w:val="5"/>
            <w:vAlign w:val="center"/>
          </w:tcPr>
          <w:p>
            <w:pPr>
              <w:pStyle w:val="a2"/>
              <w:ind w:firstLine="0" w:firstLineChars="0"/>
              <w:rPr>
                <w:rFonts w:ascii="Times New Roman"/>
                <w:sz w:val="24"/>
                <w:szCs w:val="24"/>
              </w:rPr>
            </w:pPr>
            <w:r>
              <w:rPr>
                <w:rFonts w:ascii="Times New Roman"/>
                <w:sz w:val="24"/>
                <w:szCs w:val="24"/>
              </w:rPr>
              <w:t>俯仰角最大误差</w:t>
            </w:r>
          </w:p>
        </w:tc>
        <w:tc>
          <w:tcPr>
            <w:tcW w:w="3936" w:type="dxa"/>
            <w:vMerge/>
            <w:vAlign w:val="center"/>
          </w:tcPr>
          <w:p>
            <w:pPr>
              <w:pStyle w:val="a2"/>
              <w:ind w:firstLine="0" w:firstLineChars="0"/>
              <w:rPr>
                <w:rFonts w:ascii="Times New Roman"/>
                <w:sz w:val="24"/>
                <w:szCs w:val="24"/>
              </w:rPr>
            </w:pPr>
          </w:p>
        </w:tc>
      </w:tr>
      <w:tr>
        <w:tblPrEx>
          <w:tblW w:w="9002" w:type="dxa"/>
          <w:jc w:val="center"/>
          <w:tblLayout w:type="fixed"/>
          <w:tblCellMar>
            <w:top w:w="0" w:type="dxa"/>
            <w:left w:w="108" w:type="dxa"/>
            <w:bottom w:w="0" w:type="dxa"/>
            <w:right w:w="108" w:type="dxa"/>
          </w:tblCellMar>
          <w:tblLook w:val="0000"/>
        </w:tblPrEx>
        <w:trPr>
          <w:cantSplit/>
          <w:trHeight w:val="156"/>
          <w:jc w:val="center"/>
        </w:trPr>
        <w:tc>
          <w:tcPr>
            <w:tcW w:w="2409" w:type="dxa"/>
            <w:gridSpan w:val="5"/>
            <w:vMerge w:val="restart"/>
            <w:vAlign w:val="center"/>
          </w:tcPr>
          <w:p>
            <w:pPr>
              <w:pStyle w:val="a2"/>
              <w:ind w:firstLine="0" w:firstLineChars="0"/>
              <w:jc w:val="both"/>
              <w:rPr>
                <w:rFonts w:ascii="Times New Roman"/>
                <w:sz w:val="24"/>
                <w:szCs w:val="24"/>
              </w:rPr>
            </w:pPr>
            <w:r>
              <w:rPr>
                <w:rFonts w:ascii="Times New Roman"/>
                <w:color w:val="FF0000"/>
                <w:sz w:val="24"/>
                <w:szCs w:val="24"/>
              </w:rPr>
              <w:t>#</w:t>
            </w:r>
            <w:r>
              <w:rPr>
                <w:rFonts w:ascii="Times New Roman"/>
                <w:sz w:val="24"/>
                <w:szCs w:val="24"/>
              </w:rPr>
              <w:t>天线最大扫描速度(°/s)</w:t>
            </w:r>
          </w:p>
        </w:tc>
        <w:tc>
          <w:tcPr>
            <w:tcW w:w="2657" w:type="dxa"/>
            <w:gridSpan w:val="5"/>
            <w:vAlign w:val="center"/>
          </w:tcPr>
          <w:p>
            <w:pPr>
              <w:pStyle w:val="a2"/>
              <w:ind w:firstLine="0" w:firstLineChars="0"/>
              <w:rPr>
                <w:rFonts w:ascii="Times New Roman"/>
                <w:sz w:val="24"/>
                <w:szCs w:val="24"/>
              </w:rPr>
            </w:pPr>
            <w:r>
              <w:rPr>
                <w:rFonts w:ascii="Times New Roman"/>
                <w:sz w:val="24"/>
                <w:szCs w:val="24"/>
              </w:rPr>
              <w:t>方位</w:t>
            </w:r>
          </w:p>
        </w:tc>
        <w:tc>
          <w:tcPr>
            <w:tcW w:w="3936" w:type="dxa"/>
            <w:vAlign w:val="center"/>
          </w:tcPr>
          <w:p>
            <w:pPr>
              <w:pStyle w:val="a2"/>
              <w:ind w:firstLine="0" w:firstLineChars="0"/>
              <w:rPr>
                <w:rFonts w:ascii="Times New Roman"/>
                <w:sz w:val="24"/>
                <w:szCs w:val="24"/>
              </w:rPr>
            </w:pPr>
            <w:r>
              <w:rPr>
                <w:rFonts w:ascii="Times New Roman"/>
                <w:sz w:val="24"/>
                <w:szCs w:val="24"/>
              </w:rPr>
              <w:t>≥36</w:t>
            </w:r>
          </w:p>
        </w:tc>
      </w:tr>
      <w:tr>
        <w:tblPrEx>
          <w:tblW w:w="9002" w:type="dxa"/>
          <w:jc w:val="center"/>
          <w:tblLayout w:type="fixed"/>
          <w:tblCellMar>
            <w:top w:w="0" w:type="dxa"/>
            <w:left w:w="108" w:type="dxa"/>
            <w:bottom w:w="0" w:type="dxa"/>
            <w:right w:w="108" w:type="dxa"/>
          </w:tblCellMar>
          <w:tblLook w:val="0000"/>
        </w:tblPrEx>
        <w:trPr>
          <w:cantSplit/>
          <w:trHeight w:val="156"/>
          <w:jc w:val="center"/>
        </w:trPr>
        <w:tc>
          <w:tcPr>
            <w:tcW w:w="2409" w:type="dxa"/>
            <w:gridSpan w:val="5"/>
            <w:vMerge/>
            <w:vAlign w:val="center"/>
          </w:tcPr>
          <w:p>
            <w:pPr>
              <w:pStyle w:val="a2"/>
              <w:ind w:firstLine="0" w:firstLineChars="0"/>
              <w:rPr>
                <w:rFonts w:ascii="Times New Roman"/>
                <w:sz w:val="24"/>
                <w:szCs w:val="24"/>
              </w:rPr>
            </w:pPr>
          </w:p>
        </w:tc>
        <w:tc>
          <w:tcPr>
            <w:tcW w:w="2657" w:type="dxa"/>
            <w:gridSpan w:val="5"/>
            <w:vAlign w:val="center"/>
          </w:tcPr>
          <w:p>
            <w:pPr>
              <w:pStyle w:val="a2"/>
              <w:ind w:firstLine="0" w:firstLineChars="0"/>
              <w:rPr>
                <w:rFonts w:ascii="Times New Roman"/>
                <w:sz w:val="24"/>
                <w:szCs w:val="24"/>
              </w:rPr>
            </w:pPr>
            <w:r>
              <w:rPr>
                <w:rFonts w:ascii="Times New Roman"/>
                <w:sz w:val="24"/>
                <w:szCs w:val="24"/>
              </w:rPr>
              <w:t>俯仰</w:t>
            </w:r>
          </w:p>
        </w:tc>
        <w:tc>
          <w:tcPr>
            <w:tcW w:w="3936" w:type="dxa"/>
            <w:vAlign w:val="center"/>
          </w:tcPr>
          <w:p>
            <w:pPr>
              <w:pStyle w:val="a2"/>
              <w:ind w:firstLine="0" w:firstLineChars="0"/>
              <w:rPr>
                <w:rFonts w:ascii="Times New Roman"/>
                <w:sz w:val="24"/>
                <w:szCs w:val="24"/>
              </w:rPr>
            </w:pPr>
            <w:r>
              <w:rPr>
                <w:rFonts w:ascii="Times New Roman"/>
                <w:sz w:val="24"/>
                <w:szCs w:val="24"/>
              </w:rPr>
              <w:t>≥12</w:t>
            </w:r>
          </w:p>
        </w:tc>
      </w:tr>
      <w:tr>
        <w:tblPrEx>
          <w:tblW w:w="9002" w:type="dxa"/>
          <w:jc w:val="center"/>
          <w:tblLayout w:type="fixed"/>
          <w:tblCellMar>
            <w:top w:w="0" w:type="dxa"/>
            <w:left w:w="108" w:type="dxa"/>
            <w:bottom w:w="0" w:type="dxa"/>
            <w:right w:w="108" w:type="dxa"/>
          </w:tblCellMar>
          <w:tblLook w:val="0000"/>
        </w:tblPrEx>
        <w:trPr>
          <w:cantSplit/>
          <w:trHeight w:val="156"/>
          <w:jc w:val="center"/>
        </w:trPr>
        <w:tc>
          <w:tcPr>
            <w:tcW w:w="2409" w:type="dxa"/>
            <w:gridSpan w:val="5"/>
            <w:vMerge w:val="restart"/>
            <w:vAlign w:val="center"/>
          </w:tcPr>
          <w:p>
            <w:pPr>
              <w:pStyle w:val="a2"/>
              <w:ind w:firstLine="0" w:firstLineChars="0"/>
              <w:jc w:val="both"/>
              <w:rPr>
                <w:rFonts w:ascii="Times New Roman"/>
                <w:sz w:val="24"/>
                <w:szCs w:val="24"/>
              </w:rPr>
            </w:pPr>
            <w:r>
              <w:rPr>
                <w:rFonts w:ascii="Times New Roman"/>
                <w:color w:val="FF0000"/>
                <w:sz w:val="24"/>
                <w:szCs w:val="24"/>
              </w:rPr>
              <w:t>#</w:t>
            </w:r>
            <w:r>
              <w:rPr>
                <w:rFonts w:ascii="Times New Roman"/>
                <w:sz w:val="24"/>
                <w:szCs w:val="24"/>
              </w:rPr>
              <w:t>天线最大扫描速度误差</w:t>
            </w:r>
          </w:p>
        </w:tc>
        <w:tc>
          <w:tcPr>
            <w:tcW w:w="2657" w:type="dxa"/>
            <w:gridSpan w:val="5"/>
            <w:vAlign w:val="center"/>
          </w:tcPr>
          <w:p>
            <w:pPr>
              <w:pStyle w:val="a2"/>
              <w:ind w:firstLine="0" w:firstLineChars="0"/>
              <w:rPr>
                <w:rFonts w:ascii="Times New Roman"/>
                <w:sz w:val="24"/>
                <w:szCs w:val="24"/>
              </w:rPr>
            </w:pPr>
            <w:r>
              <w:rPr>
                <w:rFonts w:ascii="Times New Roman"/>
                <w:sz w:val="24"/>
                <w:szCs w:val="24"/>
              </w:rPr>
              <w:t>方位</w:t>
            </w:r>
          </w:p>
        </w:tc>
        <w:tc>
          <w:tcPr>
            <w:tcW w:w="3936" w:type="dxa"/>
            <w:vMerge w:val="restart"/>
            <w:vAlign w:val="center"/>
          </w:tcPr>
          <w:p>
            <w:pPr>
              <w:pStyle w:val="a2"/>
              <w:ind w:firstLine="0" w:firstLineChars="0"/>
              <w:rPr>
                <w:rFonts w:ascii="Times New Roman"/>
                <w:sz w:val="24"/>
                <w:szCs w:val="24"/>
              </w:rPr>
            </w:pPr>
            <w:r>
              <w:rPr>
                <w:rFonts w:ascii="Times New Roman"/>
                <w:sz w:val="24"/>
                <w:szCs w:val="24"/>
              </w:rPr>
              <w:t>≤5%</w:t>
            </w:r>
          </w:p>
        </w:tc>
      </w:tr>
      <w:tr>
        <w:tblPrEx>
          <w:tblW w:w="9002" w:type="dxa"/>
          <w:jc w:val="center"/>
          <w:tblLayout w:type="fixed"/>
          <w:tblCellMar>
            <w:top w:w="0" w:type="dxa"/>
            <w:left w:w="108" w:type="dxa"/>
            <w:bottom w:w="0" w:type="dxa"/>
            <w:right w:w="108" w:type="dxa"/>
          </w:tblCellMar>
          <w:tblLook w:val="0000"/>
        </w:tblPrEx>
        <w:trPr>
          <w:cantSplit/>
          <w:trHeight w:val="156"/>
          <w:jc w:val="center"/>
        </w:trPr>
        <w:tc>
          <w:tcPr>
            <w:tcW w:w="2409" w:type="dxa"/>
            <w:gridSpan w:val="5"/>
            <w:vMerge/>
            <w:vAlign w:val="center"/>
          </w:tcPr>
          <w:p>
            <w:pPr>
              <w:pStyle w:val="a2"/>
              <w:ind w:firstLine="0" w:firstLineChars="0"/>
              <w:rPr>
                <w:rFonts w:ascii="Times New Roman"/>
                <w:sz w:val="24"/>
                <w:szCs w:val="24"/>
              </w:rPr>
            </w:pPr>
          </w:p>
        </w:tc>
        <w:tc>
          <w:tcPr>
            <w:tcW w:w="2657" w:type="dxa"/>
            <w:gridSpan w:val="5"/>
            <w:vAlign w:val="center"/>
          </w:tcPr>
          <w:p>
            <w:pPr>
              <w:pStyle w:val="a2"/>
              <w:ind w:firstLine="0" w:firstLineChars="0"/>
              <w:rPr>
                <w:rFonts w:ascii="Times New Roman"/>
                <w:sz w:val="24"/>
                <w:szCs w:val="24"/>
              </w:rPr>
            </w:pPr>
            <w:r>
              <w:rPr>
                <w:rFonts w:ascii="Times New Roman"/>
                <w:sz w:val="24"/>
                <w:szCs w:val="24"/>
              </w:rPr>
              <w:t>俯仰</w:t>
            </w:r>
          </w:p>
        </w:tc>
        <w:tc>
          <w:tcPr>
            <w:tcW w:w="3936" w:type="dxa"/>
            <w:vMerge/>
            <w:vAlign w:val="center"/>
          </w:tcPr>
          <w:p>
            <w:pPr>
              <w:pStyle w:val="a2"/>
              <w:ind w:firstLine="0" w:firstLineChars="0"/>
              <w:rPr>
                <w:rFonts w:ascii="Times New Roman"/>
                <w:sz w:val="24"/>
                <w:szCs w:val="24"/>
              </w:rPr>
            </w:pPr>
          </w:p>
        </w:tc>
      </w:tr>
      <w:tr>
        <w:tblPrEx>
          <w:tblW w:w="9002" w:type="dxa"/>
          <w:jc w:val="center"/>
          <w:tblLayout w:type="fixed"/>
          <w:tblCellMar>
            <w:top w:w="0" w:type="dxa"/>
            <w:left w:w="108" w:type="dxa"/>
            <w:bottom w:w="0" w:type="dxa"/>
            <w:right w:w="108" w:type="dxa"/>
          </w:tblCellMar>
          <w:tblLook w:val="0000"/>
        </w:tblPrEx>
        <w:trPr>
          <w:cantSplit/>
          <w:jc w:val="center"/>
        </w:trPr>
        <w:tc>
          <w:tcPr>
            <w:tcW w:w="2409" w:type="dxa"/>
            <w:gridSpan w:val="5"/>
            <w:vMerge w:val="restart"/>
            <w:vAlign w:val="center"/>
          </w:tcPr>
          <w:p>
            <w:pPr>
              <w:pStyle w:val="a2"/>
              <w:ind w:firstLine="0" w:firstLineChars="0"/>
              <w:jc w:val="both"/>
              <w:rPr>
                <w:rFonts w:ascii="Times New Roman" w:eastAsia="宋体"/>
                <w:sz w:val="24"/>
                <w:szCs w:val="24"/>
              </w:rPr>
            </w:pPr>
            <w:r>
              <w:rPr>
                <w:rFonts w:ascii="Times New Roman" w:eastAsia="宋体"/>
                <w:sz w:val="24"/>
                <w:szCs w:val="24"/>
              </w:rPr>
              <w:t>天线加速度</w:t>
            </w:r>
            <w:r>
              <w:rPr>
                <w:rFonts w:ascii="Times New Roman" w:eastAsia="宋体" w:hint="eastAsia"/>
                <w:sz w:val="24"/>
                <w:szCs w:val="24"/>
              </w:rPr>
              <w:t>（</w:t>
            </w:r>
            <w:r>
              <w:rPr>
                <w:rFonts w:ascii="Times New Roman" w:eastAsia="宋体"/>
                <w:sz w:val="24"/>
                <w:szCs w:val="24"/>
              </w:rPr>
              <w:t>°/s</w:t>
            </w:r>
            <w:r>
              <w:rPr>
                <w:rFonts w:ascii="Times New Roman" w:eastAsia="宋体"/>
                <w:sz w:val="24"/>
                <w:szCs w:val="24"/>
                <w:vertAlign w:val="superscript"/>
              </w:rPr>
              <w:t>2</w:t>
            </w:r>
            <w:r>
              <w:rPr>
                <w:rFonts w:ascii="Times New Roman" w:eastAsia="宋体" w:hint="eastAsia"/>
                <w:sz w:val="24"/>
                <w:szCs w:val="24"/>
              </w:rPr>
              <w:t>）</w:t>
            </w:r>
          </w:p>
        </w:tc>
        <w:tc>
          <w:tcPr>
            <w:tcW w:w="2657" w:type="dxa"/>
            <w:gridSpan w:val="5"/>
            <w:vAlign w:val="center"/>
          </w:tcPr>
          <w:p>
            <w:pPr>
              <w:pStyle w:val="a2"/>
              <w:ind w:firstLine="0" w:firstLineChars="0"/>
              <w:rPr>
                <w:rFonts w:ascii="Times New Roman"/>
                <w:sz w:val="24"/>
                <w:szCs w:val="24"/>
              </w:rPr>
            </w:pPr>
            <w:r>
              <w:rPr>
                <w:rFonts w:ascii="Times New Roman"/>
                <w:sz w:val="24"/>
                <w:szCs w:val="24"/>
              </w:rPr>
              <w:t>方位</w:t>
            </w:r>
          </w:p>
        </w:tc>
        <w:tc>
          <w:tcPr>
            <w:tcW w:w="3936" w:type="dxa"/>
            <w:vMerge w:val="restart"/>
            <w:vAlign w:val="center"/>
          </w:tcPr>
          <w:p>
            <w:pPr>
              <w:pStyle w:val="-"/>
              <w:ind w:firstLine="0" w:firstLineChars="0"/>
              <w:jc w:val="center"/>
              <w:rPr>
                <w:rFonts w:ascii="Times New Roman" w:eastAsia="宋体"/>
                <w:sz w:val="24"/>
                <w:szCs w:val="24"/>
              </w:rPr>
            </w:pPr>
            <w:r>
              <w:rPr>
                <w:rFonts w:ascii="Times New Roman" w:eastAsia="宋体"/>
                <w:sz w:val="24"/>
                <w:szCs w:val="24"/>
              </w:rPr>
              <w:t>≥15</w:t>
            </w:r>
          </w:p>
        </w:tc>
      </w:tr>
      <w:tr>
        <w:tblPrEx>
          <w:tblW w:w="9002" w:type="dxa"/>
          <w:jc w:val="center"/>
          <w:tblLayout w:type="fixed"/>
          <w:tblCellMar>
            <w:top w:w="0" w:type="dxa"/>
            <w:left w:w="108" w:type="dxa"/>
            <w:bottom w:w="0" w:type="dxa"/>
            <w:right w:w="108" w:type="dxa"/>
          </w:tblCellMar>
          <w:tblLook w:val="0000"/>
        </w:tblPrEx>
        <w:trPr>
          <w:cantSplit/>
          <w:jc w:val="center"/>
        </w:trPr>
        <w:tc>
          <w:tcPr>
            <w:tcW w:w="2409" w:type="dxa"/>
            <w:gridSpan w:val="5"/>
            <w:vMerge/>
            <w:vAlign w:val="center"/>
          </w:tcPr>
          <w:p>
            <w:pPr>
              <w:pStyle w:val="a2"/>
              <w:ind w:firstLine="0" w:firstLineChars="0"/>
              <w:rPr>
                <w:rFonts w:ascii="Times New Roman" w:eastAsia="宋体"/>
                <w:sz w:val="24"/>
                <w:szCs w:val="24"/>
              </w:rPr>
            </w:pPr>
          </w:p>
        </w:tc>
        <w:tc>
          <w:tcPr>
            <w:tcW w:w="2657" w:type="dxa"/>
            <w:gridSpan w:val="5"/>
            <w:vAlign w:val="center"/>
          </w:tcPr>
          <w:p>
            <w:pPr>
              <w:pStyle w:val="a2"/>
              <w:ind w:firstLine="0" w:firstLineChars="0"/>
              <w:rPr>
                <w:rFonts w:ascii="Times New Roman"/>
                <w:sz w:val="24"/>
                <w:szCs w:val="24"/>
              </w:rPr>
            </w:pPr>
            <w:r>
              <w:rPr>
                <w:rFonts w:ascii="Times New Roman"/>
                <w:sz w:val="24"/>
                <w:szCs w:val="24"/>
              </w:rPr>
              <w:t>俯仰</w:t>
            </w:r>
          </w:p>
        </w:tc>
        <w:tc>
          <w:tcPr>
            <w:tcW w:w="3936" w:type="dxa"/>
            <w:vMerge/>
            <w:vAlign w:val="center"/>
          </w:tcPr>
          <w:p>
            <w:pPr>
              <w:pStyle w:val="-"/>
              <w:ind w:firstLine="0" w:firstLineChars="0"/>
              <w:jc w:val="center"/>
              <w:rPr>
                <w:rFonts w:ascii="Times New Roman" w:eastAsia="宋体"/>
                <w:sz w:val="24"/>
                <w:szCs w:val="24"/>
              </w:rPr>
            </w:pPr>
          </w:p>
        </w:tc>
      </w:tr>
      <w:tr>
        <w:tblPrEx>
          <w:tblW w:w="9002" w:type="dxa"/>
          <w:jc w:val="center"/>
          <w:tblLayout w:type="fixed"/>
          <w:tblCellMar>
            <w:top w:w="0" w:type="dxa"/>
            <w:left w:w="108" w:type="dxa"/>
            <w:bottom w:w="0" w:type="dxa"/>
            <w:right w:w="108" w:type="dxa"/>
          </w:tblCellMar>
          <w:tblLook w:val="0000"/>
        </w:tblPrEx>
        <w:trPr>
          <w:cantSplit/>
          <w:jc w:val="center"/>
        </w:trPr>
        <w:tc>
          <w:tcPr>
            <w:tcW w:w="5066" w:type="dxa"/>
            <w:gridSpan w:val="10"/>
            <w:vAlign w:val="center"/>
          </w:tcPr>
          <w:p>
            <w:pPr>
              <w:pStyle w:val="a2"/>
              <w:ind w:firstLine="0" w:firstLineChars="0"/>
              <w:rPr>
                <w:rFonts w:ascii="Times New Roman"/>
                <w:sz w:val="24"/>
                <w:szCs w:val="24"/>
              </w:rPr>
            </w:pPr>
            <w:r>
              <w:rPr>
                <w:rFonts w:ascii="Times New Roman"/>
                <w:sz w:val="24"/>
                <w:szCs w:val="24"/>
              </w:rPr>
              <w:t>天线座水平度(″)</w:t>
            </w:r>
          </w:p>
        </w:tc>
        <w:tc>
          <w:tcPr>
            <w:tcW w:w="3936" w:type="dxa"/>
            <w:vAlign w:val="center"/>
          </w:tcPr>
          <w:p>
            <w:pPr>
              <w:pStyle w:val="a2"/>
              <w:ind w:firstLine="0" w:firstLineChars="0"/>
              <w:rPr>
                <w:rFonts w:ascii="Times New Roman"/>
                <w:sz w:val="24"/>
                <w:szCs w:val="24"/>
              </w:rPr>
            </w:pPr>
            <w:r>
              <w:rPr>
                <w:rFonts w:ascii="Times New Roman"/>
                <w:sz w:val="24"/>
                <w:szCs w:val="24"/>
              </w:rPr>
              <w:t>≤30.0</w:t>
            </w:r>
          </w:p>
        </w:tc>
      </w:tr>
      <w:tr>
        <w:tblPrEx>
          <w:tblW w:w="9002" w:type="dxa"/>
          <w:jc w:val="center"/>
          <w:tblLayout w:type="fixed"/>
          <w:tblCellMar>
            <w:top w:w="0" w:type="dxa"/>
            <w:left w:w="108" w:type="dxa"/>
            <w:bottom w:w="0" w:type="dxa"/>
            <w:right w:w="108" w:type="dxa"/>
          </w:tblCellMar>
          <w:tblLook w:val="0000"/>
        </w:tblPrEx>
        <w:trPr>
          <w:cantSplit/>
          <w:jc w:val="center"/>
        </w:trPr>
        <w:tc>
          <w:tcPr>
            <w:tcW w:w="5066" w:type="dxa"/>
            <w:gridSpan w:val="10"/>
            <w:vAlign w:val="center"/>
          </w:tcPr>
          <w:p>
            <w:pPr>
              <w:pStyle w:val="a2"/>
              <w:ind w:firstLine="0" w:firstLineChars="0"/>
              <w:rPr>
                <w:rFonts w:ascii="Times New Roman"/>
                <w:sz w:val="24"/>
                <w:szCs w:val="24"/>
              </w:rPr>
            </w:pPr>
            <w:r>
              <w:rPr>
                <w:rFonts w:ascii="Times New Roman"/>
                <w:sz w:val="24"/>
                <w:szCs w:val="24"/>
              </w:rPr>
              <w:t>方位角转动范围(°)</w:t>
            </w:r>
          </w:p>
        </w:tc>
        <w:tc>
          <w:tcPr>
            <w:tcW w:w="3936" w:type="dxa"/>
            <w:vAlign w:val="center"/>
          </w:tcPr>
          <w:p>
            <w:pPr>
              <w:pStyle w:val="a2"/>
              <w:ind w:firstLine="0" w:firstLineChars="0"/>
              <w:rPr>
                <w:rFonts w:ascii="Times New Roman"/>
                <w:sz w:val="24"/>
                <w:szCs w:val="24"/>
              </w:rPr>
            </w:pPr>
            <w:r>
              <w:rPr>
                <w:rFonts w:ascii="Times New Roman"/>
                <w:sz w:val="24"/>
                <w:szCs w:val="24"/>
              </w:rPr>
              <w:t>0.0～360.0</w:t>
            </w:r>
          </w:p>
        </w:tc>
      </w:tr>
      <w:tr>
        <w:tblPrEx>
          <w:tblW w:w="9002" w:type="dxa"/>
          <w:jc w:val="center"/>
          <w:tblLayout w:type="fixed"/>
          <w:tblCellMar>
            <w:top w:w="0" w:type="dxa"/>
            <w:left w:w="108" w:type="dxa"/>
            <w:bottom w:w="0" w:type="dxa"/>
            <w:right w:w="108" w:type="dxa"/>
          </w:tblCellMar>
          <w:tblLook w:val="0000"/>
        </w:tblPrEx>
        <w:trPr>
          <w:cantSplit/>
          <w:jc w:val="center"/>
        </w:trPr>
        <w:tc>
          <w:tcPr>
            <w:tcW w:w="5066" w:type="dxa"/>
            <w:gridSpan w:val="10"/>
            <w:vAlign w:val="center"/>
          </w:tcPr>
          <w:p>
            <w:pPr>
              <w:pStyle w:val="a2"/>
              <w:ind w:firstLine="0" w:firstLineChars="0"/>
              <w:rPr>
                <w:rFonts w:ascii="Times New Roman"/>
                <w:sz w:val="24"/>
                <w:szCs w:val="24"/>
              </w:rPr>
            </w:pPr>
            <w:r>
              <w:rPr>
                <w:rFonts w:ascii="Times New Roman"/>
                <w:sz w:val="24"/>
                <w:szCs w:val="24"/>
              </w:rPr>
              <w:t>俯仰角转动范围(°)</w:t>
            </w:r>
          </w:p>
        </w:tc>
        <w:tc>
          <w:tcPr>
            <w:tcW w:w="3936" w:type="dxa"/>
            <w:vAlign w:val="center"/>
          </w:tcPr>
          <w:p>
            <w:pPr>
              <w:pStyle w:val="a2"/>
              <w:ind w:firstLine="0" w:firstLineChars="0"/>
              <w:rPr>
                <w:rFonts w:ascii="Times New Roman"/>
                <w:sz w:val="24"/>
                <w:szCs w:val="24"/>
              </w:rPr>
            </w:pPr>
            <w:r>
              <w:rPr>
                <w:rFonts w:ascii="Times New Roman"/>
                <w:sz w:val="24"/>
                <w:szCs w:val="24"/>
              </w:rPr>
              <w:t>-2.0～＋90.0</w:t>
            </w:r>
          </w:p>
        </w:tc>
      </w:tr>
      <w:tr>
        <w:tblPrEx>
          <w:tblW w:w="9002" w:type="dxa"/>
          <w:jc w:val="center"/>
          <w:tblLayout w:type="fixed"/>
          <w:tblCellMar>
            <w:top w:w="0" w:type="dxa"/>
            <w:left w:w="108" w:type="dxa"/>
            <w:bottom w:w="0" w:type="dxa"/>
            <w:right w:w="108" w:type="dxa"/>
          </w:tblCellMar>
          <w:tblLook w:val="0000"/>
        </w:tblPrEx>
        <w:trPr>
          <w:cantSplit/>
          <w:jc w:val="center"/>
        </w:trPr>
        <w:tc>
          <w:tcPr>
            <w:tcW w:w="5066" w:type="dxa"/>
            <w:gridSpan w:val="10"/>
            <w:vAlign w:val="center"/>
          </w:tcPr>
          <w:p>
            <w:pPr>
              <w:pStyle w:val="a2"/>
              <w:ind w:firstLine="0" w:firstLineChars="0"/>
              <w:rPr>
                <w:rFonts w:ascii="Times New Roman"/>
                <w:sz w:val="24"/>
                <w:szCs w:val="24"/>
              </w:rPr>
            </w:pPr>
            <w:r>
              <w:rPr>
                <w:rFonts w:ascii="Times New Roman"/>
                <w:sz w:val="24"/>
                <w:szCs w:val="24"/>
              </w:rPr>
              <w:t>PPI扫描范围(°)</w:t>
            </w:r>
          </w:p>
        </w:tc>
        <w:tc>
          <w:tcPr>
            <w:tcW w:w="3936" w:type="dxa"/>
            <w:vAlign w:val="center"/>
          </w:tcPr>
          <w:p>
            <w:pPr>
              <w:pStyle w:val="a2"/>
              <w:ind w:firstLine="0" w:firstLineChars="0"/>
              <w:rPr>
                <w:rFonts w:ascii="Times New Roman"/>
                <w:sz w:val="24"/>
                <w:szCs w:val="24"/>
              </w:rPr>
            </w:pPr>
            <w:r>
              <w:rPr>
                <w:rFonts w:ascii="Times New Roman"/>
                <w:sz w:val="24"/>
                <w:szCs w:val="24"/>
              </w:rPr>
              <w:t>0.0～360.0</w:t>
            </w:r>
          </w:p>
        </w:tc>
      </w:tr>
      <w:tr>
        <w:tblPrEx>
          <w:tblW w:w="9002" w:type="dxa"/>
          <w:jc w:val="center"/>
          <w:tblLayout w:type="fixed"/>
          <w:tblCellMar>
            <w:top w:w="0" w:type="dxa"/>
            <w:left w:w="108" w:type="dxa"/>
            <w:bottom w:w="0" w:type="dxa"/>
            <w:right w:w="108" w:type="dxa"/>
          </w:tblCellMar>
          <w:tblLook w:val="0000"/>
        </w:tblPrEx>
        <w:trPr>
          <w:cantSplit/>
          <w:jc w:val="center"/>
        </w:trPr>
        <w:tc>
          <w:tcPr>
            <w:tcW w:w="5066" w:type="dxa"/>
            <w:gridSpan w:val="10"/>
            <w:vAlign w:val="center"/>
          </w:tcPr>
          <w:p>
            <w:pPr>
              <w:pStyle w:val="a2"/>
              <w:ind w:firstLine="0" w:firstLineChars="0"/>
              <w:rPr>
                <w:rFonts w:ascii="Times New Roman"/>
                <w:sz w:val="24"/>
                <w:szCs w:val="24"/>
              </w:rPr>
            </w:pPr>
            <w:r>
              <w:rPr>
                <w:rFonts w:ascii="Times New Roman"/>
                <w:sz w:val="24"/>
                <w:szCs w:val="24"/>
              </w:rPr>
              <w:t>RHI扫描范围(°)</w:t>
            </w:r>
          </w:p>
        </w:tc>
        <w:tc>
          <w:tcPr>
            <w:tcW w:w="3936" w:type="dxa"/>
            <w:vAlign w:val="center"/>
          </w:tcPr>
          <w:p>
            <w:pPr>
              <w:pStyle w:val="a2"/>
              <w:ind w:firstLine="0" w:firstLineChars="0"/>
              <w:rPr>
                <w:rFonts w:ascii="Times New Roman"/>
                <w:sz w:val="24"/>
                <w:szCs w:val="24"/>
              </w:rPr>
            </w:pPr>
            <w:r>
              <w:rPr>
                <w:rFonts w:ascii="Times New Roman"/>
                <w:sz w:val="24"/>
                <w:szCs w:val="24"/>
              </w:rPr>
              <w:t>0.0～30.0</w:t>
            </w:r>
          </w:p>
        </w:tc>
      </w:tr>
      <w:tr>
        <w:tblPrEx>
          <w:tblW w:w="9002" w:type="dxa"/>
          <w:jc w:val="center"/>
          <w:tblLayout w:type="fixed"/>
          <w:tblCellMar>
            <w:top w:w="0" w:type="dxa"/>
            <w:left w:w="108" w:type="dxa"/>
            <w:bottom w:w="0" w:type="dxa"/>
            <w:right w:w="108" w:type="dxa"/>
          </w:tblCellMar>
          <w:tblLook w:val="0000"/>
        </w:tblPrEx>
        <w:trPr>
          <w:cantSplit/>
          <w:jc w:val="center"/>
        </w:trPr>
        <w:tc>
          <w:tcPr>
            <w:tcW w:w="2409" w:type="dxa"/>
            <w:gridSpan w:val="5"/>
            <w:vAlign w:val="center"/>
          </w:tcPr>
          <w:p>
            <w:pPr>
              <w:pStyle w:val="a2"/>
              <w:ind w:firstLine="0" w:firstLineChars="0"/>
              <w:jc w:val="both"/>
              <w:rPr>
                <w:rFonts w:ascii="Times New Roman"/>
                <w:sz w:val="24"/>
                <w:szCs w:val="24"/>
              </w:rPr>
            </w:pPr>
            <w:r>
              <w:rPr>
                <w:rFonts w:ascii="Times New Roman"/>
                <w:sz w:val="24"/>
                <w:szCs w:val="24"/>
              </w:rPr>
              <w:t>控制字长(bit)</w:t>
            </w:r>
          </w:p>
        </w:tc>
        <w:tc>
          <w:tcPr>
            <w:tcW w:w="2657" w:type="dxa"/>
            <w:gridSpan w:val="5"/>
            <w:vAlign w:val="center"/>
          </w:tcPr>
          <w:p>
            <w:pPr>
              <w:pStyle w:val="a2"/>
              <w:ind w:firstLine="0" w:firstLineChars="0"/>
              <w:rPr>
                <w:rFonts w:ascii="Times New Roman"/>
                <w:sz w:val="24"/>
                <w:szCs w:val="24"/>
              </w:rPr>
            </w:pPr>
            <w:r>
              <w:rPr>
                <w:rFonts w:ascii="Times New Roman"/>
                <w:sz w:val="24"/>
                <w:szCs w:val="24"/>
              </w:rPr>
              <w:t>≥14</w:t>
            </w:r>
          </w:p>
        </w:tc>
        <w:tc>
          <w:tcPr>
            <w:tcW w:w="3936" w:type="dxa"/>
            <w:vAlign w:val="center"/>
          </w:tcPr>
          <w:p>
            <w:pPr>
              <w:pStyle w:val="a2"/>
              <w:ind w:firstLine="0" w:firstLineChars="0"/>
              <w:rPr>
                <w:rFonts w:ascii="Times New Roman" w:hAnsi="Times New Roman" w:cs="Times New Roman"/>
                <w:sz w:val="24"/>
                <w:szCs w:val="24"/>
                <w:highlight w:val="none"/>
              </w:rPr>
            </w:pPr>
            <w:r>
              <w:rPr>
                <w:rFonts w:ascii="Times New Roman" w:hAnsi="Times New Roman" w:cs="Times New Roman" w:hint="eastAsia"/>
                <w:b/>
                <w:bCs/>
                <w:sz w:val="24"/>
                <w:szCs w:val="24"/>
                <w:highlight w:val="none"/>
              </w:rPr>
              <w:t>检查</w:t>
            </w:r>
          </w:p>
        </w:tc>
      </w:tr>
      <w:tr>
        <w:tblPrEx>
          <w:tblW w:w="9002" w:type="dxa"/>
          <w:jc w:val="center"/>
          <w:tblLayout w:type="fixed"/>
          <w:tblCellMar>
            <w:top w:w="0" w:type="dxa"/>
            <w:left w:w="108" w:type="dxa"/>
            <w:bottom w:w="0" w:type="dxa"/>
            <w:right w:w="108" w:type="dxa"/>
          </w:tblCellMar>
          <w:tblLook w:val="0000"/>
        </w:tblPrEx>
        <w:trPr>
          <w:cantSplit/>
          <w:jc w:val="center"/>
        </w:trPr>
        <w:tc>
          <w:tcPr>
            <w:tcW w:w="2409" w:type="dxa"/>
            <w:gridSpan w:val="5"/>
            <w:vAlign w:val="center"/>
          </w:tcPr>
          <w:p>
            <w:pPr>
              <w:pStyle w:val="a2"/>
              <w:ind w:firstLine="0" w:firstLineChars="0"/>
              <w:jc w:val="both"/>
              <w:rPr>
                <w:rFonts w:ascii="Times New Roman"/>
                <w:sz w:val="24"/>
                <w:szCs w:val="24"/>
              </w:rPr>
            </w:pPr>
            <w:r>
              <w:rPr>
                <w:rFonts w:ascii="Times New Roman"/>
                <w:sz w:val="24"/>
                <w:szCs w:val="24"/>
              </w:rPr>
              <w:t>角码数据字长(bit)</w:t>
            </w:r>
          </w:p>
        </w:tc>
        <w:tc>
          <w:tcPr>
            <w:tcW w:w="2657" w:type="dxa"/>
            <w:gridSpan w:val="5"/>
            <w:vAlign w:val="center"/>
          </w:tcPr>
          <w:p>
            <w:pPr>
              <w:pStyle w:val="a2"/>
              <w:ind w:firstLine="0" w:firstLineChars="0"/>
              <w:rPr>
                <w:rFonts w:ascii="Times New Roman" w:hAnsi="Times New Roman" w:cs="Times New Roman"/>
                <w:sz w:val="24"/>
                <w:szCs w:val="24"/>
              </w:rPr>
            </w:pPr>
            <w:r>
              <w:rPr>
                <w:rFonts w:ascii="Times New Roman" w:hAnsi="Times New Roman" w:cs="Times New Roman"/>
                <w:sz w:val="24"/>
                <w:szCs w:val="24"/>
              </w:rPr>
              <w:t>≥14</w:t>
            </w:r>
          </w:p>
        </w:tc>
        <w:tc>
          <w:tcPr>
            <w:tcW w:w="3936" w:type="dxa"/>
            <w:vAlign w:val="center"/>
          </w:tcPr>
          <w:p>
            <w:pPr>
              <w:pStyle w:val="a2"/>
              <w:ind w:firstLine="0" w:firstLineChars="0"/>
              <w:rPr>
                <w:rFonts w:ascii="Times New Roman" w:hAnsi="Times New Roman" w:cs="Times New Roman"/>
                <w:sz w:val="24"/>
                <w:szCs w:val="24"/>
                <w:highlight w:val="none"/>
              </w:rPr>
            </w:pPr>
            <w:r>
              <w:rPr>
                <w:rFonts w:ascii="Times New Roman" w:hAnsi="Times New Roman" w:cs="Times New Roman" w:hint="eastAsia"/>
                <w:b/>
                <w:bCs/>
                <w:sz w:val="24"/>
                <w:szCs w:val="24"/>
                <w:highlight w:val="none"/>
              </w:rPr>
              <w:t>检查</w:t>
            </w:r>
          </w:p>
        </w:tc>
      </w:tr>
      <w:tr>
        <w:tblPrEx>
          <w:tblW w:w="9002" w:type="dxa"/>
          <w:jc w:val="center"/>
          <w:tblLayout w:type="fixed"/>
          <w:tblCellMar>
            <w:top w:w="0" w:type="dxa"/>
            <w:left w:w="108" w:type="dxa"/>
            <w:bottom w:w="0" w:type="dxa"/>
            <w:right w:w="108" w:type="dxa"/>
          </w:tblCellMar>
          <w:tblLook w:val="0000"/>
        </w:tblPrEx>
        <w:trPr>
          <w:cantSplit/>
          <w:jc w:val="center"/>
        </w:trPr>
        <w:tc>
          <w:tcPr>
            <w:tcW w:w="9002" w:type="dxa"/>
            <w:gridSpan w:val="11"/>
            <w:vAlign w:val="center"/>
          </w:tcPr>
          <w:p>
            <w:pPr>
              <w:pStyle w:val="a2"/>
              <w:ind w:firstLine="0" w:firstLineChars="0"/>
              <w:rPr>
                <w:rFonts w:ascii="Times New Roman" w:hint="eastAsia"/>
                <w:b/>
                <w:sz w:val="24"/>
                <w:szCs w:val="24"/>
              </w:rPr>
            </w:pPr>
            <w:r>
              <w:rPr>
                <w:rFonts w:ascii="Times New Roman"/>
                <w:b/>
                <w:sz w:val="24"/>
                <w:szCs w:val="24"/>
              </w:rPr>
              <w:t>发射</w:t>
            </w:r>
            <w:r>
              <w:rPr>
                <w:rFonts w:ascii="Times New Roman" w:hint="eastAsia"/>
                <w:b/>
                <w:sz w:val="24"/>
                <w:szCs w:val="24"/>
              </w:rPr>
              <w:t>系统</w:t>
            </w:r>
          </w:p>
        </w:tc>
      </w:tr>
      <w:tr>
        <w:tblPrEx>
          <w:tblW w:w="9002" w:type="dxa"/>
          <w:jc w:val="center"/>
          <w:tblLayout w:type="fixed"/>
          <w:tblCellMar>
            <w:top w:w="0" w:type="dxa"/>
            <w:left w:w="108" w:type="dxa"/>
            <w:bottom w:w="0" w:type="dxa"/>
            <w:right w:w="108" w:type="dxa"/>
          </w:tblCellMar>
          <w:tblLook w:val="0000"/>
        </w:tblPrEx>
        <w:trPr>
          <w:cantSplit/>
          <w:jc w:val="center"/>
        </w:trPr>
        <w:tc>
          <w:tcPr>
            <w:tcW w:w="5066" w:type="dxa"/>
            <w:gridSpan w:val="10"/>
            <w:vAlign w:val="center"/>
          </w:tcPr>
          <w:p>
            <w:pPr>
              <w:pStyle w:val="a2"/>
              <w:ind w:firstLine="0" w:firstLineChars="0"/>
              <w:rPr>
                <w:rFonts w:ascii="Times New Roman"/>
                <w:sz w:val="24"/>
                <w:szCs w:val="24"/>
              </w:rPr>
            </w:pPr>
            <w:r>
              <w:rPr>
                <w:rFonts w:ascii="Times New Roman"/>
                <w:sz w:val="24"/>
                <w:szCs w:val="24"/>
              </w:rPr>
              <w:t>工作频率(GHz)</w:t>
            </w:r>
          </w:p>
        </w:tc>
        <w:tc>
          <w:tcPr>
            <w:tcW w:w="3936" w:type="dxa"/>
            <w:vAlign w:val="center"/>
          </w:tcPr>
          <w:p>
            <w:pPr>
              <w:pStyle w:val="a2"/>
              <w:ind w:firstLine="0" w:firstLineChars="0"/>
              <w:rPr>
                <w:rFonts w:ascii="Times New Roman"/>
                <w:sz w:val="24"/>
                <w:szCs w:val="24"/>
              </w:rPr>
            </w:pPr>
            <w:r>
              <w:rPr>
                <w:rFonts w:ascii="Times New Roman"/>
                <w:sz w:val="24"/>
                <w:szCs w:val="24"/>
              </w:rPr>
              <w:t>5.3～5.7</w:t>
            </w:r>
          </w:p>
        </w:tc>
      </w:tr>
      <w:tr>
        <w:tblPrEx>
          <w:tblW w:w="9002" w:type="dxa"/>
          <w:jc w:val="center"/>
          <w:tblLayout w:type="fixed"/>
          <w:tblCellMar>
            <w:top w:w="0" w:type="dxa"/>
            <w:left w:w="108" w:type="dxa"/>
            <w:bottom w:w="0" w:type="dxa"/>
            <w:right w:w="108" w:type="dxa"/>
          </w:tblCellMar>
          <w:tblLook w:val="0000"/>
        </w:tblPrEx>
        <w:trPr>
          <w:cantSplit/>
          <w:trHeight w:val="458"/>
          <w:jc w:val="center"/>
        </w:trPr>
        <w:tc>
          <w:tcPr>
            <w:tcW w:w="2409" w:type="dxa"/>
            <w:gridSpan w:val="5"/>
            <w:vMerge w:val="restart"/>
            <w:vAlign w:val="center"/>
          </w:tcPr>
          <w:p>
            <w:pPr>
              <w:pStyle w:val="a2"/>
              <w:ind w:firstLine="0" w:firstLineChars="0"/>
              <w:jc w:val="both"/>
              <w:rPr>
                <w:rFonts w:ascii="Times New Roman"/>
                <w:sz w:val="24"/>
                <w:szCs w:val="24"/>
              </w:rPr>
            </w:pPr>
            <w:r>
              <w:rPr>
                <w:rFonts w:ascii="Times New Roman"/>
                <w:sz w:val="24"/>
                <w:szCs w:val="24"/>
              </w:rPr>
              <w:t>脉冲重复频率(Hz)</w:t>
            </w:r>
          </w:p>
        </w:tc>
        <w:tc>
          <w:tcPr>
            <w:tcW w:w="2657" w:type="dxa"/>
            <w:gridSpan w:val="5"/>
            <w:vAlign w:val="center"/>
          </w:tcPr>
          <w:p>
            <w:pPr>
              <w:pStyle w:val="a2"/>
              <w:ind w:firstLine="0" w:firstLineChars="0"/>
              <w:rPr>
                <w:rFonts w:ascii="Times New Roman"/>
                <w:sz w:val="24"/>
                <w:szCs w:val="24"/>
              </w:rPr>
            </w:pPr>
            <w:r>
              <w:rPr>
                <w:rFonts w:ascii="Times New Roman"/>
                <w:sz w:val="24"/>
                <w:szCs w:val="24"/>
              </w:rPr>
              <w:t>窄脉冲</w:t>
            </w:r>
          </w:p>
        </w:tc>
        <w:tc>
          <w:tcPr>
            <w:tcW w:w="3936" w:type="dxa"/>
            <w:vAlign w:val="center"/>
          </w:tcPr>
          <w:p>
            <w:pPr>
              <w:pStyle w:val="a2"/>
              <w:ind w:firstLine="0" w:firstLineChars="0"/>
              <w:rPr>
                <w:rFonts w:ascii="Times New Roman"/>
                <w:sz w:val="24"/>
                <w:szCs w:val="24"/>
              </w:rPr>
            </w:pPr>
            <w:r>
              <w:rPr>
                <w:rFonts w:ascii="Times New Roman"/>
                <w:sz w:val="24"/>
                <w:szCs w:val="24"/>
              </w:rPr>
              <w:t>300～2000</w:t>
            </w:r>
          </w:p>
        </w:tc>
      </w:tr>
      <w:tr>
        <w:tblPrEx>
          <w:tblW w:w="9002" w:type="dxa"/>
          <w:jc w:val="center"/>
          <w:tblLayout w:type="fixed"/>
          <w:tblCellMar>
            <w:top w:w="0" w:type="dxa"/>
            <w:left w:w="108" w:type="dxa"/>
            <w:bottom w:w="0" w:type="dxa"/>
            <w:right w:w="108" w:type="dxa"/>
          </w:tblCellMar>
          <w:tblLook w:val="0000"/>
        </w:tblPrEx>
        <w:trPr>
          <w:cantSplit/>
          <w:trHeight w:val="458"/>
          <w:jc w:val="center"/>
        </w:trPr>
        <w:tc>
          <w:tcPr>
            <w:tcW w:w="2409" w:type="dxa"/>
            <w:gridSpan w:val="5"/>
            <w:vMerge/>
            <w:vAlign w:val="center"/>
          </w:tcPr>
          <w:p>
            <w:pPr>
              <w:pStyle w:val="a2"/>
              <w:ind w:firstLine="0" w:firstLineChars="0"/>
              <w:rPr>
                <w:rFonts w:ascii="Times New Roman"/>
                <w:sz w:val="24"/>
                <w:szCs w:val="24"/>
              </w:rPr>
            </w:pPr>
          </w:p>
        </w:tc>
        <w:tc>
          <w:tcPr>
            <w:tcW w:w="2657" w:type="dxa"/>
            <w:gridSpan w:val="5"/>
            <w:vAlign w:val="center"/>
          </w:tcPr>
          <w:p>
            <w:pPr>
              <w:pStyle w:val="a2"/>
              <w:ind w:firstLine="0" w:firstLineChars="0"/>
              <w:rPr>
                <w:rFonts w:ascii="Times New Roman"/>
                <w:sz w:val="24"/>
                <w:szCs w:val="24"/>
              </w:rPr>
            </w:pPr>
            <w:r>
              <w:rPr>
                <w:rFonts w:ascii="Times New Roman"/>
                <w:sz w:val="24"/>
                <w:szCs w:val="24"/>
              </w:rPr>
              <w:t>宽脉冲</w:t>
            </w:r>
          </w:p>
        </w:tc>
        <w:tc>
          <w:tcPr>
            <w:tcW w:w="3936" w:type="dxa"/>
            <w:vAlign w:val="center"/>
          </w:tcPr>
          <w:p>
            <w:pPr>
              <w:pStyle w:val="a2"/>
              <w:ind w:firstLine="0" w:firstLineChars="0"/>
              <w:rPr>
                <w:rFonts w:ascii="Times New Roman"/>
                <w:sz w:val="24"/>
                <w:szCs w:val="24"/>
              </w:rPr>
            </w:pPr>
            <w:r>
              <w:rPr>
                <w:rFonts w:ascii="Times New Roman"/>
                <w:sz w:val="24"/>
                <w:szCs w:val="24"/>
              </w:rPr>
              <w:t>300～1000</w:t>
            </w:r>
          </w:p>
        </w:tc>
      </w:tr>
      <w:tr>
        <w:tblPrEx>
          <w:tblW w:w="9002" w:type="dxa"/>
          <w:jc w:val="center"/>
          <w:tblLayout w:type="fixed"/>
          <w:tblCellMar>
            <w:top w:w="0" w:type="dxa"/>
            <w:left w:w="108" w:type="dxa"/>
            <w:bottom w:w="0" w:type="dxa"/>
            <w:right w:w="108" w:type="dxa"/>
          </w:tblCellMar>
          <w:tblLook w:val="0000"/>
        </w:tblPrEx>
        <w:trPr>
          <w:cantSplit/>
          <w:jc w:val="center"/>
        </w:trPr>
        <w:tc>
          <w:tcPr>
            <w:tcW w:w="5066" w:type="dxa"/>
            <w:gridSpan w:val="10"/>
            <w:vAlign w:val="center"/>
          </w:tcPr>
          <w:p>
            <w:pPr>
              <w:pStyle w:val="a2"/>
              <w:ind w:firstLine="0" w:firstLineChars="0"/>
              <w:rPr>
                <w:rFonts w:ascii="Times New Roman"/>
                <w:sz w:val="24"/>
                <w:szCs w:val="24"/>
              </w:rPr>
            </w:pPr>
            <w:r>
              <w:rPr>
                <w:rFonts w:ascii="Times New Roman"/>
                <w:sz w:val="24"/>
                <w:szCs w:val="24"/>
              </w:rPr>
              <w:t>参差脉冲重复频率比</w:t>
            </w:r>
          </w:p>
        </w:tc>
        <w:tc>
          <w:tcPr>
            <w:tcW w:w="3936" w:type="dxa"/>
            <w:vAlign w:val="center"/>
          </w:tcPr>
          <w:p>
            <w:pPr>
              <w:pStyle w:val="a2"/>
              <w:ind w:firstLine="0" w:firstLineChars="0"/>
              <w:rPr>
                <w:rFonts w:ascii="Times New Roman"/>
                <w:sz w:val="24"/>
                <w:szCs w:val="24"/>
              </w:rPr>
            </w:pPr>
            <w:r>
              <w:rPr>
                <w:rFonts w:ascii="Times New Roman"/>
                <w:sz w:val="24"/>
                <w:szCs w:val="24"/>
              </w:rPr>
              <w:t>3/2,4/3,5/4</w:t>
            </w:r>
          </w:p>
        </w:tc>
      </w:tr>
      <w:tr>
        <w:tblPrEx>
          <w:tblW w:w="9002" w:type="dxa"/>
          <w:jc w:val="center"/>
          <w:tblLayout w:type="fixed"/>
          <w:tblCellMar>
            <w:top w:w="0" w:type="dxa"/>
            <w:left w:w="108" w:type="dxa"/>
            <w:bottom w:w="0" w:type="dxa"/>
            <w:right w:w="108" w:type="dxa"/>
          </w:tblCellMar>
          <w:tblLook w:val="0000"/>
        </w:tblPrEx>
        <w:trPr>
          <w:cantSplit/>
          <w:trHeight w:val="385"/>
          <w:jc w:val="center"/>
        </w:trPr>
        <w:tc>
          <w:tcPr>
            <w:tcW w:w="2409" w:type="dxa"/>
            <w:gridSpan w:val="5"/>
            <w:vMerge w:val="restart"/>
            <w:vAlign w:val="center"/>
          </w:tcPr>
          <w:p>
            <w:pPr>
              <w:pStyle w:val="a2"/>
              <w:ind w:firstLine="0" w:firstLineChars="0"/>
              <w:jc w:val="both"/>
              <w:rPr>
                <w:rFonts w:ascii="Times New Roman"/>
                <w:sz w:val="24"/>
                <w:szCs w:val="24"/>
              </w:rPr>
            </w:pPr>
            <w:r>
              <w:rPr>
                <w:rFonts w:ascii="Times New Roman"/>
                <w:sz w:val="24"/>
                <w:szCs w:val="24"/>
              </w:rPr>
              <w:t>脉冲宽度(μs)</w:t>
            </w:r>
          </w:p>
        </w:tc>
        <w:tc>
          <w:tcPr>
            <w:tcW w:w="2657" w:type="dxa"/>
            <w:gridSpan w:val="5"/>
            <w:vAlign w:val="center"/>
          </w:tcPr>
          <w:p>
            <w:pPr>
              <w:pStyle w:val="a2"/>
              <w:ind w:firstLine="0" w:firstLineChars="0"/>
              <w:rPr>
                <w:rFonts w:ascii="Times New Roman"/>
                <w:sz w:val="24"/>
                <w:szCs w:val="24"/>
              </w:rPr>
            </w:pPr>
            <w:r>
              <w:rPr>
                <w:rFonts w:ascii="Times New Roman"/>
                <w:sz w:val="24"/>
                <w:szCs w:val="24"/>
              </w:rPr>
              <w:t>窄脉冲</w:t>
            </w:r>
          </w:p>
        </w:tc>
        <w:tc>
          <w:tcPr>
            <w:tcW w:w="3936" w:type="dxa"/>
            <w:vAlign w:val="center"/>
          </w:tcPr>
          <w:p>
            <w:pPr>
              <w:pStyle w:val="a2"/>
              <w:ind w:firstLine="0" w:firstLineChars="0"/>
              <w:rPr>
                <w:rFonts w:ascii="Times New Roman"/>
                <w:sz w:val="24"/>
                <w:szCs w:val="24"/>
              </w:rPr>
            </w:pPr>
            <w:r>
              <w:rPr>
                <w:rFonts w:ascii="Times New Roman"/>
                <w:sz w:val="24"/>
                <w:szCs w:val="24"/>
              </w:rPr>
              <w:t>1.00±0.10</w:t>
            </w:r>
          </w:p>
        </w:tc>
      </w:tr>
      <w:tr>
        <w:tblPrEx>
          <w:tblW w:w="9002" w:type="dxa"/>
          <w:jc w:val="center"/>
          <w:tblLayout w:type="fixed"/>
          <w:tblCellMar>
            <w:top w:w="0" w:type="dxa"/>
            <w:left w:w="108" w:type="dxa"/>
            <w:bottom w:w="0" w:type="dxa"/>
            <w:right w:w="108" w:type="dxa"/>
          </w:tblCellMar>
          <w:tblLook w:val="0000"/>
        </w:tblPrEx>
        <w:trPr>
          <w:cantSplit/>
          <w:trHeight w:val="385"/>
          <w:jc w:val="center"/>
        </w:trPr>
        <w:tc>
          <w:tcPr>
            <w:tcW w:w="2409" w:type="dxa"/>
            <w:gridSpan w:val="5"/>
            <w:vMerge/>
            <w:vAlign w:val="center"/>
          </w:tcPr>
          <w:p>
            <w:pPr>
              <w:pStyle w:val="a2"/>
              <w:ind w:firstLine="0" w:firstLineChars="0"/>
              <w:rPr>
                <w:rFonts w:ascii="Times New Roman"/>
                <w:sz w:val="24"/>
                <w:szCs w:val="24"/>
              </w:rPr>
            </w:pPr>
          </w:p>
        </w:tc>
        <w:tc>
          <w:tcPr>
            <w:tcW w:w="2657" w:type="dxa"/>
            <w:gridSpan w:val="5"/>
            <w:vAlign w:val="center"/>
          </w:tcPr>
          <w:p>
            <w:pPr>
              <w:pStyle w:val="a2"/>
              <w:ind w:firstLine="0" w:firstLineChars="0"/>
              <w:rPr>
                <w:rFonts w:ascii="Times New Roman"/>
                <w:sz w:val="24"/>
                <w:szCs w:val="24"/>
              </w:rPr>
            </w:pPr>
            <w:r>
              <w:rPr>
                <w:rFonts w:ascii="Times New Roman"/>
                <w:sz w:val="24"/>
                <w:szCs w:val="24"/>
              </w:rPr>
              <w:t>宽脉冲</w:t>
            </w:r>
          </w:p>
        </w:tc>
        <w:tc>
          <w:tcPr>
            <w:tcW w:w="3936" w:type="dxa"/>
            <w:vAlign w:val="center"/>
          </w:tcPr>
          <w:p>
            <w:pPr>
              <w:pStyle w:val="a2"/>
              <w:ind w:firstLine="0" w:firstLineChars="0"/>
              <w:rPr>
                <w:rFonts w:ascii="Times New Roman"/>
                <w:sz w:val="24"/>
                <w:szCs w:val="24"/>
              </w:rPr>
            </w:pPr>
            <w:r>
              <w:rPr>
                <w:rFonts w:ascii="Times New Roman"/>
                <w:sz w:val="24"/>
                <w:szCs w:val="24"/>
              </w:rPr>
              <w:t>2.00±0.20</w:t>
            </w:r>
          </w:p>
        </w:tc>
      </w:tr>
      <w:tr>
        <w:tblPrEx>
          <w:tblW w:w="9002" w:type="dxa"/>
          <w:jc w:val="center"/>
          <w:tblLayout w:type="fixed"/>
          <w:tblCellMar>
            <w:top w:w="0" w:type="dxa"/>
            <w:left w:w="108" w:type="dxa"/>
            <w:bottom w:w="0" w:type="dxa"/>
            <w:right w:w="108" w:type="dxa"/>
          </w:tblCellMar>
          <w:tblLook w:val="0000"/>
        </w:tblPrEx>
        <w:trPr>
          <w:cantSplit/>
          <w:trHeight w:val="295"/>
          <w:jc w:val="center"/>
        </w:trPr>
        <w:tc>
          <w:tcPr>
            <w:tcW w:w="2409" w:type="dxa"/>
            <w:gridSpan w:val="5"/>
            <w:vAlign w:val="center"/>
          </w:tcPr>
          <w:p>
            <w:pPr>
              <w:pStyle w:val="a2"/>
              <w:ind w:firstLine="0" w:firstLineChars="0"/>
              <w:jc w:val="both"/>
              <w:rPr>
                <w:rFonts w:ascii="Times New Roman"/>
                <w:sz w:val="24"/>
                <w:szCs w:val="24"/>
              </w:rPr>
            </w:pPr>
            <w:r>
              <w:rPr>
                <w:rFonts w:ascii="Times New Roman"/>
                <w:sz w:val="24"/>
                <w:szCs w:val="24"/>
              </w:rPr>
              <w:t>上升时间(ns)</w:t>
            </w:r>
          </w:p>
        </w:tc>
        <w:tc>
          <w:tcPr>
            <w:tcW w:w="2657" w:type="dxa"/>
            <w:gridSpan w:val="5"/>
            <w:vAlign w:val="center"/>
          </w:tcPr>
          <w:p>
            <w:pPr>
              <w:pStyle w:val="a2"/>
              <w:ind w:firstLine="0" w:firstLineChars="0"/>
              <w:rPr>
                <w:rFonts w:ascii="Times New Roman"/>
                <w:sz w:val="24"/>
                <w:szCs w:val="24"/>
              </w:rPr>
            </w:pPr>
            <w:r>
              <w:rPr>
                <w:rFonts w:ascii="Times New Roman"/>
                <w:sz w:val="24"/>
                <w:szCs w:val="24"/>
              </w:rPr>
              <w:t>窄脉冲</w:t>
            </w:r>
          </w:p>
        </w:tc>
        <w:tc>
          <w:tcPr>
            <w:tcW w:w="3936" w:type="dxa"/>
            <w:vMerge w:val="restart"/>
            <w:vAlign w:val="center"/>
          </w:tcPr>
          <w:p>
            <w:pPr>
              <w:pStyle w:val="a2"/>
              <w:ind w:firstLine="0" w:firstLineChars="0"/>
              <w:rPr>
                <w:rFonts w:ascii="Times New Roman"/>
                <w:sz w:val="24"/>
                <w:szCs w:val="24"/>
              </w:rPr>
            </w:pPr>
            <w:r>
              <w:rPr>
                <w:rFonts w:ascii="Times New Roman"/>
                <w:sz w:val="24"/>
                <w:szCs w:val="24"/>
              </w:rPr>
              <w:t>80～250</w:t>
            </w:r>
          </w:p>
        </w:tc>
      </w:tr>
      <w:tr>
        <w:tblPrEx>
          <w:tblW w:w="9002" w:type="dxa"/>
          <w:jc w:val="center"/>
          <w:tblLayout w:type="fixed"/>
          <w:tblCellMar>
            <w:top w:w="0" w:type="dxa"/>
            <w:left w:w="108" w:type="dxa"/>
            <w:bottom w:w="0" w:type="dxa"/>
            <w:right w:w="108" w:type="dxa"/>
          </w:tblCellMar>
          <w:tblLook w:val="0000"/>
        </w:tblPrEx>
        <w:trPr>
          <w:cantSplit/>
          <w:trHeight w:val="295"/>
          <w:jc w:val="center"/>
        </w:trPr>
        <w:tc>
          <w:tcPr>
            <w:tcW w:w="2409" w:type="dxa"/>
            <w:gridSpan w:val="5"/>
            <w:vAlign w:val="center"/>
          </w:tcPr>
          <w:p>
            <w:pPr>
              <w:pStyle w:val="a2"/>
              <w:ind w:firstLine="0" w:firstLineChars="0"/>
              <w:rPr>
                <w:rFonts w:ascii="Times New Roman"/>
                <w:sz w:val="24"/>
                <w:szCs w:val="24"/>
              </w:rPr>
            </w:pPr>
          </w:p>
        </w:tc>
        <w:tc>
          <w:tcPr>
            <w:tcW w:w="2657" w:type="dxa"/>
            <w:gridSpan w:val="5"/>
            <w:vAlign w:val="center"/>
          </w:tcPr>
          <w:p>
            <w:pPr>
              <w:pStyle w:val="a2"/>
              <w:ind w:firstLine="0" w:firstLineChars="0"/>
              <w:rPr>
                <w:rFonts w:ascii="Times New Roman"/>
                <w:sz w:val="24"/>
                <w:szCs w:val="24"/>
              </w:rPr>
            </w:pPr>
            <w:r>
              <w:rPr>
                <w:rFonts w:ascii="Times New Roman"/>
                <w:sz w:val="24"/>
                <w:szCs w:val="24"/>
              </w:rPr>
              <w:t>宽脉冲</w:t>
            </w:r>
          </w:p>
        </w:tc>
        <w:tc>
          <w:tcPr>
            <w:tcW w:w="3936" w:type="dxa"/>
            <w:vMerge/>
            <w:vAlign w:val="center"/>
          </w:tcPr>
          <w:p>
            <w:pPr>
              <w:pStyle w:val="a2"/>
              <w:ind w:firstLine="0" w:firstLineChars="0"/>
              <w:rPr>
                <w:rFonts w:ascii="Times New Roman"/>
                <w:sz w:val="24"/>
                <w:szCs w:val="24"/>
              </w:rPr>
            </w:pPr>
          </w:p>
        </w:tc>
      </w:tr>
      <w:tr>
        <w:tblPrEx>
          <w:tblW w:w="9002" w:type="dxa"/>
          <w:jc w:val="center"/>
          <w:tblLayout w:type="fixed"/>
          <w:tblCellMar>
            <w:top w:w="0" w:type="dxa"/>
            <w:left w:w="108" w:type="dxa"/>
            <w:bottom w:w="0" w:type="dxa"/>
            <w:right w:w="108" w:type="dxa"/>
          </w:tblCellMar>
          <w:tblLook w:val="0000"/>
        </w:tblPrEx>
        <w:trPr>
          <w:cantSplit/>
          <w:jc w:val="center"/>
        </w:trPr>
        <w:tc>
          <w:tcPr>
            <w:tcW w:w="2409" w:type="dxa"/>
            <w:gridSpan w:val="5"/>
            <w:vMerge w:val="restart"/>
            <w:vAlign w:val="center"/>
          </w:tcPr>
          <w:p>
            <w:pPr>
              <w:pStyle w:val="a2"/>
              <w:ind w:firstLine="0" w:firstLineChars="0"/>
              <w:jc w:val="both"/>
              <w:rPr>
                <w:rFonts w:ascii="Times New Roman"/>
                <w:sz w:val="24"/>
                <w:szCs w:val="24"/>
              </w:rPr>
            </w:pPr>
            <w:r>
              <w:rPr>
                <w:rFonts w:ascii="Times New Roman"/>
                <w:sz w:val="24"/>
                <w:szCs w:val="24"/>
              </w:rPr>
              <w:t>下降时间(ns)</w:t>
            </w:r>
          </w:p>
        </w:tc>
        <w:tc>
          <w:tcPr>
            <w:tcW w:w="2657" w:type="dxa"/>
            <w:gridSpan w:val="5"/>
            <w:vAlign w:val="center"/>
          </w:tcPr>
          <w:p>
            <w:pPr>
              <w:pStyle w:val="a2"/>
              <w:ind w:firstLine="0" w:firstLineChars="0"/>
              <w:rPr>
                <w:rFonts w:ascii="Times New Roman"/>
                <w:sz w:val="24"/>
                <w:szCs w:val="24"/>
              </w:rPr>
            </w:pPr>
            <w:r>
              <w:rPr>
                <w:rFonts w:ascii="Times New Roman"/>
                <w:sz w:val="24"/>
                <w:szCs w:val="24"/>
              </w:rPr>
              <w:t>窄脉冲</w:t>
            </w:r>
          </w:p>
        </w:tc>
        <w:tc>
          <w:tcPr>
            <w:tcW w:w="3936" w:type="dxa"/>
            <w:vMerge/>
            <w:vAlign w:val="center"/>
          </w:tcPr>
          <w:p>
            <w:pPr>
              <w:pStyle w:val="a2"/>
              <w:ind w:firstLine="0" w:firstLineChars="0"/>
              <w:rPr>
                <w:rFonts w:ascii="Times New Roman"/>
                <w:sz w:val="24"/>
                <w:szCs w:val="24"/>
              </w:rPr>
            </w:pPr>
          </w:p>
        </w:tc>
      </w:tr>
      <w:tr>
        <w:tblPrEx>
          <w:tblW w:w="9002" w:type="dxa"/>
          <w:jc w:val="center"/>
          <w:tblLayout w:type="fixed"/>
          <w:tblCellMar>
            <w:top w:w="0" w:type="dxa"/>
            <w:left w:w="108" w:type="dxa"/>
            <w:bottom w:w="0" w:type="dxa"/>
            <w:right w:w="108" w:type="dxa"/>
          </w:tblCellMar>
          <w:tblLook w:val="0000"/>
        </w:tblPrEx>
        <w:trPr>
          <w:cantSplit/>
          <w:jc w:val="center"/>
        </w:trPr>
        <w:tc>
          <w:tcPr>
            <w:tcW w:w="2409" w:type="dxa"/>
            <w:gridSpan w:val="5"/>
            <w:vMerge/>
            <w:vAlign w:val="center"/>
          </w:tcPr>
          <w:p>
            <w:pPr>
              <w:pStyle w:val="a2"/>
              <w:ind w:firstLine="0" w:firstLineChars="0"/>
              <w:rPr>
                <w:rFonts w:ascii="Times New Roman"/>
                <w:sz w:val="24"/>
                <w:szCs w:val="24"/>
              </w:rPr>
            </w:pPr>
          </w:p>
        </w:tc>
        <w:tc>
          <w:tcPr>
            <w:tcW w:w="2657" w:type="dxa"/>
            <w:gridSpan w:val="5"/>
            <w:vAlign w:val="center"/>
          </w:tcPr>
          <w:p>
            <w:pPr>
              <w:pStyle w:val="a2"/>
              <w:ind w:firstLine="0" w:firstLineChars="0"/>
              <w:rPr>
                <w:rFonts w:ascii="Times New Roman"/>
                <w:sz w:val="24"/>
                <w:szCs w:val="24"/>
              </w:rPr>
            </w:pPr>
            <w:r>
              <w:rPr>
                <w:rFonts w:ascii="Times New Roman"/>
                <w:sz w:val="24"/>
                <w:szCs w:val="24"/>
              </w:rPr>
              <w:t>宽脉冲</w:t>
            </w:r>
          </w:p>
        </w:tc>
        <w:tc>
          <w:tcPr>
            <w:tcW w:w="3936" w:type="dxa"/>
            <w:vMerge/>
            <w:vAlign w:val="center"/>
          </w:tcPr>
          <w:p>
            <w:pPr>
              <w:pStyle w:val="a2"/>
              <w:ind w:firstLine="0" w:firstLineChars="0"/>
              <w:rPr>
                <w:rFonts w:ascii="Times New Roman"/>
                <w:sz w:val="24"/>
                <w:szCs w:val="24"/>
              </w:rPr>
            </w:pPr>
          </w:p>
        </w:tc>
      </w:tr>
      <w:tr>
        <w:tblPrEx>
          <w:tblW w:w="9002" w:type="dxa"/>
          <w:jc w:val="center"/>
          <w:tblLayout w:type="fixed"/>
          <w:tblCellMar>
            <w:top w:w="0" w:type="dxa"/>
            <w:left w:w="108" w:type="dxa"/>
            <w:bottom w:w="0" w:type="dxa"/>
            <w:right w:w="108" w:type="dxa"/>
          </w:tblCellMar>
          <w:tblLook w:val="0000"/>
        </w:tblPrEx>
        <w:trPr>
          <w:cantSplit/>
          <w:trHeight w:val="197"/>
          <w:jc w:val="center"/>
        </w:trPr>
        <w:tc>
          <w:tcPr>
            <w:tcW w:w="2409" w:type="dxa"/>
            <w:gridSpan w:val="5"/>
            <w:vMerge w:val="restart"/>
            <w:vAlign w:val="center"/>
          </w:tcPr>
          <w:p>
            <w:pPr>
              <w:pStyle w:val="a2"/>
              <w:ind w:firstLine="0" w:firstLineChars="0"/>
              <w:rPr>
                <w:rFonts w:ascii="Times New Roman"/>
                <w:sz w:val="24"/>
                <w:szCs w:val="24"/>
              </w:rPr>
            </w:pPr>
            <w:r>
              <w:rPr>
                <w:rFonts w:ascii="Times New Roman"/>
                <w:sz w:val="24"/>
                <w:szCs w:val="24"/>
              </w:rPr>
              <w:t>顶降</w:t>
            </w:r>
          </w:p>
        </w:tc>
        <w:tc>
          <w:tcPr>
            <w:tcW w:w="2657" w:type="dxa"/>
            <w:gridSpan w:val="5"/>
            <w:vAlign w:val="center"/>
          </w:tcPr>
          <w:p>
            <w:pPr>
              <w:pStyle w:val="a2"/>
              <w:ind w:firstLine="0" w:firstLineChars="0"/>
              <w:rPr>
                <w:rFonts w:ascii="Times New Roman"/>
                <w:sz w:val="24"/>
                <w:szCs w:val="24"/>
              </w:rPr>
            </w:pPr>
            <w:r>
              <w:rPr>
                <w:rFonts w:ascii="Times New Roman"/>
                <w:sz w:val="24"/>
                <w:szCs w:val="24"/>
              </w:rPr>
              <w:t>窄脉冲</w:t>
            </w:r>
          </w:p>
        </w:tc>
        <w:tc>
          <w:tcPr>
            <w:tcW w:w="3936" w:type="dxa"/>
            <w:vMerge w:val="restart"/>
            <w:vAlign w:val="center"/>
          </w:tcPr>
          <w:p>
            <w:pPr>
              <w:pStyle w:val="a2"/>
              <w:ind w:firstLine="0" w:firstLineChars="0"/>
              <w:rPr>
                <w:rFonts w:ascii="Times New Roman"/>
                <w:sz w:val="24"/>
                <w:szCs w:val="24"/>
              </w:rPr>
            </w:pPr>
            <w:r>
              <w:rPr>
                <w:rFonts w:ascii="Times New Roman"/>
                <w:sz w:val="24"/>
                <w:szCs w:val="24"/>
              </w:rPr>
              <w:t>≤5%</w:t>
            </w:r>
          </w:p>
        </w:tc>
      </w:tr>
      <w:tr>
        <w:tblPrEx>
          <w:tblW w:w="9002" w:type="dxa"/>
          <w:jc w:val="center"/>
          <w:tblLayout w:type="fixed"/>
          <w:tblCellMar>
            <w:top w:w="0" w:type="dxa"/>
            <w:left w:w="108" w:type="dxa"/>
            <w:bottom w:w="0" w:type="dxa"/>
            <w:right w:w="108" w:type="dxa"/>
          </w:tblCellMar>
          <w:tblLook w:val="0000"/>
        </w:tblPrEx>
        <w:trPr>
          <w:cantSplit/>
          <w:trHeight w:val="197"/>
          <w:jc w:val="center"/>
        </w:trPr>
        <w:tc>
          <w:tcPr>
            <w:tcW w:w="2409" w:type="dxa"/>
            <w:gridSpan w:val="5"/>
            <w:vMerge/>
            <w:vAlign w:val="center"/>
          </w:tcPr>
          <w:p>
            <w:pPr>
              <w:pStyle w:val="a2"/>
              <w:ind w:firstLine="0" w:firstLineChars="0"/>
              <w:rPr>
                <w:rFonts w:ascii="Times New Roman"/>
                <w:sz w:val="24"/>
                <w:szCs w:val="24"/>
              </w:rPr>
            </w:pPr>
          </w:p>
        </w:tc>
        <w:tc>
          <w:tcPr>
            <w:tcW w:w="2657" w:type="dxa"/>
            <w:gridSpan w:val="5"/>
            <w:vAlign w:val="center"/>
          </w:tcPr>
          <w:p>
            <w:pPr>
              <w:pStyle w:val="a2"/>
              <w:ind w:firstLine="0" w:firstLineChars="0"/>
              <w:rPr>
                <w:rFonts w:ascii="Times New Roman"/>
                <w:sz w:val="24"/>
                <w:szCs w:val="24"/>
              </w:rPr>
            </w:pPr>
            <w:r>
              <w:rPr>
                <w:rFonts w:ascii="Times New Roman"/>
                <w:sz w:val="24"/>
                <w:szCs w:val="24"/>
              </w:rPr>
              <w:t>宽脉冲</w:t>
            </w:r>
          </w:p>
        </w:tc>
        <w:tc>
          <w:tcPr>
            <w:tcW w:w="3936" w:type="dxa"/>
            <w:vMerge/>
            <w:vAlign w:val="center"/>
          </w:tcPr>
          <w:p>
            <w:pPr>
              <w:pStyle w:val="a2"/>
              <w:ind w:firstLine="0" w:firstLineChars="0"/>
              <w:rPr>
                <w:rFonts w:ascii="Times New Roman"/>
                <w:sz w:val="24"/>
                <w:szCs w:val="24"/>
              </w:rPr>
            </w:pPr>
          </w:p>
        </w:tc>
      </w:tr>
      <w:tr>
        <w:tblPrEx>
          <w:tblW w:w="9002" w:type="dxa"/>
          <w:jc w:val="center"/>
          <w:tblLayout w:type="fixed"/>
          <w:tblCellMar>
            <w:top w:w="0" w:type="dxa"/>
            <w:left w:w="108" w:type="dxa"/>
            <w:bottom w:w="0" w:type="dxa"/>
            <w:right w:w="108" w:type="dxa"/>
          </w:tblCellMar>
          <w:tblLook w:val="0000"/>
        </w:tblPrEx>
        <w:trPr>
          <w:cantSplit/>
          <w:trHeight w:val="290"/>
          <w:jc w:val="center"/>
        </w:trPr>
        <w:tc>
          <w:tcPr>
            <w:tcW w:w="5066" w:type="dxa"/>
            <w:gridSpan w:val="10"/>
            <w:vAlign w:val="center"/>
          </w:tcPr>
          <w:p>
            <w:pPr>
              <w:pStyle w:val="a2"/>
              <w:ind w:firstLine="0" w:firstLineChars="0"/>
              <w:rPr>
                <w:rFonts w:ascii="Times New Roman"/>
                <w:sz w:val="24"/>
                <w:szCs w:val="24"/>
              </w:rPr>
            </w:pPr>
            <w:r>
              <w:rPr>
                <w:rFonts w:ascii="Times New Roman"/>
                <w:color w:val="FF0000"/>
                <w:sz w:val="24"/>
                <w:szCs w:val="24"/>
              </w:rPr>
              <w:t>#</w:t>
            </w:r>
            <w:r>
              <w:rPr>
                <w:rFonts w:ascii="Times New Roman"/>
                <w:sz w:val="24"/>
                <w:szCs w:val="24"/>
              </w:rPr>
              <w:t>输出峰值功率平均值(kW)</w:t>
            </w:r>
          </w:p>
        </w:tc>
        <w:tc>
          <w:tcPr>
            <w:tcW w:w="3936" w:type="dxa"/>
            <w:vAlign w:val="center"/>
          </w:tcPr>
          <w:p>
            <w:pPr>
              <w:pStyle w:val="a2"/>
              <w:ind w:firstLine="0" w:firstLineChars="0"/>
              <w:rPr>
                <w:rFonts w:ascii="Times New Roman"/>
                <w:sz w:val="24"/>
                <w:szCs w:val="24"/>
              </w:rPr>
            </w:pPr>
            <w:r>
              <w:rPr>
                <w:rFonts w:ascii="Times New Roman"/>
                <w:sz w:val="24"/>
                <w:szCs w:val="24"/>
              </w:rPr>
              <w:t>≥250</w:t>
            </w:r>
          </w:p>
        </w:tc>
      </w:tr>
      <w:tr>
        <w:tblPrEx>
          <w:tblW w:w="9002" w:type="dxa"/>
          <w:jc w:val="center"/>
          <w:tblLayout w:type="fixed"/>
          <w:tblCellMar>
            <w:top w:w="0" w:type="dxa"/>
            <w:left w:w="108" w:type="dxa"/>
            <w:bottom w:w="0" w:type="dxa"/>
            <w:right w:w="108" w:type="dxa"/>
          </w:tblCellMar>
          <w:tblLook w:val="0000"/>
        </w:tblPrEx>
        <w:trPr>
          <w:cantSplit/>
          <w:jc w:val="center"/>
        </w:trPr>
        <w:tc>
          <w:tcPr>
            <w:tcW w:w="5066" w:type="dxa"/>
            <w:gridSpan w:val="10"/>
            <w:vAlign w:val="center"/>
          </w:tcPr>
          <w:p>
            <w:pPr>
              <w:pStyle w:val="a2"/>
              <w:ind w:firstLine="0" w:firstLineChars="0"/>
              <w:rPr>
                <w:rFonts w:ascii="Times New Roman"/>
                <w:sz w:val="24"/>
                <w:szCs w:val="24"/>
              </w:rPr>
            </w:pPr>
            <w:r>
              <w:rPr>
                <w:rFonts w:ascii="Times New Roman"/>
                <w:color w:val="FF0000"/>
                <w:sz w:val="24"/>
                <w:szCs w:val="24"/>
              </w:rPr>
              <w:t>#</w:t>
            </w:r>
            <w:r>
              <w:rPr>
                <w:rFonts w:ascii="Times New Roman"/>
                <w:sz w:val="24"/>
                <w:szCs w:val="24"/>
              </w:rPr>
              <w:t>机外输出峰值功率波动(dB)</w:t>
            </w:r>
          </w:p>
        </w:tc>
        <w:tc>
          <w:tcPr>
            <w:tcW w:w="3936" w:type="dxa"/>
            <w:vAlign w:val="center"/>
          </w:tcPr>
          <w:p>
            <w:pPr>
              <w:pStyle w:val="a2"/>
              <w:ind w:firstLine="0" w:firstLineChars="0"/>
              <w:rPr>
                <w:rFonts w:ascii="Times New Roman"/>
                <w:sz w:val="24"/>
                <w:szCs w:val="24"/>
              </w:rPr>
            </w:pPr>
            <w:r>
              <w:rPr>
                <w:rFonts w:ascii="Times New Roman"/>
                <w:sz w:val="24"/>
                <w:szCs w:val="24"/>
              </w:rPr>
              <w:t>±0.3之间</w:t>
            </w:r>
          </w:p>
        </w:tc>
      </w:tr>
      <w:tr>
        <w:tblPrEx>
          <w:tblW w:w="9002" w:type="dxa"/>
          <w:jc w:val="center"/>
          <w:tblLayout w:type="fixed"/>
          <w:tblCellMar>
            <w:top w:w="0" w:type="dxa"/>
            <w:left w:w="108" w:type="dxa"/>
            <w:bottom w:w="0" w:type="dxa"/>
            <w:right w:w="108" w:type="dxa"/>
          </w:tblCellMar>
          <w:tblLook w:val="0000"/>
        </w:tblPrEx>
        <w:trPr>
          <w:cantSplit/>
          <w:jc w:val="center"/>
        </w:trPr>
        <w:tc>
          <w:tcPr>
            <w:tcW w:w="5066" w:type="dxa"/>
            <w:gridSpan w:val="10"/>
            <w:vAlign w:val="center"/>
          </w:tcPr>
          <w:p>
            <w:pPr>
              <w:pStyle w:val="a2"/>
              <w:ind w:firstLine="0" w:firstLineChars="0"/>
              <w:rPr>
                <w:rFonts w:ascii="Times New Roman"/>
                <w:sz w:val="24"/>
                <w:szCs w:val="24"/>
              </w:rPr>
            </w:pPr>
            <w:r>
              <w:rPr>
                <w:rFonts w:ascii="Times New Roman"/>
                <w:sz w:val="24"/>
                <w:szCs w:val="24"/>
              </w:rPr>
              <w:t>机内输出峰值功率波动(dB)</w:t>
            </w:r>
          </w:p>
        </w:tc>
        <w:tc>
          <w:tcPr>
            <w:tcW w:w="3936" w:type="dxa"/>
            <w:vAlign w:val="center"/>
          </w:tcPr>
          <w:p>
            <w:pPr>
              <w:pStyle w:val="a2"/>
              <w:ind w:firstLine="0" w:firstLineChars="0"/>
              <w:rPr>
                <w:rFonts w:ascii="Times New Roman"/>
                <w:sz w:val="24"/>
                <w:szCs w:val="24"/>
              </w:rPr>
            </w:pPr>
            <w:r>
              <w:rPr>
                <w:rFonts w:ascii="Times New Roman"/>
                <w:sz w:val="24"/>
                <w:szCs w:val="24"/>
              </w:rPr>
              <w:t>±0.4之间</w:t>
            </w:r>
          </w:p>
        </w:tc>
      </w:tr>
      <w:tr>
        <w:tblPrEx>
          <w:tblW w:w="9002" w:type="dxa"/>
          <w:jc w:val="center"/>
          <w:tblLayout w:type="fixed"/>
          <w:tblCellMar>
            <w:top w:w="0" w:type="dxa"/>
            <w:left w:w="108" w:type="dxa"/>
            <w:bottom w:w="0" w:type="dxa"/>
            <w:right w:w="108" w:type="dxa"/>
          </w:tblCellMar>
          <w:tblLook w:val="0000"/>
        </w:tblPrEx>
        <w:trPr>
          <w:cantSplit/>
          <w:jc w:val="center"/>
        </w:trPr>
        <w:tc>
          <w:tcPr>
            <w:tcW w:w="5066" w:type="dxa"/>
            <w:gridSpan w:val="10"/>
            <w:vAlign w:val="center"/>
          </w:tcPr>
          <w:p>
            <w:pPr>
              <w:pStyle w:val="a2"/>
              <w:ind w:firstLine="0" w:firstLineChars="0"/>
              <w:rPr>
                <w:rFonts w:ascii="Times New Roman"/>
                <w:sz w:val="24"/>
                <w:szCs w:val="24"/>
              </w:rPr>
            </w:pPr>
            <w:r>
              <w:rPr>
                <w:rFonts w:ascii="Times New Roman"/>
                <w:sz w:val="24"/>
                <w:szCs w:val="24"/>
              </w:rPr>
              <w:t>机内外输出峰值功率最大偏差(dB)</w:t>
            </w:r>
          </w:p>
        </w:tc>
        <w:tc>
          <w:tcPr>
            <w:tcW w:w="3936" w:type="dxa"/>
            <w:vAlign w:val="center"/>
          </w:tcPr>
          <w:p>
            <w:pPr>
              <w:pStyle w:val="a2"/>
              <w:ind w:firstLine="0" w:firstLineChars="0"/>
              <w:rPr>
                <w:rFonts w:ascii="Times New Roman"/>
                <w:sz w:val="24"/>
                <w:szCs w:val="24"/>
              </w:rPr>
            </w:pPr>
            <w:r>
              <w:rPr>
                <w:rFonts w:ascii="Times New Roman"/>
                <w:sz w:val="24"/>
                <w:szCs w:val="24"/>
              </w:rPr>
              <w:t>±0.2之间</w:t>
            </w:r>
          </w:p>
        </w:tc>
      </w:tr>
      <w:tr>
        <w:tblPrEx>
          <w:tblW w:w="9002" w:type="dxa"/>
          <w:jc w:val="center"/>
          <w:tblLayout w:type="fixed"/>
          <w:tblCellMar>
            <w:top w:w="0" w:type="dxa"/>
            <w:left w:w="108" w:type="dxa"/>
            <w:bottom w:w="0" w:type="dxa"/>
            <w:right w:w="108" w:type="dxa"/>
          </w:tblCellMar>
          <w:tblLook w:val="0000"/>
        </w:tblPrEx>
        <w:trPr>
          <w:cantSplit/>
          <w:trHeight w:val="182"/>
          <w:jc w:val="center"/>
        </w:trPr>
        <w:tc>
          <w:tcPr>
            <w:tcW w:w="2409" w:type="dxa"/>
            <w:gridSpan w:val="5"/>
            <w:vMerge w:val="restart"/>
            <w:vAlign w:val="center"/>
          </w:tcPr>
          <w:p>
            <w:pPr>
              <w:pStyle w:val="a2"/>
              <w:ind w:firstLine="0" w:firstLineChars="0"/>
              <w:rPr>
                <w:rFonts w:ascii="Times New Roman"/>
                <w:sz w:val="24"/>
                <w:szCs w:val="24"/>
              </w:rPr>
            </w:pPr>
            <w:r>
              <w:rPr>
                <w:rFonts w:ascii="Times New Roman"/>
                <w:color w:val="FF0000"/>
                <w:sz w:val="24"/>
                <w:szCs w:val="24"/>
              </w:rPr>
              <w:t>#</w:t>
            </w:r>
            <w:r>
              <w:rPr>
                <w:rFonts w:ascii="Times New Roman"/>
                <w:sz w:val="24"/>
                <w:szCs w:val="24"/>
              </w:rPr>
              <w:t>谱宽特性</w:t>
            </w:r>
          </w:p>
        </w:tc>
        <w:tc>
          <w:tcPr>
            <w:tcW w:w="1256" w:type="dxa"/>
            <w:gridSpan w:val="4"/>
            <w:vMerge w:val="restart"/>
            <w:vAlign w:val="center"/>
          </w:tcPr>
          <w:p>
            <w:pPr>
              <w:pStyle w:val="a2"/>
              <w:ind w:firstLine="0" w:firstLineChars="0"/>
              <w:jc w:val="both"/>
              <w:rPr>
                <w:rFonts w:ascii="Times New Roman"/>
                <w:sz w:val="24"/>
                <w:szCs w:val="24"/>
              </w:rPr>
            </w:pPr>
            <w:r>
              <w:rPr>
                <w:rFonts w:ascii="Times New Roman"/>
                <w:sz w:val="24"/>
                <w:szCs w:val="24"/>
              </w:rPr>
              <w:t>左频偏(MHz)</w:t>
            </w:r>
          </w:p>
        </w:tc>
        <w:tc>
          <w:tcPr>
            <w:tcW w:w="1401" w:type="dxa"/>
            <w:vAlign w:val="center"/>
          </w:tcPr>
          <w:p>
            <w:pPr>
              <w:pStyle w:val="a2"/>
              <w:ind w:firstLine="0" w:firstLineChars="0"/>
              <w:rPr>
                <w:rFonts w:ascii="Times New Roman"/>
                <w:sz w:val="24"/>
                <w:szCs w:val="24"/>
              </w:rPr>
            </w:pPr>
            <w:r>
              <w:rPr>
                <w:rFonts w:ascii="Times New Roman"/>
                <w:sz w:val="24"/>
                <w:szCs w:val="24"/>
              </w:rPr>
              <w:t>窄脉冲</w:t>
            </w:r>
          </w:p>
        </w:tc>
        <w:tc>
          <w:tcPr>
            <w:tcW w:w="3936" w:type="dxa"/>
            <w:vMerge w:val="restart"/>
            <w:vAlign w:val="center"/>
          </w:tcPr>
          <w:p>
            <w:pPr>
              <w:pStyle w:val="a2"/>
              <w:ind w:firstLine="0" w:firstLineChars="0"/>
              <w:rPr>
                <w:rFonts w:ascii="Times New Roman"/>
                <w:sz w:val="24"/>
                <w:szCs w:val="24"/>
              </w:rPr>
            </w:pPr>
            <w:r>
              <w:rPr>
                <w:rFonts w:ascii="Times New Roman"/>
                <w:sz w:val="24"/>
                <w:szCs w:val="24"/>
              </w:rPr>
              <w:t>≥-22.95</w:t>
            </w:r>
          </w:p>
        </w:tc>
      </w:tr>
      <w:tr>
        <w:tblPrEx>
          <w:tblW w:w="9002" w:type="dxa"/>
          <w:jc w:val="center"/>
          <w:tblLayout w:type="fixed"/>
          <w:tblCellMar>
            <w:top w:w="0" w:type="dxa"/>
            <w:left w:w="108" w:type="dxa"/>
            <w:bottom w:w="0" w:type="dxa"/>
            <w:right w:w="108" w:type="dxa"/>
          </w:tblCellMar>
          <w:tblLook w:val="0000"/>
        </w:tblPrEx>
        <w:trPr>
          <w:cantSplit/>
          <w:trHeight w:val="419"/>
          <w:jc w:val="center"/>
        </w:trPr>
        <w:tc>
          <w:tcPr>
            <w:tcW w:w="2409" w:type="dxa"/>
            <w:gridSpan w:val="5"/>
            <w:vMerge/>
            <w:vAlign w:val="center"/>
          </w:tcPr>
          <w:p>
            <w:pPr>
              <w:pStyle w:val="a2"/>
              <w:ind w:firstLine="0" w:firstLineChars="0"/>
              <w:rPr>
                <w:rFonts w:ascii="Times New Roman"/>
                <w:sz w:val="24"/>
                <w:szCs w:val="24"/>
              </w:rPr>
            </w:pPr>
          </w:p>
        </w:tc>
        <w:tc>
          <w:tcPr>
            <w:tcW w:w="1256" w:type="dxa"/>
            <w:gridSpan w:val="4"/>
            <w:vMerge/>
            <w:vAlign w:val="center"/>
          </w:tcPr>
          <w:p>
            <w:pPr>
              <w:pStyle w:val="a2"/>
              <w:ind w:firstLine="0" w:firstLineChars="0"/>
              <w:rPr>
                <w:rFonts w:ascii="Times New Roman"/>
                <w:sz w:val="24"/>
                <w:szCs w:val="24"/>
              </w:rPr>
            </w:pPr>
          </w:p>
        </w:tc>
        <w:tc>
          <w:tcPr>
            <w:tcW w:w="1401" w:type="dxa"/>
            <w:vAlign w:val="center"/>
          </w:tcPr>
          <w:p>
            <w:pPr>
              <w:pStyle w:val="a2"/>
              <w:ind w:firstLine="0" w:firstLineChars="0"/>
              <w:rPr>
                <w:rFonts w:ascii="Times New Roman"/>
                <w:sz w:val="24"/>
                <w:szCs w:val="24"/>
              </w:rPr>
            </w:pPr>
            <w:r>
              <w:rPr>
                <w:rFonts w:ascii="Times New Roman"/>
                <w:sz w:val="24"/>
                <w:szCs w:val="24"/>
              </w:rPr>
              <w:t>宽脉冲</w:t>
            </w:r>
          </w:p>
        </w:tc>
        <w:tc>
          <w:tcPr>
            <w:tcW w:w="3936" w:type="dxa"/>
            <w:vMerge/>
            <w:vAlign w:val="center"/>
          </w:tcPr>
          <w:p>
            <w:pPr>
              <w:pStyle w:val="a2"/>
              <w:ind w:firstLine="0" w:firstLineChars="0"/>
              <w:rPr>
                <w:rFonts w:ascii="Times New Roman"/>
                <w:sz w:val="24"/>
                <w:szCs w:val="24"/>
              </w:rPr>
            </w:pPr>
          </w:p>
        </w:tc>
      </w:tr>
      <w:tr>
        <w:tblPrEx>
          <w:tblW w:w="9002" w:type="dxa"/>
          <w:jc w:val="center"/>
          <w:tblLayout w:type="fixed"/>
          <w:tblCellMar>
            <w:top w:w="0" w:type="dxa"/>
            <w:left w:w="108" w:type="dxa"/>
            <w:bottom w:w="0" w:type="dxa"/>
            <w:right w:w="108" w:type="dxa"/>
          </w:tblCellMar>
          <w:tblLook w:val="0000"/>
        </w:tblPrEx>
        <w:trPr>
          <w:cantSplit/>
          <w:trHeight w:val="158"/>
          <w:jc w:val="center"/>
        </w:trPr>
        <w:tc>
          <w:tcPr>
            <w:tcW w:w="2409" w:type="dxa"/>
            <w:gridSpan w:val="5"/>
            <w:vMerge/>
            <w:vAlign w:val="center"/>
          </w:tcPr>
          <w:p>
            <w:pPr>
              <w:pStyle w:val="a2"/>
              <w:ind w:firstLine="0" w:firstLineChars="0"/>
              <w:rPr>
                <w:rFonts w:ascii="Times New Roman"/>
                <w:sz w:val="24"/>
                <w:szCs w:val="24"/>
              </w:rPr>
            </w:pPr>
          </w:p>
        </w:tc>
        <w:tc>
          <w:tcPr>
            <w:tcW w:w="1256" w:type="dxa"/>
            <w:gridSpan w:val="4"/>
            <w:vMerge w:val="restart"/>
            <w:vAlign w:val="center"/>
          </w:tcPr>
          <w:p>
            <w:pPr>
              <w:pStyle w:val="a2"/>
              <w:ind w:firstLine="0" w:firstLineChars="0"/>
              <w:jc w:val="both"/>
              <w:rPr>
                <w:rFonts w:ascii="Times New Roman"/>
                <w:sz w:val="24"/>
                <w:szCs w:val="24"/>
              </w:rPr>
            </w:pPr>
            <w:r>
              <w:rPr>
                <w:rFonts w:ascii="Times New Roman"/>
                <w:sz w:val="24"/>
                <w:szCs w:val="24"/>
              </w:rPr>
              <w:t>右频偏(MHz)</w:t>
            </w:r>
          </w:p>
        </w:tc>
        <w:tc>
          <w:tcPr>
            <w:tcW w:w="1401" w:type="dxa"/>
            <w:vAlign w:val="center"/>
          </w:tcPr>
          <w:p>
            <w:pPr>
              <w:pStyle w:val="a2"/>
              <w:ind w:firstLine="0" w:firstLineChars="0"/>
              <w:rPr>
                <w:rFonts w:ascii="Times New Roman"/>
                <w:sz w:val="24"/>
                <w:szCs w:val="24"/>
              </w:rPr>
            </w:pPr>
            <w:r>
              <w:rPr>
                <w:rFonts w:ascii="Times New Roman"/>
                <w:sz w:val="24"/>
                <w:szCs w:val="24"/>
              </w:rPr>
              <w:t>窄脉冲</w:t>
            </w:r>
          </w:p>
        </w:tc>
        <w:tc>
          <w:tcPr>
            <w:tcW w:w="3936" w:type="dxa"/>
            <w:vMerge w:val="restart"/>
            <w:vAlign w:val="center"/>
          </w:tcPr>
          <w:p>
            <w:pPr>
              <w:pStyle w:val="a2"/>
              <w:ind w:firstLine="0" w:firstLineChars="0"/>
              <w:rPr>
                <w:rFonts w:ascii="Times New Roman"/>
                <w:sz w:val="24"/>
                <w:szCs w:val="24"/>
              </w:rPr>
            </w:pPr>
            <w:r>
              <w:rPr>
                <w:rFonts w:ascii="Times New Roman"/>
                <w:sz w:val="24"/>
                <w:szCs w:val="24"/>
              </w:rPr>
              <w:t>≤22.95</w:t>
            </w:r>
          </w:p>
        </w:tc>
      </w:tr>
      <w:tr>
        <w:tblPrEx>
          <w:tblW w:w="9002" w:type="dxa"/>
          <w:jc w:val="center"/>
          <w:tblLayout w:type="fixed"/>
          <w:tblCellMar>
            <w:top w:w="0" w:type="dxa"/>
            <w:left w:w="108" w:type="dxa"/>
            <w:bottom w:w="0" w:type="dxa"/>
            <w:right w:w="108" w:type="dxa"/>
          </w:tblCellMar>
          <w:tblLook w:val="0000"/>
        </w:tblPrEx>
        <w:trPr>
          <w:cantSplit/>
          <w:trHeight w:val="158"/>
          <w:jc w:val="center"/>
        </w:trPr>
        <w:tc>
          <w:tcPr>
            <w:tcW w:w="2409" w:type="dxa"/>
            <w:gridSpan w:val="5"/>
            <w:vMerge/>
            <w:vAlign w:val="center"/>
          </w:tcPr>
          <w:p>
            <w:pPr>
              <w:pStyle w:val="a2"/>
              <w:ind w:firstLine="0" w:firstLineChars="0"/>
              <w:rPr>
                <w:rFonts w:ascii="Times New Roman"/>
                <w:sz w:val="24"/>
                <w:szCs w:val="24"/>
              </w:rPr>
            </w:pPr>
          </w:p>
        </w:tc>
        <w:tc>
          <w:tcPr>
            <w:tcW w:w="1256" w:type="dxa"/>
            <w:gridSpan w:val="4"/>
            <w:vMerge/>
            <w:vAlign w:val="center"/>
          </w:tcPr>
          <w:p>
            <w:pPr>
              <w:pStyle w:val="a2"/>
              <w:ind w:firstLine="0" w:firstLineChars="0"/>
              <w:rPr>
                <w:rFonts w:ascii="Times New Roman"/>
                <w:sz w:val="24"/>
                <w:szCs w:val="24"/>
              </w:rPr>
            </w:pPr>
          </w:p>
        </w:tc>
        <w:tc>
          <w:tcPr>
            <w:tcW w:w="1401" w:type="dxa"/>
            <w:vAlign w:val="center"/>
          </w:tcPr>
          <w:p>
            <w:pPr>
              <w:pStyle w:val="a2"/>
              <w:ind w:firstLine="0" w:firstLineChars="0"/>
              <w:rPr>
                <w:rFonts w:ascii="Times New Roman"/>
                <w:sz w:val="24"/>
                <w:szCs w:val="24"/>
              </w:rPr>
            </w:pPr>
            <w:r>
              <w:rPr>
                <w:rFonts w:ascii="Times New Roman"/>
                <w:sz w:val="24"/>
                <w:szCs w:val="24"/>
              </w:rPr>
              <w:t>宽脉冲</w:t>
            </w:r>
          </w:p>
        </w:tc>
        <w:tc>
          <w:tcPr>
            <w:tcW w:w="3936" w:type="dxa"/>
            <w:vMerge/>
            <w:vAlign w:val="center"/>
          </w:tcPr>
          <w:p>
            <w:pPr>
              <w:pStyle w:val="a2"/>
              <w:ind w:firstLine="0" w:firstLineChars="0"/>
              <w:rPr>
                <w:rFonts w:ascii="Times New Roman"/>
                <w:sz w:val="24"/>
                <w:szCs w:val="24"/>
              </w:rPr>
            </w:pPr>
          </w:p>
        </w:tc>
      </w:tr>
      <w:tr>
        <w:tblPrEx>
          <w:tblW w:w="9002" w:type="dxa"/>
          <w:jc w:val="center"/>
          <w:tblLayout w:type="fixed"/>
          <w:tblCellMar>
            <w:top w:w="0" w:type="dxa"/>
            <w:left w:w="108" w:type="dxa"/>
            <w:bottom w:w="0" w:type="dxa"/>
            <w:right w:w="108" w:type="dxa"/>
          </w:tblCellMar>
          <w:tblLook w:val="0000"/>
        </w:tblPrEx>
        <w:trPr>
          <w:cantSplit/>
          <w:trHeight w:val="526"/>
          <w:jc w:val="center"/>
        </w:trPr>
        <w:tc>
          <w:tcPr>
            <w:tcW w:w="2409" w:type="dxa"/>
            <w:gridSpan w:val="5"/>
            <w:vMerge w:val="restart"/>
            <w:vAlign w:val="center"/>
          </w:tcPr>
          <w:p>
            <w:pPr>
              <w:pStyle w:val="a2"/>
              <w:ind w:firstLine="0" w:firstLineChars="0"/>
              <w:rPr>
                <w:rFonts w:ascii="Times New Roman"/>
                <w:sz w:val="24"/>
                <w:szCs w:val="24"/>
              </w:rPr>
            </w:pPr>
            <w:r>
              <w:rPr>
                <w:rFonts w:ascii="Times New Roman"/>
                <w:color w:val="FF0000"/>
                <w:sz w:val="24"/>
                <w:szCs w:val="24"/>
              </w:rPr>
              <w:t>#</w:t>
            </w:r>
            <w:r>
              <w:rPr>
                <w:rFonts w:ascii="Times New Roman"/>
                <w:sz w:val="24"/>
                <w:szCs w:val="24"/>
              </w:rPr>
              <w:t>发射机输出端极限改善因子(dB)</w:t>
            </w:r>
          </w:p>
        </w:tc>
        <w:tc>
          <w:tcPr>
            <w:tcW w:w="2657" w:type="dxa"/>
            <w:gridSpan w:val="5"/>
            <w:vAlign w:val="center"/>
          </w:tcPr>
          <w:p>
            <w:pPr>
              <w:pStyle w:val="a2"/>
              <w:ind w:firstLine="0" w:firstLineChars="0"/>
              <w:rPr>
                <w:rFonts w:ascii="Times New Roman"/>
                <w:sz w:val="24"/>
                <w:szCs w:val="24"/>
              </w:rPr>
            </w:pPr>
            <w:r>
              <w:rPr>
                <w:rFonts w:ascii="Times New Roman"/>
                <w:sz w:val="24"/>
                <w:szCs w:val="24"/>
              </w:rPr>
              <w:t>低重频</w:t>
            </w:r>
          </w:p>
        </w:tc>
        <w:tc>
          <w:tcPr>
            <w:tcW w:w="3936" w:type="dxa"/>
            <w:vMerge w:val="restart"/>
            <w:vAlign w:val="center"/>
          </w:tcPr>
          <w:p>
            <w:pPr>
              <w:pStyle w:val="a2"/>
              <w:ind w:firstLine="0" w:firstLineChars="0"/>
              <w:rPr>
                <w:rFonts w:ascii="Times New Roman"/>
                <w:sz w:val="24"/>
                <w:szCs w:val="24"/>
              </w:rPr>
            </w:pPr>
            <w:r>
              <w:rPr>
                <w:rFonts w:ascii="Times New Roman"/>
                <w:color w:val="auto"/>
                <w:sz w:val="24"/>
                <w:szCs w:val="24"/>
              </w:rPr>
              <w:t>≥5</w:t>
            </w:r>
            <w:r>
              <w:rPr>
                <w:rFonts w:ascii="Times New Roman" w:hint="eastAsia"/>
                <w:color w:val="auto"/>
                <w:sz w:val="24"/>
                <w:szCs w:val="24"/>
              </w:rPr>
              <w:t>8</w:t>
            </w:r>
            <w:r>
              <w:rPr>
                <w:rFonts w:ascii="Times New Roman"/>
                <w:color w:val="auto"/>
                <w:sz w:val="24"/>
                <w:szCs w:val="24"/>
              </w:rPr>
              <w:t xml:space="preserve">.0 </w:t>
            </w:r>
          </w:p>
        </w:tc>
      </w:tr>
      <w:tr>
        <w:tblPrEx>
          <w:tblW w:w="9002" w:type="dxa"/>
          <w:jc w:val="center"/>
          <w:tblLayout w:type="fixed"/>
          <w:tblCellMar>
            <w:top w:w="0" w:type="dxa"/>
            <w:left w:w="108" w:type="dxa"/>
            <w:bottom w:w="0" w:type="dxa"/>
            <w:right w:w="108" w:type="dxa"/>
          </w:tblCellMar>
          <w:tblLook w:val="0000"/>
        </w:tblPrEx>
        <w:trPr>
          <w:cantSplit/>
          <w:trHeight w:val="526"/>
          <w:jc w:val="center"/>
        </w:trPr>
        <w:tc>
          <w:tcPr>
            <w:tcW w:w="2409" w:type="dxa"/>
            <w:gridSpan w:val="5"/>
            <w:vMerge/>
            <w:vAlign w:val="center"/>
          </w:tcPr>
          <w:p>
            <w:pPr>
              <w:pStyle w:val="a2"/>
              <w:ind w:firstLine="0" w:firstLineChars="0"/>
              <w:rPr>
                <w:rFonts w:ascii="Times New Roman"/>
                <w:sz w:val="24"/>
                <w:szCs w:val="24"/>
              </w:rPr>
            </w:pPr>
          </w:p>
        </w:tc>
        <w:tc>
          <w:tcPr>
            <w:tcW w:w="2657" w:type="dxa"/>
            <w:gridSpan w:val="5"/>
            <w:vAlign w:val="center"/>
          </w:tcPr>
          <w:p>
            <w:pPr>
              <w:pStyle w:val="a2"/>
              <w:ind w:firstLine="0" w:firstLineChars="0"/>
              <w:rPr>
                <w:rFonts w:ascii="Times New Roman"/>
                <w:sz w:val="24"/>
                <w:szCs w:val="24"/>
              </w:rPr>
            </w:pPr>
            <w:r>
              <w:rPr>
                <w:rFonts w:ascii="Times New Roman"/>
                <w:sz w:val="24"/>
                <w:szCs w:val="24"/>
              </w:rPr>
              <w:t>高重频</w:t>
            </w:r>
          </w:p>
        </w:tc>
        <w:tc>
          <w:tcPr>
            <w:tcW w:w="3936" w:type="dxa"/>
            <w:vMerge/>
            <w:vAlign w:val="center"/>
          </w:tcPr>
          <w:p>
            <w:pPr>
              <w:pStyle w:val="a2"/>
              <w:ind w:firstLine="0" w:firstLineChars="0"/>
              <w:rPr>
                <w:rFonts w:ascii="Times New Roman"/>
                <w:sz w:val="24"/>
                <w:szCs w:val="24"/>
              </w:rPr>
            </w:pPr>
          </w:p>
        </w:tc>
      </w:tr>
      <w:tr>
        <w:tblPrEx>
          <w:tblW w:w="9002" w:type="dxa"/>
          <w:jc w:val="center"/>
          <w:tblLayout w:type="fixed"/>
          <w:tblCellMar>
            <w:top w:w="0" w:type="dxa"/>
            <w:left w:w="108" w:type="dxa"/>
            <w:bottom w:w="0" w:type="dxa"/>
            <w:right w:w="108" w:type="dxa"/>
          </w:tblCellMar>
          <w:tblLook w:val="0000"/>
        </w:tblPrEx>
        <w:trPr>
          <w:cantSplit/>
          <w:jc w:val="center"/>
        </w:trPr>
        <w:tc>
          <w:tcPr>
            <w:tcW w:w="2409" w:type="dxa"/>
            <w:gridSpan w:val="5"/>
            <w:vMerge w:val="restart"/>
            <w:vAlign w:val="center"/>
          </w:tcPr>
          <w:p>
            <w:pPr>
              <w:pStyle w:val="a2"/>
              <w:ind w:firstLine="0" w:firstLineChars="0"/>
              <w:rPr>
                <w:rFonts w:ascii="Times New Roman"/>
                <w:sz w:val="24"/>
                <w:szCs w:val="24"/>
              </w:rPr>
            </w:pPr>
            <w:r>
              <w:rPr>
                <w:rFonts w:ascii="Times New Roman"/>
                <w:color w:val="FF0000"/>
                <w:sz w:val="24"/>
                <w:szCs w:val="24"/>
              </w:rPr>
              <w:t>#</w:t>
            </w:r>
            <w:r>
              <w:rPr>
                <w:rFonts w:ascii="Times New Roman"/>
                <w:sz w:val="24"/>
                <w:szCs w:val="24"/>
              </w:rPr>
              <w:t>发射机输出端杂噪比(dB)</w:t>
            </w:r>
          </w:p>
        </w:tc>
        <w:tc>
          <w:tcPr>
            <w:tcW w:w="2657" w:type="dxa"/>
            <w:gridSpan w:val="5"/>
            <w:vAlign w:val="center"/>
          </w:tcPr>
          <w:p>
            <w:pPr>
              <w:pStyle w:val="a2"/>
              <w:ind w:firstLine="0" w:firstLineChars="0"/>
              <w:rPr>
                <w:rFonts w:ascii="Times New Roman"/>
                <w:sz w:val="24"/>
                <w:szCs w:val="24"/>
              </w:rPr>
            </w:pPr>
            <w:r>
              <w:rPr>
                <w:rFonts w:ascii="Times New Roman"/>
                <w:sz w:val="24"/>
                <w:szCs w:val="24"/>
              </w:rPr>
              <w:t>低重频</w:t>
            </w:r>
          </w:p>
        </w:tc>
        <w:tc>
          <w:tcPr>
            <w:tcW w:w="3936" w:type="dxa"/>
            <w:vMerge w:val="restart"/>
            <w:vAlign w:val="center"/>
          </w:tcPr>
          <w:p>
            <w:pPr>
              <w:pStyle w:val="a2"/>
              <w:ind w:firstLine="0" w:firstLineChars="0"/>
              <w:rPr>
                <w:rFonts w:ascii="Times New Roman"/>
                <w:sz w:val="24"/>
                <w:szCs w:val="24"/>
              </w:rPr>
            </w:pPr>
            <w:r>
              <w:rPr>
                <w:rFonts w:ascii="Times New Roman"/>
                <w:sz w:val="24"/>
                <w:szCs w:val="24"/>
              </w:rPr>
              <w:t>≤10.0</w:t>
            </w:r>
          </w:p>
        </w:tc>
      </w:tr>
      <w:tr>
        <w:tblPrEx>
          <w:tblW w:w="9002" w:type="dxa"/>
          <w:jc w:val="center"/>
          <w:tblLayout w:type="fixed"/>
          <w:tblCellMar>
            <w:top w:w="0" w:type="dxa"/>
            <w:left w:w="108" w:type="dxa"/>
            <w:bottom w:w="0" w:type="dxa"/>
            <w:right w:w="108" w:type="dxa"/>
          </w:tblCellMar>
          <w:tblLook w:val="0000"/>
        </w:tblPrEx>
        <w:trPr>
          <w:cantSplit/>
          <w:jc w:val="center"/>
        </w:trPr>
        <w:tc>
          <w:tcPr>
            <w:tcW w:w="2409" w:type="dxa"/>
            <w:gridSpan w:val="5"/>
            <w:vMerge/>
            <w:vAlign w:val="center"/>
          </w:tcPr>
          <w:p>
            <w:pPr>
              <w:pStyle w:val="a2"/>
              <w:ind w:firstLine="0" w:firstLineChars="0"/>
              <w:rPr>
                <w:rFonts w:ascii="Times New Roman"/>
                <w:sz w:val="24"/>
                <w:szCs w:val="24"/>
              </w:rPr>
            </w:pPr>
          </w:p>
        </w:tc>
        <w:tc>
          <w:tcPr>
            <w:tcW w:w="2657" w:type="dxa"/>
            <w:gridSpan w:val="5"/>
            <w:vAlign w:val="center"/>
          </w:tcPr>
          <w:p>
            <w:pPr>
              <w:pStyle w:val="a2"/>
              <w:ind w:firstLine="0" w:firstLineChars="0"/>
              <w:rPr>
                <w:rFonts w:ascii="Times New Roman"/>
                <w:sz w:val="24"/>
                <w:szCs w:val="24"/>
              </w:rPr>
            </w:pPr>
            <w:r>
              <w:rPr>
                <w:rFonts w:ascii="Times New Roman"/>
                <w:sz w:val="24"/>
                <w:szCs w:val="24"/>
              </w:rPr>
              <w:t>高重频</w:t>
            </w:r>
          </w:p>
        </w:tc>
        <w:tc>
          <w:tcPr>
            <w:tcW w:w="3936" w:type="dxa"/>
            <w:vMerge/>
            <w:vAlign w:val="center"/>
          </w:tcPr>
          <w:p>
            <w:pPr>
              <w:pStyle w:val="a2"/>
              <w:ind w:firstLine="0" w:firstLineChars="0"/>
              <w:rPr>
                <w:rFonts w:ascii="Times New Roman"/>
                <w:sz w:val="24"/>
                <w:szCs w:val="24"/>
              </w:rPr>
            </w:pPr>
          </w:p>
        </w:tc>
      </w:tr>
      <w:tr>
        <w:tblPrEx>
          <w:tblW w:w="9002" w:type="dxa"/>
          <w:jc w:val="center"/>
          <w:tblLayout w:type="fixed"/>
          <w:tblCellMar>
            <w:top w:w="0" w:type="dxa"/>
            <w:left w:w="108" w:type="dxa"/>
            <w:bottom w:w="0" w:type="dxa"/>
            <w:right w:w="108" w:type="dxa"/>
          </w:tblCellMar>
          <w:tblLook w:val="0000"/>
        </w:tblPrEx>
        <w:trPr>
          <w:cantSplit/>
          <w:jc w:val="center"/>
        </w:trPr>
        <w:tc>
          <w:tcPr>
            <w:tcW w:w="9002" w:type="dxa"/>
            <w:gridSpan w:val="11"/>
            <w:vAlign w:val="center"/>
          </w:tcPr>
          <w:p>
            <w:pPr>
              <w:pStyle w:val="a2"/>
              <w:ind w:firstLine="0" w:firstLineChars="0"/>
              <w:rPr>
                <w:rFonts w:ascii="Times New Roman" w:hint="eastAsia"/>
                <w:b/>
                <w:sz w:val="24"/>
                <w:szCs w:val="24"/>
              </w:rPr>
            </w:pPr>
            <w:r>
              <w:rPr>
                <w:rFonts w:ascii="Times New Roman"/>
                <w:b/>
                <w:sz w:val="24"/>
                <w:szCs w:val="24"/>
              </w:rPr>
              <w:t>接收机</w:t>
            </w:r>
            <w:r>
              <w:rPr>
                <w:rFonts w:ascii="Times New Roman" w:hint="eastAsia"/>
                <w:b/>
                <w:sz w:val="24"/>
                <w:szCs w:val="24"/>
              </w:rPr>
              <w:t>系统</w:t>
            </w:r>
          </w:p>
        </w:tc>
      </w:tr>
      <w:tr>
        <w:tblPrEx>
          <w:tblW w:w="9002" w:type="dxa"/>
          <w:jc w:val="center"/>
          <w:tblLayout w:type="fixed"/>
          <w:tblCellMar>
            <w:top w:w="0" w:type="dxa"/>
            <w:left w:w="108" w:type="dxa"/>
            <w:bottom w:w="0" w:type="dxa"/>
            <w:right w:w="108" w:type="dxa"/>
          </w:tblCellMar>
          <w:tblLook w:val="0000"/>
        </w:tblPrEx>
        <w:trPr>
          <w:cantSplit/>
          <w:jc w:val="center"/>
        </w:trPr>
        <w:tc>
          <w:tcPr>
            <w:tcW w:w="5066" w:type="dxa"/>
            <w:gridSpan w:val="10"/>
            <w:vAlign w:val="center"/>
          </w:tcPr>
          <w:p>
            <w:pPr>
              <w:pStyle w:val="a2"/>
              <w:ind w:firstLine="0" w:firstLineChars="0"/>
              <w:rPr>
                <w:rFonts w:ascii="Times New Roman"/>
                <w:sz w:val="24"/>
                <w:szCs w:val="24"/>
              </w:rPr>
            </w:pPr>
            <w:r>
              <w:rPr>
                <w:rFonts w:ascii="Times New Roman"/>
                <w:sz w:val="24"/>
                <w:szCs w:val="24"/>
              </w:rPr>
              <w:t>数字中频采样速率(MHz)</w:t>
            </w:r>
          </w:p>
        </w:tc>
        <w:tc>
          <w:tcPr>
            <w:tcW w:w="3936" w:type="dxa"/>
            <w:vAlign w:val="center"/>
          </w:tcPr>
          <w:p>
            <w:pPr>
              <w:pStyle w:val="a2"/>
              <w:ind w:firstLine="0" w:firstLineChars="0"/>
              <w:rPr>
                <w:rFonts w:ascii="Times New Roman"/>
                <w:sz w:val="24"/>
                <w:szCs w:val="24"/>
              </w:rPr>
            </w:pPr>
            <w:r>
              <w:rPr>
                <w:rFonts w:ascii="Times New Roman"/>
                <w:sz w:val="24"/>
                <w:szCs w:val="24"/>
              </w:rPr>
              <w:t>≥48.0</w:t>
            </w:r>
          </w:p>
        </w:tc>
      </w:tr>
      <w:tr>
        <w:tblPrEx>
          <w:tblW w:w="9002" w:type="dxa"/>
          <w:jc w:val="center"/>
          <w:tblLayout w:type="fixed"/>
          <w:tblCellMar>
            <w:top w:w="0" w:type="dxa"/>
            <w:left w:w="108" w:type="dxa"/>
            <w:bottom w:w="0" w:type="dxa"/>
            <w:right w:w="108" w:type="dxa"/>
          </w:tblCellMar>
          <w:tblLook w:val="0000"/>
        </w:tblPrEx>
        <w:trPr>
          <w:cantSplit/>
          <w:jc w:val="center"/>
        </w:trPr>
        <w:tc>
          <w:tcPr>
            <w:tcW w:w="2409" w:type="dxa"/>
            <w:gridSpan w:val="5"/>
            <w:vMerge w:val="restart"/>
            <w:vAlign w:val="center"/>
          </w:tcPr>
          <w:p>
            <w:pPr>
              <w:pStyle w:val="a2"/>
              <w:ind w:firstLine="0" w:firstLineChars="0"/>
              <w:rPr>
                <w:rFonts w:ascii="Times New Roman"/>
                <w:sz w:val="24"/>
                <w:szCs w:val="24"/>
              </w:rPr>
            </w:pPr>
            <w:r>
              <w:rPr>
                <w:rFonts w:ascii="Times New Roman"/>
                <w:sz w:val="24"/>
                <w:szCs w:val="24"/>
              </w:rPr>
              <w:t>中频带宽(MHz)</w:t>
            </w:r>
          </w:p>
        </w:tc>
        <w:tc>
          <w:tcPr>
            <w:tcW w:w="2657" w:type="dxa"/>
            <w:gridSpan w:val="5"/>
            <w:vAlign w:val="center"/>
          </w:tcPr>
          <w:p>
            <w:pPr>
              <w:pStyle w:val="a2"/>
              <w:ind w:firstLine="0" w:firstLineChars="0"/>
              <w:rPr>
                <w:rFonts w:ascii="Times New Roman"/>
                <w:sz w:val="24"/>
                <w:szCs w:val="24"/>
              </w:rPr>
            </w:pPr>
            <w:r>
              <w:rPr>
                <w:rFonts w:ascii="Times New Roman"/>
                <w:sz w:val="24"/>
                <w:szCs w:val="24"/>
              </w:rPr>
              <w:t>窄脉冲</w:t>
            </w:r>
          </w:p>
        </w:tc>
        <w:tc>
          <w:tcPr>
            <w:tcW w:w="3936" w:type="dxa"/>
            <w:vAlign w:val="center"/>
          </w:tcPr>
          <w:p>
            <w:pPr>
              <w:pStyle w:val="a2"/>
              <w:ind w:firstLine="0" w:firstLineChars="0"/>
              <w:rPr>
                <w:rFonts w:ascii="Times New Roman"/>
                <w:color w:val="auto"/>
                <w:sz w:val="24"/>
                <w:szCs w:val="24"/>
              </w:rPr>
            </w:pPr>
            <w:r>
              <w:rPr>
                <w:rFonts w:ascii="Times New Roman"/>
                <w:color w:val="auto"/>
                <w:sz w:val="24"/>
                <w:szCs w:val="24"/>
              </w:rPr>
              <w:t>1.00±0.10</w:t>
            </w:r>
          </w:p>
        </w:tc>
      </w:tr>
      <w:tr>
        <w:tblPrEx>
          <w:tblW w:w="9002" w:type="dxa"/>
          <w:jc w:val="center"/>
          <w:tblLayout w:type="fixed"/>
          <w:tblCellMar>
            <w:top w:w="0" w:type="dxa"/>
            <w:left w:w="108" w:type="dxa"/>
            <w:bottom w:w="0" w:type="dxa"/>
            <w:right w:w="108" w:type="dxa"/>
          </w:tblCellMar>
          <w:tblLook w:val="0000"/>
        </w:tblPrEx>
        <w:trPr>
          <w:cantSplit/>
          <w:trHeight w:val="180"/>
          <w:jc w:val="center"/>
        </w:trPr>
        <w:tc>
          <w:tcPr>
            <w:tcW w:w="2409" w:type="dxa"/>
            <w:gridSpan w:val="5"/>
            <w:vMerge/>
            <w:vAlign w:val="center"/>
          </w:tcPr>
          <w:p>
            <w:pPr>
              <w:pStyle w:val="a2"/>
              <w:ind w:firstLine="0" w:firstLineChars="0"/>
              <w:rPr>
                <w:rFonts w:ascii="Times New Roman"/>
                <w:sz w:val="24"/>
                <w:szCs w:val="24"/>
              </w:rPr>
            </w:pPr>
          </w:p>
        </w:tc>
        <w:tc>
          <w:tcPr>
            <w:tcW w:w="2657" w:type="dxa"/>
            <w:gridSpan w:val="5"/>
            <w:vAlign w:val="center"/>
          </w:tcPr>
          <w:p>
            <w:pPr>
              <w:pStyle w:val="a2"/>
              <w:ind w:firstLine="0" w:firstLineChars="0"/>
              <w:rPr>
                <w:rFonts w:ascii="Times New Roman"/>
                <w:sz w:val="24"/>
                <w:szCs w:val="24"/>
              </w:rPr>
            </w:pPr>
            <w:r>
              <w:rPr>
                <w:rFonts w:ascii="Times New Roman"/>
                <w:sz w:val="24"/>
                <w:szCs w:val="24"/>
              </w:rPr>
              <w:t>宽脉冲</w:t>
            </w:r>
          </w:p>
        </w:tc>
        <w:tc>
          <w:tcPr>
            <w:tcW w:w="3936" w:type="dxa"/>
            <w:vAlign w:val="center"/>
          </w:tcPr>
          <w:p>
            <w:pPr>
              <w:pStyle w:val="a2"/>
              <w:ind w:firstLine="0" w:firstLineChars="0"/>
              <w:rPr>
                <w:rFonts w:ascii="Times New Roman"/>
                <w:sz w:val="24"/>
                <w:szCs w:val="24"/>
              </w:rPr>
            </w:pPr>
            <w:r>
              <w:rPr>
                <w:rFonts w:ascii="Times New Roman"/>
                <w:sz w:val="24"/>
                <w:szCs w:val="24"/>
              </w:rPr>
              <w:t>0.50±0.10</w:t>
            </w:r>
          </w:p>
        </w:tc>
      </w:tr>
      <w:tr>
        <w:tblPrEx>
          <w:tblW w:w="9002" w:type="dxa"/>
          <w:jc w:val="center"/>
          <w:tblLayout w:type="fixed"/>
          <w:tblCellMar>
            <w:top w:w="0" w:type="dxa"/>
            <w:left w:w="108" w:type="dxa"/>
            <w:bottom w:w="0" w:type="dxa"/>
            <w:right w:w="108" w:type="dxa"/>
          </w:tblCellMar>
          <w:tblLook w:val="0000"/>
        </w:tblPrEx>
        <w:trPr>
          <w:cantSplit/>
          <w:trHeight w:val="299"/>
          <w:jc w:val="center"/>
        </w:trPr>
        <w:tc>
          <w:tcPr>
            <w:tcW w:w="2409" w:type="dxa"/>
            <w:gridSpan w:val="5"/>
            <w:vMerge w:val="restart"/>
            <w:vAlign w:val="center"/>
          </w:tcPr>
          <w:p>
            <w:pPr>
              <w:pStyle w:val="a2"/>
              <w:ind w:firstLine="0" w:firstLineChars="0"/>
              <w:jc w:val="both"/>
              <w:rPr>
                <w:rFonts w:ascii="Times New Roman"/>
                <w:sz w:val="24"/>
                <w:szCs w:val="24"/>
              </w:rPr>
            </w:pPr>
            <w:r>
              <w:rPr>
                <w:rFonts w:ascii="Times New Roman"/>
                <w:color w:val="FF0000"/>
                <w:sz w:val="24"/>
                <w:szCs w:val="24"/>
              </w:rPr>
              <w:t>#</w:t>
            </w:r>
            <w:r>
              <w:rPr>
                <w:rFonts w:ascii="Times New Roman"/>
                <w:sz w:val="24"/>
                <w:szCs w:val="24"/>
              </w:rPr>
              <w:t>接收机噪声系数(dB)</w:t>
            </w:r>
          </w:p>
        </w:tc>
        <w:tc>
          <w:tcPr>
            <w:tcW w:w="1256" w:type="dxa"/>
            <w:gridSpan w:val="4"/>
            <w:vMerge w:val="restart"/>
            <w:vAlign w:val="center"/>
          </w:tcPr>
          <w:p>
            <w:pPr>
              <w:pStyle w:val="a2"/>
              <w:ind w:firstLine="0" w:firstLineChars="0"/>
              <w:rPr>
                <w:rFonts w:ascii="Times New Roman"/>
                <w:sz w:val="24"/>
                <w:szCs w:val="24"/>
              </w:rPr>
            </w:pPr>
            <w:r>
              <w:rPr>
                <w:rFonts w:ascii="Times New Roman"/>
                <w:sz w:val="24"/>
                <w:szCs w:val="24"/>
              </w:rPr>
              <w:t>水平</w:t>
            </w:r>
          </w:p>
        </w:tc>
        <w:tc>
          <w:tcPr>
            <w:tcW w:w="1401" w:type="dxa"/>
            <w:vAlign w:val="center"/>
          </w:tcPr>
          <w:p>
            <w:pPr>
              <w:pStyle w:val="a2"/>
              <w:ind w:firstLine="0" w:firstLineChars="0"/>
              <w:rPr>
                <w:rFonts w:ascii="Times New Roman"/>
                <w:sz w:val="24"/>
                <w:szCs w:val="24"/>
              </w:rPr>
            </w:pPr>
            <w:r>
              <w:rPr>
                <w:rFonts w:ascii="Times New Roman"/>
                <w:sz w:val="24"/>
                <w:szCs w:val="24"/>
              </w:rPr>
              <w:t>窄脉冲</w:t>
            </w:r>
          </w:p>
        </w:tc>
        <w:tc>
          <w:tcPr>
            <w:tcW w:w="3936" w:type="dxa"/>
            <w:vMerge w:val="restart"/>
            <w:vAlign w:val="center"/>
          </w:tcPr>
          <w:p>
            <w:pPr>
              <w:pStyle w:val="a2"/>
              <w:ind w:firstLine="0" w:firstLineChars="0"/>
              <w:rPr>
                <w:rFonts w:ascii="Times New Roman"/>
                <w:sz w:val="24"/>
                <w:szCs w:val="24"/>
              </w:rPr>
            </w:pPr>
            <w:r>
              <w:rPr>
                <w:rFonts w:ascii="Times New Roman"/>
                <w:sz w:val="24"/>
                <w:szCs w:val="24"/>
                <w:highlight w:val="none"/>
              </w:rPr>
              <w:t>≤3.0</w:t>
            </w:r>
            <w:r>
              <w:rPr>
                <w:rFonts w:ascii="Times New Roman" w:hint="eastAsia"/>
                <w:sz w:val="24"/>
                <w:szCs w:val="24"/>
                <w:highlight w:val="none"/>
              </w:rPr>
              <w:t>（</w:t>
            </w:r>
            <w:r>
              <w:rPr>
                <w:rFonts w:ascii="Times New Roman"/>
                <w:sz w:val="24"/>
                <w:szCs w:val="24"/>
                <w:highlight w:val="none"/>
              </w:rPr>
              <w:t>机外/机内</w:t>
            </w:r>
            <w:r>
              <w:rPr>
                <w:rFonts w:ascii="Times New Roman" w:hint="eastAsia"/>
                <w:sz w:val="24"/>
                <w:szCs w:val="24"/>
                <w:highlight w:val="none"/>
              </w:rPr>
              <w:t>）</w:t>
            </w:r>
          </w:p>
        </w:tc>
      </w:tr>
      <w:tr>
        <w:tblPrEx>
          <w:tblW w:w="9002" w:type="dxa"/>
          <w:jc w:val="center"/>
          <w:tblLayout w:type="fixed"/>
          <w:tblCellMar>
            <w:top w:w="0" w:type="dxa"/>
            <w:left w:w="108" w:type="dxa"/>
            <w:bottom w:w="0" w:type="dxa"/>
            <w:right w:w="108" w:type="dxa"/>
          </w:tblCellMar>
          <w:tblLook w:val="0000"/>
        </w:tblPrEx>
        <w:trPr>
          <w:cantSplit/>
          <w:trHeight w:val="299"/>
          <w:jc w:val="center"/>
        </w:trPr>
        <w:tc>
          <w:tcPr>
            <w:tcW w:w="2409" w:type="dxa"/>
            <w:gridSpan w:val="5"/>
            <w:vMerge/>
            <w:vAlign w:val="center"/>
          </w:tcPr>
          <w:p>
            <w:pPr>
              <w:pStyle w:val="a2"/>
              <w:ind w:firstLine="0" w:firstLineChars="0"/>
              <w:rPr>
                <w:rFonts w:ascii="Times New Roman"/>
                <w:sz w:val="24"/>
                <w:szCs w:val="24"/>
              </w:rPr>
            </w:pPr>
          </w:p>
        </w:tc>
        <w:tc>
          <w:tcPr>
            <w:tcW w:w="1256" w:type="dxa"/>
            <w:gridSpan w:val="4"/>
            <w:vMerge/>
            <w:vAlign w:val="center"/>
          </w:tcPr>
          <w:p>
            <w:pPr>
              <w:pStyle w:val="a2"/>
              <w:ind w:firstLine="0" w:firstLineChars="0"/>
              <w:rPr>
                <w:rFonts w:ascii="Times New Roman"/>
                <w:sz w:val="24"/>
                <w:szCs w:val="24"/>
              </w:rPr>
            </w:pPr>
          </w:p>
        </w:tc>
        <w:tc>
          <w:tcPr>
            <w:tcW w:w="1401" w:type="dxa"/>
            <w:vAlign w:val="center"/>
          </w:tcPr>
          <w:p>
            <w:pPr>
              <w:pStyle w:val="a2"/>
              <w:ind w:firstLine="0" w:firstLineChars="0"/>
              <w:rPr>
                <w:rFonts w:ascii="Times New Roman"/>
                <w:sz w:val="24"/>
                <w:szCs w:val="24"/>
              </w:rPr>
            </w:pPr>
            <w:r>
              <w:rPr>
                <w:rFonts w:ascii="Times New Roman"/>
                <w:sz w:val="24"/>
                <w:szCs w:val="24"/>
              </w:rPr>
              <w:t>宽脉冲</w:t>
            </w:r>
          </w:p>
        </w:tc>
        <w:tc>
          <w:tcPr>
            <w:tcW w:w="3936" w:type="dxa"/>
            <w:vMerge/>
            <w:vAlign w:val="center"/>
          </w:tcPr>
          <w:p>
            <w:pPr>
              <w:pStyle w:val="a2"/>
              <w:ind w:firstLine="0" w:firstLineChars="0"/>
              <w:rPr>
                <w:rFonts w:ascii="Times New Roman"/>
                <w:sz w:val="24"/>
                <w:szCs w:val="24"/>
              </w:rPr>
            </w:pPr>
          </w:p>
        </w:tc>
      </w:tr>
      <w:tr>
        <w:tblPrEx>
          <w:tblW w:w="9002" w:type="dxa"/>
          <w:jc w:val="center"/>
          <w:tblLayout w:type="fixed"/>
          <w:tblCellMar>
            <w:top w:w="0" w:type="dxa"/>
            <w:left w:w="108" w:type="dxa"/>
            <w:bottom w:w="0" w:type="dxa"/>
            <w:right w:w="108" w:type="dxa"/>
          </w:tblCellMar>
          <w:tblLook w:val="0000"/>
        </w:tblPrEx>
        <w:trPr>
          <w:cantSplit/>
          <w:trHeight w:val="299"/>
          <w:jc w:val="center"/>
        </w:trPr>
        <w:tc>
          <w:tcPr>
            <w:tcW w:w="2409" w:type="dxa"/>
            <w:gridSpan w:val="5"/>
            <w:vMerge/>
            <w:vAlign w:val="center"/>
          </w:tcPr>
          <w:p>
            <w:pPr>
              <w:pStyle w:val="a2"/>
              <w:ind w:firstLine="0" w:firstLineChars="0"/>
              <w:rPr>
                <w:rFonts w:ascii="Times New Roman"/>
                <w:sz w:val="24"/>
                <w:szCs w:val="24"/>
              </w:rPr>
            </w:pPr>
          </w:p>
        </w:tc>
        <w:tc>
          <w:tcPr>
            <w:tcW w:w="1256" w:type="dxa"/>
            <w:gridSpan w:val="4"/>
            <w:vMerge w:val="restart"/>
            <w:vAlign w:val="center"/>
          </w:tcPr>
          <w:p>
            <w:pPr>
              <w:pStyle w:val="a2"/>
              <w:ind w:firstLine="0" w:firstLineChars="0"/>
              <w:rPr>
                <w:rFonts w:ascii="Times New Roman"/>
                <w:sz w:val="24"/>
                <w:szCs w:val="24"/>
              </w:rPr>
            </w:pPr>
            <w:r>
              <w:rPr>
                <w:rFonts w:ascii="Times New Roman"/>
                <w:sz w:val="24"/>
                <w:szCs w:val="24"/>
              </w:rPr>
              <w:t>垂直</w:t>
            </w:r>
          </w:p>
        </w:tc>
        <w:tc>
          <w:tcPr>
            <w:tcW w:w="1401" w:type="dxa"/>
            <w:vAlign w:val="center"/>
          </w:tcPr>
          <w:p>
            <w:pPr>
              <w:pStyle w:val="a2"/>
              <w:ind w:firstLine="0" w:firstLineChars="0"/>
              <w:rPr>
                <w:rFonts w:ascii="Times New Roman"/>
                <w:sz w:val="24"/>
                <w:szCs w:val="24"/>
              </w:rPr>
            </w:pPr>
            <w:r>
              <w:rPr>
                <w:rFonts w:ascii="Times New Roman"/>
                <w:sz w:val="24"/>
                <w:szCs w:val="24"/>
              </w:rPr>
              <w:t>窄脉冲</w:t>
            </w:r>
          </w:p>
        </w:tc>
        <w:tc>
          <w:tcPr>
            <w:tcW w:w="3936" w:type="dxa"/>
            <w:vMerge/>
            <w:vAlign w:val="center"/>
          </w:tcPr>
          <w:p>
            <w:pPr>
              <w:pStyle w:val="a2"/>
              <w:ind w:firstLine="0" w:firstLineChars="0"/>
              <w:rPr>
                <w:rFonts w:ascii="Times New Roman"/>
                <w:sz w:val="24"/>
                <w:szCs w:val="24"/>
              </w:rPr>
            </w:pPr>
          </w:p>
        </w:tc>
      </w:tr>
      <w:tr>
        <w:tblPrEx>
          <w:tblW w:w="9002" w:type="dxa"/>
          <w:jc w:val="center"/>
          <w:tblLayout w:type="fixed"/>
          <w:tblCellMar>
            <w:top w:w="0" w:type="dxa"/>
            <w:left w:w="108" w:type="dxa"/>
            <w:bottom w:w="0" w:type="dxa"/>
            <w:right w:w="108" w:type="dxa"/>
          </w:tblCellMar>
          <w:tblLook w:val="0000"/>
        </w:tblPrEx>
        <w:trPr>
          <w:cantSplit/>
          <w:trHeight w:val="299"/>
          <w:jc w:val="center"/>
        </w:trPr>
        <w:tc>
          <w:tcPr>
            <w:tcW w:w="2409" w:type="dxa"/>
            <w:gridSpan w:val="5"/>
            <w:vMerge/>
            <w:vAlign w:val="center"/>
          </w:tcPr>
          <w:p>
            <w:pPr>
              <w:pStyle w:val="a2"/>
              <w:ind w:firstLine="0" w:firstLineChars="0"/>
              <w:rPr>
                <w:rFonts w:ascii="Times New Roman"/>
                <w:sz w:val="24"/>
                <w:szCs w:val="24"/>
              </w:rPr>
            </w:pPr>
          </w:p>
        </w:tc>
        <w:tc>
          <w:tcPr>
            <w:tcW w:w="1256" w:type="dxa"/>
            <w:gridSpan w:val="4"/>
            <w:vMerge/>
            <w:vAlign w:val="center"/>
          </w:tcPr>
          <w:p>
            <w:pPr>
              <w:pStyle w:val="a2"/>
              <w:ind w:firstLine="0" w:firstLineChars="0"/>
              <w:rPr>
                <w:rFonts w:ascii="Times New Roman"/>
                <w:sz w:val="24"/>
                <w:szCs w:val="24"/>
              </w:rPr>
            </w:pPr>
          </w:p>
        </w:tc>
        <w:tc>
          <w:tcPr>
            <w:tcW w:w="1401" w:type="dxa"/>
            <w:vAlign w:val="center"/>
          </w:tcPr>
          <w:p>
            <w:pPr>
              <w:pStyle w:val="a2"/>
              <w:ind w:firstLine="0" w:firstLineChars="0"/>
              <w:rPr>
                <w:rFonts w:ascii="Times New Roman"/>
                <w:sz w:val="24"/>
                <w:szCs w:val="24"/>
              </w:rPr>
            </w:pPr>
            <w:r>
              <w:rPr>
                <w:rFonts w:ascii="Times New Roman"/>
                <w:sz w:val="24"/>
                <w:szCs w:val="24"/>
              </w:rPr>
              <w:t>宽脉冲</w:t>
            </w:r>
          </w:p>
        </w:tc>
        <w:tc>
          <w:tcPr>
            <w:tcW w:w="3936" w:type="dxa"/>
            <w:vMerge/>
            <w:vAlign w:val="center"/>
          </w:tcPr>
          <w:p>
            <w:pPr>
              <w:pStyle w:val="a2"/>
              <w:ind w:firstLine="0" w:firstLineChars="0"/>
              <w:rPr>
                <w:rFonts w:ascii="Times New Roman"/>
                <w:sz w:val="24"/>
                <w:szCs w:val="24"/>
              </w:rPr>
            </w:pPr>
          </w:p>
        </w:tc>
      </w:tr>
      <w:tr>
        <w:tblPrEx>
          <w:tblW w:w="9002" w:type="dxa"/>
          <w:jc w:val="center"/>
          <w:tblLayout w:type="fixed"/>
          <w:tblCellMar>
            <w:top w:w="0" w:type="dxa"/>
            <w:left w:w="108" w:type="dxa"/>
            <w:bottom w:w="0" w:type="dxa"/>
            <w:right w:w="108" w:type="dxa"/>
          </w:tblCellMar>
          <w:tblLook w:val="0000"/>
        </w:tblPrEx>
        <w:trPr>
          <w:cantSplit/>
          <w:trHeight w:val="299"/>
          <w:jc w:val="center"/>
        </w:trPr>
        <w:tc>
          <w:tcPr>
            <w:tcW w:w="2409" w:type="dxa"/>
            <w:gridSpan w:val="5"/>
            <w:vMerge/>
            <w:vAlign w:val="center"/>
          </w:tcPr>
          <w:p>
            <w:pPr>
              <w:pStyle w:val="a2"/>
              <w:ind w:firstLine="0" w:firstLineChars="0"/>
              <w:rPr>
                <w:rFonts w:ascii="Times New Roman"/>
                <w:sz w:val="24"/>
                <w:szCs w:val="24"/>
              </w:rPr>
            </w:pPr>
          </w:p>
        </w:tc>
        <w:tc>
          <w:tcPr>
            <w:tcW w:w="1256" w:type="dxa"/>
            <w:gridSpan w:val="4"/>
            <w:vMerge w:val="restart"/>
            <w:vAlign w:val="center"/>
          </w:tcPr>
          <w:p>
            <w:pPr>
              <w:pStyle w:val="a2"/>
              <w:ind w:firstLine="0" w:firstLineChars="0"/>
              <w:rPr>
                <w:rFonts w:ascii="Times New Roman"/>
                <w:sz w:val="24"/>
                <w:szCs w:val="24"/>
              </w:rPr>
            </w:pPr>
            <w:r>
              <w:rPr>
                <w:rFonts w:ascii="Times New Roman"/>
                <w:sz w:val="24"/>
                <w:szCs w:val="24"/>
              </w:rPr>
              <w:t>水平</w:t>
            </w:r>
          </w:p>
        </w:tc>
        <w:tc>
          <w:tcPr>
            <w:tcW w:w="1401" w:type="dxa"/>
            <w:vAlign w:val="center"/>
          </w:tcPr>
          <w:p>
            <w:pPr>
              <w:pStyle w:val="a2"/>
              <w:ind w:firstLine="0" w:firstLineChars="0"/>
              <w:rPr>
                <w:rFonts w:ascii="Times New Roman"/>
                <w:sz w:val="24"/>
                <w:szCs w:val="24"/>
              </w:rPr>
            </w:pPr>
            <w:r>
              <w:rPr>
                <w:rFonts w:ascii="Times New Roman"/>
                <w:sz w:val="24"/>
                <w:szCs w:val="24"/>
              </w:rPr>
              <w:t>窄脉冲</w:t>
            </w:r>
          </w:p>
        </w:tc>
        <w:tc>
          <w:tcPr>
            <w:tcW w:w="3936" w:type="dxa"/>
            <w:vMerge/>
            <w:vAlign w:val="center"/>
          </w:tcPr>
          <w:p>
            <w:pPr>
              <w:pStyle w:val="a2"/>
              <w:ind w:firstLine="0" w:firstLineChars="0"/>
              <w:rPr>
                <w:rFonts w:ascii="Times New Roman"/>
                <w:sz w:val="24"/>
                <w:szCs w:val="24"/>
              </w:rPr>
            </w:pPr>
          </w:p>
        </w:tc>
      </w:tr>
      <w:tr>
        <w:tblPrEx>
          <w:tblW w:w="9002" w:type="dxa"/>
          <w:jc w:val="center"/>
          <w:tblLayout w:type="fixed"/>
          <w:tblCellMar>
            <w:top w:w="0" w:type="dxa"/>
            <w:left w:w="108" w:type="dxa"/>
            <w:bottom w:w="0" w:type="dxa"/>
            <w:right w:w="108" w:type="dxa"/>
          </w:tblCellMar>
          <w:tblLook w:val="0000"/>
        </w:tblPrEx>
        <w:trPr>
          <w:cantSplit/>
          <w:trHeight w:val="217"/>
          <w:jc w:val="center"/>
        </w:trPr>
        <w:tc>
          <w:tcPr>
            <w:tcW w:w="2409" w:type="dxa"/>
            <w:gridSpan w:val="5"/>
            <w:vMerge/>
            <w:vAlign w:val="center"/>
          </w:tcPr>
          <w:p>
            <w:pPr>
              <w:pStyle w:val="a2"/>
              <w:ind w:firstLine="0" w:firstLineChars="0"/>
              <w:rPr>
                <w:rFonts w:ascii="Times New Roman"/>
                <w:sz w:val="24"/>
                <w:szCs w:val="24"/>
              </w:rPr>
            </w:pPr>
          </w:p>
        </w:tc>
        <w:tc>
          <w:tcPr>
            <w:tcW w:w="1256" w:type="dxa"/>
            <w:gridSpan w:val="4"/>
            <w:vMerge/>
            <w:vAlign w:val="center"/>
          </w:tcPr>
          <w:p>
            <w:pPr>
              <w:pStyle w:val="a2"/>
              <w:ind w:firstLine="0" w:firstLineChars="0"/>
              <w:rPr>
                <w:rFonts w:ascii="Times New Roman"/>
                <w:sz w:val="24"/>
                <w:szCs w:val="24"/>
              </w:rPr>
            </w:pPr>
          </w:p>
        </w:tc>
        <w:tc>
          <w:tcPr>
            <w:tcW w:w="1401" w:type="dxa"/>
            <w:vAlign w:val="center"/>
          </w:tcPr>
          <w:p>
            <w:pPr>
              <w:pStyle w:val="a2"/>
              <w:ind w:firstLine="0" w:firstLineChars="0"/>
              <w:rPr>
                <w:rFonts w:ascii="Times New Roman"/>
                <w:sz w:val="24"/>
                <w:szCs w:val="24"/>
              </w:rPr>
            </w:pPr>
            <w:r>
              <w:rPr>
                <w:rFonts w:ascii="Times New Roman"/>
                <w:sz w:val="24"/>
                <w:szCs w:val="24"/>
              </w:rPr>
              <w:t>宽脉冲</w:t>
            </w:r>
          </w:p>
        </w:tc>
        <w:tc>
          <w:tcPr>
            <w:tcW w:w="3936" w:type="dxa"/>
            <w:vMerge/>
            <w:vAlign w:val="center"/>
          </w:tcPr>
          <w:p>
            <w:pPr>
              <w:pStyle w:val="a2"/>
              <w:ind w:firstLine="0" w:firstLineChars="0"/>
              <w:rPr>
                <w:rFonts w:ascii="Times New Roman"/>
                <w:sz w:val="24"/>
                <w:szCs w:val="24"/>
              </w:rPr>
            </w:pPr>
          </w:p>
        </w:tc>
      </w:tr>
      <w:tr>
        <w:tblPrEx>
          <w:tblW w:w="9002" w:type="dxa"/>
          <w:jc w:val="center"/>
          <w:tblLayout w:type="fixed"/>
          <w:tblCellMar>
            <w:top w:w="0" w:type="dxa"/>
            <w:left w:w="108" w:type="dxa"/>
            <w:bottom w:w="0" w:type="dxa"/>
            <w:right w:w="108" w:type="dxa"/>
          </w:tblCellMar>
          <w:tblLook w:val="0000"/>
        </w:tblPrEx>
        <w:trPr>
          <w:cantSplit/>
          <w:trHeight w:val="217"/>
          <w:jc w:val="center"/>
        </w:trPr>
        <w:tc>
          <w:tcPr>
            <w:tcW w:w="1865" w:type="dxa"/>
            <w:gridSpan w:val="4"/>
            <w:vMerge w:val="restart"/>
            <w:vAlign w:val="center"/>
          </w:tcPr>
          <w:p>
            <w:pPr>
              <w:pStyle w:val="a2"/>
              <w:ind w:firstLine="0" w:firstLineChars="0"/>
              <w:rPr>
                <w:rFonts w:ascii="Times New Roman"/>
                <w:sz w:val="24"/>
                <w:szCs w:val="24"/>
              </w:rPr>
            </w:pPr>
          </w:p>
        </w:tc>
        <w:tc>
          <w:tcPr>
            <w:tcW w:w="1800" w:type="dxa"/>
            <w:gridSpan w:val="5"/>
            <w:vMerge w:val="restart"/>
            <w:vAlign w:val="center"/>
          </w:tcPr>
          <w:p>
            <w:pPr>
              <w:pStyle w:val="a2"/>
              <w:ind w:firstLine="0" w:firstLineChars="0"/>
              <w:rPr>
                <w:rFonts w:ascii="Times New Roman"/>
                <w:sz w:val="24"/>
                <w:szCs w:val="24"/>
              </w:rPr>
            </w:pPr>
            <w:r>
              <w:rPr>
                <w:rFonts w:ascii="Times New Roman"/>
                <w:sz w:val="24"/>
                <w:szCs w:val="24"/>
              </w:rPr>
              <w:t>垂直</w:t>
            </w:r>
          </w:p>
        </w:tc>
        <w:tc>
          <w:tcPr>
            <w:tcW w:w="1401" w:type="dxa"/>
            <w:vAlign w:val="center"/>
          </w:tcPr>
          <w:p>
            <w:pPr>
              <w:pStyle w:val="a2"/>
              <w:ind w:firstLine="0" w:firstLineChars="0"/>
              <w:rPr>
                <w:rFonts w:ascii="Times New Roman"/>
                <w:sz w:val="24"/>
                <w:szCs w:val="24"/>
              </w:rPr>
            </w:pPr>
            <w:r>
              <w:rPr>
                <w:rFonts w:ascii="Times New Roman"/>
                <w:sz w:val="24"/>
                <w:szCs w:val="24"/>
              </w:rPr>
              <w:t>窄脉冲</w:t>
            </w:r>
          </w:p>
        </w:tc>
        <w:tc>
          <w:tcPr>
            <w:tcW w:w="3936" w:type="dxa"/>
            <w:vMerge/>
            <w:vAlign w:val="center"/>
          </w:tcPr>
          <w:p>
            <w:pPr>
              <w:pStyle w:val="a2"/>
              <w:ind w:firstLine="0" w:firstLineChars="0"/>
              <w:rPr>
                <w:rFonts w:ascii="Times New Roman"/>
                <w:sz w:val="24"/>
                <w:szCs w:val="24"/>
              </w:rPr>
            </w:pPr>
          </w:p>
        </w:tc>
      </w:tr>
      <w:tr>
        <w:tblPrEx>
          <w:tblW w:w="9002" w:type="dxa"/>
          <w:jc w:val="center"/>
          <w:tblLayout w:type="fixed"/>
          <w:tblCellMar>
            <w:top w:w="0" w:type="dxa"/>
            <w:left w:w="108" w:type="dxa"/>
            <w:bottom w:w="0" w:type="dxa"/>
            <w:right w:w="108" w:type="dxa"/>
          </w:tblCellMar>
          <w:tblLook w:val="0000"/>
        </w:tblPrEx>
        <w:trPr>
          <w:cantSplit/>
          <w:trHeight w:val="217"/>
          <w:jc w:val="center"/>
        </w:trPr>
        <w:tc>
          <w:tcPr>
            <w:tcW w:w="1865" w:type="dxa"/>
            <w:gridSpan w:val="4"/>
            <w:vMerge/>
            <w:vAlign w:val="center"/>
          </w:tcPr>
          <w:p>
            <w:pPr>
              <w:pStyle w:val="a2"/>
              <w:ind w:firstLine="0" w:firstLineChars="0"/>
              <w:rPr>
                <w:rFonts w:ascii="Times New Roman"/>
                <w:sz w:val="24"/>
                <w:szCs w:val="24"/>
              </w:rPr>
            </w:pPr>
          </w:p>
        </w:tc>
        <w:tc>
          <w:tcPr>
            <w:tcW w:w="1800" w:type="dxa"/>
            <w:gridSpan w:val="5"/>
            <w:vMerge/>
            <w:vAlign w:val="center"/>
          </w:tcPr>
          <w:p>
            <w:pPr>
              <w:pStyle w:val="a2"/>
              <w:ind w:firstLine="0" w:firstLineChars="0"/>
              <w:rPr>
                <w:rFonts w:ascii="Times New Roman"/>
                <w:sz w:val="24"/>
                <w:szCs w:val="24"/>
              </w:rPr>
            </w:pPr>
          </w:p>
        </w:tc>
        <w:tc>
          <w:tcPr>
            <w:tcW w:w="1401" w:type="dxa"/>
            <w:vAlign w:val="center"/>
          </w:tcPr>
          <w:p>
            <w:pPr>
              <w:pStyle w:val="a2"/>
              <w:ind w:firstLine="0" w:firstLineChars="0"/>
              <w:rPr>
                <w:rFonts w:ascii="Times New Roman"/>
                <w:sz w:val="24"/>
                <w:szCs w:val="24"/>
              </w:rPr>
            </w:pPr>
            <w:r>
              <w:rPr>
                <w:rFonts w:ascii="Times New Roman"/>
                <w:sz w:val="24"/>
                <w:szCs w:val="24"/>
              </w:rPr>
              <w:t>宽脉冲</w:t>
            </w:r>
          </w:p>
        </w:tc>
        <w:tc>
          <w:tcPr>
            <w:tcW w:w="3936" w:type="dxa"/>
            <w:vMerge/>
            <w:vAlign w:val="center"/>
          </w:tcPr>
          <w:p>
            <w:pPr>
              <w:pStyle w:val="a2"/>
              <w:ind w:firstLine="0" w:firstLineChars="0"/>
              <w:rPr>
                <w:rFonts w:ascii="Times New Roman"/>
                <w:sz w:val="24"/>
                <w:szCs w:val="24"/>
              </w:rPr>
            </w:pPr>
          </w:p>
        </w:tc>
      </w:tr>
      <w:tr>
        <w:tblPrEx>
          <w:tblW w:w="9002" w:type="dxa"/>
          <w:jc w:val="center"/>
          <w:tblLayout w:type="fixed"/>
          <w:tblCellMar>
            <w:top w:w="0" w:type="dxa"/>
            <w:left w:w="108" w:type="dxa"/>
            <w:bottom w:w="0" w:type="dxa"/>
            <w:right w:w="108" w:type="dxa"/>
          </w:tblCellMar>
          <w:tblLook w:val="0000"/>
        </w:tblPrEx>
        <w:trPr>
          <w:cantSplit/>
          <w:trHeight w:val="453"/>
          <w:jc w:val="center"/>
        </w:trPr>
        <w:tc>
          <w:tcPr>
            <w:tcW w:w="1865" w:type="dxa"/>
            <w:gridSpan w:val="4"/>
            <w:vMerge w:val="restart"/>
            <w:vAlign w:val="center"/>
          </w:tcPr>
          <w:p>
            <w:pPr>
              <w:pStyle w:val="a2"/>
              <w:ind w:firstLine="0" w:firstLineChars="0"/>
              <w:jc w:val="both"/>
              <w:rPr>
                <w:rFonts w:ascii="Times New Roman"/>
                <w:sz w:val="24"/>
                <w:szCs w:val="24"/>
              </w:rPr>
            </w:pPr>
            <w:r>
              <w:rPr>
                <w:rFonts w:ascii="Times New Roman"/>
                <w:color w:val="FF0000"/>
                <w:sz w:val="24"/>
                <w:szCs w:val="24"/>
              </w:rPr>
              <w:t>#</w:t>
            </w:r>
            <w:r>
              <w:rPr>
                <w:rFonts w:ascii="Times New Roman"/>
                <w:sz w:val="24"/>
                <w:szCs w:val="24"/>
              </w:rPr>
              <w:t>双通道噪声系数差异(dB)</w:t>
            </w:r>
          </w:p>
        </w:tc>
        <w:tc>
          <w:tcPr>
            <w:tcW w:w="3201" w:type="dxa"/>
            <w:gridSpan w:val="6"/>
            <w:vAlign w:val="center"/>
          </w:tcPr>
          <w:p>
            <w:pPr>
              <w:pStyle w:val="a2"/>
              <w:ind w:firstLine="0" w:firstLineChars="0"/>
              <w:jc w:val="center"/>
              <w:rPr>
                <w:rFonts w:ascii="Times New Roman"/>
                <w:sz w:val="24"/>
                <w:szCs w:val="24"/>
              </w:rPr>
            </w:pPr>
            <w:r>
              <w:rPr>
                <w:rFonts w:ascii="Times New Roman"/>
                <w:sz w:val="24"/>
                <w:szCs w:val="24"/>
              </w:rPr>
              <w:t>窄脉冲</w:t>
            </w:r>
          </w:p>
        </w:tc>
        <w:tc>
          <w:tcPr>
            <w:tcW w:w="3936" w:type="dxa"/>
            <w:vMerge w:val="restart"/>
            <w:vAlign w:val="center"/>
          </w:tcPr>
          <w:p>
            <w:pPr>
              <w:pStyle w:val="a2"/>
              <w:ind w:firstLine="0" w:firstLineChars="0"/>
              <w:rPr>
                <w:rFonts w:ascii="Times New Roman"/>
                <w:sz w:val="24"/>
                <w:szCs w:val="24"/>
              </w:rPr>
            </w:pPr>
            <w:r>
              <w:rPr>
                <w:rFonts w:ascii="Times New Roman"/>
                <w:color w:val="auto"/>
                <w:sz w:val="24"/>
                <w:szCs w:val="24"/>
              </w:rPr>
              <w:t>≤0.3</w:t>
            </w:r>
            <w:r>
              <w:rPr>
                <w:rFonts w:ascii="Times New Roman" w:hint="eastAsia"/>
                <w:sz w:val="24"/>
                <w:szCs w:val="24"/>
              </w:rPr>
              <w:t>（</w:t>
            </w:r>
            <w:r>
              <w:rPr>
                <w:rFonts w:ascii="Times New Roman"/>
                <w:sz w:val="24"/>
                <w:szCs w:val="24"/>
              </w:rPr>
              <w:t>机外/机内</w:t>
            </w:r>
            <w:r>
              <w:rPr>
                <w:rFonts w:ascii="Times New Roman" w:hint="eastAsia"/>
                <w:sz w:val="24"/>
                <w:szCs w:val="24"/>
              </w:rPr>
              <w:t>）</w:t>
            </w:r>
          </w:p>
        </w:tc>
      </w:tr>
      <w:tr>
        <w:tblPrEx>
          <w:tblW w:w="9002" w:type="dxa"/>
          <w:jc w:val="center"/>
          <w:tblLayout w:type="fixed"/>
          <w:tblCellMar>
            <w:top w:w="0" w:type="dxa"/>
            <w:left w:w="108" w:type="dxa"/>
            <w:bottom w:w="0" w:type="dxa"/>
            <w:right w:w="108" w:type="dxa"/>
          </w:tblCellMar>
          <w:tblLook w:val="0000"/>
        </w:tblPrEx>
        <w:trPr>
          <w:cantSplit/>
          <w:trHeight w:val="417"/>
          <w:jc w:val="center"/>
        </w:trPr>
        <w:tc>
          <w:tcPr>
            <w:tcW w:w="1865" w:type="dxa"/>
            <w:gridSpan w:val="4"/>
            <w:vMerge/>
            <w:vAlign w:val="center"/>
          </w:tcPr>
          <w:p>
            <w:pPr>
              <w:pStyle w:val="a2"/>
              <w:ind w:firstLine="0" w:firstLineChars="0"/>
              <w:jc w:val="both"/>
              <w:rPr>
                <w:rFonts w:ascii="Times New Roman"/>
                <w:sz w:val="24"/>
                <w:szCs w:val="24"/>
              </w:rPr>
            </w:pPr>
          </w:p>
        </w:tc>
        <w:tc>
          <w:tcPr>
            <w:tcW w:w="3201" w:type="dxa"/>
            <w:gridSpan w:val="6"/>
            <w:vAlign w:val="center"/>
          </w:tcPr>
          <w:p>
            <w:pPr>
              <w:pStyle w:val="a2"/>
              <w:ind w:firstLine="0" w:firstLineChars="0"/>
              <w:jc w:val="center"/>
              <w:rPr>
                <w:rFonts w:ascii="Times New Roman"/>
                <w:sz w:val="24"/>
                <w:szCs w:val="24"/>
              </w:rPr>
            </w:pPr>
            <w:r>
              <w:rPr>
                <w:rFonts w:ascii="Times New Roman"/>
                <w:sz w:val="24"/>
                <w:szCs w:val="24"/>
              </w:rPr>
              <w:t>宽脉冲</w:t>
            </w:r>
          </w:p>
        </w:tc>
        <w:tc>
          <w:tcPr>
            <w:tcW w:w="3936" w:type="dxa"/>
            <w:vMerge/>
            <w:vAlign w:val="center"/>
          </w:tcPr>
          <w:p>
            <w:pPr>
              <w:pStyle w:val="a2"/>
              <w:ind w:firstLine="0" w:firstLineChars="0"/>
              <w:rPr>
                <w:rFonts w:ascii="Times New Roman"/>
                <w:color w:val="auto"/>
                <w:sz w:val="24"/>
                <w:szCs w:val="24"/>
              </w:rPr>
            </w:pPr>
          </w:p>
        </w:tc>
      </w:tr>
      <w:tr>
        <w:tblPrEx>
          <w:tblW w:w="9002" w:type="dxa"/>
          <w:jc w:val="center"/>
          <w:tblLayout w:type="fixed"/>
          <w:tblCellMar>
            <w:top w:w="0" w:type="dxa"/>
            <w:left w:w="108" w:type="dxa"/>
            <w:bottom w:w="0" w:type="dxa"/>
            <w:right w:w="108" w:type="dxa"/>
          </w:tblCellMar>
          <w:tblLook w:val="0000"/>
        </w:tblPrEx>
        <w:trPr>
          <w:cantSplit/>
          <w:trHeight w:val="217"/>
          <w:jc w:val="center"/>
        </w:trPr>
        <w:tc>
          <w:tcPr>
            <w:tcW w:w="1865" w:type="dxa"/>
            <w:gridSpan w:val="4"/>
            <w:vMerge w:val="restart"/>
            <w:vAlign w:val="center"/>
          </w:tcPr>
          <w:p>
            <w:pPr>
              <w:pStyle w:val="a2"/>
              <w:ind w:firstLine="0" w:firstLineChars="0"/>
              <w:jc w:val="both"/>
              <w:rPr>
                <w:rFonts w:ascii="Times New Roman"/>
                <w:sz w:val="24"/>
                <w:szCs w:val="24"/>
              </w:rPr>
            </w:pPr>
          </w:p>
          <w:p>
            <w:pPr>
              <w:pStyle w:val="a2"/>
              <w:ind w:firstLine="0" w:firstLineChars="0"/>
              <w:jc w:val="both"/>
              <w:rPr>
                <w:rFonts w:ascii="Times New Roman"/>
                <w:sz w:val="24"/>
                <w:szCs w:val="24"/>
              </w:rPr>
            </w:pPr>
            <w:r>
              <w:rPr>
                <w:rFonts w:ascii="Times New Roman"/>
                <w:sz w:val="24"/>
                <w:szCs w:val="24"/>
              </w:rPr>
              <w:t>机内、机外噪声系数差异(dB)</w:t>
            </w:r>
          </w:p>
        </w:tc>
        <w:tc>
          <w:tcPr>
            <w:tcW w:w="1800" w:type="dxa"/>
            <w:gridSpan w:val="5"/>
            <w:vMerge w:val="restart"/>
            <w:vAlign w:val="center"/>
          </w:tcPr>
          <w:p>
            <w:pPr>
              <w:pStyle w:val="a2"/>
              <w:ind w:firstLine="0" w:firstLineChars="0"/>
              <w:rPr>
                <w:rFonts w:ascii="Times New Roman"/>
                <w:sz w:val="24"/>
                <w:szCs w:val="24"/>
              </w:rPr>
            </w:pPr>
            <w:r>
              <w:rPr>
                <w:rFonts w:ascii="Times New Roman"/>
                <w:sz w:val="24"/>
                <w:szCs w:val="24"/>
              </w:rPr>
              <w:t>水平</w:t>
            </w:r>
          </w:p>
        </w:tc>
        <w:tc>
          <w:tcPr>
            <w:tcW w:w="1401" w:type="dxa"/>
            <w:vAlign w:val="center"/>
          </w:tcPr>
          <w:p>
            <w:pPr>
              <w:pStyle w:val="a2"/>
              <w:ind w:firstLine="0" w:firstLineChars="0"/>
              <w:rPr>
                <w:rFonts w:ascii="Times New Roman"/>
                <w:sz w:val="24"/>
                <w:szCs w:val="24"/>
              </w:rPr>
            </w:pPr>
            <w:r>
              <w:rPr>
                <w:rFonts w:ascii="Times New Roman"/>
                <w:sz w:val="24"/>
                <w:szCs w:val="24"/>
              </w:rPr>
              <w:t>窄脉冲</w:t>
            </w:r>
          </w:p>
        </w:tc>
        <w:tc>
          <w:tcPr>
            <w:tcW w:w="3936" w:type="dxa"/>
            <w:vMerge w:val="restart"/>
            <w:vAlign w:val="center"/>
          </w:tcPr>
          <w:p>
            <w:pPr>
              <w:pStyle w:val="a2"/>
              <w:ind w:firstLine="0" w:firstLineChars="0"/>
              <w:rPr>
                <w:rFonts w:ascii="Times New Roman"/>
                <w:sz w:val="24"/>
                <w:szCs w:val="24"/>
              </w:rPr>
            </w:pPr>
            <w:r>
              <w:rPr>
                <w:rFonts w:ascii="Times New Roman"/>
                <w:sz w:val="24"/>
                <w:szCs w:val="24"/>
              </w:rPr>
              <w:t>≤0.2</w:t>
            </w:r>
          </w:p>
        </w:tc>
      </w:tr>
      <w:tr>
        <w:tblPrEx>
          <w:tblW w:w="9002" w:type="dxa"/>
          <w:jc w:val="center"/>
          <w:tblLayout w:type="fixed"/>
          <w:tblCellMar>
            <w:top w:w="0" w:type="dxa"/>
            <w:left w:w="108" w:type="dxa"/>
            <w:bottom w:w="0" w:type="dxa"/>
            <w:right w:w="108" w:type="dxa"/>
          </w:tblCellMar>
          <w:tblLook w:val="0000"/>
        </w:tblPrEx>
        <w:trPr>
          <w:cantSplit/>
          <w:trHeight w:val="217"/>
          <w:jc w:val="center"/>
        </w:trPr>
        <w:tc>
          <w:tcPr>
            <w:tcW w:w="1865" w:type="dxa"/>
            <w:gridSpan w:val="4"/>
            <w:vMerge/>
            <w:vAlign w:val="center"/>
          </w:tcPr>
          <w:p>
            <w:pPr>
              <w:pStyle w:val="a2"/>
              <w:ind w:firstLine="0" w:firstLineChars="0"/>
              <w:rPr>
                <w:rFonts w:ascii="Times New Roman"/>
                <w:sz w:val="24"/>
                <w:szCs w:val="24"/>
              </w:rPr>
            </w:pPr>
          </w:p>
        </w:tc>
        <w:tc>
          <w:tcPr>
            <w:tcW w:w="1800" w:type="dxa"/>
            <w:gridSpan w:val="5"/>
            <w:vMerge/>
            <w:vAlign w:val="center"/>
          </w:tcPr>
          <w:p>
            <w:pPr>
              <w:pStyle w:val="a2"/>
              <w:ind w:firstLine="0" w:firstLineChars="0"/>
              <w:rPr>
                <w:rFonts w:ascii="Times New Roman"/>
                <w:sz w:val="24"/>
                <w:szCs w:val="24"/>
              </w:rPr>
            </w:pPr>
          </w:p>
        </w:tc>
        <w:tc>
          <w:tcPr>
            <w:tcW w:w="1401" w:type="dxa"/>
            <w:vAlign w:val="center"/>
          </w:tcPr>
          <w:p>
            <w:pPr>
              <w:pStyle w:val="a2"/>
              <w:ind w:firstLine="0" w:firstLineChars="0"/>
              <w:rPr>
                <w:rFonts w:ascii="Times New Roman"/>
                <w:sz w:val="24"/>
                <w:szCs w:val="24"/>
              </w:rPr>
            </w:pPr>
            <w:r>
              <w:rPr>
                <w:rFonts w:ascii="Times New Roman"/>
                <w:sz w:val="24"/>
                <w:szCs w:val="24"/>
              </w:rPr>
              <w:t>宽脉冲</w:t>
            </w:r>
          </w:p>
        </w:tc>
        <w:tc>
          <w:tcPr>
            <w:tcW w:w="3936" w:type="dxa"/>
            <w:vMerge/>
            <w:vAlign w:val="center"/>
          </w:tcPr>
          <w:p>
            <w:pPr>
              <w:pStyle w:val="a2"/>
              <w:ind w:firstLine="0" w:firstLineChars="0"/>
              <w:rPr>
                <w:rFonts w:ascii="Times New Roman"/>
                <w:sz w:val="24"/>
                <w:szCs w:val="24"/>
              </w:rPr>
            </w:pPr>
          </w:p>
        </w:tc>
      </w:tr>
      <w:tr>
        <w:tblPrEx>
          <w:tblW w:w="9002" w:type="dxa"/>
          <w:jc w:val="center"/>
          <w:tblLayout w:type="fixed"/>
          <w:tblCellMar>
            <w:top w:w="0" w:type="dxa"/>
            <w:left w:w="108" w:type="dxa"/>
            <w:bottom w:w="0" w:type="dxa"/>
            <w:right w:w="108" w:type="dxa"/>
          </w:tblCellMar>
          <w:tblLook w:val="0000"/>
        </w:tblPrEx>
        <w:trPr>
          <w:cantSplit/>
          <w:trHeight w:val="217"/>
          <w:jc w:val="center"/>
        </w:trPr>
        <w:tc>
          <w:tcPr>
            <w:tcW w:w="1865" w:type="dxa"/>
            <w:gridSpan w:val="4"/>
            <w:vMerge/>
            <w:vAlign w:val="center"/>
          </w:tcPr>
          <w:p>
            <w:pPr>
              <w:pStyle w:val="a2"/>
              <w:ind w:firstLine="0" w:firstLineChars="0"/>
              <w:rPr>
                <w:rFonts w:ascii="Times New Roman"/>
                <w:sz w:val="24"/>
                <w:szCs w:val="24"/>
              </w:rPr>
            </w:pPr>
          </w:p>
        </w:tc>
        <w:tc>
          <w:tcPr>
            <w:tcW w:w="1800" w:type="dxa"/>
            <w:gridSpan w:val="5"/>
            <w:vMerge w:val="restart"/>
            <w:vAlign w:val="center"/>
          </w:tcPr>
          <w:p>
            <w:pPr>
              <w:pStyle w:val="a2"/>
              <w:ind w:firstLine="0" w:firstLineChars="0"/>
              <w:rPr>
                <w:rFonts w:ascii="Times New Roman"/>
                <w:sz w:val="24"/>
                <w:szCs w:val="24"/>
              </w:rPr>
            </w:pPr>
            <w:r>
              <w:rPr>
                <w:rFonts w:ascii="Times New Roman"/>
                <w:sz w:val="24"/>
                <w:szCs w:val="24"/>
              </w:rPr>
              <w:t>垂直</w:t>
            </w:r>
          </w:p>
        </w:tc>
        <w:tc>
          <w:tcPr>
            <w:tcW w:w="1401" w:type="dxa"/>
            <w:vAlign w:val="center"/>
          </w:tcPr>
          <w:p>
            <w:pPr>
              <w:pStyle w:val="a2"/>
              <w:ind w:firstLine="0" w:firstLineChars="0"/>
              <w:rPr>
                <w:rFonts w:ascii="Times New Roman"/>
                <w:sz w:val="24"/>
                <w:szCs w:val="24"/>
              </w:rPr>
            </w:pPr>
            <w:r>
              <w:rPr>
                <w:rFonts w:ascii="Times New Roman"/>
                <w:sz w:val="24"/>
                <w:szCs w:val="24"/>
              </w:rPr>
              <w:t>窄脉冲</w:t>
            </w:r>
          </w:p>
        </w:tc>
        <w:tc>
          <w:tcPr>
            <w:tcW w:w="3936" w:type="dxa"/>
            <w:vMerge/>
            <w:vAlign w:val="center"/>
          </w:tcPr>
          <w:p>
            <w:pPr>
              <w:pStyle w:val="a2"/>
              <w:ind w:firstLine="0" w:firstLineChars="0"/>
              <w:rPr>
                <w:rFonts w:ascii="Times New Roman"/>
                <w:sz w:val="24"/>
                <w:szCs w:val="24"/>
              </w:rPr>
            </w:pPr>
          </w:p>
        </w:tc>
      </w:tr>
      <w:tr>
        <w:tblPrEx>
          <w:tblW w:w="9002" w:type="dxa"/>
          <w:jc w:val="center"/>
          <w:tblLayout w:type="fixed"/>
          <w:tblCellMar>
            <w:top w:w="0" w:type="dxa"/>
            <w:left w:w="108" w:type="dxa"/>
            <w:bottom w:w="0" w:type="dxa"/>
            <w:right w:w="108" w:type="dxa"/>
          </w:tblCellMar>
          <w:tblLook w:val="0000"/>
        </w:tblPrEx>
        <w:trPr>
          <w:cantSplit/>
          <w:trHeight w:val="217"/>
          <w:jc w:val="center"/>
        </w:trPr>
        <w:tc>
          <w:tcPr>
            <w:tcW w:w="1865" w:type="dxa"/>
            <w:gridSpan w:val="4"/>
            <w:vMerge/>
            <w:vAlign w:val="center"/>
          </w:tcPr>
          <w:p>
            <w:pPr>
              <w:pStyle w:val="a2"/>
              <w:ind w:firstLine="0" w:firstLineChars="0"/>
              <w:rPr>
                <w:rFonts w:ascii="Times New Roman"/>
                <w:sz w:val="24"/>
                <w:szCs w:val="24"/>
              </w:rPr>
            </w:pPr>
          </w:p>
        </w:tc>
        <w:tc>
          <w:tcPr>
            <w:tcW w:w="1800" w:type="dxa"/>
            <w:gridSpan w:val="5"/>
            <w:vMerge/>
            <w:vAlign w:val="center"/>
          </w:tcPr>
          <w:p>
            <w:pPr>
              <w:pStyle w:val="a2"/>
              <w:ind w:firstLine="0" w:firstLineChars="0"/>
              <w:rPr>
                <w:rFonts w:ascii="Times New Roman"/>
                <w:sz w:val="24"/>
                <w:szCs w:val="24"/>
              </w:rPr>
            </w:pPr>
          </w:p>
        </w:tc>
        <w:tc>
          <w:tcPr>
            <w:tcW w:w="1401" w:type="dxa"/>
            <w:vAlign w:val="center"/>
          </w:tcPr>
          <w:p>
            <w:pPr>
              <w:pStyle w:val="a2"/>
              <w:ind w:firstLine="0" w:firstLineChars="0"/>
              <w:rPr>
                <w:rFonts w:ascii="Times New Roman"/>
                <w:sz w:val="24"/>
                <w:szCs w:val="24"/>
              </w:rPr>
            </w:pPr>
            <w:r>
              <w:rPr>
                <w:rFonts w:ascii="Times New Roman"/>
                <w:sz w:val="24"/>
                <w:szCs w:val="24"/>
              </w:rPr>
              <w:t>宽脉冲</w:t>
            </w:r>
          </w:p>
        </w:tc>
        <w:tc>
          <w:tcPr>
            <w:tcW w:w="3936" w:type="dxa"/>
            <w:vMerge/>
            <w:vAlign w:val="center"/>
          </w:tcPr>
          <w:p>
            <w:pPr>
              <w:pStyle w:val="a2"/>
              <w:ind w:firstLine="0" w:firstLineChars="0"/>
              <w:rPr>
                <w:rFonts w:ascii="Times New Roman"/>
                <w:sz w:val="24"/>
                <w:szCs w:val="24"/>
              </w:rPr>
            </w:pPr>
          </w:p>
        </w:tc>
      </w:tr>
      <w:tr>
        <w:tblPrEx>
          <w:tblW w:w="9002" w:type="dxa"/>
          <w:jc w:val="center"/>
          <w:tblLayout w:type="fixed"/>
          <w:tblCellMar>
            <w:top w:w="0" w:type="dxa"/>
            <w:left w:w="108" w:type="dxa"/>
            <w:bottom w:w="0" w:type="dxa"/>
            <w:right w:w="108" w:type="dxa"/>
          </w:tblCellMar>
          <w:tblLook w:val="0000"/>
        </w:tblPrEx>
        <w:trPr>
          <w:cantSplit/>
          <w:trHeight w:val="220"/>
          <w:jc w:val="center"/>
        </w:trPr>
        <w:tc>
          <w:tcPr>
            <w:tcW w:w="1865" w:type="dxa"/>
            <w:gridSpan w:val="4"/>
            <w:vMerge w:val="restart"/>
            <w:vAlign w:val="center"/>
          </w:tcPr>
          <w:p>
            <w:pPr>
              <w:pStyle w:val="a2"/>
              <w:ind w:firstLine="0" w:firstLineChars="0"/>
              <w:jc w:val="both"/>
              <w:rPr>
                <w:rFonts w:ascii="Times New Roman"/>
                <w:sz w:val="24"/>
                <w:szCs w:val="24"/>
              </w:rPr>
            </w:pPr>
            <w:r>
              <w:rPr>
                <w:rFonts w:ascii="Times New Roman"/>
                <w:color w:val="FF0000"/>
                <w:sz w:val="24"/>
                <w:szCs w:val="24"/>
              </w:rPr>
              <w:t>#</w:t>
            </w:r>
            <w:r>
              <w:rPr>
                <w:rFonts w:ascii="Times New Roman"/>
                <w:sz w:val="24"/>
                <w:szCs w:val="24"/>
              </w:rPr>
              <w:t>最小可测功率(dBm)</w:t>
            </w:r>
          </w:p>
        </w:tc>
        <w:tc>
          <w:tcPr>
            <w:tcW w:w="1800" w:type="dxa"/>
            <w:gridSpan w:val="5"/>
            <w:vAlign w:val="center"/>
          </w:tcPr>
          <w:p>
            <w:pPr>
              <w:pStyle w:val="a2"/>
              <w:ind w:firstLine="0" w:firstLineChars="0"/>
              <w:rPr>
                <w:rFonts w:ascii="Times New Roman"/>
                <w:sz w:val="24"/>
                <w:szCs w:val="24"/>
              </w:rPr>
            </w:pPr>
            <w:r>
              <w:rPr>
                <w:rFonts w:ascii="Times New Roman"/>
                <w:sz w:val="24"/>
                <w:szCs w:val="24"/>
              </w:rPr>
              <w:t>水平</w:t>
            </w:r>
          </w:p>
        </w:tc>
        <w:tc>
          <w:tcPr>
            <w:tcW w:w="1401" w:type="dxa"/>
            <w:vMerge w:val="restart"/>
            <w:vAlign w:val="center"/>
          </w:tcPr>
          <w:p>
            <w:pPr>
              <w:pStyle w:val="a2"/>
              <w:ind w:firstLine="0" w:firstLineChars="0"/>
              <w:rPr>
                <w:rFonts w:ascii="Times New Roman"/>
                <w:sz w:val="24"/>
                <w:szCs w:val="24"/>
              </w:rPr>
            </w:pPr>
            <w:r>
              <w:rPr>
                <w:rFonts w:ascii="Times New Roman"/>
                <w:sz w:val="24"/>
                <w:szCs w:val="24"/>
              </w:rPr>
              <w:t>窄脉冲</w:t>
            </w:r>
          </w:p>
        </w:tc>
        <w:tc>
          <w:tcPr>
            <w:tcW w:w="3936" w:type="dxa"/>
            <w:vMerge w:val="restart"/>
            <w:vAlign w:val="center"/>
          </w:tcPr>
          <w:p>
            <w:pPr>
              <w:pStyle w:val="a2"/>
              <w:ind w:firstLine="0" w:firstLineChars="0"/>
              <w:rPr>
                <w:rFonts w:ascii="Times New Roman"/>
                <w:sz w:val="24"/>
                <w:szCs w:val="24"/>
              </w:rPr>
            </w:pPr>
            <w:r>
              <w:rPr>
                <w:rFonts w:ascii="Times New Roman"/>
                <w:sz w:val="24"/>
                <w:szCs w:val="24"/>
              </w:rPr>
              <w:t>≤-108.0</w:t>
            </w:r>
          </w:p>
        </w:tc>
      </w:tr>
      <w:tr>
        <w:tblPrEx>
          <w:tblW w:w="9002" w:type="dxa"/>
          <w:jc w:val="center"/>
          <w:tblLayout w:type="fixed"/>
          <w:tblCellMar>
            <w:top w:w="0" w:type="dxa"/>
            <w:left w:w="108" w:type="dxa"/>
            <w:bottom w:w="0" w:type="dxa"/>
            <w:right w:w="108" w:type="dxa"/>
          </w:tblCellMar>
          <w:tblLook w:val="0000"/>
        </w:tblPrEx>
        <w:trPr>
          <w:cantSplit/>
          <w:trHeight w:val="220"/>
          <w:jc w:val="center"/>
        </w:trPr>
        <w:tc>
          <w:tcPr>
            <w:tcW w:w="1865" w:type="dxa"/>
            <w:gridSpan w:val="4"/>
            <w:vMerge/>
            <w:vAlign w:val="center"/>
          </w:tcPr>
          <w:p>
            <w:pPr>
              <w:pStyle w:val="a2"/>
              <w:ind w:firstLine="0" w:firstLineChars="0"/>
              <w:rPr>
                <w:rFonts w:ascii="Times New Roman"/>
                <w:sz w:val="24"/>
                <w:szCs w:val="24"/>
              </w:rPr>
            </w:pPr>
          </w:p>
        </w:tc>
        <w:tc>
          <w:tcPr>
            <w:tcW w:w="1800" w:type="dxa"/>
            <w:gridSpan w:val="5"/>
            <w:vAlign w:val="center"/>
          </w:tcPr>
          <w:p>
            <w:pPr>
              <w:pStyle w:val="a2"/>
              <w:ind w:firstLine="0" w:firstLineChars="0"/>
              <w:rPr>
                <w:rFonts w:ascii="Times New Roman"/>
                <w:sz w:val="24"/>
                <w:szCs w:val="24"/>
              </w:rPr>
            </w:pPr>
            <w:r>
              <w:rPr>
                <w:rFonts w:ascii="Times New Roman"/>
                <w:sz w:val="24"/>
                <w:szCs w:val="24"/>
              </w:rPr>
              <w:t>垂直</w:t>
            </w:r>
          </w:p>
        </w:tc>
        <w:tc>
          <w:tcPr>
            <w:tcW w:w="1401" w:type="dxa"/>
            <w:vMerge/>
            <w:vAlign w:val="center"/>
          </w:tcPr>
          <w:p>
            <w:pPr>
              <w:pStyle w:val="a2"/>
              <w:ind w:firstLine="0" w:firstLineChars="0"/>
              <w:rPr>
                <w:rFonts w:ascii="Times New Roman"/>
                <w:sz w:val="24"/>
                <w:szCs w:val="24"/>
              </w:rPr>
            </w:pPr>
          </w:p>
        </w:tc>
        <w:tc>
          <w:tcPr>
            <w:tcW w:w="3936" w:type="dxa"/>
            <w:vMerge/>
            <w:vAlign w:val="center"/>
          </w:tcPr>
          <w:p>
            <w:pPr>
              <w:pStyle w:val="a2"/>
              <w:ind w:firstLine="0" w:firstLineChars="0"/>
              <w:rPr>
                <w:rFonts w:ascii="Times New Roman"/>
                <w:sz w:val="24"/>
                <w:szCs w:val="24"/>
              </w:rPr>
            </w:pPr>
          </w:p>
        </w:tc>
      </w:tr>
      <w:tr>
        <w:tblPrEx>
          <w:tblW w:w="9002" w:type="dxa"/>
          <w:jc w:val="center"/>
          <w:tblLayout w:type="fixed"/>
          <w:tblCellMar>
            <w:top w:w="0" w:type="dxa"/>
            <w:left w:w="108" w:type="dxa"/>
            <w:bottom w:w="0" w:type="dxa"/>
            <w:right w:w="108" w:type="dxa"/>
          </w:tblCellMar>
          <w:tblLook w:val="0000"/>
        </w:tblPrEx>
        <w:trPr>
          <w:cantSplit/>
          <w:trHeight w:val="230"/>
          <w:jc w:val="center"/>
        </w:trPr>
        <w:tc>
          <w:tcPr>
            <w:tcW w:w="1865" w:type="dxa"/>
            <w:gridSpan w:val="4"/>
            <w:vMerge/>
            <w:vAlign w:val="center"/>
          </w:tcPr>
          <w:p>
            <w:pPr>
              <w:pStyle w:val="a2"/>
              <w:ind w:firstLine="0" w:firstLineChars="0"/>
              <w:rPr>
                <w:rFonts w:ascii="Times New Roman"/>
                <w:sz w:val="24"/>
                <w:szCs w:val="24"/>
              </w:rPr>
            </w:pPr>
          </w:p>
        </w:tc>
        <w:tc>
          <w:tcPr>
            <w:tcW w:w="1800" w:type="dxa"/>
            <w:gridSpan w:val="5"/>
            <w:vAlign w:val="center"/>
          </w:tcPr>
          <w:p>
            <w:pPr>
              <w:pStyle w:val="a2"/>
              <w:ind w:firstLine="0" w:firstLineChars="0"/>
              <w:rPr>
                <w:rFonts w:ascii="Times New Roman"/>
                <w:sz w:val="24"/>
                <w:szCs w:val="24"/>
              </w:rPr>
            </w:pPr>
            <w:r>
              <w:rPr>
                <w:rFonts w:ascii="Times New Roman"/>
                <w:sz w:val="24"/>
                <w:szCs w:val="24"/>
              </w:rPr>
              <w:t>水平</w:t>
            </w:r>
          </w:p>
        </w:tc>
        <w:tc>
          <w:tcPr>
            <w:tcW w:w="1401" w:type="dxa"/>
            <w:vMerge w:val="restart"/>
            <w:vAlign w:val="center"/>
          </w:tcPr>
          <w:p>
            <w:pPr>
              <w:pStyle w:val="a2"/>
              <w:ind w:firstLine="0" w:firstLineChars="0"/>
              <w:rPr>
                <w:rFonts w:ascii="Times New Roman"/>
                <w:sz w:val="24"/>
                <w:szCs w:val="24"/>
              </w:rPr>
            </w:pPr>
            <w:r>
              <w:rPr>
                <w:rFonts w:ascii="Times New Roman"/>
                <w:sz w:val="24"/>
                <w:szCs w:val="24"/>
              </w:rPr>
              <w:t>宽脉冲</w:t>
            </w:r>
          </w:p>
        </w:tc>
        <w:tc>
          <w:tcPr>
            <w:tcW w:w="3936" w:type="dxa"/>
            <w:vMerge w:val="restart"/>
            <w:vAlign w:val="center"/>
          </w:tcPr>
          <w:p>
            <w:pPr>
              <w:pStyle w:val="a2"/>
              <w:ind w:firstLine="0" w:firstLineChars="0"/>
              <w:rPr>
                <w:rFonts w:ascii="Times New Roman"/>
                <w:sz w:val="24"/>
                <w:szCs w:val="24"/>
              </w:rPr>
            </w:pPr>
            <w:r>
              <w:rPr>
                <w:rFonts w:ascii="Times New Roman"/>
                <w:sz w:val="24"/>
                <w:szCs w:val="24"/>
              </w:rPr>
              <w:t>≤-111.0</w:t>
            </w:r>
          </w:p>
        </w:tc>
      </w:tr>
      <w:tr>
        <w:tblPrEx>
          <w:tblW w:w="9002" w:type="dxa"/>
          <w:jc w:val="center"/>
          <w:tblLayout w:type="fixed"/>
          <w:tblCellMar>
            <w:top w:w="0" w:type="dxa"/>
            <w:left w:w="108" w:type="dxa"/>
            <w:bottom w:w="0" w:type="dxa"/>
            <w:right w:w="108" w:type="dxa"/>
          </w:tblCellMar>
          <w:tblLook w:val="0000"/>
        </w:tblPrEx>
        <w:trPr>
          <w:cantSplit/>
          <w:trHeight w:val="230"/>
          <w:jc w:val="center"/>
        </w:trPr>
        <w:tc>
          <w:tcPr>
            <w:tcW w:w="1865" w:type="dxa"/>
            <w:gridSpan w:val="4"/>
            <w:vMerge/>
            <w:vAlign w:val="center"/>
          </w:tcPr>
          <w:p>
            <w:pPr>
              <w:pStyle w:val="a2"/>
              <w:ind w:firstLine="0" w:firstLineChars="0"/>
              <w:rPr>
                <w:rFonts w:ascii="Times New Roman"/>
                <w:sz w:val="24"/>
                <w:szCs w:val="24"/>
              </w:rPr>
            </w:pPr>
          </w:p>
        </w:tc>
        <w:tc>
          <w:tcPr>
            <w:tcW w:w="1800" w:type="dxa"/>
            <w:gridSpan w:val="5"/>
            <w:vAlign w:val="center"/>
          </w:tcPr>
          <w:p>
            <w:pPr>
              <w:pStyle w:val="a2"/>
              <w:ind w:firstLine="0" w:firstLineChars="0"/>
              <w:rPr>
                <w:rFonts w:ascii="Times New Roman"/>
                <w:sz w:val="24"/>
                <w:szCs w:val="24"/>
              </w:rPr>
            </w:pPr>
            <w:r>
              <w:rPr>
                <w:rFonts w:ascii="Times New Roman"/>
                <w:sz w:val="24"/>
                <w:szCs w:val="24"/>
              </w:rPr>
              <w:t>垂直</w:t>
            </w:r>
          </w:p>
        </w:tc>
        <w:tc>
          <w:tcPr>
            <w:tcW w:w="1401" w:type="dxa"/>
            <w:vMerge/>
            <w:vAlign w:val="center"/>
          </w:tcPr>
          <w:p>
            <w:pPr>
              <w:pStyle w:val="a2"/>
              <w:ind w:firstLine="0" w:firstLineChars="0"/>
              <w:rPr>
                <w:rFonts w:ascii="Times New Roman"/>
                <w:sz w:val="24"/>
                <w:szCs w:val="24"/>
              </w:rPr>
            </w:pPr>
          </w:p>
        </w:tc>
        <w:tc>
          <w:tcPr>
            <w:tcW w:w="3936" w:type="dxa"/>
            <w:vMerge/>
            <w:vAlign w:val="center"/>
          </w:tcPr>
          <w:p>
            <w:pPr>
              <w:pStyle w:val="a2"/>
              <w:ind w:firstLine="0" w:firstLineChars="0"/>
              <w:rPr>
                <w:rFonts w:ascii="Times New Roman"/>
                <w:sz w:val="24"/>
                <w:szCs w:val="24"/>
              </w:rPr>
            </w:pPr>
          </w:p>
        </w:tc>
      </w:tr>
      <w:tr>
        <w:tblPrEx>
          <w:tblW w:w="9002" w:type="dxa"/>
          <w:jc w:val="center"/>
          <w:tblLayout w:type="fixed"/>
          <w:tblCellMar>
            <w:top w:w="0" w:type="dxa"/>
            <w:left w:w="108" w:type="dxa"/>
            <w:bottom w:w="0" w:type="dxa"/>
            <w:right w:w="108" w:type="dxa"/>
          </w:tblCellMar>
          <w:tblLook w:val="0000"/>
        </w:tblPrEx>
        <w:trPr>
          <w:cantSplit/>
          <w:trHeight w:val="215"/>
          <w:jc w:val="center"/>
        </w:trPr>
        <w:tc>
          <w:tcPr>
            <w:tcW w:w="5066" w:type="dxa"/>
            <w:gridSpan w:val="10"/>
            <w:vAlign w:val="center"/>
          </w:tcPr>
          <w:p>
            <w:pPr>
              <w:pStyle w:val="a2"/>
              <w:ind w:firstLine="0" w:firstLineChars="0"/>
              <w:rPr>
                <w:rFonts w:ascii="Times New Roman"/>
                <w:sz w:val="24"/>
                <w:szCs w:val="24"/>
              </w:rPr>
            </w:pPr>
            <w:r>
              <w:rPr>
                <w:rFonts w:ascii="Times New Roman"/>
                <w:color w:val="FF0000"/>
                <w:sz w:val="24"/>
                <w:szCs w:val="24"/>
              </w:rPr>
              <w:t>#</w:t>
            </w:r>
            <w:r>
              <w:rPr>
                <w:rFonts w:ascii="Times New Roman"/>
                <w:sz w:val="24"/>
                <w:szCs w:val="24"/>
              </w:rPr>
              <w:t>频率源</w:t>
            </w:r>
            <w:r>
              <w:rPr>
                <w:rFonts w:ascii="Times New Roman"/>
                <w:color w:val="auto"/>
                <w:sz w:val="24"/>
                <w:szCs w:val="24"/>
              </w:rPr>
              <w:t>射频输出相</w:t>
            </w:r>
            <w:r>
              <w:rPr>
                <w:rFonts w:ascii="Times New Roman"/>
                <w:sz w:val="24"/>
                <w:szCs w:val="24"/>
              </w:rPr>
              <w:t>位噪声(dBc/Hz)</w:t>
            </w:r>
          </w:p>
        </w:tc>
        <w:tc>
          <w:tcPr>
            <w:tcW w:w="3936" w:type="dxa"/>
            <w:vAlign w:val="center"/>
          </w:tcPr>
          <w:p>
            <w:pPr>
              <w:pStyle w:val="a2"/>
              <w:ind w:firstLine="0" w:firstLineChars="0"/>
              <w:rPr>
                <w:rFonts w:ascii="Times New Roman"/>
                <w:sz w:val="24"/>
                <w:szCs w:val="24"/>
              </w:rPr>
            </w:pPr>
            <w:r>
              <w:rPr>
                <w:rFonts w:ascii="Times New Roman"/>
                <w:sz w:val="24"/>
                <w:szCs w:val="24"/>
              </w:rPr>
              <w:t>≤-132.0</w:t>
            </w:r>
            <w:r>
              <w:rPr>
                <w:rFonts w:ascii="Times New Roman" w:hint="eastAsia"/>
                <w:sz w:val="24"/>
                <w:szCs w:val="24"/>
              </w:rPr>
              <w:t>（</w:t>
            </w:r>
            <w:r>
              <w:rPr>
                <w:rFonts w:ascii="Times New Roman"/>
                <w:sz w:val="24"/>
                <w:szCs w:val="24"/>
              </w:rPr>
              <w:t>10kHz处</w:t>
            </w:r>
            <w:r>
              <w:rPr>
                <w:rFonts w:ascii="Times New Roman" w:hint="eastAsia"/>
                <w:sz w:val="24"/>
                <w:szCs w:val="24"/>
              </w:rPr>
              <w:t>）</w:t>
            </w:r>
          </w:p>
        </w:tc>
      </w:tr>
      <w:tr>
        <w:tblPrEx>
          <w:tblW w:w="9002" w:type="dxa"/>
          <w:jc w:val="center"/>
          <w:tblLayout w:type="fixed"/>
          <w:tblCellMar>
            <w:top w:w="0" w:type="dxa"/>
            <w:left w:w="108" w:type="dxa"/>
            <w:bottom w:w="0" w:type="dxa"/>
            <w:right w:w="108" w:type="dxa"/>
          </w:tblCellMar>
          <w:tblLook w:val="0000"/>
        </w:tblPrEx>
        <w:trPr>
          <w:cantSplit/>
          <w:trHeight w:val="215"/>
          <w:jc w:val="center"/>
        </w:trPr>
        <w:tc>
          <w:tcPr>
            <w:tcW w:w="5066" w:type="dxa"/>
            <w:gridSpan w:val="10"/>
            <w:vAlign w:val="center"/>
          </w:tcPr>
          <w:p>
            <w:pPr>
              <w:pStyle w:val="a2"/>
              <w:ind w:firstLine="0" w:firstLineChars="0"/>
              <w:rPr>
                <w:rFonts w:ascii="Times New Roman"/>
                <w:sz w:val="24"/>
                <w:szCs w:val="24"/>
              </w:rPr>
            </w:pPr>
            <w:r>
              <w:rPr>
                <w:rFonts w:ascii="Times New Roman"/>
                <w:sz w:val="24"/>
                <w:szCs w:val="24"/>
              </w:rPr>
              <w:t>频率源晶振短期(1ms)稳定度</w:t>
            </w:r>
          </w:p>
        </w:tc>
        <w:tc>
          <w:tcPr>
            <w:tcW w:w="3936" w:type="dxa"/>
            <w:vAlign w:val="center"/>
          </w:tcPr>
          <w:p>
            <w:pPr>
              <w:pStyle w:val="a2"/>
              <w:ind w:firstLine="0" w:firstLineChars="0"/>
              <w:rPr>
                <w:rFonts w:ascii="Times New Roman"/>
                <w:sz w:val="24"/>
                <w:szCs w:val="24"/>
              </w:rPr>
            </w:pPr>
            <w:r>
              <w:rPr>
                <w:rFonts w:ascii="Times New Roman"/>
                <w:sz w:val="24"/>
                <w:szCs w:val="24"/>
              </w:rPr>
              <w:t>≤10</w:t>
            </w:r>
            <w:r>
              <w:rPr>
                <w:rFonts w:ascii="Times New Roman"/>
                <w:sz w:val="24"/>
                <w:szCs w:val="24"/>
                <w:vertAlign w:val="superscript"/>
              </w:rPr>
              <w:t>-11</w:t>
            </w:r>
          </w:p>
        </w:tc>
      </w:tr>
      <w:tr>
        <w:tblPrEx>
          <w:tblW w:w="9002" w:type="dxa"/>
          <w:jc w:val="center"/>
          <w:tblLayout w:type="fixed"/>
          <w:tblCellMar>
            <w:top w:w="0" w:type="dxa"/>
            <w:left w:w="108" w:type="dxa"/>
            <w:bottom w:w="0" w:type="dxa"/>
            <w:right w:w="108" w:type="dxa"/>
          </w:tblCellMar>
          <w:tblLook w:val="0000"/>
        </w:tblPrEx>
        <w:trPr>
          <w:cantSplit/>
          <w:trHeight w:val="400"/>
          <w:jc w:val="center"/>
        </w:trPr>
        <w:tc>
          <w:tcPr>
            <w:tcW w:w="1865" w:type="dxa"/>
            <w:gridSpan w:val="4"/>
            <w:vMerge w:val="restart"/>
            <w:vAlign w:val="center"/>
          </w:tcPr>
          <w:p>
            <w:pPr>
              <w:pStyle w:val="a2"/>
              <w:ind w:firstLine="0" w:firstLineChars="0"/>
              <w:jc w:val="both"/>
              <w:rPr>
                <w:rFonts w:ascii="Times New Roman"/>
                <w:sz w:val="24"/>
                <w:szCs w:val="24"/>
              </w:rPr>
            </w:pPr>
            <w:r>
              <w:rPr>
                <w:rFonts w:ascii="Times New Roman"/>
                <w:sz w:val="24"/>
                <w:szCs w:val="24"/>
              </w:rPr>
              <w:t>接收机线性动态范围(dB)</w:t>
            </w:r>
          </w:p>
        </w:tc>
        <w:tc>
          <w:tcPr>
            <w:tcW w:w="1800" w:type="dxa"/>
            <w:gridSpan w:val="5"/>
            <w:vMerge w:val="restart"/>
            <w:vAlign w:val="center"/>
          </w:tcPr>
          <w:p>
            <w:pPr>
              <w:pStyle w:val="a2"/>
              <w:ind w:firstLine="0" w:firstLineChars="0"/>
              <w:rPr>
                <w:rFonts w:ascii="Times New Roman"/>
                <w:sz w:val="24"/>
                <w:szCs w:val="24"/>
              </w:rPr>
            </w:pPr>
            <w:r>
              <w:rPr>
                <w:rFonts w:ascii="Times New Roman"/>
                <w:sz w:val="24"/>
                <w:szCs w:val="24"/>
              </w:rPr>
              <w:t>水平</w:t>
            </w:r>
          </w:p>
        </w:tc>
        <w:tc>
          <w:tcPr>
            <w:tcW w:w="1401" w:type="dxa"/>
            <w:vAlign w:val="center"/>
          </w:tcPr>
          <w:p>
            <w:pPr>
              <w:pStyle w:val="a2"/>
              <w:ind w:firstLine="0" w:firstLineChars="0"/>
              <w:rPr>
                <w:rFonts w:ascii="Times New Roman"/>
                <w:sz w:val="24"/>
                <w:szCs w:val="24"/>
              </w:rPr>
            </w:pPr>
            <w:r>
              <w:rPr>
                <w:rFonts w:ascii="Times New Roman"/>
                <w:sz w:val="24"/>
                <w:szCs w:val="24"/>
              </w:rPr>
              <w:t>窄脉冲</w:t>
            </w:r>
          </w:p>
        </w:tc>
        <w:tc>
          <w:tcPr>
            <w:tcW w:w="3936" w:type="dxa"/>
            <w:vMerge w:val="restart"/>
            <w:vAlign w:val="center"/>
          </w:tcPr>
          <w:p>
            <w:pPr>
              <w:pStyle w:val="a2"/>
              <w:ind w:firstLine="0" w:firstLineChars="0"/>
              <w:rPr>
                <w:rFonts w:ascii="Times New Roman"/>
                <w:sz w:val="24"/>
                <w:szCs w:val="24"/>
              </w:rPr>
            </w:pPr>
            <w:r>
              <w:rPr>
                <w:rFonts w:ascii="Times New Roman"/>
                <w:sz w:val="24"/>
                <w:szCs w:val="24"/>
                <w:highlight w:val="none"/>
              </w:rPr>
              <w:t>≥95（机内）</w:t>
            </w:r>
          </w:p>
        </w:tc>
      </w:tr>
      <w:tr>
        <w:tblPrEx>
          <w:tblW w:w="9002" w:type="dxa"/>
          <w:jc w:val="center"/>
          <w:tblLayout w:type="fixed"/>
          <w:tblCellMar>
            <w:top w:w="0" w:type="dxa"/>
            <w:left w:w="108" w:type="dxa"/>
            <w:bottom w:w="0" w:type="dxa"/>
            <w:right w:w="108" w:type="dxa"/>
          </w:tblCellMar>
          <w:tblLook w:val="0000"/>
        </w:tblPrEx>
        <w:trPr>
          <w:cantSplit/>
          <w:trHeight w:val="389"/>
          <w:jc w:val="center"/>
        </w:trPr>
        <w:tc>
          <w:tcPr>
            <w:tcW w:w="1865" w:type="dxa"/>
            <w:gridSpan w:val="4"/>
            <w:vMerge/>
            <w:vAlign w:val="center"/>
          </w:tcPr>
          <w:p>
            <w:pPr>
              <w:pStyle w:val="a2"/>
              <w:ind w:firstLine="0" w:firstLineChars="0"/>
              <w:rPr>
                <w:rFonts w:ascii="Times New Roman"/>
                <w:sz w:val="24"/>
                <w:szCs w:val="24"/>
              </w:rPr>
            </w:pPr>
          </w:p>
        </w:tc>
        <w:tc>
          <w:tcPr>
            <w:tcW w:w="1800" w:type="dxa"/>
            <w:gridSpan w:val="5"/>
            <w:vMerge/>
            <w:vAlign w:val="center"/>
          </w:tcPr>
          <w:p>
            <w:pPr>
              <w:pStyle w:val="a2"/>
              <w:ind w:firstLine="0" w:firstLineChars="0"/>
              <w:rPr>
                <w:rFonts w:ascii="Times New Roman"/>
                <w:sz w:val="24"/>
                <w:szCs w:val="24"/>
              </w:rPr>
            </w:pPr>
          </w:p>
        </w:tc>
        <w:tc>
          <w:tcPr>
            <w:tcW w:w="1401" w:type="dxa"/>
            <w:vAlign w:val="center"/>
          </w:tcPr>
          <w:p>
            <w:pPr>
              <w:pStyle w:val="a2"/>
              <w:ind w:firstLine="0" w:firstLineChars="0"/>
              <w:rPr>
                <w:rFonts w:ascii="Times New Roman"/>
                <w:sz w:val="24"/>
                <w:szCs w:val="24"/>
              </w:rPr>
            </w:pPr>
            <w:r>
              <w:rPr>
                <w:rFonts w:ascii="Times New Roman"/>
                <w:sz w:val="24"/>
                <w:szCs w:val="24"/>
              </w:rPr>
              <w:t>宽脉冲</w:t>
            </w:r>
          </w:p>
        </w:tc>
        <w:tc>
          <w:tcPr>
            <w:tcW w:w="3936" w:type="dxa"/>
            <w:vMerge/>
            <w:vAlign w:val="center"/>
          </w:tcPr>
          <w:p>
            <w:pPr>
              <w:pStyle w:val="a2"/>
              <w:ind w:firstLine="0" w:firstLineChars="0"/>
              <w:rPr>
                <w:rFonts w:ascii="Times New Roman"/>
                <w:sz w:val="24"/>
                <w:szCs w:val="24"/>
              </w:rPr>
            </w:pPr>
          </w:p>
        </w:tc>
      </w:tr>
      <w:tr>
        <w:tblPrEx>
          <w:tblW w:w="9002" w:type="dxa"/>
          <w:jc w:val="center"/>
          <w:tblLayout w:type="fixed"/>
          <w:tblCellMar>
            <w:top w:w="0" w:type="dxa"/>
            <w:left w:w="108" w:type="dxa"/>
            <w:bottom w:w="0" w:type="dxa"/>
            <w:right w:w="108" w:type="dxa"/>
          </w:tblCellMar>
          <w:tblLook w:val="0000"/>
        </w:tblPrEx>
        <w:trPr>
          <w:cantSplit/>
          <w:trHeight w:val="389"/>
          <w:jc w:val="center"/>
        </w:trPr>
        <w:tc>
          <w:tcPr>
            <w:tcW w:w="1865" w:type="dxa"/>
            <w:gridSpan w:val="4"/>
            <w:vMerge/>
            <w:vAlign w:val="center"/>
          </w:tcPr>
          <w:p>
            <w:pPr>
              <w:pStyle w:val="a2"/>
              <w:ind w:firstLine="0" w:firstLineChars="0"/>
              <w:rPr>
                <w:rFonts w:ascii="Times New Roman"/>
                <w:sz w:val="24"/>
                <w:szCs w:val="24"/>
              </w:rPr>
            </w:pPr>
          </w:p>
        </w:tc>
        <w:tc>
          <w:tcPr>
            <w:tcW w:w="1800" w:type="dxa"/>
            <w:gridSpan w:val="5"/>
            <w:vMerge w:val="restart"/>
            <w:vAlign w:val="center"/>
          </w:tcPr>
          <w:p>
            <w:pPr>
              <w:pStyle w:val="a2"/>
              <w:ind w:firstLine="0" w:firstLineChars="0"/>
              <w:rPr>
                <w:rFonts w:ascii="Times New Roman"/>
                <w:sz w:val="24"/>
                <w:szCs w:val="24"/>
              </w:rPr>
            </w:pPr>
            <w:r>
              <w:rPr>
                <w:rFonts w:ascii="Times New Roman"/>
                <w:sz w:val="24"/>
                <w:szCs w:val="24"/>
              </w:rPr>
              <w:t>垂直</w:t>
            </w:r>
          </w:p>
        </w:tc>
        <w:tc>
          <w:tcPr>
            <w:tcW w:w="1401" w:type="dxa"/>
            <w:vAlign w:val="center"/>
          </w:tcPr>
          <w:p>
            <w:pPr>
              <w:pStyle w:val="a2"/>
              <w:ind w:firstLine="0" w:firstLineChars="0"/>
              <w:rPr>
                <w:rFonts w:ascii="Times New Roman"/>
                <w:sz w:val="24"/>
                <w:szCs w:val="24"/>
              </w:rPr>
            </w:pPr>
            <w:r>
              <w:rPr>
                <w:rFonts w:ascii="Times New Roman"/>
                <w:sz w:val="24"/>
                <w:szCs w:val="24"/>
              </w:rPr>
              <w:t>窄脉冲</w:t>
            </w:r>
          </w:p>
        </w:tc>
        <w:tc>
          <w:tcPr>
            <w:tcW w:w="3936" w:type="dxa"/>
            <w:vMerge/>
            <w:vAlign w:val="center"/>
          </w:tcPr>
          <w:p>
            <w:pPr>
              <w:pStyle w:val="a2"/>
              <w:ind w:firstLine="0" w:firstLineChars="0"/>
              <w:rPr>
                <w:rFonts w:ascii="Times New Roman"/>
                <w:sz w:val="24"/>
                <w:szCs w:val="24"/>
              </w:rPr>
            </w:pPr>
          </w:p>
        </w:tc>
      </w:tr>
      <w:tr>
        <w:tblPrEx>
          <w:tblW w:w="9002" w:type="dxa"/>
          <w:jc w:val="center"/>
          <w:tblLayout w:type="fixed"/>
          <w:tblCellMar>
            <w:top w:w="0" w:type="dxa"/>
            <w:left w:w="108" w:type="dxa"/>
            <w:bottom w:w="0" w:type="dxa"/>
            <w:right w:w="108" w:type="dxa"/>
          </w:tblCellMar>
          <w:tblLook w:val="0000"/>
        </w:tblPrEx>
        <w:trPr>
          <w:cantSplit/>
          <w:trHeight w:val="77"/>
          <w:jc w:val="center"/>
        </w:trPr>
        <w:tc>
          <w:tcPr>
            <w:tcW w:w="1865" w:type="dxa"/>
            <w:gridSpan w:val="4"/>
            <w:vMerge/>
            <w:vAlign w:val="center"/>
          </w:tcPr>
          <w:p>
            <w:pPr>
              <w:pStyle w:val="a2"/>
              <w:ind w:firstLine="0" w:firstLineChars="0"/>
              <w:rPr>
                <w:rFonts w:ascii="Times New Roman"/>
                <w:sz w:val="24"/>
                <w:szCs w:val="24"/>
              </w:rPr>
            </w:pPr>
          </w:p>
        </w:tc>
        <w:tc>
          <w:tcPr>
            <w:tcW w:w="1800" w:type="dxa"/>
            <w:gridSpan w:val="5"/>
            <w:vMerge/>
            <w:vAlign w:val="center"/>
          </w:tcPr>
          <w:p>
            <w:pPr>
              <w:pStyle w:val="a2"/>
              <w:ind w:firstLine="0" w:firstLineChars="0"/>
              <w:rPr>
                <w:rFonts w:ascii="Times New Roman"/>
                <w:sz w:val="24"/>
                <w:szCs w:val="24"/>
              </w:rPr>
            </w:pPr>
          </w:p>
        </w:tc>
        <w:tc>
          <w:tcPr>
            <w:tcW w:w="1401" w:type="dxa"/>
            <w:vAlign w:val="center"/>
          </w:tcPr>
          <w:p>
            <w:pPr>
              <w:pStyle w:val="a2"/>
              <w:ind w:firstLine="0" w:firstLineChars="0"/>
              <w:rPr>
                <w:rFonts w:ascii="Times New Roman"/>
                <w:sz w:val="24"/>
                <w:szCs w:val="24"/>
              </w:rPr>
            </w:pPr>
            <w:r>
              <w:rPr>
                <w:rFonts w:ascii="Times New Roman"/>
                <w:sz w:val="24"/>
                <w:szCs w:val="24"/>
              </w:rPr>
              <w:t>宽脉冲</w:t>
            </w:r>
          </w:p>
        </w:tc>
        <w:tc>
          <w:tcPr>
            <w:tcW w:w="3936" w:type="dxa"/>
            <w:vMerge/>
            <w:vAlign w:val="center"/>
          </w:tcPr>
          <w:p>
            <w:pPr>
              <w:pStyle w:val="a2"/>
              <w:ind w:firstLine="0" w:firstLineChars="0"/>
              <w:rPr>
                <w:rFonts w:ascii="Times New Roman"/>
                <w:sz w:val="24"/>
                <w:szCs w:val="24"/>
              </w:rPr>
            </w:pPr>
          </w:p>
        </w:tc>
      </w:tr>
      <w:tr>
        <w:tblPrEx>
          <w:tblW w:w="9002" w:type="dxa"/>
          <w:jc w:val="center"/>
          <w:tblLayout w:type="fixed"/>
          <w:tblCellMar>
            <w:top w:w="0" w:type="dxa"/>
            <w:left w:w="108" w:type="dxa"/>
            <w:bottom w:w="0" w:type="dxa"/>
            <w:right w:w="108" w:type="dxa"/>
          </w:tblCellMar>
          <w:tblLook w:val="0000"/>
        </w:tblPrEx>
        <w:trPr>
          <w:cantSplit/>
          <w:trHeight w:val="77"/>
          <w:jc w:val="center"/>
        </w:trPr>
        <w:tc>
          <w:tcPr>
            <w:tcW w:w="1865" w:type="dxa"/>
            <w:gridSpan w:val="4"/>
            <w:vMerge/>
            <w:vAlign w:val="center"/>
          </w:tcPr>
          <w:p>
            <w:pPr>
              <w:pStyle w:val="a2"/>
              <w:ind w:firstLine="0" w:firstLineChars="0"/>
              <w:rPr>
                <w:rFonts w:ascii="Times New Roman"/>
                <w:sz w:val="24"/>
                <w:szCs w:val="24"/>
              </w:rPr>
            </w:pPr>
          </w:p>
        </w:tc>
        <w:tc>
          <w:tcPr>
            <w:tcW w:w="1800" w:type="dxa"/>
            <w:gridSpan w:val="5"/>
            <w:vMerge w:val="restart"/>
            <w:vAlign w:val="center"/>
          </w:tcPr>
          <w:p>
            <w:pPr>
              <w:pStyle w:val="a2"/>
              <w:ind w:firstLine="0" w:firstLineChars="0"/>
              <w:rPr>
                <w:rFonts w:ascii="Times New Roman"/>
                <w:sz w:val="24"/>
                <w:szCs w:val="24"/>
              </w:rPr>
            </w:pPr>
            <w:r>
              <w:rPr>
                <w:rFonts w:ascii="Times New Roman"/>
                <w:sz w:val="24"/>
                <w:szCs w:val="24"/>
              </w:rPr>
              <w:t>水平</w:t>
            </w:r>
          </w:p>
        </w:tc>
        <w:tc>
          <w:tcPr>
            <w:tcW w:w="1401" w:type="dxa"/>
            <w:vAlign w:val="center"/>
          </w:tcPr>
          <w:p>
            <w:pPr>
              <w:pStyle w:val="a2"/>
              <w:ind w:firstLine="0" w:firstLineChars="0"/>
              <w:rPr>
                <w:rFonts w:ascii="Times New Roman"/>
                <w:sz w:val="24"/>
                <w:szCs w:val="24"/>
              </w:rPr>
            </w:pPr>
            <w:r>
              <w:rPr>
                <w:rFonts w:ascii="Times New Roman"/>
                <w:sz w:val="24"/>
                <w:szCs w:val="24"/>
              </w:rPr>
              <w:t>窄脉冲</w:t>
            </w:r>
          </w:p>
        </w:tc>
        <w:tc>
          <w:tcPr>
            <w:tcW w:w="3936" w:type="dxa"/>
            <w:vMerge w:val="restart"/>
            <w:vAlign w:val="center"/>
          </w:tcPr>
          <w:p>
            <w:pPr>
              <w:pStyle w:val="a2"/>
              <w:ind w:firstLine="0" w:firstLineChars="0"/>
              <w:rPr>
                <w:rFonts w:ascii="Times New Roman"/>
                <w:sz w:val="24"/>
                <w:szCs w:val="24"/>
              </w:rPr>
            </w:pPr>
            <w:r>
              <w:rPr>
                <w:rFonts w:ascii="Times New Roman"/>
                <w:sz w:val="24"/>
                <w:szCs w:val="24"/>
              </w:rPr>
              <w:t>≥111（机外）</w:t>
            </w:r>
          </w:p>
        </w:tc>
      </w:tr>
      <w:tr>
        <w:tblPrEx>
          <w:tblW w:w="9002" w:type="dxa"/>
          <w:jc w:val="center"/>
          <w:tblLayout w:type="fixed"/>
          <w:tblCellMar>
            <w:top w:w="0" w:type="dxa"/>
            <w:left w:w="108" w:type="dxa"/>
            <w:bottom w:w="0" w:type="dxa"/>
            <w:right w:w="108" w:type="dxa"/>
          </w:tblCellMar>
          <w:tblLook w:val="0000"/>
        </w:tblPrEx>
        <w:trPr>
          <w:cantSplit/>
          <w:trHeight w:val="77"/>
          <w:jc w:val="center"/>
        </w:trPr>
        <w:tc>
          <w:tcPr>
            <w:tcW w:w="1865" w:type="dxa"/>
            <w:gridSpan w:val="4"/>
            <w:vMerge/>
            <w:vAlign w:val="center"/>
          </w:tcPr>
          <w:p>
            <w:pPr>
              <w:pStyle w:val="a2"/>
              <w:ind w:firstLine="0" w:firstLineChars="0"/>
              <w:rPr>
                <w:rFonts w:ascii="Times New Roman"/>
                <w:sz w:val="24"/>
                <w:szCs w:val="24"/>
              </w:rPr>
            </w:pPr>
          </w:p>
        </w:tc>
        <w:tc>
          <w:tcPr>
            <w:tcW w:w="1800" w:type="dxa"/>
            <w:gridSpan w:val="5"/>
            <w:vMerge/>
            <w:vAlign w:val="center"/>
          </w:tcPr>
          <w:p>
            <w:pPr>
              <w:pStyle w:val="a2"/>
              <w:ind w:firstLine="0" w:firstLineChars="0"/>
              <w:rPr>
                <w:rFonts w:ascii="Times New Roman"/>
                <w:sz w:val="24"/>
                <w:szCs w:val="24"/>
              </w:rPr>
            </w:pPr>
          </w:p>
        </w:tc>
        <w:tc>
          <w:tcPr>
            <w:tcW w:w="1401" w:type="dxa"/>
            <w:vAlign w:val="center"/>
          </w:tcPr>
          <w:p>
            <w:pPr>
              <w:pStyle w:val="a2"/>
              <w:ind w:firstLine="0" w:firstLineChars="0"/>
              <w:rPr>
                <w:rFonts w:ascii="Times New Roman"/>
                <w:sz w:val="24"/>
                <w:szCs w:val="24"/>
              </w:rPr>
            </w:pPr>
            <w:r>
              <w:rPr>
                <w:rFonts w:ascii="Times New Roman"/>
                <w:sz w:val="24"/>
                <w:szCs w:val="24"/>
              </w:rPr>
              <w:t>宽脉冲</w:t>
            </w:r>
          </w:p>
        </w:tc>
        <w:tc>
          <w:tcPr>
            <w:tcW w:w="3936" w:type="dxa"/>
            <w:vMerge/>
            <w:vAlign w:val="center"/>
          </w:tcPr>
          <w:p>
            <w:pPr>
              <w:pStyle w:val="a2"/>
              <w:ind w:firstLine="0" w:firstLineChars="0"/>
              <w:rPr>
                <w:rFonts w:ascii="Times New Roman"/>
                <w:sz w:val="24"/>
                <w:szCs w:val="24"/>
              </w:rPr>
            </w:pPr>
          </w:p>
        </w:tc>
      </w:tr>
      <w:tr>
        <w:tblPrEx>
          <w:tblW w:w="9002" w:type="dxa"/>
          <w:jc w:val="center"/>
          <w:tblLayout w:type="fixed"/>
          <w:tblCellMar>
            <w:top w:w="0" w:type="dxa"/>
            <w:left w:w="108" w:type="dxa"/>
            <w:bottom w:w="0" w:type="dxa"/>
            <w:right w:w="108" w:type="dxa"/>
          </w:tblCellMar>
          <w:tblLook w:val="0000"/>
        </w:tblPrEx>
        <w:trPr>
          <w:cantSplit/>
          <w:trHeight w:val="77"/>
          <w:jc w:val="center"/>
        </w:trPr>
        <w:tc>
          <w:tcPr>
            <w:tcW w:w="1865" w:type="dxa"/>
            <w:gridSpan w:val="4"/>
            <w:vMerge/>
            <w:vAlign w:val="center"/>
          </w:tcPr>
          <w:p>
            <w:pPr>
              <w:pStyle w:val="a2"/>
              <w:ind w:firstLine="0" w:firstLineChars="0"/>
              <w:rPr>
                <w:rFonts w:ascii="Times New Roman"/>
                <w:sz w:val="24"/>
                <w:szCs w:val="24"/>
              </w:rPr>
            </w:pPr>
          </w:p>
        </w:tc>
        <w:tc>
          <w:tcPr>
            <w:tcW w:w="1800" w:type="dxa"/>
            <w:gridSpan w:val="5"/>
            <w:vMerge w:val="restart"/>
            <w:vAlign w:val="center"/>
          </w:tcPr>
          <w:p>
            <w:pPr>
              <w:pStyle w:val="a2"/>
              <w:ind w:firstLine="0" w:firstLineChars="0"/>
              <w:rPr>
                <w:rFonts w:ascii="Times New Roman"/>
                <w:sz w:val="24"/>
                <w:szCs w:val="24"/>
              </w:rPr>
            </w:pPr>
            <w:r>
              <w:rPr>
                <w:rFonts w:ascii="Times New Roman"/>
                <w:sz w:val="24"/>
                <w:szCs w:val="24"/>
              </w:rPr>
              <w:t>垂直</w:t>
            </w:r>
          </w:p>
        </w:tc>
        <w:tc>
          <w:tcPr>
            <w:tcW w:w="1401" w:type="dxa"/>
            <w:vAlign w:val="center"/>
          </w:tcPr>
          <w:p>
            <w:pPr>
              <w:pStyle w:val="a2"/>
              <w:ind w:firstLine="0" w:firstLineChars="0"/>
              <w:rPr>
                <w:rFonts w:ascii="Times New Roman"/>
                <w:sz w:val="24"/>
                <w:szCs w:val="24"/>
              </w:rPr>
            </w:pPr>
            <w:r>
              <w:rPr>
                <w:rFonts w:ascii="Times New Roman"/>
                <w:sz w:val="24"/>
                <w:szCs w:val="24"/>
              </w:rPr>
              <w:t>窄脉冲</w:t>
            </w:r>
          </w:p>
        </w:tc>
        <w:tc>
          <w:tcPr>
            <w:tcW w:w="3936" w:type="dxa"/>
            <w:vMerge/>
            <w:vAlign w:val="center"/>
          </w:tcPr>
          <w:p>
            <w:pPr>
              <w:pStyle w:val="a2"/>
              <w:ind w:firstLine="0" w:firstLineChars="0"/>
              <w:rPr>
                <w:rFonts w:ascii="Times New Roman"/>
                <w:sz w:val="24"/>
                <w:szCs w:val="24"/>
              </w:rPr>
            </w:pPr>
          </w:p>
        </w:tc>
      </w:tr>
      <w:tr>
        <w:tblPrEx>
          <w:tblW w:w="9002" w:type="dxa"/>
          <w:jc w:val="center"/>
          <w:tblLayout w:type="fixed"/>
          <w:tblCellMar>
            <w:top w:w="0" w:type="dxa"/>
            <w:left w:w="108" w:type="dxa"/>
            <w:bottom w:w="0" w:type="dxa"/>
            <w:right w:w="108" w:type="dxa"/>
          </w:tblCellMar>
          <w:tblLook w:val="0000"/>
        </w:tblPrEx>
        <w:trPr>
          <w:cantSplit/>
          <w:trHeight w:val="77"/>
          <w:jc w:val="center"/>
        </w:trPr>
        <w:tc>
          <w:tcPr>
            <w:tcW w:w="1865" w:type="dxa"/>
            <w:gridSpan w:val="4"/>
            <w:vMerge/>
            <w:vAlign w:val="center"/>
          </w:tcPr>
          <w:p>
            <w:pPr>
              <w:pStyle w:val="a2"/>
              <w:ind w:firstLine="0" w:firstLineChars="0"/>
              <w:rPr>
                <w:rFonts w:ascii="Times New Roman"/>
                <w:sz w:val="24"/>
                <w:szCs w:val="24"/>
              </w:rPr>
            </w:pPr>
          </w:p>
        </w:tc>
        <w:tc>
          <w:tcPr>
            <w:tcW w:w="1800" w:type="dxa"/>
            <w:gridSpan w:val="5"/>
            <w:vMerge/>
            <w:vAlign w:val="center"/>
          </w:tcPr>
          <w:p>
            <w:pPr>
              <w:pStyle w:val="a2"/>
              <w:ind w:firstLine="0" w:firstLineChars="0"/>
              <w:rPr>
                <w:rFonts w:ascii="Times New Roman"/>
                <w:sz w:val="24"/>
                <w:szCs w:val="24"/>
              </w:rPr>
            </w:pPr>
          </w:p>
        </w:tc>
        <w:tc>
          <w:tcPr>
            <w:tcW w:w="1401" w:type="dxa"/>
            <w:vAlign w:val="center"/>
          </w:tcPr>
          <w:p>
            <w:pPr>
              <w:pStyle w:val="a2"/>
              <w:ind w:firstLine="0" w:firstLineChars="0"/>
              <w:rPr>
                <w:rFonts w:ascii="Times New Roman"/>
                <w:sz w:val="24"/>
                <w:szCs w:val="24"/>
              </w:rPr>
            </w:pPr>
            <w:r>
              <w:rPr>
                <w:rFonts w:ascii="Times New Roman"/>
                <w:sz w:val="24"/>
                <w:szCs w:val="24"/>
              </w:rPr>
              <w:t>宽脉冲</w:t>
            </w:r>
          </w:p>
        </w:tc>
        <w:tc>
          <w:tcPr>
            <w:tcW w:w="3936" w:type="dxa"/>
            <w:vMerge/>
            <w:vAlign w:val="center"/>
          </w:tcPr>
          <w:p>
            <w:pPr>
              <w:pStyle w:val="a2"/>
              <w:ind w:firstLine="0" w:firstLineChars="0"/>
              <w:rPr>
                <w:rFonts w:ascii="Times New Roman"/>
                <w:sz w:val="24"/>
                <w:szCs w:val="24"/>
              </w:rPr>
            </w:pPr>
          </w:p>
        </w:tc>
      </w:tr>
      <w:tr>
        <w:tblPrEx>
          <w:tblW w:w="9002" w:type="dxa"/>
          <w:jc w:val="center"/>
          <w:tblLayout w:type="fixed"/>
          <w:tblCellMar>
            <w:top w:w="0" w:type="dxa"/>
            <w:left w:w="108" w:type="dxa"/>
            <w:bottom w:w="0" w:type="dxa"/>
            <w:right w:w="108" w:type="dxa"/>
          </w:tblCellMar>
          <w:tblLook w:val="0000"/>
        </w:tblPrEx>
        <w:trPr>
          <w:cantSplit/>
          <w:trHeight w:val="317"/>
          <w:jc w:val="center"/>
        </w:trPr>
        <w:tc>
          <w:tcPr>
            <w:tcW w:w="1865" w:type="dxa"/>
            <w:gridSpan w:val="4"/>
            <w:vMerge w:val="restart"/>
            <w:vAlign w:val="center"/>
          </w:tcPr>
          <w:p>
            <w:pPr>
              <w:pStyle w:val="a2"/>
              <w:ind w:firstLine="0" w:firstLineChars="0"/>
              <w:jc w:val="both"/>
              <w:rPr>
                <w:rFonts w:ascii="Times New Roman"/>
                <w:sz w:val="24"/>
                <w:szCs w:val="24"/>
              </w:rPr>
            </w:pPr>
            <w:r>
              <w:rPr>
                <w:rFonts w:ascii="Times New Roman"/>
                <w:sz w:val="24"/>
                <w:szCs w:val="24"/>
              </w:rPr>
              <w:t>接收机线性动态拟合直线斜率</w:t>
            </w:r>
          </w:p>
        </w:tc>
        <w:tc>
          <w:tcPr>
            <w:tcW w:w="1800" w:type="dxa"/>
            <w:gridSpan w:val="5"/>
            <w:vMerge w:val="restart"/>
            <w:vAlign w:val="center"/>
          </w:tcPr>
          <w:p>
            <w:pPr>
              <w:pStyle w:val="a2"/>
              <w:ind w:firstLine="0" w:firstLineChars="0"/>
              <w:rPr>
                <w:rFonts w:ascii="Times New Roman"/>
                <w:sz w:val="24"/>
                <w:szCs w:val="24"/>
              </w:rPr>
            </w:pPr>
            <w:r>
              <w:rPr>
                <w:rFonts w:ascii="Times New Roman"/>
                <w:sz w:val="24"/>
                <w:szCs w:val="24"/>
              </w:rPr>
              <w:t>水平</w:t>
            </w:r>
          </w:p>
        </w:tc>
        <w:tc>
          <w:tcPr>
            <w:tcW w:w="1401" w:type="dxa"/>
            <w:vAlign w:val="center"/>
          </w:tcPr>
          <w:p>
            <w:pPr>
              <w:pStyle w:val="a2"/>
              <w:ind w:firstLine="0" w:firstLineChars="0"/>
              <w:rPr>
                <w:rFonts w:ascii="Times New Roman"/>
                <w:sz w:val="24"/>
                <w:szCs w:val="24"/>
              </w:rPr>
            </w:pPr>
            <w:r>
              <w:rPr>
                <w:rFonts w:ascii="Times New Roman"/>
                <w:sz w:val="24"/>
                <w:szCs w:val="24"/>
              </w:rPr>
              <w:t>窄脉冲</w:t>
            </w:r>
          </w:p>
        </w:tc>
        <w:tc>
          <w:tcPr>
            <w:tcW w:w="3936" w:type="dxa"/>
            <w:vMerge w:val="restart"/>
            <w:vAlign w:val="center"/>
          </w:tcPr>
          <w:p>
            <w:pPr>
              <w:pStyle w:val="a2"/>
              <w:ind w:firstLine="0" w:firstLineChars="0"/>
              <w:rPr>
                <w:rFonts w:ascii="Times New Roman"/>
                <w:sz w:val="24"/>
                <w:szCs w:val="24"/>
              </w:rPr>
            </w:pPr>
            <w:r>
              <w:rPr>
                <w:rFonts w:ascii="Times New Roman"/>
                <w:sz w:val="24"/>
                <w:szCs w:val="24"/>
              </w:rPr>
              <w:t>1.000±0.015</w:t>
            </w:r>
          </w:p>
        </w:tc>
      </w:tr>
      <w:tr>
        <w:tblPrEx>
          <w:tblW w:w="9002" w:type="dxa"/>
          <w:jc w:val="center"/>
          <w:tblLayout w:type="fixed"/>
          <w:tblCellMar>
            <w:top w:w="0" w:type="dxa"/>
            <w:left w:w="108" w:type="dxa"/>
            <w:bottom w:w="0" w:type="dxa"/>
            <w:right w:w="108" w:type="dxa"/>
          </w:tblCellMar>
          <w:tblLook w:val="0000"/>
        </w:tblPrEx>
        <w:trPr>
          <w:cantSplit/>
          <w:trHeight w:val="317"/>
          <w:jc w:val="center"/>
        </w:trPr>
        <w:tc>
          <w:tcPr>
            <w:tcW w:w="1865" w:type="dxa"/>
            <w:gridSpan w:val="4"/>
            <w:vMerge/>
            <w:vAlign w:val="center"/>
          </w:tcPr>
          <w:p>
            <w:pPr>
              <w:pStyle w:val="a2"/>
              <w:ind w:firstLine="0" w:firstLineChars="0"/>
              <w:rPr>
                <w:rFonts w:ascii="Times New Roman"/>
                <w:sz w:val="24"/>
                <w:szCs w:val="24"/>
              </w:rPr>
            </w:pPr>
          </w:p>
        </w:tc>
        <w:tc>
          <w:tcPr>
            <w:tcW w:w="1800" w:type="dxa"/>
            <w:gridSpan w:val="5"/>
            <w:vMerge/>
            <w:vAlign w:val="center"/>
          </w:tcPr>
          <w:p>
            <w:pPr>
              <w:pStyle w:val="a2"/>
              <w:ind w:firstLine="0" w:firstLineChars="0"/>
              <w:rPr>
                <w:rFonts w:ascii="Times New Roman"/>
                <w:sz w:val="24"/>
                <w:szCs w:val="24"/>
              </w:rPr>
            </w:pPr>
          </w:p>
        </w:tc>
        <w:tc>
          <w:tcPr>
            <w:tcW w:w="1401" w:type="dxa"/>
            <w:vAlign w:val="center"/>
          </w:tcPr>
          <w:p>
            <w:pPr>
              <w:pStyle w:val="a2"/>
              <w:ind w:firstLine="0" w:firstLineChars="0"/>
              <w:rPr>
                <w:rFonts w:ascii="Times New Roman"/>
                <w:sz w:val="24"/>
                <w:szCs w:val="24"/>
              </w:rPr>
            </w:pPr>
            <w:r>
              <w:rPr>
                <w:rFonts w:ascii="Times New Roman"/>
                <w:sz w:val="24"/>
                <w:szCs w:val="24"/>
              </w:rPr>
              <w:t>宽脉冲</w:t>
            </w:r>
          </w:p>
        </w:tc>
        <w:tc>
          <w:tcPr>
            <w:tcW w:w="3936" w:type="dxa"/>
            <w:vMerge/>
            <w:vAlign w:val="center"/>
          </w:tcPr>
          <w:p>
            <w:pPr>
              <w:pStyle w:val="a2"/>
              <w:ind w:firstLine="0" w:firstLineChars="0"/>
              <w:rPr>
                <w:rFonts w:ascii="Times New Roman"/>
                <w:sz w:val="24"/>
                <w:szCs w:val="24"/>
              </w:rPr>
            </w:pPr>
          </w:p>
        </w:tc>
      </w:tr>
      <w:tr>
        <w:tblPrEx>
          <w:tblW w:w="9002" w:type="dxa"/>
          <w:jc w:val="center"/>
          <w:tblLayout w:type="fixed"/>
          <w:tblCellMar>
            <w:top w:w="0" w:type="dxa"/>
            <w:left w:w="108" w:type="dxa"/>
            <w:bottom w:w="0" w:type="dxa"/>
            <w:right w:w="108" w:type="dxa"/>
          </w:tblCellMar>
          <w:tblLook w:val="0000"/>
        </w:tblPrEx>
        <w:trPr>
          <w:cantSplit/>
          <w:trHeight w:val="317"/>
          <w:jc w:val="center"/>
        </w:trPr>
        <w:tc>
          <w:tcPr>
            <w:tcW w:w="1865" w:type="dxa"/>
            <w:gridSpan w:val="4"/>
            <w:vMerge/>
            <w:vAlign w:val="center"/>
          </w:tcPr>
          <w:p>
            <w:pPr>
              <w:pStyle w:val="a2"/>
              <w:ind w:firstLine="0" w:firstLineChars="0"/>
              <w:rPr>
                <w:rFonts w:ascii="Times New Roman"/>
                <w:sz w:val="24"/>
                <w:szCs w:val="24"/>
              </w:rPr>
            </w:pPr>
          </w:p>
        </w:tc>
        <w:tc>
          <w:tcPr>
            <w:tcW w:w="1800" w:type="dxa"/>
            <w:gridSpan w:val="5"/>
            <w:vMerge w:val="restart"/>
            <w:vAlign w:val="center"/>
          </w:tcPr>
          <w:p>
            <w:pPr>
              <w:pStyle w:val="a2"/>
              <w:ind w:firstLine="0" w:firstLineChars="0"/>
              <w:rPr>
                <w:rFonts w:ascii="Times New Roman"/>
                <w:sz w:val="24"/>
                <w:szCs w:val="24"/>
              </w:rPr>
            </w:pPr>
            <w:r>
              <w:rPr>
                <w:rFonts w:ascii="Times New Roman"/>
                <w:sz w:val="24"/>
                <w:szCs w:val="24"/>
              </w:rPr>
              <w:t>垂直</w:t>
            </w:r>
          </w:p>
        </w:tc>
        <w:tc>
          <w:tcPr>
            <w:tcW w:w="1401" w:type="dxa"/>
            <w:vAlign w:val="center"/>
          </w:tcPr>
          <w:p>
            <w:pPr>
              <w:pStyle w:val="a2"/>
              <w:ind w:firstLine="0" w:firstLineChars="0"/>
              <w:rPr>
                <w:rFonts w:ascii="Times New Roman"/>
                <w:sz w:val="24"/>
                <w:szCs w:val="24"/>
              </w:rPr>
            </w:pPr>
            <w:r>
              <w:rPr>
                <w:rFonts w:ascii="Times New Roman"/>
                <w:sz w:val="24"/>
                <w:szCs w:val="24"/>
              </w:rPr>
              <w:t>窄脉冲</w:t>
            </w:r>
          </w:p>
        </w:tc>
        <w:tc>
          <w:tcPr>
            <w:tcW w:w="3936" w:type="dxa"/>
            <w:vMerge/>
            <w:vAlign w:val="center"/>
          </w:tcPr>
          <w:p>
            <w:pPr>
              <w:pStyle w:val="a2"/>
              <w:ind w:firstLine="0" w:firstLineChars="0"/>
              <w:rPr>
                <w:rFonts w:ascii="Times New Roman"/>
                <w:sz w:val="24"/>
                <w:szCs w:val="24"/>
              </w:rPr>
            </w:pPr>
          </w:p>
        </w:tc>
      </w:tr>
      <w:tr>
        <w:tblPrEx>
          <w:tblW w:w="9002" w:type="dxa"/>
          <w:jc w:val="center"/>
          <w:tblLayout w:type="fixed"/>
          <w:tblCellMar>
            <w:top w:w="0" w:type="dxa"/>
            <w:left w:w="108" w:type="dxa"/>
            <w:bottom w:w="0" w:type="dxa"/>
            <w:right w:w="108" w:type="dxa"/>
          </w:tblCellMar>
          <w:tblLook w:val="0000"/>
        </w:tblPrEx>
        <w:trPr>
          <w:cantSplit/>
          <w:trHeight w:val="317"/>
          <w:jc w:val="center"/>
        </w:trPr>
        <w:tc>
          <w:tcPr>
            <w:tcW w:w="1865" w:type="dxa"/>
            <w:gridSpan w:val="4"/>
            <w:vMerge/>
            <w:vAlign w:val="center"/>
          </w:tcPr>
          <w:p>
            <w:pPr>
              <w:pStyle w:val="a2"/>
              <w:ind w:firstLine="0" w:firstLineChars="0"/>
              <w:rPr>
                <w:rFonts w:ascii="Times New Roman"/>
                <w:sz w:val="24"/>
                <w:szCs w:val="24"/>
                <w:highlight w:val="yellow"/>
              </w:rPr>
            </w:pPr>
          </w:p>
        </w:tc>
        <w:tc>
          <w:tcPr>
            <w:tcW w:w="1800" w:type="dxa"/>
            <w:gridSpan w:val="5"/>
            <w:vMerge/>
            <w:vAlign w:val="center"/>
          </w:tcPr>
          <w:p>
            <w:pPr>
              <w:pStyle w:val="a2"/>
              <w:ind w:firstLine="0" w:firstLineChars="0"/>
              <w:rPr>
                <w:rFonts w:ascii="Times New Roman"/>
                <w:sz w:val="24"/>
                <w:szCs w:val="24"/>
              </w:rPr>
            </w:pPr>
          </w:p>
        </w:tc>
        <w:tc>
          <w:tcPr>
            <w:tcW w:w="1401" w:type="dxa"/>
            <w:vAlign w:val="center"/>
          </w:tcPr>
          <w:p>
            <w:pPr>
              <w:pStyle w:val="a2"/>
              <w:ind w:firstLine="0" w:firstLineChars="0"/>
              <w:rPr>
                <w:rFonts w:ascii="Times New Roman"/>
                <w:sz w:val="24"/>
                <w:szCs w:val="24"/>
              </w:rPr>
            </w:pPr>
            <w:r>
              <w:rPr>
                <w:rFonts w:ascii="Times New Roman"/>
                <w:sz w:val="24"/>
                <w:szCs w:val="24"/>
              </w:rPr>
              <w:t>宽脉冲</w:t>
            </w:r>
          </w:p>
        </w:tc>
        <w:tc>
          <w:tcPr>
            <w:tcW w:w="3936" w:type="dxa"/>
            <w:vMerge/>
            <w:vAlign w:val="center"/>
          </w:tcPr>
          <w:p>
            <w:pPr>
              <w:pStyle w:val="a2"/>
              <w:ind w:firstLine="0" w:firstLineChars="0"/>
              <w:rPr>
                <w:rFonts w:ascii="Times New Roman"/>
                <w:sz w:val="24"/>
                <w:szCs w:val="24"/>
              </w:rPr>
            </w:pPr>
          </w:p>
        </w:tc>
      </w:tr>
      <w:tr>
        <w:tblPrEx>
          <w:tblW w:w="9002" w:type="dxa"/>
          <w:jc w:val="center"/>
          <w:tblLayout w:type="fixed"/>
          <w:tblCellMar>
            <w:top w:w="0" w:type="dxa"/>
            <w:left w:w="108" w:type="dxa"/>
            <w:bottom w:w="0" w:type="dxa"/>
            <w:right w:w="108" w:type="dxa"/>
          </w:tblCellMar>
          <w:tblLook w:val="0000"/>
        </w:tblPrEx>
        <w:trPr>
          <w:cantSplit/>
          <w:trHeight w:val="317"/>
          <w:jc w:val="center"/>
        </w:trPr>
        <w:tc>
          <w:tcPr>
            <w:tcW w:w="1865" w:type="dxa"/>
            <w:gridSpan w:val="4"/>
            <w:vMerge/>
            <w:vAlign w:val="center"/>
          </w:tcPr>
          <w:p>
            <w:pPr>
              <w:pStyle w:val="a2"/>
              <w:ind w:firstLine="0" w:firstLineChars="0"/>
              <w:rPr>
                <w:rFonts w:ascii="Times New Roman"/>
                <w:sz w:val="24"/>
                <w:szCs w:val="24"/>
                <w:highlight w:val="yellow"/>
              </w:rPr>
            </w:pPr>
          </w:p>
        </w:tc>
        <w:tc>
          <w:tcPr>
            <w:tcW w:w="1800" w:type="dxa"/>
            <w:gridSpan w:val="5"/>
            <w:vMerge w:val="restart"/>
            <w:vAlign w:val="center"/>
          </w:tcPr>
          <w:p>
            <w:pPr>
              <w:pStyle w:val="a2"/>
              <w:ind w:firstLine="0" w:firstLineChars="0"/>
              <w:rPr>
                <w:rFonts w:ascii="Times New Roman"/>
                <w:sz w:val="24"/>
                <w:szCs w:val="24"/>
              </w:rPr>
            </w:pPr>
            <w:r>
              <w:rPr>
                <w:rFonts w:ascii="Times New Roman"/>
                <w:sz w:val="24"/>
                <w:szCs w:val="24"/>
              </w:rPr>
              <w:t>水平</w:t>
            </w:r>
          </w:p>
        </w:tc>
        <w:tc>
          <w:tcPr>
            <w:tcW w:w="1401" w:type="dxa"/>
            <w:vAlign w:val="center"/>
          </w:tcPr>
          <w:p>
            <w:pPr>
              <w:pStyle w:val="a2"/>
              <w:ind w:firstLine="0" w:firstLineChars="0"/>
              <w:rPr>
                <w:rFonts w:ascii="Times New Roman"/>
                <w:sz w:val="24"/>
                <w:szCs w:val="24"/>
              </w:rPr>
            </w:pPr>
            <w:r>
              <w:rPr>
                <w:rFonts w:ascii="Times New Roman"/>
                <w:sz w:val="24"/>
                <w:szCs w:val="24"/>
              </w:rPr>
              <w:t>窄脉冲</w:t>
            </w:r>
          </w:p>
        </w:tc>
        <w:tc>
          <w:tcPr>
            <w:tcW w:w="3936" w:type="dxa"/>
            <w:vMerge/>
            <w:vAlign w:val="center"/>
          </w:tcPr>
          <w:p>
            <w:pPr>
              <w:pStyle w:val="a2"/>
              <w:ind w:firstLine="0" w:firstLineChars="0"/>
              <w:rPr>
                <w:rFonts w:ascii="Times New Roman"/>
                <w:sz w:val="24"/>
                <w:szCs w:val="24"/>
              </w:rPr>
            </w:pPr>
          </w:p>
        </w:tc>
      </w:tr>
      <w:tr>
        <w:tblPrEx>
          <w:tblW w:w="9002" w:type="dxa"/>
          <w:jc w:val="center"/>
          <w:tblLayout w:type="fixed"/>
          <w:tblCellMar>
            <w:top w:w="0" w:type="dxa"/>
            <w:left w:w="108" w:type="dxa"/>
            <w:bottom w:w="0" w:type="dxa"/>
            <w:right w:w="108" w:type="dxa"/>
          </w:tblCellMar>
          <w:tblLook w:val="0000"/>
        </w:tblPrEx>
        <w:trPr>
          <w:cantSplit/>
          <w:trHeight w:val="317"/>
          <w:jc w:val="center"/>
        </w:trPr>
        <w:tc>
          <w:tcPr>
            <w:tcW w:w="1865" w:type="dxa"/>
            <w:gridSpan w:val="4"/>
            <w:vMerge/>
            <w:vAlign w:val="center"/>
          </w:tcPr>
          <w:p>
            <w:pPr>
              <w:pStyle w:val="a2"/>
              <w:ind w:firstLine="0" w:firstLineChars="0"/>
              <w:rPr>
                <w:rFonts w:ascii="Times New Roman"/>
                <w:sz w:val="24"/>
                <w:szCs w:val="24"/>
                <w:highlight w:val="yellow"/>
              </w:rPr>
            </w:pPr>
          </w:p>
        </w:tc>
        <w:tc>
          <w:tcPr>
            <w:tcW w:w="1800" w:type="dxa"/>
            <w:gridSpan w:val="5"/>
            <w:vMerge/>
            <w:vAlign w:val="center"/>
          </w:tcPr>
          <w:p>
            <w:pPr>
              <w:pStyle w:val="a2"/>
              <w:ind w:firstLine="0" w:firstLineChars="0"/>
              <w:rPr>
                <w:rFonts w:ascii="Times New Roman"/>
                <w:sz w:val="24"/>
                <w:szCs w:val="24"/>
              </w:rPr>
            </w:pPr>
          </w:p>
        </w:tc>
        <w:tc>
          <w:tcPr>
            <w:tcW w:w="1401" w:type="dxa"/>
            <w:vAlign w:val="center"/>
          </w:tcPr>
          <w:p>
            <w:pPr>
              <w:pStyle w:val="a2"/>
              <w:ind w:firstLine="0" w:firstLineChars="0"/>
              <w:rPr>
                <w:rFonts w:ascii="Times New Roman"/>
                <w:sz w:val="24"/>
                <w:szCs w:val="24"/>
              </w:rPr>
            </w:pPr>
            <w:r>
              <w:rPr>
                <w:rFonts w:ascii="Times New Roman"/>
                <w:sz w:val="24"/>
                <w:szCs w:val="24"/>
              </w:rPr>
              <w:t>宽脉冲</w:t>
            </w:r>
          </w:p>
        </w:tc>
        <w:tc>
          <w:tcPr>
            <w:tcW w:w="3936" w:type="dxa"/>
            <w:vMerge/>
            <w:vAlign w:val="center"/>
          </w:tcPr>
          <w:p>
            <w:pPr>
              <w:pStyle w:val="a2"/>
              <w:ind w:firstLine="0" w:firstLineChars="0"/>
              <w:rPr>
                <w:rFonts w:ascii="Times New Roman"/>
                <w:sz w:val="24"/>
                <w:szCs w:val="24"/>
              </w:rPr>
            </w:pPr>
          </w:p>
        </w:tc>
      </w:tr>
      <w:tr>
        <w:tblPrEx>
          <w:tblW w:w="9002" w:type="dxa"/>
          <w:jc w:val="center"/>
          <w:tblLayout w:type="fixed"/>
          <w:tblCellMar>
            <w:top w:w="0" w:type="dxa"/>
            <w:left w:w="108" w:type="dxa"/>
            <w:bottom w:w="0" w:type="dxa"/>
            <w:right w:w="108" w:type="dxa"/>
          </w:tblCellMar>
          <w:tblLook w:val="0000"/>
        </w:tblPrEx>
        <w:trPr>
          <w:cantSplit/>
          <w:trHeight w:val="317"/>
          <w:jc w:val="center"/>
        </w:trPr>
        <w:tc>
          <w:tcPr>
            <w:tcW w:w="1865" w:type="dxa"/>
            <w:gridSpan w:val="4"/>
            <w:vMerge/>
            <w:vAlign w:val="center"/>
          </w:tcPr>
          <w:p>
            <w:pPr>
              <w:pStyle w:val="a2"/>
              <w:ind w:firstLine="0" w:firstLineChars="0"/>
              <w:rPr>
                <w:rFonts w:ascii="Times New Roman"/>
                <w:sz w:val="24"/>
                <w:szCs w:val="24"/>
                <w:highlight w:val="yellow"/>
              </w:rPr>
            </w:pPr>
          </w:p>
        </w:tc>
        <w:tc>
          <w:tcPr>
            <w:tcW w:w="1800" w:type="dxa"/>
            <w:gridSpan w:val="5"/>
            <w:vMerge w:val="restart"/>
            <w:vAlign w:val="center"/>
          </w:tcPr>
          <w:p>
            <w:pPr>
              <w:pStyle w:val="a2"/>
              <w:ind w:firstLine="0" w:firstLineChars="0"/>
              <w:rPr>
                <w:rFonts w:ascii="Times New Roman"/>
                <w:sz w:val="24"/>
                <w:szCs w:val="24"/>
              </w:rPr>
            </w:pPr>
            <w:r>
              <w:rPr>
                <w:rFonts w:ascii="Times New Roman"/>
                <w:sz w:val="24"/>
                <w:szCs w:val="24"/>
              </w:rPr>
              <w:t>垂直</w:t>
            </w:r>
          </w:p>
        </w:tc>
        <w:tc>
          <w:tcPr>
            <w:tcW w:w="1401" w:type="dxa"/>
            <w:vAlign w:val="center"/>
          </w:tcPr>
          <w:p>
            <w:pPr>
              <w:pStyle w:val="a2"/>
              <w:ind w:firstLine="0" w:firstLineChars="0"/>
              <w:rPr>
                <w:rFonts w:ascii="Times New Roman"/>
                <w:sz w:val="24"/>
                <w:szCs w:val="24"/>
              </w:rPr>
            </w:pPr>
            <w:r>
              <w:rPr>
                <w:rFonts w:ascii="Times New Roman"/>
                <w:sz w:val="24"/>
                <w:szCs w:val="24"/>
              </w:rPr>
              <w:t>窄脉冲</w:t>
            </w:r>
          </w:p>
        </w:tc>
        <w:tc>
          <w:tcPr>
            <w:tcW w:w="3936" w:type="dxa"/>
            <w:vMerge/>
            <w:vAlign w:val="center"/>
          </w:tcPr>
          <w:p>
            <w:pPr>
              <w:pStyle w:val="a2"/>
              <w:ind w:firstLine="0" w:firstLineChars="0"/>
              <w:rPr>
                <w:rFonts w:ascii="Times New Roman"/>
                <w:sz w:val="24"/>
                <w:szCs w:val="24"/>
              </w:rPr>
            </w:pPr>
          </w:p>
        </w:tc>
      </w:tr>
      <w:tr>
        <w:tblPrEx>
          <w:tblW w:w="9002" w:type="dxa"/>
          <w:jc w:val="center"/>
          <w:tblLayout w:type="fixed"/>
          <w:tblCellMar>
            <w:top w:w="0" w:type="dxa"/>
            <w:left w:w="108" w:type="dxa"/>
            <w:bottom w:w="0" w:type="dxa"/>
            <w:right w:w="108" w:type="dxa"/>
          </w:tblCellMar>
          <w:tblLook w:val="0000"/>
        </w:tblPrEx>
        <w:trPr>
          <w:cantSplit/>
          <w:trHeight w:val="317"/>
          <w:jc w:val="center"/>
        </w:trPr>
        <w:tc>
          <w:tcPr>
            <w:tcW w:w="1865" w:type="dxa"/>
            <w:gridSpan w:val="4"/>
            <w:vMerge/>
            <w:vAlign w:val="center"/>
          </w:tcPr>
          <w:p>
            <w:pPr>
              <w:pStyle w:val="a2"/>
              <w:ind w:firstLine="0" w:firstLineChars="0"/>
              <w:rPr>
                <w:rFonts w:ascii="Times New Roman"/>
                <w:sz w:val="24"/>
                <w:szCs w:val="24"/>
                <w:highlight w:val="yellow"/>
              </w:rPr>
            </w:pPr>
          </w:p>
        </w:tc>
        <w:tc>
          <w:tcPr>
            <w:tcW w:w="1800" w:type="dxa"/>
            <w:gridSpan w:val="5"/>
            <w:vMerge/>
            <w:vAlign w:val="center"/>
          </w:tcPr>
          <w:p>
            <w:pPr>
              <w:pStyle w:val="a2"/>
              <w:ind w:firstLine="0" w:firstLineChars="0"/>
              <w:rPr>
                <w:rFonts w:ascii="Times New Roman"/>
                <w:sz w:val="24"/>
                <w:szCs w:val="24"/>
              </w:rPr>
            </w:pPr>
          </w:p>
        </w:tc>
        <w:tc>
          <w:tcPr>
            <w:tcW w:w="1401" w:type="dxa"/>
            <w:vAlign w:val="center"/>
          </w:tcPr>
          <w:p>
            <w:pPr>
              <w:pStyle w:val="a2"/>
              <w:ind w:firstLine="0" w:firstLineChars="0"/>
              <w:rPr>
                <w:rFonts w:ascii="Times New Roman"/>
                <w:sz w:val="24"/>
                <w:szCs w:val="24"/>
              </w:rPr>
            </w:pPr>
            <w:r>
              <w:rPr>
                <w:rFonts w:ascii="Times New Roman"/>
                <w:sz w:val="24"/>
                <w:szCs w:val="24"/>
              </w:rPr>
              <w:t>宽脉冲</w:t>
            </w:r>
          </w:p>
        </w:tc>
        <w:tc>
          <w:tcPr>
            <w:tcW w:w="3936" w:type="dxa"/>
            <w:vMerge/>
            <w:vAlign w:val="center"/>
          </w:tcPr>
          <w:p>
            <w:pPr>
              <w:pStyle w:val="a2"/>
              <w:ind w:firstLine="0" w:firstLineChars="0"/>
              <w:rPr>
                <w:rFonts w:ascii="Times New Roman"/>
                <w:sz w:val="24"/>
                <w:szCs w:val="24"/>
              </w:rPr>
            </w:pPr>
          </w:p>
        </w:tc>
      </w:tr>
      <w:tr>
        <w:tblPrEx>
          <w:tblW w:w="9002" w:type="dxa"/>
          <w:jc w:val="center"/>
          <w:tblLayout w:type="fixed"/>
          <w:tblCellMar>
            <w:top w:w="0" w:type="dxa"/>
            <w:left w:w="108" w:type="dxa"/>
            <w:bottom w:w="0" w:type="dxa"/>
            <w:right w:w="108" w:type="dxa"/>
          </w:tblCellMar>
          <w:tblLook w:val="0000"/>
        </w:tblPrEx>
        <w:trPr>
          <w:cantSplit/>
          <w:trHeight w:val="317"/>
          <w:jc w:val="center"/>
        </w:trPr>
        <w:tc>
          <w:tcPr>
            <w:tcW w:w="1865" w:type="dxa"/>
            <w:gridSpan w:val="4"/>
            <w:vMerge w:val="restart"/>
            <w:vAlign w:val="center"/>
          </w:tcPr>
          <w:p>
            <w:pPr>
              <w:pStyle w:val="a2"/>
              <w:ind w:firstLine="0" w:firstLineChars="0"/>
              <w:jc w:val="both"/>
              <w:rPr>
                <w:rFonts w:ascii="Times New Roman"/>
                <w:sz w:val="24"/>
                <w:szCs w:val="24"/>
                <w:highlight w:val="yellow"/>
              </w:rPr>
            </w:pPr>
            <w:r>
              <w:rPr>
                <w:rFonts w:ascii="Times New Roman"/>
                <w:sz w:val="24"/>
                <w:szCs w:val="24"/>
              </w:rPr>
              <w:t>接收机线性动态拟合直线均方根误差(dB)</w:t>
            </w:r>
          </w:p>
        </w:tc>
        <w:tc>
          <w:tcPr>
            <w:tcW w:w="1800" w:type="dxa"/>
            <w:gridSpan w:val="5"/>
            <w:vMerge w:val="restart"/>
            <w:vAlign w:val="center"/>
          </w:tcPr>
          <w:p>
            <w:pPr>
              <w:pStyle w:val="a2"/>
              <w:ind w:firstLine="0" w:firstLineChars="0"/>
              <w:rPr>
                <w:rFonts w:ascii="Times New Roman"/>
                <w:sz w:val="24"/>
                <w:szCs w:val="24"/>
              </w:rPr>
            </w:pPr>
            <w:r>
              <w:rPr>
                <w:rFonts w:ascii="Times New Roman"/>
                <w:sz w:val="24"/>
                <w:szCs w:val="24"/>
              </w:rPr>
              <w:t>水平</w:t>
            </w:r>
          </w:p>
        </w:tc>
        <w:tc>
          <w:tcPr>
            <w:tcW w:w="1401" w:type="dxa"/>
            <w:vAlign w:val="center"/>
          </w:tcPr>
          <w:p>
            <w:pPr>
              <w:pStyle w:val="a2"/>
              <w:ind w:firstLine="0" w:firstLineChars="0"/>
              <w:rPr>
                <w:rFonts w:ascii="Times New Roman"/>
                <w:sz w:val="24"/>
                <w:szCs w:val="24"/>
              </w:rPr>
            </w:pPr>
            <w:r>
              <w:rPr>
                <w:rFonts w:ascii="Times New Roman"/>
                <w:sz w:val="24"/>
                <w:szCs w:val="24"/>
              </w:rPr>
              <w:t>窄脉冲</w:t>
            </w:r>
          </w:p>
        </w:tc>
        <w:tc>
          <w:tcPr>
            <w:tcW w:w="3936" w:type="dxa"/>
            <w:vMerge w:val="restart"/>
            <w:vAlign w:val="center"/>
          </w:tcPr>
          <w:p>
            <w:pPr>
              <w:pStyle w:val="a2"/>
              <w:ind w:firstLine="0" w:firstLineChars="0"/>
              <w:rPr>
                <w:rFonts w:ascii="Times New Roman"/>
                <w:sz w:val="24"/>
                <w:szCs w:val="24"/>
              </w:rPr>
            </w:pPr>
            <w:r>
              <w:rPr>
                <w:rFonts w:ascii="Times New Roman"/>
                <w:sz w:val="24"/>
                <w:szCs w:val="24"/>
              </w:rPr>
              <w:t>≤0.5</w:t>
            </w:r>
          </w:p>
        </w:tc>
      </w:tr>
      <w:tr>
        <w:tblPrEx>
          <w:tblW w:w="9002" w:type="dxa"/>
          <w:jc w:val="center"/>
          <w:tblLayout w:type="fixed"/>
          <w:tblCellMar>
            <w:top w:w="0" w:type="dxa"/>
            <w:left w:w="108" w:type="dxa"/>
            <w:bottom w:w="0" w:type="dxa"/>
            <w:right w:w="108" w:type="dxa"/>
          </w:tblCellMar>
          <w:tblLook w:val="0000"/>
        </w:tblPrEx>
        <w:trPr>
          <w:cantSplit/>
          <w:trHeight w:val="317"/>
          <w:jc w:val="center"/>
        </w:trPr>
        <w:tc>
          <w:tcPr>
            <w:tcW w:w="1865" w:type="dxa"/>
            <w:gridSpan w:val="4"/>
            <w:vMerge/>
            <w:vAlign w:val="center"/>
          </w:tcPr>
          <w:p>
            <w:pPr>
              <w:pStyle w:val="a2"/>
              <w:ind w:firstLine="0" w:firstLineChars="0"/>
              <w:rPr>
                <w:rFonts w:ascii="Times New Roman"/>
                <w:sz w:val="24"/>
                <w:szCs w:val="24"/>
              </w:rPr>
            </w:pPr>
          </w:p>
        </w:tc>
        <w:tc>
          <w:tcPr>
            <w:tcW w:w="1800" w:type="dxa"/>
            <w:gridSpan w:val="5"/>
            <w:vMerge/>
            <w:vAlign w:val="center"/>
          </w:tcPr>
          <w:p>
            <w:pPr>
              <w:pStyle w:val="a2"/>
              <w:ind w:firstLine="0" w:firstLineChars="0"/>
              <w:rPr>
                <w:rFonts w:ascii="Times New Roman"/>
                <w:sz w:val="24"/>
                <w:szCs w:val="24"/>
              </w:rPr>
            </w:pPr>
          </w:p>
        </w:tc>
        <w:tc>
          <w:tcPr>
            <w:tcW w:w="1401" w:type="dxa"/>
            <w:vAlign w:val="center"/>
          </w:tcPr>
          <w:p>
            <w:pPr>
              <w:pStyle w:val="a2"/>
              <w:ind w:firstLine="0" w:firstLineChars="0"/>
              <w:rPr>
                <w:rFonts w:ascii="Times New Roman"/>
                <w:sz w:val="24"/>
                <w:szCs w:val="24"/>
              </w:rPr>
            </w:pPr>
            <w:r>
              <w:rPr>
                <w:rFonts w:ascii="Times New Roman"/>
                <w:sz w:val="24"/>
                <w:szCs w:val="24"/>
              </w:rPr>
              <w:t>宽脉冲</w:t>
            </w:r>
          </w:p>
        </w:tc>
        <w:tc>
          <w:tcPr>
            <w:tcW w:w="3936" w:type="dxa"/>
            <w:vMerge/>
            <w:vAlign w:val="center"/>
          </w:tcPr>
          <w:p>
            <w:pPr>
              <w:pStyle w:val="a2"/>
              <w:ind w:firstLine="0" w:firstLineChars="0"/>
              <w:rPr>
                <w:rFonts w:ascii="Times New Roman"/>
                <w:sz w:val="24"/>
                <w:szCs w:val="24"/>
              </w:rPr>
            </w:pPr>
          </w:p>
        </w:tc>
      </w:tr>
      <w:tr>
        <w:tblPrEx>
          <w:tblW w:w="9002" w:type="dxa"/>
          <w:jc w:val="center"/>
          <w:tblLayout w:type="fixed"/>
          <w:tblCellMar>
            <w:top w:w="0" w:type="dxa"/>
            <w:left w:w="108" w:type="dxa"/>
            <w:bottom w:w="0" w:type="dxa"/>
            <w:right w:w="108" w:type="dxa"/>
          </w:tblCellMar>
          <w:tblLook w:val="0000"/>
        </w:tblPrEx>
        <w:trPr>
          <w:cantSplit/>
          <w:trHeight w:val="317"/>
          <w:jc w:val="center"/>
        </w:trPr>
        <w:tc>
          <w:tcPr>
            <w:tcW w:w="1865" w:type="dxa"/>
            <w:gridSpan w:val="4"/>
            <w:vMerge/>
            <w:vAlign w:val="center"/>
          </w:tcPr>
          <w:p>
            <w:pPr>
              <w:pStyle w:val="a2"/>
              <w:ind w:firstLine="0" w:firstLineChars="0"/>
              <w:rPr>
                <w:rFonts w:ascii="Times New Roman"/>
                <w:sz w:val="24"/>
                <w:szCs w:val="24"/>
              </w:rPr>
            </w:pPr>
          </w:p>
        </w:tc>
        <w:tc>
          <w:tcPr>
            <w:tcW w:w="1800" w:type="dxa"/>
            <w:gridSpan w:val="5"/>
            <w:vMerge w:val="restart"/>
            <w:vAlign w:val="center"/>
          </w:tcPr>
          <w:p>
            <w:pPr>
              <w:pStyle w:val="a2"/>
              <w:ind w:firstLine="0" w:firstLineChars="0"/>
              <w:rPr>
                <w:rFonts w:ascii="Times New Roman"/>
                <w:sz w:val="24"/>
                <w:szCs w:val="24"/>
              </w:rPr>
            </w:pPr>
            <w:r>
              <w:rPr>
                <w:rFonts w:ascii="Times New Roman"/>
                <w:sz w:val="24"/>
                <w:szCs w:val="24"/>
              </w:rPr>
              <w:t>垂直</w:t>
            </w:r>
          </w:p>
        </w:tc>
        <w:tc>
          <w:tcPr>
            <w:tcW w:w="1401" w:type="dxa"/>
            <w:vAlign w:val="center"/>
          </w:tcPr>
          <w:p>
            <w:pPr>
              <w:pStyle w:val="a2"/>
              <w:ind w:firstLine="0" w:firstLineChars="0"/>
              <w:rPr>
                <w:rFonts w:ascii="Times New Roman"/>
                <w:sz w:val="24"/>
                <w:szCs w:val="24"/>
              </w:rPr>
            </w:pPr>
            <w:r>
              <w:rPr>
                <w:rFonts w:ascii="Times New Roman"/>
                <w:sz w:val="24"/>
                <w:szCs w:val="24"/>
              </w:rPr>
              <w:t>窄脉冲</w:t>
            </w:r>
          </w:p>
        </w:tc>
        <w:tc>
          <w:tcPr>
            <w:tcW w:w="3936" w:type="dxa"/>
            <w:vMerge/>
            <w:vAlign w:val="center"/>
          </w:tcPr>
          <w:p>
            <w:pPr>
              <w:pStyle w:val="a2"/>
              <w:ind w:firstLine="0" w:firstLineChars="0"/>
              <w:rPr>
                <w:rFonts w:ascii="Times New Roman"/>
                <w:sz w:val="24"/>
                <w:szCs w:val="24"/>
              </w:rPr>
            </w:pPr>
          </w:p>
        </w:tc>
      </w:tr>
      <w:tr>
        <w:tblPrEx>
          <w:tblW w:w="9002" w:type="dxa"/>
          <w:jc w:val="center"/>
          <w:tblLayout w:type="fixed"/>
          <w:tblCellMar>
            <w:top w:w="0" w:type="dxa"/>
            <w:left w:w="108" w:type="dxa"/>
            <w:bottom w:w="0" w:type="dxa"/>
            <w:right w:w="108" w:type="dxa"/>
          </w:tblCellMar>
          <w:tblLook w:val="0000"/>
        </w:tblPrEx>
        <w:trPr>
          <w:cantSplit/>
          <w:trHeight w:val="317"/>
          <w:jc w:val="center"/>
        </w:trPr>
        <w:tc>
          <w:tcPr>
            <w:tcW w:w="1865" w:type="dxa"/>
            <w:gridSpan w:val="4"/>
            <w:vMerge/>
            <w:vAlign w:val="center"/>
          </w:tcPr>
          <w:p>
            <w:pPr>
              <w:pStyle w:val="a2"/>
              <w:ind w:firstLine="0" w:firstLineChars="0"/>
              <w:rPr>
                <w:rFonts w:ascii="Times New Roman"/>
                <w:sz w:val="24"/>
                <w:szCs w:val="24"/>
              </w:rPr>
            </w:pPr>
          </w:p>
        </w:tc>
        <w:tc>
          <w:tcPr>
            <w:tcW w:w="1800" w:type="dxa"/>
            <w:gridSpan w:val="5"/>
            <w:vMerge/>
            <w:vAlign w:val="center"/>
          </w:tcPr>
          <w:p>
            <w:pPr>
              <w:pStyle w:val="a2"/>
              <w:ind w:firstLine="0" w:firstLineChars="0"/>
              <w:rPr>
                <w:rFonts w:ascii="Times New Roman"/>
                <w:sz w:val="24"/>
                <w:szCs w:val="24"/>
              </w:rPr>
            </w:pPr>
          </w:p>
        </w:tc>
        <w:tc>
          <w:tcPr>
            <w:tcW w:w="1401" w:type="dxa"/>
            <w:vAlign w:val="center"/>
          </w:tcPr>
          <w:p>
            <w:pPr>
              <w:pStyle w:val="a2"/>
              <w:ind w:firstLine="0" w:firstLineChars="0"/>
              <w:rPr>
                <w:rFonts w:ascii="Times New Roman"/>
                <w:sz w:val="24"/>
                <w:szCs w:val="24"/>
              </w:rPr>
            </w:pPr>
            <w:r>
              <w:rPr>
                <w:rFonts w:ascii="Times New Roman"/>
                <w:sz w:val="24"/>
                <w:szCs w:val="24"/>
              </w:rPr>
              <w:t>宽脉冲</w:t>
            </w:r>
          </w:p>
        </w:tc>
        <w:tc>
          <w:tcPr>
            <w:tcW w:w="3936" w:type="dxa"/>
            <w:vMerge/>
            <w:vAlign w:val="center"/>
          </w:tcPr>
          <w:p>
            <w:pPr>
              <w:pStyle w:val="a2"/>
              <w:ind w:firstLine="0" w:firstLineChars="0"/>
              <w:rPr>
                <w:rFonts w:ascii="Times New Roman"/>
                <w:sz w:val="24"/>
                <w:szCs w:val="24"/>
              </w:rPr>
            </w:pPr>
          </w:p>
        </w:tc>
      </w:tr>
      <w:tr>
        <w:tblPrEx>
          <w:tblW w:w="9002" w:type="dxa"/>
          <w:jc w:val="center"/>
          <w:tblLayout w:type="fixed"/>
          <w:tblCellMar>
            <w:top w:w="0" w:type="dxa"/>
            <w:left w:w="108" w:type="dxa"/>
            <w:bottom w:w="0" w:type="dxa"/>
            <w:right w:w="108" w:type="dxa"/>
          </w:tblCellMar>
          <w:tblLook w:val="0000"/>
        </w:tblPrEx>
        <w:trPr>
          <w:cantSplit/>
          <w:trHeight w:val="317"/>
          <w:jc w:val="center"/>
        </w:trPr>
        <w:tc>
          <w:tcPr>
            <w:tcW w:w="1865" w:type="dxa"/>
            <w:gridSpan w:val="4"/>
            <w:vMerge/>
            <w:vAlign w:val="center"/>
          </w:tcPr>
          <w:p>
            <w:pPr>
              <w:pStyle w:val="a2"/>
              <w:ind w:firstLine="0" w:firstLineChars="0"/>
              <w:rPr>
                <w:rFonts w:ascii="Times New Roman"/>
                <w:sz w:val="24"/>
                <w:szCs w:val="24"/>
              </w:rPr>
            </w:pPr>
          </w:p>
        </w:tc>
        <w:tc>
          <w:tcPr>
            <w:tcW w:w="1800" w:type="dxa"/>
            <w:gridSpan w:val="5"/>
            <w:vMerge w:val="restart"/>
            <w:vAlign w:val="center"/>
          </w:tcPr>
          <w:p>
            <w:pPr>
              <w:pStyle w:val="a2"/>
              <w:ind w:firstLine="0" w:firstLineChars="0"/>
              <w:rPr>
                <w:rFonts w:ascii="Times New Roman"/>
                <w:sz w:val="24"/>
                <w:szCs w:val="24"/>
              </w:rPr>
            </w:pPr>
            <w:r>
              <w:rPr>
                <w:rFonts w:ascii="Times New Roman"/>
                <w:sz w:val="24"/>
                <w:szCs w:val="24"/>
              </w:rPr>
              <w:t>水平</w:t>
            </w:r>
          </w:p>
        </w:tc>
        <w:tc>
          <w:tcPr>
            <w:tcW w:w="1401" w:type="dxa"/>
            <w:vAlign w:val="center"/>
          </w:tcPr>
          <w:p>
            <w:pPr>
              <w:pStyle w:val="a2"/>
              <w:ind w:firstLine="0" w:firstLineChars="0"/>
              <w:rPr>
                <w:rFonts w:ascii="Times New Roman"/>
                <w:sz w:val="24"/>
                <w:szCs w:val="24"/>
              </w:rPr>
            </w:pPr>
            <w:r>
              <w:rPr>
                <w:rFonts w:ascii="Times New Roman"/>
                <w:sz w:val="24"/>
                <w:szCs w:val="24"/>
              </w:rPr>
              <w:t>窄脉冲</w:t>
            </w:r>
          </w:p>
        </w:tc>
        <w:tc>
          <w:tcPr>
            <w:tcW w:w="3936" w:type="dxa"/>
            <w:vMerge/>
            <w:vAlign w:val="center"/>
          </w:tcPr>
          <w:p>
            <w:pPr>
              <w:pStyle w:val="a2"/>
              <w:ind w:firstLine="0" w:firstLineChars="0"/>
              <w:rPr>
                <w:rFonts w:ascii="Times New Roman"/>
                <w:sz w:val="24"/>
                <w:szCs w:val="24"/>
              </w:rPr>
            </w:pPr>
          </w:p>
        </w:tc>
      </w:tr>
      <w:tr>
        <w:tblPrEx>
          <w:tblW w:w="9002" w:type="dxa"/>
          <w:jc w:val="center"/>
          <w:tblLayout w:type="fixed"/>
          <w:tblCellMar>
            <w:top w:w="0" w:type="dxa"/>
            <w:left w:w="108" w:type="dxa"/>
            <w:bottom w:w="0" w:type="dxa"/>
            <w:right w:w="108" w:type="dxa"/>
          </w:tblCellMar>
          <w:tblLook w:val="0000"/>
        </w:tblPrEx>
        <w:trPr>
          <w:cantSplit/>
          <w:trHeight w:val="317"/>
          <w:jc w:val="center"/>
        </w:trPr>
        <w:tc>
          <w:tcPr>
            <w:tcW w:w="1865" w:type="dxa"/>
            <w:gridSpan w:val="4"/>
            <w:vMerge/>
            <w:vAlign w:val="center"/>
          </w:tcPr>
          <w:p>
            <w:pPr>
              <w:pStyle w:val="a2"/>
              <w:ind w:firstLine="0" w:firstLineChars="0"/>
              <w:rPr>
                <w:rFonts w:ascii="Times New Roman"/>
                <w:sz w:val="24"/>
                <w:szCs w:val="24"/>
              </w:rPr>
            </w:pPr>
          </w:p>
        </w:tc>
        <w:tc>
          <w:tcPr>
            <w:tcW w:w="1800" w:type="dxa"/>
            <w:gridSpan w:val="5"/>
            <w:vMerge/>
            <w:vAlign w:val="center"/>
          </w:tcPr>
          <w:p>
            <w:pPr>
              <w:pStyle w:val="a2"/>
              <w:ind w:firstLine="0" w:firstLineChars="0"/>
              <w:rPr>
                <w:rFonts w:ascii="Times New Roman"/>
                <w:sz w:val="24"/>
                <w:szCs w:val="24"/>
              </w:rPr>
            </w:pPr>
          </w:p>
        </w:tc>
        <w:tc>
          <w:tcPr>
            <w:tcW w:w="1401" w:type="dxa"/>
            <w:vAlign w:val="center"/>
          </w:tcPr>
          <w:p>
            <w:pPr>
              <w:pStyle w:val="a2"/>
              <w:ind w:firstLine="0" w:firstLineChars="0"/>
              <w:rPr>
                <w:rFonts w:ascii="Times New Roman"/>
                <w:sz w:val="24"/>
                <w:szCs w:val="24"/>
              </w:rPr>
            </w:pPr>
            <w:r>
              <w:rPr>
                <w:rFonts w:ascii="Times New Roman"/>
                <w:sz w:val="24"/>
                <w:szCs w:val="24"/>
              </w:rPr>
              <w:t>宽脉冲</w:t>
            </w:r>
          </w:p>
        </w:tc>
        <w:tc>
          <w:tcPr>
            <w:tcW w:w="3936" w:type="dxa"/>
            <w:vMerge/>
            <w:vAlign w:val="center"/>
          </w:tcPr>
          <w:p>
            <w:pPr>
              <w:pStyle w:val="a2"/>
              <w:ind w:firstLine="0" w:firstLineChars="0"/>
              <w:rPr>
                <w:rFonts w:ascii="Times New Roman"/>
                <w:sz w:val="24"/>
                <w:szCs w:val="24"/>
              </w:rPr>
            </w:pPr>
          </w:p>
        </w:tc>
      </w:tr>
      <w:tr>
        <w:tblPrEx>
          <w:tblW w:w="9002" w:type="dxa"/>
          <w:jc w:val="center"/>
          <w:tblLayout w:type="fixed"/>
          <w:tblCellMar>
            <w:top w:w="0" w:type="dxa"/>
            <w:left w:w="108" w:type="dxa"/>
            <w:bottom w:w="0" w:type="dxa"/>
            <w:right w:w="108" w:type="dxa"/>
          </w:tblCellMar>
          <w:tblLook w:val="0000"/>
        </w:tblPrEx>
        <w:trPr>
          <w:cantSplit/>
          <w:trHeight w:val="317"/>
          <w:jc w:val="center"/>
        </w:trPr>
        <w:tc>
          <w:tcPr>
            <w:tcW w:w="1865" w:type="dxa"/>
            <w:gridSpan w:val="4"/>
            <w:vMerge/>
            <w:vAlign w:val="center"/>
          </w:tcPr>
          <w:p>
            <w:pPr>
              <w:pStyle w:val="a2"/>
              <w:ind w:firstLine="0" w:firstLineChars="0"/>
              <w:rPr>
                <w:rFonts w:ascii="Times New Roman"/>
                <w:sz w:val="24"/>
                <w:szCs w:val="24"/>
              </w:rPr>
            </w:pPr>
          </w:p>
        </w:tc>
        <w:tc>
          <w:tcPr>
            <w:tcW w:w="1800" w:type="dxa"/>
            <w:gridSpan w:val="5"/>
            <w:vMerge w:val="restart"/>
            <w:vAlign w:val="center"/>
          </w:tcPr>
          <w:p>
            <w:pPr>
              <w:pStyle w:val="a2"/>
              <w:ind w:firstLine="0" w:firstLineChars="0"/>
              <w:rPr>
                <w:rFonts w:ascii="Times New Roman"/>
                <w:sz w:val="24"/>
                <w:szCs w:val="24"/>
              </w:rPr>
            </w:pPr>
            <w:r>
              <w:rPr>
                <w:rFonts w:ascii="Times New Roman"/>
                <w:sz w:val="24"/>
                <w:szCs w:val="24"/>
              </w:rPr>
              <w:t>垂直</w:t>
            </w:r>
          </w:p>
        </w:tc>
        <w:tc>
          <w:tcPr>
            <w:tcW w:w="1401" w:type="dxa"/>
            <w:vAlign w:val="center"/>
          </w:tcPr>
          <w:p>
            <w:pPr>
              <w:pStyle w:val="a2"/>
              <w:ind w:firstLine="0" w:firstLineChars="0"/>
              <w:rPr>
                <w:rFonts w:ascii="Times New Roman"/>
                <w:sz w:val="24"/>
                <w:szCs w:val="24"/>
              </w:rPr>
            </w:pPr>
            <w:r>
              <w:rPr>
                <w:rFonts w:ascii="Times New Roman"/>
                <w:sz w:val="24"/>
                <w:szCs w:val="24"/>
              </w:rPr>
              <w:t>窄脉冲</w:t>
            </w:r>
          </w:p>
        </w:tc>
        <w:tc>
          <w:tcPr>
            <w:tcW w:w="3936" w:type="dxa"/>
            <w:vMerge/>
            <w:vAlign w:val="center"/>
          </w:tcPr>
          <w:p>
            <w:pPr>
              <w:pStyle w:val="a2"/>
              <w:ind w:firstLine="0" w:firstLineChars="0"/>
              <w:rPr>
                <w:rFonts w:ascii="Times New Roman"/>
                <w:sz w:val="24"/>
                <w:szCs w:val="24"/>
              </w:rPr>
            </w:pPr>
          </w:p>
        </w:tc>
      </w:tr>
      <w:tr>
        <w:tblPrEx>
          <w:tblW w:w="9002" w:type="dxa"/>
          <w:jc w:val="center"/>
          <w:tblLayout w:type="fixed"/>
          <w:tblCellMar>
            <w:top w:w="0" w:type="dxa"/>
            <w:left w:w="108" w:type="dxa"/>
            <w:bottom w:w="0" w:type="dxa"/>
            <w:right w:w="108" w:type="dxa"/>
          </w:tblCellMar>
          <w:tblLook w:val="0000"/>
        </w:tblPrEx>
        <w:trPr>
          <w:cantSplit/>
          <w:trHeight w:val="317"/>
          <w:jc w:val="center"/>
        </w:trPr>
        <w:tc>
          <w:tcPr>
            <w:tcW w:w="1865" w:type="dxa"/>
            <w:gridSpan w:val="4"/>
            <w:vMerge/>
            <w:vAlign w:val="center"/>
          </w:tcPr>
          <w:p>
            <w:pPr>
              <w:pStyle w:val="a2"/>
              <w:ind w:firstLine="0" w:firstLineChars="0"/>
              <w:rPr>
                <w:rFonts w:ascii="Times New Roman"/>
                <w:sz w:val="24"/>
                <w:szCs w:val="24"/>
              </w:rPr>
            </w:pPr>
          </w:p>
        </w:tc>
        <w:tc>
          <w:tcPr>
            <w:tcW w:w="1800" w:type="dxa"/>
            <w:gridSpan w:val="5"/>
            <w:vMerge/>
            <w:vAlign w:val="center"/>
          </w:tcPr>
          <w:p>
            <w:pPr>
              <w:pStyle w:val="a2"/>
              <w:ind w:firstLine="0" w:firstLineChars="0"/>
              <w:rPr>
                <w:rFonts w:ascii="Times New Roman"/>
                <w:sz w:val="24"/>
                <w:szCs w:val="24"/>
              </w:rPr>
            </w:pPr>
          </w:p>
        </w:tc>
        <w:tc>
          <w:tcPr>
            <w:tcW w:w="1401" w:type="dxa"/>
            <w:vAlign w:val="center"/>
          </w:tcPr>
          <w:p>
            <w:pPr>
              <w:pStyle w:val="a2"/>
              <w:ind w:firstLine="0" w:firstLineChars="0"/>
              <w:rPr>
                <w:rFonts w:ascii="Times New Roman"/>
                <w:sz w:val="24"/>
                <w:szCs w:val="24"/>
              </w:rPr>
            </w:pPr>
            <w:r>
              <w:rPr>
                <w:rFonts w:ascii="Times New Roman"/>
                <w:sz w:val="24"/>
                <w:szCs w:val="24"/>
              </w:rPr>
              <w:t>宽脉冲</w:t>
            </w:r>
          </w:p>
        </w:tc>
        <w:tc>
          <w:tcPr>
            <w:tcW w:w="3936" w:type="dxa"/>
            <w:vMerge/>
            <w:vAlign w:val="center"/>
          </w:tcPr>
          <w:p>
            <w:pPr>
              <w:pStyle w:val="a2"/>
              <w:ind w:firstLine="0" w:firstLineChars="0"/>
              <w:rPr>
                <w:rFonts w:ascii="Times New Roman"/>
                <w:sz w:val="24"/>
                <w:szCs w:val="24"/>
              </w:rPr>
            </w:pPr>
          </w:p>
        </w:tc>
      </w:tr>
      <w:tr>
        <w:tblPrEx>
          <w:tblW w:w="9002" w:type="dxa"/>
          <w:jc w:val="center"/>
          <w:tblLayout w:type="fixed"/>
          <w:tblCellMar>
            <w:top w:w="0" w:type="dxa"/>
            <w:left w:w="108" w:type="dxa"/>
            <w:bottom w:w="0" w:type="dxa"/>
            <w:right w:w="108" w:type="dxa"/>
          </w:tblCellMar>
          <w:tblLook w:val="0000"/>
        </w:tblPrEx>
        <w:trPr>
          <w:cantSplit/>
          <w:jc w:val="center"/>
        </w:trPr>
        <w:tc>
          <w:tcPr>
            <w:tcW w:w="1865" w:type="dxa"/>
            <w:gridSpan w:val="4"/>
            <w:vMerge w:val="restart"/>
            <w:vAlign w:val="center"/>
          </w:tcPr>
          <w:p>
            <w:pPr>
              <w:pStyle w:val="a2"/>
              <w:ind w:firstLine="0" w:firstLineChars="0"/>
              <w:jc w:val="both"/>
              <w:rPr>
                <w:rFonts w:ascii="Times New Roman"/>
                <w:sz w:val="24"/>
                <w:szCs w:val="24"/>
              </w:rPr>
            </w:pPr>
            <w:r>
              <w:rPr>
                <w:rFonts w:ascii="Times New Roman"/>
                <w:sz w:val="24"/>
                <w:szCs w:val="24"/>
              </w:rPr>
              <w:t>系统相位噪声(°)</w:t>
            </w:r>
          </w:p>
        </w:tc>
        <w:tc>
          <w:tcPr>
            <w:tcW w:w="3201" w:type="dxa"/>
            <w:gridSpan w:val="6"/>
            <w:vAlign w:val="center"/>
          </w:tcPr>
          <w:p>
            <w:pPr>
              <w:pStyle w:val="a2"/>
              <w:ind w:firstLine="0" w:firstLineChars="0"/>
              <w:rPr>
                <w:rFonts w:ascii="Times New Roman"/>
                <w:sz w:val="24"/>
                <w:szCs w:val="24"/>
              </w:rPr>
            </w:pPr>
            <w:r>
              <w:rPr>
                <w:rFonts w:ascii="Times New Roman"/>
                <w:sz w:val="24"/>
                <w:szCs w:val="24"/>
              </w:rPr>
              <w:t>水平</w:t>
            </w:r>
          </w:p>
        </w:tc>
        <w:tc>
          <w:tcPr>
            <w:tcW w:w="3936" w:type="dxa"/>
            <w:vMerge w:val="restart"/>
            <w:vAlign w:val="center"/>
          </w:tcPr>
          <w:p>
            <w:pPr>
              <w:pStyle w:val="a2"/>
              <w:ind w:firstLine="0" w:firstLineChars="0"/>
              <w:rPr>
                <w:rFonts w:ascii="Times New Roman"/>
                <w:color w:val="auto"/>
                <w:sz w:val="24"/>
                <w:szCs w:val="24"/>
              </w:rPr>
            </w:pPr>
            <w:r>
              <w:rPr>
                <w:rFonts w:ascii="Times New Roman"/>
                <w:sz w:val="24"/>
                <w:szCs w:val="24"/>
              </w:rPr>
              <w:t>≤0.06</w:t>
            </w:r>
          </w:p>
        </w:tc>
      </w:tr>
      <w:tr>
        <w:tblPrEx>
          <w:tblW w:w="9002" w:type="dxa"/>
          <w:jc w:val="center"/>
          <w:tblLayout w:type="fixed"/>
          <w:tblCellMar>
            <w:top w:w="0" w:type="dxa"/>
            <w:left w:w="108" w:type="dxa"/>
            <w:bottom w:w="0" w:type="dxa"/>
            <w:right w:w="108" w:type="dxa"/>
          </w:tblCellMar>
          <w:tblLook w:val="0000"/>
        </w:tblPrEx>
        <w:trPr>
          <w:cantSplit/>
          <w:jc w:val="center"/>
        </w:trPr>
        <w:tc>
          <w:tcPr>
            <w:tcW w:w="1865" w:type="dxa"/>
            <w:gridSpan w:val="4"/>
            <w:vMerge/>
            <w:vAlign w:val="center"/>
          </w:tcPr>
          <w:p>
            <w:pPr>
              <w:pStyle w:val="a2"/>
              <w:ind w:firstLine="0" w:firstLineChars="0"/>
              <w:rPr>
                <w:rFonts w:ascii="Times New Roman"/>
                <w:sz w:val="24"/>
                <w:szCs w:val="24"/>
              </w:rPr>
            </w:pPr>
          </w:p>
        </w:tc>
        <w:tc>
          <w:tcPr>
            <w:tcW w:w="3201" w:type="dxa"/>
            <w:gridSpan w:val="6"/>
            <w:vAlign w:val="center"/>
          </w:tcPr>
          <w:p>
            <w:pPr>
              <w:pStyle w:val="a2"/>
              <w:ind w:firstLine="0" w:firstLineChars="0"/>
              <w:rPr>
                <w:rFonts w:ascii="Times New Roman"/>
                <w:sz w:val="24"/>
                <w:szCs w:val="24"/>
              </w:rPr>
            </w:pPr>
            <w:r>
              <w:rPr>
                <w:rFonts w:ascii="Times New Roman"/>
                <w:sz w:val="24"/>
                <w:szCs w:val="24"/>
              </w:rPr>
              <w:t>垂直</w:t>
            </w:r>
          </w:p>
        </w:tc>
        <w:tc>
          <w:tcPr>
            <w:tcW w:w="3936" w:type="dxa"/>
            <w:vMerge/>
            <w:vAlign w:val="center"/>
          </w:tcPr>
          <w:p>
            <w:pPr>
              <w:pStyle w:val="a2"/>
              <w:ind w:firstLine="0" w:firstLineChars="0"/>
              <w:rPr>
                <w:rFonts w:ascii="Times New Roman"/>
                <w:color w:val="auto"/>
                <w:sz w:val="24"/>
                <w:szCs w:val="24"/>
              </w:rPr>
            </w:pPr>
          </w:p>
        </w:tc>
      </w:tr>
      <w:tr>
        <w:tblPrEx>
          <w:tblW w:w="9002" w:type="dxa"/>
          <w:jc w:val="center"/>
          <w:tblLayout w:type="fixed"/>
          <w:tblCellMar>
            <w:top w:w="0" w:type="dxa"/>
            <w:left w:w="108" w:type="dxa"/>
            <w:bottom w:w="0" w:type="dxa"/>
            <w:right w:w="108" w:type="dxa"/>
          </w:tblCellMar>
          <w:tblLook w:val="0000"/>
        </w:tblPrEx>
        <w:trPr>
          <w:cantSplit/>
          <w:trHeight w:val="109"/>
          <w:jc w:val="center"/>
        </w:trPr>
        <w:tc>
          <w:tcPr>
            <w:tcW w:w="1865" w:type="dxa"/>
            <w:gridSpan w:val="4"/>
            <w:vMerge w:val="restart"/>
            <w:vAlign w:val="center"/>
          </w:tcPr>
          <w:p>
            <w:pPr>
              <w:pStyle w:val="a2"/>
              <w:ind w:firstLine="0" w:firstLineChars="0"/>
              <w:jc w:val="both"/>
              <w:rPr>
                <w:rFonts w:ascii="Times New Roman"/>
                <w:sz w:val="24"/>
                <w:szCs w:val="24"/>
              </w:rPr>
            </w:pPr>
            <w:r>
              <w:rPr>
                <w:rFonts w:ascii="Times New Roman"/>
                <w:sz w:val="24"/>
                <w:szCs w:val="24"/>
              </w:rPr>
              <w:t>系统极限改善因子(dB)</w:t>
            </w:r>
          </w:p>
        </w:tc>
        <w:tc>
          <w:tcPr>
            <w:tcW w:w="3201" w:type="dxa"/>
            <w:gridSpan w:val="6"/>
            <w:vAlign w:val="center"/>
          </w:tcPr>
          <w:p>
            <w:pPr>
              <w:pStyle w:val="a2"/>
              <w:ind w:firstLine="0" w:firstLineChars="0"/>
              <w:rPr>
                <w:rFonts w:ascii="Times New Roman"/>
                <w:sz w:val="24"/>
                <w:szCs w:val="24"/>
              </w:rPr>
            </w:pPr>
            <w:r>
              <w:rPr>
                <w:rFonts w:ascii="Times New Roman"/>
                <w:sz w:val="24"/>
                <w:szCs w:val="24"/>
              </w:rPr>
              <w:t>128处理点</w:t>
            </w:r>
          </w:p>
        </w:tc>
        <w:tc>
          <w:tcPr>
            <w:tcW w:w="3936" w:type="dxa"/>
            <w:vMerge w:val="restart"/>
            <w:vAlign w:val="center"/>
          </w:tcPr>
          <w:p>
            <w:pPr>
              <w:pStyle w:val="a2"/>
              <w:ind w:firstLine="0" w:firstLineChars="0"/>
              <w:rPr>
                <w:rFonts w:ascii="Times New Roman"/>
                <w:color w:val="auto"/>
                <w:sz w:val="24"/>
                <w:szCs w:val="24"/>
              </w:rPr>
            </w:pPr>
            <w:r>
              <w:rPr>
                <w:rFonts w:ascii="Times New Roman"/>
                <w:color w:val="auto"/>
                <w:sz w:val="24"/>
                <w:szCs w:val="24"/>
              </w:rPr>
              <w:t>≥5</w:t>
            </w:r>
            <w:r>
              <w:rPr>
                <w:rFonts w:ascii="Times New Roman" w:hint="eastAsia"/>
                <w:color w:val="auto"/>
                <w:sz w:val="24"/>
                <w:szCs w:val="24"/>
              </w:rPr>
              <w:t>8</w:t>
            </w:r>
            <w:r>
              <w:rPr>
                <w:rFonts w:ascii="Times New Roman"/>
                <w:color w:val="auto"/>
                <w:sz w:val="24"/>
                <w:szCs w:val="24"/>
              </w:rPr>
              <w:t>.0</w:t>
            </w:r>
          </w:p>
        </w:tc>
      </w:tr>
      <w:tr>
        <w:tblPrEx>
          <w:tblW w:w="9002" w:type="dxa"/>
          <w:jc w:val="center"/>
          <w:tblLayout w:type="fixed"/>
          <w:tblCellMar>
            <w:top w:w="0" w:type="dxa"/>
            <w:left w:w="108" w:type="dxa"/>
            <w:bottom w:w="0" w:type="dxa"/>
            <w:right w:w="108" w:type="dxa"/>
          </w:tblCellMar>
          <w:tblLook w:val="0000"/>
        </w:tblPrEx>
        <w:trPr>
          <w:cantSplit/>
          <w:jc w:val="center"/>
        </w:trPr>
        <w:tc>
          <w:tcPr>
            <w:tcW w:w="1865" w:type="dxa"/>
            <w:gridSpan w:val="4"/>
            <w:vMerge/>
            <w:vAlign w:val="center"/>
          </w:tcPr>
          <w:p>
            <w:pPr>
              <w:pStyle w:val="a2"/>
              <w:ind w:firstLine="0" w:firstLineChars="0"/>
              <w:rPr>
                <w:rFonts w:ascii="Times New Roman"/>
                <w:sz w:val="24"/>
                <w:szCs w:val="24"/>
              </w:rPr>
            </w:pPr>
          </w:p>
        </w:tc>
        <w:tc>
          <w:tcPr>
            <w:tcW w:w="3201" w:type="dxa"/>
            <w:gridSpan w:val="6"/>
            <w:vAlign w:val="center"/>
          </w:tcPr>
          <w:p>
            <w:pPr>
              <w:pStyle w:val="a2"/>
              <w:ind w:firstLine="0" w:firstLineChars="0"/>
              <w:rPr>
                <w:rFonts w:ascii="Times New Roman"/>
                <w:sz w:val="24"/>
                <w:szCs w:val="24"/>
              </w:rPr>
            </w:pPr>
            <w:r>
              <w:rPr>
                <w:rFonts w:ascii="Times New Roman"/>
                <w:sz w:val="24"/>
                <w:szCs w:val="24"/>
              </w:rPr>
              <w:t>256处理点</w:t>
            </w:r>
          </w:p>
        </w:tc>
        <w:tc>
          <w:tcPr>
            <w:tcW w:w="3936" w:type="dxa"/>
            <w:vMerge/>
            <w:vAlign w:val="center"/>
          </w:tcPr>
          <w:p>
            <w:pPr>
              <w:pStyle w:val="a2"/>
              <w:ind w:firstLine="0" w:firstLineChars="0"/>
              <w:rPr>
                <w:rFonts w:ascii="Times New Roman"/>
                <w:color w:val="auto"/>
                <w:sz w:val="24"/>
                <w:szCs w:val="24"/>
              </w:rPr>
            </w:pPr>
          </w:p>
        </w:tc>
      </w:tr>
      <w:tr>
        <w:tblPrEx>
          <w:tblW w:w="9002" w:type="dxa"/>
          <w:jc w:val="center"/>
          <w:tblLayout w:type="fixed"/>
          <w:tblCellMar>
            <w:top w:w="0" w:type="dxa"/>
            <w:left w:w="108" w:type="dxa"/>
            <w:bottom w:w="0" w:type="dxa"/>
            <w:right w:w="108" w:type="dxa"/>
          </w:tblCellMar>
          <w:tblLook w:val="0000"/>
        </w:tblPrEx>
        <w:trPr>
          <w:cantSplit/>
          <w:trHeight w:val="602"/>
          <w:jc w:val="center"/>
        </w:trPr>
        <w:tc>
          <w:tcPr>
            <w:tcW w:w="1865" w:type="dxa"/>
            <w:gridSpan w:val="4"/>
            <w:vMerge w:val="restart"/>
            <w:vAlign w:val="center"/>
          </w:tcPr>
          <w:p>
            <w:pPr>
              <w:pStyle w:val="a2"/>
              <w:ind w:firstLine="0" w:firstLineChars="0"/>
              <w:jc w:val="both"/>
              <w:rPr>
                <w:rFonts w:ascii="Times New Roman"/>
                <w:sz w:val="24"/>
                <w:szCs w:val="24"/>
              </w:rPr>
            </w:pPr>
            <w:r>
              <w:rPr>
                <w:rFonts w:ascii="Times New Roman"/>
                <w:sz w:val="24"/>
                <w:szCs w:val="24"/>
              </w:rPr>
              <w:t>滤波前后功率比(dB)</w:t>
            </w:r>
          </w:p>
        </w:tc>
        <w:tc>
          <w:tcPr>
            <w:tcW w:w="3201" w:type="dxa"/>
            <w:gridSpan w:val="6"/>
            <w:vAlign w:val="center"/>
          </w:tcPr>
          <w:p>
            <w:pPr>
              <w:pStyle w:val="a2"/>
              <w:ind w:firstLine="0" w:firstLineChars="0"/>
              <w:rPr>
                <w:rFonts w:ascii="Times New Roman"/>
                <w:sz w:val="24"/>
                <w:szCs w:val="24"/>
              </w:rPr>
            </w:pPr>
            <w:r>
              <w:rPr>
                <w:rFonts w:ascii="Times New Roman"/>
                <w:sz w:val="24"/>
                <w:szCs w:val="24"/>
              </w:rPr>
              <w:t>水平</w:t>
            </w:r>
          </w:p>
        </w:tc>
        <w:tc>
          <w:tcPr>
            <w:tcW w:w="3936" w:type="dxa"/>
            <w:vMerge w:val="restart"/>
            <w:vAlign w:val="center"/>
          </w:tcPr>
          <w:p>
            <w:pPr>
              <w:pStyle w:val="a2"/>
              <w:ind w:firstLine="0" w:firstLineChars="0"/>
              <w:rPr>
                <w:rFonts w:ascii="Times New Roman"/>
                <w:sz w:val="24"/>
                <w:szCs w:val="24"/>
              </w:rPr>
            </w:pPr>
            <w:r>
              <w:rPr>
                <w:rFonts w:ascii="Times New Roman"/>
                <w:color w:val="auto"/>
                <w:sz w:val="24"/>
                <w:szCs w:val="24"/>
              </w:rPr>
              <w:t>≥</w:t>
            </w:r>
            <w:r>
              <w:rPr>
                <w:rFonts w:ascii="Times New Roman" w:hint="eastAsia"/>
                <w:color w:val="auto"/>
                <w:sz w:val="24"/>
                <w:szCs w:val="24"/>
              </w:rPr>
              <w:t>60</w:t>
            </w:r>
            <w:r>
              <w:rPr>
                <w:rFonts w:ascii="Times New Roman"/>
                <w:color w:val="auto"/>
                <w:sz w:val="24"/>
                <w:szCs w:val="24"/>
              </w:rPr>
              <w:t xml:space="preserve">.0 </w:t>
            </w:r>
          </w:p>
        </w:tc>
      </w:tr>
      <w:tr>
        <w:tblPrEx>
          <w:tblW w:w="9002" w:type="dxa"/>
          <w:jc w:val="center"/>
          <w:tblLayout w:type="fixed"/>
          <w:tblCellMar>
            <w:top w:w="0" w:type="dxa"/>
            <w:left w:w="108" w:type="dxa"/>
            <w:bottom w:w="0" w:type="dxa"/>
            <w:right w:w="108" w:type="dxa"/>
          </w:tblCellMar>
          <w:tblLook w:val="0000"/>
        </w:tblPrEx>
        <w:trPr>
          <w:cantSplit/>
          <w:trHeight w:val="555"/>
          <w:jc w:val="center"/>
        </w:trPr>
        <w:tc>
          <w:tcPr>
            <w:tcW w:w="1865" w:type="dxa"/>
            <w:gridSpan w:val="4"/>
            <w:vMerge/>
            <w:vAlign w:val="center"/>
          </w:tcPr>
          <w:p>
            <w:pPr>
              <w:pStyle w:val="a2"/>
              <w:ind w:firstLine="0" w:firstLineChars="0"/>
              <w:rPr>
                <w:rFonts w:ascii="Times New Roman"/>
                <w:sz w:val="24"/>
                <w:szCs w:val="24"/>
              </w:rPr>
            </w:pPr>
          </w:p>
        </w:tc>
        <w:tc>
          <w:tcPr>
            <w:tcW w:w="3201" w:type="dxa"/>
            <w:gridSpan w:val="6"/>
            <w:vAlign w:val="center"/>
          </w:tcPr>
          <w:p>
            <w:pPr>
              <w:pStyle w:val="a2"/>
              <w:ind w:firstLine="0" w:firstLineChars="0"/>
              <w:rPr>
                <w:rFonts w:ascii="Times New Roman"/>
                <w:sz w:val="24"/>
                <w:szCs w:val="24"/>
              </w:rPr>
            </w:pPr>
            <w:r>
              <w:rPr>
                <w:rFonts w:ascii="Times New Roman"/>
                <w:sz w:val="24"/>
                <w:szCs w:val="24"/>
              </w:rPr>
              <w:t>垂直</w:t>
            </w:r>
          </w:p>
        </w:tc>
        <w:tc>
          <w:tcPr>
            <w:tcW w:w="3936" w:type="dxa"/>
            <w:vMerge/>
            <w:vAlign w:val="center"/>
          </w:tcPr>
          <w:p>
            <w:pPr>
              <w:pStyle w:val="a2"/>
              <w:ind w:firstLine="0" w:firstLineChars="0"/>
              <w:rPr>
                <w:rFonts w:ascii="Times New Roman"/>
                <w:sz w:val="24"/>
                <w:szCs w:val="24"/>
              </w:rPr>
            </w:pPr>
          </w:p>
        </w:tc>
      </w:tr>
      <w:tr>
        <w:tblPrEx>
          <w:tblW w:w="9002" w:type="dxa"/>
          <w:jc w:val="center"/>
          <w:tblLayout w:type="fixed"/>
          <w:tblCellMar>
            <w:top w:w="0" w:type="dxa"/>
            <w:left w:w="108" w:type="dxa"/>
            <w:bottom w:w="0" w:type="dxa"/>
            <w:right w:w="108" w:type="dxa"/>
          </w:tblCellMar>
          <w:tblLook w:val="0000"/>
        </w:tblPrEx>
        <w:trPr>
          <w:cantSplit/>
          <w:jc w:val="center"/>
        </w:trPr>
        <w:tc>
          <w:tcPr>
            <w:tcW w:w="5066" w:type="dxa"/>
            <w:gridSpan w:val="10"/>
            <w:vAlign w:val="center"/>
          </w:tcPr>
          <w:p>
            <w:pPr>
              <w:pStyle w:val="a2"/>
              <w:ind w:firstLine="0" w:firstLineChars="0"/>
              <w:rPr>
                <w:rFonts w:ascii="Times New Roman"/>
                <w:sz w:val="24"/>
                <w:szCs w:val="24"/>
              </w:rPr>
            </w:pPr>
            <w:r>
              <w:rPr>
                <w:rFonts w:ascii="Times New Roman"/>
                <w:sz w:val="24"/>
                <w:szCs w:val="24"/>
              </w:rPr>
              <w:t>实际地物对消能力(dB)</w:t>
            </w:r>
          </w:p>
        </w:tc>
        <w:tc>
          <w:tcPr>
            <w:tcW w:w="3936" w:type="dxa"/>
            <w:vAlign w:val="center"/>
          </w:tcPr>
          <w:p>
            <w:pPr>
              <w:pStyle w:val="a2"/>
              <w:ind w:firstLine="0" w:firstLineChars="0"/>
              <w:rPr>
                <w:rFonts w:ascii="Times New Roman"/>
                <w:sz w:val="24"/>
                <w:szCs w:val="24"/>
              </w:rPr>
            </w:pPr>
            <w:r>
              <w:rPr>
                <w:rFonts w:ascii="Times New Roman"/>
                <w:sz w:val="24"/>
                <w:szCs w:val="24"/>
              </w:rPr>
              <w:t>≥</w:t>
            </w:r>
            <w:r>
              <w:rPr>
                <w:rFonts w:ascii="Times New Roman" w:hint="eastAsia"/>
                <w:sz w:val="24"/>
                <w:szCs w:val="24"/>
              </w:rPr>
              <w:t>50</w:t>
            </w:r>
            <w:r>
              <w:rPr>
                <w:rFonts w:ascii="Times New Roman"/>
                <w:sz w:val="24"/>
                <w:szCs w:val="24"/>
              </w:rPr>
              <w:t>.0</w:t>
            </w:r>
          </w:p>
        </w:tc>
      </w:tr>
      <w:tr>
        <w:tblPrEx>
          <w:tblW w:w="9002" w:type="dxa"/>
          <w:jc w:val="center"/>
          <w:tblLayout w:type="fixed"/>
          <w:tblCellMar>
            <w:top w:w="0" w:type="dxa"/>
            <w:left w:w="108" w:type="dxa"/>
            <w:bottom w:w="0" w:type="dxa"/>
            <w:right w:w="108" w:type="dxa"/>
          </w:tblCellMar>
          <w:tblLook w:val="0000"/>
        </w:tblPrEx>
        <w:trPr>
          <w:cantSplit/>
          <w:jc w:val="center"/>
        </w:trPr>
        <w:tc>
          <w:tcPr>
            <w:tcW w:w="818" w:type="dxa"/>
            <w:vMerge w:val="restart"/>
            <w:vAlign w:val="center"/>
          </w:tcPr>
          <w:p>
            <w:pPr>
              <w:pStyle w:val="a2"/>
              <w:ind w:firstLine="0" w:firstLineChars="0"/>
              <w:jc w:val="both"/>
              <w:rPr>
                <w:rFonts w:ascii="Times New Roman"/>
                <w:sz w:val="24"/>
                <w:szCs w:val="24"/>
              </w:rPr>
            </w:pPr>
            <w:r>
              <w:rPr>
                <w:rFonts w:ascii="Times New Roman"/>
                <w:sz w:val="24"/>
                <w:szCs w:val="24"/>
              </w:rPr>
              <w:t>强度定标误差(dB)</w:t>
            </w:r>
          </w:p>
        </w:tc>
        <w:tc>
          <w:tcPr>
            <w:tcW w:w="1047" w:type="dxa"/>
            <w:gridSpan w:val="3"/>
            <w:vMerge w:val="restart"/>
            <w:vAlign w:val="center"/>
          </w:tcPr>
          <w:p>
            <w:pPr>
              <w:pStyle w:val="a2"/>
              <w:ind w:firstLine="0" w:firstLineChars="0"/>
              <w:jc w:val="both"/>
              <w:rPr>
                <w:rFonts w:ascii="Times New Roman"/>
                <w:sz w:val="24"/>
                <w:szCs w:val="24"/>
              </w:rPr>
            </w:pPr>
            <w:r>
              <w:rPr>
                <w:rFonts w:ascii="Times New Roman"/>
                <w:sz w:val="24"/>
                <w:szCs w:val="24"/>
              </w:rPr>
              <w:t>单发双收</w:t>
            </w:r>
          </w:p>
        </w:tc>
        <w:tc>
          <w:tcPr>
            <w:tcW w:w="1800" w:type="dxa"/>
            <w:gridSpan w:val="5"/>
            <w:vMerge w:val="restart"/>
            <w:vAlign w:val="center"/>
          </w:tcPr>
          <w:p>
            <w:pPr>
              <w:pStyle w:val="a2"/>
              <w:ind w:firstLine="0" w:firstLineChars="0"/>
              <w:jc w:val="center"/>
              <w:rPr>
                <w:rFonts w:ascii="Times New Roman"/>
                <w:sz w:val="24"/>
                <w:szCs w:val="24"/>
              </w:rPr>
            </w:pPr>
            <w:r>
              <w:rPr>
                <w:rFonts w:ascii="Times New Roman"/>
                <w:sz w:val="24"/>
                <w:szCs w:val="24"/>
              </w:rPr>
              <w:t>水平</w:t>
            </w:r>
          </w:p>
        </w:tc>
        <w:tc>
          <w:tcPr>
            <w:tcW w:w="1401" w:type="dxa"/>
            <w:vAlign w:val="center"/>
          </w:tcPr>
          <w:p>
            <w:pPr>
              <w:pStyle w:val="a2"/>
              <w:ind w:firstLine="0" w:firstLineChars="0"/>
              <w:rPr>
                <w:rFonts w:ascii="Times New Roman"/>
                <w:sz w:val="24"/>
                <w:szCs w:val="24"/>
              </w:rPr>
            </w:pPr>
            <w:r>
              <w:rPr>
                <w:rFonts w:ascii="Times New Roman"/>
                <w:sz w:val="24"/>
                <w:szCs w:val="24"/>
              </w:rPr>
              <w:t>窄脉冲</w:t>
            </w:r>
          </w:p>
        </w:tc>
        <w:tc>
          <w:tcPr>
            <w:tcW w:w="3936" w:type="dxa"/>
            <w:vMerge w:val="restart"/>
            <w:vAlign w:val="center"/>
          </w:tcPr>
          <w:p>
            <w:pPr>
              <w:pStyle w:val="a2"/>
              <w:ind w:firstLine="0" w:firstLineChars="0"/>
              <w:rPr>
                <w:rFonts w:ascii="Times New Roman" w:hint="eastAsia"/>
                <w:sz w:val="24"/>
                <w:szCs w:val="24"/>
              </w:rPr>
            </w:pPr>
            <w:r>
              <w:rPr>
                <w:rFonts w:ascii="Times New Roman"/>
                <w:sz w:val="24"/>
                <w:szCs w:val="24"/>
                <w:highlight w:val="none"/>
              </w:rPr>
              <w:t>±1.0之间</w:t>
            </w:r>
            <w:r>
              <w:rPr>
                <w:rFonts w:ascii="Times New Roman" w:hint="eastAsia"/>
                <w:sz w:val="24"/>
                <w:szCs w:val="24"/>
                <w:highlight w:val="none"/>
              </w:rPr>
              <w:t>（机外/机内）</w:t>
            </w:r>
          </w:p>
        </w:tc>
      </w:tr>
      <w:tr>
        <w:tblPrEx>
          <w:tblW w:w="9002" w:type="dxa"/>
          <w:jc w:val="center"/>
          <w:tblLayout w:type="fixed"/>
          <w:tblCellMar>
            <w:top w:w="0" w:type="dxa"/>
            <w:left w:w="108" w:type="dxa"/>
            <w:bottom w:w="0" w:type="dxa"/>
            <w:right w:w="108" w:type="dxa"/>
          </w:tblCellMar>
          <w:tblLook w:val="0000"/>
        </w:tblPrEx>
        <w:trPr>
          <w:cantSplit/>
          <w:jc w:val="center"/>
        </w:trPr>
        <w:tc>
          <w:tcPr>
            <w:tcW w:w="818" w:type="dxa"/>
            <w:vMerge/>
            <w:vAlign w:val="center"/>
          </w:tcPr>
          <w:p>
            <w:pPr>
              <w:pStyle w:val="a2"/>
              <w:ind w:firstLine="0" w:firstLineChars="0"/>
              <w:rPr>
                <w:rFonts w:ascii="Times New Roman"/>
                <w:sz w:val="24"/>
                <w:szCs w:val="24"/>
              </w:rPr>
            </w:pPr>
          </w:p>
        </w:tc>
        <w:tc>
          <w:tcPr>
            <w:tcW w:w="1047" w:type="dxa"/>
            <w:gridSpan w:val="3"/>
            <w:vMerge/>
            <w:vAlign w:val="center"/>
          </w:tcPr>
          <w:p>
            <w:pPr>
              <w:pStyle w:val="a2"/>
              <w:ind w:firstLine="0" w:firstLineChars="0"/>
              <w:rPr>
                <w:rFonts w:ascii="Times New Roman"/>
                <w:sz w:val="24"/>
                <w:szCs w:val="24"/>
              </w:rPr>
            </w:pPr>
          </w:p>
        </w:tc>
        <w:tc>
          <w:tcPr>
            <w:tcW w:w="1800" w:type="dxa"/>
            <w:gridSpan w:val="5"/>
            <w:vMerge/>
            <w:vAlign w:val="center"/>
          </w:tcPr>
          <w:p>
            <w:pPr>
              <w:pStyle w:val="a2"/>
              <w:ind w:firstLine="0" w:firstLineChars="0"/>
              <w:jc w:val="center"/>
              <w:rPr>
                <w:rFonts w:ascii="Times New Roman"/>
                <w:sz w:val="24"/>
                <w:szCs w:val="24"/>
              </w:rPr>
            </w:pPr>
          </w:p>
        </w:tc>
        <w:tc>
          <w:tcPr>
            <w:tcW w:w="1401" w:type="dxa"/>
            <w:vAlign w:val="center"/>
          </w:tcPr>
          <w:p>
            <w:pPr>
              <w:pStyle w:val="a2"/>
              <w:ind w:firstLine="0" w:firstLineChars="0"/>
              <w:rPr>
                <w:rFonts w:ascii="Times New Roman"/>
                <w:sz w:val="24"/>
                <w:szCs w:val="24"/>
              </w:rPr>
            </w:pPr>
            <w:r>
              <w:rPr>
                <w:rFonts w:ascii="Times New Roman"/>
                <w:sz w:val="24"/>
                <w:szCs w:val="24"/>
              </w:rPr>
              <w:t>宽脉冲</w:t>
            </w:r>
          </w:p>
        </w:tc>
        <w:tc>
          <w:tcPr>
            <w:tcW w:w="3936" w:type="dxa"/>
            <w:vMerge/>
            <w:vAlign w:val="center"/>
          </w:tcPr>
          <w:p>
            <w:pPr>
              <w:pStyle w:val="a2"/>
              <w:ind w:firstLine="0" w:firstLineChars="0"/>
              <w:rPr>
                <w:rFonts w:ascii="Times New Roman"/>
                <w:sz w:val="24"/>
                <w:szCs w:val="24"/>
              </w:rPr>
            </w:pPr>
          </w:p>
        </w:tc>
      </w:tr>
      <w:tr>
        <w:tblPrEx>
          <w:tblW w:w="9002" w:type="dxa"/>
          <w:jc w:val="center"/>
          <w:tblLayout w:type="fixed"/>
          <w:tblCellMar>
            <w:top w:w="0" w:type="dxa"/>
            <w:left w:w="108" w:type="dxa"/>
            <w:bottom w:w="0" w:type="dxa"/>
            <w:right w:w="108" w:type="dxa"/>
          </w:tblCellMar>
          <w:tblLook w:val="0000"/>
        </w:tblPrEx>
        <w:trPr>
          <w:cantSplit/>
          <w:jc w:val="center"/>
        </w:trPr>
        <w:tc>
          <w:tcPr>
            <w:tcW w:w="818" w:type="dxa"/>
            <w:vMerge/>
            <w:vAlign w:val="center"/>
          </w:tcPr>
          <w:p>
            <w:pPr>
              <w:pStyle w:val="a2"/>
              <w:ind w:firstLine="0" w:firstLineChars="0"/>
              <w:rPr>
                <w:rFonts w:ascii="Times New Roman"/>
                <w:sz w:val="24"/>
                <w:szCs w:val="24"/>
              </w:rPr>
            </w:pPr>
          </w:p>
        </w:tc>
        <w:tc>
          <w:tcPr>
            <w:tcW w:w="1047" w:type="dxa"/>
            <w:gridSpan w:val="3"/>
            <w:vMerge/>
            <w:vAlign w:val="center"/>
          </w:tcPr>
          <w:p>
            <w:pPr>
              <w:pStyle w:val="a2"/>
              <w:ind w:firstLine="0" w:firstLineChars="0"/>
              <w:rPr>
                <w:rFonts w:ascii="Times New Roman"/>
                <w:sz w:val="24"/>
                <w:szCs w:val="24"/>
              </w:rPr>
            </w:pPr>
          </w:p>
        </w:tc>
        <w:tc>
          <w:tcPr>
            <w:tcW w:w="1800" w:type="dxa"/>
            <w:gridSpan w:val="5"/>
            <w:vMerge/>
            <w:vAlign w:val="center"/>
          </w:tcPr>
          <w:p>
            <w:pPr>
              <w:pStyle w:val="a2"/>
              <w:ind w:firstLine="0" w:firstLineChars="0"/>
              <w:jc w:val="center"/>
              <w:rPr>
                <w:rFonts w:ascii="Times New Roman"/>
                <w:sz w:val="24"/>
                <w:szCs w:val="24"/>
              </w:rPr>
            </w:pPr>
          </w:p>
        </w:tc>
        <w:tc>
          <w:tcPr>
            <w:tcW w:w="1401" w:type="dxa"/>
            <w:vAlign w:val="center"/>
          </w:tcPr>
          <w:p>
            <w:pPr>
              <w:pStyle w:val="a2"/>
              <w:ind w:firstLine="0" w:firstLineChars="0"/>
              <w:rPr>
                <w:rFonts w:ascii="Times New Roman"/>
                <w:sz w:val="24"/>
                <w:szCs w:val="24"/>
              </w:rPr>
            </w:pPr>
            <w:r>
              <w:rPr>
                <w:rFonts w:ascii="Times New Roman"/>
                <w:sz w:val="24"/>
                <w:szCs w:val="24"/>
              </w:rPr>
              <w:t>窄脉冲</w:t>
            </w:r>
          </w:p>
        </w:tc>
        <w:tc>
          <w:tcPr>
            <w:tcW w:w="3936" w:type="dxa"/>
            <w:vMerge/>
            <w:vAlign w:val="center"/>
          </w:tcPr>
          <w:p>
            <w:pPr>
              <w:pStyle w:val="a2"/>
              <w:ind w:firstLine="0" w:firstLineChars="0"/>
              <w:rPr>
                <w:rFonts w:ascii="Times New Roman"/>
                <w:sz w:val="24"/>
                <w:szCs w:val="24"/>
              </w:rPr>
            </w:pPr>
          </w:p>
        </w:tc>
      </w:tr>
      <w:tr>
        <w:tblPrEx>
          <w:tblW w:w="9002" w:type="dxa"/>
          <w:jc w:val="center"/>
          <w:tblLayout w:type="fixed"/>
          <w:tblCellMar>
            <w:top w:w="0" w:type="dxa"/>
            <w:left w:w="108" w:type="dxa"/>
            <w:bottom w:w="0" w:type="dxa"/>
            <w:right w:w="108" w:type="dxa"/>
          </w:tblCellMar>
          <w:tblLook w:val="0000"/>
        </w:tblPrEx>
        <w:trPr>
          <w:cantSplit/>
          <w:jc w:val="center"/>
        </w:trPr>
        <w:tc>
          <w:tcPr>
            <w:tcW w:w="818" w:type="dxa"/>
            <w:vMerge/>
            <w:vAlign w:val="center"/>
          </w:tcPr>
          <w:p>
            <w:pPr>
              <w:pStyle w:val="a2"/>
              <w:ind w:firstLine="0" w:firstLineChars="0"/>
              <w:rPr>
                <w:rFonts w:ascii="Times New Roman"/>
                <w:sz w:val="24"/>
                <w:szCs w:val="24"/>
              </w:rPr>
            </w:pPr>
          </w:p>
        </w:tc>
        <w:tc>
          <w:tcPr>
            <w:tcW w:w="1047" w:type="dxa"/>
            <w:gridSpan w:val="3"/>
            <w:vMerge/>
            <w:vAlign w:val="center"/>
          </w:tcPr>
          <w:p>
            <w:pPr>
              <w:pStyle w:val="a2"/>
              <w:ind w:firstLine="0" w:firstLineChars="0"/>
              <w:rPr>
                <w:rFonts w:ascii="Times New Roman"/>
                <w:sz w:val="24"/>
                <w:szCs w:val="24"/>
              </w:rPr>
            </w:pPr>
          </w:p>
        </w:tc>
        <w:tc>
          <w:tcPr>
            <w:tcW w:w="1800" w:type="dxa"/>
            <w:gridSpan w:val="5"/>
            <w:vMerge/>
            <w:vAlign w:val="center"/>
          </w:tcPr>
          <w:p>
            <w:pPr>
              <w:pStyle w:val="a2"/>
              <w:ind w:firstLine="0" w:firstLineChars="0"/>
              <w:jc w:val="center"/>
              <w:rPr>
                <w:rFonts w:ascii="Times New Roman"/>
                <w:sz w:val="24"/>
                <w:szCs w:val="24"/>
              </w:rPr>
            </w:pPr>
          </w:p>
        </w:tc>
        <w:tc>
          <w:tcPr>
            <w:tcW w:w="1401" w:type="dxa"/>
            <w:vAlign w:val="center"/>
          </w:tcPr>
          <w:p>
            <w:pPr>
              <w:pStyle w:val="a2"/>
              <w:ind w:firstLine="0" w:firstLineChars="0"/>
              <w:rPr>
                <w:rFonts w:ascii="Times New Roman"/>
                <w:sz w:val="24"/>
                <w:szCs w:val="24"/>
              </w:rPr>
            </w:pPr>
            <w:r>
              <w:rPr>
                <w:rFonts w:ascii="Times New Roman"/>
                <w:sz w:val="24"/>
                <w:szCs w:val="24"/>
              </w:rPr>
              <w:t>宽脉冲</w:t>
            </w:r>
          </w:p>
        </w:tc>
        <w:tc>
          <w:tcPr>
            <w:tcW w:w="3936" w:type="dxa"/>
            <w:vMerge/>
            <w:vAlign w:val="center"/>
          </w:tcPr>
          <w:p>
            <w:pPr>
              <w:pStyle w:val="a2"/>
              <w:ind w:firstLine="0" w:firstLineChars="0"/>
              <w:rPr>
                <w:rFonts w:ascii="Times New Roman"/>
                <w:sz w:val="24"/>
                <w:szCs w:val="24"/>
              </w:rPr>
            </w:pPr>
          </w:p>
        </w:tc>
      </w:tr>
      <w:tr>
        <w:tblPrEx>
          <w:tblW w:w="9002" w:type="dxa"/>
          <w:jc w:val="center"/>
          <w:tblLayout w:type="fixed"/>
          <w:tblCellMar>
            <w:top w:w="0" w:type="dxa"/>
            <w:left w:w="108" w:type="dxa"/>
            <w:bottom w:w="0" w:type="dxa"/>
            <w:right w:w="108" w:type="dxa"/>
          </w:tblCellMar>
          <w:tblLook w:val="0000"/>
        </w:tblPrEx>
        <w:trPr>
          <w:cantSplit/>
          <w:jc w:val="center"/>
        </w:trPr>
        <w:tc>
          <w:tcPr>
            <w:tcW w:w="818" w:type="dxa"/>
            <w:vMerge/>
            <w:vAlign w:val="center"/>
          </w:tcPr>
          <w:p>
            <w:pPr>
              <w:pStyle w:val="a2"/>
              <w:ind w:firstLine="0" w:firstLineChars="0"/>
              <w:rPr>
                <w:rFonts w:ascii="Times New Roman"/>
                <w:sz w:val="24"/>
                <w:szCs w:val="24"/>
              </w:rPr>
            </w:pPr>
          </w:p>
        </w:tc>
        <w:tc>
          <w:tcPr>
            <w:tcW w:w="1047" w:type="dxa"/>
            <w:gridSpan w:val="3"/>
            <w:vMerge w:val="restart"/>
            <w:vAlign w:val="center"/>
          </w:tcPr>
          <w:p>
            <w:pPr>
              <w:pStyle w:val="a2"/>
              <w:ind w:firstLine="0" w:firstLineChars="0"/>
              <w:jc w:val="both"/>
              <w:rPr>
                <w:rFonts w:ascii="Times New Roman"/>
                <w:sz w:val="24"/>
                <w:szCs w:val="24"/>
              </w:rPr>
            </w:pPr>
            <w:r>
              <w:rPr>
                <w:rFonts w:ascii="Times New Roman"/>
                <w:sz w:val="24"/>
                <w:szCs w:val="24"/>
              </w:rPr>
              <w:t>双发双</w:t>
            </w:r>
            <w:r>
              <w:rPr>
                <w:rFonts w:ascii="Times New Roman" w:hint="eastAsia"/>
                <w:sz w:val="24"/>
                <w:szCs w:val="24"/>
              </w:rPr>
              <w:t xml:space="preserve">  </w:t>
            </w:r>
            <w:r>
              <w:rPr>
                <w:rFonts w:ascii="Times New Roman"/>
                <w:sz w:val="24"/>
                <w:szCs w:val="24"/>
              </w:rPr>
              <w:t>收</w:t>
            </w:r>
          </w:p>
        </w:tc>
        <w:tc>
          <w:tcPr>
            <w:tcW w:w="1800" w:type="dxa"/>
            <w:gridSpan w:val="5"/>
            <w:vMerge w:val="restart"/>
            <w:vAlign w:val="center"/>
          </w:tcPr>
          <w:p>
            <w:pPr>
              <w:pStyle w:val="a2"/>
              <w:ind w:firstLine="0" w:firstLineChars="0"/>
              <w:jc w:val="center"/>
              <w:rPr>
                <w:rFonts w:ascii="Times New Roman"/>
                <w:sz w:val="24"/>
                <w:szCs w:val="24"/>
              </w:rPr>
            </w:pPr>
            <w:r>
              <w:rPr>
                <w:rFonts w:ascii="Times New Roman"/>
                <w:sz w:val="24"/>
                <w:szCs w:val="24"/>
              </w:rPr>
              <w:t>水平</w:t>
            </w:r>
          </w:p>
        </w:tc>
        <w:tc>
          <w:tcPr>
            <w:tcW w:w="1401" w:type="dxa"/>
            <w:vAlign w:val="center"/>
          </w:tcPr>
          <w:p>
            <w:pPr>
              <w:pStyle w:val="a2"/>
              <w:ind w:firstLine="0" w:firstLineChars="0"/>
              <w:rPr>
                <w:rFonts w:ascii="Times New Roman"/>
                <w:sz w:val="24"/>
                <w:szCs w:val="24"/>
              </w:rPr>
            </w:pPr>
            <w:r>
              <w:rPr>
                <w:rFonts w:ascii="Times New Roman"/>
                <w:sz w:val="24"/>
                <w:szCs w:val="24"/>
              </w:rPr>
              <w:t>窄脉冲</w:t>
            </w:r>
          </w:p>
        </w:tc>
        <w:tc>
          <w:tcPr>
            <w:tcW w:w="3936" w:type="dxa"/>
            <w:vMerge/>
            <w:vAlign w:val="center"/>
          </w:tcPr>
          <w:p>
            <w:pPr>
              <w:pStyle w:val="a2"/>
              <w:ind w:firstLine="0" w:firstLineChars="0"/>
              <w:rPr>
                <w:rFonts w:ascii="Times New Roman"/>
                <w:sz w:val="24"/>
                <w:szCs w:val="24"/>
              </w:rPr>
            </w:pPr>
          </w:p>
        </w:tc>
      </w:tr>
      <w:tr>
        <w:tblPrEx>
          <w:tblW w:w="9002" w:type="dxa"/>
          <w:jc w:val="center"/>
          <w:tblLayout w:type="fixed"/>
          <w:tblCellMar>
            <w:top w:w="0" w:type="dxa"/>
            <w:left w:w="108" w:type="dxa"/>
            <w:bottom w:w="0" w:type="dxa"/>
            <w:right w:w="108" w:type="dxa"/>
          </w:tblCellMar>
          <w:tblLook w:val="0000"/>
        </w:tblPrEx>
        <w:trPr>
          <w:cantSplit/>
          <w:jc w:val="center"/>
        </w:trPr>
        <w:tc>
          <w:tcPr>
            <w:tcW w:w="818" w:type="dxa"/>
            <w:vMerge/>
            <w:vAlign w:val="center"/>
          </w:tcPr>
          <w:p>
            <w:pPr>
              <w:pStyle w:val="a2"/>
              <w:ind w:firstLine="0" w:firstLineChars="0"/>
              <w:rPr>
                <w:rFonts w:ascii="Times New Roman"/>
                <w:sz w:val="24"/>
                <w:szCs w:val="24"/>
              </w:rPr>
            </w:pPr>
          </w:p>
        </w:tc>
        <w:tc>
          <w:tcPr>
            <w:tcW w:w="1047" w:type="dxa"/>
            <w:gridSpan w:val="3"/>
            <w:vMerge/>
            <w:vAlign w:val="center"/>
          </w:tcPr>
          <w:p>
            <w:pPr>
              <w:pStyle w:val="a2"/>
              <w:ind w:firstLine="0" w:firstLineChars="0"/>
              <w:rPr>
                <w:rFonts w:ascii="Times New Roman"/>
                <w:sz w:val="24"/>
                <w:szCs w:val="24"/>
              </w:rPr>
            </w:pPr>
          </w:p>
        </w:tc>
        <w:tc>
          <w:tcPr>
            <w:tcW w:w="1800" w:type="dxa"/>
            <w:gridSpan w:val="5"/>
            <w:vMerge/>
            <w:vAlign w:val="center"/>
          </w:tcPr>
          <w:p>
            <w:pPr>
              <w:pStyle w:val="a2"/>
              <w:ind w:firstLine="0" w:firstLineChars="0"/>
              <w:jc w:val="center"/>
              <w:rPr>
                <w:rFonts w:ascii="Times New Roman"/>
                <w:sz w:val="24"/>
                <w:szCs w:val="24"/>
              </w:rPr>
            </w:pPr>
          </w:p>
        </w:tc>
        <w:tc>
          <w:tcPr>
            <w:tcW w:w="1401" w:type="dxa"/>
            <w:vAlign w:val="center"/>
          </w:tcPr>
          <w:p>
            <w:pPr>
              <w:pStyle w:val="a2"/>
              <w:ind w:firstLine="0" w:firstLineChars="0"/>
              <w:rPr>
                <w:rFonts w:ascii="Times New Roman"/>
                <w:sz w:val="24"/>
                <w:szCs w:val="24"/>
              </w:rPr>
            </w:pPr>
            <w:r>
              <w:rPr>
                <w:rFonts w:ascii="Times New Roman"/>
                <w:sz w:val="24"/>
                <w:szCs w:val="24"/>
              </w:rPr>
              <w:t>宽脉冲</w:t>
            </w:r>
          </w:p>
        </w:tc>
        <w:tc>
          <w:tcPr>
            <w:tcW w:w="3936" w:type="dxa"/>
            <w:vMerge/>
            <w:vAlign w:val="center"/>
          </w:tcPr>
          <w:p>
            <w:pPr>
              <w:pStyle w:val="a2"/>
              <w:ind w:firstLine="0" w:firstLineChars="0"/>
              <w:rPr>
                <w:rFonts w:ascii="Times New Roman"/>
                <w:sz w:val="24"/>
                <w:szCs w:val="24"/>
              </w:rPr>
            </w:pPr>
          </w:p>
        </w:tc>
      </w:tr>
      <w:tr>
        <w:tblPrEx>
          <w:tblW w:w="9002" w:type="dxa"/>
          <w:jc w:val="center"/>
          <w:tblLayout w:type="fixed"/>
          <w:tblCellMar>
            <w:top w:w="0" w:type="dxa"/>
            <w:left w:w="108" w:type="dxa"/>
            <w:bottom w:w="0" w:type="dxa"/>
            <w:right w:w="108" w:type="dxa"/>
          </w:tblCellMar>
          <w:tblLook w:val="0000"/>
        </w:tblPrEx>
        <w:trPr>
          <w:cantSplit/>
          <w:jc w:val="center"/>
        </w:trPr>
        <w:tc>
          <w:tcPr>
            <w:tcW w:w="818" w:type="dxa"/>
            <w:vMerge/>
            <w:vAlign w:val="center"/>
          </w:tcPr>
          <w:p>
            <w:pPr>
              <w:pStyle w:val="a2"/>
              <w:ind w:firstLine="0" w:firstLineChars="0"/>
              <w:rPr>
                <w:rFonts w:ascii="Times New Roman"/>
                <w:sz w:val="24"/>
                <w:szCs w:val="24"/>
              </w:rPr>
            </w:pPr>
          </w:p>
        </w:tc>
        <w:tc>
          <w:tcPr>
            <w:tcW w:w="1047" w:type="dxa"/>
            <w:gridSpan w:val="3"/>
            <w:vMerge/>
            <w:vAlign w:val="center"/>
          </w:tcPr>
          <w:p>
            <w:pPr>
              <w:pStyle w:val="a2"/>
              <w:ind w:firstLine="0" w:firstLineChars="0"/>
              <w:rPr>
                <w:rFonts w:ascii="Times New Roman"/>
                <w:sz w:val="24"/>
                <w:szCs w:val="24"/>
              </w:rPr>
            </w:pPr>
          </w:p>
        </w:tc>
        <w:tc>
          <w:tcPr>
            <w:tcW w:w="1800" w:type="dxa"/>
            <w:gridSpan w:val="5"/>
            <w:vMerge w:val="restart"/>
            <w:vAlign w:val="center"/>
          </w:tcPr>
          <w:p>
            <w:pPr>
              <w:pStyle w:val="a2"/>
              <w:ind w:firstLine="0" w:firstLineChars="0"/>
              <w:jc w:val="center"/>
              <w:rPr>
                <w:rFonts w:ascii="Times New Roman"/>
                <w:sz w:val="24"/>
                <w:szCs w:val="24"/>
              </w:rPr>
            </w:pPr>
            <w:r>
              <w:rPr>
                <w:rFonts w:ascii="Times New Roman"/>
                <w:sz w:val="24"/>
                <w:szCs w:val="24"/>
              </w:rPr>
              <w:t>垂直</w:t>
            </w:r>
          </w:p>
        </w:tc>
        <w:tc>
          <w:tcPr>
            <w:tcW w:w="1401" w:type="dxa"/>
            <w:vAlign w:val="center"/>
          </w:tcPr>
          <w:p>
            <w:pPr>
              <w:pStyle w:val="a2"/>
              <w:ind w:firstLine="0" w:firstLineChars="0"/>
              <w:rPr>
                <w:rFonts w:ascii="Times New Roman"/>
                <w:sz w:val="24"/>
                <w:szCs w:val="24"/>
              </w:rPr>
            </w:pPr>
            <w:r>
              <w:rPr>
                <w:rFonts w:ascii="Times New Roman"/>
                <w:sz w:val="24"/>
                <w:szCs w:val="24"/>
              </w:rPr>
              <w:t>窄脉冲</w:t>
            </w:r>
          </w:p>
        </w:tc>
        <w:tc>
          <w:tcPr>
            <w:tcW w:w="3936" w:type="dxa"/>
            <w:vMerge/>
            <w:vAlign w:val="center"/>
          </w:tcPr>
          <w:p>
            <w:pPr>
              <w:pStyle w:val="a2"/>
              <w:ind w:firstLine="0" w:firstLineChars="0"/>
              <w:rPr>
                <w:rFonts w:ascii="Times New Roman"/>
                <w:sz w:val="24"/>
                <w:szCs w:val="24"/>
              </w:rPr>
            </w:pPr>
          </w:p>
        </w:tc>
      </w:tr>
      <w:tr>
        <w:tblPrEx>
          <w:tblW w:w="9002" w:type="dxa"/>
          <w:jc w:val="center"/>
          <w:tblLayout w:type="fixed"/>
          <w:tblCellMar>
            <w:top w:w="0" w:type="dxa"/>
            <w:left w:w="108" w:type="dxa"/>
            <w:bottom w:w="0" w:type="dxa"/>
            <w:right w:w="108" w:type="dxa"/>
          </w:tblCellMar>
          <w:tblLook w:val="0000"/>
        </w:tblPrEx>
        <w:trPr>
          <w:cantSplit/>
          <w:jc w:val="center"/>
        </w:trPr>
        <w:tc>
          <w:tcPr>
            <w:tcW w:w="818" w:type="dxa"/>
            <w:vMerge/>
            <w:vAlign w:val="center"/>
          </w:tcPr>
          <w:p>
            <w:pPr>
              <w:pStyle w:val="a2"/>
              <w:ind w:firstLine="0" w:firstLineChars="0"/>
              <w:rPr>
                <w:rFonts w:ascii="Times New Roman"/>
                <w:sz w:val="24"/>
                <w:szCs w:val="24"/>
              </w:rPr>
            </w:pPr>
          </w:p>
        </w:tc>
        <w:tc>
          <w:tcPr>
            <w:tcW w:w="1047" w:type="dxa"/>
            <w:gridSpan w:val="3"/>
            <w:vMerge/>
            <w:vAlign w:val="center"/>
          </w:tcPr>
          <w:p>
            <w:pPr>
              <w:pStyle w:val="a2"/>
              <w:ind w:firstLine="0" w:firstLineChars="0"/>
              <w:rPr>
                <w:rFonts w:ascii="Times New Roman"/>
                <w:sz w:val="24"/>
                <w:szCs w:val="24"/>
              </w:rPr>
            </w:pPr>
          </w:p>
        </w:tc>
        <w:tc>
          <w:tcPr>
            <w:tcW w:w="1800" w:type="dxa"/>
            <w:gridSpan w:val="5"/>
            <w:vMerge/>
            <w:vAlign w:val="center"/>
          </w:tcPr>
          <w:p>
            <w:pPr>
              <w:pStyle w:val="a2"/>
              <w:ind w:firstLine="0" w:firstLineChars="0"/>
              <w:jc w:val="center"/>
              <w:rPr>
                <w:rFonts w:ascii="Times New Roman"/>
                <w:sz w:val="24"/>
                <w:szCs w:val="24"/>
              </w:rPr>
            </w:pPr>
          </w:p>
        </w:tc>
        <w:tc>
          <w:tcPr>
            <w:tcW w:w="1401" w:type="dxa"/>
            <w:vAlign w:val="center"/>
          </w:tcPr>
          <w:p>
            <w:pPr>
              <w:pStyle w:val="a2"/>
              <w:ind w:firstLine="0" w:firstLineChars="0"/>
              <w:rPr>
                <w:rFonts w:ascii="Times New Roman"/>
                <w:sz w:val="24"/>
                <w:szCs w:val="24"/>
              </w:rPr>
            </w:pPr>
            <w:r>
              <w:rPr>
                <w:rFonts w:ascii="Times New Roman"/>
                <w:sz w:val="24"/>
                <w:szCs w:val="24"/>
              </w:rPr>
              <w:t>宽脉冲</w:t>
            </w:r>
          </w:p>
        </w:tc>
        <w:tc>
          <w:tcPr>
            <w:tcW w:w="3936" w:type="dxa"/>
            <w:vMerge/>
            <w:vAlign w:val="center"/>
          </w:tcPr>
          <w:p>
            <w:pPr>
              <w:pStyle w:val="a2"/>
              <w:ind w:firstLine="0" w:firstLineChars="0"/>
              <w:rPr>
                <w:rFonts w:ascii="Times New Roman"/>
                <w:sz w:val="24"/>
                <w:szCs w:val="24"/>
              </w:rPr>
            </w:pPr>
          </w:p>
        </w:tc>
      </w:tr>
      <w:tr>
        <w:tblPrEx>
          <w:tblW w:w="9002" w:type="dxa"/>
          <w:jc w:val="center"/>
          <w:tblLayout w:type="fixed"/>
          <w:tblCellMar>
            <w:top w:w="0" w:type="dxa"/>
            <w:left w:w="108" w:type="dxa"/>
            <w:bottom w:w="0" w:type="dxa"/>
            <w:right w:w="108" w:type="dxa"/>
          </w:tblCellMar>
          <w:tblLook w:val="0000"/>
        </w:tblPrEx>
        <w:trPr>
          <w:cantSplit/>
          <w:jc w:val="center"/>
        </w:trPr>
        <w:tc>
          <w:tcPr>
            <w:tcW w:w="818" w:type="dxa"/>
            <w:vMerge/>
            <w:vAlign w:val="center"/>
          </w:tcPr>
          <w:p>
            <w:pPr>
              <w:pStyle w:val="a2"/>
              <w:ind w:firstLine="0" w:firstLineChars="0"/>
              <w:rPr>
                <w:rFonts w:ascii="Times New Roman"/>
                <w:sz w:val="24"/>
                <w:szCs w:val="24"/>
              </w:rPr>
            </w:pPr>
          </w:p>
        </w:tc>
        <w:tc>
          <w:tcPr>
            <w:tcW w:w="1047" w:type="dxa"/>
            <w:gridSpan w:val="3"/>
            <w:vMerge/>
            <w:vAlign w:val="center"/>
          </w:tcPr>
          <w:p>
            <w:pPr>
              <w:pStyle w:val="a2"/>
              <w:ind w:firstLine="0" w:firstLineChars="0"/>
              <w:rPr>
                <w:rFonts w:ascii="Times New Roman"/>
                <w:sz w:val="24"/>
                <w:szCs w:val="24"/>
              </w:rPr>
            </w:pPr>
          </w:p>
        </w:tc>
        <w:tc>
          <w:tcPr>
            <w:tcW w:w="1800" w:type="dxa"/>
            <w:gridSpan w:val="5"/>
            <w:vMerge w:val="restart"/>
            <w:vAlign w:val="center"/>
          </w:tcPr>
          <w:p>
            <w:pPr>
              <w:pStyle w:val="a2"/>
              <w:ind w:firstLine="0" w:firstLineChars="0"/>
              <w:jc w:val="center"/>
              <w:rPr>
                <w:rFonts w:ascii="Times New Roman"/>
                <w:sz w:val="24"/>
                <w:szCs w:val="24"/>
              </w:rPr>
            </w:pPr>
            <w:r>
              <w:rPr>
                <w:rFonts w:ascii="Times New Roman"/>
                <w:sz w:val="24"/>
                <w:szCs w:val="24"/>
              </w:rPr>
              <w:t>水平</w:t>
            </w:r>
          </w:p>
        </w:tc>
        <w:tc>
          <w:tcPr>
            <w:tcW w:w="1401" w:type="dxa"/>
            <w:vAlign w:val="center"/>
          </w:tcPr>
          <w:p>
            <w:pPr>
              <w:pStyle w:val="a2"/>
              <w:ind w:firstLine="0" w:firstLineChars="0"/>
              <w:rPr>
                <w:rFonts w:ascii="Times New Roman"/>
                <w:sz w:val="24"/>
                <w:szCs w:val="24"/>
              </w:rPr>
            </w:pPr>
            <w:r>
              <w:rPr>
                <w:rFonts w:ascii="Times New Roman"/>
                <w:sz w:val="24"/>
                <w:szCs w:val="24"/>
              </w:rPr>
              <w:t>窄脉冲</w:t>
            </w:r>
          </w:p>
        </w:tc>
        <w:tc>
          <w:tcPr>
            <w:tcW w:w="3936" w:type="dxa"/>
            <w:vMerge/>
            <w:vAlign w:val="center"/>
          </w:tcPr>
          <w:p>
            <w:pPr>
              <w:pStyle w:val="a2"/>
              <w:ind w:firstLine="0" w:firstLineChars="0"/>
              <w:rPr>
                <w:rFonts w:ascii="Times New Roman"/>
                <w:sz w:val="24"/>
                <w:szCs w:val="24"/>
              </w:rPr>
            </w:pPr>
          </w:p>
        </w:tc>
      </w:tr>
      <w:tr>
        <w:tblPrEx>
          <w:tblW w:w="9002" w:type="dxa"/>
          <w:jc w:val="center"/>
          <w:tblLayout w:type="fixed"/>
          <w:tblCellMar>
            <w:top w:w="0" w:type="dxa"/>
            <w:left w:w="108" w:type="dxa"/>
            <w:bottom w:w="0" w:type="dxa"/>
            <w:right w:w="108" w:type="dxa"/>
          </w:tblCellMar>
          <w:tblLook w:val="0000"/>
        </w:tblPrEx>
        <w:trPr>
          <w:cantSplit/>
          <w:jc w:val="center"/>
        </w:trPr>
        <w:tc>
          <w:tcPr>
            <w:tcW w:w="818" w:type="dxa"/>
            <w:vMerge/>
            <w:vAlign w:val="center"/>
          </w:tcPr>
          <w:p>
            <w:pPr>
              <w:pStyle w:val="a2"/>
              <w:ind w:firstLine="0" w:firstLineChars="0"/>
              <w:rPr>
                <w:rFonts w:ascii="Times New Roman"/>
                <w:sz w:val="24"/>
                <w:szCs w:val="24"/>
              </w:rPr>
            </w:pPr>
          </w:p>
        </w:tc>
        <w:tc>
          <w:tcPr>
            <w:tcW w:w="1047" w:type="dxa"/>
            <w:gridSpan w:val="3"/>
            <w:vMerge/>
            <w:vAlign w:val="center"/>
          </w:tcPr>
          <w:p>
            <w:pPr>
              <w:pStyle w:val="a2"/>
              <w:ind w:firstLine="0" w:firstLineChars="0"/>
              <w:rPr>
                <w:rFonts w:ascii="Times New Roman"/>
                <w:sz w:val="24"/>
                <w:szCs w:val="24"/>
              </w:rPr>
            </w:pPr>
          </w:p>
        </w:tc>
        <w:tc>
          <w:tcPr>
            <w:tcW w:w="1800" w:type="dxa"/>
            <w:gridSpan w:val="5"/>
            <w:vMerge/>
            <w:vAlign w:val="center"/>
          </w:tcPr>
          <w:p>
            <w:pPr>
              <w:pStyle w:val="a2"/>
              <w:ind w:firstLine="0" w:firstLineChars="0"/>
              <w:rPr>
                <w:rFonts w:ascii="Times New Roman"/>
                <w:sz w:val="24"/>
                <w:szCs w:val="24"/>
              </w:rPr>
            </w:pPr>
          </w:p>
        </w:tc>
        <w:tc>
          <w:tcPr>
            <w:tcW w:w="1401" w:type="dxa"/>
            <w:vAlign w:val="center"/>
          </w:tcPr>
          <w:p>
            <w:pPr>
              <w:pStyle w:val="a2"/>
              <w:ind w:firstLine="0" w:firstLineChars="0"/>
              <w:rPr>
                <w:rFonts w:ascii="Times New Roman"/>
                <w:sz w:val="24"/>
                <w:szCs w:val="24"/>
              </w:rPr>
            </w:pPr>
            <w:r>
              <w:rPr>
                <w:rFonts w:ascii="Times New Roman"/>
                <w:sz w:val="24"/>
                <w:szCs w:val="24"/>
              </w:rPr>
              <w:t>宽脉冲</w:t>
            </w:r>
          </w:p>
        </w:tc>
        <w:tc>
          <w:tcPr>
            <w:tcW w:w="3936" w:type="dxa"/>
            <w:vMerge/>
            <w:vAlign w:val="center"/>
          </w:tcPr>
          <w:p>
            <w:pPr>
              <w:pStyle w:val="a2"/>
              <w:ind w:firstLine="0" w:firstLineChars="0"/>
              <w:rPr>
                <w:rFonts w:ascii="Times New Roman"/>
                <w:sz w:val="24"/>
                <w:szCs w:val="24"/>
              </w:rPr>
            </w:pPr>
          </w:p>
        </w:tc>
      </w:tr>
      <w:tr>
        <w:tblPrEx>
          <w:tblW w:w="9002" w:type="dxa"/>
          <w:jc w:val="center"/>
          <w:tblLayout w:type="fixed"/>
          <w:tblCellMar>
            <w:top w:w="0" w:type="dxa"/>
            <w:left w:w="108" w:type="dxa"/>
            <w:bottom w:w="0" w:type="dxa"/>
            <w:right w:w="108" w:type="dxa"/>
          </w:tblCellMar>
          <w:tblLook w:val="0000"/>
        </w:tblPrEx>
        <w:trPr>
          <w:cantSplit/>
          <w:jc w:val="center"/>
        </w:trPr>
        <w:tc>
          <w:tcPr>
            <w:tcW w:w="818" w:type="dxa"/>
            <w:vMerge/>
            <w:vAlign w:val="center"/>
          </w:tcPr>
          <w:p>
            <w:pPr>
              <w:pStyle w:val="a2"/>
              <w:ind w:firstLine="0" w:firstLineChars="0"/>
              <w:rPr>
                <w:rFonts w:ascii="Times New Roman"/>
                <w:sz w:val="24"/>
                <w:szCs w:val="24"/>
              </w:rPr>
            </w:pPr>
          </w:p>
        </w:tc>
        <w:tc>
          <w:tcPr>
            <w:tcW w:w="971" w:type="dxa"/>
            <w:gridSpan w:val="2"/>
            <w:vMerge w:val="restart"/>
            <w:vAlign w:val="center"/>
          </w:tcPr>
          <w:p>
            <w:pPr>
              <w:pStyle w:val="a2"/>
              <w:ind w:firstLine="0" w:firstLineChars="0"/>
              <w:rPr>
                <w:rFonts w:ascii="Times New Roman"/>
                <w:sz w:val="24"/>
                <w:szCs w:val="24"/>
              </w:rPr>
            </w:pPr>
          </w:p>
        </w:tc>
        <w:tc>
          <w:tcPr>
            <w:tcW w:w="1876" w:type="dxa"/>
            <w:gridSpan w:val="6"/>
            <w:vMerge w:val="restart"/>
            <w:vAlign w:val="center"/>
          </w:tcPr>
          <w:p>
            <w:pPr>
              <w:pStyle w:val="a2"/>
              <w:ind w:firstLine="0" w:firstLineChars="0"/>
              <w:jc w:val="center"/>
              <w:rPr>
                <w:rFonts w:ascii="Times New Roman"/>
                <w:sz w:val="24"/>
                <w:szCs w:val="24"/>
              </w:rPr>
            </w:pPr>
            <w:r>
              <w:rPr>
                <w:rFonts w:ascii="Times New Roman"/>
                <w:sz w:val="24"/>
                <w:szCs w:val="24"/>
              </w:rPr>
              <w:t>垂直</w:t>
            </w:r>
          </w:p>
        </w:tc>
        <w:tc>
          <w:tcPr>
            <w:tcW w:w="1401" w:type="dxa"/>
            <w:vAlign w:val="center"/>
          </w:tcPr>
          <w:p>
            <w:pPr>
              <w:pStyle w:val="a2"/>
              <w:ind w:firstLine="0" w:firstLineChars="0"/>
              <w:rPr>
                <w:rFonts w:ascii="Times New Roman"/>
                <w:sz w:val="24"/>
                <w:szCs w:val="24"/>
              </w:rPr>
            </w:pPr>
            <w:r>
              <w:rPr>
                <w:rFonts w:ascii="Times New Roman"/>
                <w:sz w:val="24"/>
                <w:szCs w:val="24"/>
              </w:rPr>
              <w:t>窄脉冲</w:t>
            </w:r>
          </w:p>
        </w:tc>
        <w:tc>
          <w:tcPr>
            <w:tcW w:w="3936" w:type="dxa"/>
            <w:vMerge/>
            <w:vAlign w:val="center"/>
          </w:tcPr>
          <w:p>
            <w:pPr>
              <w:pStyle w:val="a2"/>
              <w:ind w:firstLine="0" w:firstLineChars="0"/>
              <w:rPr>
                <w:rFonts w:ascii="Times New Roman"/>
                <w:sz w:val="24"/>
                <w:szCs w:val="24"/>
              </w:rPr>
            </w:pPr>
          </w:p>
        </w:tc>
      </w:tr>
      <w:tr>
        <w:tblPrEx>
          <w:tblW w:w="9002" w:type="dxa"/>
          <w:jc w:val="center"/>
          <w:tblLayout w:type="fixed"/>
          <w:tblCellMar>
            <w:top w:w="0" w:type="dxa"/>
            <w:left w:w="108" w:type="dxa"/>
            <w:bottom w:w="0" w:type="dxa"/>
            <w:right w:w="108" w:type="dxa"/>
          </w:tblCellMar>
          <w:tblLook w:val="0000"/>
        </w:tblPrEx>
        <w:trPr>
          <w:cantSplit/>
          <w:jc w:val="center"/>
        </w:trPr>
        <w:tc>
          <w:tcPr>
            <w:tcW w:w="818" w:type="dxa"/>
            <w:vMerge/>
            <w:vAlign w:val="center"/>
          </w:tcPr>
          <w:p>
            <w:pPr>
              <w:pStyle w:val="a2"/>
              <w:ind w:firstLine="0" w:firstLineChars="0"/>
              <w:rPr>
                <w:rFonts w:ascii="Times New Roman"/>
                <w:sz w:val="24"/>
                <w:szCs w:val="24"/>
              </w:rPr>
            </w:pPr>
          </w:p>
        </w:tc>
        <w:tc>
          <w:tcPr>
            <w:tcW w:w="971" w:type="dxa"/>
            <w:gridSpan w:val="2"/>
            <w:vMerge/>
            <w:vAlign w:val="center"/>
          </w:tcPr>
          <w:p>
            <w:pPr>
              <w:pStyle w:val="a2"/>
              <w:ind w:firstLine="0" w:firstLineChars="0"/>
              <w:rPr>
                <w:rFonts w:ascii="Times New Roman"/>
                <w:sz w:val="24"/>
                <w:szCs w:val="24"/>
              </w:rPr>
            </w:pPr>
          </w:p>
        </w:tc>
        <w:tc>
          <w:tcPr>
            <w:tcW w:w="1876" w:type="dxa"/>
            <w:gridSpan w:val="6"/>
            <w:vMerge/>
            <w:vAlign w:val="center"/>
          </w:tcPr>
          <w:p>
            <w:pPr>
              <w:pStyle w:val="a2"/>
              <w:ind w:firstLine="0" w:firstLineChars="0"/>
              <w:rPr>
                <w:rFonts w:ascii="Times New Roman"/>
                <w:sz w:val="24"/>
                <w:szCs w:val="24"/>
              </w:rPr>
            </w:pPr>
          </w:p>
        </w:tc>
        <w:tc>
          <w:tcPr>
            <w:tcW w:w="1401" w:type="dxa"/>
            <w:vAlign w:val="center"/>
          </w:tcPr>
          <w:p>
            <w:pPr>
              <w:pStyle w:val="a2"/>
              <w:ind w:firstLine="0" w:firstLineChars="0"/>
              <w:rPr>
                <w:rFonts w:ascii="Times New Roman"/>
                <w:sz w:val="24"/>
                <w:szCs w:val="24"/>
              </w:rPr>
            </w:pPr>
            <w:r>
              <w:rPr>
                <w:rFonts w:ascii="Times New Roman"/>
                <w:sz w:val="24"/>
                <w:szCs w:val="24"/>
              </w:rPr>
              <w:t>宽脉冲</w:t>
            </w:r>
          </w:p>
        </w:tc>
        <w:tc>
          <w:tcPr>
            <w:tcW w:w="3936" w:type="dxa"/>
            <w:vMerge/>
            <w:vAlign w:val="center"/>
          </w:tcPr>
          <w:p>
            <w:pPr>
              <w:pStyle w:val="a2"/>
              <w:ind w:firstLine="0" w:firstLineChars="0"/>
              <w:rPr>
                <w:rFonts w:ascii="Times New Roman"/>
                <w:sz w:val="24"/>
                <w:szCs w:val="24"/>
              </w:rPr>
            </w:pPr>
          </w:p>
        </w:tc>
      </w:tr>
      <w:tr>
        <w:tblPrEx>
          <w:tblW w:w="9002" w:type="dxa"/>
          <w:jc w:val="center"/>
          <w:tblLayout w:type="fixed"/>
          <w:tblCellMar>
            <w:top w:w="0" w:type="dxa"/>
            <w:left w:w="108" w:type="dxa"/>
            <w:bottom w:w="0" w:type="dxa"/>
            <w:right w:w="108" w:type="dxa"/>
          </w:tblCellMar>
          <w:tblLook w:val="0000"/>
        </w:tblPrEx>
        <w:trPr>
          <w:cantSplit/>
          <w:trHeight w:val="744"/>
          <w:jc w:val="center"/>
        </w:trPr>
        <w:tc>
          <w:tcPr>
            <w:tcW w:w="818" w:type="dxa"/>
            <w:vMerge w:val="restart"/>
            <w:vAlign w:val="center"/>
          </w:tcPr>
          <w:p>
            <w:pPr>
              <w:pStyle w:val="a2"/>
              <w:ind w:firstLine="0" w:firstLineChars="0"/>
              <w:jc w:val="both"/>
              <w:rPr>
                <w:rFonts w:ascii="Times New Roman"/>
                <w:sz w:val="24"/>
                <w:szCs w:val="24"/>
              </w:rPr>
            </w:pPr>
            <w:r>
              <w:rPr>
                <w:rFonts w:ascii="Times New Roman"/>
                <w:sz w:val="24"/>
                <w:szCs w:val="24"/>
              </w:rPr>
              <w:t>径向速度测量检</w:t>
            </w:r>
            <w:r>
              <w:rPr>
                <w:rFonts w:ascii="Times New Roman" w:hint="eastAsia"/>
                <w:sz w:val="24"/>
                <w:szCs w:val="24"/>
              </w:rPr>
              <w:t xml:space="preserve">  </w:t>
            </w:r>
            <w:r>
              <w:rPr>
                <w:rFonts w:ascii="Times New Roman"/>
                <w:sz w:val="24"/>
                <w:szCs w:val="24"/>
              </w:rPr>
              <w:t>验</w:t>
            </w:r>
          </w:p>
        </w:tc>
        <w:tc>
          <w:tcPr>
            <w:tcW w:w="971" w:type="dxa"/>
            <w:gridSpan w:val="2"/>
            <w:vMerge w:val="restart"/>
            <w:vAlign w:val="center"/>
          </w:tcPr>
          <w:p>
            <w:pPr>
              <w:pStyle w:val="a2"/>
              <w:ind w:firstLine="0" w:firstLineChars="0"/>
              <w:jc w:val="left"/>
              <w:rPr>
                <w:rFonts w:ascii="Times New Roman"/>
                <w:sz w:val="24"/>
                <w:szCs w:val="24"/>
              </w:rPr>
            </w:pPr>
            <w:r>
              <w:rPr>
                <w:rFonts w:ascii="Times New Roman"/>
                <w:sz w:val="24"/>
                <w:szCs w:val="24"/>
              </w:rPr>
              <w:t>单重频速度测量最大误差(m/s)</w:t>
            </w:r>
          </w:p>
        </w:tc>
        <w:tc>
          <w:tcPr>
            <w:tcW w:w="3277" w:type="dxa"/>
            <w:gridSpan w:val="7"/>
            <w:vAlign w:val="center"/>
          </w:tcPr>
          <w:p>
            <w:pPr>
              <w:pStyle w:val="a2"/>
              <w:ind w:firstLine="0" w:firstLineChars="0"/>
              <w:rPr>
                <w:rFonts w:ascii="Times New Roman"/>
                <w:sz w:val="24"/>
                <w:szCs w:val="24"/>
              </w:rPr>
            </w:pPr>
            <w:r>
              <w:rPr>
                <w:rFonts w:ascii="Times New Roman"/>
                <w:sz w:val="24"/>
                <w:szCs w:val="24"/>
              </w:rPr>
              <w:t>水平</w:t>
            </w:r>
          </w:p>
        </w:tc>
        <w:tc>
          <w:tcPr>
            <w:tcW w:w="3936" w:type="dxa"/>
            <w:vMerge w:val="restart"/>
            <w:vAlign w:val="center"/>
          </w:tcPr>
          <w:p>
            <w:pPr>
              <w:pStyle w:val="a2"/>
              <w:ind w:firstLine="0" w:firstLineChars="0"/>
              <w:rPr>
                <w:rFonts w:ascii="Times New Roman"/>
                <w:sz w:val="24"/>
                <w:szCs w:val="24"/>
              </w:rPr>
            </w:pPr>
            <w:r>
              <w:rPr>
                <w:rFonts w:ascii="Times New Roman"/>
                <w:sz w:val="24"/>
                <w:szCs w:val="24"/>
              </w:rPr>
              <w:t>±1.0之间</w:t>
            </w:r>
          </w:p>
        </w:tc>
      </w:tr>
      <w:tr>
        <w:tblPrEx>
          <w:tblW w:w="9002" w:type="dxa"/>
          <w:jc w:val="center"/>
          <w:tblLayout w:type="fixed"/>
          <w:tblCellMar>
            <w:top w:w="0" w:type="dxa"/>
            <w:left w:w="108" w:type="dxa"/>
            <w:bottom w:w="0" w:type="dxa"/>
            <w:right w:w="108" w:type="dxa"/>
          </w:tblCellMar>
          <w:tblLook w:val="0000"/>
        </w:tblPrEx>
        <w:trPr>
          <w:cantSplit/>
          <w:trHeight w:val="686"/>
          <w:jc w:val="center"/>
        </w:trPr>
        <w:tc>
          <w:tcPr>
            <w:tcW w:w="818" w:type="dxa"/>
            <w:vMerge/>
            <w:vAlign w:val="center"/>
          </w:tcPr>
          <w:p>
            <w:pPr>
              <w:pStyle w:val="a2"/>
              <w:ind w:firstLine="0" w:firstLineChars="0"/>
              <w:jc w:val="both"/>
              <w:rPr>
                <w:rFonts w:ascii="Times New Roman"/>
                <w:sz w:val="24"/>
                <w:szCs w:val="24"/>
              </w:rPr>
            </w:pPr>
          </w:p>
        </w:tc>
        <w:tc>
          <w:tcPr>
            <w:tcW w:w="971" w:type="dxa"/>
            <w:gridSpan w:val="2"/>
            <w:vMerge/>
            <w:vAlign w:val="center"/>
          </w:tcPr>
          <w:p>
            <w:pPr>
              <w:pStyle w:val="a2"/>
              <w:ind w:firstLine="0" w:firstLineChars="0"/>
              <w:jc w:val="left"/>
              <w:rPr>
                <w:rFonts w:ascii="Times New Roman"/>
                <w:sz w:val="24"/>
                <w:szCs w:val="24"/>
              </w:rPr>
            </w:pPr>
          </w:p>
        </w:tc>
        <w:tc>
          <w:tcPr>
            <w:tcW w:w="3277" w:type="dxa"/>
            <w:gridSpan w:val="7"/>
            <w:vAlign w:val="center"/>
          </w:tcPr>
          <w:p>
            <w:pPr>
              <w:pStyle w:val="a2"/>
              <w:ind w:firstLine="0" w:firstLineChars="0"/>
              <w:rPr>
                <w:rFonts w:ascii="Times New Roman"/>
                <w:sz w:val="24"/>
                <w:szCs w:val="24"/>
              </w:rPr>
            </w:pPr>
            <w:r>
              <w:rPr>
                <w:rFonts w:ascii="Times New Roman"/>
                <w:sz w:val="24"/>
                <w:szCs w:val="24"/>
              </w:rPr>
              <w:t>垂直</w:t>
            </w:r>
          </w:p>
        </w:tc>
        <w:tc>
          <w:tcPr>
            <w:tcW w:w="3936" w:type="dxa"/>
            <w:vMerge/>
            <w:vAlign w:val="center"/>
          </w:tcPr>
          <w:p>
            <w:pPr>
              <w:pStyle w:val="a2"/>
              <w:ind w:firstLine="0" w:firstLineChars="0"/>
              <w:rPr>
                <w:rFonts w:ascii="Times New Roman"/>
                <w:sz w:val="24"/>
                <w:szCs w:val="24"/>
              </w:rPr>
            </w:pPr>
          </w:p>
        </w:tc>
      </w:tr>
      <w:tr>
        <w:tblPrEx>
          <w:tblW w:w="9002" w:type="dxa"/>
          <w:jc w:val="center"/>
          <w:tblLayout w:type="fixed"/>
          <w:tblCellMar>
            <w:top w:w="0" w:type="dxa"/>
            <w:left w:w="108" w:type="dxa"/>
            <w:bottom w:w="0" w:type="dxa"/>
            <w:right w:w="108" w:type="dxa"/>
          </w:tblCellMar>
          <w:tblLook w:val="0000"/>
        </w:tblPrEx>
        <w:trPr>
          <w:cantSplit/>
          <w:trHeight w:val="637"/>
          <w:jc w:val="center"/>
        </w:trPr>
        <w:tc>
          <w:tcPr>
            <w:tcW w:w="818" w:type="dxa"/>
            <w:vMerge/>
            <w:vAlign w:val="center"/>
          </w:tcPr>
          <w:p>
            <w:pPr>
              <w:pStyle w:val="a2"/>
              <w:ind w:firstLine="0" w:firstLineChars="0"/>
              <w:jc w:val="both"/>
              <w:rPr>
                <w:rFonts w:ascii="Times New Roman"/>
                <w:sz w:val="24"/>
                <w:szCs w:val="24"/>
              </w:rPr>
            </w:pPr>
          </w:p>
        </w:tc>
        <w:tc>
          <w:tcPr>
            <w:tcW w:w="971" w:type="dxa"/>
            <w:gridSpan w:val="2"/>
            <w:vMerge w:val="restart"/>
            <w:vAlign w:val="center"/>
          </w:tcPr>
          <w:p>
            <w:pPr>
              <w:pStyle w:val="a2"/>
              <w:ind w:firstLine="0" w:firstLineChars="0"/>
              <w:jc w:val="both"/>
              <w:rPr>
                <w:rFonts w:ascii="Times New Roman"/>
                <w:color w:val="auto"/>
                <w:sz w:val="24"/>
                <w:szCs w:val="24"/>
              </w:rPr>
            </w:pPr>
            <w:r>
              <w:rPr>
                <w:rFonts w:ascii="Times New Roman"/>
                <w:color w:val="auto"/>
                <w:sz w:val="24"/>
                <w:szCs w:val="24"/>
              </w:rPr>
              <w:t>双重频速度测量最大偏差(m/s)</w:t>
            </w:r>
          </w:p>
        </w:tc>
        <w:tc>
          <w:tcPr>
            <w:tcW w:w="3277" w:type="dxa"/>
            <w:gridSpan w:val="7"/>
            <w:vAlign w:val="center"/>
          </w:tcPr>
          <w:p>
            <w:pPr>
              <w:pStyle w:val="a2"/>
              <w:ind w:firstLine="0" w:firstLineChars="0"/>
              <w:rPr>
                <w:rFonts w:ascii="Times New Roman"/>
                <w:sz w:val="24"/>
                <w:szCs w:val="24"/>
              </w:rPr>
            </w:pPr>
            <w:r>
              <w:rPr>
                <w:rFonts w:ascii="Times New Roman"/>
                <w:sz w:val="24"/>
                <w:szCs w:val="24"/>
              </w:rPr>
              <w:t>水平</w:t>
            </w:r>
          </w:p>
        </w:tc>
        <w:tc>
          <w:tcPr>
            <w:tcW w:w="3936" w:type="dxa"/>
            <w:vMerge w:val="restart"/>
            <w:vAlign w:val="center"/>
          </w:tcPr>
          <w:p>
            <w:pPr>
              <w:pStyle w:val="a2"/>
              <w:ind w:firstLine="0" w:firstLineChars="0"/>
              <w:rPr>
                <w:rFonts w:ascii="Times New Roman"/>
                <w:sz w:val="24"/>
                <w:szCs w:val="24"/>
              </w:rPr>
            </w:pPr>
            <w:r>
              <w:rPr>
                <w:rFonts w:ascii="Times New Roman"/>
                <w:sz w:val="24"/>
                <w:szCs w:val="24"/>
              </w:rPr>
              <w:t>±1.0之间</w:t>
            </w:r>
          </w:p>
        </w:tc>
      </w:tr>
      <w:tr>
        <w:tblPrEx>
          <w:tblW w:w="9002" w:type="dxa"/>
          <w:jc w:val="center"/>
          <w:tblLayout w:type="fixed"/>
          <w:tblCellMar>
            <w:top w:w="0" w:type="dxa"/>
            <w:left w:w="108" w:type="dxa"/>
            <w:bottom w:w="0" w:type="dxa"/>
            <w:right w:w="108" w:type="dxa"/>
          </w:tblCellMar>
          <w:tblLook w:val="0000"/>
        </w:tblPrEx>
        <w:trPr>
          <w:cantSplit/>
          <w:trHeight w:val="729"/>
          <w:jc w:val="center"/>
        </w:trPr>
        <w:tc>
          <w:tcPr>
            <w:tcW w:w="818" w:type="dxa"/>
            <w:vMerge/>
            <w:vAlign w:val="center"/>
          </w:tcPr>
          <w:p>
            <w:pPr>
              <w:pStyle w:val="a2"/>
              <w:ind w:firstLine="0" w:firstLineChars="0"/>
              <w:jc w:val="both"/>
              <w:rPr>
                <w:rFonts w:ascii="Times New Roman"/>
                <w:sz w:val="24"/>
                <w:szCs w:val="24"/>
              </w:rPr>
            </w:pPr>
          </w:p>
        </w:tc>
        <w:tc>
          <w:tcPr>
            <w:tcW w:w="971" w:type="dxa"/>
            <w:gridSpan w:val="2"/>
            <w:vMerge/>
            <w:vAlign w:val="center"/>
          </w:tcPr>
          <w:p>
            <w:pPr>
              <w:pStyle w:val="a2"/>
              <w:ind w:firstLine="0" w:firstLineChars="0"/>
              <w:jc w:val="both"/>
              <w:rPr>
                <w:rFonts w:ascii="Times New Roman"/>
                <w:color w:val="auto"/>
                <w:sz w:val="24"/>
                <w:szCs w:val="24"/>
              </w:rPr>
            </w:pPr>
          </w:p>
        </w:tc>
        <w:tc>
          <w:tcPr>
            <w:tcW w:w="3277" w:type="dxa"/>
            <w:gridSpan w:val="7"/>
            <w:vAlign w:val="center"/>
          </w:tcPr>
          <w:p>
            <w:pPr>
              <w:pStyle w:val="a2"/>
              <w:ind w:firstLine="0" w:firstLineChars="0"/>
              <w:rPr>
                <w:rFonts w:ascii="Times New Roman"/>
                <w:sz w:val="24"/>
                <w:szCs w:val="24"/>
              </w:rPr>
            </w:pPr>
            <w:r>
              <w:rPr>
                <w:rFonts w:ascii="Times New Roman"/>
                <w:sz w:val="24"/>
                <w:szCs w:val="24"/>
              </w:rPr>
              <w:t>垂直</w:t>
            </w:r>
          </w:p>
        </w:tc>
        <w:tc>
          <w:tcPr>
            <w:tcW w:w="3936" w:type="dxa"/>
            <w:vMerge/>
            <w:vAlign w:val="center"/>
          </w:tcPr>
          <w:p>
            <w:pPr>
              <w:pStyle w:val="a2"/>
              <w:ind w:firstLine="0" w:firstLineChars="0"/>
              <w:rPr>
                <w:rFonts w:ascii="Times New Roman"/>
                <w:sz w:val="24"/>
                <w:szCs w:val="24"/>
              </w:rPr>
            </w:pPr>
          </w:p>
        </w:tc>
      </w:tr>
      <w:tr>
        <w:tblPrEx>
          <w:tblW w:w="9002" w:type="dxa"/>
          <w:jc w:val="center"/>
          <w:tblLayout w:type="fixed"/>
          <w:tblCellMar>
            <w:top w:w="0" w:type="dxa"/>
            <w:left w:w="108" w:type="dxa"/>
            <w:bottom w:w="0" w:type="dxa"/>
            <w:right w:w="108" w:type="dxa"/>
          </w:tblCellMar>
          <w:tblLook w:val="0000"/>
        </w:tblPrEx>
        <w:trPr>
          <w:cantSplit/>
          <w:trHeight w:val="499"/>
          <w:jc w:val="center"/>
        </w:trPr>
        <w:tc>
          <w:tcPr>
            <w:tcW w:w="818" w:type="dxa"/>
            <w:vMerge/>
            <w:vAlign w:val="center"/>
          </w:tcPr>
          <w:p>
            <w:pPr>
              <w:pStyle w:val="a2"/>
              <w:ind w:firstLine="0" w:firstLineChars="0"/>
              <w:rPr>
                <w:rFonts w:ascii="Times New Roman"/>
                <w:sz w:val="24"/>
                <w:szCs w:val="24"/>
              </w:rPr>
            </w:pPr>
          </w:p>
        </w:tc>
        <w:tc>
          <w:tcPr>
            <w:tcW w:w="4248" w:type="dxa"/>
            <w:gridSpan w:val="9"/>
            <w:vAlign w:val="center"/>
          </w:tcPr>
          <w:p>
            <w:pPr>
              <w:pStyle w:val="a2"/>
              <w:ind w:firstLine="0" w:firstLineChars="0"/>
              <w:rPr>
                <w:rFonts w:ascii="Times New Roman"/>
                <w:sz w:val="24"/>
                <w:szCs w:val="24"/>
              </w:rPr>
            </w:pPr>
            <w:r>
              <w:rPr>
                <w:rFonts w:ascii="Times New Roman"/>
                <w:sz w:val="24"/>
                <w:szCs w:val="24"/>
              </w:rPr>
              <w:t>径向速度测量最大误差(m/s)</w:t>
            </w:r>
          </w:p>
        </w:tc>
        <w:tc>
          <w:tcPr>
            <w:tcW w:w="3936" w:type="dxa"/>
            <w:vMerge w:val="restart"/>
            <w:vAlign w:val="center"/>
          </w:tcPr>
          <w:p>
            <w:pPr>
              <w:pStyle w:val="a2"/>
              <w:ind w:firstLine="0" w:firstLineChars="0"/>
              <w:rPr>
                <w:rFonts w:ascii="Times New Roman"/>
                <w:sz w:val="24"/>
                <w:szCs w:val="24"/>
              </w:rPr>
            </w:pPr>
            <w:r>
              <w:rPr>
                <w:rFonts w:ascii="Times New Roman"/>
                <w:sz w:val="24"/>
                <w:szCs w:val="24"/>
              </w:rPr>
              <w:t>±1.0之间</w:t>
            </w:r>
          </w:p>
        </w:tc>
      </w:tr>
      <w:tr>
        <w:tblPrEx>
          <w:tblW w:w="9002" w:type="dxa"/>
          <w:jc w:val="center"/>
          <w:tblLayout w:type="fixed"/>
          <w:tblCellMar>
            <w:top w:w="0" w:type="dxa"/>
            <w:left w:w="108" w:type="dxa"/>
            <w:bottom w:w="0" w:type="dxa"/>
            <w:right w:w="108" w:type="dxa"/>
          </w:tblCellMar>
          <w:tblLook w:val="0000"/>
        </w:tblPrEx>
        <w:trPr>
          <w:cantSplit/>
          <w:trHeight w:val="371"/>
          <w:jc w:val="center"/>
        </w:trPr>
        <w:tc>
          <w:tcPr>
            <w:tcW w:w="818" w:type="dxa"/>
            <w:vMerge/>
            <w:vAlign w:val="center"/>
          </w:tcPr>
          <w:p>
            <w:pPr>
              <w:pStyle w:val="a2"/>
              <w:ind w:firstLine="0" w:firstLineChars="0"/>
              <w:rPr>
                <w:rFonts w:ascii="Times New Roman"/>
                <w:sz w:val="24"/>
                <w:szCs w:val="24"/>
              </w:rPr>
            </w:pPr>
          </w:p>
        </w:tc>
        <w:tc>
          <w:tcPr>
            <w:tcW w:w="4248" w:type="dxa"/>
            <w:gridSpan w:val="9"/>
            <w:vAlign w:val="center"/>
          </w:tcPr>
          <w:p>
            <w:pPr>
              <w:pStyle w:val="a2"/>
              <w:ind w:firstLine="0" w:firstLineChars="0"/>
              <w:rPr>
                <w:rFonts w:ascii="Times New Roman"/>
                <w:sz w:val="24"/>
                <w:szCs w:val="24"/>
              </w:rPr>
            </w:pPr>
            <w:r>
              <w:rPr>
                <w:rFonts w:ascii="Times New Roman"/>
                <w:sz w:val="24"/>
                <w:szCs w:val="24"/>
              </w:rPr>
              <w:t>速度谱宽测量最大误差(m/s)</w:t>
            </w:r>
          </w:p>
        </w:tc>
        <w:tc>
          <w:tcPr>
            <w:tcW w:w="3936" w:type="dxa"/>
            <w:vMerge/>
            <w:vAlign w:val="center"/>
          </w:tcPr>
          <w:p>
            <w:pPr>
              <w:pStyle w:val="a2"/>
              <w:ind w:firstLine="0" w:firstLineChars="0"/>
              <w:rPr>
                <w:rFonts w:ascii="Times New Roman"/>
                <w:sz w:val="24"/>
                <w:szCs w:val="24"/>
              </w:rPr>
            </w:pPr>
          </w:p>
        </w:tc>
      </w:tr>
      <w:tr>
        <w:tblPrEx>
          <w:tblW w:w="9002" w:type="dxa"/>
          <w:jc w:val="center"/>
          <w:tblLayout w:type="fixed"/>
          <w:tblCellMar>
            <w:top w:w="0" w:type="dxa"/>
            <w:left w:w="108" w:type="dxa"/>
            <w:bottom w:w="0" w:type="dxa"/>
            <w:right w:w="108" w:type="dxa"/>
          </w:tblCellMar>
          <w:tblLook w:val="0000"/>
        </w:tblPrEx>
        <w:trPr>
          <w:cantSplit/>
          <w:trHeight w:val="440"/>
          <w:jc w:val="center"/>
        </w:trPr>
        <w:tc>
          <w:tcPr>
            <w:tcW w:w="1789" w:type="dxa"/>
            <w:gridSpan w:val="3"/>
            <w:vMerge w:val="restart"/>
            <w:vAlign w:val="center"/>
          </w:tcPr>
          <w:p>
            <w:pPr>
              <w:pStyle w:val="a2"/>
              <w:ind w:firstLine="0" w:firstLineChars="0"/>
              <w:jc w:val="both"/>
              <w:rPr>
                <w:rFonts w:ascii="Times New Roman"/>
                <w:sz w:val="24"/>
                <w:szCs w:val="24"/>
              </w:rPr>
            </w:pPr>
            <w:r>
              <w:rPr>
                <w:rFonts w:ascii="Times New Roman"/>
                <w:sz w:val="24"/>
                <w:szCs w:val="24"/>
              </w:rPr>
              <w:t>双偏振参数</w:t>
            </w:r>
          </w:p>
          <w:p>
            <w:pPr>
              <w:pStyle w:val="a2"/>
              <w:ind w:firstLine="0" w:firstLineChars="0"/>
              <w:jc w:val="both"/>
              <w:rPr>
                <w:rFonts w:ascii="Times New Roman"/>
                <w:sz w:val="24"/>
                <w:szCs w:val="24"/>
              </w:rPr>
            </w:pPr>
            <w:r>
              <w:rPr>
                <w:rFonts w:ascii="Times New Roman"/>
                <w:sz w:val="24"/>
                <w:szCs w:val="24"/>
              </w:rPr>
              <w:t>检验</w:t>
            </w:r>
          </w:p>
        </w:tc>
        <w:tc>
          <w:tcPr>
            <w:tcW w:w="3277" w:type="dxa"/>
            <w:gridSpan w:val="7"/>
            <w:vMerge w:val="restart"/>
            <w:vAlign w:val="center"/>
          </w:tcPr>
          <w:p>
            <w:pPr>
              <w:pStyle w:val="a2"/>
              <w:ind w:firstLine="0" w:firstLineChars="0"/>
              <w:rPr>
                <w:rFonts w:ascii="Times New Roman"/>
                <w:sz w:val="24"/>
                <w:szCs w:val="24"/>
              </w:rPr>
            </w:pPr>
            <w:r>
              <w:rPr>
                <w:rFonts w:ascii="Times New Roman"/>
                <w:sz w:val="24"/>
                <w:szCs w:val="24"/>
              </w:rPr>
              <w:t>差分反射率标准差(dB)</w:t>
            </w:r>
          </w:p>
        </w:tc>
        <w:tc>
          <w:tcPr>
            <w:tcW w:w="3936" w:type="dxa"/>
            <w:vMerge w:val="restart"/>
            <w:vAlign w:val="center"/>
          </w:tcPr>
          <w:p>
            <w:pPr>
              <w:pStyle w:val="a2"/>
              <w:ind w:firstLine="0" w:firstLineChars="0"/>
              <w:rPr>
                <w:rFonts w:ascii="Times New Roman"/>
                <w:sz w:val="24"/>
                <w:szCs w:val="24"/>
              </w:rPr>
            </w:pPr>
            <w:r>
              <w:rPr>
                <w:rFonts w:ascii="Times New Roman"/>
                <w:sz w:val="24"/>
                <w:szCs w:val="24"/>
              </w:rPr>
              <w:t>≤0.2</w:t>
            </w:r>
          </w:p>
        </w:tc>
      </w:tr>
      <w:tr>
        <w:tblPrEx>
          <w:tblW w:w="9002" w:type="dxa"/>
          <w:jc w:val="center"/>
          <w:tblLayout w:type="fixed"/>
          <w:tblCellMar>
            <w:top w:w="0" w:type="dxa"/>
            <w:left w:w="108" w:type="dxa"/>
            <w:bottom w:w="0" w:type="dxa"/>
            <w:right w:w="108" w:type="dxa"/>
          </w:tblCellMar>
          <w:tblLook w:val="0000"/>
        </w:tblPrEx>
        <w:trPr>
          <w:cantSplit/>
          <w:trHeight w:val="440"/>
          <w:jc w:val="center"/>
        </w:trPr>
        <w:tc>
          <w:tcPr>
            <w:tcW w:w="1789" w:type="dxa"/>
            <w:gridSpan w:val="3"/>
            <w:vMerge/>
            <w:vAlign w:val="center"/>
          </w:tcPr>
          <w:p>
            <w:pPr>
              <w:pStyle w:val="a2"/>
              <w:ind w:firstLine="0" w:firstLineChars="0"/>
              <w:rPr>
                <w:rFonts w:ascii="Times New Roman"/>
                <w:sz w:val="24"/>
                <w:szCs w:val="24"/>
              </w:rPr>
            </w:pPr>
          </w:p>
        </w:tc>
        <w:tc>
          <w:tcPr>
            <w:tcW w:w="3277" w:type="dxa"/>
            <w:gridSpan w:val="7"/>
            <w:vMerge/>
            <w:vAlign w:val="center"/>
          </w:tcPr>
          <w:p>
            <w:pPr>
              <w:pStyle w:val="a2"/>
              <w:ind w:firstLine="0" w:firstLineChars="0"/>
              <w:rPr>
                <w:rFonts w:ascii="Times New Roman"/>
                <w:sz w:val="24"/>
                <w:szCs w:val="24"/>
              </w:rPr>
            </w:pPr>
          </w:p>
        </w:tc>
        <w:tc>
          <w:tcPr>
            <w:tcW w:w="3936" w:type="dxa"/>
            <w:vMerge/>
            <w:vAlign w:val="center"/>
          </w:tcPr>
          <w:p>
            <w:pPr>
              <w:pStyle w:val="a2"/>
              <w:ind w:firstLine="0" w:firstLineChars="0"/>
              <w:rPr>
                <w:rFonts w:ascii="Times New Roman"/>
                <w:sz w:val="24"/>
                <w:szCs w:val="24"/>
              </w:rPr>
            </w:pPr>
          </w:p>
        </w:tc>
      </w:tr>
      <w:tr>
        <w:tblPrEx>
          <w:tblW w:w="9002" w:type="dxa"/>
          <w:jc w:val="center"/>
          <w:tblLayout w:type="fixed"/>
          <w:tblCellMar>
            <w:top w:w="0" w:type="dxa"/>
            <w:left w:w="108" w:type="dxa"/>
            <w:bottom w:w="0" w:type="dxa"/>
            <w:right w:w="108" w:type="dxa"/>
          </w:tblCellMar>
          <w:tblLook w:val="0000"/>
        </w:tblPrEx>
        <w:trPr>
          <w:cantSplit/>
          <w:trHeight w:val="860"/>
          <w:jc w:val="center"/>
        </w:trPr>
        <w:tc>
          <w:tcPr>
            <w:tcW w:w="1789" w:type="dxa"/>
            <w:gridSpan w:val="3"/>
            <w:vMerge/>
            <w:vAlign w:val="center"/>
          </w:tcPr>
          <w:p>
            <w:pPr>
              <w:pStyle w:val="a2"/>
              <w:ind w:firstLine="0" w:firstLineChars="0"/>
              <w:rPr>
                <w:rFonts w:ascii="Times New Roman"/>
                <w:sz w:val="24"/>
                <w:szCs w:val="24"/>
              </w:rPr>
            </w:pPr>
          </w:p>
        </w:tc>
        <w:tc>
          <w:tcPr>
            <w:tcW w:w="3277" w:type="dxa"/>
            <w:gridSpan w:val="7"/>
            <w:vAlign w:val="center"/>
          </w:tcPr>
          <w:p>
            <w:pPr>
              <w:pStyle w:val="a2"/>
              <w:ind w:firstLine="0" w:firstLineChars="0"/>
              <w:rPr>
                <w:rFonts w:ascii="Times New Roman"/>
                <w:sz w:val="24"/>
                <w:szCs w:val="24"/>
              </w:rPr>
            </w:pPr>
            <w:r>
              <w:rPr>
                <w:rFonts w:ascii="Times New Roman"/>
                <w:sz w:val="24"/>
                <w:szCs w:val="24"/>
              </w:rPr>
              <w:t>差分传播相移标准差(°)</w:t>
            </w:r>
          </w:p>
        </w:tc>
        <w:tc>
          <w:tcPr>
            <w:tcW w:w="3936" w:type="dxa"/>
            <w:vAlign w:val="center"/>
          </w:tcPr>
          <w:p>
            <w:pPr>
              <w:pStyle w:val="a2"/>
              <w:ind w:firstLine="0" w:firstLineChars="0"/>
              <w:rPr>
                <w:rFonts w:ascii="Times New Roman"/>
                <w:sz w:val="24"/>
                <w:szCs w:val="24"/>
              </w:rPr>
            </w:pPr>
            <w:r>
              <w:rPr>
                <w:rFonts w:ascii="Times New Roman"/>
                <w:sz w:val="24"/>
                <w:szCs w:val="24"/>
                <w:highlight w:val="none"/>
              </w:rPr>
              <w:t>≤3.0</w:t>
            </w:r>
          </w:p>
        </w:tc>
      </w:tr>
      <w:tr>
        <w:tblPrEx>
          <w:tblW w:w="9002" w:type="dxa"/>
          <w:jc w:val="center"/>
          <w:tblLayout w:type="fixed"/>
          <w:tblCellMar>
            <w:top w:w="0" w:type="dxa"/>
            <w:left w:w="108" w:type="dxa"/>
            <w:bottom w:w="0" w:type="dxa"/>
            <w:right w:w="108" w:type="dxa"/>
          </w:tblCellMar>
          <w:tblLook w:val="0000"/>
        </w:tblPrEx>
        <w:trPr>
          <w:cantSplit/>
          <w:trHeight w:val="340"/>
          <w:jc w:val="center"/>
        </w:trPr>
        <w:tc>
          <w:tcPr>
            <w:tcW w:w="1789" w:type="dxa"/>
            <w:gridSpan w:val="3"/>
            <w:vMerge w:val="restart"/>
            <w:vAlign w:val="center"/>
          </w:tcPr>
          <w:p>
            <w:pPr>
              <w:pStyle w:val="a2"/>
              <w:ind w:firstLine="0" w:firstLineChars="0"/>
              <w:jc w:val="both"/>
              <w:rPr>
                <w:rFonts w:ascii="Times New Roman"/>
                <w:sz w:val="24"/>
                <w:szCs w:val="24"/>
              </w:rPr>
            </w:pPr>
            <w:r>
              <w:rPr>
                <w:rFonts w:ascii="Times New Roman"/>
                <w:sz w:val="24"/>
                <w:szCs w:val="24"/>
              </w:rPr>
              <w:t>在线自动标校能力检验</w:t>
            </w:r>
          </w:p>
        </w:tc>
        <w:tc>
          <w:tcPr>
            <w:tcW w:w="1876" w:type="dxa"/>
            <w:gridSpan w:val="6"/>
            <w:vMerge w:val="restart"/>
            <w:vAlign w:val="center"/>
          </w:tcPr>
          <w:p>
            <w:pPr>
              <w:pStyle w:val="a2"/>
              <w:ind w:firstLine="0" w:firstLineChars="0"/>
              <w:rPr>
                <w:rFonts w:ascii="Times New Roman"/>
                <w:sz w:val="24"/>
                <w:szCs w:val="24"/>
              </w:rPr>
            </w:pPr>
            <w:r>
              <w:rPr>
                <w:rFonts w:ascii="Times New Roman"/>
                <w:sz w:val="24"/>
                <w:szCs w:val="24"/>
              </w:rPr>
              <w:t>水平</w:t>
            </w:r>
          </w:p>
        </w:tc>
        <w:tc>
          <w:tcPr>
            <w:tcW w:w="1401" w:type="dxa"/>
            <w:vAlign w:val="center"/>
          </w:tcPr>
          <w:p>
            <w:pPr>
              <w:pStyle w:val="a2"/>
              <w:ind w:firstLine="0" w:firstLineChars="0"/>
              <w:rPr>
                <w:rFonts w:ascii="Times New Roman"/>
                <w:sz w:val="24"/>
                <w:szCs w:val="24"/>
              </w:rPr>
            </w:pPr>
            <w:r>
              <w:rPr>
                <w:rFonts w:ascii="Times New Roman"/>
                <w:sz w:val="24"/>
                <w:szCs w:val="24"/>
              </w:rPr>
              <w:t>窄脉冲</w:t>
            </w:r>
          </w:p>
        </w:tc>
        <w:tc>
          <w:tcPr>
            <w:tcW w:w="3936" w:type="dxa"/>
            <w:vMerge w:val="restart"/>
            <w:vAlign w:val="center"/>
          </w:tcPr>
          <w:p>
            <w:pPr>
              <w:pStyle w:val="a2"/>
              <w:ind w:firstLine="0" w:firstLineChars="0"/>
              <w:rPr>
                <w:rFonts w:ascii="Times New Roman"/>
                <w:sz w:val="24"/>
                <w:szCs w:val="24"/>
              </w:rPr>
            </w:pPr>
            <w:r>
              <w:rPr>
                <w:rFonts w:ascii="Times New Roman"/>
                <w:sz w:val="24"/>
                <w:szCs w:val="24"/>
              </w:rPr>
              <w:t>±1.0之间</w:t>
            </w:r>
          </w:p>
        </w:tc>
      </w:tr>
      <w:tr>
        <w:tblPrEx>
          <w:tblW w:w="9002" w:type="dxa"/>
          <w:jc w:val="center"/>
          <w:tblLayout w:type="fixed"/>
          <w:tblCellMar>
            <w:top w:w="0" w:type="dxa"/>
            <w:left w:w="108" w:type="dxa"/>
            <w:bottom w:w="0" w:type="dxa"/>
            <w:right w:w="108" w:type="dxa"/>
          </w:tblCellMar>
          <w:tblLook w:val="0000"/>
        </w:tblPrEx>
        <w:trPr>
          <w:cantSplit/>
          <w:trHeight w:val="340"/>
          <w:jc w:val="center"/>
        </w:trPr>
        <w:tc>
          <w:tcPr>
            <w:tcW w:w="1789" w:type="dxa"/>
            <w:gridSpan w:val="3"/>
            <w:vMerge/>
            <w:vAlign w:val="center"/>
          </w:tcPr>
          <w:p>
            <w:pPr>
              <w:pStyle w:val="a2"/>
              <w:ind w:firstLine="0" w:firstLineChars="0"/>
              <w:rPr>
                <w:rFonts w:ascii="Times New Roman"/>
                <w:sz w:val="24"/>
                <w:szCs w:val="24"/>
              </w:rPr>
            </w:pPr>
          </w:p>
        </w:tc>
        <w:tc>
          <w:tcPr>
            <w:tcW w:w="1876" w:type="dxa"/>
            <w:gridSpan w:val="6"/>
            <w:vMerge/>
            <w:vAlign w:val="center"/>
          </w:tcPr>
          <w:p>
            <w:pPr>
              <w:pStyle w:val="a2"/>
              <w:ind w:firstLine="0" w:firstLineChars="0"/>
              <w:rPr>
                <w:rFonts w:ascii="Times New Roman"/>
                <w:sz w:val="24"/>
                <w:szCs w:val="24"/>
              </w:rPr>
            </w:pPr>
          </w:p>
        </w:tc>
        <w:tc>
          <w:tcPr>
            <w:tcW w:w="1401" w:type="dxa"/>
            <w:vAlign w:val="center"/>
          </w:tcPr>
          <w:p>
            <w:pPr>
              <w:pStyle w:val="a2"/>
              <w:ind w:firstLine="0" w:firstLineChars="0"/>
              <w:rPr>
                <w:rFonts w:ascii="Times New Roman"/>
                <w:sz w:val="24"/>
                <w:szCs w:val="24"/>
              </w:rPr>
            </w:pPr>
            <w:r>
              <w:rPr>
                <w:rFonts w:ascii="Times New Roman"/>
                <w:sz w:val="24"/>
                <w:szCs w:val="24"/>
              </w:rPr>
              <w:t>宽脉冲</w:t>
            </w:r>
          </w:p>
        </w:tc>
        <w:tc>
          <w:tcPr>
            <w:tcW w:w="3936" w:type="dxa"/>
            <w:vMerge/>
            <w:vAlign w:val="center"/>
          </w:tcPr>
          <w:p>
            <w:pPr>
              <w:pStyle w:val="a2"/>
              <w:ind w:firstLine="0" w:firstLineChars="0"/>
              <w:rPr>
                <w:rFonts w:ascii="Times New Roman"/>
                <w:sz w:val="24"/>
                <w:szCs w:val="24"/>
              </w:rPr>
            </w:pPr>
          </w:p>
        </w:tc>
      </w:tr>
      <w:tr>
        <w:tblPrEx>
          <w:tblW w:w="9002" w:type="dxa"/>
          <w:jc w:val="center"/>
          <w:tblLayout w:type="fixed"/>
          <w:tblCellMar>
            <w:top w:w="0" w:type="dxa"/>
            <w:left w:w="108" w:type="dxa"/>
            <w:bottom w:w="0" w:type="dxa"/>
            <w:right w:w="108" w:type="dxa"/>
          </w:tblCellMar>
          <w:tblLook w:val="0000"/>
        </w:tblPrEx>
        <w:trPr>
          <w:cantSplit/>
          <w:trHeight w:val="340"/>
          <w:jc w:val="center"/>
        </w:trPr>
        <w:tc>
          <w:tcPr>
            <w:tcW w:w="1789" w:type="dxa"/>
            <w:gridSpan w:val="3"/>
            <w:vMerge/>
            <w:vAlign w:val="center"/>
          </w:tcPr>
          <w:p>
            <w:pPr>
              <w:pStyle w:val="a2"/>
              <w:ind w:firstLine="0" w:firstLineChars="0"/>
              <w:rPr>
                <w:rFonts w:ascii="Times New Roman"/>
                <w:sz w:val="24"/>
                <w:szCs w:val="24"/>
              </w:rPr>
            </w:pPr>
          </w:p>
        </w:tc>
        <w:tc>
          <w:tcPr>
            <w:tcW w:w="1876" w:type="dxa"/>
            <w:gridSpan w:val="6"/>
            <w:vMerge w:val="restart"/>
            <w:vAlign w:val="center"/>
          </w:tcPr>
          <w:p>
            <w:pPr>
              <w:pStyle w:val="a2"/>
              <w:ind w:firstLine="0" w:firstLineChars="0"/>
              <w:rPr>
                <w:rFonts w:ascii="Times New Roman"/>
                <w:sz w:val="24"/>
                <w:szCs w:val="24"/>
              </w:rPr>
            </w:pPr>
            <w:r>
              <w:rPr>
                <w:rFonts w:ascii="Times New Roman"/>
                <w:sz w:val="24"/>
                <w:szCs w:val="24"/>
              </w:rPr>
              <w:t>垂直</w:t>
            </w:r>
          </w:p>
        </w:tc>
        <w:tc>
          <w:tcPr>
            <w:tcW w:w="1401" w:type="dxa"/>
            <w:vAlign w:val="center"/>
          </w:tcPr>
          <w:p>
            <w:pPr>
              <w:pStyle w:val="a2"/>
              <w:ind w:firstLine="0" w:firstLineChars="0"/>
              <w:rPr>
                <w:rFonts w:ascii="Times New Roman"/>
                <w:sz w:val="24"/>
                <w:szCs w:val="24"/>
              </w:rPr>
            </w:pPr>
            <w:r>
              <w:rPr>
                <w:rFonts w:ascii="Times New Roman"/>
                <w:sz w:val="24"/>
                <w:szCs w:val="24"/>
              </w:rPr>
              <w:t>窄脉冲</w:t>
            </w:r>
          </w:p>
        </w:tc>
        <w:tc>
          <w:tcPr>
            <w:tcW w:w="3936" w:type="dxa"/>
            <w:vMerge/>
            <w:vAlign w:val="center"/>
          </w:tcPr>
          <w:p>
            <w:pPr>
              <w:pStyle w:val="a2"/>
              <w:ind w:firstLine="0" w:firstLineChars="0"/>
              <w:rPr>
                <w:rFonts w:ascii="Times New Roman"/>
                <w:sz w:val="24"/>
                <w:szCs w:val="24"/>
              </w:rPr>
            </w:pPr>
          </w:p>
        </w:tc>
      </w:tr>
      <w:tr>
        <w:tblPrEx>
          <w:tblW w:w="9002" w:type="dxa"/>
          <w:jc w:val="center"/>
          <w:tblLayout w:type="fixed"/>
          <w:tblCellMar>
            <w:top w:w="0" w:type="dxa"/>
            <w:left w:w="108" w:type="dxa"/>
            <w:bottom w:w="0" w:type="dxa"/>
            <w:right w:w="108" w:type="dxa"/>
          </w:tblCellMar>
          <w:tblLook w:val="0000"/>
        </w:tblPrEx>
        <w:trPr>
          <w:cantSplit/>
          <w:trHeight w:val="147"/>
          <w:jc w:val="center"/>
        </w:trPr>
        <w:tc>
          <w:tcPr>
            <w:tcW w:w="1789" w:type="dxa"/>
            <w:gridSpan w:val="3"/>
            <w:vMerge/>
            <w:vAlign w:val="center"/>
          </w:tcPr>
          <w:p>
            <w:pPr>
              <w:pStyle w:val="a2"/>
              <w:ind w:firstLine="0" w:firstLineChars="0"/>
              <w:rPr>
                <w:rFonts w:ascii="Times New Roman"/>
                <w:sz w:val="24"/>
                <w:szCs w:val="24"/>
              </w:rPr>
            </w:pPr>
          </w:p>
        </w:tc>
        <w:tc>
          <w:tcPr>
            <w:tcW w:w="1876" w:type="dxa"/>
            <w:gridSpan w:val="6"/>
            <w:vMerge/>
            <w:vAlign w:val="center"/>
          </w:tcPr>
          <w:p>
            <w:pPr>
              <w:pStyle w:val="a2"/>
              <w:ind w:firstLine="0" w:firstLineChars="0"/>
              <w:rPr>
                <w:rFonts w:ascii="Times New Roman"/>
                <w:sz w:val="24"/>
                <w:szCs w:val="24"/>
              </w:rPr>
            </w:pPr>
          </w:p>
        </w:tc>
        <w:tc>
          <w:tcPr>
            <w:tcW w:w="1401" w:type="dxa"/>
            <w:vAlign w:val="center"/>
          </w:tcPr>
          <w:p>
            <w:pPr>
              <w:pStyle w:val="a2"/>
              <w:ind w:firstLine="0" w:firstLineChars="0"/>
              <w:rPr>
                <w:rFonts w:ascii="Times New Roman"/>
                <w:sz w:val="24"/>
                <w:szCs w:val="24"/>
              </w:rPr>
            </w:pPr>
            <w:r>
              <w:rPr>
                <w:rFonts w:ascii="Times New Roman"/>
                <w:sz w:val="24"/>
                <w:szCs w:val="24"/>
              </w:rPr>
              <w:t>宽脉冲</w:t>
            </w:r>
          </w:p>
        </w:tc>
        <w:tc>
          <w:tcPr>
            <w:tcW w:w="3936" w:type="dxa"/>
            <w:vMerge/>
            <w:vAlign w:val="center"/>
          </w:tcPr>
          <w:p>
            <w:pPr>
              <w:pStyle w:val="a2"/>
              <w:ind w:firstLine="0" w:firstLineChars="0"/>
              <w:rPr>
                <w:rFonts w:ascii="Times New Roman"/>
                <w:sz w:val="24"/>
                <w:szCs w:val="24"/>
              </w:rPr>
            </w:pPr>
          </w:p>
        </w:tc>
      </w:tr>
    </w:tbl>
    <w:p>
      <w:pPr>
        <w:spacing w:line="560" w:lineRule="exact"/>
        <w:ind w:firstLine="560" w:firstLineChars="200"/>
        <w:rPr>
          <w:rFonts w:eastAsia="仿宋"/>
          <w:sz w:val="28"/>
          <w:szCs w:val="20"/>
          <w:highlight w:val="yellow"/>
        </w:rPr>
      </w:pPr>
      <w:r>
        <w:rPr>
          <w:rFonts w:eastAsia="仿宋"/>
          <w:sz w:val="28"/>
          <w:szCs w:val="20"/>
        </w:rPr>
        <w:t>四、质保服务要求</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1）中标方需提供详细技术服务方案，包括设备安装建设规范、设备操作手册、设备运行维护手册、设备软件使用手册、相关产品算法说明文档等。中标方应设立24（小时）技术支持热线电话，接收招标方来电、来函、器材器件服务要求，建立服务台账。在发生故障的情况下，主汛期内中标方应在12小时内派出技术人员赶赴现场并通报招标方，并在24小时内赶到现场进行维修服务。非汛期应在24小时内派出人员，并在48小时内进行故障维修服务。针对维修器件，中标方需在20天内完成维修并包装、邮寄，因外购器材采购原因无法满足维修时限的，应及时通知招标方并告知完成时间。</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2）中标方按照业务运行规范要求执行，确保设备可稳定运行，维保包括设备维护维修、相关附属软件及附属设备维护维修，保证每年至少1次的现场巡检，每年汛期前，按照气测函〔2009〕153号文要求对雷达系统开展巡检，对设备进行故障隐患排查，发生故障时在业务规定时间内完成维修或更换组件，巡检完成后雷达技术指标应符合《综合观测司关于印发S、C波段双线偏振多普勒天气雷达测试大纲（技术升级）》</w:t>
      </w:r>
      <w:r>
        <w:rPr>
          <w:rFonts w:ascii="仿宋" w:eastAsia="仿宋" w:hAnsi="仿宋" w:cs="仿宋" w:hint="eastAsia"/>
          <w:sz w:val="28"/>
          <w:szCs w:val="20"/>
          <w:lang w:val="en-US" w:eastAsia="zh-CN"/>
        </w:rPr>
        <w:t>等</w:t>
      </w:r>
      <w:r>
        <w:rPr>
          <w:rFonts w:ascii="仿宋" w:eastAsia="仿宋" w:hAnsi="仿宋" w:cs="仿宋" w:hint="eastAsia"/>
          <w:sz w:val="28"/>
          <w:szCs w:val="20"/>
        </w:rPr>
        <w:t>各项技术要求。</w:t>
      </w:r>
    </w:p>
    <w:p>
      <w:pPr>
        <w:spacing w:line="560" w:lineRule="exact"/>
        <w:ind w:firstLine="560" w:firstLineChars="200"/>
        <w:rPr>
          <w:rFonts w:ascii="仿宋" w:eastAsia="仿宋" w:hAnsi="仿宋" w:cs="仿宋" w:hint="eastAsia"/>
          <w:sz w:val="28"/>
          <w:szCs w:val="20"/>
          <w:highlight w:val="yellow"/>
        </w:rPr>
      </w:pPr>
      <w:r>
        <w:rPr>
          <w:rFonts w:ascii="仿宋" w:eastAsia="仿宋" w:hAnsi="仿宋" w:cs="仿宋" w:hint="eastAsia"/>
          <w:sz w:val="28"/>
          <w:szCs w:val="20"/>
        </w:rPr>
        <w:t>（3）</w:t>
      </w:r>
      <w:r>
        <w:rPr>
          <w:rFonts w:ascii="仿宋" w:eastAsia="仿宋" w:hAnsi="仿宋" w:cs="仿宋" w:hint="eastAsia"/>
          <w:b/>
          <w:bCs/>
          <w:sz w:val="28"/>
          <w:szCs w:val="20"/>
          <w:highlight w:val="yellow"/>
        </w:rPr>
        <w:t>质保期要求。自雷达测试验收合格交付招标方使用之日起，</w:t>
      </w:r>
      <w:r>
        <w:rPr>
          <w:rFonts w:ascii="仿宋" w:eastAsia="仿宋" w:hAnsi="仿宋" w:cs="仿宋" w:hint="eastAsia"/>
          <w:b/>
          <w:bCs/>
          <w:kern w:val="0"/>
          <w:sz w:val="28"/>
          <w:szCs w:val="28"/>
          <w:highlight w:val="yellow"/>
        </w:rPr>
        <w:t>雷达系统整机质保2年，在项目实施过程中所更换和新增加的部件、组件、模块等质保3年</w:t>
      </w:r>
      <w:r>
        <w:rPr>
          <w:rFonts w:ascii="仿宋" w:eastAsia="仿宋" w:hAnsi="仿宋" w:cs="仿宋" w:hint="eastAsia"/>
          <w:b/>
          <w:bCs/>
          <w:sz w:val="28"/>
          <w:szCs w:val="20"/>
          <w:highlight w:val="yellow"/>
        </w:rPr>
        <w:t>*，</w:t>
      </w:r>
      <w:r>
        <w:rPr>
          <w:rFonts w:ascii="仿宋" w:eastAsia="仿宋" w:hAnsi="仿宋" w:cs="仿宋" w:hint="eastAsia"/>
          <w:b w:val="0"/>
          <w:bCs w:val="0"/>
          <w:sz w:val="28"/>
          <w:szCs w:val="20"/>
          <w:highlight w:val="none"/>
        </w:rPr>
        <w:t>设备发生</w:t>
      </w:r>
      <w:r>
        <w:rPr>
          <w:rFonts w:ascii="仿宋" w:eastAsia="仿宋" w:hAnsi="仿宋" w:cs="仿宋" w:hint="eastAsia"/>
          <w:sz w:val="28"/>
          <w:szCs w:val="20"/>
        </w:rPr>
        <w:t>故障时应在业务规定时间内完成维修、维护保障或更换组件。</w:t>
      </w:r>
    </w:p>
    <w:p>
      <w:pPr>
        <w:spacing w:line="560" w:lineRule="exact"/>
        <w:ind w:firstLine="560" w:firstLineChars="200"/>
        <w:rPr>
          <w:rFonts w:eastAsia="仿宋" w:hint="eastAsia"/>
          <w:sz w:val="28"/>
          <w:szCs w:val="20"/>
          <w:highlight w:val="yellow"/>
        </w:rPr>
      </w:pPr>
      <w:r>
        <w:rPr>
          <w:rFonts w:eastAsia="仿宋"/>
          <w:sz w:val="28"/>
          <w:szCs w:val="20"/>
        </w:rPr>
        <w:t>五、</w:t>
      </w:r>
      <w:r>
        <w:rPr>
          <w:rFonts w:eastAsia="仿宋" w:hint="eastAsia"/>
          <w:sz w:val="28"/>
          <w:szCs w:val="20"/>
        </w:rPr>
        <w:t>验收要求（</w:t>
      </w:r>
      <w:r>
        <w:rPr>
          <w:rFonts w:eastAsia="仿宋"/>
          <w:sz w:val="28"/>
          <w:szCs w:val="20"/>
        </w:rPr>
        <w:t>检验考核要求</w:t>
      </w:r>
      <w:r>
        <w:rPr>
          <w:rFonts w:eastAsia="仿宋" w:hint="eastAsia"/>
          <w:sz w:val="28"/>
          <w:szCs w:val="20"/>
        </w:rPr>
        <w:t>等）</w:t>
      </w:r>
    </w:p>
    <w:p>
      <w:pPr>
        <w:spacing w:line="560" w:lineRule="exact"/>
        <w:ind w:firstLine="560" w:firstLineChars="200"/>
        <w:rPr>
          <w:rFonts w:eastAsia="仿宋" w:hint="eastAsia"/>
          <w:sz w:val="28"/>
          <w:szCs w:val="20"/>
        </w:rPr>
      </w:pPr>
      <w:r>
        <w:rPr>
          <w:rFonts w:eastAsia="仿宋" w:hint="eastAsia"/>
          <w:sz w:val="28"/>
          <w:szCs w:val="20"/>
        </w:rPr>
        <w:t>采购人可根据合同</w:t>
      </w:r>
      <w:r>
        <w:rPr>
          <w:rFonts w:eastAsia="仿宋" w:hint="eastAsia"/>
          <w:sz w:val="28"/>
          <w:szCs w:val="20"/>
          <w:lang w:eastAsia="zh-CN"/>
        </w:rPr>
        <w:t>、</w:t>
      </w:r>
      <w:r>
        <w:rPr>
          <w:rFonts w:eastAsia="仿宋" w:hint="eastAsia"/>
          <w:sz w:val="28"/>
          <w:szCs w:val="20"/>
        </w:rPr>
        <w:t>技术性能指标以及采购人的有关规定进行修改和补充，经双方确认后形成验收文件作为验收依据</w:t>
      </w:r>
      <w:r>
        <w:rPr>
          <w:rFonts w:eastAsia="仿宋" w:hint="eastAsia"/>
          <w:sz w:val="28"/>
          <w:szCs w:val="20"/>
          <w:lang w:eastAsia="zh-CN"/>
        </w:rPr>
        <w:t>。</w:t>
      </w:r>
    </w:p>
    <w:p>
      <w:pPr>
        <w:spacing w:line="560" w:lineRule="exact"/>
        <w:ind w:firstLine="560" w:firstLineChars="200"/>
        <w:rPr>
          <w:rFonts w:ascii="仿宋" w:eastAsia="仿宋" w:hAnsi="仿宋" w:cs="仿宋" w:hint="eastAsia"/>
          <w:sz w:val="28"/>
          <w:szCs w:val="20"/>
        </w:rPr>
      </w:pPr>
      <w:r>
        <w:rPr>
          <w:rFonts w:eastAsia="仿宋"/>
          <w:sz w:val="28"/>
          <w:szCs w:val="20"/>
        </w:rPr>
        <w:t>项目验收：</w:t>
      </w:r>
      <w:r>
        <w:rPr>
          <w:rFonts w:ascii="仿宋" w:eastAsia="仿宋" w:hAnsi="仿宋" w:cs="仿宋" w:hint="eastAsia"/>
          <w:sz w:val="28"/>
          <w:szCs w:val="20"/>
        </w:rPr>
        <w:t>中标方完成天气雷达双偏振技术升级项目建设、安装、调试工作后，依据《综合观测司关于印发S、C波段双线偏振多普勒天气雷达测试大纲（技术升级）的通知》（气测函〔2022〕55号）、《综合观测司关于印发S波段和C波段双线偏振多普勒天气雷达测试大纲的通知》（气测函〔2023〕73号）技术要求及双偏振技术升级项目合同执行。相关测试通过后，按照《综合观测司关于推进雷达工程项目业务验收工作的通知》（气测函〔2022〕121号）验收流程要求，组织完成项目业务验收。</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如验收未获得通过，中标方应限期整改，视整改情况重新进行测试和验收。如因第三方不可控原因导致工期延迟，中标方可视情况向招标方书面递交延期申请，招标方批复同意后，方可延期。</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六、其他要求</w:t>
      </w:r>
      <w:r>
        <w:rPr>
          <w:rFonts w:ascii="仿宋" w:eastAsia="仿宋" w:hAnsi="仿宋" w:cs="仿宋" w:hint="eastAsia"/>
          <w:sz w:val="28"/>
          <w:szCs w:val="20"/>
        </w:rPr>
        <w:br/>
      </w:r>
      <w:r>
        <w:rPr>
          <w:rFonts w:ascii="仿宋" w:eastAsia="仿宋" w:hAnsi="仿宋" w:cs="仿宋" w:hint="eastAsia"/>
          <w:sz w:val="28"/>
          <w:szCs w:val="20"/>
        </w:rPr>
        <w:t xml:space="preserve">    详见采购需求-其他技术及商务需求。</w:t>
      </w:r>
    </w:p>
    <w:p>
      <w:pPr>
        <w:spacing w:line="560" w:lineRule="exact"/>
        <w:rPr>
          <w:rFonts w:eastAsia="仿宋"/>
          <w:sz w:val="28"/>
          <w:szCs w:val="20"/>
        </w:rPr>
      </w:pPr>
    </w:p>
    <w:p>
      <w:pPr>
        <w:spacing w:line="560" w:lineRule="exact"/>
        <w:ind w:firstLine="560" w:firstLineChars="200"/>
        <w:rPr>
          <w:rFonts w:eastAsia="仿宋"/>
          <w:sz w:val="28"/>
          <w:szCs w:val="20"/>
        </w:rPr>
      </w:pPr>
    </w:p>
    <w:p>
      <w:r>
        <w:rPr>
          <w:rFonts w:eastAsia="仿宋"/>
          <w:sz w:val="28"/>
          <w:szCs w:val="20"/>
        </w:rPr>
        <w:t>采购需求 附表</w:t>
      </w:r>
    </w:p>
    <w:p>
      <w:pPr>
        <w:spacing w:line="360" w:lineRule="auto"/>
        <w:jc w:val="center"/>
        <w:rPr>
          <w:rFonts w:ascii="宋体" w:eastAsia="宋体" w:hAnsi="宋体" w:cs="Times New Roman" w:hint="eastAsia"/>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设备需求总表</w:t>
      </w:r>
    </w:p>
    <w:tbl>
      <w:tblPr>
        <w:tblStyle w:val="TableGrid"/>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474"/>
        <w:gridCol w:w="1559"/>
        <w:gridCol w:w="777"/>
        <w:gridCol w:w="1081"/>
        <w:gridCol w:w="1233"/>
        <w:gridCol w:w="777"/>
        <w:gridCol w:w="2660"/>
      </w:tblGrid>
      <w:tr>
        <w:tblPrEx>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647" w:type="dxa"/>
          </w:tcPr>
          <w:p>
            <w:pPr>
              <w:autoSpaceDE w:val="0"/>
              <w:jc w:val="center"/>
              <w:rPr>
                <w:rFonts w:asciiTheme="minorEastAsia" w:hAnsiTheme="minorEastAsia" w:cstheme="minorEastAsia"/>
                <w:kern w:val="0"/>
                <w:szCs w:val="21"/>
              </w:rPr>
            </w:pPr>
            <w:bookmarkStart w:id="61" w:name="货物一览表_index"/>
            <w:r>
              <w:rPr>
                <w:rFonts w:asciiTheme="minorEastAsia" w:eastAsiaTheme="minorEastAsia" w:hAnsiTheme="minorEastAsia" w:cstheme="minorEastAsia" w:hint="eastAsia"/>
                <w:kern w:val="0"/>
                <w:szCs w:val="21"/>
              </w:rPr>
              <w:t>序号</w:t>
            </w:r>
            <w:bookmarkEnd w:id="61"/>
          </w:p>
        </w:tc>
        <w:tc>
          <w:tcPr>
            <w:tcW w:w="1135" w:type="dxa"/>
          </w:tcPr>
          <w:p>
            <w:pPr>
              <w:autoSpaceDE w:val="0"/>
              <w:jc w:val="center"/>
              <w:rPr>
                <w:rFonts w:asciiTheme="minorEastAsia" w:hAnsiTheme="minorEastAsia" w:cstheme="minorEastAsia"/>
                <w:kern w:val="0"/>
                <w:szCs w:val="21"/>
              </w:rPr>
            </w:pPr>
            <w:bookmarkStart w:id="62" w:name="货物一览表_goodsName"/>
            <w:r>
              <w:rPr>
                <w:rFonts w:asciiTheme="minorEastAsia" w:eastAsiaTheme="minorEastAsia" w:hAnsiTheme="minorEastAsia" w:cstheme="minorEastAsia" w:hint="eastAsia"/>
                <w:kern w:val="0"/>
                <w:szCs w:val="21"/>
              </w:rPr>
              <w:t>设备名称</w:t>
            </w:r>
            <w:bookmarkEnd w:id="62"/>
          </w:p>
        </w:tc>
        <w:tc>
          <w:tcPr>
            <w:tcW w:w="965" w:type="dxa"/>
          </w:tcPr>
          <w:p>
            <w:pPr>
              <w:autoSpaceDE w:val="0"/>
              <w:jc w:val="center"/>
              <w:rPr>
                <w:rFonts w:asciiTheme="minorEastAsia" w:hAnsiTheme="minorEastAsia" w:cstheme="minorEastAsia"/>
                <w:kern w:val="0"/>
                <w:szCs w:val="21"/>
              </w:rPr>
            </w:pPr>
            <w:bookmarkStart w:id="63" w:name="货物一览表_nums"/>
            <w:r>
              <w:rPr>
                <w:rFonts w:asciiTheme="minorEastAsia" w:eastAsiaTheme="minorEastAsia" w:hAnsiTheme="minorEastAsia" w:cstheme="minorEastAsia" w:hint="eastAsia"/>
                <w:kern w:val="0"/>
                <w:szCs w:val="21"/>
              </w:rPr>
              <w:t>采购数量</w:t>
            </w:r>
            <w:bookmarkEnd w:id="63"/>
          </w:p>
        </w:tc>
        <w:tc>
          <w:tcPr>
            <w:tcW w:w="1062" w:type="dxa"/>
          </w:tcPr>
          <w:p>
            <w:pPr>
              <w:autoSpaceDE w:val="0"/>
              <w:jc w:val="center"/>
              <w:rPr>
                <w:rFonts w:asciiTheme="minorEastAsia" w:hAnsiTheme="minorEastAsia" w:cstheme="minorEastAsia"/>
                <w:kern w:val="0"/>
                <w:szCs w:val="21"/>
              </w:rPr>
            </w:pPr>
            <w:bookmarkStart w:id="64" w:name="货物一览表_units"/>
            <w:r>
              <w:rPr>
                <w:rFonts w:asciiTheme="minorEastAsia" w:eastAsiaTheme="minorEastAsia" w:hAnsiTheme="minorEastAsia" w:cstheme="minorEastAsia" w:hint="eastAsia"/>
                <w:kern w:val="0"/>
                <w:szCs w:val="21"/>
              </w:rPr>
              <w:t>计量单位</w:t>
            </w:r>
            <w:bookmarkEnd w:id="64"/>
          </w:p>
        </w:tc>
        <w:tc>
          <w:tcPr>
            <w:tcW w:w="1220" w:type="dxa"/>
          </w:tcPr>
          <w:p>
            <w:pPr>
              <w:autoSpaceDE w:val="0"/>
              <w:jc w:val="center"/>
              <w:rPr>
                <w:rFonts w:asciiTheme="minorEastAsia" w:hAnsiTheme="minorEastAsia" w:cstheme="minorEastAsia"/>
                <w:kern w:val="0"/>
                <w:szCs w:val="21"/>
              </w:rPr>
            </w:pPr>
            <w:bookmarkStart w:id="65" w:name="货物一览表_procurementBudget"/>
            <w:r>
              <w:rPr>
                <w:rFonts w:asciiTheme="minorEastAsia" w:eastAsiaTheme="minorEastAsia" w:hAnsiTheme="minorEastAsia" w:cstheme="minorEastAsia" w:hint="eastAsia"/>
                <w:kern w:val="0"/>
                <w:szCs w:val="21"/>
              </w:rPr>
              <w:t>采购预算（元）</w:t>
            </w:r>
            <w:bookmarkEnd w:id="65"/>
          </w:p>
        </w:tc>
        <w:tc>
          <w:tcPr>
            <w:tcW w:w="1329" w:type="dxa"/>
          </w:tcPr>
          <w:p>
            <w:pPr>
              <w:autoSpaceDE w:val="0"/>
              <w:jc w:val="center"/>
              <w:rPr>
                <w:rFonts w:asciiTheme="minorEastAsia" w:hAnsiTheme="minorEastAsia" w:cstheme="minorEastAsia" w:hint="eastAsia"/>
                <w:kern w:val="0"/>
                <w:szCs w:val="21"/>
              </w:rPr>
            </w:pPr>
            <w:bookmarkStart w:id="66" w:name="货物一览表_supplyMaterialDate"/>
            <w:r>
              <w:rPr>
                <w:rFonts w:asciiTheme="minorEastAsia" w:eastAsiaTheme="minorEastAsia" w:hAnsiTheme="minorEastAsia" w:cstheme="minorEastAsia" w:hint="eastAsia"/>
                <w:kern w:val="0"/>
                <w:szCs w:val="21"/>
              </w:rPr>
              <w:t>交货</w:t>
            </w:r>
            <w:r>
              <w:rPr>
                <w:rFonts w:asciiTheme="minorEastAsia" w:eastAsiaTheme="minorEastAsia" w:hAnsiTheme="minorEastAsia" w:cstheme="minorEastAsia" w:hint="eastAsia"/>
                <w:kern w:val="0"/>
                <w:szCs w:val="21"/>
                <w:lang w:val="en-US" w:eastAsia="zh-CN"/>
              </w:rPr>
              <w:t>期（天）</w:t>
            </w:r>
            <w:bookmarkEnd w:id="66"/>
          </w:p>
        </w:tc>
        <w:tc>
          <w:tcPr>
            <w:tcW w:w="2673" w:type="dxa"/>
            <w:shd w:val="clear" w:color="auto" w:fill="auto"/>
          </w:tcPr>
          <w:p>
            <w:pPr>
              <w:autoSpaceDE w:val="0"/>
              <w:autoSpaceDN w:val="0"/>
              <w:adjustRightInd w:val="0"/>
              <w:spacing w:before="48"/>
              <w:ind w:right="-20"/>
              <w:jc w:val="center"/>
              <w:rPr>
                <w:rFonts w:asciiTheme="minorEastAsia" w:hAnsiTheme="minorEastAsia" w:cstheme="minorEastAsia"/>
                <w:kern w:val="0"/>
                <w:szCs w:val="21"/>
              </w:rPr>
            </w:pPr>
            <w:bookmarkStart w:id="67" w:name="货物一览表_remark"/>
            <w:r>
              <w:rPr>
                <w:rFonts w:asciiTheme="minorEastAsia" w:eastAsiaTheme="minorEastAsia" w:hAnsiTheme="minorEastAsia" w:cstheme="minorEastAsia" w:hint="eastAsia"/>
                <w:kern w:val="0"/>
                <w:szCs w:val="21"/>
              </w:rPr>
              <w:t>备注</w:t>
            </w:r>
            <w:bookmarkEnd w:id="67"/>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C波段天气雷达双偏振技术升级建设项目</w:t>
            </w:r>
          </w:p>
        </w:tc>
        <w:tc>
          <w:tcPr/>
          <w:p>
            <w:pPr>
              <w:autoSpaceDE w:val="0"/>
              <w:jc w:val="center"/>
              <w:rPr>
                <w:rFonts w:asciiTheme="minorEastAsia" w:hAnsiTheme="minorEastAsia" w:cstheme="minorEastAsia"/>
                <w:kern w:val="0"/>
                <w:szCs w:val="21"/>
              </w:rPr>
            </w:pPr>
            <w:r>
              <w:t>2</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5,200,000.00</w:t>
            </w:r>
          </w:p>
        </w:tc>
        <w:tc>
          <w:tcPr/>
          <w:p>
            <w:pPr>
              <w:autoSpaceDE w:val="0"/>
              <w:jc w:val="center"/>
              <w:rPr>
                <w:rFonts w:asciiTheme="minorEastAsia" w:hAnsiTheme="minorEastAsia" w:cstheme="minorEastAsia" w:hint="eastAsia"/>
                <w:kern w:val="0"/>
                <w:szCs w:val="21"/>
              </w:rPr>
            </w:pPr>
            <w:r>
              <w:t>60</w:t>
            </w:r>
          </w:p>
        </w:tc>
        <w:tc>
          <w:tcPr/>
          <w:p>
            <w:pPr>
              <w:autoSpaceDE w:val="0"/>
              <w:autoSpaceDN w:val="0"/>
              <w:adjustRightInd w:val="0"/>
              <w:spacing w:before="48"/>
              <w:ind w:right="-20"/>
              <w:jc w:val="center"/>
              <w:rPr>
                <w:rFonts w:asciiTheme="minorEastAsia" w:hAnsiTheme="minorEastAsia" w:cstheme="minorEastAsia"/>
                <w:kern w:val="0"/>
                <w:szCs w:val="21"/>
              </w:rPr>
            </w:pPr>
            <w:r>
              <w:t>联系人：范志力，电话：13848759488</w:t>
            </w: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合计</w:t>
            </w:r>
          </w:p>
        </w:tc>
        <w:tc>
          <w:tcPr>
            <w:gridSpan w:val="6"/>
          </w:tcPr>
          <w:p>
            <w:pPr>
              <w:autoSpaceDE w:val="0"/>
              <w:jc w:val="center"/>
              <w:rPr>
                <w:rFonts w:asciiTheme="minorEastAsia" w:hAnsiTheme="minorEastAsia" w:cstheme="minorEastAsia"/>
                <w:kern w:val="0"/>
                <w:szCs w:val="21"/>
              </w:rPr>
            </w:pPr>
            <w:r>
              <w:t>5,200,000.00</w:t>
            </w:r>
          </w:p>
        </w:tc>
      </w:tr>
    </w:tbl>
    <w:p>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注：交货期从采购合同签订之日起计算。</w:t>
      </w:r>
    </w:p>
    <w:p>
      <w:pPr>
        <w:spacing w:line="360" w:lineRule="auto"/>
        <w:ind w:firstLine="420" w:firstLineChars="200"/>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设备需求明细表</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348"/>
        <w:gridCol w:w="1686"/>
        <w:gridCol w:w="1145"/>
        <w:gridCol w:w="348"/>
        <w:gridCol w:w="794"/>
        <w:gridCol w:w="662"/>
        <w:gridCol w:w="1574"/>
        <w:gridCol w:w="1965"/>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bookmarkStart w:id="68" w:name="插入_设备需求"/>
            <w:r>
              <w:t>序号</w:t>
            </w:r>
          </w:p>
        </w:tc>
        <w:tc>
          <w:tcPr/>
          <w:p>
            <w:r>
              <w:t>采购人(甲方)</w:t>
            </w:r>
          </w:p>
        </w:tc>
        <w:tc>
          <w:tcPr/>
          <w:p>
            <w:r>
              <w:t>设备名称</w:t>
            </w:r>
          </w:p>
        </w:tc>
        <w:tc>
          <w:tcPr/>
          <w:p>
            <w:r>
              <w:t>数量</w:t>
            </w:r>
          </w:p>
        </w:tc>
        <w:tc>
          <w:tcPr/>
          <w:p>
            <w:r>
              <w:t>采购预算(元)</w:t>
            </w:r>
          </w:p>
        </w:tc>
        <w:tc>
          <w:tcPr/>
          <w:p>
            <w:r>
              <w:t>合计(元)</w:t>
            </w:r>
          </w:p>
        </w:tc>
        <w:tc>
          <w:tcPr/>
          <w:p>
            <w:r>
              <w:t>交货地点</w:t>
            </w:r>
          </w:p>
        </w:tc>
        <w:tc>
          <w:tcPr/>
          <w:p>
            <w:r>
              <w:t>备注</w:t>
            </w:r>
          </w:p>
        </w:tc>
      </w:tr>
      <w:tr>
        <w:tblPrEx>
          <w:tblW w:w="5000" w:type="pct"/>
          <w:tblCellMar>
            <w:left w:w="108" w:type="dxa"/>
            <w:right w:w="108" w:type="dxa"/>
          </w:tblCellMar>
        </w:tblPrEx>
        <w:tc>
          <w:tcPr/>
          <w:p>
            <w:r>
              <w:t>1</w:t>
            </w:r>
          </w:p>
        </w:tc>
        <w:tc>
          <w:tcPr/>
          <w:p>
            <w:r>
              <w:t>通辽市局(001035009)</w:t>
            </w:r>
          </w:p>
        </w:tc>
        <w:tc>
          <w:tcPr/>
          <w:p>
            <w:r>
              <w:t>C波段天气雷达双偏振技术升级建设项目</w:t>
            </w:r>
          </w:p>
        </w:tc>
        <w:tc>
          <w:tcPr/>
          <w:p>
            <w:r>
              <w:t>1</w:t>
            </w:r>
          </w:p>
        </w:tc>
        <w:tc>
          <w:tcPr/>
          <w:p>
            <w:r>
              <w:t>2600000.00</w:t>
            </w:r>
          </w:p>
        </w:tc>
        <w:tc>
          <w:tcPr/>
          <w:p>
            <w:r>
              <w:t xml:space="preserve">2600000.00  </w:t>
            </w:r>
          </w:p>
        </w:tc>
        <w:tc>
          <w:tcPr/>
          <w:p>
            <w:r>
              <w:t>通辽市气象局</w:t>
            </w:r>
          </w:p>
        </w:tc>
        <w:tc>
          <w:tcPr/>
          <w:p>
            <w:r>
              <w:t>联系人：范志力，电话：13848759488</w:t>
            </w:r>
          </w:p>
        </w:tc>
      </w:tr>
      <w:tr>
        <w:tblPrEx>
          <w:tblW w:w="5000" w:type="pct"/>
          <w:tblCellMar>
            <w:left w:w="108" w:type="dxa"/>
            <w:right w:w="108" w:type="dxa"/>
          </w:tblCellMar>
        </w:tblPrEx>
        <w:tc>
          <w:tcPr/>
          <w:p>
            <w:r>
              <w:t>2</w:t>
            </w:r>
          </w:p>
        </w:tc>
        <w:tc>
          <w:tcPr/>
          <w:p>
            <w:r>
              <w:t>太仆寺旗气象局(001035032017)</w:t>
            </w:r>
          </w:p>
        </w:tc>
        <w:tc>
          <w:tcPr/>
          <w:p>
            <w:r>
              <w:t>C波段天气雷达双偏振技术升级建设项目</w:t>
            </w:r>
          </w:p>
        </w:tc>
        <w:tc>
          <w:tcPr/>
          <w:p>
            <w:r>
              <w:t>1</w:t>
            </w:r>
          </w:p>
        </w:tc>
        <w:tc>
          <w:tcPr/>
          <w:p>
            <w:r>
              <w:t>2600000.00</w:t>
            </w:r>
          </w:p>
        </w:tc>
        <w:tc>
          <w:tcPr/>
          <w:p>
            <w:r>
              <w:t xml:space="preserve">2600000.00 </w:t>
            </w:r>
          </w:p>
        </w:tc>
        <w:tc>
          <w:tcPr/>
          <w:p>
            <w:r>
              <w:t>内蒙古自治区太仆寺旗气象局</w:t>
            </w:r>
          </w:p>
        </w:tc>
        <w:tc>
          <w:tcPr/>
          <w:p>
            <w:r>
              <w:t>联系人：王敏，电话：13847911640</w:t>
            </w:r>
          </w:p>
        </w:tc>
      </w:tr>
    </w:tbl>
    <w:p w:rsidR="00A77B3E"/>
    <w:p>
      <w:pPr>
        <w:spacing w:line="360" w:lineRule="auto"/>
        <w:rPr>
          <w:rFonts w:ascii="宋体" w:hAnsi="宋体"/>
          <w:szCs w:val="21"/>
        </w:rPr>
      </w:pPr>
      <w:bookmarkEnd w:id="68"/>
    </w:p>
    <w:p>
      <w:pPr>
        <w:spacing w:line="360" w:lineRule="auto"/>
        <w:jc w:val="center"/>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（以上设备需求总表及明细表无须填列，由系统自动生成）</w:t>
      </w:r>
    </w:p>
    <w:p>
      <w:pPr>
        <w:spacing w:line="360" w:lineRule="auto"/>
        <w:ind w:firstLine="420" w:firstLineChars="200"/>
        <w:rPr>
          <w:rFonts w:ascii="宋体" w:eastAsia="宋体" w:hAnsi="宋体" w:cs="Times New Roman"/>
          <w:szCs w:val="21"/>
        </w:rPr>
      </w:pPr>
    </w:p>
    <w:p/>
    <w:p>
      <w:pPr>
        <w:spacing w:line="560" w:lineRule="exact"/>
        <w:ind w:firstLine="720" w:firstLineChars="200"/>
        <w:jc w:val="center"/>
        <w:rPr>
          <w:rFonts w:ascii="仿宋" w:eastAsia="仿宋" w:hAnsi="仿宋" w:cs="仿宋"/>
          <w:b/>
          <w:sz w:val="28"/>
          <w:szCs w:val="20"/>
        </w:rPr>
      </w:pPr>
      <w:r>
        <w:rPr>
          <w:rFonts w:ascii="仿宋" w:eastAsia="仿宋" w:hAnsi="仿宋" w:cs="仿宋"/>
          <w:b/>
          <w:sz w:val="36"/>
          <w:szCs w:val="36"/>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仿宋" w:eastAsia="仿宋" w:hAnsi="仿宋" w:cs="仿宋"/>
          <w:b/>
          <w:sz w:val="36"/>
          <w:szCs w:val="36"/>
        </w:rPr>
        <w:instrText>ADDIN CNKISM.UserStyle</w:instrText>
      </w:r>
      <w:r>
        <w:rPr>
          <w:rFonts w:ascii="仿宋" w:eastAsia="仿宋" w:hAnsi="仿宋" w:cs="仿宋"/>
          <w:b/>
          <w:sz w:val="36"/>
          <w:szCs w:val="36"/>
        </w:rPr>
        <w:fldChar w:fldCharType="separate"/>
      </w:r>
      <w:r>
        <w:rPr>
          <w:rFonts w:ascii="仿宋" w:eastAsia="仿宋" w:hAnsi="仿宋" w:cs="仿宋"/>
          <w:b/>
          <w:sz w:val="36"/>
          <w:szCs w:val="36"/>
        </w:rPr>
        <w:fldChar w:fldCharType="end"/>
      </w:r>
      <w:r>
        <w:rPr>
          <w:rFonts w:ascii="仿宋" w:eastAsia="仿宋" w:hAnsi="仿宋" w:cs="仿宋" w:hint="eastAsia"/>
          <w:b/>
          <w:sz w:val="36"/>
          <w:szCs w:val="36"/>
        </w:rPr>
        <w:t>采购需求（其他技术及商务需求）</w:t>
      </w:r>
    </w:p>
    <w:p>
      <w:pPr>
        <w:spacing w:line="560" w:lineRule="exact"/>
        <w:ind w:firstLine="560" w:firstLineChars="200"/>
        <w:rPr>
          <w:rFonts w:ascii="仿宋" w:eastAsia="仿宋" w:hAnsi="仿宋" w:cs="仿宋"/>
          <w:b/>
          <w:bCs/>
          <w:sz w:val="28"/>
          <w:szCs w:val="20"/>
        </w:rPr>
      </w:pPr>
      <w:r>
        <w:rPr>
          <w:rFonts w:ascii="仿宋" w:eastAsia="仿宋" w:hAnsi="仿宋" w:cs="仿宋" w:hint="eastAsia"/>
          <w:b/>
          <w:bCs/>
          <w:sz w:val="28"/>
          <w:szCs w:val="20"/>
        </w:rPr>
        <w:t>一、项目概况及总体要求</w:t>
      </w:r>
    </w:p>
    <w:p>
      <w:pPr>
        <w:ind w:firstLine="560" w:firstLineChars="200"/>
        <w:rPr>
          <w:rFonts w:ascii="仿宋" w:eastAsia="仿宋" w:hAnsi="仿宋" w:cs="仿宋" w:hint="eastAsia"/>
          <w:sz w:val="28"/>
          <w:szCs w:val="20"/>
        </w:rPr>
      </w:pPr>
      <w:r>
        <w:rPr>
          <w:rFonts w:ascii="仿宋" w:eastAsia="仿宋" w:hAnsi="仿宋" w:cs="仿宋" w:hint="eastAsia"/>
          <w:sz w:val="28"/>
          <w:szCs w:val="20"/>
          <w:lang w:val="en-US" w:eastAsia="zh-CN"/>
        </w:rPr>
        <w:t>项目建设内容包括2部C波段天气雷达双偏振技术升级，分别在通辽市气象局、内蒙古自治区太仆寺旗气象局实施。通过</w:t>
      </w:r>
      <w:r>
        <w:rPr>
          <w:rFonts w:ascii="仿宋" w:eastAsia="仿宋" w:hAnsi="仿宋" w:cs="仿宋" w:hint="eastAsia"/>
          <w:sz w:val="28"/>
          <w:szCs w:val="20"/>
        </w:rPr>
        <w:t>开展</w:t>
      </w:r>
      <w:r>
        <w:rPr>
          <w:rFonts w:ascii="仿宋" w:eastAsia="仿宋" w:hAnsi="仿宋" w:cs="仿宋" w:hint="eastAsia"/>
          <w:sz w:val="28"/>
          <w:szCs w:val="20"/>
          <w:lang w:val="en-US" w:eastAsia="zh-CN"/>
        </w:rPr>
        <w:t>天气雷达</w:t>
      </w:r>
      <w:r>
        <w:rPr>
          <w:rFonts w:ascii="仿宋" w:eastAsia="仿宋" w:hAnsi="仿宋" w:cs="仿宋" w:hint="eastAsia"/>
          <w:sz w:val="28"/>
          <w:szCs w:val="20"/>
        </w:rPr>
        <w:t>双偏振技术升级，达到提高雷达观测数据质量、雷达定量估测降水准确率的目的，提升降水相态探测能力，满足雷达对天气监测预警预报精细化的要求</w:t>
      </w:r>
      <w:r>
        <w:rPr>
          <w:rFonts w:ascii="仿宋" w:eastAsia="仿宋" w:hAnsi="仿宋" w:cs="仿宋" w:hint="eastAsia"/>
          <w:sz w:val="28"/>
          <w:szCs w:val="20"/>
          <w:lang w:eastAsia="zh-CN"/>
        </w:rPr>
        <w:t>。</w:t>
      </w:r>
    </w:p>
    <w:p>
      <w:pPr>
        <w:ind w:firstLine="560" w:firstLineChars="200"/>
        <w:rPr>
          <w:rFonts w:ascii="仿宋" w:eastAsia="仿宋" w:hAnsi="仿宋" w:cs="仿宋"/>
          <w:b/>
          <w:bCs/>
          <w:sz w:val="28"/>
          <w:szCs w:val="20"/>
        </w:rPr>
      </w:pPr>
      <w:r>
        <w:rPr>
          <w:rFonts w:ascii="仿宋" w:eastAsia="仿宋" w:hAnsi="仿宋" w:cs="仿宋" w:hint="eastAsia"/>
          <w:b/>
          <w:bCs/>
          <w:sz w:val="28"/>
          <w:szCs w:val="20"/>
        </w:rPr>
        <w:t>二、售后服务要求</w:t>
      </w:r>
    </w:p>
    <w:p>
      <w:pPr>
        <w:ind w:firstLine="560" w:firstLineChars="200"/>
        <w:rPr>
          <w:rFonts w:ascii="仿宋" w:eastAsia="仿宋" w:hAnsi="仿宋" w:cs="仿宋"/>
          <w:sz w:val="28"/>
          <w:szCs w:val="20"/>
        </w:rPr>
      </w:pPr>
      <w:r>
        <w:rPr>
          <w:rFonts w:ascii="仿宋" w:eastAsia="仿宋" w:hAnsi="仿宋" w:cs="仿宋" w:hint="eastAsia"/>
          <w:sz w:val="28"/>
          <w:szCs w:val="20"/>
        </w:rPr>
        <w:t>设备供应商需提供详细售后服务方案，包括设备售后服务组织机构、人员组成、技术支持文档等。其中，售后服务组织机构设置合理，人员技术能力强，技术文档内容全面。</w:t>
      </w:r>
    </w:p>
    <w:p>
      <w:pPr>
        <w:ind w:firstLine="560" w:firstLineChars="200"/>
        <w:rPr>
          <w:rFonts w:ascii="仿宋" w:eastAsia="仿宋" w:hAnsi="仿宋" w:cs="仿宋"/>
          <w:b/>
          <w:bCs/>
          <w:sz w:val="28"/>
          <w:szCs w:val="20"/>
        </w:rPr>
      </w:pPr>
      <w:r>
        <w:rPr>
          <w:rFonts w:ascii="仿宋" w:eastAsia="仿宋" w:hAnsi="仿宋" w:cs="仿宋" w:hint="eastAsia"/>
          <w:b/>
          <w:bCs/>
          <w:sz w:val="28"/>
          <w:szCs w:val="20"/>
        </w:rPr>
        <w:t>三、培训要求</w:t>
      </w:r>
    </w:p>
    <w:p>
      <w:pPr>
        <w:ind w:firstLine="560" w:firstLineChars="200"/>
        <w:rPr>
          <w:rFonts w:ascii="仿宋" w:eastAsia="仿宋" w:hAnsi="仿宋" w:cs="仿宋"/>
          <w:sz w:val="28"/>
          <w:szCs w:val="20"/>
        </w:rPr>
      </w:pPr>
      <w:r>
        <w:rPr>
          <w:rFonts w:ascii="仿宋" w:eastAsia="仿宋" w:hAnsi="仿宋" w:cs="仿宋" w:hint="eastAsia"/>
          <w:sz w:val="28"/>
          <w:szCs w:val="20"/>
        </w:rPr>
        <w:t>通过培训，使工作人员掌握本项目各系统设备的基本结构和原理、操作规范和流程、软件的功能和使用方法，具备常规操作、日常维护、中小故障排除、软件使用和系统管理的能力；熟练掌握所负责业务的质量控制、质量保证方法和措施；掌握本项目进一步开发、应用所需的知识和技能。书面承诺每种设备的培训讲师具有中级以上职称或从事该设备技术工作至少2年；</w:t>
      </w:r>
    </w:p>
    <w:p>
      <w:pPr>
        <w:ind w:firstLine="560" w:firstLineChars="200"/>
        <w:rPr>
          <w:rFonts w:ascii="仿宋" w:eastAsia="仿宋" w:hAnsi="仿宋" w:cs="仿宋"/>
          <w:sz w:val="28"/>
          <w:szCs w:val="20"/>
        </w:rPr>
      </w:pPr>
      <w:r>
        <w:rPr>
          <w:rFonts w:ascii="仿宋" w:eastAsia="仿宋" w:hAnsi="仿宋" w:cs="仿宋" w:hint="eastAsia"/>
          <w:sz w:val="28"/>
          <w:szCs w:val="20"/>
        </w:rPr>
        <w:t>设备供应商对每套投标产品提供至少2次技术培</w:t>
      </w:r>
      <w:r>
        <w:rPr>
          <w:rFonts w:ascii="仿宋" w:eastAsia="仿宋" w:hAnsi="仿宋" w:cs="仿宋" w:hint="eastAsia"/>
          <w:sz w:val="28"/>
          <w:szCs w:val="20"/>
          <w:highlight w:val="none"/>
        </w:rPr>
        <w:t>训，培训课时</w:t>
      </w:r>
      <w:r>
        <w:rPr>
          <w:rFonts w:ascii="仿宋" w:eastAsia="仿宋" w:hAnsi="仿宋" w:cs="仿宋"/>
          <w:sz w:val="28"/>
          <w:szCs w:val="20"/>
          <w:highlight w:val="none"/>
        </w:rPr>
        <w:t>不少于</w:t>
      </w:r>
      <w:r>
        <w:rPr>
          <w:rFonts w:ascii="仿宋" w:eastAsia="仿宋" w:hAnsi="仿宋" w:cs="仿宋" w:hint="eastAsia"/>
          <w:sz w:val="28"/>
          <w:szCs w:val="20"/>
          <w:highlight w:val="none"/>
          <w:lang w:val="en-US" w:eastAsia="zh-CN"/>
        </w:rPr>
        <w:t>8</w:t>
      </w:r>
      <w:r>
        <w:rPr>
          <w:rFonts w:ascii="仿宋" w:eastAsia="仿宋" w:hAnsi="仿宋" w:cs="仿宋" w:hint="eastAsia"/>
          <w:sz w:val="28"/>
          <w:szCs w:val="20"/>
          <w:highlight w:val="none"/>
        </w:rPr>
        <w:t>个</w:t>
      </w:r>
      <w:r>
        <w:rPr>
          <w:rFonts w:ascii="仿宋" w:eastAsia="仿宋" w:hAnsi="仿宋" w:cs="仿宋"/>
          <w:sz w:val="28"/>
          <w:szCs w:val="20"/>
          <w:highlight w:val="none"/>
        </w:rPr>
        <w:t>课时，培训人数不少于</w:t>
      </w:r>
      <w:r>
        <w:rPr>
          <w:rFonts w:ascii="仿宋" w:eastAsia="仿宋" w:hAnsi="仿宋" w:cs="仿宋" w:hint="eastAsia"/>
          <w:sz w:val="28"/>
          <w:szCs w:val="20"/>
          <w:highlight w:val="none"/>
          <w:lang w:val="en-US" w:eastAsia="zh-CN"/>
        </w:rPr>
        <w:t>50</w:t>
      </w:r>
      <w:r>
        <w:rPr>
          <w:rFonts w:ascii="仿宋" w:eastAsia="仿宋" w:hAnsi="仿宋" w:cs="仿宋" w:hint="eastAsia"/>
          <w:sz w:val="28"/>
          <w:szCs w:val="20"/>
          <w:highlight w:val="none"/>
        </w:rPr>
        <w:t>人</w:t>
      </w:r>
      <w:r>
        <w:rPr>
          <w:rFonts w:ascii="仿宋" w:eastAsia="仿宋" w:hAnsi="仿宋" w:cs="仿宋"/>
          <w:sz w:val="28"/>
          <w:szCs w:val="20"/>
          <w:highlight w:val="none"/>
        </w:rPr>
        <w:t>。</w:t>
      </w:r>
      <w:r>
        <w:rPr>
          <w:rFonts w:ascii="仿宋" w:eastAsia="仿宋" w:hAnsi="仿宋" w:cs="仿宋" w:hint="eastAsia"/>
          <w:sz w:val="28"/>
          <w:szCs w:val="20"/>
          <w:highlight w:val="none"/>
        </w:rPr>
        <w:t>培训内容包括设备安</w:t>
      </w:r>
      <w:r>
        <w:rPr>
          <w:rFonts w:ascii="仿宋" w:eastAsia="仿宋" w:hAnsi="仿宋" w:cs="仿宋" w:hint="eastAsia"/>
          <w:sz w:val="28"/>
          <w:szCs w:val="20"/>
        </w:rPr>
        <w:t>装、使用、日常维护、观测原理及产品应用，培训时间及地点双方协商确定。</w:t>
      </w:r>
    </w:p>
    <w:p>
      <w:pPr>
        <w:ind w:firstLine="560" w:firstLineChars="200"/>
        <w:rPr>
          <w:rFonts w:ascii="仿宋" w:eastAsia="仿宋" w:hAnsi="仿宋" w:cs="仿宋"/>
          <w:b/>
          <w:bCs/>
          <w:sz w:val="28"/>
          <w:szCs w:val="20"/>
        </w:rPr>
      </w:pPr>
      <w:r>
        <w:rPr>
          <w:rFonts w:ascii="仿宋" w:eastAsia="仿宋" w:hAnsi="仿宋" w:cs="仿宋" w:hint="eastAsia"/>
          <w:b/>
          <w:bCs/>
          <w:sz w:val="28"/>
          <w:szCs w:val="20"/>
        </w:rPr>
        <w:t>四、交货要求及履约地点</w:t>
      </w:r>
    </w:p>
    <w:p>
      <w:pPr>
        <w:ind w:firstLine="560" w:firstLineChars="200"/>
        <w:rPr>
          <w:rFonts w:ascii="仿宋" w:eastAsia="仿宋" w:hAnsi="仿宋" w:cs="仿宋"/>
          <w:sz w:val="28"/>
          <w:szCs w:val="20"/>
        </w:rPr>
      </w:pPr>
      <w:r>
        <w:rPr>
          <w:rFonts w:ascii="仿宋" w:eastAsia="仿宋" w:hAnsi="仿宋" w:cs="仿宋" w:hint="eastAsia"/>
          <w:sz w:val="28"/>
          <w:szCs w:val="20"/>
        </w:rPr>
        <w:t>中标供应商将所有设备运送至</w:t>
      </w:r>
      <w:r>
        <w:rPr>
          <w:rFonts w:ascii="仿宋" w:eastAsia="仿宋" w:hAnsi="仿宋" w:cs="仿宋" w:hint="eastAsia"/>
          <w:sz w:val="28"/>
          <w:szCs w:val="20"/>
          <w:lang w:val="en-US" w:eastAsia="zh-CN"/>
        </w:rPr>
        <w:t>通辽市、内蒙古自治区太仆寺旗等甲方约定</w:t>
      </w:r>
      <w:r>
        <w:rPr>
          <w:rFonts w:ascii="仿宋" w:eastAsia="仿宋" w:hAnsi="仿宋" w:cs="仿宋" w:hint="eastAsia"/>
          <w:sz w:val="28"/>
          <w:szCs w:val="20"/>
        </w:rPr>
        <w:t>地点（运输相关费用由供应商负责），并负责安装调试。</w:t>
      </w:r>
    </w:p>
    <w:p>
      <w:pPr>
        <w:keepNext w:val="0"/>
        <w:keepLines w:val="0"/>
        <w:pageBreakBefore w:val="0"/>
        <w:widowControl w:val="0"/>
        <w:kinsoku/>
        <w:wordWrap/>
        <w:overflowPunct/>
        <w:topLinePunct w:val="0"/>
        <w:autoSpaceDE/>
        <w:autoSpaceDN/>
        <w:bidi w:val="0"/>
        <w:adjustRightInd/>
        <w:snapToGrid/>
        <w:ind w:left="0" w:firstLine="560" w:leftChars="0" w:firstLineChars="200"/>
        <w:textAlignment w:val="auto"/>
        <w:rPr>
          <w:rFonts w:ascii="仿宋" w:eastAsia="仿宋" w:hAnsi="仿宋" w:cs="仿宋" w:hint="eastAsia"/>
          <w:sz w:val="28"/>
          <w:szCs w:val="20"/>
        </w:rPr>
      </w:pPr>
      <w:r>
        <w:rPr>
          <w:rFonts w:ascii="仿宋" w:eastAsia="仿宋" w:hAnsi="仿宋" w:cs="仿宋" w:hint="eastAsia"/>
          <w:sz w:val="28"/>
          <w:szCs w:val="20"/>
        </w:rPr>
        <w:t>合同签订后60天内交货，到货后</w:t>
      </w:r>
      <w:r>
        <w:rPr>
          <w:rFonts w:ascii="仿宋" w:eastAsia="仿宋" w:hAnsi="仿宋" w:cs="仿宋" w:hint="eastAsia"/>
          <w:sz w:val="28"/>
          <w:szCs w:val="20"/>
          <w:lang w:val="en-US" w:eastAsia="zh-CN"/>
        </w:rPr>
        <w:t>120</w:t>
      </w:r>
      <w:r>
        <w:rPr>
          <w:rFonts w:ascii="仿宋" w:eastAsia="仿宋" w:hAnsi="仿宋" w:cs="仿宋" w:hint="eastAsia"/>
          <w:sz w:val="28"/>
          <w:szCs w:val="20"/>
        </w:rPr>
        <w:t>天内完成安装调试并具备验收条件</w:t>
      </w:r>
      <w:r>
        <w:rPr>
          <w:rFonts w:ascii="仿宋" w:eastAsia="仿宋" w:hAnsi="仿宋" w:cs="仿宋" w:hint="eastAsia"/>
          <w:sz w:val="28"/>
          <w:szCs w:val="20"/>
          <w:lang w:eastAsia="zh-CN"/>
        </w:rPr>
        <w:t>。</w:t>
      </w:r>
    </w:p>
    <w:p>
      <w:pPr>
        <w:keepNext w:val="0"/>
        <w:keepLines w:val="0"/>
        <w:pageBreakBefore w:val="0"/>
        <w:widowControl w:val="0"/>
        <w:kinsoku/>
        <w:wordWrap/>
        <w:overflowPunct/>
        <w:topLinePunct w:val="0"/>
        <w:autoSpaceDE/>
        <w:autoSpaceDN/>
        <w:bidi w:val="0"/>
        <w:adjustRightInd/>
        <w:snapToGrid/>
        <w:ind w:left="0" w:firstLine="560" w:leftChars="0" w:firstLineChars="200"/>
        <w:textAlignment w:val="auto"/>
        <w:rPr>
          <w:rFonts w:ascii="仿宋" w:eastAsia="仿宋" w:hAnsi="仿宋" w:cs="仿宋"/>
          <w:b/>
          <w:bCs/>
          <w:sz w:val="28"/>
          <w:szCs w:val="20"/>
        </w:rPr>
      </w:pPr>
      <w:r>
        <w:rPr>
          <w:rFonts w:ascii="仿宋" w:eastAsia="仿宋" w:hAnsi="仿宋" w:cs="仿宋" w:hint="eastAsia"/>
          <w:b/>
          <w:bCs/>
          <w:sz w:val="28"/>
          <w:szCs w:val="20"/>
        </w:rPr>
        <w:t>五、服务团队要求</w:t>
      </w:r>
    </w:p>
    <w:p>
      <w:pPr>
        <w:ind w:firstLine="560" w:firstLineChars="200"/>
        <w:rPr>
          <w:rFonts w:ascii="仿宋" w:eastAsia="仿宋" w:hAnsi="仿宋" w:cs="仿宋"/>
          <w:sz w:val="28"/>
          <w:szCs w:val="20"/>
        </w:rPr>
      </w:pPr>
      <w:r>
        <w:rPr>
          <w:rFonts w:ascii="仿宋" w:eastAsia="仿宋" w:hAnsi="仿宋" w:cs="仿宋" w:hint="eastAsia"/>
          <w:sz w:val="28"/>
          <w:szCs w:val="20"/>
        </w:rP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w:t>
      </w:r>
    </w:p>
    <w:p>
      <w:pPr>
        <w:ind w:firstLine="560" w:firstLineChars="200"/>
        <w:rPr>
          <w:rFonts w:ascii="仿宋" w:eastAsia="仿宋" w:hAnsi="仿宋" w:cs="仿宋"/>
          <w:b/>
          <w:bCs/>
          <w:sz w:val="28"/>
          <w:szCs w:val="20"/>
        </w:rPr>
      </w:pPr>
      <w:r>
        <w:rPr>
          <w:rFonts w:ascii="仿宋" w:eastAsia="仿宋" w:hAnsi="仿宋" w:cs="仿宋" w:hint="eastAsia"/>
          <w:b/>
          <w:bCs/>
          <w:sz w:val="28"/>
          <w:szCs w:val="20"/>
        </w:rPr>
        <w:t>六、投标产品软件兼容性要求</w:t>
      </w:r>
    </w:p>
    <w:p>
      <w:pPr>
        <w:ind w:firstLine="560" w:firstLineChars="200"/>
        <w:rPr>
          <w:rFonts w:ascii="仿宋" w:eastAsia="仿宋" w:hAnsi="仿宋" w:cs="仿宋" w:hint="eastAsia"/>
          <w:sz w:val="28"/>
          <w:szCs w:val="20"/>
        </w:rPr>
      </w:pPr>
      <w:r>
        <w:rPr>
          <w:rFonts w:ascii="仿宋" w:eastAsia="仿宋" w:hAnsi="仿宋" w:cs="仿宋" w:hint="eastAsia"/>
          <w:sz w:val="28"/>
          <w:szCs w:val="20"/>
        </w:rPr>
        <w:t>设备可无缝接入气象数据平台，完全符合甲方相关要求和规范，保证其系统的兼容性和功能的完整性</w:t>
      </w:r>
      <w:r>
        <w:rPr>
          <w:rFonts w:ascii="仿宋" w:eastAsia="仿宋" w:hAnsi="仿宋" w:cs="仿宋" w:hint="eastAsia"/>
          <w:sz w:val="28"/>
          <w:szCs w:val="20"/>
          <w:lang w:eastAsia="zh-CN"/>
        </w:rPr>
        <w:t>。</w:t>
      </w:r>
    </w:p>
    <w:p w:rsidR="00A77B3E"/>
    <w:p>
      <w:pPr>
        <w:adjustRightInd w:val="0"/>
        <w:snapToGrid w:val="0"/>
        <w:spacing w:line="360" w:lineRule="auto"/>
        <w:jc w:val="center"/>
        <w:rPr>
          <w:rFonts w:ascii="宋体" w:hAnsi="宋体" w:hint="eastAsia"/>
          <w:b/>
          <w:sz w:val="30"/>
          <w:szCs w:val="30"/>
          <w:highlight w:val="none"/>
        </w:rPr>
        <w:sectPr>
          <w:pgSz w:w="11906" w:h="16838"/>
          <w:pgMar w:top="1418" w:right="1418" w:bottom="1418" w:left="1701" w:header="851" w:footer="851" w:gutter="0"/>
          <w:cols w:space="708"/>
          <w:docGrid w:type="linesAndChars" w:linePitch="312"/>
        </w:sectPr>
      </w:pPr>
      <w:bookmarkEnd w:id="59"/>
    </w:p>
    <w:p>
      <w:pPr>
        <w:tabs>
          <w:tab w:val="left" w:pos="1573"/>
        </w:tabs>
        <w:adjustRightInd w:val="0"/>
        <w:snapToGrid w:val="0"/>
        <w:spacing w:line="360" w:lineRule="auto"/>
        <w:jc w:val="center"/>
        <w:outlineLvl w:val="1"/>
        <w:rPr>
          <w:b/>
          <w:bCs/>
          <w:sz w:val="30"/>
          <w:szCs w:val="30"/>
          <w:highlight w:val="none"/>
        </w:rPr>
      </w:pPr>
      <w:bookmarkStart w:id="69" w:name="投标被拒绝条款专用部分_JJTK"/>
      <w:r>
        <w:rPr>
          <w:rFonts w:hint="eastAsia"/>
          <w:b/>
          <w:sz w:val="30"/>
          <w:szCs w:val="30"/>
          <w:highlight w:val="none"/>
        </w:rPr>
        <w:t>第八章  投标被拒绝条款专用部分</w:t>
      </w:r>
    </w:p>
    <w:p>
      <w:pPr>
        <w:adjustRightInd w:val="0"/>
        <w:snapToGrid w:val="0"/>
        <w:spacing w:before="156" w:beforeLines="50" w:line="360" w:lineRule="auto"/>
        <w:ind w:firstLine="420"/>
        <w:rPr>
          <w:rFonts w:ascii="宋体" w:hAnsi="宋体" w:hint="eastAsia"/>
          <w:szCs w:val="21"/>
          <w:highlight w:val="none"/>
        </w:rPr>
      </w:pPr>
      <w:r>
        <w:rPr>
          <w:rFonts w:ascii="宋体" w:hAnsi="宋体" w:hint="eastAsia"/>
          <w:szCs w:val="21"/>
          <w:highlight w:val="none"/>
        </w:rPr>
        <w:t>本项目投标被拒绝专用条款详见下表。除下表及</w:t>
      </w:r>
      <w:r>
        <w:rPr>
          <w:rFonts w:ascii="黑体" w:eastAsia="黑体" w:hAnsi="黑体" w:hint="eastAsia"/>
          <w:b/>
          <w:bCs/>
          <w:szCs w:val="21"/>
          <w:highlight w:val="none"/>
        </w:rPr>
        <w:t>第三章投标被拒绝条款通用部分</w:t>
      </w:r>
      <w:r>
        <w:rPr>
          <w:rFonts w:ascii="宋体" w:hAnsi="宋体" w:hint="eastAsia"/>
          <w:szCs w:val="21"/>
          <w:highlight w:val="none"/>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8789"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544"/>
        <w:gridCol w:w="898"/>
        <w:gridCol w:w="7347"/>
      </w:tblGrid>
      <w:tr>
        <w:tblPrEx>
          <w:tblW w:w="8789"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cantSplit/>
          <w:trHeight w:val="746"/>
        </w:trPr>
        <w:tc>
          <w:tcPr>
            <w:tcW w:w="544" w:type="dxa"/>
            <w:noWrap w:val="0"/>
            <w:vAlign w:val="center"/>
          </w:tcPr>
          <w:p>
            <w:pPr>
              <w:rPr>
                <w:rFonts w:hint="eastAsia"/>
                <w:sz w:val="18"/>
                <w:szCs w:val="18"/>
                <w:highlight w:val="none"/>
              </w:rPr>
            </w:pPr>
            <w:r>
              <w:rPr>
                <w:rFonts w:hint="eastAsia"/>
                <w:sz w:val="18"/>
                <w:szCs w:val="18"/>
                <w:highlight w:val="none"/>
              </w:rPr>
              <w:t>序号</w:t>
            </w:r>
          </w:p>
        </w:tc>
        <w:tc>
          <w:tcPr>
            <w:tcW w:w="898" w:type="dxa"/>
            <w:noWrap w:val="0"/>
            <w:vAlign w:val="center"/>
          </w:tcPr>
          <w:p>
            <w:pPr>
              <w:jc w:val="center"/>
              <w:rPr>
                <w:rFonts w:hint="eastAsia"/>
                <w:sz w:val="18"/>
                <w:szCs w:val="18"/>
                <w:highlight w:val="none"/>
              </w:rPr>
            </w:pPr>
            <w:r>
              <w:rPr>
                <w:rFonts w:hint="eastAsia"/>
                <w:sz w:val="18"/>
                <w:szCs w:val="18"/>
                <w:highlight w:val="none"/>
              </w:rPr>
              <w:t>对应</w:t>
            </w:r>
          </w:p>
          <w:p>
            <w:pPr>
              <w:jc w:val="center"/>
              <w:rPr>
                <w:rFonts w:hint="eastAsia"/>
                <w:sz w:val="18"/>
                <w:szCs w:val="18"/>
                <w:highlight w:val="none"/>
              </w:rPr>
            </w:pPr>
            <w:r>
              <w:rPr>
                <w:rFonts w:hint="eastAsia"/>
                <w:sz w:val="18"/>
                <w:szCs w:val="18"/>
                <w:highlight w:val="none"/>
              </w:rPr>
              <w:t>条款号</w:t>
            </w:r>
          </w:p>
        </w:tc>
        <w:tc>
          <w:tcPr>
            <w:tcW w:w="7347" w:type="dxa"/>
            <w:noWrap w:val="0"/>
            <w:vAlign w:val="center"/>
          </w:tcPr>
          <w:p>
            <w:pPr>
              <w:jc w:val="center"/>
              <w:rPr>
                <w:rFonts w:hint="eastAsia"/>
                <w:sz w:val="18"/>
                <w:szCs w:val="18"/>
                <w:highlight w:val="none"/>
              </w:rPr>
            </w:pPr>
            <w:r>
              <w:rPr>
                <w:rFonts w:hint="eastAsia"/>
                <w:sz w:val="18"/>
                <w:szCs w:val="18"/>
                <w:highlight w:val="none"/>
              </w:rPr>
              <w:t>内 容</w:t>
            </w:r>
          </w:p>
        </w:tc>
      </w:tr>
      <w:tr>
        <w:tblPrEx>
          <w:tblW w:w="8789" w:type="dxa"/>
          <w:tblInd w:w="0" w:type="dxa"/>
          <w:tblLayout w:type="fixed"/>
          <w:tblCellMar>
            <w:top w:w="0" w:type="dxa"/>
            <w:left w:w="108" w:type="dxa"/>
            <w:bottom w:w="0" w:type="dxa"/>
            <w:right w:w="108" w:type="dxa"/>
          </w:tblCellMar>
        </w:tblPrEx>
        <w:trPr>
          <w:cantSplit/>
        </w:trPr>
        <w:tc>
          <w:tcPr>
            <w:tcW w:w="8789" w:type="dxa"/>
            <w:gridSpan w:val="3"/>
            <w:noWrap w:val="0"/>
            <w:vAlign w:val="center"/>
          </w:tcPr>
          <w:p>
            <w:pPr>
              <w:jc w:val="center"/>
              <w:rPr>
                <w:rFonts w:hint="eastAsia"/>
                <w:b/>
                <w:sz w:val="18"/>
                <w:szCs w:val="18"/>
                <w:highlight w:val="none"/>
              </w:rPr>
            </w:pPr>
            <w:r>
              <w:rPr>
                <w:rFonts w:hint="eastAsia"/>
                <w:b/>
                <w:sz w:val="18"/>
                <w:szCs w:val="18"/>
                <w:highlight w:val="none"/>
              </w:rPr>
              <w:t>第五章 投标人须知专用部分</w:t>
            </w:r>
          </w:p>
        </w:tc>
      </w:tr>
      <w:tr>
        <w:tblPrEx>
          <w:tblW w:w="8789" w:type="dxa"/>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13"/>
              </w:numPr>
              <w:rPr>
                <w:rFonts w:ascii="宋体" w:hAnsi="宋体" w:hint="eastAsia"/>
                <w:sz w:val="18"/>
                <w:szCs w:val="18"/>
                <w:highlight w:val="none"/>
              </w:rPr>
            </w:pPr>
          </w:p>
        </w:tc>
        <w:tc>
          <w:tcPr>
            <w:tcW w:w="898" w:type="dxa"/>
            <w:noWrap w:val="0"/>
            <w:vAlign w:val="center"/>
          </w:tcPr>
          <w:p>
            <w:pPr>
              <w:jc w:val="center"/>
              <w:rPr>
                <w:rFonts w:ascii="宋体" w:hAnsi="宋体" w:hint="eastAsia"/>
                <w:sz w:val="18"/>
                <w:szCs w:val="18"/>
                <w:highlight w:val="none"/>
              </w:rPr>
            </w:pPr>
            <w:r>
              <w:rPr>
                <w:rFonts w:ascii="宋体" w:hAnsi="宋体" w:hint="eastAsia"/>
                <w:sz w:val="18"/>
                <w:szCs w:val="18"/>
                <w:highlight w:val="none"/>
              </w:rPr>
              <w:t>5</w:t>
            </w:r>
            <w:r>
              <w:rPr>
                <w:rFonts w:ascii="宋体" w:hAnsi="宋体"/>
                <w:sz w:val="18"/>
                <w:szCs w:val="18"/>
                <w:highlight w:val="none"/>
              </w:rPr>
              <w:t>.2</w:t>
            </w:r>
          </w:p>
        </w:tc>
        <w:tc>
          <w:tcPr>
            <w:tcW w:w="7347" w:type="dxa"/>
            <w:noWrap w:val="0"/>
            <w:vAlign w:val="top"/>
          </w:tcPr>
          <w:p>
            <w:pPr>
              <w:tabs>
                <w:tab w:val="left" w:pos="709"/>
              </w:tabs>
              <w:spacing w:line="360" w:lineRule="auto"/>
              <w:jc w:val="left"/>
              <w:rPr>
                <w:rFonts w:ascii="宋体" w:hAnsi="宋体" w:cs="微软雅黑" w:hint="eastAsia"/>
                <w:b/>
                <w:color w:val="0000FF"/>
                <w:kern w:val="0"/>
                <w:sz w:val="18"/>
                <w:szCs w:val="18"/>
                <w:highlight w:val="none"/>
              </w:rPr>
            </w:pPr>
          </w:p>
        </w:tc>
      </w:tr>
      <w:tr>
        <w:tblPrEx>
          <w:tblW w:w="8789" w:type="dxa"/>
          <w:tblInd w:w="0" w:type="dxa"/>
          <w:tblLayout w:type="fixed"/>
          <w:tblCellMar>
            <w:top w:w="0" w:type="dxa"/>
            <w:left w:w="108" w:type="dxa"/>
            <w:bottom w:w="0" w:type="dxa"/>
            <w:right w:w="108" w:type="dxa"/>
          </w:tblCellMar>
        </w:tblPrEx>
        <w:trPr>
          <w:cantSplit/>
        </w:trPr>
        <w:tc>
          <w:tcPr>
            <w:tcW w:w="8789" w:type="dxa"/>
            <w:gridSpan w:val="3"/>
            <w:noWrap w:val="0"/>
            <w:vAlign w:val="center"/>
          </w:tcPr>
          <w:p>
            <w:pPr>
              <w:jc w:val="center"/>
              <w:rPr>
                <w:rFonts w:hint="eastAsia"/>
                <w:sz w:val="18"/>
                <w:szCs w:val="18"/>
                <w:highlight w:val="none"/>
              </w:rPr>
            </w:pPr>
            <w:r>
              <w:rPr>
                <w:rFonts w:hint="eastAsia"/>
                <w:b/>
                <w:sz w:val="18"/>
                <w:szCs w:val="18"/>
                <w:highlight w:val="none"/>
              </w:rPr>
              <w:t>第七章  采购需求</w:t>
            </w:r>
          </w:p>
        </w:tc>
      </w:tr>
      <w:tr>
        <w:tblPrEx>
          <w:tblW w:w="8789" w:type="dxa"/>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13"/>
              </w:numPr>
              <w:rPr>
                <w:rFonts w:ascii="宋体" w:hAnsi="宋体" w:hint="eastAsia"/>
                <w:sz w:val="18"/>
                <w:szCs w:val="18"/>
                <w:highlight w:val="none"/>
              </w:rPr>
            </w:pPr>
          </w:p>
        </w:tc>
        <w:tc>
          <w:tcPr>
            <w:tcW w:w="898" w:type="dxa"/>
            <w:noWrap w:val="0"/>
            <w:vAlign w:val="center"/>
          </w:tcPr>
          <w:p>
            <w:pPr>
              <w:jc w:val="center"/>
              <w:rPr>
                <w:rFonts w:ascii="宋体" w:hAnsi="宋体" w:hint="eastAsia"/>
                <w:sz w:val="18"/>
                <w:szCs w:val="18"/>
                <w:highlight w:val="none"/>
              </w:rPr>
            </w:pPr>
            <w:r>
              <w:rPr>
                <w:rFonts w:ascii="宋体" w:hAnsi="宋体" w:hint="eastAsia"/>
                <w:sz w:val="18"/>
                <w:szCs w:val="18"/>
                <w:highlight w:val="none"/>
                <w:lang w:eastAsia="zh-CN"/>
              </w:rPr>
              <w:t>四、（三）</w:t>
            </w:r>
          </w:p>
        </w:tc>
        <w:tc>
          <w:tcPr>
            <w:tcW w:w="7347" w:type="dxa"/>
            <w:noWrap w:val="0"/>
            <w:vAlign w:val="center"/>
          </w:tcPr>
          <w:p>
            <w:pPr>
              <w:tabs>
                <w:tab w:val="left" w:pos="709"/>
              </w:tabs>
              <w:spacing w:line="360" w:lineRule="auto"/>
              <w:jc w:val="left"/>
              <w:rPr>
                <w:rFonts w:ascii="宋体" w:hAnsi="宋体" w:hint="eastAsia"/>
                <w:sz w:val="18"/>
                <w:szCs w:val="18"/>
                <w:highlight w:val="none"/>
              </w:rPr>
            </w:pPr>
            <w:r>
              <w:rPr>
                <w:rFonts w:ascii="宋体" w:hAnsi="宋体" w:cs="微软雅黑" w:hint="eastAsia"/>
                <w:b/>
                <w:color w:val="0000FF"/>
                <w:kern w:val="0"/>
                <w:sz w:val="18"/>
                <w:szCs w:val="18"/>
                <w:highlight w:val="none"/>
              </w:rPr>
              <w:t>自雷达测试验收合格交付招标方使用之日起，雷达系统整机质保2年，在项目实施过程中所更换和新增加的部件、组件、模块等质保3年*</w:t>
            </w:r>
          </w:p>
        </w:tc>
      </w:tr>
    </w:tbl>
    <w:p>
      <w:pPr>
        <w:spacing w:before="156" w:beforeLines="50" w:line="360" w:lineRule="auto"/>
        <w:ind w:firstLine="420"/>
        <w:rPr>
          <w:highlight w:val="none"/>
        </w:rPr>
      </w:pPr>
      <w:r>
        <w:rPr>
          <w:rFonts w:ascii="宋体" w:hAnsi="宋体" w:hint="eastAsia"/>
          <w:szCs w:val="21"/>
          <w:highlight w:val="none"/>
        </w:rPr>
        <w:t>注：根据项目具体情况，对投标人有具体要求，且投标人必须遵守的，逐条列出。</w:t>
      </w:r>
    </w:p>
    <w:p w:rsidR="00A77B3E"/>
    <w:p>
      <w:pPr>
        <w:tabs>
          <w:tab w:val="left" w:pos="1573"/>
        </w:tabs>
        <w:adjustRightInd w:val="0"/>
        <w:snapToGrid w:val="0"/>
        <w:spacing w:line="360" w:lineRule="auto"/>
        <w:jc w:val="center"/>
        <w:outlineLvl w:val="1"/>
        <w:rPr>
          <w:rFonts w:hint="eastAsia"/>
          <w:b/>
          <w:sz w:val="48"/>
          <w:szCs w:val="36"/>
          <w:highlight w:val="none"/>
        </w:rPr>
        <w:sectPr>
          <w:headerReference w:type="default" r:id="rId6"/>
          <w:footerReference w:type="default" r:id="rId7"/>
          <w:pgSz w:w="11906" w:h="16838"/>
          <w:pgMar w:top="1440" w:right="1800" w:bottom="1440" w:left="1800" w:header="851" w:footer="992" w:gutter="0"/>
          <w:cols w:space="708"/>
          <w:docGrid w:type="lines" w:linePitch="312"/>
        </w:sectPr>
      </w:pPr>
      <w:bookmarkEnd w:id="69"/>
    </w:p>
    <w:p>
      <w:pPr>
        <w:spacing w:line="360" w:lineRule="auto"/>
        <w:jc w:val="center"/>
        <w:outlineLvl w:val="0"/>
        <w:rPr>
          <w:b/>
          <w:sz w:val="48"/>
          <w:szCs w:val="36"/>
          <w:highlight w:val="none"/>
        </w:rPr>
      </w:pPr>
      <w:r>
        <w:rPr>
          <w:rFonts w:hint="eastAsia"/>
          <w:b/>
          <w:sz w:val="48"/>
          <w:szCs w:val="36"/>
          <w:highlight w:val="none"/>
        </w:rPr>
        <w:t>第三分册：采购合同</w:t>
      </w:r>
    </w:p>
    <w:p>
      <w:pPr>
        <w:spacing w:line="360" w:lineRule="auto"/>
        <w:rPr>
          <w:b/>
          <w:bCs/>
          <w:sz w:val="28"/>
          <w:szCs w:val="28"/>
          <w:highlight w:val="none"/>
        </w:rPr>
      </w:pPr>
    </w:p>
    <w:p>
      <w:pPr>
        <w:numPr>
          <w:ilvl w:val="0"/>
          <w:numId w:val="4"/>
        </w:numPr>
        <w:spacing w:line="360" w:lineRule="auto"/>
        <w:ind w:firstLine="3066" w:firstLineChars="1460"/>
        <w:jc w:val="left"/>
        <w:rPr>
          <w:rFonts w:hint="eastAsia"/>
          <w:b/>
          <w:bCs/>
          <w:szCs w:val="21"/>
          <w:highlight w:val="none"/>
        </w:rPr>
      </w:pPr>
      <w:bookmarkStart w:id="70" w:name="采购公告合同部分_ZBGGHT"/>
      <w:r>
        <w:rPr>
          <w:rFonts w:hint="eastAsia"/>
          <w:b/>
          <w:bCs/>
          <w:szCs w:val="21"/>
          <w:highlight w:val="none"/>
        </w:rPr>
        <w:t xml:space="preserve"> 采购合同</w:t>
      </w:r>
    </w:p>
    <w:p>
      <w:pPr>
        <w:numPr>
          <w:ilvl w:val="0"/>
          <w:numId w:val="0"/>
        </w:numPr>
        <w:spacing w:line="360" w:lineRule="auto"/>
        <w:ind w:left="1680" w:firstLine="420" w:leftChars="0" w:firstLineChars="0"/>
        <w:jc w:val="left"/>
        <w:rPr>
          <w:rFonts w:hint="eastAsia"/>
          <w:b/>
          <w:bCs/>
          <w:szCs w:val="21"/>
          <w:highlight w:val="none"/>
        </w:rPr>
      </w:pPr>
      <w:r>
        <w:rPr>
          <w:rFonts w:hint="eastAsia"/>
          <w:b/>
          <w:bCs/>
          <w:szCs w:val="21"/>
          <w:highlight w:val="none"/>
        </w:rPr>
        <w:t>必须明确合同金额支付条件及支付比例</w:t>
      </w:r>
    </w:p>
    <w:p>
      <w:pPr>
        <w:pStyle w:val="BodyText"/>
        <w:spacing w:after="0"/>
        <w:jc w:val="center"/>
        <w:rPr>
          <w:rFonts w:ascii="宋体" w:hAnsi="宋体" w:cs="宋体"/>
          <w:b/>
          <w:bCs/>
          <w:spacing w:val="-20"/>
          <w:kern w:val="44"/>
          <w:sz w:val="48"/>
          <w:szCs w:val="48"/>
          <w:highlight w:val="none"/>
        </w:rPr>
      </w:pPr>
      <w:r>
        <w:rPr>
          <w:b/>
          <w:bCs/>
          <w:szCs w:val="21"/>
          <w:highlight w:val="none"/>
        </w:rPr>
        <w:br w:type="page"/>
      </w:r>
      <w:bookmarkStart w:id="71" w:name="_Toc3995"/>
    </w:p>
    <w:bookmarkEnd w:id="71"/>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r>
        <w:rPr>
          <w:rFonts w:ascii="宋体" w:hAnsi="宋体" w:cs="宋体" w:hint="eastAsia"/>
          <w:b/>
          <w:bCs/>
          <w:spacing w:val="-20"/>
          <w:kern w:val="44"/>
          <w:sz w:val="48"/>
          <w:szCs w:val="48"/>
          <w:highlight w:val="none"/>
        </w:rPr>
        <w:t>政府采购货物买卖合同</w:t>
      </w:r>
    </w:p>
    <w:p>
      <w:pPr>
        <w:pStyle w:val="BodyText"/>
        <w:spacing w:after="0"/>
        <w:jc w:val="center"/>
        <w:rPr>
          <w:rFonts w:ascii="宋体" w:hAnsi="宋体" w:cs="宋体"/>
          <w:b/>
          <w:bCs/>
          <w:spacing w:val="-20"/>
          <w:kern w:val="44"/>
          <w:sz w:val="48"/>
          <w:szCs w:val="48"/>
          <w:highlight w:val="none"/>
        </w:rPr>
      </w:pPr>
      <w:r>
        <w:rPr>
          <w:rFonts w:ascii="宋体" w:hAnsi="宋体" w:cs="宋体" w:hint="eastAsia"/>
          <w:b/>
          <w:bCs/>
          <w:spacing w:val="-20"/>
          <w:kern w:val="44"/>
          <w:sz w:val="48"/>
          <w:szCs w:val="48"/>
          <w:highlight w:val="none"/>
        </w:rPr>
        <w:t>（试行）</w:t>
      </w:r>
    </w:p>
    <w:p>
      <w:pPr>
        <w:rPr>
          <w:rFonts w:ascii="宋体" w:hAnsi="宋体" w:cs="宋体"/>
          <w:b/>
          <w:bCs/>
          <w:spacing w:val="-20"/>
          <w:kern w:val="44"/>
          <w:sz w:val="40"/>
          <w:szCs w:val="40"/>
          <w:highlight w:val="none"/>
        </w:rPr>
      </w:pPr>
    </w:p>
    <w:p>
      <w:pPr>
        <w:rPr>
          <w:rFonts w:ascii="宋体" w:hAnsi="宋体" w:cs="宋体"/>
          <w:b/>
          <w:bCs/>
          <w:spacing w:val="-20"/>
          <w:kern w:val="44"/>
          <w:sz w:val="40"/>
          <w:szCs w:val="40"/>
          <w:highlight w:val="none"/>
        </w:rPr>
      </w:pPr>
    </w:p>
    <w:p>
      <w:pPr>
        <w:rPr>
          <w:rFonts w:ascii="宋体" w:hAnsi="宋体" w:cs="宋体"/>
          <w:b/>
          <w:bCs/>
          <w:spacing w:val="-20"/>
          <w:kern w:val="44"/>
          <w:sz w:val="40"/>
          <w:szCs w:val="40"/>
          <w:highlight w:val="none"/>
        </w:rPr>
      </w:pPr>
    </w:p>
    <w:p>
      <w:pPr>
        <w:spacing w:line="360" w:lineRule="auto"/>
        <w:ind w:left="420" w:leftChars="200"/>
        <w:rPr>
          <w:sz w:val="32"/>
          <w:szCs w:val="32"/>
          <w:highlight w:val="none"/>
        </w:rPr>
      </w:pPr>
      <w:r>
        <w:rPr>
          <w:rFonts w:ascii="宋体" w:hAnsi="宋体" w:cs="宋体" w:hint="eastAsia"/>
          <w:kern w:val="0"/>
          <w:sz w:val="32"/>
          <w:szCs w:val="32"/>
          <w:highlight w:val="none"/>
        </w:rPr>
        <w:t>项目名称：</w:t>
      </w:r>
      <w:r>
        <w:rPr>
          <w:rFonts w:hint="eastAsia"/>
          <w:sz w:val="32"/>
          <w:szCs w:val="32"/>
          <w:highlight w:val="none"/>
          <w:u w:val="single"/>
        </w:rPr>
        <w:t xml:space="preserve">                             </w:t>
      </w:r>
    </w:p>
    <w:p>
      <w:pPr>
        <w:spacing w:line="360" w:lineRule="auto"/>
        <w:ind w:left="420" w:leftChars="200"/>
        <w:rPr>
          <w:sz w:val="32"/>
          <w:szCs w:val="32"/>
          <w:highlight w:val="none"/>
          <w:u w:val="single"/>
        </w:rPr>
      </w:pPr>
      <w:r>
        <w:rPr>
          <w:rFonts w:hint="eastAsia"/>
          <w:sz w:val="32"/>
          <w:szCs w:val="32"/>
          <w:highlight w:val="none"/>
        </w:rPr>
        <w:t>合同编号：</w:t>
      </w:r>
      <w:r>
        <w:rPr>
          <w:rFonts w:hint="eastAsia"/>
          <w:sz w:val="32"/>
          <w:szCs w:val="32"/>
          <w:highlight w:val="none"/>
          <w:u w:val="single"/>
        </w:rPr>
        <w:t xml:space="preserve">                             </w:t>
      </w:r>
    </w:p>
    <w:p>
      <w:pPr>
        <w:spacing w:line="360" w:lineRule="auto"/>
        <w:ind w:left="420" w:leftChars="200"/>
        <w:rPr>
          <w:sz w:val="32"/>
          <w:szCs w:val="32"/>
          <w:highlight w:val="none"/>
        </w:rPr>
      </w:pPr>
      <w:r>
        <w:rPr>
          <w:rFonts w:hint="eastAsia"/>
          <w:sz w:val="32"/>
          <w:szCs w:val="32"/>
          <w:highlight w:val="none"/>
        </w:rPr>
        <w:t>甲    方：</w:t>
      </w:r>
      <w:r>
        <w:rPr>
          <w:rFonts w:hint="eastAsia"/>
          <w:sz w:val="32"/>
          <w:szCs w:val="32"/>
          <w:highlight w:val="none"/>
          <w:u w:val="single"/>
        </w:rPr>
        <w:t xml:space="preserve">                             </w:t>
      </w:r>
    </w:p>
    <w:p>
      <w:pPr>
        <w:spacing w:line="360" w:lineRule="auto"/>
        <w:ind w:left="420" w:leftChars="200"/>
        <w:rPr>
          <w:sz w:val="32"/>
          <w:szCs w:val="32"/>
          <w:highlight w:val="none"/>
          <w:u w:val="single"/>
        </w:rPr>
      </w:pPr>
      <w:r>
        <w:rPr>
          <w:rFonts w:hint="eastAsia"/>
          <w:sz w:val="32"/>
          <w:szCs w:val="32"/>
          <w:highlight w:val="none"/>
        </w:rPr>
        <w:t>乙    方：</w:t>
      </w:r>
      <w:r>
        <w:rPr>
          <w:rFonts w:hint="eastAsia"/>
          <w:sz w:val="32"/>
          <w:szCs w:val="32"/>
          <w:highlight w:val="none"/>
          <w:u w:val="single"/>
        </w:rPr>
        <w:t xml:space="preserve">                             </w:t>
      </w:r>
    </w:p>
    <w:p>
      <w:pPr>
        <w:spacing w:line="360" w:lineRule="auto"/>
        <w:ind w:left="420" w:leftChars="200"/>
        <w:rPr>
          <w:sz w:val="32"/>
          <w:szCs w:val="32"/>
          <w:highlight w:val="none"/>
        </w:rPr>
      </w:pPr>
      <w:r>
        <w:rPr>
          <w:rFonts w:hint="eastAsia"/>
          <w:sz w:val="32"/>
          <w:szCs w:val="32"/>
          <w:highlight w:val="none"/>
        </w:rPr>
        <w:t>签订时间：</w:t>
      </w:r>
      <w:r>
        <w:rPr>
          <w:rFonts w:hint="eastAsia"/>
          <w:sz w:val="32"/>
          <w:szCs w:val="32"/>
          <w:highlight w:val="none"/>
          <w:u w:val="single"/>
        </w:rPr>
        <w:t xml:space="preserve">      </w:t>
      </w:r>
      <w:r>
        <w:rPr>
          <w:sz w:val="32"/>
          <w:szCs w:val="32"/>
          <w:highlight w:val="none"/>
          <w:u w:val="single"/>
        </w:rPr>
        <w:t xml:space="preserve">           </w:t>
      </w:r>
      <w:r>
        <w:rPr>
          <w:rFonts w:hint="eastAsia"/>
          <w:sz w:val="32"/>
          <w:szCs w:val="32"/>
          <w:highlight w:val="none"/>
          <w:u w:val="single"/>
        </w:rPr>
        <w:t xml:space="preserve">            </w:t>
      </w:r>
    </w:p>
    <w:p>
      <w:pPr>
        <w:rPr>
          <w:highlight w:val="none"/>
        </w:rPr>
      </w:pPr>
    </w:p>
    <w:p>
      <w:pPr>
        <w:rPr>
          <w:rFonts w:eastAsia="黑体"/>
          <w:sz w:val="44"/>
          <w:szCs w:val="44"/>
          <w:highlight w:val="none"/>
        </w:rPr>
      </w:pPr>
      <w:r>
        <w:rPr>
          <w:rFonts w:eastAsia="黑体"/>
          <w:sz w:val="44"/>
          <w:szCs w:val="44"/>
          <w:highlight w:val="none"/>
        </w:rPr>
        <w:br w:type="page"/>
      </w:r>
    </w:p>
    <w:p>
      <w:pPr>
        <w:rPr>
          <w:rFonts w:eastAsia="黑体"/>
          <w:sz w:val="44"/>
          <w:szCs w:val="44"/>
          <w:highlight w:val="none"/>
        </w:rPr>
      </w:pPr>
    </w:p>
    <w:p>
      <w:pPr>
        <w:rPr>
          <w:rFonts w:eastAsia="黑体"/>
          <w:sz w:val="44"/>
          <w:szCs w:val="44"/>
          <w:highlight w:val="none"/>
        </w:rPr>
      </w:pPr>
    </w:p>
    <w:p>
      <w:pPr>
        <w:jc w:val="center"/>
        <w:rPr>
          <w:rFonts w:eastAsia="黑体"/>
          <w:sz w:val="44"/>
          <w:szCs w:val="44"/>
          <w:highlight w:val="none"/>
        </w:rPr>
      </w:pPr>
      <w:r>
        <w:rPr>
          <w:rFonts w:eastAsia="黑体" w:hint="eastAsia"/>
          <w:sz w:val="44"/>
          <w:szCs w:val="44"/>
          <w:highlight w:val="none"/>
        </w:rPr>
        <w:t>使 用 说 明</w:t>
      </w:r>
    </w:p>
    <w:p>
      <w:pPr>
        <w:ind w:firstLine="640" w:firstLineChars="200"/>
        <w:rPr>
          <w:rFonts w:ascii="仿宋_GB2312" w:eastAsia="仿宋_GB2312" w:hAnsi="仿宋_GB2312" w:cs="仿宋_GB2312"/>
          <w:sz w:val="32"/>
          <w:szCs w:val="32"/>
          <w:highlight w:val="none"/>
        </w:rPr>
      </w:pPr>
    </w:p>
    <w:p>
      <w:pPr>
        <w:ind w:firstLine="640" w:firstLineChars="200"/>
        <w:rPr>
          <w:rFonts w:ascii="仿宋_GB2312" w:eastAsia="仿宋_GB2312" w:hAnsi="仿宋_GB2312" w:cs="仿宋_GB2312"/>
          <w:sz w:val="32"/>
          <w:szCs w:val="32"/>
          <w:highlight w:val="none"/>
        </w:rPr>
      </w:pPr>
      <w:r>
        <w:rPr>
          <w:rFonts w:ascii="仿宋_GB2312" w:eastAsia="仿宋_GB2312" w:hAnsi="仿宋_GB2312" w:cs="仿宋_GB2312" w:hint="eastAsia"/>
          <w:sz w:val="32"/>
          <w:szCs w:val="32"/>
          <w:highlight w:val="none"/>
        </w:rPr>
        <w:t>1.本合同标准文本适用于购买现成货物的采购项目，不包括需要供应商定制开发、创新研发的货物采购项目。</w:t>
      </w:r>
    </w:p>
    <w:p>
      <w:pPr>
        <w:rPr>
          <w:rFonts w:eastAsia="黑体"/>
          <w:sz w:val="44"/>
          <w:szCs w:val="44"/>
          <w:highlight w:val="none"/>
        </w:rPr>
      </w:pPr>
      <w:r>
        <w:rPr>
          <w:rFonts w:eastAsia="黑体" w:hint="eastAsia"/>
          <w:sz w:val="44"/>
          <w:szCs w:val="44"/>
          <w:highlight w:val="none"/>
        </w:rPr>
        <w:t xml:space="preserve">   </w:t>
      </w:r>
      <w:r>
        <w:rPr>
          <w:rFonts w:ascii="仿宋_GB2312" w:eastAsia="仿宋_GB2312" w:hAnsi="仿宋_GB2312" w:cs="仿宋_GB2312" w:hint="eastAsia"/>
          <w:sz w:val="32"/>
          <w:szCs w:val="32"/>
          <w:highlight w:val="none"/>
        </w:rPr>
        <w:t>2.本合同标准文本为政府采购货物买卖合同编制提供参考，可以结合采购项目具体情况，对文本作必要的调整修订后使用。</w:t>
      </w:r>
    </w:p>
    <w:p>
      <w:pPr>
        <w:ind w:firstLine="640" w:firstLineChars="200"/>
        <w:rPr>
          <w:rFonts w:ascii="仿宋_GB2312" w:eastAsia="仿宋_GB2312" w:hAnsi="仿宋_GB2312" w:cs="仿宋_GB2312"/>
          <w:sz w:val="32"/>
          <w:szCs w:val="32"/>
          <w:highlight w:val="none"/>
        </w:rPr>
      </w:pPr>
      <w:r>
        <w:rPr>
          <w:rFonts w:ascii="仿宋_GB2312" w:eastAsia="仿宋_GB2312" w:hAnsi="仿宋_GB2312" w:cs="仿宋_GB2312" w:hint="eastAsia"/>
          <w:sz w:val="32"/>
          <w:szCs w:val="32"/>
          <w:highlight w:val="none"/>
        </w:rPr>
        <w:t>3.本合同标准文本各条款中，如涉及填写多家供应商、制造商，多种采购标的、分包主要内容等信息的，可根据采购项目具体情况添加信息项。</w:t>
      </w:r>
    </w:p>
    <w:p>
      <w:pPr>
        <w:ind w:firstLine="0" w:firstLineChars="0"/>
        <w:rPr>
          <w:rFonts w:eastAsia="黑体"/>
          <w:sz w:val="44"/>
          <w:szCs w:val="44"/>
          <w:highlight w:val="none"/>
        </w:rPr>
        <w:sectPr>
          <w:pgSz w:w="11906" w:h="16838"/>
          <w:pgMar w:top="1440" w:right="1800" w:bottom="1440" w:left="1800" w:header="851" w:footer="992" w:gutter="0"/>
          <w:cols w:num="1" w:space="425"/>
          <w:docGrid w:type="lines" w:linePitch="312" w:charSpace="0"/>
        </w:sectPr>
      </w:pPr>
    </w:p>
    <w:p>
      <w:pPr>
        <w:pStyle w:val="Heading2"/>
        <w:numPr>
          <w:ilvl w:val="0"/>
          <w:numId w:val="0"/>
        </w:numPr>
        <w:adjustRightInd w:val="0"/>
        <w:snapToGrid w:val="0"/>
        <w:spacing w:line="400" w:lineRule="exact"/>
        <w:jc w:val="center"/>
        <w:rPr>
          <w:rFonts w:ascii="黑体" w:hAnsi="华文中宋"/>
          <w:b w:val="0"/>
          <w:bCs w:val="0"/>
          <w:sz w:val="28"/>
          <w:szCs w:val="28"/>
          <w:highlight w:val="none"/>
        </w:rPr>
      </w:pPr>
      <w:bookmarkStart w:id="72" w:name="_Toc22209"/>
      <w:r>
        <w:rPr>
          <w:rFonts w:ascii="黑体" w:hAnsi="黑体" w:hint="eastAsia"/>
          <w:b w:val="0"/>
          <w:bCs w:val="0"/>
          <w:sz w:val="28"/>
          <w:szCs w:val="28"/>
          <w:highlight w:val="none"/>
        </w:rPr>
        <w:t xml:space="preserve">第一节 </w:t>
      </w:r>
      <w:r>
        <w:rPr>
          <w:rFonts w:ascii="黑体" w:hAnsi="华文中宋" w:hint="eastAsia"/>
          <w:b w:val="0"/>
          <w:bCs w:val="0"/>
          <w:sz w:val="28"/>
          <w:szCs w:val="28"/>
          <w:highlight w:val="none"/>
        </w:rPr>
        <w:t>政府采购合同协议书</w:t>
      </w:r>
      <w:bookmarkEnd w:id="72"/>
    </w:p>
    <w:p>
      <w:pPr>
        <w:adjustRightInd w:val="0"/>
        <w:snapToGrid w:val="0"/>
        <w:spacing w:line="400" w:lineRule="exact"/>
        <w:rPr>
          <w:rFonts w:ascii="宋体" w:hAnsi="宋体"/>
          <w:szCs w:val="21"/>
          <w:highlight w:val="none"/>
        </w:rPr>
      </w:pPr>
      <w:r>
        <w:rPr>
          <w:rFonts w:ascii="宋体" w:hAnsi="宋体" w:hint="eastAsia"/>
          <w:szCs w:val="21"/>
          <w:highlight w:val="none"/>
        </w:rPr>
        <w:t>甲方（全称）：</w:t>
      </w:r>
      <w:r>
        <w:rPr>
          <w:rFonts w:ascii="宋体" w:hAnsi="宋体" w:hint="eastAsia"/>
          <w:szCs w:val="21"/>
          <w:highlight w:val="none"/>
          <w:u w:val="single"/>
        </w:rPr>
        <w:t xml:space="preserve">                        </w:t>
      </w:r>
      <w:r>
        <w:rPr>
          <w:rFonts w:ascii="宋体" w:hAnsi="宋体" w:hint="eastAsia"/>
          <w:szCs w:val="21"/>
          <w:highlight w:val="none"/>
        </w:rPr>
        <w:t>（采购人、受采购人委托签订合同的单位或采购</w:t>
      </w:r>
      <w:r>
        <w:rPr>
          <w:rFonts w:ascii="宋体" w:hAnsi="宋体" w:hint="eastAsia"/>
          <w:szCs w:val="21"/>
          <w:highlight w:val="none"/>
        </w:rPr>
        <w:tab/>
      </w:r>
      <w:r>
        <w:rPr>
          <w:rFonts w:ascii="宋体" w:hAnsi="宋体" w:hint="eastAsia"/>
          <w:szCs w:val="21"/>
          <w:highlight w:val="none"/>
        </w:rPr>
        <w:t xml:space="preserve">                                   文件约定的合同甲方）</w:t>
      </w:r>
    </w:p>
    <w:p>
      <w:pPr>
        <w:adjustRightInd w:val="0"/>
        <w:snapToGrid w:val="0"/>
        <w:spacing w:line="400" w:lineRule="exact"/>
        <w:rPr>
          <w:rFonts w:ascii="宋体" w:hAnsi="宋体"/>
          <w:szCs w:val="21"/>
          <w:highlight w:val="none"/>
        </w:rPr>
      </w:pPr>
      <w:r>
        <w:rPr>
          <w:rFonts w:ascii="宋体" w:hAnsi="宋体" w:hint="eastAsia"/>
          <w:szCs w:val="21"/>
          <w:highlight w:val="none"/>
        </w:rPr>
        <w:t>乙方1（全称）：</w:t>
      </w:r>
      <w:r>
        <w:rPr>
          <w:rFonts w:ascii="宋体" w:hAnsi="宋体" w:hint="eastAsia"/>
          <w:szCs w:val="21"/>
          <w:highlight w:val="none"/>
          <w:u w:val="single"/>
        </w:rPr>
        <w:t xml:space="preserve">                       </w:t>
      </w:r>
      <w:r>
        <w:rPr>
          <w:rFonts w:ascii="宋体" w:hAnsi="宋体" w:hint="eastAsia"/>
          <w:szCs w:val="21"/>
          <w:highlight w:val="none"/>
        </w:rPr>
        <w:t>（供应商）</w:t>
      </w:r>
    </w:p>
    <w:p>
      <w:pPr>
        <w:adjustRightInd w:val="0"/>
        <w:snapToGrid w:val="0"/>
        <w:spacing w:line="400" w:lineRule="exact"/>
        <w:rPr>
          <w:rFonts w:ascii="宋体" w:hAnsi="宋体"/>
          <w:szCs w:val="21"/>
          <w:highlight w:val="none"/>
        </w:rPr>
      </w:pPr>
      <w:r>
        <w:rPr>
          <w:rFonts w:ascii="宋体" w:hAnsi="宋体" w:hint="eastAsia"/>
          <w:szCs w:val="21"/>
          <w:highlight w:val="none"/>
        </w:rPr>
        <w:t>乙方2（全称）：</w:t>
      </w:r>
      <w:r>
        <w:rPr>
          <w:rFonts w:ascii="宋体" w:hAnsi="宋体" w:hint="eastAsia"/>
          <w:szCs w:val="21"/>
          <w:highlight w:val="none"/>
          <w:u w:val="single"/>
        </w:rPr>
        <w:t xml:space="preserve">                        </w:t>
      </w:r>
      <w:r>
        <w:rPr>
          <w:rFonts w:ascii="宋体" w:hAnsi="宋体" w:hint="eastAsia"/>
          <w:szCs w:val="21"/>
          <w:highlight w:val="none"/>
        </w:rPr>
        <w:t>（联合体成员供应商或其他合同主体）（如有）</w:t>
      </w:r>
    </w:p>
    <w:p>
      <w:pPr>
        <w:adjustRightInd w:val="0"/>
        <w:snapToGrid w:val="0"/>
        <w:spacing w:line="400" w:lineRule="exact"/>
        <w:rPr>
          <w:rFonts w:ascii="宋体" w:hAnsi="宋体"/>
          <w:szCs w:val="21"/>
          <w:highlight w:val="none"/>
        </w:rPr>
      </w:pPr>
      <w:r>
        <w:rPr>
          <w:rFonts w:hint="eastAsia"/>
          <w:highlight w:val="none"/>
        </w:rPr>
        <w:t>乙方</w:t>
      </w:r>
      <w:r>
        <w:rPr>
          <w:rFonts w:ascii="宋体" w:hAnsi="宋体" w:hint="eastAsia"/>
          <w:szCs w:val="21"/>
          <w:highlight w:val="none"/>
        </w:rPr>
        <w:t>3</w:t>
      </w:r>
      <w:r>
        <w:rPr>
          <w:rFonts w:hint="eastAsia"/>
          <w:highlight w:val="none"/>
        </w:rPr>
        <w:t>（全称）</w:t>
      </w:r>
      <w:r>
        <w:rPr>
          <w:rFonts w:ascii="宋体" w:hAnsi="宋体" w:hint="eastAsia"/>
          <w:szCs w:val="21"/>
          <w:highlight w:val="none"/>
          <w:u w:val="single"/>
        </w:rPr>
        <w:t xml:space="preserve">                          </w:t>
      </w:r>
      <w:r>
        <w:rPr>
          <w:rFonts w:ascii="宋体" w:hAnsi="宋体" w:hint="eastAsia"/>
          <w:szCs w:val="21"/>
          <w:highlight w:val="none"/>
        </w:rPr>
        <w:t>（联合体成员供应商或其他合同主体）（如有）</w:t>
      </w:r>
    </w:p>
    <w:p>
      <w:pPr>
        <w:spacing w:line="400" w:lineRule="exact"/>
        <w:rPr>
          <w:highlight w:val="none"/>
        </w:rPr>
      </w:pPr>
    </w:p>
    <w:p>
      <w:pPr>
        <w:pStyle w:val="BodyTextIndent"/>
        <w:adjustRightInd w:val="0"/>
        <w:snapToGrid w:val="0"/>
        <w:spacing w:after="0" w:line="400" w:lineRule="exact"/>
        <w:ind w:left="0" w:firstLine="420" w:leftChars="0" w:firstLineChars="200"/>
        <w:rPr>
          <w:rFonts w:ascii="宋体" w:hAnsi="宋体"/>
          <w:szCs w:val="21"/>
          <w:highlight w:val="none"/>
        </w:rPr>
      </w:pPr>
      <w:r>
        <w:rPr>
          <w:rFonts w:ascii="宋体" w:hAnsi="宋体" w:hint="eastAsia"/>
          <w:szCs w:val="21"/>
          <w:highlight w:val="none"/>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p>
    <w:p>
      <w:pPr>
        <w:numPr>
          <w:ilvl w:val="0"/>
          <w:numId w:val="5"/>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项目信息</w:t>
      </w:r>
    </w:p>
    <w:p>
      <w:pPr>
        <w:pStyle w:val="BodyTextIndent"/>
        <w:numPr>
          <w:ilvl w:val="0"/>
          <w:numId w:val="6"/>
        </w:numPr>
        <w:adjustRightInd w:val="0"/>
        <w:snapToGrid w:val="0"/>
        <w:spacing w:after="0" w:line="400" w:lineRule="exact"/>
        <w:ind w:left="0" w:firstLine="420" w:leftChars="0" w:firstLineChars="200"/>
        <w:rPr>
          <w:rFonts w:ascii="宋体" w:hAnsi="宋体"/>
          <w:szCs w:val="21"/>
          <w:highlight w:val="none"/>
          <w:u w:val="single"/>
        </w:rPr>
      </w:pPr>
      <w:r>
        <w:rPr>
          <w:rFonts w:ascii="宋体" w:hAnsi="宋体" w:hint="eastAsia"/>
          <w:szCs w:val="21"/>
          <w:highlight w:val="none"/>
        </w:rPr>
        <w:t>采购项目名称：</w:t>
      </w:r>
      <w:r>
        <w:rPr>
          <w:rFonts w:ascii="宋体" w:hAnsi="宋体"/>
          <w:szCs w:val="21"/>
          <w:highlight w:val="none"/>
          <w:u w:val="single"/>
        </w:rPr>
        <w:t xml:space="preserve">                                          </w:t>
      </w:r>
    </w:p>
    <w:p>
      <w:pPr>
        <w:pStyle w:val="BodyTextIndent"/>
        <w:numPr>
          <w:ilvl w:val="0"/>
          <w:numId w:val="0"/>
        </w:numPr>
        <w:tabs>
          <w:tab w:val="left" w:pos="999"/>
        </w:tabs>
        <w:adjustRightInd w:val="0"/>
        <w:snapToGrid w:val="0"/>
        <w:spacing w:after="0" w:line="400" w:lineRule="exact"/>
        <w:rPr>
          <w:rFonts w:ascii="宋体" w:hAnsi="宋体"/>
          <w:szCs w:val="21"/>
          <w:highlight w:val="none"/>
        </w:rPr>
      </w:pPr>
      <w:r>
        <w:rPr>
          <w:rFonts w:ascii="宋体" w:hAnsi="宋体" w:hint="eastAsia"/>
          <w:szCs w:val="21"/>
          <w:highlight w:val="none"/>
        </w:rPr>
        <w:t xml:space="preserve">         采购项目编号：</w:t>
      </w:r>
      <w:r>
        <w:rPr>
          <w:rFonts w:ascii="宋体" w:hAnsi="宋体"/>
          <w:szCs w:val="21"/>
          <w:highlight w:val="none"/>
          <w:u w:val="single"/>
        </w:rPr>
        <w:t xml:space="preserve">                                          </w:t>
      </w:r>
    </w:p>
    <w:p>
      <w:pPr>
        <w:pStyle w:val="BodyTextIndent"/>
        <w:adjustRightInd w:val="0"/>
        <w:snapToGrid w:val="0"/>
        <w:spacing w:after="0" w:line="400" w:lineRule="exact"/>
        <w:ind w:left="0" w:firstLine="420" w:leftChars="0" w:firstLineChars="200"/>
        <w:rPr>
          <w:rFonts w:ascii="宋体" w:hAnsi="宋体"/>
          <w:szCs w:val="21"/>
          <w:highlight w:val="none"/>
        </w:rPr>
      </w:pPr>
      <w:r>
        <w:rPr>
          <w:rFonts w:ascii="宋体" w:hAnsi="宋体" w:hint="eastAsia"/>
          <w:szCs w:val="21"/>
          <w:highlight w:val="none"/>
        </w:rPr>
        <w:t>（2）采购计划编号：</w:t>
      </w:r>
      <w:r>
        <w:rPr>
          <w:rFonts w:ascii="宋体" w:hAnsi="宋体"/>
          <w:szCs w:val="21"/>
          <w:highlight w:val="none"/>
          <w:u w:val="single"/>
        </w:rPr>
        <w:t xml:space="preserve">                     </w:t>
      </w:r>
      <w:r>
        <w:rPr>
          <w:rFonts w:ascii="宋体" w:hAnsi="宋体" w:hint="eastAsia"/>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 xml:space="preserve"> </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（3）项目内容：</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 xml:space="preserve">     采购标的及数量（台/套</w:t>
      </w:r>
      <w:r>
        <w:rPr>
          <w:rFonts w:ascii="宋体" w:hAnsi="宋体"/>
          <w:szCs w:val="21"/>
          <w:highlight w:val="none"/>
          <w:lang w:val="en"/>
        </w:rPr>
        <w:t>/</w:t>
      </w:r>
      <w:r>
        <w:rPr>
          <w:rFonts w:ascii="宋体" w:hAnsi="宋体" w:hint="eastAsia"/>
          <w:szCs w:val="21"/>
          <w:highlight w:val="none"/>
          <w:lang w:val="en"/>
        </w:rPr>
        <w:t>个</w:t>
      </w:r>
      <w:r>
        <w:rPr>
          <w:rFonts w:ascii="宋体" w:hAnsi="宋体"/>
          <w:szCs w:val="21"/>
          <w:highlight w:val="none"/>
          <w:lang w:val="en"/>
        </w:rPr>
        <w:t>/</w:t>
      </w:r>
      <w:r>
        <w:rPr>
          <w:rFonts w:ascii="宋体" w:hAnsi="宋体" w:hint="eastAsia"/>
          <w:szCs w:val="21"/>
          <w:highlight w:val="none"/>
          <w:lang w:val="en"/>
        </w:rPr>
        <w:t>架</w:t>
      </w:r>
      <w:r>
        <w:rPr>
          <w:rFonts w:ascii="宋体" w:hAnsi="宋体"/>
          <w:szCs w:val="21"/>
          <w:highlight w:val="none"/>
          <w:lang w:val="en"/>
        </w:rPr>
        <w:t>/</w:t>
      </w:r>
      <w:r>
        <w:rPr>
          <w:rFonts w:ascii="宋体" w:hAnsi="宋体" w:hint="eastAsia"/>
          <w:szCs w:val="21"/>
          <w:highlight w:val="none"/>
          <w:lang w:val="en"/>
        </w:rPr>
        <w:t>组等</w:t>
      </w:r>
      <w:r>
        <w:rPr>
          <w:rFonts w:ascii="宋体" w:hAnsi="宋体" w:hint="eastAsia"/>
          <w:szCs w:val="21"/>
          <w:highlight w:val="none"/>
        </w:rPr>
        <w:t>）：</w:t>
      </w:r>
      <w:r>
        <w:rPr>
          <w:rFonts w:ascii="宋体" w:hAnsi="宋体" w:hint="eastAsia"/>
          <w:szCs w:val="21"/>
          <w:highlight w:val="none"/>
          <w:u w:val="single"/>
        </w:rPr>
        <w:t xml:space="preserve">                       </w:t>
      </w:r>
      <w:r>
        <w:rPr>
          <w:rFonts w:ascii="宋体" w:hAnsi="宋体" w:hint="eastAsia"/>
          <w:szCs w:val="21"/>
          <w:highlight w:val="none"/>
        </w:rPr>
        <w:t xml:space="preserve">            </w:t>
      </w:r>
      <w:r>
        <w:rPr>
          <w:rFonts w:ascii="宋体" w:hAnsi="宋体" w:hint="eastAsia"/>
          <w:szCs w:val="21"/>
          <w:highlight w:val="none"/>
          <w:u w:val="single"/>
        </w:rPr>
        <w:t xml:space="preserve">                  </w:t>
      </w:r>
      <w:r>
        <w:rPr>
          <w:rFonts w:ascii="宋体" w:hAnsi="宋体" w:hint="eastAsia"/>
          <w:szCs w:val="21"/>
          <w:highlight w:val="none"/>
        </w:rPr>
        <w:t xml:space="preserve"> </w:t>
      </w:r>
    </w:p>
    <w:p>
      <w:pPr>
        <w:numPr>
          <w:ilvl w:val="0"/>
          <w:numId w:val="0"/>
        </w:numPr>
        <w:adjustRightInd w:val="0"/>
        <w:snapToGrid w:val="0"/>
        <w:spacing w:line="400" w:lineRule="exact"/>
        <w:ind w:firstLine="420" w:firstLineChars="200"/>
        <w:rPr>
          <w:rFonts w:ascii="宋体" w:hAnsi="宋体" w:cs="宋体"/>
          <w:szCs w:val="21"/>
          <w:highlight w:val="none"/>
          <w:lang w:val="en"/>
        </w:rPr>
      </w:pPr>
      <w:r>
        <w:rPr>
          <w:rFonts w:ascii="宋体" w:hAnsi="宋体" w:hint="eastAsia"/>
          <w:szCs w:val="21"/>
          <w:highlight w:val="none"/>
        </w:rPr>
        <w:t xml:space="preserve">     </w:t>
      </w:r>
      <w:r>
        <w:rPr>
          <w:rFonts w:ascii="宋体" w:hAnsi="宋体" w:cs="宋体" w:hint="eastAsia"/>
          <w:szCs w:val="21"/>
          <w:highlight w:val="none"/>
        </w:rPr>
        <w:t>品牌：</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lang w:val="en"/>
        </w:rPr>
        <w:t xml:space="preserve">     </w:t>
      </w:r>
      <w:r>
        <w:rPr>
          <w:rFonts w:ascii="宋体" w:hAnsi="宋体" w:cs="宋体" w:hint="eastAsia"/>
          <w:szCs w:val="21"/>
          <w:highlight w:val="none"/>
        </w:rPr>
        <w:t>规格型号：</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p>
    <w:p>
      <w:pPr>
        <w:adjustRightInd w:val="0"/>
        <w:snapToGrid w:val="0"/>
        <w:spacing w:line="400" w:lineRule="exact"/>
        <w:ind w:firstLine="945" w:firstLineChars="450"/>
        <w:rPr>
          <w:rFonts w:ascii="宋体" w:hAnsi="宋体"/>
          <w:szCs w:val="21"/>
          <w:highlight w:val="none"/>
          <w:u w:val="single"/>
        </w:rPr>
      </w:pPr>
      <w:r>
        <w:rPr>
          <w:rFonts w:ascii="宋体" w:hAnsi="宋体" w:hint="eastAsia"/>
          <w:szCs w:val="21"/>
          <w:highlight w:val="none"/>
        </w:rPr>
        <w:t>采购标的的技术要求、商务要求具体见附件。</w:t>
      </w:r>
    </w:p>
    <w:p>
      <w:pPr>
        <w:numPr>
          <w:ilvl w:val="0"/>
          <w:numId w:val="0"/>
        </w:numPr>
        <w:adjustRightInd w:val="0"/>
        <w:snapToGrid w:val="0"/>
        <w:spacing w:line="400" w:lineRule="exact"/>
        <w:ind w:firstLine="945" w:firstLineChars="450"/>
        <w:rPr>
          <w:rFonts w:ascii="宋体" w:hAnsi="宋体" w:cs="宋体"/>
          <w:szCs w:val="21"/>
          <w:highlight w:val="none"/>
        </w:rPr>
      </w:pPr>
      <w:r>
        <w:rPr>
          <w:rFonts w:ascii="汉仪书宋二S" w:eastAsia="汉仪书宋二S" w:hAnsi="汉仪书宋二S" w:cs="汉仪书宋二S" w:hint="eastAsia"/>
          <w:szCs w:val="21"/>
          <w:highlight w:val="none"/>
        </w:rPr>
        <w:t>①</w:t>
      </w:r>
      <w:r>
        <w:rPr>
          <w:rFonts w:ascii="宋体" w:hAnsi="宋体" w:cs="宋体" w:hint="eastAsia"/>
          <w:szCs w:val="21"/>
          <w:highlight w:val="none"/>
        </w:rPr>
        <w:t>涉及信息类产品，请填写该产品关键部件的品牌、型号：</w:t>
      </w:r>
    </w:p>
    <w:p>
      <w:pPr>
        <w:numPr>
          <w:ilvl w:val="0"/>
          <w:numId w:val="0"/>
        </w:numPr>
        <w:adjustRightInd w:val="0"/>
        <w:snapToGrid w:val="0"/>
        <w:spacing w:line="400" w:lineRule="exact"/>
        <w:ind w:firstLine="420" w:firstLineChars="200"/>
        <w:rPr>
          <w:rFonts w:ascii="宋体" w:hAnsi="宋体" w:cs="宋体"/>
          <w:kern w:val="0"/>
          <w:szCs w:val="21"/>
          <w:highlight w:val="none"/>
          <w:u w:val="single"/>
        </w:rPr>
      </w:pPr>
      <w:r>
        <w:rPr>
          <w:rFonts w:ascii="宋体" w:hAnsi="宋体" w:cs="宋体" w:hint="eastAsia"/>
          <w:szCs w:val="21"/>
          <w:highlight w:val="none"/>
        </w:rPr>
        <w:t xml:space="preserve">     标的名称：</w:t>
      </w:r>
      <w:r>
        <w:rPr>
          <w:rFonts w:ascii="宋体" w:hAnsi="宋体" w:cs="宋体" w:hint="eastAsia"/>
          <w:kern w:val="0"/>
          <w:szCs w:val="21"/>
          <w:highlight w:val="none"/>
          <w:u w:val="single"/>
        </w:rPr>
        <w:t xml:space="preserve">      </w:t>
      </w:r>
      <w:r>
        <w:rPr>
          <w:rFonts w:ascii="宋体" w:hAnsi="宋体" w:cs="宋体"/>
          <w:kern w:val="0"/>
          <w:szCs w:val="21"/>
          <w:highlight w:val="none"/>
          <w:u w:val="single"/>
          <w:lang w:val="en"/>
        </w:rPr>
        <w:t xml:space="preserve">               </w:t>
      </w:r>
      <w:r>
        <w:rPr>
          <w:rFonts w:ascii="宋体" w:hAnsi="宋体" w:cs="宋体" w:hint="eastAsia"/>
          <w:kern w:val="0"/>
          <w:szCs w:val="21"/>
          <w:highlight w:val="none"/>
          <w:u w:val="single"/>
        </w:rPr>
        <w:t xml:space="preserve">    </w:t>
      </w:r>
    </w:p>
    <w:p>
      <w:pPr>
        <w:numPr>
          <w:ilvl w:val="0"/>
          <w:numId w:val="0"/>
        </w:num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 xml:space="preserve">     关键部件：</w:t>
      </w:r>
      <w:r>
        <w:rPr>
          <w:rFonts w:ascii="宋体" w:hAnsi="宋体" w:cs="宋体" w:hint="eastAsia"/>
          <w:kern w:val="0"/>
          <w:szCs w:val="21"/>
          <w:highlight w:val="none"/>
          <w:u w:val="single"/>
        </w:rPr>
        <w:t xml:space="preserve">          </w:t>
      </w:r>
      <w:r>
        <w:rPr>
          <w:rFonts w:ascii="宋体" w:hAnsi="宋体" w:cs="宋体" w:hint="eastAsia"/>
          <w:kern w:val="0"/>
          <w:szCs w:val="21"/>
          <w:highlight w:val="none"/>
        </w:rPr>
        <w:t xml:space="preserve"> </w:t>
      </w:r>
      <w:r>
        <w:rPr>
          <w:rFonts w:ascii="宋体" w:hAnsi="宋体" w:cs="宋体" w:hint="eastAsia"/>
          <w:szCs w:val="21"/>
          <w:highlight w:val="none"/>
        </w:rPr>
        <w:t>品牌：</w:t>
      </w:r>
      <w:r>
        <w:rPr>
          <w:rFonts w:ascii="宋体" w:hAnsi="宋体" w:cs="宋体" w:hint="eastAsia"/>
          <w:szCs w:val="21"/>
          <w:highlight w:val="none"/>
          <w:u w:val="single"/>
        </w:rPr>
        <w:t xml:space="preserve">        </w:t>
      </w:r>
      <w:r>
        <w:rPr>
          <w:rFonts w:ascii="宋体" w:hAnsi="宋体" w:cs="宋体" w:hint="eastAsia"/>
          <w:szCs w:val="21"/>
          <w:highlight w:val="none"/>
        </w:rPr>
        <w:t xml:space="preserve"> 型号：</w:t>
      </w:r>
      <w:r>
        <w:rPr>
          <w:rFonts w:ascii="宋体" w:hAnsi="宋体" w:cs="宋体" w:hint="eastAsia"/>
          <w:szCs w:val="21"/>
          <w:highlight w:val="none"/>
          <w:u w:val="single"/>
        </w:rPr>
        <w:t xml:space="preserve">       </w:t>
      </w:r>
      <w:r>
        <w:rPr>
          <w:rFonts w:ascii="宋体" w:hAnsi="宋体" w:cs="宋体" w:hint="eastAsia"/>
          <w:szCs w:val="21"/>
          <w:highlight w:val="non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w:t>
      </w:r>
      <w:r>
        <w:rPr>
          <w:rFonts w:ascii="宋体" w:eastAsia="宋体" w:hAnsi="宋体" w:cs="宋体" w:hint="eastAsia"/>
          <w:kern w:val="2"/>
          <w:sz w:val="21"/>
          <w:highlight w:val="none"/>
        </w:rPr>
        <w:t>关键部件</w:t>
      </w:r>
      <w:r>
        <w:rPr>
          <w:rFonts w:ascii="宋体" w:eastAsia="宋体" w:hAnsi="宋体" w:cs="宋体" w:hint="eastAsia"/>
          <w:sz w:val="21"/>
          <w:highlight w:val="none"/>
        </w:rPr>
        <w:t>：</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品牌：</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型号：</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关键部件：</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品牌：</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型号：</w:t>
      </w:r>
      <w:r>
        <w:rPr>
          <w:rFonts w:ascii="宋体" w:eastAsia="宋体" w:hAnsi="宋体" w:cs="宋体" w:hint="eastAsia"/>
          <w:sz w:val="21"/>
          <w:highlight w:val="none"/>
          <w:u w:val="single"/>
        </w:rPr>
        <w:t xml:space="preserve">       </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（注：关键部件是指财政部会同有关部门发布的政府采购需求标准规定的需要通过国家有关部门指定的测评机构开展的安全可靠测评的软硬件，如CPU芯片、操作系统、数据库等。）</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汉仪书宋二S" w:eastAsia="汉仪书宋二S" w:hAnsi="汉仪书宋二S" w:cs="汉仪书宋二S" w:hint="eastAsia"/>
          <w:sz w:val="21"/>
          <w:highlight w:val="none"/>
        </w:rPr>
        <w:t>②</w:t>
      </w:r>
      <w:r>
        <w:rPr>
          <w:rFonts w:ascii="宋体" w:eastAsia="宋体" w:hAnsi="宋体" w:cs="宋体" w:hint="eastAsia"/>
          <w:sz w:val="21"/>
          <w:highlight w:val="none"/>
        </w:rPr>
        <w:t>涉及车辆采购，请填写是否属于新能源汽车：</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是，《政府采购品目分类目录》底级品目名称：</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数量：</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金额：</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否</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宋体" w:eastAsia="宋体" w:hAnsi="宋体" w:cs="宋体"/>
          <w:sz w:val="21"/>
          <w:highlight w:val="none"/>
          <w:lang w:val="en"/>
        </w:rPr>
        <w:t>4</w:t>
      </w:r>
      <w:r>
        <w:rPr>
          <w:rFonts w:ascii="宋体" w:eastAsia="宋体" w:hAnsi="宋体" w:cs="宋体" w:hint="eastAsia"/>
          <w:sz w:val="21"/>
          <w:highlight w:val="none"/>
        </w:rPr>
        <w:t>）政府采购组织形式：</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政府集中采购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部门集中采购  </w:t>
      </w:r>
      <w:r>
        <w:rPr>
          <w:rFonts w:ascii="Wingdings" w:eastAsia="宋体" w:hAnsi="Wingdings" w:cs="宋体"/>
          <w:sz w:val="21"/>
          <w:highlight w:val="none"/>
        </w:rPr>
        <w:sym w:font="Wingdings" w:char="F0A8"/>
      </w:r>
      <w:r>
        <w:rPr>
          <w:rFonts w:ascii="宋体" w:eastAsia="宋体" w:hAnsi="宋体" w:cs="宋体" w:hint="eastAsia"/>
          <w:sz w:val="21"/>
          <w:highlight w:val="none"/>
        </w:rPr>
        <w:t>分散采购</w:t>
      </w:r>
    </w:p>
    <w:p>
      <w:pPr>
        <w:pStyle w:val="AONormal"/>
        <w:numPr>
          <w:ilvl w:val="0"/>
          <w:numId w:val="0"/>
        </w:numPr>
        <w:snapToGrid w:val="0"/>
        <w:ind w:firstLine="420"/>
        <w:rPr>
          <w:rFonts w:ascii="宋体" w:eastAsia="宋体" w:hAnsi="宋体" w:cs="宋体"/>
          <w:sz w:val="21"/>
          <w:highlight w:val="none"/>
        </w:rPr>
      </w:pPr>
      <w:r>
        <w:rPr>
          <w:rFonts w:ascii="宋体" w:eastAsia="宋体" w:hAnsi="宋体" w:cs="宋体" w:hint="eastAsia"/>
          <w:sz w:val="21"/>
          <w:highlight w:val="none"/>
        </w:rPr>
        <w:t>（</w:t>
      </w:r>
      <w:r>
        <w:rPr>
          <w:rFonts w:ascii="宋体" w:eastAsia="宋体" w:hAnsi="宋体" w:cs="宋体"/>
          <w:sz w:val="21"/>
          <w:highlight w:val="none"/>
          <w:lang w:val="en"/>
        </w:rPr>
        <w:t>5</w:t>
      </w:r>
      <w:r>
        <w:rPr>
          <w:rFonts w:ascii="宋体" w:eastAsia="宋体" w:hAnsi="宋体" w:cs="宋体" w:hint="eastAsia"/>
          <w:sz w:val="21"/>
          <w:highlight w:val="none"/>
        </w:rPr>
        <w:t>）政府采购方式：</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公开招标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邀请招标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竞争性谈判 </w:t>
      </w:r>
      <w:r>
        <w:rPr>
          <w:rFonts w:ascii="Wingdings" w:eastAsia="宋体" w:hAnsi="Wingdings" w:cs="宋体"/>
          <w:sz w:val="21"/>
          <w:highlight w:val="none"/>
        </w:rPr>
        <w:sym w:font="Wingdings" w:char="F0A8"/>
      </w:r>
      <w:r>
        <w:rPr>
          <w:rFonts w:ascii="宋体" w:eastAsia="宋体" w:hAnsi="宋体" w:cs="宋体" w:hint="eastAsia"/>
          <w:sz w:val="21"/>
          <w:highlight w:val="none"/>
        </w:rPr>
        <w:t>竞争性磋商</w:t>
      </w:r>
    </w:p>
    <w:p>
      <w:pPr>
        <w:pStyle w:val="AONormal"/>
        <w:numPr>
          <w:ilvl w:val="0"/>
          <w:numId w:val="0"/>
        </w:numPr>
        <w:snapToGrid w:val="0"/>
        <w:ind w:firstLine="420"/>
        <w:rPr>
          <w:rFonts w:ascii="宋体" w:eastAsia="宋体" w:hAnsi="宋体" w:cs="宋体"/>
          <w:sz w:val="21"/>
          <w:highlight w:val="none"/>
          <w:u w:val="single"/>
        </w:rPr>
      </w:pPr>
      <w:r>
        <w:rPr>
          <w:rFonts w:ascii="宋体" w:hAnsi="宋体" w:cs="宋体" w:hint="eastAsia"/>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询价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单一来源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框架协议 </w:t>
      </w:r>
      <w:r>
        <w:rPr>
          <w:rFonts w:ascii="Wingdings" w:eastAsia="宋体" w:hAnsi="Wingdings" w:cs="宋体"/>
          <w:sz w:val="21"/>
          <w:highlight w:val="none"/>
        </w:rPr>
        <w:sym w:font="Wingdings" w:char="F0A8"/>
      </w:r>
      <w:r>
        <w:rPr>
          <w:rFonts w:ascii="宋体" w:eastAsia="宋体" w:hAnsi="宋体" w:cs="宋体" w:hint="eastAsia"/>
          <w:sz w:val="21"/>
          <w:highlight w:val="none"/>
        </w:rPr>
        <w:t>其他：</w:t>
      </w:r>
      <w:r>
        <w:rPr>
          <w:rFonts w:ascii="宋体" w:eastAsia="宋体" w:hAnsi="宋体" w:cs="宋体" w:hint="eastAsia"/>
          <w:sz w:val="21"/>
          <w:highlight w:val="none"/>
          <w:u w:val="single"/>
        </w:rPr>
        <w:t xml:space="preserve">          </w:t>
      </w:r>
    </w:p>
    <w:p>
      <w:pPr>
        <w:pStyle w:val="AONormal"/>
        <w:numPr>
          <w:ilvl w:val="0"/>
          <w:numId w:val="0"/>
        </w:numPr>
        <w:snapToGrid w:val="0"/>
        <w:ind w:firstLine="420"/>
        <w:rPr>
          <w:rFonts w:ascii="宋体" w:eastAsia="宋体" w:hAnsi="宋体" w:cs="宋体"/>
          <w:sz w:val="21"/>
          <w:highlight w:val="none"/>
        </w:rPr>
      </w:pPr>
      <w:r>
        <w:rPr>
          <w:rFonts w:ascii="宋体" w:eastAsia="宋体" w:hAnsi="宋体" w:cs="宋体" w:hint="eastAsia"/>
          <w:sz w:val="21"/>
          <w:highlight w:val="none"/>
        </w:rPr>
        <w:t>（注：在框架协议采购的第二阶段，可选择使用该合同文本）</w:t>
      </w:r>
    </w:p>
    <w:p>
      <w:pPr>
        <w:pStyle w:val="AONormal"/>
        <w:numPr>
          <w:ilvl w:val="0"/>
          <w:numId w:val="0"/>
        </w:numPr>
        <w:snapToGrid w:val="0"/>
        <w:ind w:firstLine="220" w:firstLineChars="100"/>
        <w:rPr>
          <w:rFonts w:ascii="宋体" w:eastAsia="宋体" w:hAnsi="宋体" w:cs="Times New Roman"/>
          <w:kern w:val="2"/>
          <w:sz w:val="21"/>
          <w:highlight w:val="none"/>
        </w:rPr>
      </w:pPr>
      <w:r>
        <w:rPr>
          <w:rFonts w:ascii="宋体" w:hAnsi="宋体" w:hint="eastAsia"/>
          <w:highlight w:val="none"/>
        </w:rPr>
        <w:t xml:space="preserve"> （</w:t>
      </w:r>
      <w:r>
        <w:rPr>
          <w:rFonts w:ascii="宋体" w:hAnsi="宋体"/>
          <w:highlight w:val="none"/>
          <w:lang w:val="en"/>
        </w:rPr>
        <w:t>6</w:t>
      </w:r>
      <w:r>
        <w:rPr>
          <w:rFonts w:ascii="宋体" w:hAnsi="宋体" w:hint="eastAsia"/>
          <w:highlight w:val="none"/>
        </w:rPr>
        <w:t>）</w:t>
      </w:r>
      <w:r>
        <w:rPr>
          <w:rFonts w:ascii="宋体" w:eastAsia="宋体" w:hAnsi="宋体" w:cs="Times New Roman" w:hint="eastAsia"/>
          <w:kern w:val="2"/>
          <w:sz w:val="21"/>
          <w:highlight w:val="none"/>
        </w:rPr>
        <w:t>中标（成交）采购标的制造商是否为中小企业：</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 xml:space="preserve">是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否</w:t>
      </w:r>
    </w:p>
    <w:p>
      <w:pPr>
        <w:numPr>
          <w:ilvl w:val="0"/>
          <w:numId w:val="0"/>
        </w:numPr>
        <w:adjustRightInd w:val="0"/>
        <w:snapToGrid w:val="0"/>
        <w:spacing w:line="400" w:lineRule="exact"/>
        <w:rPr>
          <w:rFonts w:ascii="宋体" w:hAnsi="宋体"/>
          <w:iCs/>
          <w:szCs w:val="21"/>
          <w:highlight w:val="none"/>
        </w:rPr>
      </w:pPr>
      <w:r>
        <w:rPr>
          <w:rFonts w:ascii="宋体" w:hAnsi="宋体" w:hint="eastAsia"/>
          <w:szCs w:val="21"/>
          <w:highlight w:val="none"/>
        </w:rPr>
        <w:t xml:space="preserve">         本合同是否为专门面向中小企业的采购合同（中小企业预留合同）：</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numPr>
          <w:ilvl w:val="0"/>
          <w:numId w:val="0"/>
        </w:numPr>
        <w:adjustRightInd w:val="0"/>
        <w:snapToGrid w:val="0"/>
        <w:spacing w:line="400" w:lineRule="exact"/>
        <w:rPr>
          <w:rFonts w:ascii="宋体" w:hAnsi="宋体"/>
          <w:iCs/>
          <w:szCs w:val="21"/>
          <w:highlight w:val="none"/>
        </w:rPr>
      </w:pPr>
      <w:r>
        <w:rPr>
          <w:rFonts w:hint="eastAsia"/>
          <w:highlight w:val="none"/>
        </w:rPr>
        <w:t xml:space="preserve">         若本项目不专门面向中小企业采购，是否给予小微企业评审优惠：</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numPr>
          <w:ilvl w:val="0"/>
          <w:numId w:val="0"/>
        </w:numPr>
        <w:adjustRightInd w:val="0"/>
        <w:snapToGrid w:val="0"/>
        <w:spacing w:line="400" w:lineRule="exact"/>
        <w:rPr>
          <w:rFonts w:ascii="宋体" w:hAnsi="宋体"/>
          <w:iCs/>
          <w:szCs w:val="21"/>
          <w:highlight w:val="none"/>
        </w:rPr>
      </w:pPr>
      <w:r>
        <w:rPr>
          <w:rFonts w:hint="eastAsia"/>
          <w:highlight w:val="none"/>
        </w:rPr>
        <w:t xml:space="preserve">         中标（成交）采购标的制造商是否为残疾人福利性单位：</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snapToGrid w:val="0"/>
        <w:spacing w:line="400" w:lineRule="exact"/>
        <w:rPr>
          <w:highlight w:val="none"/>
        </w:rPr>
      </w:pPr>
      <w:r>
        <w:rPr>
          <w:rFonts w:hint="eastAsia"/>
          <w:highlight w:val="none"/>
        </w:rPr>
        <w:t xml:space="preserve">         中标（成交）采购标的制造商是否为监狱企业：</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w:t>
      </w:r>
      <w:r>
        <w:rPr>
          <w:rFonts w:ascii="宋体" w:hAnsi="宋体"/>
          <w:szCs w:val="21"/>
          <w:highlight w:val="none"/>
          <w:lang w:val="en"/>
        </w:rPr>
        <w:t>7</w:t>
      </w:r>
      <w:r>
        <w:rPr>
          <w:rFonts w:ascii="宋体" w:hAnsi="宋体" w:hint="eastAsia"/>
          <w:szCs w:val="21"/>
          <w:highlight w:val="none"/>
        </w:rPr>
        <w:t>）合同是否分包：</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adjustRightInd w:val="0"/>
        <w:snapToGrid w:val="0"/>
        <w:spacing w:line="400" w:lineRule="exact"/>
        <w:ind w:firstLine="840" w:firstLineChars="400"/>
        <w:rPr>
          <w:rFonts w:ascii="宋体" w:hAnsi="宋体"/>
          <w:szCs w:val="21"/>
          <w:highlight w:val="none"/>
          <w:u w:val="single"/>
        </w:rPr>
      </w:pPr>
      <w:r>
        <w:rPr>
          <w:rFonts w:ascii="宋体" w:hAnsi="宋体" w:hint="eastAsia"/>
          <w:szCs w:val="21"/>
          <w:highlight w:val="none"/>
        </w:rPr>
        <w:t xml:space="preserve"> 分包主要内容：</w:t>
      </w:r>
      <w:r>
        <w:rPr>
          <w:rFonts w:ascii="宋体" w:hAnsi="宋体" w:hint="eastAsia"/>
          <w:szCs w:val="21"/>
          <w:highlight w:val="none"/>
          <w:u w:val="singl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分包供应商/制造商名称（如供应商和制造商不同，请分别填写）：</w:t>
      </w:r>
    </w:p>
    <w:p>
      <w:pPr>
        <w:adjustRightInd w:val="0"/>
        <w:snapToGrid w:val="0"/>
        <w:spacing w:line="400" w:lineRule="exact"/>
        <w:ind w:firstLine="840" w:firstLineChars="400"/>
        <w:rPr>
          <w:rFonts w:ascii="宋体" w:hAnsi="宋体"/>
          <w:szCs w:val="21"/>
          <w:highlight w:val="none"/>
          <w:u w:val="single"/>
        </w:rPr>
      </w:pPr>
      <w:r>
        <w:rPr>
          <w:rFonts w:ascii="宋体" w:hAnsi="宋体" w:hint="eastAsia"/>
          <w:szCs w:val="21"/>
          <w:highlight w:val="none"/>
        </w:rPr>
        <w:t xml:space="preserve"> </w:t>
      </w:r>
      <w:r>
        <w:rPr>
          <w:rFonts w:ascii="宋体" w:hAnsi="宋体" w:hint="eastAsia"/>
          <w:szCs w:val="21"/>
          <w:highlight w:val="none"/>
          <w:u w:val="singl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分包供应商/制造商类型（如果供应商和制造商不同，只填写制造商类型）：</w:t>
      </w:r>
    </w:p>
    <w:p>
      <w:pPr>
        <w:adjustRightInd w:val="0"/>
        <w:snapToGrid w:val="0"/>
        <w:spacing w:line="400" w:lineRule="exact"/>
        <w:ind w:firstLine="840" w:firstLineChars="400"/>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大型企业  </w:t>
      </w:r>
      <w:r>
        <w:rPr>
          <w:rFonts w:ascii="Wingdings" w:hAnsi="Wingdings"/>
          <w:iCs/>
          <w:szCs w:val="21"/>
          <w:highlight w:val="none"/>
        </w:rPr>
        <w:sym w:font="Wingdings" w:char="F0A8"/>
      </w:r>
      <w:r>
        <w:rPr>
          <w:rFonts w:ascii="宋体" w:hAnsi="宋体" w:hint="eastAsia"/>
          <w:iCs/>
          <w:szCs w:val="21"/>
          <w:highlight w:val="none"/>
        </w:rPr>
        <w:t xml:space="preserve">中型企业  </w:t>
      </w:r>
      <w:r>
        <w:rPr>
          <w:rFonts w:ascii="Wingdings" w:hAnsi="Wingdings"/>
          <w:iCs/>
          <w:szCs w:val="21"/>
          <w:highlight w:val="none"/>
        </w:rPr>
        <w:sym w:font="Wingdings" w:char="F0A8"/>
      </w:r>
      <w:r>
        <w:rPr>
          <w:rFonts w:ascii="宋体" w:hAnsi="宋体" w:hint="eastAsia"/>
          <w:iCs/>
          <w:szCs w:val="21"/>
          <w:highlight w:val="none"/>
        </w:rPr>
        <w:t xml:space="preserve">小微型企业  </w:t>
      </w:r>
    </w:p>
    <w:p>
      <w:pPr>
        <w:adjustRightInd w:val="0"/>
        <w:snapToGrid w:val="0"/>
        <w:spacing w:line="400" w:lineRule="exact"/>
        <w:ind w:firstLine="840" w:firstLineChars="400"/>
        <w:rPr>
          <w:rFonts w:eastAsia="华文楷体"/>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残疾人福利性单位 </w:t>
      </w:r>
      <w:r>
        <w:rPr>
          <w:rFonts w:ascii="Wingdings" w:hAnsi="Wingdings"/>
          <w:iCs/>
          <w:szCs w:val="21"/>
          <w:highlight w:val="none"/>
        </w:rPr>
        <w:sym w:font="Wingdings" w:char="F0A8"/>
      </w:r>
      <w:r>
        <w:rPr>
          <w:rFonts w:ascii="宋体" w:hAnsi="宋体" w:hint="eastAsia"/>
          <w:iCs/>
          <w:szCs w:val="21"/>
          <w:highlight w:val="none"/>
        </w:rPr>
        <w:t xml:space="preserve">监狱企业 </w:t>
      </w:r>
      <w:r>
        <w:rPr>
          <w:rFonts w:ascii="Wingdings" w:hAnsi="Wingdings"/>
          <w:iCs/>
          <w:szCs w:val="21"/>
          <w:highlight w:val="none"/>
        </w:rPr>
        <w:sym w:font="Wingdings" w:char="F0A8"/>
      </w:r>
      <w:r>
        <w:rPr>
          <w:rFonts w:ascii="宋体" w:hAnsi="宋体" w:hint="eastAsia"/>
          <w:iCs/>
          <w:szCs w:val="21"/>
          <w:highlight w:val="none"/>
        </w:rPr>
        <w:t>其他</w:t>
      </w:r>
    </w:p>
    <w:p>
      <w:pPr>
        <w:numPr>
          <w:ilvl w:val="0"/>
          <w:numId w:val="0"/>
        </w:numPr>
        <w:adjustRightInd w:val="0"/>
        <w:snapToGrid w:val="0"/>
        <w:spacing w:line="400" w:lineRule="exact"/>
        <w:rPr>
          <w:rFonts w:ascii="宋体" w:hAnsi="宋体" w:cs="宋体"/>
          <w:iCs/>
          <w:szCs w:val="21"/>
          <w:highlight w:val="none"/>
        </w:rPr>
      </w:pPr>
      <w:r>
        <w:rPr>
          <w:rFonts w:ascii="宋体" w:hAnsi="宋体" w:hint="eastAsia"/>
          <w:szCs w:val="21"/>
          <w:highlight w:val="none"/>
        </w:rPr>
        <w:t xml:space="preserve">    </w:t>
      </w:r>
      <w:r>
        <w:rPr>
          <w:rFonts w:ascii="宋体" w:hAnsi="宋体" w:cs="宋体" w:hint="eastAsia"/>
          <w:szCs w:val="21"/>
          <w:highlight w:val="none"/>
        </w:rPr>
        <w:t>（</w:t>
      </w:r>
      <w:r>
        <w:rPr>
          <w:rFonts w:ascii="宋体" w:hAnsi="宋体" w:cs="宋体"/>
          <w:szCs w:val="21"/>
          <w:highlight w:val="none"/>
          <w:lang w:val="en"/>
        </w:rPr>
        <w:t>8</w:t>
      </w:r>
      <w:r>
        <w:rPr>
          <w:rFonts w:ascii="宋体" w:hAnsi="宋体" w:cs="宋体" w:hint="eastAsia"/>
          <w:szCs w:val="21"/>
          <w:highlight w:val="none"/>
        </w:rPr>
        <w:t>）中标（成交）供应商是否为外商投资企业：</w:t>
      </w:r>
      <w:r>
        <w:rPr>
          <w:rFonts w:ascii="Wingdings" w:hAnsi="Wingdings" w:cs="宋体"/>
          <w:iCs/>
          <w:szCs w:val="21"/>
          <w:highlight w:val="none"/>
        </w:rPr>
        <w:sym w:font="Wingdings" w:char="F0A8"/>
      </w:r>
      <w:r>
        <w:rPr>
          <w:rFonts w:ascii="宋体" w:hAnsi="宋体" w:cs="宋体" w:hint="eastAsia"/>
          <w:iCs/>
          <w:szCs w:val="21"/>
          <w:highlight w:val="none"/>
        </w:rPr>
        <w:t xml:space="preserve">是       </w:t>
      </w:r>
      <w:r>
        <w:rPr>
          <w:rFonts w:ascii="Wingdings" w:hAnsi="Wingdings" w:cs="宋体"/>
          <w:iCs/>
          <w:szCs w:val="21"/>
          <w:highlight w:val="none"/>
        </w:rPr>
        <w:sym w:font="Wingdings" w:char="F0A8"/>
      </w:r>
      <w:r>
        <w:rPr>
          <w:rFonts w:ascii="宋体" w:hAnsi="宋体" w:cs="宋体" w:hint="eastAsia"/>
          <w:iCs/>
          <w:szCs w:val="21"/>
          <w:highlight w:val="none"/>
        </w:rPr>
        <w:t>否</w:t>
      </w:r>
    </w:p>
    <w:p>
      <w:pPr>
        <w:pStyle w:val="AONormal"/>
        <w:tabs>
          <w:tab w:val="left" w:pos="1340"/>
        </w:tabs>
        <w:ind w:firstLine="420"/>
        <w:rPr>
          <w:rFonts w:ascii="宋体" w:eastAsia="宋体" w:hAnsi="宋体" w:cs="宋体"/>
          <w:sz w:val="21"/>
          <w:highlight w:val="none"/>
          <w:u w:val="single"/>
        </w:rPr>
      </w:pPr>
      <w:r>
        <w:rPr>
          <w:rFonts w:ascii="宋体" w:eastAsia="宋体" w:hAnsi="宋体" w:cs="宋体" w:hint="eastAsia"/>
          <w:sz w:val="21"/>
          <w:highlight w:val="none"/>
        </w:rPr>
        <w:t xml:space="preserve">     外商投资企业类型：</w:t>
      </w:r>
      <w:r>
        <w:rPr>
          <w:rFonts w:ascii="Wingdings" w:eastAsia="宋体" w:hAnsi="Wingdings" w:cs="宋体"/>
          <w:iCs/>
          <w:sz w:val="21"/>
          <w:highlight w:val="none"/>
        </w:rPr>
        <w:sym w:font="Wingdings" w:char="F0A8"/>
      </w:r>
      <w:r>
        <w:rPr>
          <w:rFonts w:ascii="宋体" w:eastAsia="宋体" w:hAnsi="宋体" w:cs="宋体" w:hint="eastAsia"/>
          <w:sz w:val="21"/>
          <w:highlight w:val="none"/>
        </w:rPr>
        <w:t xml:space="preserve">全部由外国投资者投资  </w:t>
      </w:r>
      <w:r>
        <w:rPr>
          <w:rFonts w:ascii="Wingdings" w:eastAsia="宋体" w:hAnsi="Wingdings" w:cs="宋体"/>
          <w:iCs/>
          <w:sz w:val="21"/>
          <w:highlight w:val="none"/>
        </w:rPr>
        <w:sym w:font="Wingdings" w:char="F0A8"/>
      </w:r>
      <w:r>
        <w:rPr>
          <w:rFonts w:ascii="宋体" w:eastAsia="宋体" w:hAnsi="宋体" w:cs="宋体" w:hint="eastAsia"/>
          <w:iCs/>
          <w:sz w:val="21"/>
          <w:highlight w:val="none"/>
        </w:rPr>
        <w:t>部分由外国投资者投资</w:t>
      </w:r>
    </w:p>
    <w:p>
      <w:pPr>
        <w:numPr>
          <w:ilvl w:val="0"/>
          <w:numId w:val="0"/>
        </w:num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w:t>
      </w:r>
      <w:r>
        <w:rPr>
          <w:rFonts w:ascii="宋体" w:hAnsi="宋体" w:cs="宋体"/>
          <w:szCs w:val="21"/>
          <w:highlight w:val="none"/>
          <w:lang w:val="en"/>
        </w:rPr>
        <w:t>9</w:t>
      </w:r>
      <w:r>
        <w:rPr>
          <w:rFonts w:ascii="宋体" w:hAnsi="宋体" w:cs="宋体" w:hint="eastAsia"/>
          <w:szCs w:val="21"/>
          <w:highlight w:val="none"/>
        </w:rPr>
        <w:t>）是否涉及进口产品：</w:t>
      </w:r>
    </w:p>
    <w:p>
      <w:pPr>
        <w:numPr>
          <w:ilvl w:val="0"/>
          <w:numId w:val="0"/>
        </w:numPr>
        <w:adjustRightInd w:val="0"/>
        <w:snapToGrid w:val="0"/>
        <w:spacing w:line="400" w:lineRule="exact"/>
        <w:ind w:firstLine="840" w:firstLineChars="400"/>
        <w:rPr>
          <w:rFonts w:ascii="宋体" w:hAnsi="宋体" w:cs="宋体"/>
          <w:szCs w:val="21"/>
          <w:highlight w:val="none"/>
          <w:u w:val="single"/>
        </w:rPr>
      </w:pPr>
      <w:r>
        <w:rPr>
          <w:rFonts w:ascii="宋体" w:hAnsi="宋体" w:cs="宋体" w:hint="eastAsia"/>
          <w:szCs w:val="21"/>
          <w:highlight w:val="none"/>
        </w:rPr>
        <w:t xml:space="preserve"> </w:t>
      </w:r>
      <w:r>
        <w:rPr>
          <w:rFonts w:ascii="Wingdings" w:hAnsi="Wingdings" w:cs="宋体"/>
          <w:szCs w:val="21"/>
          <w:highlight w:val="none"/>
        </w:rPr>
        <w:sym w:font="Wingdings" w:char="F0A8"/>
      </w:r>
      <w:r>
        <w:rPr>
          <w:rFonts w:ascii="宋体" w:hAnsi="宋体" w:cs="宋体" w:hint="eastAsia"/>
          <w:szCs w:val="21"/>
          <w:highlight w:val="none"/>
        </w:rPr>
        <w:t>是，《政府采购品目分类目录》底级品目名称：</w:t>
      </w:r>
      <w:r>
        <w:rPr>
          <w:rFonts w:ascii="宋体" w:hAnsi="宋体" w:cs="宋体" w:hint="eastAsia"/>
          <w:szCs w:val="21"/>
          <w:highlight w:val="none"/>
          <w:u w:val="single"/>
        </w:rPr>
        <w:t xml:space="preserve">         </w:t>
      </w:r>
      <w:r>
        <w:rPr>
          <w:rFonts w:ascii="宋体" w:hAnsi="宋体" w:cs="宋体" w:hint="eastAsia"/>
          <w:szCs w:val="21"/>
          <w:highlight w:val="none"/>
        </w:rPr>
        <w:t xml:space="preserve"> 金额：</w:t>
      </w:r>
      <w:r>
        <w:rPr>
          <w:rFonts w:ascii="宋体" w:hAnsi="宋体" w:cs="宋体" w:hint="eastAsia"/>
          <w:szCs w:val="21"/>
          <w:highlight w:val="none"/>
          <w:u w:val="single"/>
        </w:rPr>
        <w:t xml:space="preserve">        </w:t>
      </w:r>
    </w:p>
    <w:p>
      <w:pPr>
        <w:numPr>
          <w:ilvl w:val="0"/>
          <w:numId w:val="0"/>
        </w:numPr>
        <w:adjustRightInd w:val="0"/>
        <w:snapToGrid w:val="0"/>
        <w:spacing w:line="400" w:lineRule="exact"/>
        <w:ind w:firstLine="840" w:firstLineChars="400"/>
        <w:rPr>
          <w:rFonts w:ascii="宋体" w:hAnsi="宋体"/>
          <w:szCs w:val="21"/>
          <w:highlight w:val="none"/>
        </w:rPr>
      </w:pPr>
      <w:r>
        <w:rPr>
          <w:rFonts w:ascii="宋体" w:hAnsi="宋体" w:cs="宋体" w:hint="eastAsia"/>
          <w:szCs w:val="21"/>
          <w:highlight w:val="none"/>
        </w:rPr>
        <w:t xml:space="preserve">        国别：</w:t>
      </w:r>
      <w:r>
        <w:rPr>
          <w:rFonts w:ascii="宋体" w:hAnsi="宋体" w:cs="宋体" w:hint="eastAsia"/>
          <w:szCs w:val="21"/>
          <w:highlight w:val="none"/>
          <w:u w:val="single"/>
        </w:rPr>
        <w:t xml:space="preserve">        </w:t>
      </w:r>
      <w:r>
        <w:rPr>
          <w:rFonts w:ascii="宋体" w:hAnsi="宋体" w:cs="宋体" w:hint="eastAsia"/>
          <w:szCs w:val="21"/>
          <w:highlight w:val="none"/>
        </w:rPr>
        <w:t xml:space="preserve"> 品牌：</w:t>
      </w:r>
      <w:r>
        <w:rPr>
          <w:rFonts w:ascii="宋体" w:hAnsi="宋体" w:cs="宋体" w:hint="eastAsia"/>
          <w:szCs w:val="21"/>
          <w:highlight w:val="none"/>
          <w:u w:val="single"/>
        </w:rPr>
        <w:t xml:space="preserve">        </w:t>
      </w:r>
      <w:r>
        <w:rPr>
          <w:rFonts w:ascii="宋体" w:hAnsi="宋体" w:cs="宋体" w:hint="eastAsia"/>
          <w:szCs w:val="21"/>
          <w:highlight w:val="none"/>
        </w:rPr>
        <w:t xml:space="preserve"> 规格型号：</w:t>
      </w:r>
      <w:r>
        <w:rPr>
          <w:rFonts w:ascii="宋体" w:hAnsi="宋体" w:cs="宋体" w:hint="eastAsia"/>
          <w:szCs w:val="21"/>
          <w:highlight w:val="none"/>
          <w:u w:val="single"/>
        </w:rPr>
        <w:t xml:space="preserve">        </w:t>
      </w:r>
      <w:r>
        <w:rPr>
          <w:rFonts w:ascii="宋体" w:hAnsi="宋体" w:hint="eastAsia"/>
          <w:szCs w:val="21"/>
          <w:highlight w:val="non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（1</w:t>
      </w:r>
      <w:r>
        <w:rPr>
          <w:rFonts w:ascii="宋体" w:hAnsi="宋体"/>
          <w:szCs w:val="21"/>
          <w:highlight w:val="none"/>
          <w:lang w:val="en"/>
        </w:rPr>
        <w:t>0</w:t>
      </w:r>
      <w:r>
        <w:rPr>
          <w:rFonts w:ascii="宋体" w:hAnsi="宋体" w:hint="eastAsia"/>
          <w:szCs w:val="21"/>
          <w:highlight w:val="none"/>
        </w:rPr>
        <w:t>）是否涉及节能产品：</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是，《节能产品政府采购品目清单》的底级品目名称：</w:t>
      </w:r>
      <w:r>
        <w:rPr>
          <w:rFonts w:ascii="宋体" w:hAnsi="宋体" w:hint="eastAsia"/>
          <w:szCs w:val="21"/>
          <w:highlight w:val="none"/>
          <w:u w:val="single"/>
        </w:rPr>
        <w:t xml:space="preserve">         </w:t>
      </w:r>
      <w:r>
        <w:rPr>
          <w:rFonts w:ascii="宋体" w:hAnsi="宋体" w:hint="eastAsia"/>
          <w:iCs/>
          <w:szCs w:val="21"/>
          <w:highlight w:val="non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iCs/>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是否涉及环境标志产品：</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是，《环境标志产品政府采购品目清单》的底级品目名称：</w:t>
      </w:r>
      <w:r>
        <w:rPr>
          <w:rFonts w:ascii="宋体" w:hAnsi="宋体" w:hint="eastAsia"/>
          <w:szCs w:val="21"/>
          <w:highlight w:val="none"/>
          <w:u w:val="single"/>
        </w:rPr>
        <w:t xml:space="preserve">         </w:t>
      </w:r>
      <w:r>
        <w:rPr>
          <w:rFonts w:ascii="宋体" w:hAnsi="宋体" w:hint="eastAsia"/>
          <w:iCs/>
          <w:szCs w:val="21"/>
          <w:highlight w:val="non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iCs/>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pStyle w:val="AONormal"/>
        <w:numPr>
          <w:ilvl w:val="0"/>
          <w:numId w:val="0"/>
        </w:numPr>
        <w:snapToGrid w:val="0"/>
        <w:rPr>
          <w:rFonts w:ascii="宋体" w:eastAsia="宋体" w:hAnsi="宋体" w:cs="Times New Roman"/>
          <w:kern w:val="2"/>
          <w:sz w:val="21"/>
          <w:highlight w:val="none"/>
        </w:rPr>
      </w:pPr>
      <w:r>
        <w:rPr>
          <w:rFonts w:ascii="宋体" w:hAnsi="宋体" w:hint="eastAsia"/>
          <w:sz w:val="21"/>
          <w:highlight w:val="none"/>
        </w:rPr>
        <w:t xml:space="preserve">          </w:t>
      </w:r>
      <w:r>
        <w:rPr>
          <w:rFonts w:ascii="宋体" w:eastAsia="宋体" w:hAnsi="宋体" w:cs="Times New Roman" w:hint="eastAsia"/>
          <w:kern w:val="2"/>
          <w:sz w:val="21"/>
          <w:highlight w:val="none"/>
        </w:rPr>
        <w:t xml:space="preserve">是否涉及绿色产品： </w:t>
      </w:r>
    </w:p>
    <w:p>
      <w:pPr>
        <w:pStyle w:val="AONormal"/>
        <w:ind w:firstLine="420" w:firstLineChars="0"/>
        <w:rPr>
          <w:rFonts w:ascii="宋体" w:eastAsia="宋体" w:hAnsi="宋体"/>
          <w:highlight w:val="none"/>
          <w:u w:val="single"/>
        </w:rPr>
      </w:pPr>
      <w:r>
        <w:rPr>
          <w:rFonts w:ascii="宋体" w:eastAsia="宋体" w:hAnsi="宋体" w:cs="Times New Roman" w:hint="eastAsia"/>
          <w:kern w:val="2"/>
          <w:sz w:val="21"/>
          <w:highlight w:val="none"/>
        </w:rPr>
        <w:t xml:space="preserve">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是，绿色产品政府采购相关政策确定的底级品目名称：</w:t>
      </w:r>
      <w:r>
        <w:rPr>
          <w:rFonts w:ascii="宋体" w:eastAsia="宋体" w:hAnsi="宋体" w:hint="eastAsia"/>
          <w:highlight w:val="none"/>
          <w:u w:val="singl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pStyle w:val="AONormal"/>
        <w:ind w:firstLine="420" w:firstLineChars="0"/>
        <w:rPr>
          <w:rFonts w:ascii="宋体" w:hAnsi="宋体"/>
          <w:sz w:val="21"/>
          <w:highlight w:val="none"/>
        </w:rPr>
      </w:pPr>
      <w:r>
        <w:rPr>
          <w:rFonts w:ascii="宋体" w:eastAsia="宋体" w:hAnsi="宋体" w:cs="Times New Roman" w:hint="eastAsia"/>
          <w:kern w:val="2"/>
          <w:sz w:val="21"/>
          <w:highlight w:val="none"/>
        </w:rPr>
        <w:t xml:space="preserve">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否</w:t>
      </w:r>
    </w:p>
    <w:p>
      <w:pPr>
        <w:numPr>
          <w:ilvl w:val="0"/>
          <w:numId w:val="0"/>
        </w:numPr>
        <w:adjustRightInd w:val="0"/>
        <w:snapToGrid w:val="0"/>
        <w:spacing w:line="400" w:lineRule="exact"/>
        <w:rPr>
          <w:rFonts w:ascii="宋体" w:hAnsi="宋体"/>
          <w:szCs w:val="21"/>
          <w:highlight w:val="none"/>
        </w:rPr>
      </w:pPr>
      <w:r>
        <w:rPr>
          <w:rFonts w:ascii="宋体" w:hAnsi="宋体" w:hint="eastAsia"/>
          <w:szCs w:val="21"/>
          <w:highlight w:val="none"/>
        </w:rPr>
        <w:t xml:space="preserve">    （1</w:t>
      </w:r>
      <w:r>
        <w:rPr>
          <w:rFonts w:ascii="宋体" w:hAnsi="宋体"/>
          <w:szCs w:val="21"/>
          <w:highlight w:val="none"/>
          <w:lang w:val="en"/>
        </w:rPr>
        <w:t>1</w:t>
      </w:r>
      <w:r>
        <w:rPr>
          <w:rFonts w:ascii="宋体" w:hAnsi="宋体" w:hint="eastAsia"/>
          <w:szCs w:val="21"/>
          <w:highlight w:val="none"/>
        </w:rPr>
        <w:t>）涉及商品包装和快递包装的，是否参考《商品包装政府采购需求标准（试行）》、《快递包装政府采购需求标准（试行）》明确产品及相关快递服务的具体包装要求：</w:t>
      </w:r>
    </w:p>
    <w:p>
      <w:pPr>
        <w:numPr>
          <w:ilvl w:val="0"/>
          <w:numId w:val="0"/>
        </w:numPr>
        <w:adjustRightInd w:val="0"/>
        <w:snapToGrid w:val="0"/>
        <w:spacing w:line="400" w:lineRule="exact"/>
        <w:ind w:firstLine="840" w:firstLineChars="400"/>
        <w:rPr>
          <w:rFonts w:ascii="宋体" w:hAnsi="宋体"/>
          <w:szCs w:val="21"/>
          <w:highlight w:val="none"/>
        </w:rPr>
      </w:pPr>
      <w:r>
        <w:rPr>
          <w:rFonts w:ascii="Wingdings" w:hAnsi="Wingdings"/>
          <w:szCs w:val="21"/>
          <w:highlight w:val="none"/>
        </w:rPr>
        <w:sym w:font="Wingdings" w:char="F0A8"/>
      </w:r>
      <w:r>
        <w:rPr>
          <w:rFonts w:ascii="宋体" w:hAnsi="宋体" w:hint="eastAsia"/>
          <w:szCs w:val="21"/>
          <w:highlight w:val="none"/>
        </w:rPr>
        <w:t xml:space="preserve">是       </w:t>
      </w:r>
      <w:r>
        <w:rPr>
          <w:rFonts w:ascii="Wingdings" w:hAnsi="Wingdings"/>
          <w:szCs w:val="21"/>
          <w:highlight w:val="none"/>
        </w:rPr>
        <w:sym w:font="Wingdings" w:char="F0A8"/>
      </w:r>
      <w:r>
        <w:rPr>
          <w:rFonts w:ascii="宋体" w:hAnsi="宋体" w:hint="eastAsia"/>
          <w:szCs w:val="21"/>
          <w:highlight w:val="none"/>
        </w:rPr>
        <w:t xml:space="preserve">否      </w:t>
      </w:r>
      <w:r>
        <w:rPr>
          <w:rFonts w:ascii="Wingdings" w:hAnsi="Wingdings"/>
          <w:szCs w:val="21"/>
          <w:highlight w:val="none"/>
        </w:rPr>
        <w:sym w:font="Wingdings" w:char="F0A8"/>
      </w:r>
      <w:r>
        <w:rPr>
          <w:rFonts w:ascii="宋体" w:hAnsi="宋体" w:hint="eastAsia"/>
          <w:szCs w:val="21"/>
          <w:highlight w:val="none"/>
        </w:rPr>
        <w:t>不涉及</w:t>
      </w:r>
    </w:p>
    <w:p>
      <w:pPr>
        <w:numPr>
          <w:ilvl w:val="0"/>
          <w:numId w:val="5"/>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合同金额</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（1）合同金额小写：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u w:val="single"/>
        </w:rPr>
      </w:pPr>
      <w:r>
        <w:rPr>
          <w:rFonts w:ascii="宋体" w:hAnsi="宋体" w:hint="eastAsia"/>
          <w:szCs w:val="21"/>
          <w:highlight w:val="none"/>
        </w:rPr>
        <w:t xml:space="preserve">                 大写：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rPr>
      </w:pPr>
      <w:r>
        <w:rPr>
          <w:rFonts w:ascii="宋体" w:hAnsi="宋体" w:hint="eastAsia"/>
          <w:szCs w:val="21"/>
          <w:highlight w:val="none"/>
        </w:rPr>
        <w:t xml:space="preserve">         分包金额（如有）小写：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u w:val="single"/>
        </w:rPr>
      </w:pPr>
      <w:r>
        <w:rPr>
          <w:rFonts w:ascii="宋体" w:hAnsi="宋体" w:hint="eastAsia"/>
          <w:szCs w:val="21"/>
          <w:highlight w:val="none"/>
        </w:rPr>
        <w:t xml:space="preserve">                     大写：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rPr>
      </w:pPr>
      <w:r>
        <w:rPr>
          <w:rFonts w:ascii="宋体" w:hAnsi="宋体" w:hint="eastAsia"/>
          <w:szCs w:val="21"/>
          <w:highlight w:val="none"/>
        </w:rPr>
        <w:t xml:space="preserve">    （注：固定单价合同应填写单价和最高限价）</w:t>
      </w:r>
    </w:p>
    <w:p>
      <w:pPr>
        <w:numPr>
          <w:ilvl w:val="0"/>
          <w:numId w:val="0"/>
        </w:numPr>
        <w:adjustRightInd w:val="0"/>
        <w:snapToGrid w:val="0"/>
        <w:spacing w:line="400" w:lineRule="exact"/>
        <w:rPr>
          <w:rFonts w:ascii="宋体" w:hAnsi="宋体"/>
          <w:szCs w:val="21"/>
          <w:highlight w:val="none"/>
        </w:rPr>
      </w:pPr>
      <w:r>
        <w:rPr>
          <w:rFonts w:ascii="宋体" w:hAnsi="宋体" w:hint="eastAsia"/>
          <w:szCs w:val="21"/>
          <w:highlight w:val="none"/>
        </w:rPr>
        <w:t xml:space="preserve">    （2）合同定价方式（采用组合定价方式的，可以勾选多项）：</w:t>
      </w:r>
    </w:p>
    <w:p>
      <w:pPr>
        <w:adjustRightInd w:val="0"/>
        <w:snapToGrid w:val="0"/>
        <w:spacing w:line="400" w:lineRule="exact"/>
        <w:ind w:firstLine="420" w:firstLineChars="200"/>
        <w:rPr>
          <w:rFonts w:ascii="宋体" w:hAnsi="宋体"/>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固定总价 </w:t>
      </w:r>
      <w:r>
        <w:rPr>
          <w:rFonts w:ascii="Wingdings" w:hAnsi="Wingdings"/>
          <w:iCs/>
          <w:szCs w:val="21"/>
          <w:highlight w:val="none"/>
        </w:rPr>
        <w:sym w:font="Wingdings" w:char="F0A8"/>
      </w:r>
      <w:r>
        <w:rPr>
          <w:rFonts w:ascii="宋体" w:hAnsi="宋体" w:hint="eastAsia"/>
          <w:iCs/>
          <w:szCs w:val="21"/>
          <w:highlight w:val="none"/>
        </w:rPr>
        <w:t xml:space="preserve">固定单价 </w:t>
      </w:r>
      <w:r>
        <w:rPr>
          <w:rFonts w:ascii="Wingdings" w:hAnsi="Wingdings"/>
          <w:iCs/>
          <w:szCs w:val="21"/>
          <w:highlight w:val="none"/>
        </w:rPr>
        <w:sym w:font="Wingdings" w:char="F0A8"/>
      </w:r>
      <w:r>
        <w:rPr>
          <w:rFonts w:ascii="宋体" w:hAnsi="宋体" w:hint="eastAsia"/>
          <w:iCs/>
          <w:szCs w:val="21"/>
          <w:highlight w:val="none"/>
        </w:rPr>
        <w:t xml:space="preserve">固定费率 </w:t>
      </w:r>
      <w:r>
        <w:rPr>
          <w:rFonts w:ascii="Wingdings" w:hAnsi="Wingdings"/>
          <w:iCs/>
          <w:szCs w:val="21"/>
          <w:highlight w:val="none"/>
        </w:rPr>
        <w:sym w:font="Wingdings" w:char="F0A8"/>
      </w:r>
      <w:r>
        <w:rPr>
          <w:rFonts w:ascii="宋体" w:hAnsi="宋体" w:hint="eastAsia"/>
          <w:iCs/>
          <w:szCs w:val="21"/>
          <w:highlight w:val="none"/>
        </w:rPr>
        <w:t xml:space="preserve">成本补偿 </w:t>
      </w:r>
      <w:r>
        <w:rPr>
          <w:rFonts w:ascii="Wingdings" w:hAnsi="Wingdings"/>
          <w:iCs/>
          <w:szCs w:val="21"/>
          <w:highlight w:val="none"/>
        </w:rPr>
        <w:sym w:font="Wingdings" w:char="F0A8"/>
      </w:r>
      <w:r>
        <w:rPr>
          <w:rFonts w:ascii="宋体" w:hAnsi="宋体" w:hint="eastAsia"/>
          <w:iCs/>
          <w:szCs w:val="21"/>
          <w:highlight w:val="none"/>
        </w:rPr>
        <w:t xml:space="preserve">绩效激励 </w:t>
      </w:r>
      <w:r>
        <w:rPr>
          <w:rFonts w:ascii="Wingdings" w:hAnsi="Wingdings"/>
          <w:iCs/>
          <w:szCs w:val="21"/>
          <w:highlight w:val="none"/>
        </w:rPr>
        <w:sym w:font="Wingdings" w:char="F0A8"/>
      </w:r>
      <w:r>
        <w:rPr>
          <w:rFonts w:ascii="宋体" w:hAnsi="宋体" w:hint="eastAsia"/>
          <w:iCs/>
          <w:szCs w:val="21"/>
          <w:highlight w:val="none"/>
        </w:rPr>
        <w:t>其他</w:t>
      </w:r>
      <w:r>
        <w:rPr>
          <w:rFonts w:ascii="宋体" w:hAnsi="宋体" w:hint="eastAsia"/>
          <w:szCs w:val="21"/>
          <w:highlight w:val="none"/>
          <w:u w:val="single"/>
        </w:rPr>
        <w:t xml:space="preserve">       </w:t>
      </w:r>
    </w:p>
    <w:p>
      <w:pPr>
        <w:pStyle w:val="12"/>
        <w:spacing w:line="400" w:lineRule="exact"/>
        <w:rPr>
          <w:highlight w:val="none"/>
        </w:rPr>
      </w:pPr>
      <w:r>
        <w:rPr>
          <w:rFonts w:ascii="宋体" w:hAnsi="宋体" w:hint="eastAsia"/>
          <w:highlight w:val="none"/>
        </w:rPr>
        <w:t>（3）付款方式（按项目实际勾选填写）：</w:t>
      </w:r>
    </w:p>
    <w:p>
      <w:pPr>
        <w:adjustRightInd w:val="0"/>
        <w:snapToGrid w:val="0"/>
        <w:spacing w:line="400" w:lineRule="exact"/>
        <w:ind w:firstLine="630" w:firstLineChars="300"/>
        <w:rPr>
          <w:rFonts w:ascii="宋体" w:hAnsi="宋体"/>
          <w:szCs w:val="21"/>
          <w:highlight w:val="none"/>
          <w:u w:val="single"/>
        </w:rPr>
      </w:pPr>
      <w:r>
        <w:rPr>
          <w:rFonts w:ascii="Wingdings" w:hAnsi="Wingdings"/>
          <w:szCs w:val="21"/>
          <w:highlight w:val="none"/>
        </w:rPr>
        <w:sym w:font="Wingdings" w:char="F0A8"/>
      </w:r>
      <w:r>
        <w:rPr>
          <w:rFonts w:ascii="宋体" w:hAnsi="宋体" w:hint="eastAsia"/>
          <w:szCs w:val="21"/>
          <w:highlight w:val="none"/>
        </w:rPr>
        <w:t>全额付款：</w:t>
      </w:r>
      <w:r>
        <w:rPr>
          <w:rFonts w:ascii="宋体" w:hAnsi="宋体" w:hint="eastAsia"/>
          <w:szCs w:val="21"/>
          <w:highlight w:val="none"/>
          <w:u w:val="single"/>
        </w:rPr>
        <w:t xml:space="preserve">     （应明确一次性支付合同款项的条件）                    </w:t>
      </w:r>
    </w:p>
    <w:p>
      <w:pPr>
        <w:snapToGrid w:val="0"/>
        <w:spacing w:line="400" w:lineRule="exact"/>
        <w:ind w:firstLine="630" w:firstLineChars="300"/>
        <w:rPr>
          <w:rFonts w:ascii="宋体" w:hAnsi="宋体" w:hint="eastAsia"/>
          <w:szCs w:val="21"/>
          <w:highlight w:val="yellow"/>
          <w:u w:val="single"/>
        </w:rPr>
      </w:pPr>
      <w:bookmarkStart w:id="73" w:name="_Toc27624"/>
      <w:r>
        <w:rPr>
          <w:rFonts w:ascii="Wingdings" w:hAnsi="Wingdings"/>
          <w:szCs w:val="21"/>
          <w:highlight w:val="yellow"/>
        </w:rPr>
        <w:sym w:font="Wingdings" w:char="F0FE"/>
      </w:r>
      <w:r>
        <w:rPr>
          <w:rFonts w:ascii="宋体" w:hAnsi="宋体" w:hint="eastAsia"/>
          <w:szCs w:val="21"/>
          <w:highlight w:val="yellow"/>
        </w:rPr>
        <w:t>分期付款：</w:t>
      </w:r>
    </w:p>
    <w:p>
      <w:pPr>
        <w:snapToGrid w:val="0"/>
        <w:spacing w:line="400" w:lineRule="exact"/>
        <w:ind w:firstLine="630" w:firstLineChars="300"/>
        <w:rPr>
          <w:rFonts w:ascii="宋体" w:hAnsi="宋体" w:hint="eastAsia"/>
          <w:szCs w:val="21"/>
          <w:highlight w:val="yellow"/>
          <w:u w:val="single"/>
        </w:rPr>
      </w:pPr>
      <w:r>
        <w:rPr>
          <w:rFonts w:ascii="宋体" w:hAnsi="宋体" w:hint="eastAsia"/>
          <w:szCs w:val="21"/>
          <w:highlight w:val="yellow"/>
          <w:u w:val="single"/>
        </w:rPr>
        <w:t>1.双方签署合同后30个工作日内，甲方向乙方支付</w:t>
      </w:r>
      <w:r>
        <w:rPr>
          <w:rFonts w:ascii="宋体" w:hAnsi="宋体" w:hint="eastAsia"/>
          <w:szCs w:val="21"/>
          <w:highlight w:val="yellow"/>
          <w:u w:val="single"/>
          <w:lang w:val="en-US" w:eastAsia="zh-CN"/>
        </w:rPr>
        <w:t>90</w:t>
      </w:r>
      <w:r>
        <w:rPr>
          <w:rFonts w:ascii="宋体" w:hAnsi="宋体" w:hint="eastAsia"/>
          <w:szCs w:val="21"/>
          <w:highlight w:val="yellow"/>
          <w:u w:val="single"/>
        </w:rPr>
        <w:t>%合同价款。</w:t>
      </w:r>
    </w:p>
    <w:p>
      <w:pPr>
        <w:snapToGrid w:val="0"/>
        <w:spacing w:line="400" w:lineRule="exact"/>
        <w:ind w:firstLine="630" w:firstLineChars="300"/>
        <w:rPr>
          <w:highlight w:val="yellow"/>
        </w:rPr>
      </w:pPr>
      <w:r>
        <w:rPr>
          <w:rFonts w:ascii="宋体" w:hAnsi="宋体" w:hint="eastAsia"/>
          <w:szCs w:val="21"/>
          <w:highlight w:val="yellow"/>
          <w:u w:val="single"/>
          <w:lang w:val="en-US" w:eastAsia="zh-CN"/>
        </w:rPr>
        <w:t>2</w:t>
      </w:r>
      <w:r>
        <w:rPr>
          <w:rFonts w:ascii="宋体" w:hAnsi="宋体" w:hint="eastAsia"/>
          <w:szCs w:val="21"/>
          <w:highlight w:val="yellow"/>
          <w:u w:val="single"/>
        </w:rPr>
        <w:t>.乙方完成合同标的所有建设任务，经甲方合同验收合格、双方签署验收报告后30个工作日内,甲方向乙方支付</w:t>
      </w:r>
      <w:r>
        <w:rPr>
          <w:rFonts w:ascii="宋体" w:hAnsi="宋体" w:hint="eastAsia"/>
          <w:szCs w:val="21"/>
          <w:highlight w:val="yellow"/>
          <w:u w:val="single"/>
          <w:lang w:val="en-US" w:eastAsia="zh-CN"/>
        </w:rPr>
        <w:t>剩余1</w:t>
      </w:r>
      <w:r>
        <w:rPr>
          <w:rFonts w:ascii="宋体" w:hAnsi="宋体" w:hint="eastAsia"/>
          <w:szCs w:val="21"/>
          <w:highlight w:val="yellow"/>
          <w:u w:val="single"/>
        </w:rPr>
        <w:t>0%合同价款。</w:t>
      </w:r>
    </w:p>
    <w:p>
      <w:pPr>
        <w:adjustRightInd w:val="0"/>
        <w:snapToGrid w:val="0"/>
        <w:spacing w:line="400" w:lineRule="exact"/>
        <w:ind w:firstLine="630" w:firstLineChars="300"/>
        <w:rPr>
          <w:rFonts w:ascii="宋体" w:hAnsi="宋体"/>
          <w:szCs w:val="21"/>
          <w:highlight w:val="none"/>
          <w:u w:val="single"/>
        </w:rPr>
      </w:pPr>
      <w:r>
        <w:rPr>
          <w:rFonts w:ascii="Wingdings" w:hAnsi="Wingdings"/>
          <w:szCs w:val="21"/>
          <w:highlight w:val="none"/>
        </w:rPr>
        <w:sym w:font="Wingdings" w:char="F0A8"/>
      </w:r>
      <w:r>
        <w:rPr>
          <w:rFonts w:ascii="宋体" w:hAnsi="宋体" w:hint="eastAsia"/>
          <w:szCs w:val="21"/>
          <w:highlight w:val="none"/>
        </w:rPr>
        <w:t>成本补偿：</w:t>
      </w:r>
      <w:r>
        <w:rPr>
          <w:rFonts w:ascii="宋体" w:hAnsi="宋体" w:hint="eastAsia"/>
          <w:szCs w:val="21"/>
          <w:highlight w:val="none"/>
          <w:u w:val="single"/>
        </w:rPr>
        <w:t xml:space="preserve">      （应明确按照成本补偿方式的支付方式和支付条件）   </w:t>
      </w:r>
    </w:p>
    <w:p>
      <w:pPr>
        <w:adjustRightInd w:val="0"/>
        <w:snapToGrid w:val="0"/>
        <w:spacing w:line="400" w:lineRule="exact"/>
        <w:ind w:firstLine="630" w:firstLineChars="300"/>
        <w:rPr>
          <w:rFonts w:ascii="宋体" w:hAnsi="宋体"/>
          <w:szCs w:val="21"/>
          <w:highlight w:val="none"/>
        </w:rPr>
      </w:pPr>
      <w:r>
        <w:rPr>
          <w:rFonts w:ascii="Wingdings" w:hAnsi="Wingdings"/>
          <w:szCs w:val="21"/>
          <w:highlight w:val="none"/>
        </w:rPr>
        <w:sym w:font="Wingdings" w:char="F0A8"/>
      </w:r>
      <w:r>
        <w:rPr>
          <w:rFonts w:ascii="宋体" w:hAnsi="宋体" w:hint="eastAsia"/>
          <w:szCs w:val="21"/>
          <w:highlight w:val="none"/>
        </w:rPr>
        <w:t>绩效激励：</w:t>
      </w:r>
      <w:r>
        <w:rPr>
          <w:rFonts w:ascii="宋体" w:hAnsi="宋体" w:hint="eastAsia"/>
          <w:szCs w:val="21"/>
          <w:highlight w:val="none"/>
          <w:u w:val="single"/>
        </w:rPr>
        <w:t xml:space="preserve">      （应明确按照绩效激励方式的支付方式和支付条件）   </w:t>
      </w:r>
    </w:p>
    <w:p>
      <w:pPr>
        <w:numPr>
          <w:ilvl w:val="0"/>
          <w:numId w:val="5"/>
        </w:numPr>
        <w:adjustRightInd w:val="0"/>
        <w:snapToGrid w:val="0"/>
        <w:spacing w:line="400" w:lineRule="exact"/>
        <w:ind w:firstLine="420" w:firstLineChars="200"/>
        <w:rPr>
          <w:rFonts w:ascii="宋体" w:hAnsi="宋体"/>
          <w:b/>
          <w:szCs w:val="21"/>
          <w:highlight w:val="none"/>
          <w:u w:val="single"/>
        </w:rPr>
      </w:pPr>
      <w:r>
        <w:rPr>
          <w:rFonts w:ascii="宋体" w:hAnsi="宋体" w:hint="eastAsia"/>
          <w:b/>
          <w:szCs w:val="21"/>
          <w:highlight w:val="none"/>
        </w:rPr>
        <w:t>合同履行</w:t>
      </w:r>
    </w:p>
    <w:p>
      <w:p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（1）起始日期：</w:t>
      </w:r>
      <w:r>
        <w:rPr>
          <w:rFonts w:ascii="宋体" w:hAnsi="宋体" w:cs="宋体" w:hint="eastAsia"/>
          <w:szCs w:val="21"/>
          <w:highlight w:val="none"/>
          <w:u w:val="single"/>
        </w:rPr>
        <w:t xml:space="preserve">    </w:t>
      </w:r>
      <w:r>
        <w:rPr>
          <w:rFonts w:ascii="宋体" w:hAnsi="宋体" w:cs="宋体" w:hint="eastAsia"/>
          <w:szCs w:val="21"/>
          <w:highlight w:val="none"/>
        </w:rPr>
        <w:t>年</w:t>
      </w:r>
      <w:r>
        <w:rPr>
          <w:rFonts w:ascii="宋体" w:hAnsi="宋体" w:cs="宋体" w:hint="eastAsia"/>
          <w:szCs w:val="21"/>
          <w:highlight w:val="none"/>
          <w:u w:val="single"/>
        </w:rPr>
        <w:t xml:space="preserve">   </w:t>
      </w:r>
      <w:r>
        <w:rPr>
          <w:rFonts w:ascii="宋体" w:hAnsi="宋体" w:cs="宋体" w:hint="eastAsia"/>
          <w:szCs w:val="21"/>
          <w:highlight w:val="none"/>
        </w:rPr>
        <w:t>月</w:t>
      </w:r>
      <w:r>
        <w:rPr>
          <w:rFonts w:ascii="宋体" w:hAnsi="宋体" w:cs="宋体" w:hint="eastAsia"/>
          <w:szCs w:val="21"/>
          <w:highlight w:val="none"/>
          <w:u w:val="single"/>
        </w:rPr>
        <w:t xml:space="preserve">   </w:t>
      </w:r>
      <w:r>
        <w:rPr>
          <w:rFonts w:ascii="宋体" w:hAnsi="宋体" w:cs="宋体" w:hint="eastAsia"/>
          <w:szCs w:val="21"/>
          <w:highlight w:val="none"/>
        </w:rPr>
        <w:t>日，完成日期：</w:t>
      </w:r>
      <w:r>
        <w:rPr>
          <w:rFonts w:ascii="宋体" w:hAnsi="宋体" w:cs="宋体" w:hint="eastAsia"/>
          <w:szCs w:val="21"/>
          <w:highlight w:val="none"/>
          <w:u w:val="single"/>
        </w:rPr>
        <w:t xml:space="preserve">    </w:t>
      </w:r>
      <w:r>
        <w:rPr>
          <w:rFonts w:ascii="宋体" w:hAnsi="宋体" w:cs="宋体" w:hint="eastAsia"/>
          <w:szCs w:val="21"/>
          <w:highlight w:val="none"/>
        </w:rPr>
        <w:t>年</w:t>
      </w:r>
      <w:r>
        <w:rPr>
          <w:rFonts w:ascii="宋体" w:hAnsi="宋体" w:cs="宋体" w:hint="eastAsia"/>
          <w:szCs w:val="21"/>
          <w:highlight w:val="none"/>
          <w:u w:val="single"/>
        </w:rPr>
        <w:t xml:space="preserve">   </w:t>
      </w:r>
      <w:r>
        <w:rPr>
          <w:rFonts w:ascii="宋体" w:hAnsi="宋体" w:cs="宋体" w:hint="eastAsia"/>
          <w:szCs w:val="21"/>
          <w:highlight w:val="none"/>
        </w:rPr>
        <w:t>月</w:t>
      </w:r>
      <w:r>
        <w:rPr>
          <w:rFonts w:ascii="宋体" w:hAnsi="宋体" w:cs="宋体" w:hint="eastAsia"/>
          <w:szCs w:val="21"/>
          <w:highlight w:val="none"/>
          <w:u w:val="single"/>
        </w:rPr>
        <w:t xml:space="preserve">   </w:t>
      </w:r>
      <w:r>
        <w:rPr>
          <w:rFonts w:ascii="宋体" w:hAnsi="宋体" w:cs="宋体" w:hint="eastAsia"/>
          <w:szCs w:val="21"/>
          <w:highlight w:val="none"/>
        </w:rPr>
        <w:t>日。</w:t>
      </w:r>
    </w:p>
    <w:p>
      <w:pPr>
        <w:adjustRightInd w:val="0"/>
        <w:snapToGrid w:val="0"/>
        <w:spacing w:line="400" w:lineRule="exact"/>
        <w:ind w:firstLine="420" w:firstLineChars="200"/>
        <w:rPr>
          <w:rFonts w:ascii="宋体" w:hAnsi="宋体" w:cs="宋体"/>
          <w:szCs w:val="21"/>
          <w:highlight w:val="none"/>
          <w:u w:val="single"/>
        </w:rPr>
      </w:pPr>
      <w:r>
        <w:rPr>
          <w:rFonts w:ascii="宋体" w:hAnsi="宋体" w:cs="宋体" w:hint="eastAsia"/>
          <w:szCs w:val="21"/>
          <w:highlight w:val="none"/>
        </w:rPr>
        <w:t>（2）履约地点</w:t>
      </w:r>
      <w:r>
        <w:rPr>
          <w:rFonts w:ascii="宋体" w:hAnsi="宋体" w:cs="宋体" w:hint="eastAsia"/>
          <w:bCs/>
          <w:szCs w:val="21"/>
          <w:highlight w:val="none"/>
        </w:rPr>
        <w:t>：</w:t>
      </w:r>
      <w:r>
        <w:rPr>
          <w:rFonts w:ascii="宋体" w:hAnsi="宋体" w:cs="宋体" w:hint="eastAsia"/>
          <w:szCs w:val="21"/>
          <w:highlight w:val="none"/>
          <w:u w:val="single"/>
        </w:rPr>
        <w:t xml:space="preserve">                             </w:t>
      </w:r>
    </w:p>
    <w:p>
      <w:pPr>
        <w:adjustRightInd w:val="0"/>
        <w:snapToGrid w:val="0"/>
        <w:spacing w:line="400" w:lineRule="exact"/>
        <w:ind w:firstLine="420" w:firstLineChars="200"/>
        <w:rPr>
          <w:rFonts w:ascii="宋体" w:hAnsi="宋体" w:cs="宋体"/>
          <w:szCs w:val="21"/>
          <w:highlight w:val="none"/>
        </w:rPr>
      </w:pPr>
      <w:r>
        <w:rPr>
          <w:rFonts w:ascii="宋体" w:hAnsi="宋体" w:cs="宋体" w:hint="eastAsia"/>
          <w:bCs/>
          <w:szCs w:val="21"/>
          <w:highlight w:val="none"/>
        </w:rPr>
        <w:t>（3）履约担保：</w:t>
      </w:r>
      <w:r>
        <w:rPr>
          <w:rFonts w:ascii="宋体" w:hAnsi="宋体" w:cs="宋体" w:hint="eastAsia"/>
          <w:highlight w:val="none"/>
        </w:rPr>
        <w:t>是否收取履约保证金：</w:t>
      </w:r>
      <w:r>
        <w:rPr>
          <w:rFonts w:ascii="Wingdings" w:hAnsi="Wingdings" w:cs="宋体"/>
          <w:szCs w:val="21"/>
          <w:highlight w:val="none"/>
        </w:rPr>
        <w:sym w:font="Wingdings" w:char="F0A8"/>
      </w:r>
      <w:r>
        <w:rPr>
          <w:rFonts w:ascii="宋体" w:hAnsi="宋体" w:cs="宋体" w:hint="eastAsia"/>
          <w:szCs w:val="21"/>
          <w:highlight w:val="none"/>
        </w:rPr>
        <w:t xml:space="preserve">是    </w:t>
      </w:r>
      <w:r>
        <w:rPr>
          <w:rFonts w:ascii="Wingdings" w:hAnsi="Wingdings" w:cs="宋体"/>
          <w:szCs w:val="21"/>
          <w:highlight w:val="none"/>
        </w:rPr>
        <w:sym w:font="Wingdings" w:char="F0A8"/>
      </w:r>
      <w:r>
        <w:rPr>
          <w:rFonts w:ascii="宋体" w:hAnsi="宋体" w:cs="宋体" w:hint="eastAsia"/>
          <w:szCs w:val="21"/>
          <w:highlight w:val="none"/>
        </w:rPr>
        <w:t>否</w:t>
      </w:r>
    </w:p>
    <w:p>
      <w:pPr>
        <w:pStyle w:val="AONormal"/>
        <w:rPr>
          <w:rFonts w:ascii="宋体" w:eastAsia="宋体" w:hAnsi="宋体" w:cs="宋体"/>
          <w:sz w:val="21"/>
          <w:highlight w:val="none"/>
        </w:rPr>
      </w:pPr>
      <w:r>
        <w:rPr>
          <w:rFonts w:ascii="宋体" w:hAnsi="宋体" w:cs="宋体" w:hint="eastAsia"/>
          <w:bCs/>
          <w:highlight w:val="none"/>
        </w:rPr>
        <w:t xml:space="preserve">  </w:t>
      </w:r>
      <w:r>
        <w:rPr>
          <w:rFonts w:ascii="宋体" w:eastAsia="宋体" w:hAnsi="宋体" w:cs="宋体" w:hint="eastAsia"/>
          <w:sz w:val="21"/>
          <w:highlight w:val="none"/>
        </w:rPr>
        <w:t xml:space="preserve">  收取履约保证金形式：</w:t>
      </w:r>
      <w:r>
        <w:rPr>
          <w:rFonts w:ascii="宋体" w:eastAsia="宋体" w:hAnsi="宋体" w:cs="宋体" w:hint="eastAsia"/>
          <w:bCs/>
          <w:sz w:val="21"/>
          <w:highlight w:val="none"/>
          <w:u w:val="singl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收取履约保证金金额：</w:t>
      </w:r>
      <w:r>
        <w:rPr>
          <w:rFonts w:ascii="宋体" w:eastAsia="宋体" w:hAnsi="宋体" w:cs="宋体" w:hint="eastAsia"/>
          <w:bCs/>
          <w:sz w:val="21"/>
          <w:highlight w:val="none"/>
          <w:u w:val="single"/>
        </w:rPr>
        <w:t xml:space="preserve">                            </w:t>
      </w:r>
    </w:p>
    <w:p>
      <w:pPr>
        <w:snapToGrid w:val="0"/>
        <w:spacing w:line="400" w:lineRule="exact"/>
        <w:ind w:firstLine="420" w:firstLineChars="200"/>
        <w:rPr>
          <w:rFonts w:ascii="宋体" w:hAnsi="宋体" w:cs="宋体"/>
          <w:highlight w:val="none"/>
        </w:rPr>
      </w:pPr>
      <w:r>
        <w:rPr>
          <w:rFonts w:ascii="宋体" w:hAnsi="宋体" w:cs="宋体" w:hint="eastAsia"/>
          <w:bCs/>
          <w:szCs w:val="21"/>
          <w:highlight w:val="none"/>
        </w:rPr>
        <w:t xml:space="preserve">    履约担保期限：</w:t>
      </w:r>
      <w:r>
        <w:rPr>
          <w:rFonts w:ascii="宋体" w:hAnsi="宋体" w:cs="宋体" w:hint="eastAsia"/>
          <w:bCs/>
          <w:szCs w:val="21"/>
          <w:highlight w:val="none"/>
          <w:u w:val="single"/>
        </w:rPr>
        <w:t xml:space="preserve">                                  </w:t>
      </w:r>
    </w:p>
    <w:p>
      <w:pPr>
        <w:adjustRightInd w:val="0"/>
        <w:snapToGrid w:val="0"/>
        <w:spacing w:line="400" w:lineRule="exact"/>
        <w:ind w:firstLine="420" w:firstLineChars="200"/>
        <w:rPr>
          <w:rFonts w:ascii="宋体" w:hAnsi="宋体" w:cs="宋体"/>
          <w:bCs/>
          <w:szCs w:val="21"/>
          <w:highlight w:val="none"/>
        </w:rPr>
      </w:pPr>
      <w:r>
        <w:rPr>
          <w:rFonts w:ascii="宋体" w:hAnsi="宋体" w:cs="宋体" w:hint="eastAsia"/>
          <w:bCs/>
          <w:szCs w:val="21"/>
          <w:highlight w:val="none"/>
        </w:rPr>
        <w:t>（4）分期履行要求：</w:t>
      </w:r>
      <w:r>
        <w:rPr>
          <w:rFonts w:ascii="宋体" w:hAnsi="宋体" w:cs="宋体" w:hint="eastAsia"/>
          <w:bCs/>
          <w:szCs w:val="21"/>
          <w:highlight w:val="none"/>
          <w:u w:val="single"/>
        </w:rPr>
        <w:t xml:space="preserve">                                                        </w:t>
      </w:r>
    </w:p>
    <w:p>
      <w:pPr>
        <w:adjustRightInd w:val="0"/>
        <w:snapToGrid w:val="0"/>
        <w:spacing w:line="400" w:lineRule="exact"/>
        <w:ind w:firstLine="420" w:firstLineChars="200"/>
        <w:rPr>
          <w:rFonts w:ascii="宋体" w:hAnsi="宋体" w:cs="宋体"/>
          <w:szCs w:val="21"/>
          <w:highlight w:val="none"/>
          <w:u w:val="single"/>
        </w:rPr>
      </w:pPr>
      <w:r>
        <w:rPr>
          <w:rFonts w:ascii="宋体" w:hAnsi="宋体" w:cs="宋体" w:hint="eastAsia"/>
          <w:bCs/>
          <w:szCs w:val="21"/>
          <w:highlight w:val="none"/>
        </w:rPr>
        <w:t>（5）风险处置措施和替代方案：</w:t>
      </w:r>
      <w:r>
        <w:rPr>
          <w:rFonts w:ascii="宋体" w:hAnsi="宋体" w:cs="宋体" w:hint="eastAsia"/>
          <w:color w:val="0000FF"/>
          <w:szCs w:val="21"/>
          <w:highlight w:val="none"/>
          <w:u w:val="single"/>
        </w:rPr>
        <w:t xml:space="preserve"> </w:t>
      </w:r>
      <w:r>
        <w:rPr>
          <w:rFonts w:ascii="宋体" w:hAnsi="宋体" w:cs="宋体" w:hint="eastAsia"/>
          <w:color w:val="000000"/>
          <w:szCs w:val="21"/>
          <w:highlight w:val="none"/>
          <w:u w:val="single"/>
        </w:rPr>
        <w:t xml:space="preserve">              </w:t>
      </w:r>
      <w:r>
        <w:rPr>
          <w:rFonts w:ascii="宋体" w:hAnsi="宋体" w:cs="宋体" w:hint="eastAsia"/>
          <w:szCs w:val="21"/>
          <w:highlight w:val="none"/>
          <w:u w:val="single"/>
        </w:rPr>
        <w:t xml:space="preserve">                                                </w:t>
      </w:r>
    </w:p>
    <w:p>
      <w:pPr>
        <w:numPr>
          <w:ilvl w:val="0"/>
          <w:numId w:val="5"/>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合同验收</w:t>
      </w:r>
    </w:p>
    <w:p>
      <w:pPr>
        <w:numPr>
          <w:ilvl w:val="0"/>
          <w:numId w:val="7"/>
        </w:num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验收组织方式：</w:t>
      </w:r>
      <w:r>
        <w:rPr>
          <w:rFonts w:ascii="Wingdings" w:hAnsi="Wingdings" w:cs="宋体"/>
          <w:szCs w:val="21"/>
          <w:highlight w:val="none"/>
        </w:rPr>
        <w:sym w:font="Wingdings" w:char="F0A8"/>
      </w:r>
      <w:r>
        <w:rPr>
          <w:rFonts w:ascii="宋体" w:hAnsi="宋体" w:hint="eastAsia"/>
          <w:bCs/>
          <w:szCs w:val="21"/>
          <w:highlight w:val="none"/>
        </w:rPr>
        <w:t xml:space="preserve">自行组织 </w:t>
      </w:r>
      <w:r>
        <w:rPr>
          <w:rFonts w:ascii="Wingdings" w:hAnsi="Wingdings" w:cs="宋体"/>
          <w:szCs w:val="21"/>
          <w:highlight w:val="none"/>
        </w:rPr>
        <w:sym w:font="Wingdings" w:char="F0A8"/>
      </w:r>
      <w:r>
        <w:rPr>
          <w:rFonts w:ascii="宋体" w:hAnsi="宋体" w:hint="eastAsia"/>
          <w:bCs/>
          <w:szCs w:val="21"/>
          <w:highlight w:val="none"/>
        </w:rPr>
        <w:t>委托第三方组织</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验收主体：</w:t>
      </w:r>
      <w:r>
        <w:rPr>
          <w:rFonts w:ascii="宋体" w:hAnsi="宋体" w:hint="eastAsia"/>
          <w:bCs/>
          <w:szCs w:val="21"/>
          <w:highlight w:val="none"/>
          <w:u w:val="single"/>
        </w:rPr>
        <w:t xml:space="preserve">                  </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是否邀请本项目的其他供应商参加验收：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是否邀请专家参加验收：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是否邀请服务对象参加验收：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是否邀请第三方检测机构参加验收：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是否进行抽查检测：</w:t>
      </w:r>
      <w:r>
        <w:rPr>
          <w:rFonts w:ascii="Wingdings" w:hAnsi="Wingdings" w:cs="宋体"/>
          <w:szCs w:val="21"/>
          <w:highlight w:val="none"/>
        </w:rPr>
        <w:sym w:font="Wingdings" w:char="F0A8"/>
      </w:r>
      <w:r>
        <w:rPr>
          <w:rFonts w:ascii="宋体" w:hAnsi="宋体" w:hint="eastAsia"/>
          <w:bCs/>
          <w:szCs w:val="21"/>
          <w:highlight w:val="none"/>
        </w:rPr>
        <w:t>是，抽查比例：</w:t>
      </w:r>
      <w:r>
        <w:rPr>
          <w:rFonts w:ascii="宋体" w:hAnsi="宋体" w:hint="eastAsia"/>
          <w:bCs/>
          <w:szCs w:val="21"/>
          <w:highlight w:val="none"/>
          <w:u w:val="single"/>
        </w:rPr>
        <w:t xml:space="preserve">        </w:t>
      </w: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u w:val="single"/>
        </w:rPr>
      </w:pPr>
      <w:r>
        <w:rPr>
          <w:rFonts w:ascii="宋体" w:hAnsi="宋体" w:hint="eastAsia"/>
          <w:bCs/>
          <w:szCs w:val="21"/>
          <w:highlight w:val="none"/>
        </w:rPr>
        <w:t>是否存在破坏性检测：</w:t>
      </w:r>
      <w:r>
        <w:rPr>
          <w:rFonts w:ascii="Wingdings" w:hAnsi="Wingdings" w:cs="宋体"/>
          <w:szCs w:val="21"/>
          <w:highlight w:val="none"/>
        </w:rPr>
        <w:sym w:font="Wingdings" w:char="F0A8"/>
      </w:r>
      <w:r>
        <w:rPr>
          <w:rFonts w:ascii="宋体" w:hAnsi="宋体" w:hint="eastAsia"/>
          <w:bCs/>
          <w:szCs w:val="21"/>
          <w:highlight w:val="none"/>
        </w:rPr>
        <w:t>是，</w:t>
      </w:r>
      <w:r>
        <w:rPr>
          <w:rFonts w:ascii="宋体" w:hAnsi="宋体" w:hint="eastAsia"/>
          <w:bCs/>
          <w:szCs w:val="21"/>
          <w:highlight w:val="none"/>
          <w:u w:val="single"/>
        </w:rPr>
        <w:t>（应明确对被破坏的检测产品的处理方式）</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u w:val="single"/>
        </w:rPr>
      </w:pPr>
      <w:r>
        <w:rPr>
          <w:rFonts w:ascii="宋体" w:hAnsi="宋体" w:hint="eastAsia"/>
          <w:bCs/>
          <w:szCs w:val="21"/>
          <w:highlight w:val="none"/>
        </w:rPr>
        <w:t>验收组织的其他事项：</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（2）履约验收时间：</w:t>
      </w:r>
      <w:r>
        <w:rPr>
          <w:rFonts w:ascii="宋体" w:hAnsi="宋体" w:hint="eastAsia"/>
          <w:bCs/>
          <w:szCs w:val="21"/>
          <w:highlight w:val="none"/>
          <w:u w:val="single"/>
        </w:rPr>
        <w:t xml:space="preserve">（计划于何时验收/供应商提出验收申请之日起   日内组织验收） </w:t>
      </w:r>
    </w:p>
    <w:p>
      <w:p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（3）履约验收方式：</w:t>
      </w:r>
      <w:r>
        <w:rPr>
          <w:rFonts w:ascii="Wingdings" w:hAnsi="Wingdings" w:cs="宋体"/>
          <w:szCs w:val="21"/>
          <w:highlight w:val="none"/>
        </w:rPr>
        <w:sym w:font="Wingdings" w:char="F0A8"/>
      </w:r>
      <w:r>
        <w:rPr>
          <w:rFonts w:ascii="宋体" w:hAnsi="宋体" w:hint="eastAsia"/>
          <w:bCs/>
          <w:szCs w:val="21"/>
          <w:highlight w:val="none"/>
        </w:rPr>
        <w:t xml:space="preserve">一次性验收         </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分期/分项验收：</w:t>
      </w:r>
      <w:r>
        <w:rPr>
          <w:rFonts w:ascii="宋体" w:hAnsi="宋体" w:hint="eastAsia"/>
          <w:bCs/>
          <w:szCs w:val="21"/>
          <w:highlight w:val="none"/>
          <w:u w:val="single"/>
        </w:rPr>
        <w:t xml:space="preserve"> （应明确分期</w:t>
      </w:r>
      <w:r>
        <w:rPr>
          <w:rFonts w:ascii="宋体" w:hAnsi="宋体"/>
          <w:bCs/>
          <w:szCs w:val="21"/>
          <w:highlight w:val="none"/>
          <w:u w:val="single"/>
          <w:lang w:val="en"/>
        </w:rPr>
        <w:t>/</w:t>
      </w:r>
      <w:r>
        <w:rPr>
          <w:rFonts w:ascii="宋体" w:hAnsi="宋体" w:hint="eastAsia"/>
          <w:bCs/>
          <w:szCs w:val="21"/>
          <w:highlight w:val="none"/>
          <w:u w:val="single"/>
          <w:lang w:val="en"/>
        </w:rPr>
        <w:t>分项验收的工作安排</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（4）履约验收程序：</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（5）履约验收的内容：</w:t>
      </w:r>
      <w:r>
        <w:rPr>
          <w:rFonts w:ascii="宋体" w:hAnsi="宋体" w:hint="eastAsia"/>
          <w:bCs/>
          <w:szCs w:val="21"/>
          <w:highlight w:val="none"/>
          <w:u w:val="single"/>
        </w:rPr>
        <w:t xml:space="preserve"> （应当包括每一项技术和商务要求的履约情况，特别是落实政府采购扶持中小企业，支持绿色发展和乡村振兴等政策情况）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（6）履约验收标准：</w:t>
      </w:r>
      <w:r>
        <w:rPr>
          <w:rFonts w:ascii="宋体" w:hAnsi="宋体" w:hint="eastAsia"/>
          <w:bCs/>
          <w:szCs w:val="21"/>
          <w:highlight w:val="none"/>
          <w:u w:val="single"/>
        </w:rPr>
        <w:t xml:space="preserve">                                         </w:t>
      </w:r>
    </w:p>
    <w:p>
      <w:pPr>
        <w:pStyle w:val="AONormal"/>
        <w:ind w:firstLine="420"/>
        <w:rPr>
          <w:rFonts w:ascii="宋体" w:eastAsia="宋体" w:hAnsi="宋体" w:cs="宋体"/>
          <w:sz w:val="21"/>
          <w:highlight w:val="none"/>
        </w:rPr>
      </w:pPr>
      <w:r>
        <w:rPr>
          <w:rFonts w:ascii="宋体" w:eastAsia="宋体" w:hAnsi="宋体" w:cs="宋体" w:hint="eastAsia"/>
          <w:bCs/>
          <w:sz w:val="21"/>
          <w:highlight w:val="none"/>
        </w:rPr>
        <w:t>（7）是否以采购活动中供应商提供的样品作为参考：</w:t>
      </w:r>
      <w:r>
        <w:rPr>
          <w:rFonts w:ascii="Wingdings" w:eastAsia="宋体" w:hAnsi="Wingdings" w:cs="宋体"/>
          <w:sz w:val="21"/>
          <w:highlight w:val="none"/>
        </w:rPr>
        <w:sym w:font="Wingdings" w:char="F0A8"/>
      </w:r>
      <w:r>
        <w:rPr>
          <w:rFonts w:ascii="宋体" w:eastAsia="宋体" w:hAnsi="宋体" w:cs="宋体" w:hint="eastAsia"/>
          <w:bCs/>
          <w:sz w:val="21"/>
          <w:highlight w:val="none"/>
        </w:rPr>
        <w:t xml:space="preserve">是  </w:t>
      </w:r>
      <w:r>
        <w:rPr>
          <w:rFonts w:ascii="Wingdings" w:eastAsia="宋体" w:hAnsi="Wingdings" w:cs="宋体"/>
          <w:sz w:val="21"/>
          <w:highlight w:val="none"/>
        </w:rPr>
        <w:sym w:font="Wingdings" w:char="F0A8"/>
      </w:r>
      <w:r>
        <w:rPr>
          <w:rFonts w:ascii="宋体" w:eastAsia="宋体" w:hAnsi="宋体" w:cs="宋体" w:hint="eastAsia"/>
          <w:bCs/>
          <w:sz w:val="21"/>
          <w:highlight w:val="none"/>
        </w:rPr>
        <w:t>否</w:t>
      </w:r>
    </w:p>
    <w:p>
      <w:pPr>
        <w:adjustRightInd w:val="0"/>
        <w:snapToGrid w:val="0"/>
        <w:spacing w:line="400" w:lineRule="exact"/>
        <w:ind w:firstLine="420" w:firstLineChars="200"/>
        <w:rPr>
          <w:rFonts w:ascii="宋体" w:hAnsi="宋体" w:cs="宋体"/>
          <w:bCs/>
          <w:szCs w:val="21"/>
          <w:highlight w:val="none"/>
          <w:u w:val="single"/>
        </w:rPr>
      </w:pPr>
      <w:r>
        <w:rPr>
          <w:rFonts w:ascii="宋体" w:hAnsi="宋体" w:cs="宋体" w:hint="eastAsia"/>
          <w:bCs/>
          <w:szCs w:val="21"/>
          <w:highlight w:val="none"/>
        </w:rPr>
        <w:t>（8）履约验收其他事项：</w:t>
      </w:r>
      <w:r>
        <w:rPr>
          <w:rFonts w:ascii="宋体" w:hAnsi="宋体" w:cs="宋体" w:hint="eastAsia"/>
          <w:bCs/>
          <w:szCs w:val="21"/>
          <w:highlight w:val="none"/>
          <w:u w:val="single"/>
        </w:rPr>
        <w:t xml:space="preserve">      （产权过户登记等）          </w:t>
      </w:r>
    </w:p>
    <w:p>
      <w:pPr>
        <w:numPr>
          <w:ilvl w:val="0"/>
          <w:numId w:val="5"/>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组成合同的文件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本协议书与下列文件一起构成合同文件，如下述文件之间有任何抵触、矛盾或歧义，应按以下顺序解释：</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（1）政府采购合同协议书及其变更、补充协议</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（2）政府采购合同专用条款</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（3）政府采购合同通用条款</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（4）中标（成交）通知书</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（5）投标（响应）文件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（6）采购文件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（7）有关技术文件，图纸</w:t>
      </w:r>
    </w:p>
    <w:p>
      <w:pPr>
        <w:pStyle w:val="AONormal"/>
        <w:ind w:firstLine="420"/>
        <w:rPr>
          <w:rFonts w:ascii="宋体" w:eastAsia="宋体" w:hAnsi="宋体" w:cs="宋体"/>
          <w:kern w:val="2"/>
          <w:sz w:val="21"/>
          <w:highlight w:val="none"/>
        </w:rPr>
      </w:pPr>
      <w:r>
        <w:rPr>
          <w:rFonts w:ascii="宋体" w:eastAsia="宋体" w:hAnsi="宋体" w:cs="宋体" w:hint="eastAsia"/>
          <w:sz w:val="21"/>
          <w:highlight w:val="none"/>
        </w:rPr>
        <w:t>（8）</w:t>
      </w:r>
      <w:r>
        <w:rPr>
          <w:rFonts w:ascii="宋体" w:eastAsia="宋体" w:hAnsi="宋体" w:cs="宋体" w:hint="eastAsia"/>
          <w:color w:val="000000"/>
          <w:kern w:val="2"/>
          <w:sz w:val="21"/>
          <w:highlight w:val="none"/>
        </w:rPr>
        <w:t>国家法律、行政法规和规章制度规定或合同约定的作为合同组成部分的其他文件</w:t>
      </w:r>
    </w:p>
    <w:p>
      <w:pPr>
        <w:numPr>
          <w:ilvl w:val="0"/>
          <w:numId w:val="5"/>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合同生效</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本合同自</w:t>
      </w:r>
      <w:r>
        <w:rPr>
          <w:rFonts w:ascii="宋体" w:hAnsi="宋体" w:hint="eastAsia"/>
          <w:szCs w:val="21"/>
          <w:highlight w:val="none"/>
          <w:u w:val="single"/>
        </w:rPr>
        <w:t xml:space="preserve">                             </w:t>
      </w:r>
      <w:r>
        <w:rPr>
          <w:rFonts w:ascii="宋体" w:hAnsi="宋体" w:hint="eastAsia"/>
          <w:szCs w:val="21"/>
          <w:highlight w:val="none"/>
        </w:rPr>
        <w:t>生效。</w:t>
      </w:r>
    </w:p>
    <w:p>
      <w:pPr>
        <w:numPr>
          <w:ilvl w:val="0"/>
          <w:numId w:val="5"/>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合同份数</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本合同一式</w:t>
      </w:r>
      <w:r>
        <w:rPr>
          <w:rFonts w:ascii="宋体" w:hAnsi="宋体" w:hint="eastAsia"/>
          <w:szCs w:val="21"/>
          <w:highlight w:val="none"/>
          <w:u w:val="single"/>
        </w:rPr>
        <w:t xml:space="preserve">    </w:t>
      </w:r>
      <w:r>
        <w:rPr>
          <w:rFonts w:ascii="宋体" w:hAnsi="宋体" w:hint="eastAsia"/>
          <w:szCs w:val="21"/>
          <w:highlight w:val="none"/>
        </w:rPr>
        <w:t>份，甲方执</w:t>
      </w:r>
      <w:r>
        <w:rPr>
          <w:rFonts w:ascii="宋体" w:hAnsi="宋体" w:hint="eastAsia"/>
          <w:szCs w:val="21"/>
          <w:highlight w:val="none"/>
          <w:u w:val="single"/>
        </w:rPr>
        <w:t xml:space="preserve">    </w:t>
      </w:r>
      <w:r>
        <w:rPr>
          <w:rFonts w:ascii="宋体" w:hAnsi="宋体" w:hint="eastAsia"/>
          <w:szCs w:val="21"/>
          <w:highlight w:val="none"/>
        </w:rPr>
        <w:t>份，乙方执</w:t>
      </w:r>
      <w:r>
        <w:rPr>
          <w:rFonts w:ascii="宋体" w:hAnsi="宋体" w:hint="eastAsia"/>
          <w:szCs w:val="21"/>
          <w:highlight w:val="none"/>
          <w:u w:val="single"/>
        </w:rPr>
        <w:t xml:space="preserve">    </w:t>
      </w:r>
      <w:r>
        <w:rPr>
          <w:rFonts w:ascii="宋体" w:hAnsi="宋体" w:hint="eastAsia"/>
          <w:szCs w:val="21"/>
          <w:highlight w:val="none"/>
        </w:rPr>
        <w:t>份，均具有同等法律效力。</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合同订立时间：</w:t>
      </w:r>
      <w:r>
        <w:rPr>
          <w:rFonts w:ascii="宋体" w:hAnsi="宋体" w:hint="eastAsia"/>
          <w:szCs w:val="21"/>
          <w:highlight w:val="none"/>
          <w:u w:val="single"/>
        </w:rPr>
        <w:t xml:space="preserve">         </w:t>
      </w:r>
      <w:r>
        <w:rPr>
          <w:rFonts w:ascii="宋体" w:hAnsi="宋体" w:hint="eastAsia"/>
          <w:szCs w:val="21"/>
          <w:highlight w:val="none"/>
        </w:rPr>
        <w:t>年</w:t>
      </w:r>
      <w:r>
        <w:rPr>
          <w:rFonts w:ascii="宋体" w:hAnsi="宋体" w:hint="eastAsia"/>
          <w:szCs w:val="21"/>
          <w:highlight w:val="none"/>
          <w:u w:val="single"/>
        </w:rPr>
        <w:t xml:space="preserve">      </w:t>
      </w:r>
      <w:r>
        <w:rPr>
          <w:rFonts w:ascii="宋体" w:hAnsi="宋体" w:hint="eastAsia"/>
          <w:szCs w:val="21"/>
          <w:highlight w:val="none"/>
        </w:rPr>
        <w:t>月</w:t>
      </w:r>
      <w:r>
        <w:rPr>
          <w:rFonts w:ascii="宋体" w:hAnsi="宋体" w:hint="eastAsia"/>
          <w:szCs w:val="21"/>
          <w:highlight w:val="none"/>
          <w:u w:val="single"/>
        </w:rPr>
        <w:t xml:space="preserve">      </w:t>
      </w:r>
      <w:r>
        <w:rPr>
          <w:rFonts w:ascii="宋体" w:hAnsi="宋体" w:hint="eastAsia"/>
          <w:szCs w:val="21"/>
          <w:highlight w:val="none"/>
        </w:rPr>
        <w:t>日</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合同订立地点：</w:t>
      </w:r>
      <w:r>
        <w:rPr>
          <w:rFonts w:ascii="宋体" w:hAnsi="宋体" w:hint="eastAsia"/>
          <w:szCs w:val="21"/>
          <w:highlight w:val="none"/>
          <w:u w:val="single"/>
        </w:rPr>
        <w:t xml:space="preserve">                           </w:t>
      </w:r>
    </w:p>
    <w:p>
      <w:pPr>
        <w:adjustRightInd w:val="0"/>
        <w:snapToGrid w:val="0"/>
        <w:spacing w:line="400" w:lineRule="exact"/>
        <w:ind w:firstLine="420" w:firstLineChars="200"/>
        <w:rPr>
          <w:highlight w:val="none"/>
        </w:rPr>
      </w:pPr>
      <w:r>
        <w:rPr>
          <w:rFonts w:ascii="宋体" w:hAnsi="宋体" w:hint="eastAsia"/>
          <w:szCs w:val="21"/>
          <w:highlight w:val="none"/>
        </w:rPr>
        <w:t>附件：具体标的及其技术要求和商务要求、联合协议、分包意向协议等。</w:t>
      </w:r>
    </w:p>
    <w:p>
      <w:pPr>
        <w:rPr>
          <w:highlight w:val="none"/>
        </w:rPr>
      </w:pPr>
      <w:r>
        <w:rPr>
          <w:rFonts w:hint="eastAsia"/>
          <w:highlight w:val="none"/>
        </w:rPr>
        <w:br w:type="page"/>
      </w:r>
    </w:p>
    <w:p>
      <w:pPr>
        <w:pStyle w:val="12"/>
        <w:rPr>
          <w:highlight w:val="none"/>
        </w:rPr>
      </w:pPr>
    </w:p>
    <w:tbl>
      <w:tblPr>
        <w:tblStyle w:val="TableNormal"/>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
      <w:tblGrid>
        <w:gridCol w:w="1998"/>
        <w:gridCol w:w="2548"/>
        <w:gridCol w:w="2090"/>
        <w:gridCol w:w="2236"/>
      </w:tblGrid>
      <w:tr>
        <w:tblPrEx>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Ex>
        <w:trPr>
          <w:trHeight w:val="490"/>
        </w:trPr>
        <w:tc>
          <w:tcPr>
            <w:tcW w:w="2562" w:type="pct"/>
            <w:gridSpan w:val="2"/>
            <w:tcBorders>
              <w:bottom w:val="single" w:sz="2" w:space="0" w:color="auto"/>
              <w:right w:val="single" w:sz="2" w:space="0" w:color="auto"/>
            </w:tcBorders>
            <w:noWrap w:val="0"/>
            <w:vAlign w:val="center"/>
          </w:tcPr>
          <w:p>
            <w:pPr>
              <w:adjustRightInd w:val="0"/>
              <w:snapToGrid w:val="0"/>
              <w:spacing w:line="300" w:lineRule="exact"/>
              <w:jc w:val="center"/>
              <w:rPr>
                <w:highlight w:val="none"/>
              </w:rPr>
            </w:pPr>
            <w:r>
              <w:rPr>
                <w:szCs w:val="21"/>
                <w:highlight w:val="none"/>
              </w:rPr>
              <w:t>甲方</w:t>
            </w:r>
            <w:r>
              <w:rPr>
                <w:rFonts w:hint="eastAsia"/>
                <w:szCs w:val="21"/>
                <w:highlight w:val="none"/>
              </w:rPr>
              <w:t>（采购人</w:t>
            </w:r>
            <w:r>
              <w:rPr>
                <w:rFonts w:ascii="宋体" w:hAnsi="宋体" w:hint="eastAsia"/>
                <w:szCs w:val="21"/>
                <w:highlight w:val="none"/>
              </w:rPr>
              <w:t>、受采购人委托签订合同的单位或</w:t>
            </w:r>
            <w:r>
              <w:rPr>
                <w:rFonts w:hint="eastAsia"/>
                <w:szCs w:val="21"/>
                <w:highlight w:val="none"/>
              </w:rPr>
              <w:t>采购文件约定的合同甲方）</w:t>
            </w:r>
          </w:p>
        </w:tc>
        <w:tc>
          <w:tcPr>
            <w:tcW w:w="2437" w:type="pct"/>
            <w:gridSpan w:val="2"/>
            <w:tcBorders>
              <w:left w:val="single" w:sz="2" w:space="0" w:color="auto"/>
              <w:bottom w:val="single" w:sz="2" w:space="0" w:color="auto"/>
            </w:tcBorders>
            <w:noWrap w:val="0"/>
            <w:vAlign w:val="center"/>
          </w:tcPr>
          <w:p>
            <w:pPr>
              <w:adjustRightInd w:val="0"/>
              <w:snapToGrid w:val="0"/>
              <w:spacing w:line="300" w:lineRule="exact"/>
              <w:jc w:val="center"/>
              <w:rPr>
                <w:highlight w:val="none"/>
              </w:rPr>
            </w:pPr>
            <w:r>
              <w:rPr>
                <w:szCs w:val="21"/>
                <w:highlight w:val="none"/>
              </w:rPr>
              <w:t>乙方</w:t>
            </w:r>
            <w:r>
              <w:rPr>
                <w:rFonts w:hint="eastAsia"/>
                <w:szCs w:val="21"/>
                <w:highlight w:val="none"/>
              </w:rPr>
              <w:t>（供应商）</w:t>
            </w:r>
          </w:p>
        </w:tc>
      </w:tr>
      <w:tr>
        <w:tblPrEx>
          <w:tblW w:w="4927" w:type="pct"/>
          <w:tblInd w:w="0" w:type="dxa"/>
          <w:tblCellMar>
            <w:top w:w="0" w:type="dxa"/>
            <w:left w:w="108" w:type="dxa"/>
            <w:bottom w:w="0" w:type="dxa"/>
            <w:right w:w="108" w:type="dxa"/>
          </w:tblCellMar>
        </w:tblPrEx>
        <w:trPr>
          <w:trHeight w:val="917"/>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单位名称</w:t>
            </w:r>
            <w:r>
              <w:rPr>
                <w:rFonts w:hint="eastAsia"/>
                <w:szCs w:val="21"/>
                <w:highlight w:val="none"/>
              </w:rPr>
              <w:t>（公章或合同章）</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单位名称</w:t>
            </w:r>
            <w:r>
              <w:rPr>
                <w:rFonts w:hint="eastAsia"/>
                <w:szCs w:val="21"/>
                <w:highlight w:val="none"/>
              </w:rPr>
              <w:t>（公章或合同章）</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1171"/>
        </w:trPr>
        <w:tc>
          <w:tcPr>
            <w:tcW w:w="1126" w:type="pct"/>
            <w:vMerge w:val="restart"/>
            <w:tcBorders>
              <w:top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法定代表人</w:t>
            </w:r>
          </w:p>
          <w:p>
            <w:pPr>
              <w:adjustRightInd w:val="0"/>
              <w:snapToGrid w:val="0"/>
              <w:spacing w:line="300" w:lineRule="exact"/>
              <w:ind w:firstLine="101" w:firstLineChars="48"/>
              <w:jc w:val="center"/>
              <w:rPr>
                <w:szCs w:val="21"/>
                <w:highlight w:val="none"/>
              </w:rPr>
            </w:pPr>
            <w:r>
              <w:rPr>
                <w:rFonts w:hint="eastAsia"/>
                <w:szCs w:val="21"/>
                <w:highlight w:val="none"/>
              </w:rPr>
              <w:t>或其</w:t>
            </w:r>
            <w:r>
              <w:rPr>
                <w:szCs w:val="21"/>
                <w:highlight w:val="none"/>
              </w:rPr>
              <w:t>委托代理人</w:t>
            </w:r>
            <w:r>
              <w:rPr>
                <w:rFonts w:hint="eastAsia"/>
                <w:szCs w:val="21"/>
                <w:highlight w:val="none"/>
              </w:rPr>
              <w:t>（签章）</w:t>
            </w:r>
          </w:p>
        </w:tc>
        <w:tc>
          <w:tcPr>
            <w:tcW w:w="1436" w:type="pct"/>
            <w:vMerge w:val="restart"/>
            <w:tcBorders>
              <w:top w:val="single" w:sz="2" w:space="0" w:color="auto"/>
              <w:left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法定代表人</w:t>
            </w:r>
          </w:p>
          <w:p>
            <w:pPr>
              <w:adjustRightInd w:val="0"/>
              <w:snapToGrid w:val="0"/>
              <w:spacing w:line="300" w:lineRule="exact"/>
              <w:jc w:val="center"/>
              <w:rPr>
                <w:szCs w:val="21"/>
                <w:highlight w:val="none"/>
              </w:rPr>
            </w:pPr>
            <w:r>
              <w:rPr>
                <w:rFonts w:hint="eastAsia"/>
                <w:szCs w:val="21"/>
                <w:highlight w:val="none"/>
              </w:rPr>
              <w:t>或其</w:t>
            </w:r>
            <w:r>
              <w:rPr>
                <w:szCs w:val="21"/>
                <w:highlight w:val="none"/>
              </w:rPr>
              <w:t>委托代理人</w:t>
            </w:r>
            <w:r>
              <w:rPr>
                <w:rFonts w:hint="eastAsia"/>
                <w:szCs w:val="21"/>
                <w:highlight w:val="none"/>
              </w:rPr>
              <w:t>（签章）</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vMerge/>
            <w:tcBorders>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vMerge/>
            <w:tcBorders>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拥有者性别</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住  所</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住  所</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 系 人</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 系 人</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联系电话</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联系电话</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通信地址</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通信地址</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邮政编码</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邮政编码</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电子邮箱</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电子邮箱</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统一社会信用代码</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统一社会信用代码</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开户名称</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开户银行</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银行账号</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586"/>
        </w:trPr>
        <w:tc>
          <w:tcPr>
            <w:tcW w:w="5000" w:type="pct"/>
            <w:gridSpan w:val="4"/>
            <w:tcBorders>
              <w:top w:val="single" w:sz="2" w:space="0" w:color="auto"/>
            </w:tcBorders>
            <w:noWrap w:val="0"/>
            <w:vAlign w:val="center"/>
          </w:tcPr>
          <w:p>
            <w:pPr>
              <w:pStyle w:val="BodyTextIndent"/>
              <w:adjustRightInd w:val="0"/>
              <w:snapToGrid w:val="0"/>
              <w:spacing w:before="156" w:beforeLines="50" w:after="0" w:line="360" w:lineRule="auto"/>
              <w:ind w:left="0" w:leftChars="0"/>
              <w:jc w:val="left"/>
              <w:rPr>
                <w:spacing w:val="20"/>
                <w:szCs w:val="21"/>
                <w:highlight w:val="none"/>
              </w:rPr>
            </w:pPr>
            <w:r>
              <w:rPr>
                <w:rFonts w:ascii="宋体" w:hAnsi="宋体" w:hint="eastAsia"/>
                <w:szCs w:val="21"/>
                <w:highlight w:val="none"/>
              </w:rPr>
              <w:t>注：涉及联合体或其他合同主体的信息应按上表格式加列。</w:t>
            </w:r>
          </w:p>
        </w:tc>
      </w:tr>
    </w:tbl>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pStyle w:val="Heading2"/>
        <w:numPr>
          <w:ilvl w:val="0"/>
          <w:numId w:val="0"/>
        </w:numPr>
        <w:adjustRightInd w:val="0"/>
        <w:snapToGrid w:val="0"/>
        <w:spacing w:before="156" w:beforeLines="50"/>
        <w:jc w:val="center"/>
        <w:rPr>
          <w:rFonts w:ascii="黑体" w:hAnsi="黑体" w:hint="eastAsia"/>
          <w:b w:val="0"/>
          <w:bCs w:val="0"/>
          <w:sz w:val="28"/>
          <w:szCs w:val="28"/>
          <w:highlight w:val="none"/>
        </w:rPr>
      </w:pPr>
    </w:p>
    <w:p>
      <w:pPr>
        <w:pStyle w:val="Heading2"/>
        <w:numPr>
          <w:ilvl w:val="0"/>
          <w:numId w:val="0"/>
        </w:numPr>
        <w:adjustRightInd w:val="0"/>
        <w:snapToGrid w:val="0"/>
        <w:spacing w:before="156" w:beforeLines="50"/>
        <w:jc w:val="center"/>
        <w:rPr>
          <w:rFonts w:ascii="黑体" w:hAnsi="黑体"/>
          <w:sz w:val="28"/>
          <w:szCs w:val="28"/>
          <w:highlight w:val="none"/>
        </w:rPr>
      </w:pPr>
      <w:r>
        <w:rPr>
          <w:rFonts w:ascii="黑体" w:hAnsi="黑体" w:hint="eastAsia"/>
          <w:b w:val="0"/>
          <w:bCs w:val="0"/>
          <w:sz w:val="28"/>
          <w:szCs w:val="28"/>
          <w:highlight w:val="none"/>
        </w:rPr>
        <w:t>第二节 政府采购合同通用条款</w:t>
      </w:r>
      <w:bookmarkEnd w:id="73"/>
    </w:p>
    <w:p>
      <w:pPr>
        <w:tabs>
          <w:tab w:val="left" w:pos="8820"/>
          <w:tab w:val="left" w:pos="9345"/>
          <w:tab w:val="left" w:pos="9765"/>
        </w:tabs>
        <w:adjustRightInd w:val="0"/>
        <w:snapToGrid w:val="0"/>
        <w:spacing w:line="400" w:lineRule="exact"/>
        <w:jc w:val="left"/>
        <w:rPr>
          <w:rFonts w:ascii="宋体" w:hAnsi="宋体"/>
          <w:b/>
          <w:bCs/>
          <w:highlight w:val="none"/>
        </w:rPr>
      </w:pPr>
      <w:r>
        <w:rPr>
          <w:rFonts w:ascii="宋体" w:hAnsi="宋体" w:hint="eastAsia"/>
          <w:b/>
          <w:sz w:val="24"/>
          <w:highlight w:val="none"/>
        </w:rPr>
        <w:t xml:space="preserve">1. </w:t>
      </w:r>
      <w:r>
        <w:rPr>
          <w:rFonts w:ascii="宋体" w:hAnsi="宋体" w:hint="eastAsia"/>
          <w:b/>
          <w:bCs/>
          <w:sz w:val="24"/>
          <w:highlight w:val="none"/>
        </w:rPr>
        <w:t>定义</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1.1合同当事人</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（1）采购人（以下称甲方）是指使用财政性资金，通过政府采购方式向供应商购买货物及其相关服务的国家机关、事业单位、团体组织。</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（2）供应商（以下称乙方）是指参加政府采购活动并且中标（成交），向采购人提供合同约定的货物及其相关服务的法人、非法人组织或者自然人。</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（3）其他合同主体是指除采购人和供应商以外，</w:t>
      </w:r>
      <w:r>
        <w:rPr>
          <w:rFonts w:ascii="宋体" w:hAnsi="宋体" w:cs="宋体" w:hint="eastAsia"/>
          <w:bCs/>
          <w:color w:val="000000"/>
          <w:szCs w:val="21"/>
          <w:highlight w:val="none"/>
        </w:rPr>
        <w:t>依法参与合同缔结或履行，享有权利、承担义务的合同当事人</w:t>
      </w:r>
      <w:r>
        <w:rPr>
          <w:rFonts w:ascii="宋体" w:hAnsi="宋体" w:hint="eastAsia"/>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1.2本合同下列术语应解释为：</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（1）“合同”系指</w:t>
      </w:r>
      <w:r>
        <w:rPr>
          <w:rFonts w:ascii="宋体" w:hAnsi="宋体" w:cs="宋体" w:hint="eastAsia"/>
          <w:bCs/>
          <w:color w:val="000000"/>
          <w:szCs w:val="21"/>
          <w:highlight w:val="none"/>
        </w:rPr>
        <w:t>合同当事人意思表示达成一致的任何协议，包括签署的</w:t>
      </w:r>
      <w:r>
        <w:rPr>
          <w:rFonts w:ascii="宋体" w:hAnsi="宋体" w:hint="eastAsia"/>
          <w:szCs w:val="21"/>
          <w:highlight w:val="none"/>
        </w:rPr>
        <w:t>政府采购合同协议书及其变更、补充协议，政府采购合同专用条款，政府采购合同通用条款，中标（成交）通知书，投标（响应）文件，采购文件，有关技术文件和图纸，以及</w:t>
      </w:r>
      <w:r>
        <w:rPr>
          <w:rFonts w:ascii="宋体" w:hAnsi="宋体" w:cs="宋体" w:hint="eastAsia"/>
          <w:color w:val="000000"/>
          <w:szCs w:val="21"/>
          <w:highlight w:val="none"/>
        </w:rPr>
        <w:t>国家法律、行政法规和规章制度规定或合同约定的作为合同组成部分的其他文件</w:t>
      </w:r>
      <w:r>
        <w:rPr>
          <w:rFonts w:ascii="宋体" w:hAnsi="宋体" w:hint="eastAsia"/>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（2）“合同价款”系指根据本合同规定乙方在全面履行合同义务后甲方应支付给乙方的价款。</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szCs w:val="21"/>
          <w:highlight w:val="none"/>
        </w:rPr>
        <w:t>（3）“货物”系指乙方根据本合同规定须向甲方提供的各种形态和种类的物品，包括原材料、设备、产品（</w:t>
      </w:r>
      <w:r>
        <w:rPr>
          <w:rFonts w:ascii="宋体" w:hAnsi="宋体" w:hint="eastAsia"/>
          <w:color w:val="000000"/>
          <w:szCs w:val="21"/>
          <w:highlight w:val="none"/>
        </w:rPr>
        <w:t>包括软件）及相关的其备品备件、工具、手册及</w:t>
      </w:r>
      <w:r>
        <w:rPr>
          <w:rFonts w:ascii="宋体" w:hAnsi="宋体"/>
          <w:color w:val="000000"/>
          <w:szCs w:val="21"/>
          <w:highlight w:val="none"/>
          <w:lang w:val="en"/>
        </w:rPr>
        <w:t>其他</w:t>
      </w:r>
      <w:r>
        <w:rPr>
          <w:rFonts w:ascii="宋体" w:hAnsi="宋体" w:hint="eastAsia"/>
          <w:color w:val="000000"/>
          <w:szCs w:val="21"/>
          <w:highlight w:val="none"/>
        </w:rPr>
        <w:t>技术资料和材料等。</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w:t>
      </w:r>
      <w:r>
        <w:rPr>
          <w:rFonts w:ascii="宋体" w:hAnsi="宋体" w:hint="eastAsia"/>
          <w:szCs w:val="21"/>
          <w:highlight w:val="none"/>
        </w:rPr>
        <w:t>相关</w:t>
      </w:r>
      <w:r>
        <w:rPr>
          <w:rFonts w:ascii="宋体" w:hAnsi="宋体" w:hint="eastAsia"/>
          <w:color w:val="000000"/>
          <w:szCs w:val="21"/>
          <w:highlight w:val="none"/>
        </w:rPr>
        <w:t>服务”系指根据合同规定，乙方应提供的与货物有关的技术、管理和</w:t>
      </w:r>
      <w:r>
        <w:rPr>
          <w:rFonts w:ascii="宋体" w:hAnsi="宋体"/>
          <w:color w:val="000000"/>
          <w:szCs w:val="21"/>
          <w:highlight w:val="none"/>
          <w:lang w:val="en"/>
        </w:rPr>
        <w:t>其他</w:t>
      </w:r>
      <w:r>
        <w:rPr>
          <w:rFonts w:ascii="宋体" w:hAnsi="宋体" w:hint="eastAsia"/>
          <w:color w:val="000000"/>
          <w:szCs w:val="21"/>
          <w:highlight w:val="none"/>
        </w:rPr>
        <w:t>服务，包括但不限于：管理和质量保证、运输、保险、检验、现场准备、安装、集成、调试、培训、维修、废弃处置、技术支持等以及合同中规定乙方应承担的</w:t>
      </w:r>
      <w:r>
        <w:rPr>
          <w:rFonts w:ascii="宋体" w:hAnsi="宋体"/>
          <w:color w:val="000000"/>
          <w:szCs w:val="21"/>
          <w:highlight w:val="none"/>
          <w:lang w:val="en"/>
        </w:rPr>
        <w:t>其他</w:t>
      </w:r>
      <w:r>
        <w:rPr>
          <w:rFonts w:ascii="宋体" w:hAnsi="宋体" w:hint="eastAsia"/>
          <w:color w:val="000000"/>
          <w:szCs w:val="21"/>
          <w:highlight w:val="none"/>
        </w:rPr>
        <w:t>义务。</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（5）“分包”系指中标（成交）供应商按采购文件、投标（响应）文件的规定，根据分包意向协议，将中标（成交）项目中的部分履约内容，分给具有相应资质条件的供应商履行合同的行为。</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（6）</w:t>
      </w:r>
      <w:r>
        <w:rPr>
          <w:rFonts w:ascii="宋体" w:hAnsi="宋体" w:hint="eastAsia"/>
          <w:szCs w:val="21"/>
          <w:highlight w:val="none"/>
        </w:rPr>
        <w:t>“联合体”系指由两个以上的自然人、法人或者非法人组织组成，以一个供应商的身份共同参加政府采购的主体</w:t>
      </w:r>
      <w:r>
        <w:rPr>
          <w:rFonts w:ascii="宋体" w:hAnsi="宋体" w:hint="eastAsia"/>
          <w:color w:val="000000"/>
          <w:szCs w:val="21"/>
          <w:highlight w:val="none"/>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hAnsi="宋体" w:hint="eastAsia"/>
          <w:b/>
          <w:bCs/>
          <w:color w:val="000000"/>
          <w:szCs w:val="21"/>
          <w:highlight w:val="none"/>
        </w:rPr>
        <w:t>政府采购合同专用条款</w:t>
      </w:r>
      <w:r>
        <w:rPr>
          <w:rFonts w:ascii="宋体" w:hAnsi="宋体" w:hint="eastAsia"/>
          <w:color w:val="000000"/>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（7）其他术语解释，见【</w:t>
      </w:r>
      <w:r>
        <w:rPr>
          <w:rFonts w:ascii="宋体" w:hAnsi="宋体" w:hint="eastAsia"/>
          <w:b/>
          <w:bCs/>
          <w:color w:val="000000"/>
          <w:szCs w:val="21"/>
          <w:highlight w:val="none"/>
        </w:rPr>
        <w:t>政府采购合同专用条款</w:t>
      </w:r>
      <w:r>
        <w:rPr>
          <w:rFonts w:ascii="宋体" w:hAnsi="宋体" w:hint="eastAsia"/>
          <w:color w:val="000000"/>
          <w:szCs w:val="21"/>
          <w:highlight w:val="none"/>
        </w:rPr>
        <w:t>】。</w:t>
      </w:r>
    </w:p>
    <w:p>
      <w:pPr>
        <w:numPr>
          <w:ilvl w:val="0"/>
          <w:numId w:val="8"/>
        </w:num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color w:val="000000"/>
          <w:sz w:val="24"/>
          <w:highlight w:val="none"/>
        </w:rPr>
        <w:t>合同标的及金额</w:t>
      </w:r>
    </w:p>
    <w:p>
      <w:pPr>
        <w:autoSpaceDE w:val="0"/>
        <w:autoSpaceDN w:val="0"/>
        <w:adjustRightInd w:val="0"/>
        <w:snapToGrid w:val="0"/>
        <w:spacing w:line="400" w:lineRule="exact"/>
        <w:ind w:firstLine="420" w:firstLineChars="200"/>
        <w:jc w:val="left"/>
        <w:rPr>
          <w:rFonts w:ascii="宋体" w:hAnsi="宋体"/>
          <w:b/>
          <w:bCs/>
          <w:i/>
          <w:iCs/>
          <w:color w:val="000000"/>
          <w:szCs w:val="21"/>
          <w:highlight w:val="none"/>
        </w:rPr>
      </w:pPr>
      <w:r>
        <w:rPr>
          <w:rFonts w:ascii="宋体" w:hAnsi="宋体" w:hint="eastAsia"/>
          <w:color w:val="000000"/>
          <w:szCs w:val="21"/>
          <w:highlight w:val="none"/>
        </w:rPr>
        <w:t>2.1 合同标的及金额应与中标（成交）结果一致。乙方为履行本合同而发生的所有费用均应包含在合同价款中，甲方不再另行支付</w:t>
      </w:r>
      <w:r>
        <w:rPr>
          <w:rFonts w:ascii="宋体" w:hAnsi="宋体"/>
          <w:color w:val="000000"/>
          <w:szCs w:val="21"/>
          <w:highlight w:val="none"/>
          <w:lang w:val="en"/>
        </w:rPr>
        <w:t>其他</w:t>
      </w:r>
      <w:r>
        <w:rPr>
          <w:rFonts w:ascii="宋体" w:hAnsi="宋体" w:hint="eastAsia"/>
          <w:color w:val="000000"/>
          <w:szCs w:val="21"/>
          <w:highlight w:val="none"/>
        </w:rPr>
        <w:t>任何费用。</w:t>
      </w:r>
    </w:p>
    <w:p>
      <w:pPr>
        <w:adjustRightInd w:val="0"/>
        <w:snapToGrid w:val="0"/>
        <w:spacing w:line="400" w:lineRule="exact"/>
        <w:jc w:val="left"/>
        <w:rPr>
          <w:rFonts w:ascii="宋体" w:hAnsi="宋体"/>
          <w:b/>
          <w:color w:val="000000"/>
          <w:highlight w:val="none"/>
        </w:rPr>
      </w:pPr>
      <w:r>
        <w:rPr>
          <w:rFonts w:ascii="宋体" w:hAnsi="宋体" w:hint="eastAsia"/>
          <w:b/>
          <w:color w:val="000000"/>
          <w:sz w:val="24"/>
          <w:highlight w:val="none"/>
        </w:rPr>
        <w:t>3. 履行合同的时间、地点和方式</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3.1 </w:t>
      </w:r>
      <w:r>
        <w:rPr>
          <w:rFonts w:ascii="宋体" w:hAnsi="宋体" w:cs="宋体" w:hint="eastAsia"/>
          <w:szCs w:val="21"/>
          <w:highlight w:val="none"/>
        </w:rPr>
        <w:t>乙方应当在约定的时间、地点，按照约定方式履行合同。</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4. 甲方的权利和义务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4.1</w:t>
      </w:r>
      <w:r>
        <w:rPr>
          <w:rFonts w:ascii="宋体" w:hAnsi="宋体"/>
          <w:color w:val="000000"/>
          <w:szCs w:val="21"/>
          <w:highlight w:val="none"/>
        </w:rPr>
        <w:t xml:space="preserve"> 签署合同后，甲方</w:t>
      </w:r>
      <w:r>
        <w:rPr>
          <w:rFonts w:ascii="宋体" w:hAnsi="宋体" w:hint="eastAsia"/>
          <w:color w:val="000000"/>
          <w:szCs w:val="21"/>
          <w:highlight w:val="none"/>
        </w:rPr>
        <w:t>应</w:t>
      </w:r>
      <w:r>
        <w:rPr>
          <w:rFonts w:ascii="宋体" w:hAnsi="宋体"/>
          <w:color w:val="000000"/>
          <w:szCs w:val="21"/>
          <w:highlight w:val="none"/>
        </w:rPr>
        <w:t>确定</w:t>
      </w:r>
      <w:r>
        <w:rPr>
          <w:rFonts w:ascii="宋体" w:hAnsi="宋体" w:hint="eastAsia"/>
          <w:color w:val="000000"/>
          <w:szCs w:val="21"/>
          <w:highlight w:val="none"/>
        </w:rPr>
        <w:t>项目负责人（或项目联系人）</w:t>
      </w:r>
      <w:r>
        <w:rPr>
          <w:rFonts w:ascii="宋体" w:hAnsi="宋体"/>
          <w:color w:val="000000"/>
          <w:szCs w:val="21"/>
          <w:highlight w:val="none"/>
        </w:rPr>
        <w:t>，负责与本合同有关的事务。</w:t>
      </w:r>
      <w:r>
        <w:rPr>
          <w:rFonts w:ascii="宋体" w:hAnsi="宋体" w:hint="eastAsia"/>
          <w:color w:val="000000"/>
          <w:szCs w:val="21"/>
          <w:highlight w:val="none"/>
        </w:rPr>
        <w:t>甲方有权对乙方的履约行为进行检查，并</w:t>
      </w:r>
      <w:r>
        <w:rPr>
          <w:rFonts w:ascii="宋体" w:hAnsi="宋体"/>
          <w:color w:val="000000"/>
          <w:szCs w:val="21"/>
          <w:highlight w:val="none"/>
        </w:rPr>
        <w:t>及时确认乙方提交的事项</w:t>
      </w:r>
      <w:r>
        <w:rPr>
          <w:rFonts w:ascii="宋体" w:hAnsi="宋体" w:hint="eastAsia"/>
          <w:color w:val="000000"/>
          <w:szCs w:val="21"/>
          <w:highlight w:val="none"/>
        </w:rPr>
        <w:t>。甲方应当</w:t>
      </w:r>
      <w:r>
        <w:rPr>
          <w:rFonts w:ascii="宋体" w:hAnsi="宋体"/>
          <w:color w:val="000000"/>
          <w:szCs w:val="21"/>
          <w:highlight w:val="none"/>
        </w:rPr>
        <w:t>配合乙方完成</w:t>
      </w:r>
      <w:r>
        <w:rPr>
          <w:rFonts w:ascii="宋体" w:hAnsi="宋体" w:hint="eastAsia"/>
          <w:color w:val="000000"/>
          <w:szCs w:val="21"/>
          <w:highlight w:val="none"/>
        </w:rPr>
        <w:t>相关项目</w:t>
      </w:r>
      <w:r>
        <w:rPr>
          <w:rFonts w:ascii="宋体" w:hAnsi="宋体"/>
          <w:color w:val="000000"/>
          <w:szCs w:val="21"/>
          <w:highlight w:val="none"/>
        </w:rPr>
        <w:t>实施工作。</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4.2 </w:t>
      </w:r>
      <w:r>
        <w:rPr>
          <w:rFonts w:ascii="宋体" w:hAnsi="宋体"/>
          <w:color w:val="000000"/>
          <w:szCs w:val="21"/>
          <w:highlight w:val="none"/>
        </w:rPr>
        <w:t>甲方有权要求乙方按时提交各阶段有关</w:t>
      </w:r>
      <w:r>
        <w:rPr>
          <w:rFonts w:ascii="宋体" w:hAnsi="宋体" w:hint="eastAsia"/>
          <w:color w:val="000000"/>
          <w:szCs w:val="21"/>
          <w:highlight w:val="none"/>
        </w:rPr>
        <w:t>安排计划</w:t>
      </w:r>
      <w:r>
        <w:rPr>
          <w:rFonts w:ascii="宋体" w:hAnsi="宋体"/>
          <w:color w:val="000000"/>
          <w:szCs w:val="21"/>
          <w:highlight w:val="none"/>
        </w:rPr>
        <w:t>，并有权</w:t>
      </w:r>
      <w:r>
        <w:rPr>
          <w:rFonts w:ascii="宋体" w:hAnsi="宋体" w:hint="eastAsia"/>
          <w:color w:val="000000"/>
          <w:szCs w:val="21"/>
          <w:highlight w:val="none"/>
        </w:rPr>
        <w:t>定期核对乙方提供货物数量、规格、质量等内容。甲方</w:t>
      </w:r>
      <w:r>
        <w:rPr>
          <w:rFonts w:ascii="宋体" w:hAnsi="宋体"/>
          <w:color w:val="000000"/>
          <w:szCs w:val="21"/>
          <w:highlight w:val="none"/>
        </w:rPr>
        <w:t>有权督促乙方工作并要求乙方</w:t>
      </w:r>
      <w:r>
        <w:rPr>
          <w:rFonts w:ascii="宋体" w:hAnsi="宋体" w:hint="eastAsia"/>
          <w:color w:val="000000"/>
          <w:szCs w:val="21"/>
          <w:highlight w:val="none"/>
        </w:rPr>
        <w:t>更</w:t>
      </w:r>
      <w:r>
        <w:rPr>
          <w:rFonts w:ascii="宋体" w:hAnsi="宋体"/>
          <w:color w:val="000000"/>
          <w:szCs w:val="21"/>
          <w:highlight w:val="none"/>
        </w:rPr>
        <w:t>换不符合要求的</w:t>
      </w:r>
      <w:r>
        <w:rPr>
          <w:rFonts w:ascii="宋体" w:hAnsi="宋体" w:hint="eastAsia"/>
          <w:color w:val="000000"/>
          <w:szCs w:val="21"/>
          <w:highlight w:val="none"/>
        </w:rPr>
        <w:t>货物</w:t>
      </w:r>
      <w:r>
        <w:rPr>
          <w:rFonts w:ascii="宋体" w:hAnsi="宋体"/>
          <w:color w:val="000000"/>
          <w:szCs w:val="21"/>
          <w:highlight w:val="none"/>
        </w:rPr>
        <w:t>。</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w:t>
      </w:r>
      <w:r>
        <w:rPr>
          <w:rFonts w:ascii="宋体" w:hAnsi="宋体"/>
          <w:color w:val="000000"/>
          <w:szCs w:val="21"/>
          <w:highlight w:val="none"/>
        </w:rPr>
        <w:t>3</w:t>
      </w:r>
      <w:r>
        <w:rPr>
          <w:rFonts w:ascii="宋体" w:hAnsi="宋体" w:hint="eastAsia"/>
          <w:color w:val="000000"/>
          <w:szCs w:val="21"/>
          <w:highlight w:val="none"/>
        </w:rPr>
        <w:t xml:space="preserve"> </w:t>
      </w:r>
      <w:r>
        <w:rPr>
          <w:rFonts w:ascii="宋体" w:hAnsi="宋体"/>
          <w:color w:val="000000"/>
          <w:szCs w:val="21"/>
          <w:highlight w:val="none"/>
        </w:rPr>
        <w:t>甲方</w:t>
      </w:r>
      <w:r>
        <w:rPr>
          <w:rFonts w:ascii="宋体" w:hAnsi="宋体" w:hint="eastAsia"/>
          <w:color w:val="000000"/>
          <w:szCs w:val="21"/>
          <w:highlight w:val="none"/>
        </w:rPr>
        <w:t>有权要求乙方对缺陷部分予以修复，并按合同约定享有货物保修及其他合同约定的权利。</w:t>
      </w:r>
    </w:p>
    <w:p>
      <w:pPr>
        <w:snapToGrid w:val="0"/>
        <w:spacing w:line="400" w:lineRule="exact"/>
        <w:ind w:firstLine="420" w:firstLineChars="200"/>
        <w:rPr>
          <w:rFonts w:eastAsia="华文楷体"/>
          <w:highlight w:val="none"/>
        </w:rPr>
      </w:pPr>
      <w:r>
        <w:rPr>
          <w:rFonts w:ascii="宋体" w:hAnsi="宋体"/>
          <w:color w:val="000000"/>
          <w:szCs w:val="21"/>
          <w:highlight w:val="none"/>
        </w:rPr>
        <w:t>4.4 甲方应当按照合同约定及时对交付的货物进行验收</w:t>
      </w:r>
      <w:r>
        <w:rPr>
          <w:rFonts w:ascii="宋体" w:hAnsi="宋体" w:hint="eastAsia"/>
          <w:color w:val="000000"/>
          <w:szCs w:val="21"/>
          <w:highlight w:val="none"/>
        </w:rPr>
        <w:t>，</w:t>
      </w:r>
      <w:r>
        <w:rPr>
          <w:rFonts w:ascii="宋体" w:hAnsi="宋体" w:cs="宋体" w:hint="eastAsia"/>
          <w:szCs w:val="21"/>
          <w:highlight w:val="none"/>
        </w:rPr>
        <w:t>未</w:t>
      </w:r>
      <w:r>
        <w:rPr>
          <w:rFonts w:ascii="宋体" w:hAnsi="宋体" w:hint="eastAsia"/>
          <w:color w:val="000000"/>
          <w:szCs w:val="21"/>
          <w:highlight w:val="none"/>
        </w:rPr>
        <w:t>在</w:t>
      </w:r>
      <w:r>
        <w:rPr>
          <w:rFonts w:ascii="宋体" w:hAnsi="宋体" w:cs="宋体" w:hint="eastAsia"/>
          <w:b/>
          <w:bCs/>
          <w:szCs w:val="21"/>
          <w:highlight w:val="none"/>
        </w:rPr>
        <w:t>【政府采购合同专用条款】</w:t>
      </w:r>
      <w:r>
        <w:rPr>
          <w:rFonts w:ascii="宋体" w:hAnsi="宋体" w:cs="宋体" w:hint="eastAsia"/>
          <w:szCs w:val="21"/>
          <w:highlight w:val="none"/>
        </w:rPr>
        <w:t>约定的期限内对乙方履约提出任何异议或者向乙方作出任何说明的，</w:t>
      </w:r>
      <w:r>
        <w:rPr>
          <w:rFonts w:ascii="宋体" w:hAnsi="宋体" w:hint="eastAsia"/>
          <w:color w:val="000000"/>
          <w:szCs w:val="21"/>
          <w:highlight w:val="none"/>
        </w:rPr>
        <w:t>视为验收通过。</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color w:val="000000"/>
          <w:szCs w:val="21"/>
          <w:highlight w:val="none"/>
        </w:rPr>
        <w:t>4</w:t>
      </w:r>
      <w:r>
        <w:rPr>
          <w:rFonts w:ascii="宋体" w:hAnsi="宋体" w:hint="eastAsia"/>
          <w:color w:val="000000"/>
          <w:szCs w:val="21"/>
          <w:highlight w:val="none"/>
        </w:rPr>
        <w:t>.</w:t>
      </w:r>
      <w:r>
        <w:rPr>
          <w:rFonts w:ascii="宋体" w:hAnsi="宋体"/>
          <w:color w:val="000000"/>
          <w:szCs w:val="21"/>
          <w:highlight w:val="none"/>
        </w:rPr>
        <w:t xml:space="preserve">5 </w:t>
      </w:r>
      <w:r>
        <w:rPr>
          <w:rFonts w:ascii="宋体" w:hAnsi="宋体" w:hint="eastAsia"/>
          <w:color w:val="000000"/>
          <w:szCs w:val="21"/>
          <w:highlight w:val="none"/>
        </w:rPr>
        <w:t>甲方应当根据合同约定及时向乙方支付合同价款</w:t>
      </w:r>
      <w:r>
        <w:rPr>
          <w:rFonts w:ascii="宋体" w:hAnsi="宋体"/>
          <w:color w:val="000000"/>
          <w:szCs w:val="21"/>
          <w:highlight w:val="none"/>
        </w:rPr>
        <w:t>，不得以内部人员变更、履行内部付款流程等为由，拒绝或迟延支付。</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4.6</w:t>
      </w:r>
      <w:r>
        <w:rPr>
          <w:rFonts w:ascii="宋体" w:hAnsi="宋体"/>
          <w:color w:val="000000"/>
          <w:szCs w:val="21"/>
          <w:highlight w:val="none"/>
        </w:rPr>
        <w:t xml:space="preserve"> </w:t>
      </w:r>
      <w:r>
        <w:rPr>
          <w:rFonts w:ascii="宋体" w:hAnsi="宋体" w:hint="eastAsia"/>
          <w:color w:val="000000"/>
          <w:szCs w:val="21"/>
          <w:highlight w:val="none"/>
        </w:rPr>
        <w:t>国家法律法规规定及</w:t>
      </w:r>
      <w:r>
        <w:rPr>
          <w:rFonts w:ascii="宋体" w:hAnsi="宋体" w:cs="宋体" w:hint="eastAsia"/>
          <w:b/>
          <w:bCs/>
          <w:szCs w:val="21"/>
          <w:highlight w:val="none"/>
        </w:rPr>
        <w:t>【政府采购合同专用条款】</w:t>
      </w:r>
      <w:r>
        <w:rPr>
          <w:rFonts w:ascii="宋体" w:hAnsi="宋体" w:hint="eastAsia"/>
          <w:color w:val="000000"/>
          <w:szCs w:val="21"/>
          <w:highlight w:val="none"/>
        </w:rPr>
        <w:t>约定应由甲方承担的其他义务和责任。</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5. 乙方的权利和义务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5.1 </w:t>
      </w:r>
      <w:r>
        <w:rPr>
          <w:rFonts w:ascii="宋体" w:hAnsi="宋体"/>
          <w:color w:val="000000"/>
          <w:szCs w:val="21"/>
          <w:highlight w:val="none"/>
        </w:rPr>
        <w:t>签署合同后，乙方</w:t>
      </w:r>
      <w:r>
        <w:rPr>
          <w:rFonts w:ascii="宋体" w:hAnsi="宋体" w:hint="eastAsia"/>
          <w:color w:val="000000"/>
          <w:szCs w:val="21"/>
          <w:highlight w:val="none"/>
        </w:rPr>
        <w:t>应</w:t>
      </w:r>
      <w:r>
        <w:rPr>
          <w:rFonts w:ascii="宋体" w:hAnsi="宋体"/>
          <w:color w:val="000000"/>
          <w:szCs w:val="21"/>
          <w:highlight w:val="none"/>
        </w:rPr>
        <w:t>确定</w:t>
      </w:r>
      <w:r>
        <w:rPr>
          <w:rFonts w:ascii="宋体" w:hAnsi="宋体" w:hint="eastAsia"/>
          <w:color w:val="000000"/>
          <w:szCs w:val="21"/>
          <w:highlight w:val="none"/>
        </w:rPr>
        <w:t>项目负责人（或项目联系人）</w:t>
      </w:r>
      <w:r>
        <w:rPr>
          <w:rFonts w:ascii="宋体" w:hAnsi="宋体"/>
          <w:color w:val="000000"/>
          <w:szCs w:val="21"/>
          <w:highlight w:val="none"/>
        </w:rPr>
        <w:t>，负责与本合同有关的事务。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2 乙方应按照合同要求</w:t>
      </w:r>
      <w:r>
        <w:rPr>
          <w:rFonts w:ascii="宋体" w:hAnsi="宋体" w:hint="eastAsia"/>
          <w:color w:val="000000"/>
          <w:szCs w:val="21"/>
          <w:highlight w:val="none"/>
        </w:rPr>
        <w:t>履约</w:t>
      </w:r>
      <w:r>
        <w:rPr>
          <w:rFonts w:ascii="宋体" w:hAnsi="宋体"/>
          <w:color w:val="000000"/>
          <w:szCs w:val="21"/>
          <w:highlight w:val="none"/>
        </w:rPr>
        <w:t>，充分合理安排，确保</w:t>
      </w:r>
      <w:r>
        <w:rPr>
          <w:rFonts w:ascii="宋体" w:hAnsi="宋体" w:hint="eastAsia"/>
          <w:color w:val="000000"/>
          <w:szCs w:val="21"/>
          <w:highlight w:val="none"/>
        </w:rPr>
        <w:t>提供的货物及相关服务符合合同有关</w:t>
      </w:r>
      <w:r>
        <w:rPr>
          <w:rFonts w:ascii="宋体" w:hAnsi="宋体"/>
          <w:color w:val="000000"/>
          <w:szCs w:val="21"/>
          <w:highlight w:val="none"/>
        </w:rPr>
        <w:t>要求</w:t>
      </w:r>
      <w:r>
        <w:rPr>
          <w:rFonts w:ascii="宋体" w:hAnsi="宋体" w:hint="eastAsia"/>
          <w:color w:val="000000"/>
          <w:szCs w:val="21"/>
          <w:highlight w:val="none"/>
        </w:rPr>
        <w:t>。接受项目行业管理部门及政府有关部门的指导，配合甲方的履约检查及验收，并</w:t>
      </w:r>
      <w:r>
        <w:rPr>
          <w:rFonts w:ascii="宋体" w:hAnsi="宋体"/>
          <w:color w:val="000000"/>
          <w:szCs w:val="21"/>
          <w:highlight w:val="none"/>
        </w:rPr>
        <w:t>负责项目实施过程中的所有协调工作。</w:t>
      </w:r>
    </w:p>
    <w:p>
      <w:pPr>
        <w:pStyle w:val="BodyText"/>
        <w:spacing w:after="0" w:line="400" w:lineRule="exact"/>
        <w:ind w:firstLine="370" w:firstLineChars="176"/>
        <w:rPr>
          <w:rFonts w:ascii="宋体" w:hAnsi="宋体" w:cs="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3</w:t>
      </w:r>
      <w:r>
        <w:rPr>
          <w:rFonts w:ascii="宋体" w:hAnsi="宋体" w:hint="eastAsia"/>
          <w:color w:val="000000"/>
          <w:szCs w:val="21"/>
          <w:highlight w:val="none"/>
        </w:rPr>
        <w:t>乙方有权</w:t>
      </w:r>
      <w:r>
        <w:rPr>
          <w:rFonts w:ascii="宋体" w:hAnsi="宋体" w:cs="宋体" w:hint="eastAsia"/>
          <w:color w:val="000000"/>
          <w:szCs w:val="21"/>
          <w:highlight w:val="none"/>
        </w:rPr>
        <w:t>根据合同约定向甲方收取合同价款。</w:t>
      </w:r>
    </w:p>
    <w:p>
      <w:pPr>
        <w:pStyle w:val="BodyText"/>
        <w:spacing w:after="0" w:line="400" w:lineRule="exact"/>
        <w:ind w:firstLine="370" w:firstLineChars="176"/>
        <w:rPr>
          <w:rFonts w:ascii="宋体" w:hAnsi="宋体" w:cs="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4</w:t>
      </w:r>
      <w:r>
        <w:rPr>
          <w:rFonts w:ascii="宋体" w:hAnsi="宋体" w:cs="宋体" w:hint="eastAsia"/>
          <w:color w:val="000000"/>
          <w:szCs w:val="21"/>
          <w:highlight w:val="none"/>
        </w:rPr>
        <w:t>国家法律法规规定</w:t>
      </w:r>
      <w:r>
        <w:rPr>
          <w:rFonts w:ascii="宋体" w:hAnsi="宋体" w:hint="eastAsia"/>
          <w:color w:val="000000"/>
          <w:szCs w:val="21"/>
          <w:highlight w:val="none"/>
        </w:rPr>
        <w:t>及</w:t>
      </w:r>
      <w:r>
        <w:rPr>
          <w:rFonts w:ascii="宋体" w:eastAsia="宋体" w:hAnsi="宋体" w:cs="宋体" w:hint="eastAsia"/>
          <w:b/>
          <w:bCs/>
          <w:szCs w:val="21"/>
          <w:highlight w:val="none"/>
        </w:rPr>
        <w:t>【政府采购合同专用条款】</w:t>
      </w:r>
      <w:r>
        <w:rPr>
          <w:rFonts w:ascii="宋体" w:hAnsi="宋体" w:cs="宋体" w:hint="eastAsia"/>
          <w:szCs w:val="21"/>
          <w:highlight w:val="none"/>
        </w:rPr>
        <w:t>约定应</w:t>
      </w:r>
      <w:r>
        <w:rPr>
          <w:rFonts w:ascii="宋体" w:hAnsi="宋体" w:cs="宋体" w:hint="eastAsia"/>
          <w:color w:val="000000"/>
          <w:szCs w:val="21"/>
          <w:highlight w:val="none"/>
        </w:rPr>
        <w:t>由乙方承担的其他义务和责任。</w:t>
      </w:r>
    </w:p>
    <w:p>
      <w:pPr>
        <w:numPr>
          <w:ilvl w:val="0"/>
          <w:numId w:val="9"/>
        </w:num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合同履行</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6.1 甲乙双方应当按照</w:t>
      </w:r>
      <w:r>
        <w:rPr>
          <w:rFonts w:ascii="宋体" w:hAnsi="宋体" w:cs="宋体" w:hint="eastAsia"/>
          <w:b/>
          <w:bCs/>
          <w:szCs w:val="21"/>
          <w:highlight w:val="none"/>
        </w:rPr>
        <w:t>【政府采购合同专用条款】</w:t>
      </w:r>
      <w:r>
        <w:rPr>
          <w:rFonts w:ascii="宋体" w:hAnsi="宋体" w:hint="eastAsia"/>
          <w:color w:val="000000"/>
          <w:szCs w:val="21"/>
          <w:highlight w:val="none"/>
        </w:rPr>
        <w:t>约定顺序履行合同义务；如果没有先后顺序的，应当同时履行。</w:t>
      </w:r>
    </w:p>
    <w:p>
      <w:pPr>
        <w:autoSpaceDE w:val="0"/>
        <w:autoSpaceDN w:val="0"/>
        <w:adjustRightInd w:val="0"/>
        <w:snapToGrid w:val="0"/>
        <w:spacing w:line="400" w:lineRule="exact"/>
        <w:ind w:firstLine="420" w:firstLineChars="200"/>
        <w:jc w:val="left"/>
        <w:rPr>
          <w:highlight w:val="none"/>
        </w:rPr>
      </w:pPr>
      <w:r>
        <w:rPr>
          <w:rFonts w:ascii="宋体" w:hAnsi="宋体" w:hint="eastAsia"/>
          <w:color w:val="000000"/>
          <w:szCs w:val="21"/>
          <w:highlight w:val="none"/>
        </w:rPr>
        <w:t>6.2 甲乙双方按照合同约定顺序履行合同义务时，应当先履行一方未履行的，后履行一方有权拒绝其履行请求。先履行一方履行不符合约定的，后履行一方有权拒绝其相应的履行请求。</w:t>
      </w:r>
    </w:p>
    <w:p>
      <w:pPr>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7. 货物包装、运输、保险和交付要求</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7.1 本合同</w:t>
      </w:r>
      <w:r>
        <w:rPr>
          <w:rFonts w:ascii="宋体" w:hAnsi="宋体" w:hint="eastAsia"/>
          <w:bCs/>
          <w:color w:val="000000"/>
          <w:szCs w:val="21"/>
          <w:highlight w:val="none"/>
        </w:rPr>
        <w:t>涉及商品包装、快递包装的，</w:t>
      </w:r>
      <w:r>
        <w:rPr>
          <w:rFonts w:ascii="宋体" w:hAnsi="宋体" w:hint="eastAsia"/>
          <w:color w:val="000000"/>
          <w:szCs w:val="21"/>
          <w:highlight w:val="none"/>
        </w:rPr>
        <w:t>除</w:t>
      </w:r>
      <w:r>
        <w:rPr>
          <w:rFonts w:ascii="宋体" w:hAnsi="宋体" w:hint="eastAsia"/>
          <w:b/>
          <w:color w:val="000000"/>
          <w:szCs w:val="21"/>
          <w:highlight w:val="none"/>
        </w:rPr>
        <w:t>【政府采购合同专用条款】</w:t>
      </w:r>
      <w:r>
        <w:rPr>
          <w:rFonts w:ascii="宋体" w:hAnsi="宋体" w:hint="eastAsia"/>
          <w:bCs/>
          <w:color w:val="000000"/>
          <w:szCs w:val="21"/>
          <w:highlight w:val="none"/>
        </w:rPr>
        <w:t>另有约定外，</w:t>
      </w:r>
      <w:r>
        <w:rPr>
          <w:rFonts w:ascii="宋体" w:hAnsi="宋体" w:hint="eastAsia"/>
          <w:color w:val="000000"/>
          <w:szCs w:val="21"/>
          <w:highlight w:val="none"/>
        </w:rPr>
        <w:t>包装应适应远距离运输、防潮、防震、防锈和防野蛮装卸等要求，确保货物安全无损地运抵</w:t>
      </w:r>
      <w:r>
        <w:rPr>
          <w:rFonts w:ascii="宋体" w:hAnsi="宋体" w:hint="eastAsia"/>
          <w:b/>
          <w:color w:val="000000"/>
          <w:szCs w:val="21"/>
          <w:highlight w:val="none"/>
        </w:rPr>
        <w:t>【政府采购合同专用条款】</w:t>
      </w:r>
      <w:r>
        <w:rPr>
          <w:rFonts w:ascii="宋体" w:hAnsi="宋体" w:hint="eastAsia"/>
          <w:bCs/>
          <w:color w:val="000000"/>
          <w:szCs w:val="21"/>
          <w:highlight w:val="none"/>
        </w:rPr>
        <w:t>约定的</w:t>
      </w:r>
      <w:r>
        <w:rPr>
          <w:rFonts w:ascii="宋体" w:hAnsi="宋体" w:hint="eastAsia"/>
          <w:color w:val="000000"/>
          <w:szCs w:val="21"/>
          <w:highlight w:val="none"/>
        </w:rPr>
        <w:t>指定现场。</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7.2 除</w:t>
      </w:r>
      <w:r>
        <w:rPr>
          <w:rFonts w:ascii="宋体" w:hAnsi="宋体" w:hint="eastAsia"/>
          <w:b/>
          <w:color w:val="000000"/>
          <w:szCs w:val="21"/>
          <w:highlight w:val="none"/>
        </w:rPr>
        <w:t>【政府采购合同专用条款】</w:t>
      </w:r>
      <w:r>
        <w:rPr>
          <w:rFonts w:ascii="宋体" w:hAnsi="宋体" w:hint="eastAsia"/>
          <w:bCs/>
          <w:color w:val="000000"/>
          <w:szCs w:val="21"/>
          <w:highlight w:val="none"/>
        </w:rPr>
        <w:t>另有约定外，</w:t>
      </w:r>
      <w:r>
        <w:rPr>
          <w:rFonts w:ascii="宋体" w:hAnsi="宋体" w:hint="eastAsia"/>
          <w:color w:val="000000"/>
          <w:szCs w:val="21"/>
          <w:highlight w:val="none"/>
        </w:rPr>
        <w:t>乙方负责办理将货物运抵本合同规定的交货地点，并装卸、交付至甲方的一切运输事项，相关费用应包含在合同价款中。</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7.3 货物保险要求按</w:t>
      </w:r>
      <w:r>
        <w:rPr>
          <w:rFonts w:ascii="宋体" w:hAnsi="宋体" w:hint="eastAsia"/>
          <w:b/>
          <w:color w:val="000000"/>
          <w:szCs w:val="21"/>
          <w:highlight w:val="none"/>
        </w:rPr>
        <w:t>【政府采购合同专用条款】</w:t>
      </w:r>
      <w:r>
        <w:rPr>
          <w:rFonts w:ascii="宋体" w:hAnsi="宋体" w:hint="eastAsia"/>
          <w:bCs/>
          <w:color w:val="000000"/>
          <w:szCs w:val="21"/>
          <w:highlight w:val="none"/>
        </w:rPr>
        <w:t>规定执行</w:t>
      </w:r>
      <w:r>
        <w:rPr>
          <w:rFonts w:ascii="宋体" w:hAnsi="宋体" w:hint="eastAsia"/>
          <w:color w:val="000000"/>
          <w:szCs w:val="21"/>
          <w:highlight w:val="none"/>
        </w:rPr>
        <w:t>。</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7.5 </w:t>
      </w:r>
      <w:r>
        <w:rPr>
          <w:rFonts w:ascii="宋体" w:hAnsi="宋体" w:cs="宋体" w:hint="eastAsia"/>
          <w:color w:val="000000"/>
          <w:szCs w:val="21"/>
          <w:highlight w:val="none"/>
        </w:rPr>
        <w:t>乙方在运输到达之前应提前通知甲方，并提示货物运输装卸的注意事项，甲方配合乙方做好货物的接收工作。</w:t>
      </w:r>
    </w:p>
    <w:p>
      <w:pPr>
        <w:pStyle w:val="AONormal"/>
        <w:ind w:firstLine="420"/>
        <w:rPr>
          <w:sz w:val="21"/>
          <w:highlight w:val="none"/>
        </w:rPr>
      </w:pPr>
      <w:r>
        <w:rPr>
          <w:rFonts w:ascii="宋体" w:eastAsia="宋体" w:hAnsi="宋体" w:cs="Times New Roman" w:hint="eastAsia"/>
          <w:color w:val="000000"/>
          <w:kern w:val="2"/>
          <w:sz w:val="21"/>
          <w:highlight w:val="none"/>
        </w:rPr>
        <w:t>7.6 如因包装、运输问题导致货物损毁、丢失或者品质下降，甲方有权要求降价、换货、拒收部分或整批货物，由此产生的费用和损失，均由乙方承担。</w:t>
      </w:r>
    </w:p>
    <w:p>
      <w:pPr>
        <w:adjustRightInd w:val="0"/>
        <w:snapToGrid w:val="0"/>
        <w:spacing w:line="400" w:lineRule="exact"/>
        <w:jc w:val="left"/>
        <w:rPr>
          <w:rFonts w:ascii="宋体" w:hAnsi="宋体"/>
          <w:b/>
          <w:highlight w:val="none"/>
        </w:rPr>
      </w:pPr>
      <w:r>
        <w:rPr>
          <w:rFonts w:ascii="宋体" w:hAnsi="宋体" w:hint="eastAsia"/>
          <w:b/>
          <w:color w:val="000000"/>
          <w:sz w:val="24"/>
          <w:highlight w:val="none"/>
        </w:rPr>
        <w:t xml:space="preserve">8. </w:t>
      </w:r>
      <w:r>
        <w:rPr>
          <w:rFonts w:ascii="宋体" w:hAnsi="宋体" w:hint="eastAsia"/>
          <w:b/>
          <w:sz w:val="24"/>
          <w:highlight w:val="none"/>
        </w:rPr>
        <w:t>质量标准和保证</w:t>
      </w:r>
    </w:p>
    <w:p>
      <w:pPr>
        <w:pStyle w:val="PlainText"/>
        <w:adjustRightInd w:val="0"/>
        <w:snapToGrid w:val="0"/>
        <w:spacing w:line="400" w:lineRule="exact"/>
        <w:ind w:firstLine="420" w:firstLineChars="200"/>
        <w:jc w:val="left"/>
        <w:rPr>
          <w:rFonts w:hAnsi="宋体"/>
          <w:b/>
          <w:highlight w:val="none"/>
        </w:rPr>
      </w:pPr>
      <w:r>
        <w:rPr>
          <w:rFonts w:hAnsi="宋体" w:hint="eastAsia"/>
          <w:highlight w:val="none"/>
        </w:rPr>
        <w:t>8.1 质量标准</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（1）本合同下提供的货物应符合合同</w:t>
      </w:r>
      <w:r>
        <w:rPr>
          <w:rFonts w:ascii="宋体" w:hAnsi="宋体" w:cs="宋体" w:hint="eastAsia"/>
          <w:color w:val="000000"/>
          <w:szCs w:val="21"/>
          <w:highlight w:val="none"/>
        </w:rPr>
        <w:t>约定的</w:t>
      </w:r>
      <w:r>
        <w:rPr>
          <w:rFonts w:ascii="宋体" w:hAnsi="宋体" w:cs="宋体" w:hint="eastAsia"/>
          <w:szCs w:val="21"/>
          <w:highlight w:val="none"/>
        </w:rPr>
        <w:t>品牌、规格型号、技术性能、配置、质量、数量等要求。</w:t>
      </w:r>
      <w:r>
        <w:rPr>
          <w:rFonts w:ascii="宋体" w:hAnsi="宋体" w:hint="eastAsia"/>
          <w:szCs w:val="21"/>
          <w:highlight w:val="none"/>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pPr>
        <w:pStyle w:val="PlainText"/>
        <w:adjustRightInd w:val="0"/>
        <w:snapToGrid w:val="0"/>
        <w:spacing w:line="400" w:lineRule="exact"/>
        <w:ind w:firstLine="420" w:firstLineChars="200"/>
        <w:jc w:val="left"/>
        <w:rPr>
          <w:rFonts w:hAnsi="宋体"/>
          <w:highlight w:val="none"/>
        </w:rPr>
      </w:pPr>
      <w:r>
        <w:rPr>
          <w:rFonts w:hAnsi="宋体" w:hint="eastAsia"/>
          <w:highlight w:val="none"/>
        </w:rPr>
        <w:t>（2）采用中华人民共和国法定计量单位。</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（3）乙方所提供的货物应符合国家有关安全、环保、卫生的规定。</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（4）乙方应向甲方提交所提供货物的技术文件，包括相应的中文技术文件，如：产品目录、图纸、操作手册、使用说明、维护手册或服务指南等。上述文件应包装好随货物一同发运。</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8.2 保证</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（1）乙方应保证提供的货物完全符合合同规定的质量、规格和性能要求。乙方应保证货物在正确安装、正常使用和保养条件下，</w:t>
      </w:r>
      <w:r>
        <w:rPr>
          <w:rFonts w:ascii="宋体" w:hAnsi="宋体" w:cs="宋体" w:hint="eastAsia"/>
          <w:szCs w:val="21"/>
          <w:highlight w:val="none"/>
        </w:rPr>
        <w:t>在其使用寿命期内具备合同约定的性能</w:t>
      </w:r>
      <w:r>
        <w:rPr>
          <w:rFonts w:ascii="宋体" w:hAnsi="宋体" w:hint="eastAsia"/>
          <w:szCs w:val="21"/>
          <w:highlight w:val="none"/>
        </w:rPr>
        <w:t>。存在质量保证期的，货物最终交付验收合格后在</w:t>
      </w:r>
      <w:r>
        <w:rPr>
          <w:rFonts w:ascii="宋体" w:hAnsi="宋体" w:hint="eastAsia"/>
          <w:b/>
          <w:szCs w:val="21"/>
          <w:highlight w:val="none"/>
        </w:rPr>
        <w:t>【政府采购合同专用条款】</w:t>
      </w:r>
      <w:r>
        <w:rPr>
          <w:rFonts w:ascii="宋体" w:hAnsi="宋体" w:hint="eastAsia"/>
          <w:szCs w:val="21"/>
          <w:highlight w:val="none"/>
        </w:rPr>
        <w:t>规定或乙方书面承诺（两者以较长的为准）的质量保证期内，本保证保持有效。</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（2）在质量保证期内所发现的缺陷，甲方应尽快以书面形式通知乙方。</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（3）乙方收到通知后，应在</w:t>
      </w:r>
      <w:r>
        <w:rPr>
          <w:rFonts w:ascii="宋体" w:hAnsi="宋体" w:hint="eastAsia"/>
          <w:b/>
          <w:szCs w:val="21"/>
          <w:highlight w:val="none"/>
        </w:rPr>
        <w:t>【政府采购合同专用条款】</w:t>
      </w:r>
      <w:r>
        <w:rPr>
          <w:rFonts w:ascii="宋体" w:hAnsi="宋体" w:hint="eastAsia"/>
          <w:szCs w:val="21"/>
          <w:highlight w:val="none"/>
        </w:rPr>
        <w:t>规定的响应时间内以合理的速度免费维修或更换有缺陷的货物或部件。</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（4）在质量保证期内，如果货物的质量或规格与合同不符，或证实货物是有缺陷的，包括潜在的缺陷或使用不符合要求的材料等，甲方可以根据本合同第1</w:t>
      </w:r>
      <w:r>
        <w:rPr>
          <w:rFonts w:ascii="宋体" w:hAnsi="宋体" w:hint="eastAsia"/>
          <w:color w:val="000000"/>
          <w:szCs w:val="21"/>
          <w:highlight w:val="none"/>
        </w:rPr>
        <w:t>5</w:t>
      </w:r>
      <w:r>
        <w:rPr>
          <w:rFonts w:ascii="宋体" w:hAnsi="宋体" w:hint="eastAsia"/>
          <w:szCs w:val="21"/>
          <w:highlight w:val="none"/>
        </w:rPr>
        <w:t>.1条规定以书面形式</w:t>
      </w:r>
      <w:r>
        <w:rPr>
          <w:rFonts w:ascii="宋体" w:hAnsi="宋体" w:hint="eastAsia"/>
          <w:color w:val="000000"/>
          <w:szCs w:val="21"/>
          <w:highlight w:val="none"/>
        </w:rPr>
        <w:t>追究</w:t>
      </w:r>
      <w:r>
        <w:rPr>
          <w:rFonts w:ascii="宋体" w:hAnsi="宋体" w:hint="eastAsia"/>
          <w:szCs w:val="21"/>
          <w:highlight w:val="none"/>
        </w:rPr>
        <w:t>乙方</w:t>
      </w:r>
      <w:r>
        <w:rPr>
          <w:rFonts w:ascii="宋体" w:hAnsi="宋体" w:hint="eastAsia"/>
          <w:color w:val="000000"/>
          <w:szCs w:val="21"/>
          <w:highlight w:val="none"/>
        </w:rPr>
        <w:t>的违约责任</w:t>
      </w:r>
      <w:r>
        <w:rPr>
          <w:rFonts w:ascii="宋体" w:hAnsi="宋体" w:hint="eastAsia"/>
          <w:szCs w:val="21"/>
          <w:highlight w:val="none"/>
        </w:rPr>
        <w:t>。</w:t>
      </w:r>
    </w:p>
    <w:p>
      <w:pPr>
        <w:adjustRightInd w:val="0"/>
        <w:snapToGrid w:val="0"/>
        <w:spacing w:line="400" w:lineRule="exact"/>
        <w:ind w:firstLine="420" w:firstLineChars="200"/>
        <w:jc w:val="left"/>
        <w:rPr>
          <w:highlight w:val="none"/>
        </w:rPr>
      </w:pPr>
      <w:r>
        <w:rPr>
          <w:rFonts w:ascii="宋体" w:hAnsi="宋体" w:hint="eastAsia"/>
          <w:szCs w:val="21"/>
          <w:highlight w:val="none"/>
        </w:rPr>
        <w:t>（5）乙方在约定的时间内未能弥补缺陷，甲方可采取必要的补救措施，但其风险和费用将由乙方承担，甲方根据合同约定对乙方行使的其他权利不受影响。</w:t>
      </w:r>
    </w:p>
    <w:p>
      <w:pPr>
        <w:adjustRightInd w:val="0"/>
        <w:snapToGrid w:val="0"/>
        <w:spacing w:line="400" w:lineRule="exact"/>
        <w:jc w:val="left"/>
        <w:rPr>
          <w:rFonts w:ascii="宋体" w:hAnsi="宋体"/>
          <w:b/>
          <w:bCs/>
          <w:highlight w:val="none"/>
        </w:rPr>
      </w:pPr>
      <w:r>
        <w:rPr>
          <w:rFonts w:ascii="宋体" w:hAnsi="宋体" w:hint="eastAsia"/>
          <w:b/>
          <w:bCs/>
          <w:color w:val="000000"/>
          <w:sz w:val="24"/>
          <w:highlight w:val="none"/>
        </w:rPr>
        <w:t>9</w:t>
      </w:r>
      <w:r>
        <w:rPr>
          <w:rFonts w:ascii="宋体" w:hAnsi="宋体" w:hint="eastAsia"/>
          <w:b/>
          <w:bCs/>
          <w:sz w:val="24"/>
          <w:highlight w:val="none"/>
        </w:rPr>
        <w:t>.</w:t>
      </w:r>
      <w:r>
        <w:rPr>
          <w:rFonts w:ascii="宋体" w:hAnsi="宋体" w:hint="eastAsia"/>
          <w:b/>
          <w:bCs/>
          <w:color w:val="000000"/>
          <w:sz w:val="24"/>
          <w:highlight w:val="none"/>
        </w:rPr>
        <w:t xml:space="preserve"> </w:t>
      </w:r>
      <w:r>
        <w:rPr>
          <w:rFonts w:ascii="宋体" w:hAnsi="宋体" w:hint="eastAsia"/>
          <w:b/>
          <w:bCs/>
          <w:sz w:val="24"/>
          <w:highlight w:val="none"/>
        </w:rPr>
        <w:t>权利瑕疵担保</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9.1 乙方保证对其出售的货物享有合法的权利。</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9.2 </w:t>
      </w:r>
      <w:r>
        <w:rPr>
          <w:rFonts w:ascii="宋体" w:hAnsi="宋体" w:cs="宋体" w:hint="eastAsia"/>
          <w:szCs w:val="15"/>
          <w:highlight w:val="none"/>
        </w:rPr>
        <w:t>乙方保证在交付的货物上不存在抵押权等担保物权。</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9.3 如甲方使用上述货物构成对第三人侵权的，则由乙方承担全部责任。</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10. 知识产权保护</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color w:val="000000"/>
          <w:szCs w:val="21"/>
          <w:highlight w:val="none"/>
        </w:rPr>
        <w:t>10.1 乙方对其所销售的货物应当享有知识产权或经权利人合法授权，保证没有侵犯任</w:t>
      </w:r>
      <w:r>
        <w:rPr>
          <w:rFonts w:ascii="宋体" w:hAnsi="宋体" w:hint="eastAsia"/>
          <w:szCs w:val="21"/>
          <w:highlight w:val="none"/>
        </w:rPr>
        <w:t>何第三人的知识产权等权利。</w:t>
      </w:r>
      <w:bookmarkStart w:id="74" w:name="_Hlk163047038"/>
      <w:r>
        <w:rPr>
          <w:rFonts w:ascii="宋体" w:hAnsi="宋体" w:cs="宋体" w:hint="eastAsia"/>
          <w:szCs w:val="15"/>
          <w:highlight w:val="none"/>
        </w:rPr>
        <w:t>因违反前述约定对第三人构成侵权的，应当由乙方向第三人承担法律责任；甲方依法向第三人赔偿后，有权向乙方追偿。甲方有其他损失的，乙方应当赔偿</w:t>
      </w:r>
      <w:bookmarkEnd w:id="74"/>
      <w:r>
        <w:rPr>
          <w:rFonts w:ascii="宋体" w:hAnsi="宋体" w:hint="eastAsia"/>
          <w:szCs w:val="21"/>
          <w:highlight w:val="none"/>
        </w:rPr>
        <w:t>。</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11. 保密义务</w:t>
      </w:r>
    </w:p>
    <w:p>
      <w:pPr>
        <w:autoSpaceDE w:val="0"/>
        <w:autoSpaceDN w:val="0"/>
        <w:adjustRightInd w:val="0"/>
        <w:snapToGrid w:val="0"/>
        <w:spacing w:line="400" w:lineRule="exact"/>
        <w:ind w:firstLine="420" w:firstLineChars="200"/>
        <w:jc w:val="left"/>
        <w:rPr>
          <w:rFonts w:ascii="宋体" w:hAnsi="宋体" w:cs="宋体"/>
          <w:szCs w:val="15"/>
          <w:highlight w:val="none"/>
        </w:rPr>
      </w:pPr>
      <w:r>
        <w:rPr>
          <w:rFonts w:ascii="宋体" w:hAnsi="宋体" w:cs="宋体" w:hint="eastAsia"/>
          <w:szCs w:val="15"/>
          <w:highlight w:val="none"/>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宋体" w:hAnsi="宋体" w:cs="宋体" w:hint="eastAsia"/>
          <w:b/>
          <w:bCs/>
          <w:szCs w:val="15"/>
          <w:highlight w:val="none"/>
        </w:rPr>
        <w:t>【政府采购合同专用条款】</w:t>
      </w:r>
      <w:r>
        <w:rPr>
          <w:rFonts w:ascii="宋体" w:hAnsi="宋体" w:cs="宋体" w:hint="eastAsia"/>
          <w:szCs w:val="15"/>
          <w:highlight w:val="none"/>
        </w:rPr>
        <w:t>中约定。</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12. 合同价款支付</w:t>
      </w:r>
    </w:p>
    <w:p>
      <w:pPr>
        <w:numPr>
          <w:ilvl w:val="1"/>
          <w:numId w:val="10"/>
        </w:numPr>
        <w:adjustRightInd w:val="0"/>
        <w:snapToGrid w:val="0"/>
        <w:spacing w:line="400" w:lineRule="exact"/>
        <w:jc w:val="left"/>
        <w:rPr>
          <w:rFonts w:ascii="宋体" w:hAnsi="宋体"/>
          <w:szCs w:val="21"/>
          <w:highlight w:val="none"/>
        </w:rPr>
      </w:pPr>
      <w:r>
        <w:rPr>
          <w:rFonts w:ascii="宋体" w:hAnsi="宋体" w:hint="eastAsia"/>
          <w:szCs w:val="21"/>
          <w:highlight w:val="none"/>
        </w:rPr>
        <w:t>合同价款支付按照国库集中支付制度及财政管理相关规定执行。</w:t>
      </w:r>
    </w:p>
    <w:p>
      <w:pPr>
        <w:numPr>
          <w:ilvl w:val="0"/>
          <w:numId w:val="0"/>
        </w:numPr>
        <w:spacing w:line="400" w:lineRule="exact"/>
        <w:ind w:firstLine="420" w:firstLineChars="200"/>
        <w:outlineLvl w:val="9"/>
        <w:rPr>
          <w:highlight w:val="none"/>
        </w:rPr>
      </w:pPr>
      <w:r>
        <w:rPr>
          <w:rFonts w:ascii="宋体" w:hAnsi="宋体" w:hint="eastAsia"/>
          <w:b w:val="0"/>
          <w:bCs w:val="0"/>
          <w:sz w:val="21"/>
          <w:szCs w:val="21"/>
          <w:highlight w:val="none"/>
        </w:rPr>
        <w:t xml:space="preserve">12.2 </w:t>
      </w:r>
      <w:r>
        <w:rPr>
          <w:rFonts w:ascii="宋体" w:eastAsia="宋体" w:hAnsi="宋体" w:hint="eastAsia"/>
          <w:b w:val="0"/>
          <w:bCs w:val="0"/>
          <w:sz w:val="21"/>
          <w:szCs w:val="21"/>
          <w:highlight w:val="none"/>
        </w:rPr>
        <w:t>对于满足合同约定支付条件的，甲方原则上应当自收到发票后10个工作日内将资金支付到合同约定的</w:t>
      </w:r>
      <w:r>
        <w:rPr>
          <w:rFonts w:ascii="宋体" w:hAnsi="宋体" w:hint="eastAsia"/>
          <w:b w:val="0"/>
          <w:bCs w:val="0"/>
          <w:sz w:val="21"/>
          <w:szCs w:val="21"/>
          <w:highlight w:val="none"/>
        </w:rPr>
        <w:t>乙方</w:t>
      </w:r>
      <w:r>
        <w:rPr>
          <w:rFonts w:ascii="宋体" w:eastAsia="宋体" w:hAnsi="宋体" w:hint="eastAsia"/>
          <w:b w:val="0"/>
          <w:bCs w:val="0"/>
          <w:sz w:val="21"/>
          <w:szCs w:val="21"/>
          <w:highlight w:val="none"/>
        </w:rPr>
        <w:t>账户，不得以机构变动、人员更替、政策调整等为由迟延付款，不得将采购文件和合同中未规定的义务作为向乙方付款的条件。具体合同价款支付时间在【</w:t>
      </w:r>
      <w:r>
        <w:rPr>
          <w:rFonts w:ascii="宋体" w:eastAsia="宋体" w:hAnsi="宋体" w:hint="eastAsia"/>
          <w:sz w:val="21"/>
          <w:szCs w:val="21"/>
          <w:highlight w:val="none"/>
        </w:rPr>
        <w:t>政府采购合同专用条款</w:t>
      </w:r>
      <w:r>
        <w:rPr>
          <w:rFonts w:ascii="宋体" w:eastAsia="宋体" w:hAnsi="宋体" w:hint="eastAsia"/>
          <w:b w:val="0"/>
          <w:bCs w:val="0"/>
          <w:sz w:val="21"/>
          <w:szCs w:val="21"/>
          <w:highlight w:val="none"/>
        </w:rPr>
        <w:t>】中</w:t>
      </w:r>
      <w:r>
        <w:rPr>
          <w:rFonts w:ascii="宋体" w:hAnsi="宋体" w:hint="eastAsia"/>
          <w:b w:val="0"/>
          <w:bCs w:val="0"/>
          <w:sz w:val="21"/>
          <w:szCs w:val="21"/>
          <w:highlight w:val="none"/>
        </w:rPr>
        <w:t>约</w:t>
      </w:r>
      <w:r>
        <w:rPr>
          <w:rFonts w:ascii="宋体" w:eastAsia="宋体" w:hAnsi="宋体" w:hint="eastAsia"/>
          <w:b w:val="0"/>
          <w:bCs w:val="0"/>
          <w:sz w:val="21"/>
          <w:szCs w:val="21"/>
          <w:highlight w:val="none"/>
        </w:rPr>
        <w:t>定。</w:t>
      </w:r>
    </w:p>
    <w:p>
      <w:pPr>
        <w:pStyle w:val="BodyText"/>
        <w:spacing w:after="0" w:line="400" w:lineRule="exact"/>
        <w:rPr>
          <w:rFonts w:ascii="宋体" w:hAnsi="宋体"/>
          <w:b/>
          <w:bCs/>
          <w:sz w:val="24"/>
          <w:szCs w:val="24"/>
          <w:highlight w:val="none"/>
        </w:rPr>
      </w:pPr>
      <w:r>
        <w:rPr>
          <w:rFonts w:ascii="宋体" w:hAnsi="宋体" w:hint="eastAsia"/>
          <w:b/>
          <w:bCs/>
          <w:color w:val="auto"/>
          <w:sz w:val="24"/>
          <w:szCs w:val="24"/>
          <w:highlight w:val="none"/>
        </w:rPr>
        <w:t>13.</w:t>
      </w:r>
      <w:r>
        <w:rPr>
          <w:rFonts w:ascii="宋体" w:hAnsi="宋体" w:hint="eastAsia"/>
          <w:b/>
          <w:bCs/>
          <w:color w:val="auto"/>
          <w:sz w:val="24"/>
          <w:szCs w:val="24"/>
          <w:highlight w:val="none"/>
          <w:lang w:val="en-US"/>
        </w:rPr>
        <w:t xml:space="preserve"> </w:t>
      </w:r>
      <w:r>
        <w:rPr>
          <w:rFonts w:ascii="宋体" w:hAnsi="宋体" w:hint="eastAsia"/>
          <w:b/>
          <w:bCs/>
          <w:color w:val="auto"/>
          <w:sz w:val="24"/>
          <w:szCs w:val="24"/>
          <w:highlight w:val="none"/>
        </w:rPr>
        <w:t>履约保证金</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 xml:space="preserve">13.1 </w:t>
      </w:r>
      <w:r>
        <w:rPr>
          <w:rFonts w:ascii="宋体" w:hAnsi="宋体" w:cs="宋体" w:hint="eastAsia"/>
          <w:szCs w:val="15"/>
          <w:highlight w:val="none"/>
        </w:rPr>
        <w:t>乙方应当以支票、汇票、本票或者金融机构、担保机构出具的保函等非现金形式提交。</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13.2 如果乙方出现</w:t>
      </w:r>
      <w:r>
        <w:rPr>
          <w:rFonts w:ascii="宋体" w:hAnsi="宋体" w:cs="宋体" w:hint="eastAsia"/>
          <w:b/>
          <w:bCs/>
          <w:szCs w:val="15"/>
          <w:highlight w:val="none"/>
        </w:rPr>
        <w:t>【政府采购合同专用条款】</w:t>
      </w:r>
      <w:r>
        <w:rPr>
          <w:rFonts w:ascii="宋体" w:hAnsi="宋体" w:cs="宋体" w:hint="eastAsia"/>
          <w:szCs w:val="15"/>
          <w:highlight w:val="none"/>
        </w:rPr>
        <w:t>约定情形的</w:t>
      </w:r>
      <w:r>
        <w:rPr>
          <w:rFonts w:ascii="宋体" w:hAnsi="宋体" w:hint="eastAsia"/>
          <w:szCs w:val="21"/>
          <w:highlight w:val="none"/>
        </w:rPr>
        <w:t>，履约保证金不予退还；如果乙方未能按合同约定全面履行义务，甲方有权从履约保证金中取得补偿或赔偿，且不影响甲方要求乙方承担合同约定的超过履约保证金的违约责任的权利。</w:t>
      </w:r>
    </w:p>
    <w:p>
      <w:pPr>
        <w:spacing w:line="400" w:lineRule="exact"/>
        <w:ind w:firstLine="420"/>
        <w:rPr>
          <w:highlight w:val="none"/>
        </w:rPr>
      </w:pPr>
      <w:r>
        <w:rPr>
          <w:rFonts w:ascii="宋体" w:hAnsi="宋体" w:hint="eastAsia"/>
          <w:szCs w:val="21"/>
          <w:highlight w:val="none"/>
        </w:rPr>
        <w:t>13.3 甲方在项目通过验收后按照</w:t>
      </w:r>
      <w:r>
        <w:rPr>
          <w:rFonts w:ascii="宋体" w:hAnsi="宋体" w:hint="eastAsia"/>
          <w:b/>
          <w:szCs w:val="21"/>
          <w:highlight w:val="none"/>
        </w:rPr>
        <w:t>【政府采购合同专用条款】</w:t>
      </w:r>
      <w:r>
        <w:rPr>
          <w:rFonts w:ascii="宋体" w:hAnsi="宋体" w:hint="eastAsia"/>
          <w:szCs w:val="21"/>
          <w:highlight w:val="none"/>
        </w:rPr>
        <w:t>规定的时间内将履约保证金退还乙方；逾期退还的，乙方可要求甲方支付违约金，违约金按照</w:t>
      </w:r>
      <w:r>
        <w:rPr>
          <w:rFonts w:ascii="宋体" w:hAnsi="宋体" w:hint="eastAsia"/>
          <w:b/>
          <w:szCs w:val="21"/>
          <w:highlight w:val="none"/>
        </w:rPr>
        <w:t>【政府采购合同专用条款】</w:t>
      </w:r>
      <w:r>
        <w:rPr>
          <w:rFonts w:ascii="宋体" w:hAnsi="宋体" w:hint="eastAsia"/>
          <w:szCs w:val="21"/>
          <w:highlight w:val="none"/>
        </w:rPr>
        <w:t>规定支付。</w:t>
      </w:r>
    </w:p>
    <w:p>
      <w:pPr>
        <w:autoSpaceDE w:val="0"/>
        <w:autoSpaceDN w:val="0"/>
        <w:adjustRightInd w:val="0"/>
        <w:snapToGrid w:val="0"/>
        <w:spacing w:line="400" w:lineRule="exact"/>
        <w:jc w:val="left"/>
        <w:rPr>
          <w:rFonts w:ascii="宋体" w:hAnsi="宋体"/>
          <w:b/>
          <w:highlight w:val="none"/>
        </w:rPr>
      </w:pPr>
      <w:r>
        <w:rPr>
          <w:rFonts w:ascii="宋体" w:hAnsi="宋体" w:hint="eastAsia"/>
          <w:b/>
          <w:bCs/>
          <w:sz w:val="24"/>
          <w:highlight w:val="none"/>
        </w:rPr>
        <w:t xml:space="preserve">14. </w:t>
      </w:r>
      <w:r>
        <w:rPr>
          <w:rFonts w:hint="eastAsia"/>
          <w:b/>
          <w:sz w:val="24"/>
          <w:highlight w:val="none"/>
        </w:rPr>
        <w:t>售后</w:t>
      </w:r>
      <w:r>
        <w:rPr>
          <w:rFonts w:ascii="宋体" w:hAnsi="宋体" w:hint="eastAsia"/>
          <w:b/>
          <w:sz w:val="24"/>
          <w:highlight w:val="none"/>
        </w:rPr>
        <w:t>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14.1 除项目不涉及或采购活动中明确约定无须承担外，乙方还应提供下列服务：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（1）货物的现场移动、安装、调试、启动监督及技术支持；</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（2）提供货物组装和维修所需的专用工具和辅助材料；</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（3）在</w:t>
      </w:r>
      <w:r>
        <w:rPr>
          <w:rFonts w:ascii="宋体" w:hAnsi="宋体" w:cs="宋体" w:hint="eastAsia"/>
          <w:b/>
          <w:bCs/>
          <w:szCs w:val="15"/>
          <w:highlight w:val="none"/>
        </w:rPr>
        <w:t>【政府采购合同专用条款】</w:t>
      </w:r>
      <w:r>
        <w:rPr>
          <w:rFonts w:ascii="宋体" w:hAnsi="宋体" w:hint="eastAsia"/>
          <w:szCs w:val="21"/>
          <w:highlight w:val="none"/>
        </w:rPr>
        <w:t>约定的期限内对所有的货物实施运行监督、维修，但前提条件是该服务并不能免除乙方在质量保证期内所承担的义务；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（4）在制造商所在地或指定现场就货物的安装、启动、运营、维护、废弃处置等对甲方操作人员进行培训</w:t>
      </w:r>
      <w:r>
        <w:rPr>
          <w:rFonts w:ascii="宋体" w:hAnsi="宋体" w:cs="宋体" w:hint="eastAsia"/>
          <w:szCs w:val="15"/>
          <w:highlight w:val="none"/>
        </w:rPr>
        <w:t>；</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（5）依照法律、行政法规的规定或者按照</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约定，货物在有效使用年限届满后应予回收的，乙方负有自行或者委托第三人对货物予以回收的义务；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（6）</w:t>
      </w:r>
      <w:r>
        <w:rPr>
          <w:rFonts w:ascii="宋体" w:hAnsi="宋体" w:hint="eastAsia"/>
          <w:b/>
          <w:szCs w:val="21"/>
          <w:highlight w:val="none"/>
        </w:rPr>
        <w:t>【政府采购合同专用条款】</w:t>
      </w:r>
      <w:r>
        <w:rPr>
          <w:rFonts w:ascii="宋体" w:hAnsi="宋体" w:hint="eastAsia"/>
          <w:szCs w:val="21"/>
          <w:highlight w:val="none"/>
        </w:rPr>
        <w:t>规定由乙方提供的其他服务。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14.2 乙方提供的售后服务的费用已包含在合同价款中，甲方不再另行支付。</w:t>
      </w:r>
    </w:p>
    <w:p>
      <w:pPr>
        <w:adjustRightInd w:val="0"/>
        <w:snapToGrid w:val="0"/>
        <w:spacing w:line="400" w:lineRule="exact"/>
        <w:jc w:val="left"/>
        <w:rPr>
          <w:rFonts w:ascii="宋体" w:hAnsi="宋体"/>
          <w:b/>
          <w:bCs/>
          <w:highlight w:val="none"/>
        </w:rPr>
      </w:pPr>
      <w:r>
        <w:rPr>
          <w:rFonts w:ascii="宋体" w:hAnsi="宋体" w:hint="eastAsia"/>
          <w:b/>
          <w:bCs/>
          <w:sz w:val="24"/>
          <w:highlight w:val="none"/>
        </w:rPr>
        <w:t>15. 违约责任</w:t>
      </w:r>
    </w:p>
    <w:p>
      <w:pPr>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15.1质量瑕疵的违约责任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乙方提供的产品不符合合同约定的质量标准或存在产品质量缺陷，甲方有权要求乙方根据</w:t>
      </w:r>
      <w:r>
        <w:rPr>
          <w:rFonts w:ascii="宋体" w:hAnsi="宋体" w:hint="eastAsia"/>
          <w:b/>
          <w:szCs w:val="21"/>
          <w:highlight w:val="none"/>
        </w:rPr>
        <w:t>【政府采购合同专用条款】</w:t>
      </w:r>
      <w:r>
        <w:rPr>
          <w:rFonts w:ascii="宋体" w:hAnsi="宋体" w:hint="eastAsia"/>
          <w:bCs/>
          <w:szCs w:val="21"/>
          <w:highlight w:val="none"/>
        </w:rPr>
        <w:t>要求</w:t>
      </w:r>
      <w:r>
        <w:rPr>
          <w:rFonts w:ascii="宋体" w:hAnsi="宋体" w:hint="eastAsia"/>
          <w:szCs w:val="21"/>
          <w:highlight w:val="none"/>
        </w:rPr>
        <w:t>及时修理、重作、更换，并承担由此给甲方造成的损失。</w:t>
      </w:r>
    </w:p>
    <w:p>
      <w:pPr>
        <w:autoSpaceDE w:val="0"/>
        <w:autoSpaceDN w:val="0"/>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15.2 迟延交货的违约责任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（2）如果乙方没有按照合同规定的时间交货和提供相关服务，甲方有权从货款中扣除误期赔偿费而不影响合同项下的其他补救方法，赔偿费按</w:t>
      </w:r>
      <w:r>
        <w:rPr>
          <w:rFonts w:ascii="宋体" w:hAnsi="宋体" w:hint="eastAsia"/>
          <w:b/>
          <w:szCs w:val="21"/>
          <w:highlight w:val="none"/>
        </w:rPr>
        <w:t>【政府采购合同专用条款】</w:t>
      </w:r>
      <w:r>
        <w:rPr>
          <w:rFonts w:ascii="宋体" w:hAnsi="宋体" w:hint="eastAsia"/>
          <w:szCs w:val="21"/>
          <w:highlight w:val="none"/>
        </w:rPr>
        <w:t>规定执行。如果涉及公共利益，且赔偿金额无法弥补公共利益损失，甲方可要求继续履行或者采取其他补救措施。</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15.3 迟延支付的违约责任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甲方存在迟延支付乙方合同款项的，应当承担</w:t>
      </w:r>
      <w:r>
        <w:rPr>
          <w:rFonts w:ascii="宋体" w:hAnsi="宋体" w:hint="eastAsia"/>
          <w:b/>
          <w:bCs/>
          <w:szCs w:val="21"/>
          <w:highlight w:val="none"/>
        </w:rPr>
        <w:t>【政府采购合同专用条款】</w:t>
      </w:r>
      <w:r>
        <w:rPr>
          <w:rFonts w:ascii="宋体" w:hAnsi="宋体" w:hint="eastAsia"/>
          <w:szCs w:val="21"/>
          <w:highlight w:val="none"/>
        </w:rPr>
        <w:t>规定的逾期付款利息。</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bCs/>
          <w:szCs w:val="21"/>
          <w:highlight w:val="none"/>
        </w:rPr>
        <w:t>15.4其他违约责任根据项目实际需要按</w:t>
      </w:r>
      <w:r>
        <w:rPr>
          <w:rFonts w:ascii="宋体" w:hAnsi="宋体" w:hint="eastAsia"/>
          <w:b/>
          <w:bCs/>
          <w:szCs w:val="21"/>
          <w:highlight w:val="none"/>
        </w:rPr>
        <w:t>【政府采购合同专用条款】</w:t>
      </w:r>
      <w:r>
        <w:rPr>
          <w:rFonts w:ascii="宋体" w:hAnsi="宋体" w:hint="eastAsia"/>
          <w:szCs w:val="21"/>
          <w:highlight w:val="none"/>
        </w:rPr>
        <w:t>规定执行。</w:t>
      </w:r>
    </w:p>
    <w:p>
      <w:pPr>
        <w:numPr>
          <w:ilvl w:val="0"/>
          <w:numId w:val="11"/>
        </w:num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合同变更、中止与终止</w:t>
      </w:r>
    </w:p>
    <w:p>
      <w:pPr>
        <w:adjustRightInd w:val="0"/>
        <w:snapToGrid w:val="0"/>
        <w:spacing w:line="400" w:lineRule="exact"/>
        <w:jc w:val="left"/>
        <w:rPr>
          <w:rFonts w:ascii="宋体" w:hAnsi="宋体"/>
          <w:szCs w:val="21"/>
          <w:highlight w:val="none"/>
        </w:rPr>
      </w:pPr>
      <w:r>
        <w:rPr>
          <w:rFonts w:ascii="宋体" w:hAnsi="宋体" w:hint="eastAsia"/>
          <w:szCs w:val="21"/>
          <w:highlight w:val="none"/>
        </w:rPr>
        <w:t xml:space="preserve">    16.1合同的变更</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政府采购合同履行中，在不改变合同其他条款的前提下，甲方可以在合同价款10%的范围内追加与合同标的相同的货物，并就此与乙方协商一致后签订补充协议。</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16.2合同的中止</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（1）合同履行过程中因供应商就采购文件、采购过程或结果提起投诉的，甲方认为有必要的，可以中止合同的履行。</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pPr>
        <w:pStyle w:val="AONormal"/>
        <w:ind w:firstLine="420"/>
        <w:jc w:val="both"/>
        <w:rPr>
          <w:sz w:val="21"/>
          <w:highlight w:val="none"/>
        </w:rPr>
      </w:pPr>
      <w:r>
        <w:rPr>
          <w:rFonts w:ascii="宋体" w:eastAsia="宋体" w:hAnsi="宋体" w:cs="宋体" w:hint="eastAsia"/>
          <w:sz w:val="21"/>
          <w:highlight w:val="none"/>
        </w:rPr>
        <w:t>（3）乙方分立、合并或者变更住所的，应当及时以书面形式告知甲方。乙方没有及时告知甲方，致使合同履行发生困难的，甲方可以中止合同履行并要求乙方承担由此给甲方造成的损失。</w:t>
      </w:r>
    </w:p>
    <w:p>
      <w:pPr>
        <w:snapToGrid w:val="0"/>
        <w:spacing w:line="400" w:lineRule="exact"/>
        <w:ind w:firstLine="420" w:firstLineChars="200"/>
        <w:jc w:val="left"/>
        <w:rPr>
          <w:highlight w:val="none"/>
        </w:rPr>
      </w:pPr>
      <w:r>
        <w:rPr>
          <w:rFonts w:ascii="宋体" w:hAnsi="宋体" w:hint="eastAsia"/>
          <w:szCs w:val="21"/>
          <w:highlight w:val="none"/>
        </w:rPr>
        <w:t>（4）甲方不得以行政区划调整、政府换届、机构或者职能调整以及相关责任人更替为由中止合同。</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16.3合同的终止</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（1）合同因有效期限届满而终止；</w:t>
      </w:r>
    </w:p>
    <w:p>
      <w:pPr>
        <w:snapToGrid w:val="0"/>
        <w:spacing w:line="400" w:lineRule="exact"/>
        <w:ind w:firstLine="420" w:firstLineChars="200"/>
        <w:rPr>
          <w:rFonts w:ascii="宋体" w:hAnsi="宋体" w:cs="宋体"/>
          <w:szCs w:val="21"/>
          <w:highlight w:val="none"/>
        </w:rPr>
      </w:pPr>
      <w:r>
        <w:rPr>
          <w:rFonts w:ascii="宋体" w:hAnsi="宋体" w:hint="eastAsia"/>
          <w:szCs w:val="21"/>
          <w:highlight w:val="none"/>
        </w:rPr>
        <w:t>（2）乙方未按合同约定履行，构成根本性违约的，甲方有权终止合同，</w:t>
      </w:r>
      <w:r>
        <w:rPr>
          <w:rFonts w:ascii="宋体" w:hAnsi="宋体" w:cs="宋体" w:hint="eastAsia"/>
          <w:szCs w:val="21"/>
          <w:highlight w:val="none"/>
        </w:rPr>
        <w:t>并追究乙方的违约责任</w:t>
      </w:r>
      <w:r>
        <w:rPr>
          <w:rFonts w:ascii="宋体" w:hAnsi="宋体" w:hint="eastAsia"/>
          <w:szCs w:val="21"/>
          <w:highlight w:val="none"/>
        </w:rPr>
        <w:t>。</w:t>
      </w:r>
    </w:p>
    <w:p>
      <w:pPr>
        <w:pStyle w:val="AONormal"/>
        <w:rPr>
          <w:rFonts w:ascii="宋体" w:hAnsi="宋体"/>
          <w:highlight w:val="none"/>
        </w:rPr>
      </w:pPr>
      <w:r>
        <w:rPr>
          <w:rFonts w:ascii="宋体" w:hAnsi="宋体" w:hint="eastAsia"/>
          <w:highlight w:val="none"/>
        </w:rPr>
        <w:t xml:space="preserve">16.4 </w:t>
      </w:r>
      <w:r>
        <w:rPr>
          <w:rFonts w:ascii="宋体" w:eastAsia="宋体" w:hAnsi="宋体" w:cs="Times New Roman" w:hint="eastAsia"/>
          <w:kern w:val="2"/>
          <w:sz w:val="21"/>
          <w:highlight w:val="none"/>
        </w:rPr>
        <w:t>涉及国家利益、社会公共利益的情形</w:t>
      </w:r>
    </w:p>
    <w:p>
      <w:pPr>
        <w:pStyle w:val="AONormal"/>
        <w:ind w:firstLine="420"/>
        <w:jc w:val="both"/>
        <w:rPr>
          <w:sz w:val="21"/>
          <w:highlight w:val="none"/>
        </w:rPr>
      </w:pPr>
      <w:r>
        <w:rPr>
          <w:rFonts w:ascii="宋体" w:eastAsia="宋体" w:hAnsi="宋体" w:cs="宋体" w:hint="eastAsia"/>
          <w:sz w:val="21"/>
          <w:highlight w:val="none"/>
        </w:rPr>
        <w:t>政府采购合同继续履行将损害国家利益和社会公共利益的，双方当事人应当变更、中止或者终止合同。有过错的一方应当承担赔偿责任，双方都有过错的，各自承担相应的责任。</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17. 合同分包</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17.1 乙方不得将合同转包给其他供应商。涉及合同分包的，乙方应根据采购文件和投标（响应）文件规定进行合同分包。</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17.2 乙方执行政府采购政策向中小企业依法分包的，乙方应当按采购文件和投标（响应）文件签订分包意向协议，分包意向协议属于本合同组成部分。</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18. 不可抗力</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18.1 不可抗力是指合同双方不能预见、不能避免且不能克服的客观情况。</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18.2 任何一方对由于不可抗力造成的部分或全部不能履行合同不承担违约责任。但迟延履行后发生不可抗力的，不能免除责任。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19. 解决争议的方法</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19.1 因本合同及合同有关事项发生的争议，由甲乙双方友好协商解决。协商不成时，可以向有关组织申请调解。合同一方或双方不愿调解或调解不成的，可以通过仲裁或诉讼的方式解决争议。</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19.2 选择仲裁的，应在</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中明确仲裁机构及仲裁地；通过诉讼方式解决的，可以在</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中进一步约定选择与争议有实际联系的地点的人民法院管辖，但管辖法院的约定不得违反级别管辖和专属管辖的规定。</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19.3 如甲乙双方有争议的事项不影响合同其他部分的履行，在争议解决期间，合同其他部分应当继续履行。</w:t>
      </w:r>
    </w:p>
    <w:p>
      <w:pPr>
        <w:autoSpaceDE w:val="0"/>
        <w:autoSpaceDN w:val="0"/>
        <w:adjustRightInd w:val="0"/>
        <w:snapToGrid w:val="0"/>
        <w:spacing w:line="400" w:lineRule="exact"/>
        <w:jc w:val="left"/>
        <w:rPr>
          <w:rFonts w:ascii="宋体" w:hAnsi="宋体"/>
          <w:highlight w:val="none"/>
        </w:rPr>
      </w:pPr>
      <w:r>
        <w:rPr>
          <w:rFonts w:ascii="宋体" w:hAnsi="宋体" w:hint="eastAsia"/>
          <w:b/>
          <w:sz w:val="24"/>
          <w:highlight w:val="none"/>
        </w:rPr>
        <w:t>20. 政府采购政策</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 xml:space="preserve">20.1 </w:t>
      </w:r>
      <w:r>
        <w:rPr>
          <w:rFonts w:ascii="宋体" w:hAnsi="宋体" w:cs="宋体" w:hint="eastAsia"/>
          <w:highlight w:val="none"/>
          <w:lang w:val="en-GB"/>
        </w:rPr>
        <w:t>本合同应当按照规定执行政府采购政策。</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szCs w:val="21"/>
          <w:highlight w:val="none"/>
        </w:rPr>
        <w:t>2</w:t>
      </w:r>
      <w:r>
        <w:rPr>
          <w:rFonts w:ascii="宋体" w:hAnsi="宋体" w:hint="eastAsia"/>
          <w:szCs w:val="21"/>
          <w:highlight w:val="none"/>
        </w:rPr>
        <w:t>0.2 本合同依法执行政府采购政策的方式和内容，属于合同履约验收的范围。</w:t>
      </w:r>
      <w:r>
        <w:rPr>
          <w:rFonts w:ascii="宋体" w:hAnsi="宋体" w:cs="宋体" w:hint="eastAsia"/>
          <w:highlight w:val="none"/>
        </w:rPr>
        <w:t>甲乙双方</w:t>
      </w:r>
      <w:r>
        <w:rPr>
          <w:rFonts w:ascii="宋体" w:hAnsi="宋体" w:cs="宋体" w:hint="eastAsia"/>
          <w:highlight w:val="none"/>
          <w:lang w:val="en-GB"/>
        </w:rPr>
        <w:t>未按规定要求执行政府采购政策造成损失的</w:t>
      </w:r>
      <w:r>
        <w:rPr>
          <w:rFonts w:ascii="宋体" w:hAnsi="宋体" w:hint="eastAsia"/>
          <w:szCs w:val="21"/>
          <w:highlight w:val="none"/>
        </w:rPr>
        <w:t>，有过错的一方应当承担赔偿责任，双方都有过错的，各自承担相应的责任。</w:t>
      </w:r>
    </w:p>
    <w:p>
      <w:pPr>
        <w:pStyle w:val="BodyText"/>
        <w:spacing w:after="0" w:line="400" w:lineRule="exact"/>
        <w:ind w:firstLine="420" w:firstLineChars="200"/>
        <w:rPr>
          <w:highlight w:val="none"/>
        </w:rPr>
      </w:pPr>
      <w:r>
        <w:rPr>
          <w:rFonts w:ascii="宋体" w:hAnsi="宋体"/>
          <w:color w:val="auto"/>
          <w:szCs w:val="21"/>
          <w:highlight w:val="none"/>
        </w:rPr>
        <w:t>2</w:t>
      </w:r>
      <w:r>
        <w:rPr>
          <w:rFonts w:ascii="宋体" w:hAnsi="宋体" w:hint="eastAsia"/>
          <w:color w:val="auto"/>
          <w:szCs w:val="21"/>
          <w:highlight w:val="none"/>
          <w:lang w:val="en-US"/>
        </w:rPr>
        <w:t>0</w:t>
      </w:r>
      <w:r>
        <w:rPr>
          <w:rFonts w:ascii="宋体" w:hAnsi="宋体" w:hint="eastAsia"/>
          <w:color w:val="auto"/>
          <w:szCs w:val="21"/>
          <w:highlight w:val="none"/>
        </w:rPr>
        <w:t>.</w:t>
      </w:r>
      <w:r>
        <w:rPr>
          <w:rFonts w:ascii="宋体" w:hAnsi="宋体" w:hint="eastAsia"/>
          <w:color w:val="auto"/>
          <w:szCs w:val="21"/>
          <w:highlight w:val="none"/>
          <w:lang w:val="en-US"/>
        </w:rPr>
        <w:t>3</w:t>
      </w:r>
      <w:r>
        <w:rPr>
          <w:rFonts w:ascii="宋体" w:hAnsi="宋体" w:hint="eastAsia"/>
          <w:color w:val="auto"/>
          <w:szCs w:val="21"/>
          <w:highlight w:val="none"/>
        </w:rPr>
        <w:t xml:space="preserve">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p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21. 法律适用</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21.1 本合同的订立、生效、解释、履行及与本合同有关的争议解决，均适用法律、行政法规。</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21.2 本合同条款与法律、行政法规的强制性规定不一致的，双方当事人应按照法律、行政法规的强制性规定修改本合同的相关条款。</w:t>
      </w:r>
    </w:p>
    <w:p>
      <w:pPr>
        <w:numPr>
          <w:ilvl w:val="0"/>
          <w:numId w:val="0"/>
        </w:num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22. 通知</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22.1 本合同任何一方向对方发出的通知、信件、数据电文等，应当发送至本合同第一部分《政府采购合同协议书》所约定的通讯地址、联系人、联系电话或电子邮箱。</w:t>
      </w:r>
    </w:p>
    <w:p>
      <w:pPr>
        <w:pStyle w:val="AONormal"/>
        <w:ind w:firstLine="0" w:firstLineChars="0"/>
        <w:jc w:val="both"/>
        <w:rPr>
          <w:sz w:val="21"/>
          <w:highlight w:val="none"/>
        </w:rPr>
      </w:pPr>
      <w:r>
        <w:rPr>
          <w:rFonts w:ascii="宋体" w:eastAsia="宋体" w:hAnsi="宋体" w:cs="宋体" w:hint="eastAsia"/>
          <w:sz w:val="21"/>
          <w:highlight w:val="none"/>
        </w:rPr>
        <w:t xml:space="preserve">    22.2 一方当事人变更名称、住所、联系人、联系电话或电子邮箱等信息的，应当在变更后3日内及时书面通知对方，对方实际收到变更通知前的送达仍为有效送达。</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22.3本合同一方给另一方的通知均应采用书面形式，传真或快递送到本合同中规定的对方的地址和办理签收手续。</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22.4通知以送达之日或通知书中规定的生效之日起生效，两者中以较迟之日为准。</w:t>
      </w:r>
    </w:p>
    <w:p>
      <w:pPr>
        <w:numPr>
          <w:ilvl w:val="0"/>
          <w:numId w:val="12"/>
        </w:numPr>
        <w:adjustRightInd w:val="0"/>
        <w:snapToGrid w:val="0"/>
        <w:spacing w:line="400" w:lineRule="exact"/>
        <w:jc w:val="left"/>
        <w:rPr>
          <w:rFonts w:ascii="宋体" w:hAnsi="宋体"/>
          <w:b/>
          <w:bCs/>
          <w:highlight w:val="none"/>
        </w:rPr>
      </w:pPr>
      <w:r>
        <w:rPr>
          <w:rFonts w:ascii="宋体" w:hAnsi="宋体" w:hint="eastAsia"/>
          <w:b/>
          <w:bCs/>
          <w:sz w:val="24"/>
          <w:highlight w:val="none"/>
        </w:rPr>
        <w:t>合同未尽事项</w:t>
      </w:r>
    </w:p>
    <w:p>
      <w:pPr>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23.1合同未尽事项见</w:t>
      </w:r>
      <w:r>
        <w:rPr>
          <w:rFonts w:ascii="宋体" w:hAnsi="宋体" w:hint="eastAsia"/>
          <w:b/>
          <w:szCs w:val="21"/>
          <w:highlight w:val="none"/>
        </w:rPr>
        <w:t>【政府采购合同专用条款】</w:t>
      </w:r>
      <w:r>
        <w:rPr>
          <w:rFonts w:ascii="宋体" w:hAnsi="宋体" w:hint="eastAsia"/>
          <w:bCs/>
          <w:szCs w:val="21"/>
          <w:highlight w:val="none"/>
        </w:rPr>
        <w:t>。</w:t>
      </w:r>
    </w:p>
    <w:p>
      <w:pPr>
        <w:adjustRightInd w:val="0"/>
        <w:snapToGrid w:val="0"/>
        <w:spacing w:line="400" w:lineRule="exact"/>
        <w:jc w:val="left"/>
        <w:rPr>
          <w:rFonts w:ascii="黑体" w:eastAsia="黑体" w:hAnsi="华文中宋"/>
          <w:sz w:val="28"/>
          <w:szCs w:val="28"/>
          <w:highlight w:val="none"/>
        </w:rPr>
      </w:pPr>
      <w:r>
        <w:rPr>
          <w:rFonts w:ascii="宋体" w:hAnsi="宋体" w:hint="eastAsia"/>
          <w:bCs/>
          <w:szCs w:val="21"/>
          <w:highlight w:val="none"/>
        </w:rPr>
        <w:t xml:space="preserve">    23.2 合同附件与合同正文具有同等的法律效力。</w:t>
      </w:r>
      <w:bookmarkStart w:id="75" w:name="_Toc20313"/>
    </w:p>
    <w:p>
      <w:pPr>
        <w:adjustRightInd w:val="0"/>
        <w:snapToGrid w:val="0"/>
        <w:jc w:val="center"/>
        <w:rPr>
          <w:rFonts w:ascii="黑体" w:eastAsia="黑体" w:hAnsi="华文中宋"/>
          <w:sz w:val="28"/>
          <w:szCs w:val="28"/>
          <w:highlight w:val="none"/>
        </w:rPr>
      </w:pPr>
      <w:r>
        <w:rPr>
          <w:rFonts w:ascii="黑体" w:eastAsia="黑体" w:hAnsi="华文中宋" w:hint="eastAsia"/>
          <w:sz w:val="28"/>
          <w:szCs w:val="28"/>
          <w:highlight w:val="none"/>
        </w:rPr>
        <w:br w:type="page"/>
      </w:r>
    </w:p>
    <w:p>
      <w:pPr>
        <w:pStyle w:val="Heading2"/>
        <w:numPr>
          <w:ilvl w:val="0"/>
          <w:numId w:val="0"/>
        </w:numPr>
        <w:adjustRightInd w:val="0"/>
        <w:snapToGrid w:val="0"/>
        <w:jc w:val="center"/>
        <w:rPr>
          <w:rFonts w:ascii="黑体" w:hAnsi="华文中宋"/>
          <w:b w:val="0"/>
          <w:bCs w:val="0"/>
          <w:sz w:val="28"/>
          <w:szCs w:val="28"/>
          <w:highlight w:val="none"/>
        </w:rPr>
      </w:pPr>
      <w:r>
        <w:rPr>
          <w:rFonts w:ascii="黑体" w:hAnsi="华文中宋" w:hint="eastAsia"/>
          <w:b w:val="0"/>
          <w:bCs w:val="0"/>
          <w:sz w:val="28"/>
          <w:szCs w:val="28"/>
          <w:highlight w:val="none"/>
        </w:rPr>
        <w:t>第三节 政府采购合同专用条款</w:t>
      </w:r>
      <w:bookmarkEnd w:id="75"/>
    </w:p>
    <w:tbl>
      <w:tblPr>
        <w:tblStyle w:val="TableNormal"/>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
      <w:tblGrid>
        <w:gridCol w:w="1607"/>
        <w:gridCol w:w="1742"/>
        <w:gridCol w:w="5170"/>
      </w:tblGrid>
      <w:tr>
        <w:tblPrEx>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第1.2（6）项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联合体具体要求</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0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第1.2（7）项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其他术语解释</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第4.4款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履约验收中甲方提出异议或作出说明的期限</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第4.6款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约定甲方承担的其他义务和责任</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snapToGrid w:val="0"/>
              <w:jc w:val="center"/>
              <w:rPr>
                <w:highlight w:val="none"/>
              </w:rPr>
            </w:pPr>
            <w:r>
              <w:rPr>
                <w:rFonts w:ascii="宋体" w:hAnsi="宋体" w:hint="eastAsia"/>
                <w:szCs w:val="21"/>
                <w:highlight w:val="none"/>
              </w:rPr>
              <w:t>第5.4款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约定乙方承担的其他义务和责任</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snapToGrid w:val="0"/>
              <w:jc w:val="center"/>
              <w:rPr>
                <w:rFonts w:ascii="宋体" w:hAnsi="宋体"/>
                <w:szCs w:val="21"/>
                <w:highlight w:val="none"/>
              </w:rPr>
            </w:pPr>
            <w:r>
              <w:rPr>
                <w:rFonts w:ascii="宋体" w:hAnsi="宋体" w:hint="eastAsia"/>
                <w:szCs w:val="21"/>
                <w:highlight w:val="none"/>
              </w:rPr>
              <w:t>第6.1款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履行合同义务的顺序</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vMerge w:val="restart"/>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包装特殊要求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vMerge/>
            <w:noWrap w:val="0"/>
            <w:vAlign w:val="center"/>
          </w:tcPr>
          <w:p>
            <w:pPr>
              <w:adjustRightInd w:val="0"/>
              <w:snapToGrid w:val="0"/>
              <w:jc w:val="center"/>
              <w:rPr>
                <w:rFonts w:ascii="宋体" w:hAnsi="宋体"/>
                <w:szCs w:val="21"/>
                <w:highlight w:val="none"/>
              </w:rPr>
            </w:pP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指定现场</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772"/>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运输特殊要求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保险要求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第8.2（1）项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质量保证期</w:t>
            </w:r>
          </w:p>
        </w:tc>
        <w:tc>
          <w:tcPr>
            <w:tcW w:w="5170" w:type="dxa"/>
            <w:noWrap w:val="0"/>
            <w:vAlign w:val="center"/>
          </w:tcPr>
          <w:p>
            <w:pPr>
              <w:autoSpaceDE w:val="0"/>
              <w:autoSpaceDN w:val="0"/>
              <w:adjustRightInd w:val="0"/>
              <w:snapToGrid w:val="0"/>
              <w:ind w:firstLine="420" w:firstLineChars="20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第8.2（3）项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货物质量缺陷</w:t>
            </w:r>
          </w:p>
          <w:p>
            <w:pPr>
              <w:adjustRightInd w:val="0"/>
              <w:snapToGrid w:val="0"/>
              <w:jc w:val="left"/>
              <w:rPr>
                <w:rFonts w:ascii="宋体" w:hAnsi="宋体"/>
                <w:szCs w:val="21"/>
                <w:highlight w:val="none"/>
              </w:rPr>
            </w:pPr>
            <w:r>
              <w:rPr>
                <w:rFonts w:ascii="宋体" w:hAnsi="宋体" w:hint="eastAsia"/>
                <w:szCs w:val="21"/>
                <w:highlight w:val="none"/>
              </w:rPr>
              <w:t>响应时间</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snapToGrid w:val="0"/>
              <w:jc w:val="center"/>
              <w:rPr>
                <w:rFonts w:ascii="宋体" w:hAnsi="宋体" w:cs="宋体"/>
                <w:szCs w:val="21"/>
                <w:highlight w:val="none"/>
              </w:rPr>
            </w:pPr>
            <w:r>
              <w:rPr>
                <w:rFonts w:ascii="宋体" w:hAnsi="宋体" w:cs="宋体" w:hint="eastAsia"/>
                <w:szCs w:val="21"/>
                <w:highlight w:val="none"/>
              </w:rPr>
              <w:t>第二节</w:t>
            </w:r>
          </w:p>
          <w:p>
            <w:pPr>
              <w:pStyle w:val="AONormal"/>
              <w:ind w:firstLine="0" w:firstLineChars="0"/>
              <w:jc w:val="center"/>
              <w:rPr>
                <w:highlight w:val="none"/>
              </w:rPr>
            </w:pPr>
            <w:r>
              <w:rPr>
                <w:rFonts w:ascii="宋体" w:eastAsia="宋体" w:hAnsi="宋体" w:cs="宋体" w:hint="eastAsia"/>
                <w:highlight w:val="none"/>
              </w:rPr>
              <w:t>第11.1款</w:t>
            </w:r>
          </w:p>
        </w:tc>
        <w:tc>
          <w:tcPr>
            <w:tcW w:w="1742" w:type="dxa"/>
            <w:noWrap w:val="0"/>
            <w:vAlign w:val="center"/>
          </w:tcPr>
          <w:p>
            <w:pPr>
              <w:adjustRightInd w:val="0"/>
              <w:snapToGrid w:val="0"/>
              <w:rPr>
                <w:rFonts w:ascii="宋体" w:hAnsi="宋体"/>
                <w:szCs w:val="21"/>
                <w:highlight w:val="none"/>
              </w:rPr>
            </w:pPr>
            <w:r>
              <w:rPr>
                <w:rFonts w:ascii="宋体" w:hAnsi="宋体" w:hint="eastAsia"/>
                <w:szCs w:val="21"/>
                <w:highlight w:val="none"/>
              </w:rPr>
              <w:t>其他应当保密的信息</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9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合同价款支付时间</w:t>
            </w:r>
          </w:p>
        </w:tc>
        <w:tc>
          <w:tcPr>
            <w:tcW w:w="5170" w:type="dxa"/>
            <w:noWrap w:val="0"/>
            <w:vAlign w:val="center"/>
          </w:tcPr>
          <w:p>
            <w:pPr>
              <w:snapToGrid w:val="0"/>
              <w:spacing w:line="400" w:lineRule="exact"/>
              <w:rPr>
                <w:rFonts w:ascii="宋体" w:hAnsi="宋体" w:hint="eastAsia"/>
                <w:szCs w:val="21"/>
                <w:highlight w:val="yellow"/>
                <w:u w:val="none"/>
              </w:rPr>
            </w:pPr>
            <w:r>
              <w:rPr>
                <w:rFonts w:ascii="宋体" w:hAnsi="宋体" w:hint="eastAsia"/>
                <w:szCs w:val="21"/>
                <w:highlight w:val="yellow"/>
                <w:u w:val="none"/>
              </w:rPr>
              <w:t>1.双方签署合同后30个工作日内，甲方向乙方支付</w:t>
            </w:r>
            <w:r>
              <w:rPr>
                <w:rFonts w:ascii="宋体" w:hAnsi="宋体" w:hint="eastAsia"/>
                <w:szCs w:val="21"/>
                <w:highlight w:val="yellow"/>
                <w:u w:val="none"/>
                <w:lang w:val="en-US" w:eastAsia="zh-CN"/>
              </w:rPr>
              <w:t>9</w:t>
            </w:r>
            <w:r>
              <w:rPr>
                <w:rFonts w:ascii="宋体" w:hAnsi="宋体" w:hint="eastAsia"/>
                <w:szCs w:val="21"/>
                <w:highlight w:val="yellow"/>
                <w:u w:val="none"/>
              </w:rPr>
              <w:t>0%合同价款。</w:t>
            </w:r>
          </w:p>
          <w:p>
            <w:pPr>
              <w:snapToGrid w:val="0"/>
              <w:spacing w:line="400" w:lineRule="exact"/>
              <w:rPr>
                <w:highlight w:val="yellow"/>
                <w:u w:val="none"/>
              </w:rPr>
            </w:pPr>
            <w:r>
              <w:rPr>
                <w:rFonts w:ascii="宋体" w:hAnsi="宋体" w:hint="eastAsia"/>
                <w:szCs w:val="21"/>
                <w:highlight w:val="yellow"/>
                <w:u w:val="none"/>
                <w:lang w:val="en-US" w:eastAsia="zh-CN"/>
              </w:rPr>
              <w:t>2</w:t>
            </w:r>
            <w:r>
              <w:rPr>
                <w:rFonts w:ascii="宋体" w:hAnsi="宋体" w:hint="eastAsia"/>
                <w:szCs w:val="21"/>
                <w:highlight w:val="yellow"/>
                <w:u w:val="none"/>
              </w:rPr>
              <w:t>.乙方完成合同标的所有建设任务，经甲方合同验收合格、双方签署验收报告后30个工作日内,甲方向乙方支付</w:t>
            </w:r>
            <w:r>
              <w:rPr>
                <w:rFonts w:ascii="宋体" w:hAnsi="宋体" w:hint="eastAsia"/>
                <w:szCs w:val="21"/>
                <w:highlight w:val="yellow"/>
                <w:u w:val="none"/>
                <w:lang w:val="en-US" w:eastAsia="zh-CN"/>
              </w:rPr>
              <w:t>剩余1</w:t>
            </w:r>
            <w:r>
              <w:rPr>
                <w:rFonts w:ascii="宋体" w:hAnsi="宋体" w:hint="eastAsia"/>
                <w:szCs w:val="21"/>
                <w:highlight w:val="yellow"/>
                <w:u w:val="none"/>
              </w:rPr>
              <w:t>0%合同价款。</w:t>
            </w:r>
          </w:p>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9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第13.2款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履约保证金不予退还的情形</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第13.3款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履约保证金退还时间及逾期退还的违约金</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8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第14.1（3）项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运行监督、维修期限</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8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第14.1（5）项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货物回收的约定</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第14.1（6）项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乙方提供的其他服务</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修理、重作、更换相关具体规定</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第15.2（2）项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迟延交货赔偿费</w:t>
            </w:r>
          </w:p>
        </w:tc>
        <w:tc>
          <w:tcPr>
            <w:tcW w:w="5170" w:type="dxa"/>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逾期付款利息</w:t>
            </w:r>
          </w:p>
        </w:tc>
        <w:tc>
          <w:tcPr>
            <w:tcW w:w="5170" w:type="dxa"/>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876"/>
        </w:trPr>
        <w:tc>
          <w:tcPr>
            <w:tcW w:w="1607" w:type="dxa"/>
            <w:tcBorders>
              <w:bottom w:val="single" w:sz="2" w:space="0" w:color="auto"/>
              <w:right w:val="single" w:sz="2" w:space="0" w:color="auto"/>
            </w:tcBorders>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第15.4款</w:t>
            </w:r>
          </w:p>
        </w:tc>
        <w:tc>
          <w:tcPr>
            <w:tcW w:w="1742" w:type="dxa"/>
            <w:tcBorders>
              <w:left w:val="single" w:sz="2" w:space="0" w:color="auto"/>
              <w:bottom w:val="single" w:sz="2" w:space="0" w:color="auto"/>
              <w:right w:val="single" w:sz="2" w:space="0" w:color="auto"/>
            </w:tcBorders>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其他违约责任</w:t>
            </w:r>
          </w:p>
        </w:tc>
        <w:tc>
          <w:tcPr>
            <w:tcW w:w="5170" w:type="dxa"/>
            <w:tcBorders>
              <w:left w:val="single" w:sz="2" w:space="0" w:color="auto"/>
              <w:bottom w:val="single" w:sz="2" w:space="0" w:color="auto"/>
            </w:tcBorders>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90"/>
        </w:trPr>
        <w:tc>
          <w:tcPr>
            <w:tcW w:w="1607" w:type="dxa"/>
            <w:tcBorders>
              <w:top w:val="single" w:sz="2" w:space="0" w:color="auto"/>
              <w:right w:val="single" w:sz="2" w:space="0" w:color="auto"/>
            </w:tcBorders>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第19.2款</w:t>
            </w:r>
          </w:p>
        </w:tc>
        <w:tc>
          <w:tcPr>
            <w:tcW w:w="1742" w:type="dxa"/>
            <w:tcBorders>
              <w:top w:val="single" w:sz="2" w:space="0" w:color="auto"/>
              <w:left w:val="single" w:sz="2" w:space="0" w:color="auto"/>
              <w:right w:val="single" w:sz="2" w:space="0" w:color="auto"/>
            </w:tcBorders>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解决争议的方法</w:t>
            </w:r>
          </w:p>
        </w:tc>
        <w:tc>
          <w:tcPr>
            <w:tcW w:w="5170" w:type="dxa"/>
            <w:tcBorders>
              <w:top w:val="single" w:sz="2" w:space="0" w:color="auto"/>
              <w:left w:val="single" w:sz="2" w:space="0" w:color="auto"/>
            </w:tcBorders>
            <w:noWrap w:val="0"/>
            <w:vAlign w:val="center"/>
          </w:tcPr>
          <w:p>
            <w:pPr>
              <w:autoSpaceDE w:val="0"/>
              <w:autoSpaceDN w:val="0"/>
              <w:adjustRightInd w:val="0"/>
              <w:snapToGrid w:val="0"/>
              <w:spacing w:line="400" w:lineRule="exact"/>
              <w:jc w:val="left"/>
              <w:rPr>
                <w:rFonts w:ascii="宋体" w:hAnsi="宋体" w:cs="宋体"/>
                <w:iCs/>
                <w:szCs w:val="21"/>
                <w:highlight w:val="none"/>
              </w:rPr>
            </w:pPr>
            <w:r>
              <w:rPr>
                <w:rFonts w:ascii="宋体" w:hAnsi="宋体" w:cs="宋体" w:hint="eastAsia"/>
                <w:iCs/>
                <w:szCs w:val="21"/>
                <w:highlight w:val="none"/>
              </w:rPr>
              <w:t>因本合同及合同有关事项发生的争议，按下列第</w:t>
            </w:r>
            <w:r>
              <w:rPr>
                <w:rFonts w:ascii="宋体" w:hAnsi="宋体" w:cs="宋体" w:hint="eastAsia"/>
                <w:iCs/>
                <w:szCs w:val="21"/>
                <w:highlight w:val="none"/>
                <w:u w:val="single"/>
              </w:rPr>
              <w:t xml:space="preserve">   </w:t>
            </w:r>
            <w:r>
              <w:rPr>
                <w:rFonts w:ascii="宋体" w:hAnsi="宋体" w:cs="宋体" w:hint="eastAsia"/>
                <w:iCs/>
                <w:szCs w:val="21"/>
                <w:highlight w:val="none"/>
              </w:rPr>
              <w:t>种方式解决：</w:t>
            </w:r>
          </w:p>
          <w:p>
            <w:pPr>
              <w:autoSpaceDE w:val="0"/>
              <w:autoSpaceDN w:val="0"/>
              <w:adjustRightInd w:val="0"/>
              <w:snapToGrid w:val="0"/>
              <w:spacing w:line="400" w:lineRule="exact"/>
              <w:jc w:val="left"/>
              <w:rPr>
                <w:rFonts w:ascii="宋体" w:hAnsi="宋体" w:cs="宋体"/>
                <w:iCs/>
                <w:szCs w:val="21"/>
                <w:highlight w:val="none"/>
              </w:rPr>
            </w:pPr>
            <w:r>
              <w:rPr>
                <w:rFonts w:ascii="宋体" w:hAnsi="宋体" w:cs="宋体" w:hint="eastAsia"/>
                <w:iCs/>
                <w:szCs w:val="21"/>
                <w:highlight w:val="none"/>
              </w:rPr>
              <w:t>（1）向</w:t>
            </w:r>
            <w:r>
              <w:rPr>
                <w:rFonts w:ascii="宋体" w:hAnsi="宋体" w:cs="宋体" w:hint="eastAsia"/>
                <w:iCs/>
                <w:szCs w:val="21"/>
                <w:highlight w:val="none"/>
                <w:u w:val="single"/>
              </w:rPr>
              <w:t xml:space="preserve">                    </w:t>
            </w:r>
            <w:r>
              <w:rPr>
                <w:rFonts w:ascii="宋体" w:hAnsi="宋体" w:cs="宋体" w:hint="eastAsia"/>
                <w:iCs/>
                <w:szCs w:val="21"/>
                <w:highlight w:val="none"/>
              </w:rPr>
              <w:t>仲裁委员会申请仲裁，仲裁地点为</w:t>
            </w:r>
            <w:r>
              <w:rPr>
                <w:rFonts w:ascii="宋体" w:hAnsi="宋体" w:cs="宋体" w:hint="eastAsia"/>
                <w:iCs/>
                <w:szCs w:val="21"/>
                <w:highlight w:val="none"/>
                <w:u w:val="single"/>
              </w:rPr>
              <w:t xml:space="preserve">           </w:t>
            </w:r>
            <w:r>
              <w:rPr>
                <w:rFonts w:ascii="宋体" w:hAnsi="宋体" w:cs="宋体" w:hint="eastAsia"/>
                <w:iCs/>
                <w:szCs w:val="21"/>
                <w:highlight w:val="none"/>
              </w:rPr>
              <w:t>；</w:t>
            </w:r>
          </w:p>
          <w:p>
            <w:pPr>
              <w:adjustRightInd w:val="0"/>
              <w:snapToGrid w:val="0"/>
              <w:jc w:val="left"/>
              <w:rPr>
                <w:rFonts w:ascii="宋体" w:hAnsi="宋体"/>
                <w:szCs w:val="21"/>
                <w:highlight w:val="none"/>
                <w:u w:val="single"/>
              </w:rPr>
            </w:pPr>
            <w:r>
              <w:rPr>
                <w:rFonts w:ascii="宋体" w:hAnsi="宋体" w:cs="宋体" w:hint="eastAsia"/>
                <w:iCs/>
                <w:szCs w:val="21"/>
                <w:highlight w:val="none"/>
              </w:rPr>
              <w:t>（2）向</w:t>
            </w:r>
            <w:r>
              <w:rPr>
                <w:rFonts w:ascii="宋体" w:hAnsi="宋体" w:cs="宋体" w:hint="eastAsia"/>
                <w:iCs/>
                <w:szCs w:val="21"/>
                <w:highlight w:val="none"/>
                <w:u w:val="single"/>
              </w:rPr>
              <w:t xml:space="preserve">                    </w:t>
            </w:r>
            <w:r>
              <w:rPr>
                <w:rFonts w:ascii="宋体" w:hAnsi="宋体" w:cs="宋体" w:hint="eastAsia"/>
                <w:iCs/>
                <w:szCs w:val="21"/>
                <w:highlight w:val="none"/>
              </w:rPr>
              <w:t>人民法院起诉。</w:t>
            </w:r>
          </w:p>
        </w:tc>
      </w:tr>
      <w:tr>
        <w:tblPrEx>
          <w:tblW w:w="8519" w:type="dxa"/>
          <w:tblInd w:w="108" w:type="dxa"/>
          <w:tblLayout w:type="fixed"/>
          <w:tblCellMar>
            <w:top w:w="0" w:type="dxa"/>
            <w:left w:w="108" w:type="dxa"/>
            <w:bottom w:w="0" w:type="dxa"/>
            <w:right w:w="108" w:type="dxa"/>
          </w:tblCellMar>
        </w:tblPrEx>
        <w:trPr>
          <w:trHeight w:val="770"/>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第23.1款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bCs/>
                <w:szCs w:val="21"/>
                <w:highlight w:val="none"/>
              </w:rPr>
              <w:t>其他专用条款</w:t>
            </w:r>
          </w:p>
        </w:tc>
        <w:tc>
          <w:tcPr>
            <w:tcW w:w="5170" w:type="dxa"/>
            <w:noWrap w:val="0"/>
            <w:vAlign w:val="center"/>
          </w:tcPr>
          <w:p>
            <w:pPr>
              <w:adjustRightInd w:val="0"/>
              <w:snapToGrid w:val="0"/>
              <w:jc w:val="left"/>
              <w:rPr>
                <w:rFonts w:ascii="宋体" w:hAnsi="宋体"/>
                <w:szCs w:val="21"/>
                <w:highlight w:val="none"/>
              </w:rPr>
            </w:pPr>
          </w:p>
        </w:tc>
      </w:tr>
    </w:tbl>
    <w:p>
      <w:pPr>
        <w:rPr>
          <w:highlight w:val="none"/>
        </w:rPr>
      </w:pPr>
    </w:p>
    <w:p>
      <w:pPr>
        <w:rPr>
          <w:b/>
          <w:bCs/>
          <w:sz w:val="44"/>
          <w:szCs w:val="44"/>
          <w:highlight w:val="none"/>
        </w:rPr>
      </w:pPr>
    </w:p>
    <w:p>
      <w:pPr>
        <w:rPr>
          <w:highlight w:val="none"/>
        </w:rPr>
      </w:pPr>
    </w:p>
    <w:p>
      <w:pPr>
        <w:rPr>
          <w:highlight w:val="none"/>
        </w:rPr>
      </w:pPr>
    </w:p>
    <w:p w:rsidR="00A77B3E"/>
    <w:p>
      <w:pPr>
        <w:spacing w:line="360" w:lineRule="auto"/>
        <w:ind w:firstLine="3066" w:firstLineChars="1460"/>
        <w:jc w:val="left"/>
        <w:rPr>
          <w:b/>
          <w:bCs/>
          <w:szCs w:val="21"/>
          <w:highlight w:val="none"/>
        </w:rPr>
      </w:pPr>
      <w:bookmarkEnd w:id="70"/>
    </w:p>
    <w:sectPr>
      <w:headerReference w:type="even" r:id="rId8"/>
      <w:headerReference w:type="default" r:id="rId9"/>
      <w:footerReference w:type="default" r:id="rId10"/>
      <w:headerReference w:type="first" r:id="rId11"/>
      <w:pgSz w:w="11906" w:h="16838"/>
      <w:pgMar w:top="1418" w:right="1418" w:bottom="1418" w:left="1701" w:header="851" w:footer="851" w:gutter="0"/>
      <w:cols w:space="708"/>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auto"/>
    <w:pitch w:val="variable"/>
    <w:sig w:usb0="00000203" w:usb1="288F0000" w:usb2="00000006" w:usb3="00000000" w:csb0="00040001" w:csb1="00000000"/>
  </w:font>
  <w:font w:name="Arial">
    <w:altName w:val="Times New Roman"/>
    <w:panose1 w:val="020B0604020202020204"/>
    <w:charset w:val="CC"/>
    <w:family w:val="swiss"/>
    <w:pitch w:val="variable"/>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Courier New">
    <w:altName w:val="DejaVu Sans"/>
    <w:panose1 w:val="02070309020205020404"/>
    <w:charset w:val="01"/>
    <w:family w:val="modern"/>
    <w:pitch w:val="default"/>
    <w:sig w:usb0="E0002EFF" w:usb1="C0007843" w:usb2="00000009" w:usb3="00000000" w:csb0="400001FF" w:csb1="FFFF0000"/>
  </w:font>
  <w:font w:name="Calibri">
    <w:altName w:val="微软雅黑"/>
    <w:panose1 w:val="020F0502020204030204"/>
    <w:charset w:val="00"/>
    <w:family w:val="swiss"/>
    <w:pitch w:val="variable"/>
    <w:sig w:usb0="E4002EFF" w:usb1="C200247B" w:usb2="00000009" w:usb3="00000000" w:csb0="200001FF" w:csb1="00000000"/>
  </w:font>
  <w:font w:name="Tahoma">
    <w:altName w:val="noto sans thai"/>
    <w:panose1 w:val="020B0604030504040204"/>
    <w:charset w:val="00"/>
    <w:family w:val="swiss"/>
    <w:pitch w:val="default"/>
    <w:sig w:usb0="E1002EFF" w:usb1="C000605B" w:usb2="00000029" w:usb3="00000000" w:csb0="200101FF" w:csb1="20280000"/>
  </w:font>
  <w:font w:name="华文楷体">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modern"/>
    <w:pitch w:val="default"/>
    <w:sig w:usb0="00000001" w:usb1="080E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拒绝">
    <w:altName w:val="宋体"/>
    <w:panose1 w:val="00000000000000000000"/>
    <w:charset w:val="86"/>
    <w:family w:val="roman"/>
    <w:pitch w:val="default"/>
    <w:sig w:usb0="00000000" w:usb1="00000000" w:usb2="00000000" w:usb3="00000000" w:csb0="0004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default"/>
    <w:sig w:usb0="00000000" w:usb1="00000000" w:usb2="00000000" w:usb3="00000000" w:csb0="80000000" w:csb1="00000000"/>
  </w:font>
  <w:font w:name="Wingdings 2">
    <w:panose1 w:val="05020102010507070707"/>
    <w:charset w:val="02"/>
    <w:family w:val="roman"/>
    <w:pitch w:val="default"/>
    <w:sig w:usb0="00000000" w:usb1="00000000" w:usb2="00000000" w:usb3="00000000" w:csb0="80000000" w:csb1="00000000"/>
  </w:font>
  <w:font w:name="方正仿宋">
    <w:altName w:val="仿宋"/>
    <w:panose1 w:val="00000000000000000000"/>
    <w:charset w:val="86"/>
    <w:family w:val="script"/>
    <w:pitch w:val="default"/>
    <w:sig w:usb0="00000000" w:usb1="00000000" w:usb2="00000000" w:usb3="00000000" w:csb0="00040000" w:csb1="00000000"/>
  </w:font>
  <w:font w:name="楷体_GB2312">
    <w:altName w:val="楷体"/>
    <w:panose1 w:val="02010609030101010101"/>
    <w:charset w:val="86"/>
    <w:family w:val="modern"/>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 w:name="方正小标宋简体">
    <w:altName w:val="方正舒体"/>
    <w:panose1 w:val="02010600010101010101"/>
    <w:charset w:val="86"/>
    <w:family w:val="auto"/>
    <w:pitch w:val="default"/>
    <w:sig w:usb0="00000001" w:usb1="080E0000" w:usb2="00000000" w:usb3="00000000" w:csb0="00040000" w:csb1="00000000"/>
  </w:font>
  <w:font w:name="Verdana">
    <w:panose1 w:val="020B0604030504040204"/>
    <w:charset w:val="00"/>
    <w:family w:val="swiss"/>
    <w:pitch w:val="default"/>
    <w:sig w:usb0="A00006FF" w:usb1="4000205B" w:usb2="00000010" w:usb3="00000000" w:csb0="2000019F" w:csb1="00000000"/>
  </w:font>
  <w:font w:name="Calibri Light">
    <w:panose1 w:val="020F0302020204030204"/>
    <w:charset w:val="00"/>
    <w:family w:val="swiss"/>
    <w:pitch w:val="variable"/>
    <w:sig w:usb0="E4002EFF" w:usb1="C000247B" w:usb2="00000009" w:usb3="00000000" w:csb0="000001FF" w:csb1="00000000"/>
  </w:font>
  <w:font w:name="华文中宋">
    <w:panose1 w:val="02010600040101010101"/>
    <w:charset w:val="86"/>
    <w:family w:val="auto"/>
    <w:pitch w:val="default"/>
    <w:sig w:usb0="00000287" w:usb1="080F0000" w:usb2="00000000" w:usb3="00000000" w:csb0="0004009F" w:csb1="DFD70000"/>
  </w:font>
  <w:font w:name="汉仪书宋二S">
    <w:altName w:val="Times New Roman"/>
    <w:panose1 w:val="00000000000000000000"/>
    <w:charset w:val="00"/>
    <w:family w:val="auto"/>
    <w:pitch w:val="default"/>
    <w:sig w:usb0="00000000" w:usb1="00000000" w:usb2="00000000" w:usb3="00000000" w:csb0="00000000" w:csb1="00000000"/>
  </w:font>
  <w:font w:name="Microsoft YaHei">
    <w:panose1 w:val="020B0503020204020204"/>
    <w:charset w:val="86"/>
    <w:family w:val="auto"/>
    <w:pitch w:val="default"/>
    <w:sig w:usb0="80000287" w:usb1="280F3C52" w:usb2="00000016" w:usb3="00000000" w:csb0="0004001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1</w:t>
    </w:r>
    <w: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71</w:t>
    </w:r>
    <w:r>
      <w:fldChar w:fldCharType="end"/>
    </w:r>
  </w:p>
  <w:p>
    <w:pPr>
      <w:pStyle w:val="Footer"/>
      <w:tabs>
        <w:tab w:val="center" w:pos="4153"/>
        <w:tab w:val="right" w:pos="8306"/>
      </w:tabs>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72</w:t>
    </w:r>
    <w:r>
      <w:fldChar w:fldCharType="end"/>
    </w:r>
  </w:p>
  <w:p>
    <w:pPr>
      <w:pStyle w:val="Footer"/>
      <w:tabs>
        <w:tab w:val="center" w:pos="4153"/>
        <w:tab w:val="right" w:pos="8306"/>
      </w:tabs>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6" o:spid="_x0000_s2049" type="#_x0000_t136" style="width:567.75pt;height:51.6pt;margin-top:0;margin-left:0;mso-position-horizontal:center;mso-position-horizontal-relative:margin;mso-position-vertical:center;mso-position-vertical-relative:margin;mso-wrap-style:square;position:absolute;rotation:315;z-index:-251655168" o:allowincell="f" filled="t" fillcolor="silver" stroked="f">
          <v:fill opacity="0.5"/>
          <v:stroke linestyle="single"/>
          <v:textpath style="font-family:宋体;font-size:8pt" string="中国气象局政府采购中心"/>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50" type="#_x0000_t136" style="width:567.75pt;height:51.6pt;margin-top:0;margin-left:0;mso-position-horizontal:center;mso-position-horizontal-relative:margin;mso-position-vertical:center;mso-position-vertical-relative:margin;mso-wrap-style:square;position:absolute;rotation:315;z-index:-251654144" o:allowincell="f" filled="t" fillcolor="silver" stroked="f">
          <v:fill opacity="0.5"/>
          <v:stroke linestyle="single"/>
          <v:textpath style="font-family:宋体;font-size:8pt" string="中国气象局政府采购中心"/>
          <w10:wrap anchorx="margin" anchory="margin"/>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9" o:spid="_x0000_s2051" type="#_x0000_t136" style="width:567.75pt;height:51.6pt;margin-top:0;margin-left:0;mso-position-horizontal:center;mso-position-horizontal-relative:margin;mso-position-vertical:center;mso-position-vertical-relative:margin;mso-wrap-style:square;position:absolute;rotation:315;z-index:-251657216" o:allowincell="f" fillcolor="silver" stroked="f">
          <v:fill opacity="0.5"/>
          <v:stroke linestyle="single"/>
          <v:textpath style="font-family:宋体;font-size:8pt" string="中国气象局政府采购中心"/>
          <w10:wrap anchorx="margin" anchory="margin"/>
        </v:shape>
      </w:pic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30" o:spid="_x0000_s2052" type="#_x0000_t136" style="width:567.75pt;height:51.6pt;margin-top:0;margin-left:0;mso-position-horizontal:center;mso-position-horizontal-relative:margin;mso-position-vertical:center;mso-position-vertical-relative:margin;mso-wrap-style:square;position:absolute;rotation:315;z-index:-251656192" o:allowincell="f" fillcolor="silver" stroked="f">
          <v:fill opacity="0.5"/>
          <v:stroke linestyle="single"/>
          <v:textpath style="font-family:宋体;font-size:8pt" string="中国气象局政府采购中心"/>
          <w10:wrap anchorx="margin" anchory="margin"/>
        </v:shape>
      </w:pic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8" o:spid="_x0000_s2053" type="#_x0000_t136" style="width:567.75pt;height:51.6pt;margin-top:0;margin-left:0;mso-position-horizontal:center;mso-position-horizontal-relative:margin;mso-position-vertical:center;mso-position-vertical-relative:margin;mso-wrap-style:square;position:absolute;rotation:315;z-index:-251658240" o:allowincell="f" fillcolor="silver" stroked="f">
          <v:fill opacity="0.5"/>
          <v:stroke linestyle="single"/>
          <v:textpath style="font-family:宋体;font-size:8pt" string="中国气象局政府采购中心"/>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BF6BC116"/>
    <w:multiLevelType w:val="singleLevel"/>
    <w:tmpl w:val="BF6BC116"/>
    <w:lvl w:ilvl="0">
      <w:start w:val="16"/>
      <w:numFmt w:val="decimal"/>
      <w:suff w:val="space"/>
      <w:lvlText w:val="%1."/>
      <w:lvlJc w:val="left"/>
    </w:lvl>
  </w:abstractNum>
  <w:abstractNum w:abstractNumId="1">
    <w:nsid w:val="CFE7C3F8"/>
    <w:multiLevelType w:val="singleLevel"/>
    <w:tmpl w:val="CFE7C3F8"/>
    <w:lvl w:ilvl="0">
      <w:start w:val="1"/>
      <w:numFmt w:val="decimal"/>
      <w:suff w:val="nothing"/>
      <w:lvlText w:val="（%1）"/>
      <w:lvlJc w:val="left"/>
    </w:lvl>
  </w:abstractNum>
  <w:abstractNum w:abstractNumId="2">
    <w:nsid w:val="DDECD3BC"/>
    <w:multiLevelType w:val="singleLevel"/>
    <w:tmpl w:val="DDECD3BC"/>
    <w:lvl w:ilvl="0">
      <w:start w:val="6"/>
      <w:numFmt w:val="decimal"/>
      <w:suff w:val="space"/>
      <w:lvlText w:val="%1."/>
      <w:lvlJc w:val="left"/>
    </w:lvl>
  </w:abstractNum>
  <w:abstractNum w:abstractNumId="3">
    <w:nsid w:val="DE759F4B"/>
    <w:multiLevelType w:val="singleLevel"/>
    <w:tmpl w:val="DE759F4B"/>
    <w:lvl w:ilvl="0">
      <w:start w:val="2"/>
      <w:numFmt w:val="decimal"/>
      <w:suff w:val="space"/>
      <w:lvlText w:val="%1."/>
      <w:lvlJc w:val="left"/>
    </w:lvl>
  </w:abstractNum>
  <w:abstractNum w:abstractNumId="4">
    <w:nsid w:val="DEABE1DB"/>
    <w:multiLevelType w:val="singleLevel"/>
    <w:tmpl w:val="DEABE1DB"/>
    <w:lvl w:ilvl="0">
      <w:start w:val="23"/>
      <w:numFmt w:val="decimal"/>
      <w:suff w:val="space"/>
      <w:lvlText w:val="%1."/>
      <w:lvlJc w:val="left"/>
    </w:lvl>
  </w:abstractNum>
  <w:abstractNum w:abstractNumId="5">
    <w:nsid w:val="FFEFC674"/>
    <w:multiLevelType w:val="singleLevel"/>
    <w:tmpl w:val="FFEFC674"/>
    <w:lvl w:ilvl="0">
      <w:start w:val="1"/>
      <w:numFmt w:val="decimal"/>
      <w:suff w:val="nothing"/>
      <w:lvlText w:val="（%1）"/>
      <w:lvlJc w:val="left"/>
    </w:lvl>
  </w:abstractNum>
  <w:abstractNum w:abstractNumId="6">
    <w:nsid w:val="00000003"/>
    <w:multiLevelType w:val="multilevel"/>
    <w:tmpl w:val="00000003"/>
    <w:lvl w:ilvl="0">
      <w:start w:val="1"/>
      <w:numFmt w:val="decimal"/>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7">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8">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0">
    <w:nsid w:val="3A08072B"/>
    <w:multiLevelType w:val="multilevel"/>
    <w:tmpl w:val="3A08072B"/>
    <w:lvl w:ilvl="0">
      <w:start w:val="12"/>
      <w:numFmt w:val="decimal"/>
      <w:lvlText w:val="%1"/>
      <w:lvlJc w:val="left"/>
      <w:pPr>
        <w:ind w:left="440" w:hanging="440"/>
      </w:pPr>
      <w:rPr>
        <w:rFonts w:hint="default"/>
      </w:rPr>
    </w:lvl>
    <w:lvl w:ilvl="1">
      <w:start w:val="1"/>
      <w:numFmt w:val="decimal"/>
      <w:lvlText w:val="%1.%2"/>
      <w:lvlJc w:val="left"/>
      <w:pPr>
        <w:ind w:left="1140" w:hanging="7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3120" w:hanging="1440"/>
      </w:pPr>
      <w:rPr>
        <w:rFonts w:hint="default"/>
      </w:rPr>
    </w:lvl>
    <w:lvl w:ilvl="5">
      <w:start w:val="1"/>
      <w:numFmt w:val="decimal"/>
      <w:lvlText w:val="%1.%2.%3.%4.%5.%6"/>
      <w:lvlJc w:val="left"/>
      <w:pPr>
        <w:ind w:left="3900" w:hanging="1800"/>
      </w:pPr>
      <w:rPr>
        <w:rFonts w:hint="default"/>
      </w:rPr>
    </w:lvl>
    <w:lvl w:ilvl="6">
      <w:start w:val="1"/>
      <w:numFmt w:val="decimal"/>
      <w:lvlText w:val="%1.%2.%3.%4.%5.%6.%7"/>
      <w:lvlJc w:val="left"/>
      <w:pPr>
        <w:ind w:left="4320" w:hanging="1800"/>
      </w:pPr>
      <w:rPr>
        <w:rFonts w:hint="default"/>
      </w:rPr>
    </w:lvl>
    <w:lvl w:ilvl="7">
      <w:start w:val="1"/>
      <w:numFmt w:val="decimal"/>
      <w:lvlText w:val="%1.%2.%3.%4.%5.%6.%7.%8"/>
      <w:lvlJc w:val="left"/>
      <w:pPr>
        <w:ind w:left="5100" w:hanging="2160"/>
      </w:pPr>
      <w:rPr>
        <w:rFonts w:hint="default"/>
      </w:rPr>
    </w:lvl>
    <w:lvl w:ilvl="8">
      <w:start w:val="1"/>
      <w:numFmt w:val="decimal"/>
      <w:lvlText w:val="%1.%2.%3.%4.%5.%6.%7.%8.%9"/>
      <w:lvlJc w:val="left"/>
      <w:pPr>
        <w:ind w:left="5880" w:hanging="2520"/>
      </w:pPr>
      <w:rPr>
        <w:rFonts w:hint="default"/>
      </w:rPr>
    </w:lvl>
  </w:abstractNum>
  <w:abstractNum w:abstractNumId="11">
    <w:nsid w:val="53A08313"/>
    <w:multiLevelType w:val="singleLevel"/>
    <w:tmpl w:val="53A08313"/>
    <w:lvl w:ilvl="0">
      <w:start w:val="9"/>
      <w:numFmt w:val="chineseCounting"/>
      <w:suff w:val="space"/>
      <w:lvlText w:val="第%1章"/>
      <w:lvlJc w:val="left"/>
      <w:rPr>
        <w:rFonts w:hint="eastAsia"/>
      </w:rPr>
    </w:lvl>
  </w:abstractNum>
  <w:abstractNum w:abstractNumId="12">
    <w:nsid w:val="7A0F6431"/>
    <w:multiLevelType w:val="singleLevel"/>
    <w:tmpl w:val="7A0F6431"/>
    <w:lvl w:ilvl="0">
      <w:start w:val="1"/>
      <w:numFmt w:val="decimal"/>
      <w:suff w:val="space"/>
      <w:lvlText w:val="%1."/>
      <w:lvlJc w:val="left"/>
    </w:lvl>
  </w:abstractNum>
  <w:num w:numId="1">
    <w:abstractNumId w:val="7"/>
  </w:num>
  <w:num w:numId="2">
    <w:abstractNumId w:val="6"/>
  </w:num>
  <w:num w:numId="3">
    <w:abstractNumId w:val="8"/>
  </w:num>
  <w:num w:numId="4">
    <w:abstractNumId w:val="11"/>
  </w:num>
  <w:num w:numId="5">
    <w:abstractNumId w:val="12"/>
  </w:num>
  <w:num w:numId="6">
    <w:abstractNumId w:val="1"/>
  </w:num>
  <w:num w:numId="7">
    <w:abstractNumId w:val="5"/>
  </w:num>
  <w:num w:numId="8">
    <w:abstractNumId w:val="3"/>
  </w:num>
  <w:num w:numId="9">
    <w:abstractNumId w:val="2"/>
  </w:num>
  <w:num w:numId="10">
    <w:abstractNumId w:val="10"/>
  </w:num>
  <w:num w:numId="11">
    <w:abstractNumId w:val="0"/>
  </w:num>
  <w:num w:numId="12">
    <w:abstractNumId w:val="4"/>
  </w:num>
  <w:num w:numId="13">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3"/>
  <w:bordersDoNotSurroundHeader/>
  <w:bordersDoNotSurroundFooter/>
  <w:stylePaneFormatFilter w:val="3F01"/>
  <w:documentProtection w:edit="trackedChanges" w:enforcement="0"/>
  <w:defaultTabStop w:val="420"/>
  <w:drawingGridHorizontalSpacing w:val="105"/>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0593"/>
    <w:rsid w:val="00004504"/>
    <w:rsid w:val="00006B42"/>
    <w:rsid w:val="00007B85"/>
    <w:rsid w:val="000117CF"/>
    <w:rsid w:val="000121B3"/>
    <w:rsid w:val="00012E11"/>
    <w:rsid w:val="00013C5A"/>
    <w:rsid w:val="00014327"/>
    <w:rsid w:val="00015560"/>
    <w:rsid w:val="00016973"/>
    <w:rsid w:val="00020DDE"/>
    <w:rsid w:val="000215F3"/>
    <w:rsid w:val="00021705"/>
    <w:rsid w:val="00023804"/>
    <w:rsid w:val="00023CD4"/>
    <w:rsid w:val="00024755"/>
    <w:rsid w:val="000259A3"/>
    <w:rsid w:val="00025F7F"/>
    <w:rsid w:val="0002730D"/>
    <w:rsid w:val="00027E31"/>
    <w:rsid w:val="00030872"/>
    <w:rsid w:val="0003488A"/>
    <w:rsid w:val="00035D1E"/>
    <w:rsid w:val="00036680"/>
    <w:rsid w:val="00036F94"/>
    <w:rsid w:val="00037AB2"/>
    <w:rsid w:val="000400B8"/>
    <w:rsid w:val="00040983"/>
    <w:rsid w:val="00040E58"/>
    <w:rsid w:val="000410F1"/>
    <w:rsid w:val="00041207"/>
    <w:rsid w:val="00043FC9"/>
    <w:rsid w:val="0004417E"/>
    <w:rsid w:val="000442F7"/>
    <w:rsid w:val="00044ACA"/>
    <w:rsid w:val="00045B72"/>
    <w:rsid w:val="00047C9E"/>
    <w:rsid w:val="00047E72"/>
    <w:rsid w:val="00050460"/>
    <w:rsid w:val="00050E8F"/>
    <w:rsid w:val="00051C61"/>
    <w:rsid w:val="00052FCE"/>
    <w:rsid w:val="000535E9"/>
    <w:rsid w:val="00055171"/>
    <w:rsid w:val="00057BAF"/>
    <w:rsid w:val="00057D9E"/>
    <w:rsid w:val="00062949"/>
    <w:rsid w:val="000640D5"/>
    <w:rsid w:val="00066022"/>
    <w:rsid w:val="00066DC2"/>
    <w:rsid w:val="00070389"/>
    <w:rsid w:val="0007158E"/>
    <w:rsid w:val="00071F38"/>
    <w:rsid w:val="00072169"/>
    <w:rsid w:val="00072B31"/>
    <w:rsid w:val="0007427D"/>
    <w:rsid w:val="00074B9A"/>
    <w:rsid w:val="00074BB7"/>
    <w:rsid w:val="00074F53"/>
    <w:rsid w:val="0007651E"/>
    <w:rsid w:val="00077A69"/>
    <w:rsid w:val="00080619"/>
    <w:rsid w:val="0008172E"/>
    <w:rsid w:val="00084233"/>
    <w:rsid w:val="000868CE"/>
    <w:rsid w:val="00087892"/>
    <w:rsid w:val="00087F70"/>
    <w:rsid w:val="00090BE3"/>
    <w:rsid w:val="00091254"/>
    <w:rsid w:val="000920D6"/>
    <w:rsid w:val="00092756"/>
    <w:rsid w:val="00092A4D"/>
    <w:rsid w:val="00093FB7"/>
    <w:rsid w:val="0009416F"/>
    <w:rsid w:val="0009659F"/>
    <w:rsid w:val="000A184C"/>
    <w:rsid w:val="000A1C4A"/>
    <w:rsid w:val="000A33F0"/>
    <w:rsid w:val="000A402C"/>
    <w:rsid w:val="000A46E6"/>
    <w:rsid w:val="000A4D7D"/>
    <w:rsid w:val="000A4DE5"/>
    <w:rsid w:val="000A5194"/>
    <w:rsid w:val="000A565D"/>
    <w:rsid w:val="000A571B"/>
    <w:rsid w:val="000A63F4"/>
    <w:rsid w:val="000B012A"/>
    <w:rsid w:val="000B06DC"/>
    <w:rsid w:val="000B1286"/>
    <w:rsid w:val="000B2214"/>
    <w:rsid w:val="000B35F1"/>
    <w:rsid w:val="000B38B5"/>
    <w:rsid w:val="000B3D4F"/>
    <w:rsid w:val="000B56B6"/>
    <w:rsid w:val="000B57D4"/>
    <w:rsid w:val="000B5C61"/>
    <w:rsid w:val="000B5D49"/>
    <w:rsid w:val="000B6095"/>
    <w:rsid w:val="000B66A1"/>
    <w:rsid w:val="000B6C38"/>
    <w:rsid w:val="000B79AB"/>
    <w:rsid w:val="000C0778"/>
    <w:rsid w:val="000C107D"/>
    <w:rsid w:val="000C13B1"/>
    <w:rsid w:val="000C21AB"/>
    <w:rsid w:val="000C535A"/>
    <w:rsid w:val="000C641B"/>
    <w:rsid w:val="000C6538"/>
    <w:rsid w:val="000D002E"/>
    <w:rsid w:val="000D00CE"/>
    <w:rsid w:val="000D09ED"/>
    <w:rsid w:val="000D144C"/>
    <w:rsid w:val="000D15B4"/>
    <w:rsid w:val="000D2A80"/>
    <w:rsid w:val="000D564F"/>
    <w:rsid w:val="000D5E72"/>
    <w:rsid w:val="000D6464"/>
    <w:rsid w:val="000E022A"/>
    <w:rsid w:val="000E6D58"/>
    <w:rsid w:val="000E7D35"/>
    <w:rsid w:val="000E7D37"/>
    <w:rsid w:val="000F1BC9"/>
    <w:rsid w:val="000F4445"/>
    <w:rsid w:val="000F646B"/>
    <w:rsid w:val="000F750E"/>
    <w:rsid w:val="000F75E8"/>
    <w:rsid w:val="00100624"/>
    <w:rsid w:val="0010098C"/>
    <w:rsid w:val="001037D1"/>
    <w:rsid w:val="00103847"/>
    <w:rsid w:val="00104E6A"/>
    <w:rsid w:val="00105108"/>
    <w:rsid w:val="00105728"/>
    <w:rsid w:val="00110637"/>
    <w:rsid w:val="00110D05"/>
    <w:rsid w:val="001125B5"/>
    <w:rsid w:val="00112919"/>
    <w:rsid w:val="00112977"/>
    <w:rsid w:val="00113AF1"/>
    <w:rsid w:val="00114489"/>
    <w:rsid w:val="001147F2"/>
    <w:rsid w:val="00114ACA"/>
    <w:rsid w:val="001164D1"/>
    <w:rsid w:val="00116547"/>
    <w:rsid w:val="00117062"/>
    <w:rsid w:val="00117190"/>
    <w:rsid w:val="00117AC2"/>
    <w:rsid w:val="001206E4"/>
    <w:rsid w:val="00121962"/>
    <w:rsid w:val="00122027"/>
    <w:rsid w:val="001223E2"/>
    <w:rsid w:val="0012363A"/>
    <w:rsid w:val="00124CC2"/>
    <w:rsid w:val="001264E0"/>
    <w:rsid w:val="00126E8B"/>
    <w:rsid w:val="00127129"/>
    <w:rsid w:val="001306FB"/>
    <w:rsid w:val="00130D3D"/>
    <w:rsid w:val="00131B4E"/>
    <w:rsid w:val="00133834"/>
    <w:rsid w:val="001341D7"/>
    <w:rsid w:val="00142DAE"/>
    <w:rsid w:val="00143DFD"/>
    <w:rsid w:val="001459A1"/>
    <w:rsid w:val="001465EB"/>
    <w:rsid w:val="00146E29"/>
    <w:rsid w:val="00147122"/>
    <w:rsid w:val="00151022"/>
    <w:rsid w:val="0015119F"/>
    <w:rsid w:val="0015178A"/>
    <w:rsid w:val="001517DA"/>
    <w:rsid w:val="00152CC6"/>
    <w:rsid w:val="00153B3D"/>
    <w:rsid w:val="00153F91"/>
    <w:rsid w:val="001541F5"/>
    <w:rsid w:val="001550E5"/>
    <w:rsid w:val="00156328"/>
    <w:rsid w:val="00160055"/>
    <w:rsid w:val="001601FC"/>
    <w:rsid w:val="00160FB7"/>
    <w:rsid w:val="00162088"/>
    <w:rsid w:val="00163306"/>
    <w:rsid w:val="001654AF"/>
    <w:rsid w:val="00165DCF"/>
    <w:rsid w:val="00166FE0"/>
    <w:rsid w:val="00167730"/>
    <w:rsid w:val="001705C0"/>
    <w:rsid w:val="00170CAE"/>
    <w:rsid w:val="0017208C"/>
    <w:rsid w:val="00172A27"/>
    <w:rsid w:val="0017351E"/>
    <w:rsid w:val="00173C95"/>
    <w:rsid w:val="00174751"/>
    <w:rsid w:val="001760EC"/>
    <w:rsid w:val="00176937"/>
    <w:rsid w:val="00177D5E"/>
    <w:rsid w:val="00180577"/>
    <w:rsid w:val="0018106A"/>
    <w:rsid w:val="00181482"/>
    <w:rsid w:val="001814EA"/>
    <w:rsid w:val="00182442"/>
    <w:rsid w:val="00184A52"/>
    <w:rsid w:val="001873F2"/>
    <w:rsid w:val="00191879"/>
    <w:rsid w:val="00191A11"/>
    <w:rsid w:val="00192921"/>
    <w:rsid w:val="00193464"/>
    <w:rsid w:val="00194F97"/>
    <w:rsid w:val="001958F4"/>
    <w:rsid w:val="001A10C3"/>
    <w:rsid w:val="001A14C0"/>
    <w:rsid w:val="001A14D4"/>
    <w:rsid w:val="001A1941"/>
    <w:rsid w:val="001A64DC"/>
    <w:rsid w:val="001A68F2"/>
    <w:rsid w:val="001B0500"/>
    <w:rsid w:val="001B0FCC"/>
    <w:rsid w:val="001B116D"/>
    <w:rsid w:val="001B31D1"/>
    <w:rsid w:val="001B47AA"/>
    <w:rsid w:val="001B66AE"/>
    <w:rsid w:val="001C0ADA"/>
    <w:rsid w:val="001C0E16"/>
    <w:rsid w:val="001C0F75"/>
    <w:rsid w:val="001C0FC7"/>
    <w:rsid w:val="001C22D8"/>
    <w:rsid w:val="001C2D00"/>
    <w:rsid w:val="001C36AD"/>
    <w:rsid w:val="001C3E92"/>
    <w:rsid w:val="001C422B"/>
    <w:rsid w:val="001C4622"/>
    <w:rsid w:val="001C5E86"/>
    <w:rsid w:val="001D04D6"/>
    <w:rsid w:val="001D0F36"/>
    <w:rsid w:val="001D3AE5"/>
    <w:rsid w:val="001D4479"/>
    <w:rsid w:val="001D449B"/>
    <w:rsid w:val="001D51D1"/>
    <w:rsid w:val="001D62A9"/>
    <w:rsid w:val="001D6BB1"/>
    <w:rsid w:val="001D6EFF"/>
    <w:rsid w:val="001D7356"/>
    <w:rsid w:val="001D757B"/>
    <w:rsid w:val="001E02B4"/>
    <w:rsid w:val="001E1371"/>
    <w:rsid w:val="001E146B"/>
    <w:rsid w:val="001E278E"/>
    <w:rsid w:val="001E2B59"/>
    <w:rsid w:val="001E3022"/>
    <w:rsid w:val="001E3BD6"/>
    <w:rsid w:val="001E4C1A"/>
    <w:rsid w:val="001E4C68"/>
    <w:rsid w:val="001E4F86"/>
    <w:rsid w:val="001E5C5B"/>
    <w:rsid w:val="001E7631"/>
    <w:rsid w:val="001E767B"/>
    <w:rsid w:val="001F066A"/>
    <w:rsid w:val="001F357A"/>
    <w:rsid w:val="001F50EE"/>
    <w:rsid w:val="001F7408"/>
    <w:rsid w:val="001F778B"/>
    <w:rsid w:val="0020092B"/>
    <w:rsid w:val="00200BC9"/>
    <w:rsid w:val="0020156D"/>
    <w:rsid w:val="00201E82"/>
    <w:rsid w:val="0020256A"/>
    <w:rsid w:val="002025CF"/>
    <w:rsid w:val="00203B17"/>
    <w:rsid w:val="00205AEA"/>
    <w:rsid w:val="0020700E"/>
    <w:rsid w:val="00211BAB"/>
    <w:rsid w:val="002139CC"/>
    <w:rsid w:val="00213CC4"/>
    <w:rsid w:val="00213F8E"/>
    <w:rsid w:val="002148F2"/>
    <w:rsid w:val="00214CCA"/>
    <w:rsid w:val="00215AB5"/>
    <w:rsid w:val="00216BDA"/>
    <w:rsid w:val="00217991"/>
    <w:rsid w:val="00221D24"/>
    <w:rsid w:val="00223413"/>
    <w:rsid w:val="00223DAC"/>
    <w:rsid w:val="00223EA7"/>
    <w:rsid w:val="0022674B"/>
    <w:rsid w:val="002267A7"/>
    <w:rsid w:val="00227402"/>
    <w:rsid w:val="0022769C"/>
    <w:rsid w:val="00227B55"/>
    <w:rsid w:val="00230D95"/>
    <w:rsid w:val="002311D0"/>
    <w:rsid w:val="00231EF6"/>
    <w:rsid w:val="0023247D"/>
    <w:rsid w:val="00233646"/>
    <w:rsid w:val="00233E72"/>
    <w:rsid w:val="002343C4"/>
    <w:rsid w:val="00234A0E"/>
    <w:rsid w:val="002367D2"/>
    <w:rsid w:val="00236CEF"/>
    <w:rsid w:val="00240213"/>
    <w:rsid w:val="002421C4"/>
    <w:rsid w:val="0024276F"/>
    <w:rsid w:val="0024486D"/>
    <w:rsid w:val="00244B6B"/>
    <w:rsid w:val="00244E24"/>
    <w:rsid w:val="00244FFE"/>
    <w:rsid w:val="00245C74"/>
    <w:rsid w:val="00246AD2"/>
    <w:rsid w:val="00250541"/>
    <w:rsid w:val="00251D82"/>
    <w:rsid w:val="0025229B"/>
    <w:rsid w:val="00253187"/>
    <w:rsid w:val="002532DB"/>
    <w:rsid w:val="00253E7D"/>
    <w:rsid w:val="00255D12"/>
    <w:rsid w:val="00256110"/>
    <w:rsid w:val="00257963"/>
    <w:rsid w:val="00257CD4"/>
    <w:rsid w:val="00263533"/>
    <w:rsid w:val="00265320"/>
    <w:rsid w:val="00267220"/>
    <w:rsid w:val="0027386F"/>
    <w:rsid w:val="002746D6"/>
    <w:rsid w:val="00274906"/>
    <w:rsid w:val="00274D1F"/>
    <w:rsid w:val="002758FB"/>
    <w:rsid w:val="00275B5D"/>
    <w:rsid w:val="00280D59"/>
    <w:rsid w:val="002816DD"/>
    <w:rsid w:val="00283285"/>
    <w:rsid w:val="00285A93"/>
    <w:rsid w:val="0029011E"/>
    <w:rsid w:val="002905EE"/>
    <w:rsid w:val="00290E23"/>
    <w:rsid w:val="00291ECC"/>
    <w:rsid w:val="002921DC"/>
    <w:rsid w:val="00292315"/>
    <w:rsid w:val="00292BFB"/>
    <w:rsid w:val="00293227"/>
    <w:rsid w:val="002945BB"/>
    <w:rsid w:val="00295225"/>
    <w:rsid w:val="00295561"/>
    <w:rsid w:val="0029629F"/>
    <w:rsid w:val="00297198"/>
    <w:rsid w:val="002A0C63"/>
    <w:rsid w:val="002A1C12"/>
    <w:rsid w:val="002A48ED"/>
    <w:rsid w:val="002A5D00"/>
    <w:rsid w:val="002A67F0"/>
    <w:rsid w:val="002A7711"/>
    <w:rsid w:val="002B03EC"/>
    <w:rsid w:val="002B099F"/>
    <w:rsid w:val="002B2FE3"/>
    <w:rsid w:val="002B41FC"/>
    <w:rsid w:val="002B49BC"/>
    <w:rsid w:val="002B61E5"/>
    <w:rsid w:val="002B71B4"/>
    <w:rsid w:val="002B72BC"/>
    <w:rsid w:val="002C0552"/>
    <w:rsid w:val="002C05B2"/>
    <w:rsid w:val="002C0DEA"/>
    <w:rsid w:val="002C160C"/>
    <w:rsid w:val="002C35BA"/>
    <w:rsid w:val="002C5F3F"/>
    <w:rsid w:val="002C66C3"/>
    <w:rsid w:val="002C6A84"/>
    <w:rsid w:val="002C6A8D"/>
    <w:rsid w:val="002C729D"/>
    <w:rsid w:val="002D01BD"/>
    <w:rsid w:val="002D0303"/>
    <w:rsid w:val="002D0B28"/>
    <w:rsid w:val="002D1340"/>
    <w:rsid w:val="002D1852"/>
    <w:rsid w:val="002D39A1"/>
    <w:rsid w:val="002D4502"/>
    <w:rsid w:val="002D5AEE"/>
    <w:rsid w:val="002D60C2"/>
    <w:rsid w:val="002E1E83"/>
    <w:rsid w:val="002E2238"/>
    <w:rsid w:val="002E239D"/>
    <w:rsid w:val="002E2F72"/>
    <w:rsid w:val="002E3A13"/>
    <w:rsid w:val="002E5428"/>
    <w:rsid w:val="002E57D6"/>
    <w:rsid w:val="002E677C"/>
    <w:rsid w:val="002E776D"/>
    <w:rsid w:val="002F0E73"/>
    <w:rsid w:val="002F1BC8"/>
    <w:rsid w:val="002F2531"/>
    <w:rsid w:val="002F325A"/>
    <w:rsid w:val="002F3E2B"/>
    <w:rsid w:val="002F50C6"/>
    <w:rsid w:val="002F770C"/>
    <w:rsid w:val="002F77A6"/>
    <w:rsid w:val="002F7ADB"/>
    <w:rsid w:val="002F7B63"/>
    <w:rsid w:val="002F7E2E"/>
    <w:rsid w:val="003025E4"/>
    <w:rsid w:val="00302948"/>
    <w:rsid w:val="00304E48"/>
    <w:rsid w:val="00311663"/>
    <w:rsid w:val="0031243A"/>
    <w:rsid w:val="0031359D"/>
    <w:rsid w:val="003137A3"/>
    <w:rsid w:val="00314CA2"/>
    <w:rsid w:val="003166DB"/>
    <w:rsid w:val="00316867"/>
    <w:rsid w:val="00320185"/>
    <w:rsid w:val="00320BAD"/>
    <w:rsid w:val="00321484"/>
    <w:rsid w:val="003226E8"/>
    <w:rsid w:val="003237A6"/>
    <w:rsid w:val="003253AC"/>
    <w:rsid w:val="0032658C"/>
    <w:rsid w:val="00326F4D"/>
    <w:rsid w:val="00327470"/>
    <w:rsid w:val="00327FF7"/>
    <w:rsid w:val="00332013"/>
    <w:rsid w:val="0033521B"/>
    <w:rsid w:val="003372D2"/>
    <w:rsid w:val="00337666"/>
    <w:rsid w:val="0034068E"/>
    <w:rsid w:val="003410BA"/>
    <w:rsid w:val="0034156A"/>
    <w:rsid w:val="00344A3D"/>
    <w:rsid w:val="0034628F"/>
    <w:rsid w:val="00350A59"/>
    <w:rsid w:val="00351EF1"/>
    <w:rsid w:val="003521F9"/>
    <w:rsid w:val="00352FB4"/>
    <w:rsid w:val="003537FC"/>
    <w:rsid w:val="00353CA0"/>
    <w:rsid w:val="00353F83"/>
    <w:rsid w:val="0035468C"/>
    <w:rsid w:val="00354943"/>
    <w:rsid w:val="00355CE3"/>
    <w:rsid w:val="0035798A"/>
    <w:rsid w:val="00360252"/>
    <w:rsid w:val="00360577"/>
    <w:rsid w:val="00360D2F"/>
    <w:rsid w:val="00361DBD"/>
    <w:rsid w:val="003624BE"/>
    <w:rsid w:val="00362B7F"/>
    <w:rsid w:val="0036376B"/>
    <w:rsid w:val="003637AF"/>
    <w:rsid w:val="0036384D"/>
    <w:rsid w:val="00366679"/>
    <w:rsid w:val="00367607"/>
    <w:rsid w:val="00367952"/>
    <w:rsid w:val="003702A0"/>
    <w:rsid w:val="00370D9E"/>
    <w:rsid w:val="00371BF3"/>
    <w:rsid w:val="00371C65"/>
    <w:rsid w:val="00372F79"/>
    <w:rsid w:val="00373B0C"/>
    <w:rsid w:val="00374B78"/>
    <w:rsid w:val="003750FC"/>
    <w:rsid w:val="00375BE2"/>
    <w:rsid w:val="003772EF"/>
    <w:rsid w:val="0037762A"/>
    <w:rsid w:val="003776A3"/>
    <w:rsid w:val="00377915"/>
    <w:rsid w:val="00377CA2"/>
    <w:rsid w:val="00377D03"/>
    <w:rsid w:val="00380531"/>
    <w:rsid w:val="003819B8"/>
    <w:rsid w:val="00381AE0"/>
    <w:rsid w:val="00382002"/>
    <w:rsid w:val="00382BF1"/>
    <w:rsid w:val="003840DC"/>
    <w:rsid w:val="0038761B"/>
    <w:rsid w:val="00387B71"/>
    <w:rsid w:val="003901FF"/>
    <w:rsid w:val="003919BC"/>
    <w:rsid w:val="003955E2"/>
    <w:rsid w:val="003962B8"/>
    <w:rsid w:val="0039748A"/>
    <w:rsid w:val="00397C86"/>
    <w:rsid w:val="003A111C"/>
    <w:rsid w:val="003A30B5"/>
    <w:rsid w:val="003A4338"/>
    <w:rsid w:val="003A4FAE"/>
    <w:rsid w:val="003A5FFE"/>
    <w:rsid w:val="003A661F"/>
    <w:rsid w:val="003A718A"/>
    <w:rsid w:val="003A7A2D"/>
    <w:rsid w:val="003B175C"/>
    <w:rsid w:val="003B2A16"/>
    <w:rsid w:val="003B3431"/>
    <w:rsid w:val="003B489F"/>
    <w:rsid w:val="003B6D1E"/>
    <w:rsid w:val="003C1C24"/>
    <w:rsid w:val="003C3435"/>
    <w:rsid w:val="003C49DD"/>
    <w:rsid w:val="003C5FB5"/>
    <w:rsid w:val="003C67B5"/>
    <w:rsid w:val="003C7FC8"/>
    <w:rsid w:val="003D0F8D"/>
    <w:rsid w:val="003D133D"/>
    <w:rsid w:val="003D1D6E"/>
    <w:rsid w:val="003D2AB9"/>
    <w:rsid w:val="003D31B2"/>
    <w:rsid w:val="003D4D4D"/>
    <w:rsid w:val="003D5FB0"/>
    <w:rsid w:val="003D606B"/>
    <w:rsid w:val="003D63D8"/>
    <w:rsid w:val="003D6453"/>
    <w:rsid w:val="003E03AD"/>
    <w:rsid w:val="003E0CB8"/>
    <w:rsid w:val="003E21C6"/>
    <w:rsid w:val="003E3AEC"/>
    <w:rsid w:val="003E4700"/>
    <w:rsid w:val="003E4A91"/>
    <w:rsid w:val="003E5042"/>
    <w:rsid w:val="003E579F"/>
    <w:rsid w:val="003F124D"/>
    <w:rsid w:val="003F2009"/>
    <w:rsid w:val="003F2123"/>
    <w:rsid w:val="003F3B21"/>
    <w:rsid w:val="003F3EAC"/>
    <w:rsid w:val="003F4F83"/>
    <w:rsid w:val="003F6D95"/>
    <w:rsid w:val="003F7497"/>
    <w:rsid w:val="003F7D42"/>
    <w:rsid w:val="00400538"/>
    <w:rsid w:val="00400934"/>
    <w:rsid w:val="0040299D"/>
    <w:rsid w:val="00403479"/>
    <w:rsid w:val="00403547"/>
    <w:rsid w:val="00404BDC"/>
    <w:rsid w:val="00404D00"/>
    <w:rsid w:val="004058B6"/>
    <w:rsid w:val="0040769F"/>
    <w:rsid w:val="0041228B"/>
    <w:rsid w:val="00412C66"/>
    <w:rsid w:val="0041320D"/>
    <w:rsid w:val="0041455B"/>
    <w:rsid w:val="00414602"/>
    <w:rsid w:val="004159D8"/>
    <w:rsid w:val="00415A5A"/>
    <w:rsid w:val="004177DF"/>
    <w:rsid w:val="004200C4"/>
    <w:rsid w:val="00422399"/>
    <w:rsid w:val="00423DE8"/>
    <w:rsid w:val="00424688"/>
    <w:rsid w:val="0042562F"/>
    <w:rsid w:val="004274CB"/>
    <w:rsid w:val="0043030B"/>
    <w:rsid w:val="0043054A"/>
    <w:rsid w:val="00431168"/>
    <w:rsid w:val="00432ECA"/>
    <w:rsid w:val="0043391F"/>
    <w:rsid w:val="00437D7F"/>
    <w:rsid w:val="0044165A"/>
    <w:rsid w:val="0044281E"/>
    <w:rsid w:val="004432CC"/>
    <w:rsid w:val="00443C6A"/>
    <w:rsid w:val="00445A44"/>
    <w:rsid w:val="00447411"/>
    <w:rsid w:val="004505C0"/>
    <w:rsid w:val="0045096D"/>
    <w:rsid w:val="0045101E"/>
    <w:rsid w:val="00451CE9"/>
    <w:rsid w:val="00452440"/>
    <w:rsid w:val="00453059"/>
    <w:rsid w:val="00453D42"/>
    <w:rsid w:val="00454FD3"/>
    <w:rsid w:val="004552C2"/>
    <w:rsid w:val="00456A4B"/>
    <w:rsid w:val="00456DB4"/>
    <w:rsid w:val="004575E7"/>
    <w:rsid w:val="00457B7E"/>
    <w:rsid w:val="004619DE"/>
    <w:rsid w:val="00462B14"/>
    <w:rsid w:val="00466764"/>
    <w:rsid w:val="00466B27"/>
    <w:rsid w:val="00467BDF"/>
    <w:rsid w:val="00471179"/>
    <w:rsid w:val="00471B75"/>
    <w:rsid w:val="004768CE"/>
    <w:rsid w:val="00480B5E"/>
    <w:rsid w:val="00480E76"/>
    <w:rsid w:val="00482FA5"/>
    <w:rsid w:val="0048315A"/>
    <w:rsid w:val="00483B84"/>
    <w:rsid w:val="004859C9"/>
    <w:rsid w:val="00485BFE"/>
    <w:rsid w:val="00486B2F"/>
    <w:rsid w:val="004870B2"/>
    <w:rsid w:val="00491895"/>
    <w:rsid w:val="00492043"/>
    <w:rsid w:val="0049254D"/>
    <w:rsid w:val="004925E2"/>
    <w:rsid w:val="00493B03"/>
    <w:rsid w:val="00494BBB"/>
    <w:rsid w:val="00496871"/>
    <w:rsid w:val="0049769A"/>
    <w:rsid w:val="00497908"/>
    <w:rsid w:val="00497C48"/>
    <w:rsid w:val="00497EE8"/>
    <w:rsid w:val="004A04EF"/>
    <w:rsid w:val="004A241E"/>
    <w:rsid w:val="004A3115"/>
    <w:rsid w:val="004A37AA"/>
    <w:rsid w:val="004A4053"/>
    <w:rsid w:val="004A44A7"/>
    <w:rsid w:val="004A502E"/>
    <w:rsid w:val="004A5895"/>
    <w:rsid w:val="004A59C0"/>
    <w:rsid w:val="004A6892"/>
    <w:rsid w:val="004A6B04"/>
    <w:rsid w:val="004A6BD2"/>
    <w:rsid w:val="004B02E0"/>
    <w:rsid w:val="004B129F"/>
    <w:rsid w:val="004B1505"/>
    <w:rsid w:val="004B2660"/>
    <w:rsid w:val="004B28BA"/>
    <w:rsid w:val="004B56BB"/>
    <w:rsid w:val="004B695E"/>
    <w:rsid w:val="004B6A6E"/>
    <w:rsid w:val="004B7FB0"/>
    <w:rsid w:val="004C006C"/>
    <w:rsid w:val="004C054B"/>
    <w:rsid w:val="004C1218"/>
    <w:rsid w:val="004C2CC4"/>
    <w:rsid w:val="004C30A6"/>
    <w:rsid w:val="004C449E"/>
    <w:rsid w:val="004C69BE"/>
    <w:rsid w:val="004C732F"/>
    <w:rsid w:val="004D0479"/>
    <w:rsid w:val="004D0645"/>
    <w:rsid w:val="004D25A4"/>
    <w:rsid w:val="004D2FBE"/>
    <w:rsid w:val="004D3C99"/>
    <w:rsid w:val="004D5387"/>
    <w:rsid w:val="004D59A9"/>
    <w:rsid w:val="004D6D3B"/>
    <w:rsid w:val="004E07BA"/>
    <w:rsid w:val="004E12AB"/>
    <w:rsid w:val="004E3683"/>
    <w:rsid w:val="004E3A2F"/>
    <w:rsid w:val="004E5358"/>
    <w:rsid w:val="004F14D3"/>
    <w:rsid w:val="004F1C42"/>
    <w:rsid w:val="004F3AC6"/>
    <w:rsid w:val="004F3B4F"/>
    <w:rsid w:val="004F4357"/>
    <w:rsid w:val="0050052D"/>
    <w:rsid w:val="00500EBB"/>
    <w:rsid w:val="005011B3"/>
    <w:rsid w:val="00502D74"/>
    <w:rsid w:val="00503A5C"/>
    <w:rsid w:val="00503CBF"/>
    <w:rsid w:val="00504EF6"/>
    <w:rsid w:val="00506AD1"/>
    <w:rsid w:val="00507748"/>
    <w:rsid w:val="00507C00"/>
    <w:rsid w:val="0051053E"/>
    <w:rsid w:val="005117FA"/>
    <w:rsid w:val="005132DC"/>
    <w:rsid w:val="00514553"/>
    <w:rsid w:val="00515742"/>
    <w:rsid w:val="00515CE4"/>
    <w:rsid w:val="00516000"/>
    <w:rsid w:val="00517D62"/>
    <w:rsid w:val="00521878"/>
    <w:rsid w:val="0052492E"/>
    <w:rsid w:val="00524BA1"/>
    <w:rsid w:val="00524ED9"/>
    <w:rsid w:val="005264FE"/>
    <w:rsid w:val="00526CA1"/>
    <w:rsid w:val="00527678"/>
    <w:rsid w:val="00527753"/>
    <w:rsid w:val="005277A2"/>
    <w:rsid w:val="005302F5"/>
    <w:rsid w:val="00530718"/>
    <w:rsid w:val="00530BC2"/>
    <w:rsid w:val="00531C9B"/>
    <w:rsid w:val="00532428"/>
    <w:rsid w:val="00536909"/>
    <w:rsid w:val="00540056"/>
    <w:rsid w:val="00540483"/>
    <w:rsid w:val="005428B5"/>
    <w:rsid w:val="00542A08"/>
    <w:rsid w:val="00543D29"/>
    <w:rsid w:val="0054537B"/>
    <w:rsid w:val="0054594F"/>
    <w:rsid w:val="00545BE3"/>
    <w:rsid w:val="00546596"/>
    <w:rsid w:val="00547A46"/>
    <w:rsid w:val="00550885"/>
    <w:rsid w:val="005511D3"/>
    <w:rsid w:val="005512F7"/>
    <w:rsid w:val="00551586"/>
    <w:rsid w:val="00551E9F"/>
    <w:rsid w:val="00552395"/>
    <w:rsid w:val="00552D50"/>
    <w:rsid w:val="00554590"/>
    <w:rsid w:val="00556AF3"/>
    <w:rsid w:val="00560135"/>
    <w:rsid w:val="00560F1E"/>
    <w:rsid w:val="005624FD"/>
    <w:rsid w:val="0056446E"/>
    <w:rsid w:val="0056479F"/>
    <w:rsid w:val="00566647"/>
    <w:rsid w:val="00570E15"/>
    <w:rsid w:val="00573490"/>
    <w:rsid w:val="00573B18"/>
    <w:rsid w:val="005740E0"/>
    <w:rsid w:val="00574702"/>
    <w:rsid w:val="00574EB7"/>
    <w:rsid w:val="00575266"/>
    <w:rsid w:val="00575E3F"/>
    <w:rsid w:val="005769FC"/>
    <w:rsid w:val="00580D99"/>
    <w:rsid w:val="00581712"/>
    <w:rsid w:val="00583CF7"/>
    <w:rsid w:val="00585A7A"/>
    <w:rsid w:val="005862CE"/>
    <w:rsid w:val="00586D16"/>
    <w:rsid w:val="005877E3"/>
    <w:rsid w:val="0058799B"/>
    <w:rsid w:val="0059015D"/>
    <w:rsid w:val="005902D6"/>
    <w:rsid w:val="00591A71"/>
    <w:rsid w:val="00592087"/>
    <w:rsid w:val="005921B8"/>
    <w:rsid w:val="0059331C"/>
    <w:rsid w:val="00593BFB"/>
    <w:rsid w:val="00594353"/>
    <w:rsid w:val="0059476B"/>
    <w:rsid w:val="005949A8"/>
    <w:rsid w:val="00595FCB"/>
    <w:rsid w:val="00596885"/>
    <w:rsid w:val="00596E1E"/>
    <w:rsid w:val="005A0079"/>
    <w:rsid w:val="005A0B14"/>
    <w:rsid w:val="005A18FE"/>
    <w:rsid w:val="005A7311"/>
    <w:rsid w:val="005A7D7F"/>
    <w:rsid w:val="005B107B"/>
    <w:rsid w:val="005B4C0E"/>
    <w:rsid w:val="005B512A"/>
    <w:rsid w:val="005B6517"/>
    <w:rsid w:val="005C026B"/>
    <w:rsid w:val="005C1832"/>
    <w:rsid w:val="005C241B"/>
    <w:rsid w:val="005C2AE9"/>
    <w:rsid w:val="005C419D"/>
    <w:rsid w:val="005C5A30"/>
    <w:rsid w:val="005C6084"/>
    <w:rsid w:val="005C68B9"/>
    <w:rsid w:val="005C6FC9"/>
    <w:rsid w:val="005D1D6D"/>
    <w:rsid w:val="005D2178"/>
    <w:rsid w:val="005D387D"/>
    <w:rsid w:val="005D48CE"/>
    <w:rsid w:val="005D5B37"/>
    <w:rsid w:val="005D6684"/>
    <w:rsid w:val="005D6A20"/>
    <w:rsid w:val="005E18A2"/>
    <w:rsid w:val="005E2BFF"/>
    <w:rsid w:val="005E312F"/>
    <w:rsid w:val="005E42B6"/>
    <w:rsid w:val="005F17C9"/>
    <w:rsid w:val="005F1907"/>
    <w:rsid w:val="005F20FA"/>
    <w:rsid w:val="005F32A4"/>
    <w:rsid w:val="005F4843"/>
    <w:rsid w:val="005F5B4C"/>
    <w:rsid w:val="005F6416"/>
    <w:rsid w:val="00600F9B"/>
    <w:rsid w:val="006015A1"/>
    <w:rsid w:val="00602F8F"/>
    <w:rsid w:val="006030F7"/>
    <w:rsid w:val="00603919"/>
    <w:rsid w:val="00604394"/>
    <w:rsid w:val="006067CE"/>
    <w:rsid w:val="006109C1"/>
    <w:rsid w:val="00610DC7"/>
    <w:rsid w:val="00611AD3"/>
    <w:rsid w:val="0061303E"/>
    <w:rsid w:val="00613444"/>
    <w:rsid w:val="00614891"/>
    <w:rsid w:val="006179A5"/>
    <w:rsid w:val="006179F1"/>
    <w:rsid w:val="00617B0E"/>
    <w:rsid w:val="00622203"/>
    <w:rsid w:val="00622272"/>
    <w:rsid w:val="0062705C"/>
    <w:rsid w:val="00631D2E"/>
    <w:rsid w:val="00632EE5"/>
    <w:rsid w:val="00637553"/>
    <w:rsid w:val="006401E4"/>
    <w:rsid w:val="00640213"/>
    <w:rsid w:val="00640E3B"/>
    <w:rsid w:val="00642D25"/>
    <w:rsid w:val="00642D9B"/>
    <w:rsid w:val="0064443D"/>
    <w:rsid w:val="00644497"/>
    <w:rsid w:val="00644F52"/>
    <w:rsid w:val="00645735"/>
    <w:rsid w:val="0064655C"/>
    <w:rsid w:val="0064683C"/>
    <w:rsid w:val="006478EE"/>
    <w:rsid w:val="00650AFB"/>
    <w:rsid w:val="00652549"/>
    <w:rsid w:val="00652C5F"/>
    <w:rsid w:val="00652EBD"/>
    <w:rsid w:val="0065664C"/>
    <w:rsid w:val="00656B46"/>
    <w:rsid w:val="00661089"/>
    <w:rsid w:val="006624D8"/>
    <w:rsid w:val="006628CC"/>
    <w:rsid w:val="00662B73"/>
    <w:rsid w:val="00663788"/>
    <w:rsid w:val="00663865"/>
    <w:rsid w:val="00665215"/>
    <w:rsid w:val="0066689A"/>
    <w:rsid w:val="00670C3A"/>
    <w:rsid w:val="0067132F"/>
    <w:rsid w:val="006716C6"/>
    <w:rsid w:val="006725B7"/>
    <w:rsid w:val="006736FC"/>
    <w:rsid w:val="0067421A"/>
    <w:rsid w:val="00675155"/>
    <w:rsid w:val="00676887"/>
    <w:rsid w:val="00676A53"/>
    <w:rsid w:val="0068090B"/>
    <w:rsid w:val="00680DB0"/>
    <w:rsid w:val="00681995"/>
    <w:rsid w:val="006821AD"/>
    <w:rsid w:val="006832E4"/>
    <w:rsid w:val="00684032"/>
    <w:rsid w:val="00684696"/>
    <w:rsid w:val="00686982"/>
    <w:rsid w:val="00686D66"/>
    <w:rsid w:val="0068754E"/>
    <w:rsid w:val="006904AE"/>
    <w:rsid w:val="00691B74"/>
    <w:rsid w:val="00692D03"/>
    <w:rsid w:val="00696938"/>
    <w:rsid w:val="006973FA"/>
    <w:rsid w:val="006979AF"/>
    <w:rsid w:val="00697B81"/>
    <w:rsid w:val="006A08B1"/>
    <w:rsid w:val="006A0AB1"/>
    <w:rsid w:val="006A1BC7"/>
    <w:rsid w:val="006A1C8F"/>
    <w:rsid w:val="006A2C18"/>
    <w:rsid w:val="006A5528"/>
    <w:rsid w:val="006A5F07"/>
    <w:rsid w:val="006A72C6"/>
    <w:rsid w:val="006A7D0B"/>
    <w:rsid w:val="006B058C"/>
    <w:rsid w:val="006B4961"/>
    <w:rsid w:val="006B6041"/>
    <w:rsid w:val="006C0C12"/>
    <w:rsid w:val="006C1CD8"/>
    <w:rsid w:val="006C40BE"/>
    <w:rsid w:val="006C46BB"/>
    <w:rsid w:val="006C4F28"/>
    <w:rsid w:val="006C5D99"/>
    <w:rsid w:val="006C6D4E"/>
    <w:rsid w:val="006C71C9"/>
    <w:rsid w:val="006C7835"/>
    <w:rsid w:val="006D062B"/>
    <w:rsid w:val="006D111D"/>
    <w:rsid w:val="006D122A"/>
    <w:rsid w:val="006D22A5"/>
    <w:rsid w:val="006D2817"/>
    <w:rsid w:val="006D2DE3"/>
    <w:rsid w:val="006D3E00"/>
    <w:rsid w:val="006D5E7E"/>
    <w:rsid w:val="006E063C"/>
    <w:rsid w:val="006E3119"/>
    <w:rsid w:val="006E4BF7"/>
    <w:rsid w:val="006E7057"/>
    <w:rsid w:val="006E7CC0"/>
    <w:rsid w:val="006F0783"/>
    <w:rsid w:val="006F07B1"/>
    <w:rsid w:val="006F086A"/>
    <w:rsid w:val="006F0FDD"/>
    <w:rsid w:val="006F1827"/>
    <w:rsid w:val="006F1923"/>
    <w:rsid w:val="006F3BDD"/>
    <w:rsid w:val="006F4261"/>
    <w:rsid w:val="006F4570"/>
    <w:rsid w:val="006F5844"/>
    <w:rsid w:val="006F6F6C"/>
    <w:rsid w:val="007001E3"/>
    <w:rsid w:val="007018A9"/>
    <w:rsid w:val="00702EE2"/>
    <w:rsid w:val="00703317"/>
    <w:rsid w:val="007051CD"/>
    <w:rsid w:val="007060C7"/>
    <w:rsid w:val="00706F91"/>
    <w:rsid w:val="00707132"/>
    <w:rsid w:val="00707973"/>
    <w:rsid w:val="00710193"/>
    <w:rsid w:val="0071019B"/>
    <w:rsid w:val="00713436"/>
    <w:rsid w:val="00713C37"/>
    <w:rsid w:val="00714594"/>
    <w:rsid w:val="00714E37"/>
    <w:rsid w:val="00715AC4"/>
    <w:rsid w:val="00716C89"/>
    <w:rsid w:val="007178C5"/>
    <w:rsid w:val="0072135C"/>
    <w:rsid w:val="007222A9"/>
    <w:rsid w:val="00723060"/>
    <w:rsid w:val="00723F7E"/>
    <w:rsid w:val="00723FAE"/>
    <w:rsid w:val="00724593"/>
    <w:rsid w:val="00724D95"/>
    <w:rsid w:val="00724E9F"/>
    <w:rsid w:val="0072761A"/>
    <w:rsid w:val="00727A1D"/>
    <w:rsid w:val="007318BD"/>
    <w:rsid w:val="0073370F"/>
    <w:rsid w:val="00733C06"/>
    <w:rsid w:val="00734673"/>
    <w:rsid w:val="00734CAF"/>
    <w:rsid w:val="0073550F"/>
    <w:rsid w:val="00735C31"/>
    <w:rsid w:val="007371C5"/>
    <w:rsid w:val="00740D25"/>
    <w:rsid w:val="007420B7"/>
    <w:rsid w:val="00743B25"/>
    <w:rsid w:val="00745452"/>
    <w:rsid w:val="007462F2"/>
    <w:rsid w:val="007464CE"/>
    <w:rsid w:val="00746DF5"/>
    <w:rsid w:val="0074775A"/>
    <w:rsid w:val="00747A4A"/>
    <w:rsid w:val="00747D27"/>
    <w:rsid w:val="007501D8"/>
    <w:rsid w:val="0075321E"/>
    <w:rsid w:val="007533F9"/>
    <w:rsid w:val="0075472F"/>
    <w:rsid w:val="00754CF2"/>
    <w:rsid w:val="007551AB"/>
    <w:rsid w:val="00757B72"/>
    <w:rsid w:val="00760A21"/>
    <w:rsid w:val="0076138D"/>
    <w:rsid w:val="00761D31"/>
    <w:rsid w:val="00762765"/>
    <w:rsid w:val="00762B65"/>
    <w:rsid w:val="00762D23"/>
    <w:rsid w:val="00763B2E"/>
    <w:rsid w:val="00764198"/>
    <w:rsid w:val="0076467B"/>
    <w:rsid w:val="00764DC9"/>
    <w:rsid w:val="00764F2C"/>
    <w:rsid w:val="00764FD2"/>
    <w:rsid w:val="00765311"/>
    <w:rsid w:val="00766477"/>
    <w:rsid w:val="00766651"/>
    <w:rsid w:val="00770890"/>
    <w:rsid w:val="00770BCE"/>
    <w:rsid w:val="007728D4"/>
    <w:rsid w:val="0077346A"/>
    <w:rsid w:val="00773627"/>
    <w:rsid w:val="007742DF"/>
    <w:rsid w:val="007751E9"/>
    <w:rsid w:val="00776128"/>
    <w:rsid w:val="00776BBB"/>
    <w:rsid w:val="00776BFD"/>
    <w:rsid w:val="00780140"/>
    <w:rsid w:val="007820A1"/>
    <w:rsid w:val="0078212E"/>
    <w:rsid w:val="00782A58"/>
    <w:rsid w:val="00783749"/>
    <w:rsid w:val="007840D3"/>
    <w:rsid w:val="00784F37"/>
    <w:rsid w:val="00786994"/>
    <w:rsid w:val="007913C4"/>
    <w:rsid w:val="007913ED"/>
    <w:rsid w:val="00791750"/>
    <w:rsid w:val="00791D4B"/>
    <w:rsid w:val="00792011"/>
    <w:rsid w:val="00792494"/>
    <w:rsid w:val="00792D88"/>
    <w:rsid w:val="00794EEF"/>
    <w:rsid w:val="007951D2"/>
    <w:rsid w:val="00795B65"/>
    <w:rsid w:val="00796304"/>
    <w:rsid w:val="00796361"/>
    <w:rsid w:val="007A0429"/>
    <w:rsid w:val="007A0451"/>
    <w:rsid w:val="007A0943"/>
    <w:rsid w:val="007A2619"/>
    <w:rsid w:val="007A4100"/>
    <w:rsid w:val="007A70F0"/>
    <w:rsid w:val="007A7166"/>
    <w:rsid w:val="007A74A3"/>
    <w:rsid w:val="007B28EA"/>
    <w:rsid w:val="007B2BEB"/>
    <w:rsid w:val="007B6E13"/>
    <w:rsid w:val="007B75A3"/>
    <w:rsid w:val="007B798F"/>
    <w:rsid w:val="007B7E2A"/>
    <w:rsid w:val="007C0E85"/>
    <w:rsid w:val="007C19C1"/>
    <w:rsid w:val="007C349D"/>
    <w:rsid w:val="007C56FB"/>
    <w:rsid w:val="007C685E"/>
    <w:rsid w:val="007C78C9"/>
    <w:rsid w:val="007C7AFC"/>
    <w:rsid w:val="007C7C49"/>
    <w:rsid w:val="007C7D9B"/>
    <w:rsid w:val="007D12B9"/>
    <w:rsid w:val="007D138C"/>
    <w:rsid w:val="007D1574"/>
    <w:rsid w:val="007D174D"/>
    <w:rsid w:val="007D18A9"/>
    <w:rsid w:val="007D2903"/>
    <w:rsid w:val="007D30EC"/>
    <w:rsid w:val="007D503A"/>
    <w:rsid w:val="007D5FA4"/>
    <w:rsid w:val="007D6C6A"/>
    <w:rsid w:val="007D73CC"/>
    <w:rsid w:val="007D7AE3"/>
    <w:rsid w:val="007E1E43"/>
    <w:rsid w:val="007E235A"/>
    <w:rsid w:val="007E283D"/>
    <w:rsid w:val="007E2DB0"/>
    <w:rsid w:val="007E30C9"/>
    <w:rsid w:val="007E3521"/>
    <w:rsid w:val="007E48D9"/>
    <w:rsid w:val="007E53E8"/>
    <w:rsid w:val="007E673E"/>
    <w:rsid w:val="007E6A46"/>
    <w:rsid w:val="007E6B1D"/>
    <w:rsid w:val="007E7D06"/>
    <w:rsid w:val="007F043B"/>
    <w:rsid w:val="007F2129"/>
    <w:rsid w:val="007F273F"/>
    <w:rsid w:val="007F33AD"/>
    <w:rsid w:val="007F3805"/>
    <w:rsid w:val="007F4135"/>
    <w:rsid w:val="007F4BE4"/>
    <w:rsid w:val="007F5E9F"/>
    <w:rsid w:val="007F6665"/>
    <w:rsid w:val="007F6E2E"/>
    <w:rsid w:val="007F7005"/>
    <w:rsid w:val="007F7AC8"/>
    <w:rsid w:val="00800551"/>
    <w:rsid w:val="00802228"/>
    <w:rsid w:val="00804B4F"/>
    <w:rsid w:val="00810223"/>
    <w:rsid w:val="00811B69"/>
    <w:rsid w:val="0081219B"/>
    <w:rsid w:val="00812861"/>
    <w:rsid w:val="00812DB4"/>
    <w:rsid w:val="00813A9C"/>
    <w:rsid w:val="00813B62"/>
    <w:rsid w:val="00813BF8"/>
    <w:rsid w:val="00814BA5"/>
    <w:rsid w:val="0081551C"/>
    <w:rsid w:val="00815B15"/>
    <w:rsid w:val="0081715F"/>
    <w:rsid w:val="0081774B"/>
    <w:rsid w:val="008178BD"/>
    <w:rsid w:val="00820A69"/>
    <w:rsid w:val="00821BDB"/>
    <w:rsid w:val="00821D8A"/>
    <w:rsid w:val="008227E7"/>
    <w:rsid w:val="00822A75"/>
    <w:rsid w:val="00823268"/>
    <w:rsid w:val="00824139"/>
    <w:rsid w:val="00825034"/>
    <w:rsid w:val="00825C33"/>
    <w:rsid w:val="008264CB"/>
    <w:rsid w:val="00826A04"/>
    <w:rsid w:val="008301FF"/>
    <w:rsid w:val="0083069C"/>
    <w:rsid w:val="00830C9A"/>
    <w:rsid w:val="00831F54"/>
    <w:rsid w:val="00832041"/>
    <w:rsid w:val="00832070"/>
    <w:rsid w:val="00832451"/>
    <w:rsid w:val="008341C1"/>
    <w:rsid w:val="00834916"/>
    <w:rsid w:val="008356EB"/>
    <w:rsid w:val="00835B82"/>
    <w:rsid w:val="008403F4"/>
    <w:rsid w:val="008423F1"/>
    <w:rsid w:val="008429B9"/>
    <w:rsid w:val="00842B59"/>
    <w:rsid w:val="00844C59"/>
    <w:rsid w:val="00845DB7"/>
    <w:rsid w:val="008467AA"/>
    <w:rsid w:val="00850131"/>
    <w:rsid w:val="0085043D"/>
    <w:rsid w:val="008535FF"/>
    <w:rsid w:val="008542A6"/>
    <w:rsid w:val="008545F0"/>
    <w:rsid w:val="008563CD"/>
    <w:rsid w:val="008579AC"/>
    <w:rsid w:val="00864D38"/>
    <w:rsid w:val="008659E9"/>
    <w:rsid w:val="00866156"/>
    <w:rsid w:val="00867AE4"/>
    <w:rsid w:val="008701D4"/>
    <w:rsid w:val="0087197E"/>
    <w:rsid w:val="008728D7"/>
    <w:rsid w:val="008732A8"/>
    <w:rsid w:val="00874BD5"/>
    <w:rsid w:val="00876AE1"/>
    <w:rsid w:val="00877EB5"/>
    <w:rsid w:val="00880B8B"/>
    <w:rsid w:val="00881FA2"/>
    <w:rsid w:val="008831A9"/>
    <w:rsid w:val="00883620"/>
    <w:rsid w:val="00885E4F"/>
    <w:rsid w:val="0088618B"/>
    <w:rsid w:val="00890AE7"/>
    <w:rsid w:val="00890C3A"/>
    <w:rsid w:val="00890C3C"/>
    <w:rsid w:val="008923A1"/>
    <w:rsid w:val="0089269E"/>
    <w:rsid w:val="00892DB5"/>
    <w:rsid w:val="00896A96"/>
    <w:rsid w:val="008A06FA"/>
    <w:rsid w:val="008A11DA"/>
    <w:rsid w:val="008A21E1"/>
    <w:rsid w:val="008A21F8"/>
    <w:rsid w:val="008A3C1B"/>
    <w:rsid w:val="008A6045"/>
    <w:rsid w:val="008A760C"/>
    <w:rsid w:val="008A78B6"/>
    <w:rsid w:val="008B0B4F"/>
    <w:rsid w:val="008B0ED4"/>
    <w:rsid w:val="008B16B2"/>
    <w:rsid w:val="008B2C10"/>
    <w:rsid w:val="008B30AB"/>
    <w:rsid w:val="008B3E43"/>
    <w:rsid w:val="008B4AF8"/>
    <w:rsid w:val="008B510E"/>
    <w:rsid w:val="008B5E8F"/>
    <w:rsid w:val="008B78C6"/>
    <w:rsid w:val="008B7D86"/>
    <w:rsid w:val="008B7FBB"/>
    <w:rsid w:val="008C3032"/>
    <w:rsid w:val="008C3454"/>
    <w:rsid w:val="008C3D80"/>
    <w:rsid w:val="008C4CF2"/>
    <w:rsid w:val="008C5CE5"/>
    <w:rsid w:val="008D2129"/>
    <w:rsid w:val="008D2544"/>
    <w:rsid w:val="008D42BD"/>
    <w:rsid w:val="008D43BA"/>
    <w:rsid w:val="008D4E7E"/>
    <w:rsid w:val="008E0768"/>
    <w:rsid w:val="008E114C"/>
    <w:rsid w:val="008E268D"/>
    <w:rsid w:val="008E462A"/>
    <w:rsid w:val="008E5891"/>
    <w:rsid w:val="008E6491"/>
    <w:rsid w:val="008E6914"/>
    <w:rsid w:val="008F1F6D"/>
    <w:rsid w:val="008F25F5"/>
    <w:rsid w:val="008F2626"/>
    <w:rsid w:val="008F3FDE"/>
    <w:rsid w:val="008F4BB1"/>
    <w:rsid w:val="008F540C"/>
    <w:rsid w:val="008F55BE"/>
    <w:rsid w:val="008F58F5"/>
    <w:rsid w:val="008F61CD"/>
    <w:rsid w:val="008F694D"/>
    <w:rsid w:val="008F6FDA"/>
    <w:rsid w:val="008F71C8"/>
    <w:rsid w:val="00900B94"/>
    <w:rsid w:val="00900D18"/>
    <w:rsid w:val="00901757"/>
    <w:rsid w:val="00901F45"/>
    <w:rsid w:val="00907AB3"/>
    <w:rsid w:val="00910BF2"/>
    <w:rsid w:val="0091255C"/>
    <w:rsid w:val="00912955"/>
    <w:rsid w:val="00915024"/>
    <w:rsid w:val="00915F1C"/>
    <w:rsid w:val="009223A1"/>
    <w:rsid w:val="009235D9"/>
    <w:rsid w:val="009241D3"/>
    <w:rsid w:val="00925071"/>
    <w:rsid w:val="00926996"/>
    <w:rsid w:val="00926D8E"/>
    <w:rsid w:val="009300BA"/>
    <w:rsid w:val="00931119"/>
    <w:rsid w:val="00931B02"/>
    <w:rsid w:val="00931BDF"/>
    <w:rsid w:val="00932AA9"/>
    <w:rsid w:val="009340D3"/>
    <w:rsid w:val="009343E8"/>
    <w:rsid w:val="00934BBB"/>
    <w:rsid w:val="00934EAF"/>
    <w:rsid w:val="0093513C"/>
    <w:rsid w:val="00935564"/>
    <w:rsid w:val="00936FA6"/>
    <w:rsid w:val="00947A10"/>
    <w:rsid w:val="00947DB8"/>
    <w:rsid w:val="00950668"/>
    <w:rsid w:val="00951883"/>
    <w:rsid w:val="00952D47"/>
    <w:rsid w:val="00952FAD"/>
    <w:rsid w:val="00953647"/>
    <w:rsid w:val="009537DC"/>
    <w:rsid w:val="0095488F"/>
    <w:rsid w:val="00954A8E"/>
    <w:rsid w:val="00954BDA"/>
    <w:rsid w:val="00955040"/>
    <w:rsid w:val="00955F83"/>
    <w:rsid w:val="009569EB"/>
    <w:rsid w:val="00957D9B"/>
    <w:rsid w:val="009604DD"/>
    <w:rsid w:val="00960522"/>
    <w:rsid w:val="0096067E"/>
    <w:rsid w:val="0096183C"/>
    <w:rsid w:val="00962099"/>
    <w:rsid w:val="00963772"/>
    <w:rsid w:val="00963946"/>
    <w:rsid w:val="00964A9F"/>
    <w:rsid w:val="00965A89"/>
    <w:rsid w:val="00966267"/>
    <w:rsid w:val="00967C04"/>
    <w:rsid w:val="00971029"/>
    <w:rsid w:val="0097127D"/>
    <w:rsid w:val="00972801"/>
    <w:rsid w:val="009731A1"/>
    <w:rsid w:val="00973B3C"/>
    <w:rsid w:val="0097491B"/>
    <w:rsid w:val="00974FF5"/>
    <w:rsid w:val="0097578A"/>
    <w:rsid w:val="00975848"/>
    <w:rsid w:val="00976D1B"/>
    <w:rsid w:val="00977517"/>
    <w:rsid w:val="0098150E"/>
    <w:rsid w:val="0098171B"/>
    <w:rsid w:val="00983B70"/>
    <w:rsid w:val="009864C6"/>
    <w:rsid w:val="00987562"/>
    <w:rsid w:val="00987E6B"/>
    <w:rsid w:val="00990D2A"/>
    <w:rsid w:val="00990D5E"/>
    <w:rsid w:val="009916CB"/>
    <w:rsid w:val="0099254B"/>
    <w:rsid w:val="00992960"/>
    <w:rsid w:val="00992CC6"/>
    <w:rsid w:val="00993F39"/>
    <w:rsid w:val="009950BE"/>
    <w:rsid w:val="00996230"/>
    <w:rsid w:val="009963D6"/>
    <w:rsid w:val="00996541"/>
    <w:rsid w:val="0099753F"/>
    <w:rsid w:val="00997623"/>
    <w:rsid w:val="00997BAC"/>
    <w:rsid w:val="00997D94"/>
    <w:rsid w:val="009A084C"/>
    <w:rsid w:val="009A25E6"/>
    <w:rsid w:val="009A3790"/>
    <w:rsid w:val="009A3D2F"/>
    <w:rsid w:val="009A3EC5"/>
    <w:rsid w:val="009A4409"/>
    <w:rsid w:val="009A4C60"/>
    <w:rsid w:val="009A4D47"/>
    <w:rsid w:val="009A65F1"/>
    <w:rsid w:val="009A68A3"/>
    <w:rsid w:val="009B01AB"/>
    <w:rsid w:val="009B02B0"/>
    <w:rsid w:val="009B0AAE"/>
    <w:rsid w:val="009B1FAD"/>
    <w:rsid w:val="009B22F2"/>
    <w:rsid w:val="009B2CC7"/>
    <w:rsid w:val="009B4434"/>
    <w:rsid w:val="009B589E"/>
    <w:rsid w:val="009B5D61"/>
    <w:rsid w:val="009C0C6D"/>
    <w:rsid w:val="009C28E8"/>
    <w:rsid w:val="009C2C92"/>
    <w:rsid w:val="009C36F6"/>
    <w:rsid w:val="009C607E"/>
    <w:rsid w:val="009C63E6"/>
    <w:rsid w:val="009C66A8"/>
    <w:rsid w:val="009C66D3"/>
    <w:rsid w:val="009C6BD9"/>
    <w:rsid w:val="009C7280"/>
    <w:rsid w:val="009D1F60"/>
    <w:rsid w:val="009D3EF5"/>
    <w:rsid w:val="009D4CA7"/>
    <w:rsid w:val="009D5263"/>
    <w:rsid w:val="009D566D"/>
    <w:rsid w:val="009D57B1"/>
    <w:rsid w:val="009D5920"/>
    <w:rsid w:val="009E00E0"/>
    <w:rsid w:val="009E0E87"/>
    <w:rsid w:val="009E0EE1"/>
    <w:rsid w:val="009E2D4A"/>
    <w:rsid w:val="009E3518"/>
    <w:rsid w:val="009E4434"/>
    <w:rsid w:val="009E5147"/>
    <w:rsid w:val="009E6B66"/>
    <w:rsid w:val="009E6CA9"/>
    <w:rsid w:val="009E70A2"/>
    <w:rsid w:val="009F2F88"/>
    <w:rsid w:val="009F3562"/>
    <w:rsid w:val="009F4633"/>
    <w:rsid w:val="009F52C5"/>
    <w:rsid w:val="009F5998"/>
    <w:rsid w:val="009F6CE0"/>
    <w:rsid w:val="00A00D3A"/>
    <w:rsid w:val="00A012F7"/>
    <w:rsid w:val="00A01EEE"/>
    <w:rsid w:val="00A03505"/>
    <w:rsid w:val="00A0358D"/>
    <w:rsid w:val="00A03DD4"/>
    <w:rsid w:val="00A055DB"/>
    <w:rsid w:val="00A05F0E"/>
    <w:rsid w:val="00A06255"/>
    <w:rsid w:val="00A06B1F"/>
    <w:rsid w:val="00A07012"/>
    <w:rsid w:val="00A0774E"/>
    <w:rsid w:val="00A10255"/>
    <w:rsid w:val="00A1182C"/>
    <w:rsid w:val="00A1187E"/>
    <w:rsid w:val="00A11B12"/>
    <w:rsid w:val="00A11FD6"/>
    <w:rsid w:val="00A13A0A"/>
    <w:rsid w:val="00A14BF2"/>
    <w:rsid w:val="00A15BD0"/>
    <w:rsid w:val="00A1629B"/>
    <w:rsid w:val="00A1629C"/>
    <w:rsid w:val="00A1758A"/>
    <w:rsid w:val="00A20A4D"/>
    <w:rsid w:val="00A21F28"/>
    <w:rsid w:val="00A2228B"/>
    <w:rsid w:val="00A22FAA"/>
    <w:rsid w:val="00A23864"/>
    <w:rsid w:val="00A2786A"/>
    <w:rsid w:val="00A30154"/>
    <w:rsid w:val="00A30E42"/>
    <w:rsid w:val="00A31149"/>
    <w:rsid w:val="00A31DDF"/>
    <w:rsid w:val="00A32D0F"/>
    <w:rsid w:val="00A36E6B"/>
    <w:rsid w:val="00A373BC"/>
    <w:rsid w:val="00A3775E"/>
    <w:rsid w:val="00A404C9"/>
    <w:rsid w:val="00A40D1C"/>
    <w:rsid w:val="00A42270"/>
    <w:rsid w:val="00A4349B"/>
    <w:rsid w:val="00A469C8"/>
    <w:rsid w:val="00A476A5"/>
    <w:rsid w:val="00A51B54"/>
    <w:rsid w:val="00A5453E"/>
    <w:rsid w:val="00A55188"/>
    <w:rsid w:val="00A566E1"/>
    <w:rsid w:val="00A56E09"/>
    <w:rsid w:val="00A61158"/>
    <w:rsid w:val="00A619D0"/>
    <w:rsid w:val="00A63016"/>
    <w:rsid w:val="00A6314D"/>
    <w:rsid w:val="00A635C3"/>
    <w:rsid w:val="00A66E58"/>
    <w:rsid w:val="00A66EAB"/>
    <w:rsid w:val="00A678FE"/>
    <w:rsid w:val="00A70492"/>
    <w:rsid w:val="00A71E82"/>
    <w:rsid w:val="00A7233E"/>
    <w:rsid w:val="00A73439"/>
    <w:rsid w:val="00A74848"/>
    <w:rsid w:val="00A74C47"/>
    <w:rsid w:val="00A77B3E"/>
    <w:rsid w:val="00A805F8"/>
    <w:rsid w:val="00A82BA5"/>
    <w:rsid w:val="00A82D6A"/>
    <w:rsid w:val="00A83BF4"/>
    <w:rsid w:val="00A846E4"/>
    <w:rsid w:val="00A84966"/>
    <w:rsid w:val="00A87B37"/>
    <w:rsid w:val="00A87EC4"/>
    <w:rsid w:val="00A910E7"/>
    <w:rsid w:val="00A91CC3"/>
    <w:rsid w:val="00A9225D"/>
    <w:rsid w:val="00A95729"/>
    <w:rsid w:val="00A96395"/>
    <w:rsid w:val="00AA1282"/>
    <w:rsid w:val="00AA2238"/>
    <w:rsid w:val="00AA25DA"/>
    <w:rsid w:val="00AA3160"/>
    <w:rsid w:val="00AA3EBE"/>
    <w:rsid w:val="00AA4670"/>
    <w:rsid w:val="00AA493B"/>
    <w:rsid w:val="00AB079C"/>
    <w:rsid w:val="00AB23FC"/>
    <w:rsid w:val="00AB56BB"/>
    <w:rsid w:val="00AB6EAB"/>
    <w:rsid w:val="00AC0C39"/>
    <w:rsid w:val="00AC12D7"/>
    <w:rsid w:val="00AC1BDB"/>
    <w:rsid w:val="00AC33CC"/>
    <w:rsid w:val="00AC345A"/>
    <w:rsid w:val="00AC3920"/>
    <w:rsid w:val="00AC3C0F"/>
    <w:rsid w:val="00AC4B03"/>
    <w:rsid w:val="00AC4B5C"/>
    <w:rsid w:val="00AC4C4C"/>
    <w:rsid w:val="00AC7373"/>
    <w:rsid w:val="00AC78A4"/>
    <w:rsid w:val="00AD0326"/>
    <w:rsid w:val="00AD2218"/>
    <w:rsid w:val="00AD382E"/>
    <w:rsid w:val="00AD3C8D"/>
    <w:rsid w:val="00AD470C"/>
    <w:rsid w:val="00AD4C21"/>
    <w:rsid w:val="00AD6F48"/>
    <w:rsid w:val="00AD71C8"/>
    <w:rsid w:val="00AD7540"/>
    <w:rsid w:val="00AE04AE"/>
    <w:rsid w:val="00AE0CDC"/>
    <w:rsid w:val="00AE165B"/>
    <w:rsid w:val="00AE2C60"/>
    <w:rsid w:val="00AE32AB"/>
    <w:rsid w:val="00AE3F24"/>
    <w:rsid w:val="00AE3F91"/>
    <w:rsid w:val="00AE4E18"/>
    <w:rsid w:val="00AE54F6"/>
    <w:rsid w:val="00AE5742"/>
    <w:rsid w:val="00AE588B"/>
    <w:rsid w:val="00AE5A45"/>
    <w:rsid w:val="00AE77F8"/>
    <w:rsid w:val="00AF00F0"/>
    <w:rsid w:val="00AF2D30"/>
    <w:rsid w:val="00AF4FF3"/>
    <w:rsid w:val="00AF588F"/>
    <w:rsid w:val="00AF6C93"/>
    <w:rsid w:val="00B006F1"/>
    <w:rsid w:val="00B00E0B"/>
    <w:rsid w:val="00B0160A"/>
    <w:rsid w:val="00B01F0A"/>
    <w:rsid w:val="00B02BB6"/>
    <w:rsid w:val="00B04762"/>
    <w:rsid w:val="00B04976"/>
    <w:rsid w:val="00B04A99"/>
    <w:rsid w:val="00B04FA9"/>
    <w:rsid w:val="00B06427"/>
    <w:rsid w:val="00B06CC5"/>
    <w:rsid w:val="00B11087"/>
    <w:rsid w:val="00B11C19"/>
    <w:rsid w:val="00B12421"/>
    <w:rsid w:val="00B13A6C"/>
    <w:rsid w:val="00B14C24"/>
    <w:rsid w:val="00B14C7F"/>
    <w:rsid w:val="00B15EB9"/>
    <w:rsid w:val="00B162D5"/>
    <w:rsid w:val="00B16817"/>
    <w:rsid w:val="00B17887"/>
    <w:rsid w:val="00B17931"/>
    <w:rsid w:val="00B22599"/>
    <w:rsid w:val="00B22D06"/>
    <w:rsid w:val="00B23229"/>
    <w:rsid w:val="00B24FAA"/>
    <w:rsid w:val="00B2536B"/>
    <w:rsid w:val="00B310E8"/>
    <w:rsid w:val="00B330EE"/>
    <w:rsid w:val="00B33298"/>
    <w:rsid w:val="00B33309"/>
    <w:rsid w:val="00B33743"/>
    <w:rsid w:val="00B33D5B"/>
    <w:rsid w:val="00B365A8"/>
    <w:rsid w:val="00B367EA"/>
    <w:rsid w:val="00B36AA6"/>
    <w:rsid w:val="00B37C5B"/>
    <w:rsid w:val="00B42857"/>
    <w:rsid w:val="00B432B5"/>
    <w:rsid w:val="00B43E6E"/>
    <w:rsid w:val="00B4422F"/>
    <w:rsid w:val="00B4468F"/>
    <w:rsid w:val="00B45673"/>
    <w:rsid w:val="00B500AC"/>
    <w:rsid w:val="00B507D2"/>
    <w:rsid w:val="00B51156"/>
    <w:rsid w:val="00B52495"/>
    <w:rsid w:val="00B528E4"/>
    <w:rsid w:val="00B530D4"/>
    <w:rsid w:val="00B56675"/>
    <w:rsid w:val="00B56C48"/>
    <w:rsid w:val="00B5722F"/>
    <w:rsid w:val="00B57AD6"/>
    <w:rsid w:val="00B603B3"/>
    <w:rsid w:val="00B61CEF"/>
    <w:rsid w:val="00B626B0"/>
    <w:rsid w:val="00B641CF"/>
    <w:rsid w:val="00B641FD"/>
    <w:rsid w:val="00B6445E"/>
    <w:rsid w:val="00B65FD2"/>
    <w:rsid w:val="00B66472"/>
    <w:rsid w:val="00B66CAB"/>
    <w:rsid w:val="00B67883"/>
    <w:rsid w:val="00B711A5"/>
    <w:rsid w:val="00B7554B"/>
    <w:rsid w:val="00B77648"/>
    <w:rsid w:val="00B77A18"/>
    <w:rsid w:val="00B77E30"/>
    <w:rsid w:val="00B80661"/>
    <w:rsid w:val="00B812E0"/>
    <w:rsid w:val="00B817DB"/>
    <w:rsid w:val="00B8193A"/>
    <w:rsid w:val="00B8213F"/>
    <w:rsid w:val="00B82279"/>
    <w:rsid w:val="00B82A15"/>
    <w:rsid w:val="00B847FF"/>
    <w:rsid w:val="00B8502E"/>
    <w:rsid w:val="00B85D5B"/>
    <w:rsid w:val="00B868FD"/>
    <w:rsid w:val="00B87DF6"/>
    <w:rsid w:val="00B90828"/>
    <w:rsid w:val="00B91FDF"/>
    <w:rsid w:val="00B95B7D"/>
    <w:rsid w:val="00BA0B6D"/>
    <w:rsid w:val="00BA1ED1"/>
    <w:rsid w:val="00BA21A2"/>
    <w:rsid w:val="00BA3CBC"/>
    <w:rsid w:val="00BA6416"/>
    <w:rsid w:val="00BA7DB7"/>
    <w:rsid w:val="00BA7FAF"/>
    <w:rsid w:val="00BB16AE"/>
    <w:rsid w:val="00BB313F"/>
    <w:rsid w:val="00BB51CA"/>
    <w:rsid w:val="00BB59FB"/>
    <w:rsid w:val="00BB63FB"/>
    <w:rsid w:val="00BB776F"/>
    <w:rsid w:val="00BB79E3"/>
    <w:rsid w:val="00BC1527"/>
    <w:rsid w:val="00BC49B9"/>
    <w:rsid w:val="00BC49CB"/>
    <w:rsid w:val="00BC4EF0"/>
    <w:rsid w:val="00BC4F48"/>
    <w:rsid w:val="00BC51DC"/>
    <w:rsid w:val="00BC72A0"/>
    <w:rsid w:val="00BD05A0"/>
    <w:rsid w:val="00BD0898"/>
    <w:rsid w:val="00BD0DBE"/>
    <w:rsid w:val="00BD2169"/>
    <w:rsid w:val="00BD2D4E"/>
    <w:rsid w:val="00BD5498"/>
    <w:rsid w:val="00BD76A1"/>
    <w:rsid w:val="00BD7D0E"/>
    <w:rsid w:val="00BE0907"/>
    <w:rsid w:val="00BE3C18"/>
    <w:rsid w:val="00BE3D49"/>
    <w:rsid w:val="00BE46DA"/>
    <w:rsid w:val="00BE500B"/>
    <w:rsid w:val="00BE58BA"/>
    <w:rsid w:val="00BE6FF3"/>
    <w:rsid w:val="00BF0758"/>
    <w:rsid w:val="00BF0811"/>
    <w:rsid w:val="00BF1386"/>
    <w:rsid w:val="00BF1B32"/>
    <w:rsid w:val="00BF20F4"/>
    <w:rsid w:val="00BF23FD"/>
    <w:rsid w:val="00BF4B8F"/>
    <w:rsid w:val="00BF4BBB"/>
    <w:rsid w:val="00BF4E11"/>
    <w:rsid w:val="00BF57CB"/>
    <w:rsid w:val="00BF66DD"/>
    <w:rsid w:val="00BF6CF4"/>
    <w:rsid w:val="00BF7D35"/>
    <w:rsid w:val="00C0149F"/>
    <w:rsid w:val="00C01D14"/>
    <w:rsid w:val="00C0313C"/>
    <w:rsid w:val="00C031A0"/>
    <w:rsid w:val="00C03760"/>
    <w:rsid w:val="00C03D2F"/>
    <w:rsid w:val="00C03FEE"/>
    <w:rsid w:val="00C0454F"/>
    <w:rsid w:val="00C066B1"/>
    <w:rsid w:val="00C07F89"/>
    <w:rsid w:val="00C119A6"/>
    <w:rsid w:val="00C1252F"/>
    <w:rsid w:val="00C13C17"/>
    <w:rsid w:val="00C147E6"/>
    <w:rsid w:val="00C1532A"/>
    <w:rsid w:val="00C16233"/>
    <w:rsid w:val="00C16CDC"/>
    <w:rsid w:val="00C20A23"/>
    <w:rsid w:val="00C217D1"/>
    <w:rsid w:val="00C236FD"/>
    <w:rsid w:val="00C259AE"/>
    <w:rsid w:val="00C27FEC"/>
    <w:rsid w:val="00C30E21"/>
    <w:rsid w:val="00C34611"/>
    <w:rsid w:val="00C34E6B"/>
    <w:rsid w:val="00C355C7"/>
    <w:rsid w:val="00C3637F"/>
    <w:rsid w:val="00C36B3B"/>
    <w:rsid w:val="00C3737E"/>
    <w:rsid w:val="00C40F91"/>
    <w:rsid w:val="00C40FF3"/>
    <w:rsid w:val="00C43D93"/>
    <w:rsid w:val="00C4455D"/>
    <w:rsid w:val="00C44980"/>
    <w:rsid w:val="00C45223"/>
    <w:rsid w:val="00C464CC"/>
    <w:rsid w:val="00C470E0"/>
    <w:rsid w:val="00C4746A"/>
    <w:rsid w:val="00C509B8"/>
    <w:rsid w:val="00C5160B"/>
    <w:rsid w:val="00C52345"/>
    <w:rsid w:val="00C5329B"/>
    <w:rsid w:val="00C548B6"/>
    <w:rsid w:val="00C55237"/>
    <w:rsid w:val="00C5698D"/>
    <w:rsid w:val="00C56E03"/>
    <w:rsid w:val="00C5738D"/>
    <w:rsid w:val="00C601CC"/>
    <w:rsid w:val="00C605E5"/>
    <w:rsid w:val="00C6351C"/>
    <w:rsid w:val="00C640EA"/>
    <w:rsid w:val="00C656D8"/>
    <w:rsid w:val="00C65875"/>
    <w:rsid w:val="00C66260"/>
    <w:rsid w:val="00C6677A"/>
    <w:rsid w:val="00C672D6"/>
    <w:rsid w:val="00C70673"/>
    <w:rsid w:val="00C70C7E"/>
    <w:rsid w:val="00C70E2C"/>
    <w:rsid w:val="00C71726"/>
    <w:rsid w:val="00C71E32"/>
    <w:rsid w:val="00C71F25"/>
    <w:rsid w:val="00C7484E"/>
    <w:rsid w:val="00C75A6E"/>
    <w:rsid w:val="00C76CCA"/>
    <w:rsid w:val="00C825D9"/>
    <w:rsid w:val="00C8385D"/>
    <w:rsid w:val="00C83D71"/>
    <w:rsid w:val="00C869CE"/>
    <w:rsid w:val="00C909C1"/>
    <w:rsid w:val="00C94C23"/>
    <w:rsid w:val="00C94E7A"/>
    <w:rsid w:val="00C9619F"/>
    <w:rsid w:val="00C9790E"/>
    <w:rsid w:val="00C97D85"/>
    <w:rsid w:val="00CA1268"/>
    <w:rsid w:val="00CA27EA"/>
    <w:rsid w:val="00CA446C"/>
    <w:rsid w:val="00CA46FC"/>
    <w:rsid w:val="00CA725C"/>
    <w:rsid w:val="00CA74D8"/>
    <w:rsid w:val="00CB06E4"/>
    <w:rsid w:val="00CB080F"/>
    <w:rsid w:val="00CB58FD"/>
    <w:rsid w:val="00CB5925"/>
    <w:rsid w:val="00CB66BB"/>
    <w:rsid w:val="00CB6767"/>
    <w:rsid w:val="00CB7157"/>
    <w:rsid w:val="00CC6077"/>
    <w:rsid w:val="00CD1AF8"/>
    <w:rsid w:val="00CD1B4C"/>
    <w:rsid w:val="00CD3815"/>
    <w:rsid w:val="00CD505A"/>
    <w:rsid w:val="00CD5E80"/>
    <w:rsid w:val="00CD6154"/>
    <w:rsid w:val="00CD6A99"/>
    <w:rsid w:val="00CD78A7"/>
    <w:rsid w:val="00CE2EA9"/>
    <w:rsid w:val="00CE370A"/>
    <w:rsid w:val="00CE4056"/>
    <w:rsid w:val="00CE4F70"/>
    <w:rsid w:val="00CF167D"/>
    <w:rsid w:val="00CF21F6"/>
    <w:rsid w:val="00CF2E83"/>
    <w:rsid w:val="00CF32B5"/>
    <w:rsid w:val="00CF382C"/>
    <w:rsid w:val="00CF4EA8"/>
    <w:rsid w:val="00CF65CF"/>
    <w:rsid w:val="00CF69C7"/>
    <w:rsid w:val="00CF72B6"/>
    <w:rsid w:val="00CF75DD"/>
    <w:rsid w:val="00CF78B1"/>
    <w:rsid w:val="00D01242"/>
    <w:rsid w:val="00D0142C"/>
    <w:rsid w:val="00D017A1"/>
    <w:rsid w:val="00D0299D"/>
    <w:rsid w:val="00D0407B"/>
    <w:rsid w:val="00D05648"/>
    <w:rsid w:val="00D05808"/>
    <w:rsid w:val="00D067F2"/>
    <w:rsid w:val="00D11FF9"/>
    <w:rsid w:val="00D12199"/>
    <w:rsid w:val="00D13F96"/>
    <w:rsid w:val="00D14861"/>
    <w:rsid w:val="00D14B8E"/>
    <w:rsid w:val="00D157FC"/>
    <w:rsid w:val="00D15E34"/>
    <w:rsid w:val="00D176E3"/>
    <w:rsid w:val="00D20885"/>
    <w:rsid w:val="00D20C25"/>
    <w:rsid w:val="00D20CD2"/>
    <w:rsid w:val="00D20E2A"/>
    <w:rsid w:val="00D21986"/>
    <w:rsid w:val="00D22B69"/>
    <w:rsid w:val="00D23158"/>
    <w:rsid w:val="00D23C42"/>
    <w:rsid w:val="00D24EED"/>
    <w:rsid w:val="00D25F48"/>
    <w:rsid w:val="00D26084"/>
    <w:rsid w:val="00D27A89"/>
    <w:rsid w:val="00D27C9E"/>
    <w:rsid w:val="00D27DE6"/>
    <w:rsid w:val="00D31106"/>
    <w:rsid w:val="00D32700"/>
    <w:rsid w:val="00D335D1"/>
    <w:rsid w:val="00D336D1"/>
    <w:rsid w:val="00D36069"/>
    <w:rsid w:val="00D362C9"/>
    <w:rsid w:val="00D36EE6"/>
    <w:rsid w:val="00D402A9"/>
    <w:rsid w:val="00D40796"/>
    <w:rsid w:val="00D4115F"/>
    <w:rsid w:val="00D441A5"/>
    <w:rsid w:val="00D44AF4"/>
    <w:rsid w:val="00D505F0"/>
    <w:rsid w:val="00D512D1"/>
    <w:rsid w:val="00D530BF"/>
    <w:rsid w:val="00D547CC"/>
    <w:rsid w:val="00D554AC"/>
    <w:rsid w:val="00D556A2"/>
    <w:rsid w:val="00D6052D"/>
    <w:rsid w:val="00D60E31"/>
    <w:rsid w:val="00D6111B"/>
    <w:rsid w:val="00D6135C"/>
    <w:rsid w:val="00D61DCA"/>
    <w:rsid w:val="00D6222F"/>
    <w:rsid w:val="00D627DE"/>
    <w:rsid w:val="00D630AB"/>
    <w:rsid w:val="00D640D3"/>
    <w:rsid w:val="00D642A1"/>
    <w:rsid w:val="00D6462C"/>
    <w:rsid w:val="00D674B3"/>
    <w:rsid w:val="00D67E54"/>
    <w:rsid w:val="00D70123"/>
    <w:rsid w:val="00D70EF5"/>
    <w:rsid w:val="00D72886"/>
    <w:rsid w:val="00D72B01"/>
    <w:rsid w:val="00D72C63"/>
    <w:rsid w:val="00D7398B"/>
    <w:rsid w:val="00D752F4"/>
    <w:rsid w:val="00D7615F"/>
    <w:rsid w:val="00D76A54"/>
    <w:rsid w:val="00D77133"/>
    <w:rsid w:val="00D77A30"/>
    <w:rsid w:val="00D81FB1"/>
    <w:rsid w:val="00D82ACE"/>
    <w:rsid w:val="00D82AD9"/>
    <w:rsid w:val="00D861AD"/>
    <w:rsid w:val="00D86626"/>
    <w:rsid w:val="00D86FB1"/>
    <w:rsid w:val="00D907D9"/>
    <w:rsid w:val="00D918D2"/>
    <w:rsid w:val="00D919C3"/>
    <w:rsid w:val="00D93AAE"/>
    <w:rsid w:val="00D93BC5"/>
    <w:rsid w:val="00D93DFC"/>
    <w:rsid w:val="00D940A9"/>
    <w:rsid w:val="00D952AE"/>
    <w:rsid w:val="00D96EB1"/>
    <w:rsid w:val="00D97BF3"/>
    <w:rsid w:val="00DA0C72"/>
    <w:rsid w:val="00DA1A78"/>
    <w:rsid w:val="00DA2420"/>
    <w:rsid w:val="00DA3348"/>
    <w:rsid w:val="00DA36F9"/>
    <w:rsid w:val="00DA5850"/>
    <w:rsid w:val="00DA6901"/>
    <w:rsid w:val="00DA6BC7"/>
    <w:rsid w:val="00DB0B04"/>
    <w:rsid w:val="00DB0F7D"/>
    <w:rsid w:val="00DB2702"/>
    <w:rsid w:val="00DB27C1"/>
    <w:rsid w:val="00DB2898"/>
    <w:rsid w:val="00DB4874"/>
    <w:rsid w:val="00DB5448"/>
    <w:rsid w:val="00DB5592"/>
    <w:rsid w:val="00DB5BC6"/>
    <w:rsid w:val="00DB5F04"/>
    <w:rsid w:val="00DB6D52"/>
    <w:rsid w:val="00DC09D4"/>
    <w:rsid w:val="00DC11B9"/>
    <w:rsid w:val="00DC20F3"/>
    <w:rsid w:val="00DC213D"/>
    <w:rsid w:val="00DC2446"/>
    <w:rsid w:val="00DC4277"/>
    <w:rsid w:val="00DC5BF6"/>
    <w:rsid w:val="00DC5CB6"/>
    <w:rsid w:val="00DD026C"/>
    <w:rsid w:val="00DD02D6"/>
    <w:rsid w:val="00DD055D"/>
    <w:rsid w:val="00DD0803"/>
    <w:rsid w:val="00DD10A1"/>
    <w:rsid w:val="00DD1D9B"/>
    <w:rsid w:val="00DD25F8"/>
    <w:rsid w:val="00DD29FC"/>
    <w:rsid w:val="00DD52C5"/>
    <w:rsid w:val="00DD5FFC"/>
    <w:rsid w:val="00DE07A7"/>
    <w:rsid w:val="00DE1515"/>
    <w:rsid w:val="00DE2312"/>
    <w:rsid w:val="00DE250C"/>
    <w:rsid w:val="00DE5106"/>
    <w:rsid w:val="00DE6997"/>
    <w:rsid w:val="00DE72DD"/>
    <w:rsid w:val="00DE7C7A"/>
    <w:rsid w:val="00DF1304"/>
    <w:rsid w:val="00DF1A6B"/>
    <w:rsid w:val="00DF67FE"/>
    <w:rsid w:val="00DF6DFE"/>
    <w:rsid w:val="00DF6E18"/>
    <w:rsid w:val="00DF703C"/>
    <w:rsid w:val="00DF72CF"/>
    <w:rsid w:val="00DF7F6C"/>
    <w:rsid w:val="00E00513"/>
    <w:rsid w:val="00E034F7"/>
    <w:rsid w:val="00E0413E"/>
    <w:rsid w:val="00E06AA3"/>
    <w:rsid w:val="00E06D3A"/>
    <w:rsid w:val="00E0783A"/>
    <w:rsid w:val="00E101A9"/>
    <w:rsid w:val="00E10352"/>
    <w:rsid w:val="00E10CE0"/>
    <w:rsid w:val="00E11BD2"/>
    <w:rsid w:val="00E12C31"/>
    <w:rsid w:val="00E12D13"/>
    <w:rsid w:val="00E12E96"/>
    <w:rsid w:val="00E1344E"/>
    <w:rsid w:val="00E13657"/>
    <w:rsid w:val="00E140A3"/>
    <w:rsid w:val="00E14B60"/>
    <w:rsid w:val="00E20134"/>
    <w:rsid w:val="00E2058C"/>
    <w:rsid w:val="00E2156C"/>
    <w:rsid w:val="00E223C9"/>
    <w:rsid w:val="00E226FD"/>
    <w:rsid w:val="00E228EE"/>
    <w:rsid w:val="00E24013"/>
    <w:rsid w:val="00E26F47"/>
    <w:rsid w:val="00E301D6"/>
    <w:rsid w:val="00E30CCB"/>
    <w:rsid w:val="00E32DA9"/>
    <w:rsid w:val="00E33252"/>
    <w:rsid w:val="00E346D4"/>
    <w:rsid w:val="00E3496D"/>
    <w:rsid w:val="00E349E3"/>
    <w:rsid w:val="00E3521D"/>
    <w:rsid w:val="00E3583D"/>
    <w:rsid w:val="00E35BF4"/>
    <w:rsid w:val="00E35FFE"/>
    <w:rsid w:val="00E36E49"/>
    <w:rsid w:val="00E37500"/>
    <w:rsid w:val="00E37FCD"/>
    <w:rsid w:val="00E401E9"/>
    <w:rsid w:val="00E40220"/>
    <w:rsid w:val="00E40772"/>
    <w:rsid w:val="00E416FE"/>
    <w:rsid w:val="00E42CC1"/>
    <w:rsid w:val="00E44245"/>
    <w:rsid w:val="00E44654"/>
    <w:rsid w:val="00E45E96"/>
    <w:rsid w:val="00E5003E"/>
    <w:rsid w:val="00E5088E"/>
    <w:rsid w:val="00E50B76"/>
    <w:rsid w:val="00E518A3"/>
    <w:rsid w:val="00E52801"/>
    <w:rsid w:val="00E538DF"/>
    <w:rsid w:val="00E55C6F"/>
    <w:rsid w:val="00E6178A"/>
    <w:rsid w:val="00E632BD"/>
    <w:rsid w:val="00E634A5"/>
    <w:rsid w:val="00E66025"/>
    <w:rsid w:val="00E67BB6"/>
    <w:rsid w:val="00E73293"/>
    <w:rsid w:val="00E732DA"/>
    <w:rsid w:val="00E7351D"/>
    <w:rsid w:val="00E73620"/>
    <w:rsid w:val="00E74E32"/>
    <w:rsid w:val="00E754DE"/>
    <w:rsid w:val="00E7682F"/>
    <w:rsid w:val="00E807E8"/>
    <w:rsid w:val="00E80A8F"/>
    <w:rsid w:val="00E80B9E"/>
    <w:rsid w:val="00E81EED"/>
    <w:rsid w:val="00E827B0"/>
    <w:rsid w:val="00E83689"/>
    <w:rsid w:val="00E83A9C"/>
    <w:rsid w:val="00E84A05"/>
    <w:rsid w:val="00E850BD"/>
    <w:rsid w:val="00E8535F"/>
    <w:rsid w:val="00E86082"/>
    <w:rsid w:val="00E87B8A"/>
    <w:rsid w:val="00E90CB8"/>
    <w:rsid w:val="00E9127A"/>
    <w:rsid w:val="00E91379"/>
    <w:rsid w:val="00E92E43"/>
    <w:rsid w:val="00E93F3F"/>
    <w:rsid w:val="00E94E09"/>
    <w:rsid w:val="00E95123"/>
    <w:rsid w:val="00E95693"/>
    <w:rsid w:val="00E95878"/>
    <w:rsid w:val="00E96DD3"/>
    <w:rsid w:val="00EA1111"/>
    <w:rsid w:val="00EA123B"/>
    <w:rsid w:val="00EA1573"/>
    <w:rsid w:val="00EA20FF"/>
    <w:rsid w:val="00EA2917"/>
    <w:rsid w:val="00EA2A2E"/>
    <w:rsid w:val="00EA2AE9"/>
    <w:rsid w:val="00EA42BE"/>
    <w:rsid w:val="00EA4D70"/>
    <w:rsid w:val="00EA7104"/>
    <w:rsid w:val="00EA79E6"/>
    <w:rsid w:val="00EB024A"/>
    <w:rsid w:val="00EB0C0A"/>
    <w:rsid w:val="00EB0E71"/>
    <w:rsid w:val="00EB1C97"/>
    <w:rsid w:val="00EB2F72"/>
    <w:rsid w:val="00EB41D2"/>
    <w:rsid w:val="00EB4FB3"/>
    <w:rsid w:val="00EB6A1B"/>
    <w:rsid w:val="00EB771B"/>
    <w:rsid w:val="00EB7E96"/>
    <w:rsid w:val="00EC013A"/>
    <w:rsid w:val="00EC01FF"/>
    <w:rsid w:val="00EC076C"/>
    <w:rsid w:val="00EC0A4E"/>
    <w:rsid w:val="00EC0C9D"/>
    <w:rsid w:val="00EC0CED"/>
    <w:rsid w:val="00EC1EE6"/>
    <w:rsid w:val="00EC2E4B"/>
    <w:rsid w:val="00EC45FA"/>
    <w:rsid w:val="00EC493B"/>
    <w:rsid w:val="00EC4B18"/>
    <w:rsid w:val="00ED007B"/>
    <w:rsid w:val="00ED10A4"/>
    <w:rsid w:val="00ED2D44"/>
    <w:rsid w:val="00ED3084"/>
    <w:rsid w:val="00ED327A"/>
    <w:rsid w:val="00ED37EE"/>
    <w:rsid w:val="00ED3D7D"/>
    <w:rsid w:val="00ED40AA"/>
    <w:rsid w:val="00ED4E3B"/>
    <w:rsid w:val="00ED643F"/>
    <w:rsid w:val="00ED7A01"/>
    <w:rsid w:val="00EE2725"/>
    <w:rsid w:val="00EE3389"/>
    <w:rsid w:val="00EE453F"/>
    <w:rsid w:val="00EE4CB2"/>
    <w:rsid w:val="00EE5177"/>
    <w:rsid w:val="00EE5C42"/>
    <w:rsid w:val="00EE6139"/>
    <w:rsid w:val="00EE6266"/>
    <w:rsid w:val="00EE6CF3"/>
    <w:rsid w:val="00EE73FB"/>
    <w:rsid w:val="00EF08F6"/>
    <w:rsid w:val="00EF20BF"/>
    <w:rsid w:val="00EF4671"/>
    <w:rsid w:val="00EF57CF"/>
    <w:rsid w:val="00EF5E1A"/>
    <w:rsid w:val="00F0002B"/>
    <w:rsid w:val="00F00E46"/>
    <w:rsid w:val="00F01E99"/>
    <w:rsid w:val="00F028B2"/>
    <w:rsid w:val="00F03E21"/>
    <w:rsid w:val="00F105BE"/>
    <w:rsid w:val="00F1089D"/>
    <w:rsid w:val="00F138F8"/>
    <w:rsid w:val="00F148A8"/>
    <w:rsid w:val="00F15851"/>
    <w:rsid w:val="00F15CC8"/>
    <w:rsid w:val="00F1605A"/>
    <w:rsid w:val="00F17105"/>
    <w:rsid w:val="00F202FF"/>
    <w:rsid w:val="00F20342"/>
    <w:rsid w:val="00F230E3"/>
    <w:rsid w:val="00F233F0"/>
    <w:rsid w:val="00F2349E"/>
    <w:rsid w:val="00F2405D"/>
    <w:rsid w:val="00F25247"/>
    <w:rsid w:val="00F26C53"/>
    <w:rsid w:val="00F26F75"/>
    <w:rsid w:val="00F305F9"/>
    <w:rsid w:val="00F30C15"/>
    <w:rsid w:val="00F336B2"/>
    <w:rsid w:val="00F34477"/>
    <w:rsid w:val="00F34F76"/>
    <w:rsid w:val="00F3670A"/>
    <w:rsid w:val="00F3750B"/>
    <w:rsid w:val="00F401C7"/>
    <w:rsid w:val="00F40F76"/>
    <w:rsid w:val="00F41DFA"/>
    <w:rsid w:val="00F42F16"/>
    <w:rsid w:val="00F43319"/>
    <w:rsid w:val="00F4395D"/>
    <w:rsid w:val="00F43BBF"/>
    <w:rsid w:val="00F450C8"/>
    <w:rsid w:val="00F45C77"/>
    <w:rsid w:val="00F4757C"/>
    <w:rsid w:val="00F47803"/>
    <w:rsid w:val="00F5059C"/>
    <w:rsid w:val="00F5093E"/>
    <w:rsid w:val="00F53CDC"/>
    <w:rsid w:val="00F53EDD"/>
    <w:rsid w:val="00F54A09"/>
    <w:rsid w:val="00F54B0C"/>
    <w:rsid w:val="00F54C4C"/>
    <w:rsid w:val="00F5745D"/>
    <w:rsid w:val="00F57B3C"/>
    <w:rsid w:val="00F6237E"/>
    <w:rsid w:val="00F63596"/>
    <w:rsid w:val="00F66AB3"/>
    <w:rsid w:val="00F674C0"/>
    <w:rsid w:val="00F67834"/>
    <w:rsid w:val="00F67ECC"/>
    <w:rsid w:val="00F7492E"/>
    <w:rsid w:val="00F75730"/>
    <w:rsid w:val="00F761D5"/>
    <w:rsid w:val="00F76E9B"/>
    <w:rsid w:val="00F77080"/>
    <w:rsid w:val="00F80262"/>
    <w:rsid w:val="00F81809"/>
    <w:rsid w:val="00F818FB"/>
    <w:rsid w:val="00F82E49"/>
    <w:rsid w:val="00F82E9F"/>
    <w:rsid w:val="00F83203"/>
    <w:rsid w:val="00F8450A"/>
    <w:rsid w:val="00F86793"/>
    <w:rsid w:val="00F90331"/>
    <w:rsid w:val="00F91158"/>
    <w:rsid w:val="00F924B8"/>
    <w:rsid w:val="00F937D3"/>
    <w:rsid w:val="00F949B8"/>
    <w:rsid w:val="00F9528A"/>
    <w:rsid w:val="00F9574A"/>
    <w:rsid w:val="00F97389"/>
    <w:rsid w:val="00F97CFA"/>
    <w:rsid w:val="00FA0F55"/>
    <w:rsid w:val="00FA138A"/>
    <w:rsid w:val="00FA26A6"/>
    <w:rsid w:val="00FA3C3D"/>
    <w:rsid w:val="00FA4761"/>
    <w:rsid w:val="00FA7DA7"/>
    <w:rsid w:val="00FB3A27"/>
    <w:rsid w:val="00FB47AE"/>
    <w:rsid w:val="00FB47E1"/>
    <w:rsid w:val="00FB59F4"/>
    <w:rsid w:val="00FB7E7D"/>
    <w:rsid w:val="00FC03B5"/>
    <w:rsid w:val="00FC19B1"/>
    <w:rsid w:val="00FC2956"/>
    <w:rsid w:val="00FC308E"/>
    <w:rsid w:val="00FC5864"/>
    <w:rsid w:val="00FC5F03"/>
    <w:rsid w:val="00FC6FB3"/>
    <w:rsid w:val="00FC7C64"/>
    <w:rsid w:val="00FD0069"/>
    <w:rsid w:val="00FD065B"/>
    <w:rsid w:val="00FD0EF2"/>
    <w:rsid w:val="00FD0FCE"/>
    <w:rsid w:val="00FD13AB"/>
    <w:rsid w:val="00FD152E"/>
    <w:rsid w:val="00FD1DC8"/>
    <w:rsid w:val="00FD4F15"/>
    <w:rsid w:val="00FD51D0"/>
    <w:rsid w:val="00FD5F50"/>
    <w:rsid w:val="00FD65C6"/>
    <w:rsid w:val="00FD6F90"/>
    <w:rsid w:val="00FE01CA"/>
    <w:rsid w:val="00FE022E"/>
    <w:rsid w:val="00FE1190"/>
    <w:rsid w:val="00FE1893"/>
    <w:rsid w:val="00FE3225"/>
    <w:rsid w:val="00FE3FA2"/>
    <w:rsid w:val="00FE419B"/>
    <w:rsid w:val="00FF02CC"/>
    <w:rsid w:val="00FF0FE5"/>
    <w:rsid w:val="00FF1D50"/>
    <w:rsid w:val="00FF219C"/>
    <w:rsid w:val="00FF260D"/>
    <w:rsid w:val="00FF2CF2"/>
    <w:rsid w:val="00FF39F3"/>
    <w:rsid w:val="00FF3FD4"/>
    <w:rsid w:val="00FF41E9"/>
    <w:rsid w:val="00FF5342"/>
    <w:rsid w:val="00FF6C98"/>
    <w:rsid w:val="00FF7AB3"/>
    <w:rsid w:val="022573A2"/>
    <w:rsid w:val="02DA63DE"/>
    <w:rsid w:val="0370400A"/>
    <w:rsid w:val="0B007F63"/>
    <w:rsid w:val="10DD43F2"/>
    <w:rsid w:val="17F14845"/>
    <w:rsid w:val="1CFF3931"/>
    <w:rsid w:val="1D8B3641"/>
    <w:rsid w:val="2269191D"/>
    <w:rsid w:val="26A51916"/>
    <w:rsid w:val="2C524B24"/>
    <w:rsid w:val="30901049"/>
    <w:rsid w:val="30FA7AC8"/>
    <w:rsid w:val="35B53FBD"/>
    <w:rsid w:val="3653693B"/>
    <w:rsid w:val="38D40889"/>
    <w:rsid w:val="390D2D52"/>
    <w:rsid w:val="3AC23405"/>
    <w:rsid w:val="3BAE7045"/>
    <w:rsid w:val="450656E4"/>
    <w:rsid w:val="48F46997"/>
    <w:rsid w:val="4E754480"/>
    <w:rsid w:val="4ED765AF"/>
    <w:rsid w:val="5AE70CB8"/>
    <w:rsid w:val="5BAD110F"/>
    <w:rsid w:val="62F85366"/>
    <w:rsid w:val="63161C90"/>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semiHidden="0" w:uiPriority="0" w:unhideWhenUsed="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qFormat="1"/>
    <w:lsdException w:name="header" w:semiHidden="0" w:uiPriority="0" w:unhideWhenUsed="0" w:qFormat="1"/>
    <w:lsdException w:name="footer" w:semiHidden="0" w:uiPriority="0" w:unhideWhenUsed="0" w:qFormat="1"/>
    <w:lsdException w:name="caption" w:uiPriority="35" w:qFormat="1"/>
    <w:lsdException w:name="annotation reference" w:semiHidden="0" w:uiPriority="0" w:unhideWhenUsed="0" w:qFormat="1"/>
    <w:lsdException w:name="page number" w:semiHidden="0" w:uiPriority="0" w:unhideWhenUsed="0"/>
    <w:lsdException w:name="Title" w:semiHidden="0" w:uiPriority="0" w:unhideWhenUsed="0" w:qFormat="1"/>
    <w:lsdException w:name="Default Paragraph Font" w:semiHidden="0" w:uiPriority="1"/>
    <w:lsdException w:name="Body Text" w:semiHidden="0" w:uiPriority="0" w:qFormat="1"/>
    <w:lsdException w:name="Body Text Indent" w:semiHidden="0" w:uiPriority="0" w:unhideWhenUsed="0" w:qFormat="1"/>
    <w:lsdException w:name="Subtitle" w:semiHidden="0" w:uiPriority="11" w:unhideWhenUsed="0" w:qFormat="1"/>
    <w:lsdException w:name="Date" w:semiHidden="0" w:uiPriority="0" w:unhideWhenUsed="0"/>
    <w:lsdException w:name="Hyperlink" w:semiHidden="0"/>
    <w:lsdException w:name="Strong" w:semiHidden="0" w:uiPriority="0" w:unhideWhenUsed="0" w:qFormat="1"/>
    <w:lsdException w:name="Emphasis" w:semiHidden="0" w:uiPriority="20" w:unhideWhenUsed="0" w:qFormat="1"/>
    <w:lsdException w:name="Document Map" w:semiHidden="0"/>
    <w:lsdException w:name="Plain Text" w:semiHidden="0" w:uiPriority="0" w:unhideWhenUsed="0" w:qFormat="1"/>
    <w:lsdException w:name="Normal (Web)" w:semiHidden="0" w:uiPriority="0" w:unhideWhenUsed="0" w:qFormat="1"/>
    <w:lsdException w:name="Normal Table" w:semiHidden="0"/>
    <w:lsdException w:name="annotation subject" w:semiHidden="0" w:uiPriority="0" w:unhideWhenUsed="0"/>
    <w:lsdException w:name="Balloon Text" w:semiHidden="0" w:uiPriority="0" w:unhideWhenUsed="0"/>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6Char">
    <w:name w:val="标题 6 Char"/>
    <w:link w:val="Heading6"/>
    <w:uiPriority w:val="9"/>
    <w:semiHidden/>
    <w:rPr>
      <w:rFonts w:ascii="Cambria" w:eastAsia="宋体" w:hAnsi="Cambria" w:cs="Times New Roman"/>
      <w:b/>
      <w:bCs/>
      <w:kern w:val="2"/>
      <w:sz w:val="24"/>
      <w:szCs w:val="24"/>
    </w:rPr>
  </w:style>
  <w:style w:type="paragraph" w:styleId="DocumentMap">
    <w:name w:val="Document Map"/>
    <w:basedOn w:val="Normal"/>
    <w:link w:val="Char"/>
    <w:uiPriority w:val="99"/>
    <w:unhideWhenUsed/>
    <w:rPr>
      <w:rFonts w:ascii="宋体"/>
      <w:sz w:val="18"/>
      <w:szCs w:val="18"/>
    </w:rPr>
  </w:style>
  <w:style w:type="character" w:customStyle="1" w:styleId="Char">
    <w:name w:val="文档结构图 Char"/>
    <w:link w:val="DocumentMap"/>
    <w:uiPriority w:val="99"/>
    <w:semiHidden/>
    <w:rPr>
      <w:rFonts w:ascii="宋体"/>
      <w:kern w:val="2"/>
      <w:sz w:val="18"/>
      <w:szCs w:val="18"/>
    </w:rPr>
  </w:style>
  <w:style w:type="paragraph" w:styleId="CommentText">
    <w:name w:val="annotation text"/>
    <w:basedOn w:val="Normal"/>
    <w:link w:val="Char0"/>
    <w:qFormat/>
    <w:pPr>
      <w:jc w:val="left"/>
    </w:pPr>
  </w:style>
  <w:style w:type="character" w:customStyle="1" w:styleId="Char0">
    <w:name w:val="批注文字 Char"/>
    <w:link w:val="CommentText"/>
    <w:qFormat/>
    <w:rPr>
      <w:kern w:val="2"/>
      <w:sz w:val="21"/>
    </w:rPr>
  </w:style>
  <w:style w:type="paragraph" w:styleId="BodyText">
    <w:name w:val="Body Text"/>
    <w:basedOn w:val="Normal"/>
    <w:link w:val="Char1"/>
    <w:unhideWhenUsed/>
    <w:qFormat/>
    <w:pPr>
      <w:widowControl/>
      <w:spacing w:after="120"/>
      <w:jc w:val="left"/>
    </w:pPr>
    <w:rPr>
      <w:rFonts w:ascii="Cambria" w:eastAsia="微软雅黑" w:hAnsi="Cambria"/>
      <w:color w:val="595959"/>
      <w:kern w:val="20"/>
      <w:lang w:val="zh-CN"/>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paragraph" w:styleId="BodyTextIndent">
    <w:name w:val="Body Text Indent"/>
    <w:basedOn w:val="Normal"/>
    <w:link w:val="Char2"/>
    <w:qFormat/>
    <w:pPr>
      <w:spacing w:after="120"/>
      <w:ind w:left="420" w:leftChars="200"/>
    </w:pPr>
    <w:rPr>
      <w:szCs w:val="24"/>
    </w:rPr>
  </w:style>
  <w:style w:type="character" w:customStyle="1" w:styleId="Char2">
    <w:name w:val="正文文本缩进 Char"/>
    <w:link w:val="BodyTextIndent"/>
    <w:rPr>
      <w:kern w:val="2"/>
      <w:sz w:val="21"/>
      <w:szCs w:val="24"/>
    </w:rPr>
  </w:style>
  <w:style w:type="paragraph" w:styleId="PlainText">
    <w:name w:val="Plain Text"/>
    <w:basedOn w:val="Normal"/>
    <w:link w:val="Char3"/>
    <w:qFormat/>
    <w:rPr>
      <w:rFonts w:ascii="宋体" w:hAnsi="Courier New"/>
      <w:szCs w:val="21"/>
    </w:rPr>
  </w:style>
  <w:style w:type="character" w:customStyle="1" w:styleId="Char3">
    <w:name w:val="纯文本 Char"/>
    <w:link w:val="PlainText"/>
    <w:rPr>
      <w:rFonts w:ascii="宋体" w:hAnsi="Courier New"/>
      <w:kern w:val="2"/>
      <w:sz w:val="21"/>
      <w:szCs w:val="21"/>
    </w:rPr>
  </w:style>
  <w:style w:type="paragraph" w:styleId="Date">
    <w:name w:val="Date"/>
    <w:basedOn w:val="Normal"/>
    <w:next w:val="Normal"/>
    <w:pPr>
      <w:adjustRightInd w:val="0"/>
      <w:spacing w:line="360" w:lineRule="atLeast"/>
    </w:pPr>
    <w:rPr>
      <w:rFonts w:ascii="宋体"/>
      <w:sz w:val="24"/>
    </w:rPr>
  </w:style>
  <w:style w:type="paragraph" w:styleId="BalloonText">
    <w:name w:val="Balloon Text"/>
    <w:basedOn w:val="Normal"/>
    <w:link w:val="Char4"/>
    <w:rPr>
      <w:sz w:val="18"/>
      <w:szCs w:val="18"/>
    </w:rPr>
  </w:style>
  <w:style w:type="character" w:customStyle="1" w:styleId="Char4">
    <w:name w:val="批注框文本 Char"/>
    <w:link w:val="BalloonText"/>
    <w:rPr>
      <w:kern w:val="2"/>
      <w:sz w:val="18"/>
      <w:szCs w:val="18"/>
    </w:rPr>
  </w:style>
  <w:style w:type="paragraph" w:styleId="Footer">
    <w:name w:val="footer"/>
    <w:basedOn w:val="Normal"/>
    <w:link w:val="Char5"/>
    <w:qFormat/>
    <w:pPr>
      <w:tabs>
        <w:tab w:val="center" w:pos="4153"/>
        <w:tab w:val="right" w:pos="8306"/>
      </w:tabs>
      <w:snapToGrid w:val="0"/>
      <w:jc w:val="left"/>
    </w:pPr>
    <w:rPr>
      <w:sz w:val="18"/>
    </w:rPr>
  </w:style>
  <w:style w:type="character" w:customStyle="1" w:styleId="Char5">
    <w:name w:val="页脚 Char"/>
    <w:link w:val="Footer"/>
    <w:uiPriority w:val="99"/>
    <w:rPr>
      <w:kern w:val="2"/>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1">
    <w:name w:val="toc 1"/>
    <w:basedOn w:val="Normal"/>
    <w:next w:val="Normal"/>
    <w:rPr>
      <w:szCs w:val="24"/>
    </w:rPr>
  </w:style>
  <w:style w:type="paragraph" w:styleId="NormalWeb">
    <w:name w:val="Normal (Web)"/>
    <w:basedOn w:val="Normal"/>
    <w:qFormat/>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character" w:customStyle="1" w:styleId="Char6">
    <w:name w:val="标题 Char"/>
    <w:link w:val="Title"/>
    <w:rPr>
      <w:rFonts w:ascii="Cambria" w:hAnsi="Cambria" w:cs="Times New Roman"/>
      <w:b/>
      <w:bCs/>
      <w:kern w:val="2"/>
      <w:sz w:val="32"/>
      <w:szCs w:val="32"/>
    </w:rPr>
  </w:style>
  <w:style w:type="paragraph" w:styleId="CommentSubject">
    <w:name w:val="annotation subject"/>
    <w:basedOn w:val="CommentText"/>
    <w:next w:val="CommentText"/>
    <w:link w:val="Char7"/>
  </w:style>
  <w:style w:type="character" w:customStyle="1" w:styleId="Char7">
    <w:name w:val="批注主题 Char"/>
    <w:link w:val="CommentSubject"/>
    <w:rPr>
      <w:kern w:val="2"/>
      <w:sz w:val="21"/>
    </w:rPr>
  </w:style>
  <w:style w:type="table" w:styleId="TableGrid">
    <w:name w:val="Table Grid"/>
    <w:basedOn w:val="TableNormal"/>
    <w:uiPriority w:val="59"/>
    <w:qFormat/>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qFormat/>
    <w:rPr>
      <w:b/>
    </w:rPr>
  </w:style>
  <w:style w:type="character" w:styleId="PageNumber">
    <w:name w:val="page number"/>
  </w:style>
  <w:style w:type="character" w:styleId="Hyperlink">
    <w:name w:val="Hyperlink"/>
    <w:uiPriority w:val="99"/>
    <w:unhideWhenUsed/>
    <w:rPr>
      <w:color w:val="0000FF"/>
      <w:u w:val="single"/>
    </w:rPr>
  </w:style>
  <w:style w:type="character" w:styleId="CommentReference">
    <w:name w:val="annotation reference"/>
    <w:qFormat/>
    <w:rPr>
      <w:sz w:val="21"/>
      <w:szCs w:val="21"/>
    </w:rPr>
  </w:style>
  <w:style w:type="character" w:customStyle="1" w:styleId="1">
    <w:name w:val="页码1"/>
  </w:style>
  <w:style w:type="character" w:customStyle="1" w:styleId="px10">
    <w:name w:val="px_10"/>
  </w:style>
  <w:style w:type="paragraph" w:customStyle="1" w:styleId="26012">
    <w:name w:val="样式 样式 样式 标题 2 + 宋体 五号 非加粗 黑色 + 段前: 6 磅 段后: 0 磅 行距: 单倍行距 + 段前: 12..."/>
    <w:basedOn w:val="260"/>
    <w:pPr>
      <w:spacing w:before="240"/>
    </w:pPr>
  </w:style>
  <w:style w:type="paragraph" w:customStyle="1" w:styleId="260">
    <w:name w:val="样式 样式 标题 2 + 宋体 五号 非加粗 黑色 + 段前: 6 磅 段后: 0 磅 行距: 单倍行距"/>
    <w:basedOn w:val="2"/>
    <w:pPr>
      <w:spacing w:before="120" w:after="0" w:line="240" w:lineRule="auto"/>
    </w:pPr>
    <w:rPr>
      <w:rFonts w:cs="宋体"/>
      <w:szCs w:val="20"/>
    </w:rPr>
  </w:style>
  <w:style w:type="paragraph" w:customStyle="1" w:styleId="2">
    <w:name w:val="样式 标题 2 + 宋体 五号 非加粗 黑色"/>
    <w:basedOn w:val="Heading2"/>
    <w:rPr>
      <w:rFonts w:ascii="宋体" w:eastAsia="宋体" w:hAnsi="宋体"/>
      <w:b w:val="0"/>
      <w:bCs w:val="0"/>
      <w:color w:val="000000"/>
      <w:sz w:val="21"/>
    </w:rPr>
  </w:style>
  <w:style w:type="paragraph" w:customStyle="1" w:styleId="Char8">
    <w:name w:val="Char"/>
    <w:basedOn w:val="Normal"/>
  </w:style>
  <w:style w:type="paragraph" w:customStyle="1" w:styleId="455">
    <w:name w:val="样式 标题 4 + 段前: 5 磅 段后: 5 磅 行距: 单倍行距"/>
    <w:basedOn w:val="Heading4"/>
    <w:pPr>
      <w:spacing w:before="100" w:after="100" w:line="240" w:lineRule="auto"/>
    </w:pPr>
    <w:rPr>
      <w:rFonts w:cs="宋体"/>
      <w:szCs w:val="20"/>
    </w:rPr>
  </w:style>
  <w:style w:type="paragraph" w:customStyle="1" w:styleId="10">
    <w:name w:val="样式1"/>
    <w:basedOn w:val="Normal"/>
    <w:pPr>
      <w:numPr>
        <w:ilvl w:val="0"/>
        <w:numId w:val="2"/>
      </w:numPr>
      <w:tabs>
        <w:tab w:val="left" w:pos="709"/>
      </w:tabs>
    </w:pPr>
    <w:rPr>
      <w:rFonts w:ascii="宋体" w:hAnsi="宋体"/>
      <w:szCs w:val="21"/>
    </w:rPr>
  </w:style>
  <w:style w:type="paragraph" w:customStyle="1" w:styleId="11212">
    <w:name w:val="样式 标题 1 + 四号 居中 段前: 12 磅 段后: 12 磅 行距: 单倍行距"/>
    <w:basedOn w:val="Heading1"/>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rPr>
      <w:b/>
      <w:bCs/>
    </w:rPr>
  </w:style>
  <w:style w:type="paragraph" w:customStyle="1" w:styleId="Default">
    <w:name w:val="Default"/>
    <w:pPr>
      <w:widowControl w:val="0"/>
      <w:autoSpaceDE w:val="0"/>
      <w:autoSpaceDN w:val="0"/>
    </w:pPr>
    <w:rPr>
      <w:rFonts w:ascii="宋体" w:hAnsi="宋体"/>
      <w:color w:val="000000"/>
      <w:sz w:val="24"/>
      <w:lang w:val="en-US" w:eastAsia="zh-CN" w:bidi="ar-SA"/>
    </w:rPr>
  </w:style>
  <w:style w:type="paragraph" w:customStyle="1" w:styleId="3h3H3sect12366">
    <w:name w:val="样式 标题 3h3H3sect1.2.3 + 五号 段前: 6 磅 段后: 6 磅 行距: 单倍行距"/>
    <w:basedOn w:val="Heading3"/>
    <w:pPr>
      <w:spacing w:before="120" w:after="120" w:line="240" w:lineRule="auto"/>
    </w:pPr>
    <w:rPr>
      <w:rFonts w:cs="宋体"/>
      <w:sz w:val="21"/>
      <w:szCs w:val="20"/>
    </w:rPr>
  </w:style>
  <w:style w:type="paragraph" w:customStyle="1" w:styleId="a">
    <w:name w:val="样式 宋体 五号 行距: 单倍行距"/>
    <w:basedOn w:val="Normal"/>
    <w:rPr>
      <w:rFonts w:ascii="宋体" w:hAnsi="宋体" w:cs="宋体"/>
    </w:rPr>
  </w:style>
  <w:style w:type="paragraph" w:customStyle="1" w:styleId="11">
    <w:name w:val="标题1"/>
    <w:basedOn w:val="Title"/>
    <w:pPr>
      <w:spacing w:after="240"/>
    </w:pPr>
    <w:rPr>
      <w:rFonts w:ascii="Arial" w:hAnsi="Arial"/>
      <w:spacing w:val="2"/>
      <w:sz w:val="44"/>
      <w:szCs w:val="44"/>
    </w:rPr>
  </w:style>
  <w:style w:type="paragraph" w:customStyle="1" w:styleId="a0">
    <w:name w:val="样式"/>
    <w:basedOn w:val="Normal"/>
    <w:next w:val="PlainTex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99"/>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rPr>
      <w:kern w:val="2"/>
      <w:sz w:val="21"/>
      <w:szCs w:val="22"/>
    </w:rPr>
  </w:style>
  <w:style w:type="paragraph" w:customStyle="1" w:styleId="a1">
    <w:name w:val="表格正文"/>
    <w:link w:val="Char10"/>
    <w:qFormat/>
    <w:pPr>
      <w:adjustRightInd w:val="0"/>
      <w:spacing w:beforeLines="50" w:line="300" w:lineRule="auto"/>
      <w:textAlignment w:val="baseline"/>
    </w:pPr>
    <w:rPr>
      <w:kern w:val="2"/>
      <w:sz w:val="21"/>
      <w:szCs w:val="22"/>
      <w:lang w:val="en-US" w:eastAsia="zh-CN" w:bidi="ar-SA"/>
    </w:rPr>
  </w:style>
  <w:style w:type="paragraph" w:customStyle="1" w:styleId="CharCharChar">
    <w:name w:val="Char Char Char"/>
    <w:basedOn w:val="Normal"/>
    <w:rPr>
      <w:rFonts w:ascii="Tahoma" w:hAnsi="Tahoma"/>
      <w:sz w:val="24"/>
    </w:rPr>
  </w:style>
  <w:style w:type="paragraph" w:styleId="Revision">
    <w:name w:val="Revision"/>
    <w:uiPriority w:val="99"/>
    <w:semiHidden/>
    <w:rPr>
      <w:kern w:val="2"/>
      <w:sz w:val="21"/>
      <w:lang w:val="en-US" w:eastAsia="zh-CN" w:bidi="ar-SA"/>
    </w:rPr>
  </w:style>
  <w:style w:type="table" w:customStyle="1" w:styleId="13">
    <w:name w:val="网格型1"/>
    <w:basedOn w:val="TableNormal"/>
    <w:uiPriority w:val="59"/>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ONormal">
    <w:name w:val="AONormal"/>
    <w:qFormat/>
    <w:pPr>
      <w:autoSpaceDE w:val="0"/>
      <w:autoSpaceDN w:val="0"/>
      <w:adjustRightInd w:val="0"/>
      <w:spacing w:line="400" w:lineRule="exact"/>
      <w:ind w:firstLine="440" w:firstLineChars="200"/>
    </w:pPr>
    <w:rPr>
      <w:rFonts w:ascii="华文楷体" w:eastAsia="华文楷体" w:hAnsi="华文楷体" w:cs="华文楷体"/>
      <w:sz w:val="22"/>
      <w:szCs w:val="21"/>
      <w:lang w:val="en-US" w:eastAsia="zh-CN" w:bidi="ar-SA"/>
    </w:rPr>
  </w:style>
  <w:style w:type="paragraph" w:customStyle="1" w:styleId="53">
    <w:name w:val="目录 53"/>
    <w:next w:val="Normal"/>
    <w:qFormat/>
    <w:pPr>
      <w:wordWrap w:val="0"/>
      <w:ind w:left="1275"/>
      <w:jc w:val="both"/>
    </w:pPr>
    <w:rPr>
      <w:sz w:val="21"/>
      <w:lang w:val="en-US" w:eastAsia="zh-CN" w:bidi="ar-SA"/>
    </w:rPr>
  </w:style>
  <w:style w:type="paragraph" w:customStyle="1" w:styleId="a2">
    <w:name w:val="表格"/>
    <w:basedOn w:val="BodyTextIndent"/>
    <w:qFormat/>
    <w:pPr>
      <w:spacing w:after="0" w:line="440" w:lineRule="exact"/>
      <w:ind w:left="0" w:firstLine="538" w:leftChars="0" w:firstLineChars="168"/>
      <w:jc w:val="center"/>
    </w:pPr>
    <w:rPr>
      <w:rFonts w:ascii="仿宋_GB2312" w:eastAsia="仿宋_GB2312"/>
      <w:color w:val="000000"/>
      <w:sz w:val="18"/>
      <w:szCs w:val="18"/>
    </w:rPr>
  </w:style>
  <w:style w:type="paragraph" w:customStyle="1" w:styleId="-">
    <w:name w:val="正文-单倍行距"/>
    <w:basedOn w:val="Normal"/>
    <w:qFormat/>
    <w:pPr>
      <w:ind w:firstLine="640" w:firstLineChars="200"/>
    </w:pPr>
    <w:rPr>
      <w:rFonts w:ascii="仿宋_GB2312" w:eastAsia="仿宋_GB2312"/>
      <w:sz w:val="32"/>
      <w:szCs w:val="32"/>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3.xml" /><Relationship Id="rId11" Type="http://schemas.openxmlformats.org/officeDocument/2006/relationships/header" Target="header5.xml" /><Relationship Id="rId12" Type="http://schemas.openxmlformats.org/officeDocument/2006/relationships/theme" Target="theme/theme1.xml" /><Relationship Id="rId13" Type="http://schemas.openxmlformats.org/officeDocument/2006/relationships/numbering" Target="numbering.xml" /><Relationship Id="rId14"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header" Target="header4.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TotalTime>0</TotalTime>
  <Pages>37</Pages>
  <Words>25682</Words>
  <Characters>27219</Characters>
  <Application>Microsoft Office Word</Application>
  <DocSecurity>0</DocSecurity>
  <Lines>209</Lines>
  <Paragraphs>59</Paragraphs>
  <ScaleCrop>false</ScaleCrop>
  <Company>中国气象局</Company>
  <LinksUpToDate>false</LinksUpToDate>
  <CharactersWithSpaces>27398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李宗霖</cp:lastModifiedBy>
  <cp:revision>2</cp:revision>
  <cp:lastPrinted>2014-06-19T06:19:00Z</cp:lastPrinted>
  <dcterms:created xsi:type="dcterms:W3CDTF">2023-10-16T02:37:00Z</dcterms:created>
  <dcterms:modified xsi:type="dcterms:W3CDTF">2025-08-12T01:48:28Z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8D62CCBBDACA4EB9B2C46F68A96DA926_13</vt:lpwstr>
  </property>
  <property fmtid="{D5CDD505-2E9C-101B-9397-08002B2CF9AE}" pid="3" name="KSOProductBuildVer">
    <vt:lpwstr>2052-12.1.0.21915</vt:lpwstr>
  </property>
  <property fmtid="{D5CDD505-2E9C-101B-9397-08002B2CF9AE}" pid="4" name="KSOTemplateDocerSaveRecord">
    <vt:lpwstr>eyJoZGlkIjoiM2FkMjdjNjAxZjdmYjI5MjMyNmE5MTA5ZjJkMDM4NmEiLCJ1c2VySWQiOiI0MTI2MjIxMDYifQ==</vt:lpwstr>
  </property>
</Properties>
</file>