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甘肃省级计量自动化信息化能力提升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甘肃省级计量自动化信息化能力提升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2025年10月22日 00:00:00</w:t>
      </w:r>
      <w:bookmarkEnd w:id="26"/>
      <w:r>
        <w:rPr>
          <w:rFonts w:ascii="宋体" w:hint="eastAsia"/>
          <w:szCs w:val="21"/>
          <w:highlight w:val="none"/>
        </w:rPr>
        <w:t>至</w:t>
      </w:r>
      <w:bookmarkStart w:id="27" w:name="项目公告_signUpLastTime"/>
      <w:r>
        <w:rPr>
          <w:rFonts w:ascii="宋体" w:hint="eastAsia"/>
          <w:szCs w:val="21"/>
          <w:highlight w:val="none"/>
        </w:rPr>
        <w:t>2025年10月29日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第五朋朋</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0931-2402432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允许（仅针对以下产品：1、地面气象观测仪自动化计量系统、省级计量信息化系统允许代理商投标允许代理商投标）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（1）标的：地面气象观测仪自动化计量系统、省级计量信息化系统，属于工业行业；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621.900000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621.900000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投标人具有ISO9001系列或GJB9001B质量管理体系认证、ISO14001环境管理体系认证、ISO45001职业健康安全管理体系认证，每提供一类认证证书得1分，最多得3分。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销售合同必须包括与本项目类似的计量检定类设备，每提供1份合同得1分，最多得5分。否则不得分。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(3)</w:t>
            </w:r>
          </w:p>
        </w:tc>
        <w:tc>
          <w:tcPr/>
          <w:p>
            <w:r>
              <w:t>评审标准：</w:t>
            </w:r>
          </w:p>
          <w:p>
            <w:r>
              <w:t>一档0分</w:t>
              <w:cr/>
              <w:t>二档1分</w:t>
              <w:cr/>
              <w:t>三档2分</w:t>
              <w:cr/>
              <w:t>四档3分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针对本项目采购的地面气象观测仪自动化计量系统和省级计量信息化系统，承诺每提前5天交货的得0.5分，最多得1分。否则不得分。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针对计量检定类设备，每提供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在甘肃省气象信息与技术装备保障中心建设1套地面气象观测仪自动化计量系统，包括温度自动计量系统、湿度自动计量系统和气压自动计量系统，各系统应能够自动完成地面气象观测仪计量检定工作。</w:t>
      </w:r>
    </w:p>
    <w:p>
      <w:pPr>
        <w:spacing w:line="360" w:lineRule="auto"/>
        <w:ind w:firstLine="420" w:firstLineChars="200"/>
        <w:rPr>
          <w:rFonts w:ascii="宋体" w:hAnsi="宋体" w:hint="eastAsia"/>
          <w:szCs w:val="21"/>
        </w:rPr>
      </w:pPr>
      <w:r>
        <w:rPr>
          <w:rFonts w:ascii="宋体" w:hAnsi="宋体" w:hint="eastAsia"/>
          <w:szCs w:val="21"/>
        </w:rPr>
        <w:t>在甘肃省气象信息与技术装备保障中心建设1套省级计量信息化系统，实现省级实验室检定业务系统、移动计量系统与“天元”互通的省级计量信息化平台，核心内容主要包括基础信息管理子系统、计量数据管理子系统、实验室及业务管理子系统、移动计量管理子系统、外场巡检管理子系统等五个子系统。</w:t>
      </w:r>
    </w:p>
    <w:p>
      <w:pPr>
        <w:spacing w:line="360" w:lineRule="auto"/>
        <w:ind w:firstLine="420" w:firstLineChars="200"/>
        <w:rPr>
          <w:rFonts w:ascii="宋体" w:hAnsi="宋体" w:hint="eastAsia"/>
          <w:szCs w:val="21"/>
        </w:rPr>
      </w:pPr>
      <w:r>
        <w:rPr>
          <w:rFonts w:ascii="宋体" w:hAnsi="宋体" w:hint="eastAsia"/>
          <w:szCs w:val="21"/>
        </w:rPr>
        <w:t>二、设备需求一览表（详见采购需求附表）</w:t>
      </w:r>
    </w:p>
    <w:p>
      <w:pPr>
        <w:spacing w:line="360" w:lineRule="auto"/>
        <w:ind w:firstLine="420" w:firstLineChars="200"/>
        <w:rPr>
          <w:rFonts w:ascii="宋体" w:hAnsi="宋体" w:hint="eastAsia"/>
          <w:szCs w:val="21"/>
        </w:rPr>
      </w:pPr>
      <w:r>
        <w:rPr>
          <w:rFonts w:ascii="宋体" w:hAnsi="宋体" w:hint="eastAsia"/>
          <w:szCs w:val="21"/>
        </w:rPr>
        <w:t>三、技术性能指标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hint="default"/>
          <w:szCs w:val="21"/>
        </w:rPr>
      </w:pPr>
      <w:r>
        <w:rPr>
          <w:rFonts w:ascii="宋体" w:hAnsi="宋体" w:hint="eastAsia"/>
          <w:sz w:val="21"/>
          <w:szCs w:val="21"/>
          <w:lang w:val="en-US" w:eastAsia="zh-CN"/>
        </w:rPr>
        <w:t xml:space="preserve">3.1 </w:t>
      </w:r>
      <w:r>
        <w:rPr>
          <w:rFonts w:ascii="宋体" w:eastAsia="宋体" w:hAnsi="宋体" w:cs="Times New Roman" w:hint="eastAsia"/>
          <w:sz w:val="21"/>
          <w:szCs w:val="21"/>
          <w:lang w:val="en-US" w:eastAsia="zh-CN"/>
        </w:rPr>
        <w:t>地面气象观测仪自动</w:t>
      </w:r>
      <w:r>
        <w:rPr>
          <w:rFonts w:ascii="宋体" w:hAnsi="宋体" w:cs="Times New Roman" w:hint="eastAsia"/>
          <w:sz w:val="21"/>
          <w:szCs w:val="21"/>
          <w:lang w:val="en-US" w:eastAsia="zh-CN"/>
        </w:rPr>
        <w:t>化</w:t>
      </w:r>
      <w:r>
        <w:rPr>
          <w:rFonts w:ascii="宋体" w:eastAsia="宋体" w:hAnsi="宋体" w:cs="Times New Roman" w:hint="eastAsia"/>
          <w:sz w:val="21"/>
          <w:szCs w:val="21"/>
          <w:lang w:val="en-US" w:eastAsia="zh-CN"/>
        </w:rPr>
        <w:t>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hint="eastAsia"/>
          <w:szCs w:val="21"/>
        </w:rPr>
      </w:pPr>
      <w:r>
        <w:rPr>
          <w:rFonts w:ascii="宋体" w:hAnsi="宋体" w:hint="eastAsia"/>
          <w:sz w:val="21"/>
          <w:szCs w:val="21"/>
          <w:lang w:val="en-US" w:eastAsia="zh-CN"/>
        </w:rPr>
        <w:t>3.1.1 系统架构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3.1.1</w:t>
      </w:r>
      <w:r>
        <w:rPr>
          <w:rFonts w:ascii="宋体" w:hAnsi="宋体" w:cs="宋体" w:hint="eastAsia"/>
          <w:color w:val="auto"/>
          <w:sz w:val="21"/>
          <w:szCs w:val="21"/>
          <w:highlight w:val="none"/>
          <w:lang w:val="en-US" w:eastAsia="zh-CN"/>
        </w:rPr>
        <w:t xml:space="preserve">.1 </w:t>
      </w:r>
      <w:r>
        <w:rPr>
          <w:rFonts w:ascii="宋体" w:eastAsia="宋体" w:hAnsi="宋体" w:cs="宋体" w:hint="eastAsia"/>
          <w:color w:val="auto"/>
          <w:sz w:val="21"/>
          <w:szCs w:val="21"/>
          <w:highlight w:val="none"/>
        </w:rPr>
        <w:t>温度自动计量系统</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多槽单点恒温计量模式的硬件结构由温度标准器、温场控制设备、环境监测模块、多通道数据采集模块、传感器辅助工装件、自动输送模块、通信传输模块、供电系统和电源控制模块组成，如图</w:t>
      </w:r>
      <w:r>
        <w:rPr>
          <w:rFonts w:ascii="宋体" w:eastAsia="宋体" w:hAnsi="宋体" w:cs="宋体" w:hint="eastAsia"/>
          <w:color w:val="auto"/>
          <w:sz w:val="21"/>
          <w:szCs w:val="21"/>
          <w:highlight w:val="none"/>
          <w:lang w:val="en-US" w:eastAsia="zh-CN"/>
        </w:rPr>
        <w:t>1</w:t>
      </w:r>
      <w:r>
        <w:rPr>
          <w:rFonts w:ascii="宋体" w:eastAsia="宋体" w:hAnsi="宋体" w:cs="宋体" w:hint="eastAsia"/>
          <w:color w:val="auto"/>
          <w:sz w:val="21"/>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rPr>
        <w:drawing>
          <wp:inline distT="0" distB="0" distL="114300" distR="114300">
            <wp:extent cx="3655695" cy="3256280"/>
            <wp:effectExtent l="0" t="0" r="1905" b="127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xmlns:r="http://schemas.openxmlformats.org/officeDocument/2006/relationships" r:embed="rId6"/>
                    <a:stretch>
                      <a:fillRect/>
                    </a:stretch>
                  </pic:blipFill>
                  <pic:spPr>
                    <a:xfrm>
                      <a:off x="0" y="0"/>
                      <a:ext cx="3655695" cy="32562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rPr>
          <w:rFonts w:ascii="宋体" w:eastAsia="宋体" w:hAnsi="宋体" w:cs="宋体" w:hint="eastAsia"/>
          <w:color w:val="auto"/>
          <w:kern w:val="0"/>
          <w:szCs w:val="21"/>
          <w:highlight w:val="none"/>
        </w:rPr>
      </w:pPr>
      <w:r>
        <w:rPr>
          <w:rFonts w:ascii="宋体" w:eastAsia="宋体" w:hAnsi="宋体" w:cs="宋体" w:hint="eastAsia"/>
          <w:color w:val="auto"/>
          <w:kern w:val="0"/>
          <w:sz w:val="21"/>
          <w:szCs w:val="21"/>
          <w:highlight w:val="none"/>
        </w:rPr>
        <w:t>图</w:t>
      </w:r>
      <w:r>
        <w:rPr>
          <w:rFonts w:ascii="宋体" w:eastAsia="宋体" w:hAnsi="宋体" w:cs="宋体" w:hint="eastAsia"/>
          <w:color w:val="auto"/>
          <w:kern w:val="0"/>
          <w:sz w:val="21"/>
          <w:szCs w:val="21"/>
          <w:highlight w:val="none"/>
          <w:lang w:val="en-US" w:eastAsia="zh-CN"/>
        </w:rPr>
        <w:t>1</w:t>
      </w:r>
      <w:r>
        <w:rPr>
          <w:rFonts w:ascii="宋体" w:eastAsia="宋体" w:hAnsi="宋体" w:cs="宋体" w:hint="eastAsia"/>
          <w:color w:val="auto"/>
          <w:kern w:val="0"/>
          <w:sz w:val="21"/>
          <w:szCs w:val="21"/>
          <w:highlight w:val="none"/>
        </w:rPr>
        <w:t xml:space="preserve"> 温度自动计量系统结构框图</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3.1.</w:t>
      </w:r>
      <w:r>
        <w:rPr>
          <w:rFonts w:ascii="宋体" w:hAnsi="宋体" w:cs="宋体" w:hint="eastAsia"/>
          <w:color w:val="auto"/>
          <w:sz w:val="21"/>
          <w:szCs w:val="21"/>
          <w:highlight w:val="none"/>
          <w:lang w:val="en-US" w:eastAsia="zh-CN"/>
        </w:rPr>
        <w:t>1.</w:t>
      </w:r>
      <w:r>
        <w:rPr>
          <w:rFonts w:ascii="宋体" w:eastAsia="宋体" w:hAnsi="宋体" w:cs="宋体" w:hint="eastAsia"/>
          <w:color w:val="auto"/>
          <w:sz w:val="21"/>
          <w:szCs w:val="21"/>
          <w:highlight w:val="none"/>
          <w:lang w:val="en-US" w:eastAsia="zh-CN"/>
        </w:rPr>
        <w:t xml:space="preserve">2 </w:t>
      </w:r>
      <w:r>
        <w:rPr>
          <w:rFonts w:ascii="宋体" w:eastAsia="宋体" w:hAnsi="宋体" w:cs="宋体" w:hint="eastAsia"/>
          <w:color w:val="auto"/>
          <w:sz w:val="21"/>
          <w:szCs w:val="21"/>
          <w:highlight w:val="none"/>
        </w:rPr>
        <w:t>湿度自动计量系统</w:t>
      </w:r>
    </w:p>
    <w:p>
      <w:pPr>
        <w:pStyle w:val="Default"/>
        <w:keepNext w:val="0"/>
        <w:keepLines w:val="0"/>
        <w:pageBreakBefore w:val="0"/>
        <w:widowControl w:val="0"/>
        <w:kinsoku/>
        <w:wordWrap/>
        <w:overflowPunct/>
        <w:topLinePunct w:val="0"/>
        <w:bidi w:val="0"/>
        <w:adjustRightInd/>
        <w:snapToGrid/>
        <w:spacing w:line="360" w:lineRule="auto"/>
        <w:ind w:left="0" w:firstLine="420" w:firstLineChars="200"/>
        <w:jc w:val="both"/>
        <w:textAlignment w:val="auto"/>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湿度发生器计量模式由湿度发生器（双压法）、精密露点仪、智能工装模块、自动传输模块和上位机等配套设备组成，如图</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lang w:eastAsia="zh-CN"/>
        </w:rPr>
        <w:drawing>
          <wp:inline distT="0" distB="0" distL="114300" distR="114300">
            <wp:extent cx="4092575" cy="2558415"/>
            <wp:effectExtent l="0" t="0" r="3175" b="13335"/>
            <wp:docPr id="2" name="图片 2" descr="图片2"/>
            <wp:cNvGraphicFramePr/>
            <a:graphic xmlns:a="http://schemas.openxmlformats.org/drawingml/2006/main">
              <a:graphicData uri="http://schemas.openxmlformats.org/drawingml/2006/picture">
                <pic:pic xmlns:pic="http://schemas.openxmlformats.org/drawingml/2006/picture">
                  <pic:nvPicPr>
                    <pic:cNvPr id="2" name="图片 2" descr="图片2"/>
                    <pic:cNvPicPr/>
                  </pic:nvPicPr>
                  <pic:blipFill>
                    <a:blip xmlns:r="http://schemas.openxmlformats.org/officeDocument/2006/relationships" r:embed="rId7"/>
                    <a:stretch>
                      <a:fillRect/>
                    </a:stretch>
                  </pic:blipFill>
                  <pic:spPr>
                    <a:xfrm>
                      <a:off x="0" y="0"/>
                      <a:ext cx="4092575" cy="2558415"/>
                    </a:xfrm>
                    <a:prstGeom prst="rect">
                      <a:avLst/>
                    </a:prstGeom>
                    <a:noFill/>
                    <a:ln>
                      <a:noFill/>
                    </a:ln>
                  </pic:spPr>
                </pic:pic>
              </a:graphicData>
            </a:graphic>
          </wp:inline>
        </w:drawing>
      </w:r>
    </w:p>
    <w:p>
      <w:pPr>
        <w:pStyle w:val="Default"/>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cs="宋体" w:hint="eastAsia"/>
          <w:color w:val="auto"/>
          <w:kern w:val="0"/>
          <w:sz w:val="21"/>
          <w:szCs w:val="21"/>
          <w:highlight w:val="none"/>
        </w:rPr>
      </w:pPr>
      <w:r>
        <w:rPr>
          <w:rFonts w:ascii="宋体" w:eastAsia="宋体" w:hAnsi="宋体" w:cs="宋体" w:hint="eastAsia"/>
          <w:color w:val="auto"/>
          <w:kern w:val="0"/>
          <w:sz w:val="21"/>
          <w:szCs w:val="21"/>
          <w:highlight w:val="none"/>
        </w:rPr>
        <w:t>图</w:t>
      </w:r>
      <w:r>
        <w:rPr>
          <w:rFonts w:ascii="宋体" w:eastAsia="宋体" w:hAnsi="宋体" w:cs="宋体" w:hint="eastAsia"/>
          <w:color w:val="auto"/>
          <w:kern w:val="0"/>
          <w:sz w:val="21"/>
          <w:szCs w:val="21"/>
          <w:highlight w:val="none"/>
          <w:lang w:val="en-US" w:eastAsia="zh-CN"/>
        </w:rPr>
        <w:t>2</w:t>
      </w:r>
      <w:r>
        <w:rPr>
          <w:rFonts w:ascii="宋体" w:eastAsia="宋体" w:hAnsi="宋体" w:cs="宋体" w:hint="eastAsia"/>
          <w:color w:val="auto"/>
          <w:kern w:val="0"/>
          <w:sz w:val="21"/>
          <w:szCs w:val="21"/>
          <w:highlight w:val="none"/>
        </w:rPr>
        <w:t xml:space="preserve"> </w:t>
      </w:r>
      <w:r>
        <w:rPr>
          <w:rFonts w:ascii="宋体" w:eastAsia="宋体" w:hAnsi="宋体" w:cs="宋体" w:hint="eastAsia"/>
          <w:color w:val="auto"/>
          <w:kern w:val="0"/>
          <w:sz w:val="21"/>
          <w:szCs w:val="21"/>
          <w:highlight w:val="none"/>
          <w:lang w:val="en-US" w:eastAsia="zh-CN"/>
        </w:rPr>
        <w:t>湿度</w:t>
      </w:r>
      <w:r>
        <w:rPr>
          <w:rFonts w:ascii="宋体" w:eastAsia="宋体" w:hAnsi="宋体" w:cs="宋体" w:hint="eastAsia"/>
          <w:color w:val="auto"/>
          <w:kern w:val="0"/>
          <w:sz w:val="21"/>
          <w:szCs w:val="21"/>
          <w:highlight w:val="none"/>
        </w:rPr>
        <w:t>自动计量系统结构框图</w:t>
      </w:r>
    </w:p>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cs="宋体" w:hint="eastAsia"/>
          <w:color w:val="auto"/>
          <w:kern w:val="2"/>
          <w:sz w:val="21"/>
          <w:szCs w:val="21"/>
          <w:highlight w:val="none"/>
        </w:rPr>
      </w:pPr>
      <w:r>
        <w:rPr>
          <w:rFonts w:cs="宋体" w:hint="eastAsia"/>
          <w:color w:val="auto"/>
          <w:kern w:val="2"/>
          <w:sz w:val="21"/>
          <w:szCs w:val="21"/>
          <w:highlight w:val="none"/>
          <w:lang w:val="en-US" w:eastAsia="zh-CN"/>
        </w:rPr>
        <w:t>3.1.1.</w:t>
      </w:r>
      <w:r>
        <w:rPr>
          <w:rFonts w:ascii="宋体" w:eastAsia="宋体" w:hAnsi="宋体" w:cs="宋体" w:hint="eastAsia"/>
          <w:color w:val="auto"/>
          <w:kern w:val="2"/>
          <w:sz w:val="21"/>
          <w:szCs w:val="21"/>
          <w:highlight w:val="none"/>
          <w:lang w:val="en-US" w:eastAsia="zh-CN"/>
        </w:rPr>
        <w:t>3</w:t>
      </w:r>
      <w:r>
        <w:rPr>
          <w:rFonts w:cs="宋体" w:hint="eastAsia"/>
          <w:color w:val="auto"/>
          <w:kern w:val="2"/>
          <w:sz w:val="21"/>
          <w:szCs w:val="21"/>
          <w:highlight w:val="none"/>
          <w:lang w:val="en-US" w:eastAsia="zh-CN"/>
        </w:rPr>
        <w:t xml:space="preserve"> </w:t>
      </w:r>
      <w:r>
        <w:rPr>
          <w:rFonts w:ascii="宋体" w:eastAsia="宋体" w:hAnsi="宋体" w:cs="宋体" w:hint="eastAsia"/>
          <w:color w:val="auto"/>
          <w:kern w:val="2"/>
          <w:sz w:val="21"/>
          <w:szCs w:val="21"/>
          <w:highlight w:val="none"/>
        </w:rPr>
        <w:t>气压自动计量系统</w:t>
      </w:r>
    </w:p>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气压自动计量系统主要由气压标准器、气压发生器/压力控制装置、环境监测设备、多通道直流电源、通信传输模块、设备信息采集和智能识别模块、自动</w:t>
      </w:r>
      <w:r>
        <w:rPr>
          <w:rFonts w:ascii="宋体" w:eastAsia="宋体" w:hAnsi="宋体" w:cs="宋体" w:hint="eastAsia"/>
          <w:color w:val="auto"/>
          <w:kern w:val="2"/>
          <w:sz w:val="21"/>
          <w:szCs w:val="21"/>
          <w:highlight w:val="none"/>
          <w:lang w:val="en-US" w:eastAsia="zh-CN"/>
        </w:rPr>
        <w:t>传送</w:t>
      </w:r>
      <w:r>
        <w:rPr>
          <w:rFonts w:ascii="宋体" w:eastAsia="宋体" w:hAnsi="宋体" w:cs="宋体" w:hint="eastAsia"/>
          <w:color w:val="auto"/>
          <w:kern w:val="2"/>
          <w:sz w:val="21"/>
          <w:szCs w:val="21"/>
          <w:highlight w:val="none"/>
        </w:rPr>
        <w:t>系统、传感器工装板和上位机组成，如图</w:t>
      </w:r>
      <w:r>
        <w:rPr>
          <w:rFonts w:ascii="宋体" w:eastAsia="宋体" w:hAnsi="宋体" w:cs="宋体" w:hint="eastAsia"/>
          <w:color w:val="auto"/>
          <w:kern w:val="2"/>
          <w:sz w:val="21"/>
          <w:szCs w:val="21"/>
          <w:highlight w:val="none"/>
          <w:lang w:val="en-US" w:eastAsia="zh-CN"/>
        </w:rPr>
        <w:t>3</w:t>
      </w:r>
      <w:r>
        <w:rPr>
          <w:rFonts w:ascii="宋体" w:eastAsia="宋体" w:hAnsi="宋体" w:cs="宋体" w:hint="eastAsia"/>
          <w:color w:val="auto"/>
          <w:kern w:val="2"/>
          <w:sz w:val="21"/>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rPr>
        <w:drawing>
          <wp:inline distT="0" distB="0" distL="114300" distR="114300">
            <wp:extent cx="4095750" cy="2418080"/>
            <wp:effectExtent l="0" t="0" r="0" b="12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xmlns:r="http://schemas.openxmlformats.org/officeDocument/2006/relationships" r:embed="rId8"/>
                    <a:stretch>
                      <a:fillRect/>
                    </a:stretch>
                  </pic:blipFill>
                  <pic:spPr>
                    <a:xfrm>
                      <a:off x="0" y="0"/>
                      <a:ext cx="4095750" cy="24180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图3 气压自动计量系统结构框图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bCs/>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 xml:space="preserve">2 </w:t>
      </w:r>
      <w:r>
        <w:rPr>
          <w:rFonts w:ascii="宋体" w:eastAsia="宋体" w:hAnsi="宋体" w:cs="宋体" w:hint="eastAsia"/>
          <w:b w:val="0"/>
          <w:bCs w:val="0"/>
          <w:color w:val="auto"/>
          <w:sz w:val="21"/>
          <w:szCs w:val="21"/>
          <w:highlight w:val="none"/>
        </w:rPr>
        <w:t>信息流程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2.1 温度自动计量系统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温度自动计量系统严格按照《JJG（气象）002-2015自动气象站铂电阻温度传感器检定规程》进行，可自动生成满足规程要求的excel原始记录文件，采用《省级气象计量信息标准数据格式》规定的方式实现与省级计量管理系统的数据同步，原始记录文件可以按照用户自定义方式进行打印，并在本地进行存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2.2 湿度自动计量系统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湿度自动计量系统应严格按照《JJG（气象）003-2011自动气象站湿度传感器检定规程》进行，可自动生成满足规程要求的excel原始记录文件，采用《省级气象计量信息标准数据格式》规定的方式实现与省级计量管理系统的数据同步，原始记录文件可以按照用户自定义方式进行打印，并在本地进行存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2.3 气压自动计量系统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outlineLvl w:val="9"/>
        <w:rPr>
          <w:rFonts w:ascii="宋体" w:eastAsia="宋体" w:hAnsi="宋体" w:cs="宋体" w:hint="eastAsia"/>
          <w:b/>
          <w:bCs/>
          <w:color w:val="auto"/>
          <w:szCs w:val="21"/>
          <w:highlight w:val="none"/>
        </w:rPr>
      </w:pPr>
      <w:r>
        <w:rPr>
          <w:rFonts w:ascii="宋体" w:eastAsia="宋体" w:hAnsi="宋体" w:cs="宋体" w:hint="eastAsia"/>
          <w:b w:val="0"/>
          <w:bCs w:val="0"/>
          <w:color w:val="auto"/>
          <w:sz w:val="21"/>
          <w:szCs w:val="21"/>
          <w:highlight w:val="none"/>
          <w:lang w:val="en-US" w:eastAsia="zh-CN"/>
        </w:rPr>
        <w:t>气压自动计量系统应严格按照《JJG（气象）001-2015自动气象站气压传感器检定规程》《JJG 1084-2013数字式气压计检定规程》进行，可自动生成满足上述检定规程要求的excel原始记录文件，采用《省级气象计量信息标准数据格式》规定的数据方式实现与省级计量管理系统的数据同步，原始记录文件可以按照用户自定义方式进行打印，并在本地进行存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eastAsia="宋体" w:hAnsi="宋体" w:cs="宋体" w:hint="eastAsia"/>
          <w:b w:val="0"/>
          <w:bCs w:val="0"/>
          <w:color w:val="auto"/>
          <w:szCs w:val="21"/>
          <w:highlight w:val="none"/>
        </w:rPr>
      </w:pPr>
      <w:r>
        <w:rPr>
          <w:rFonts w:ascii="宋体" w:eastAsia="宋体" w:hAnsi="宋体" w:cs="宋体" w:hint="eastAsia"/>
          <w:sz w:val="21"/>
          <w:szCs w:val="21"/>
          <w:highlight w:val="none"/>
          <w:lang w:val="en-US" w:eastAsia="zh-CN"/>
        </w:rPr>
        <w:t>3.</w:t>
      </w:r>
      <w:r>
        <w:rPr>
          <w:rFonts w:ascii="宋体" w:hAnsi="宋体" w:cs="宋体" w:hint="eastAsia"/>
          <w:sz w:val="21"/>
          <w:szCs w:val="21"/>
          <w:highlight w:val="none"/>
          <w:lang w:val="en-US" w:eastAsia="zh-CN"/>
        </w:rPr>
        <w:t>1.</w:t>
      </w:r>
      <w:r>
        <w:rPr>
          <w:rFonts w:ascii="宋体" w:eastAsia="宋体" w:hAnsi="宋体" w:cs="宋体" w:hint="eastAsia"/>
          <w:sz w:val="21"/>
          <w:szCs w:val="21"/>
          <w:highlight w:val="none"/>
          <w:lang w:val="en-US" w:eastAsia="zh-CN"/>
        </w:rPr>
        <w:t>3 系统内</w:t>
      </w:r>
      <w:r>
        <w:rPr>
          <w:rFonts w:ascii="宋体" w:eastAsia="宋体" w:hAnsi="宋体" w:cs="宋体" w:hint="eastAsia"/>
          <w:sz w:val="21"/>
          <w:szCs w:val="21"/>
          <w:highlight w:val="none"/>
        </w:rPr>
        <w:t>设备需求一览表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eastAsia="宋体" w:hAnsi="宋体" w:cs="宋体" w:hint="eastAsia"/>
          <w:b w:val="0"/>
          <w:bCs w:val="0"/>
          <w:color w:val="auto"/>
          <w:szCs w:val="21"/>
          <w:highlight w:val="none"/>
        </w:rPr>
      </w:pPr>
      <w:r>
        <w:rPr>
          <w:rFonts w:ascii="宋体" w:eastAsia="宋体" w:hAnsi="宋体" w:cs="宋体" w:hint="eastAsia"/>
          <w:b w:val="0"/>
          <w:bCs w:val="0"/>
          <w:color w:val="auto"/>
          <w:kern w:val="2"/>
          <w:sz w:val="21"/>
          <w:szCs w:val="21"/>
          <w:highlight w:val="none"/>
          <w:lang w:val="en-US" w:eastAsia="zh-CN" w:bidi="ar-SA"/>
        </w:rPr>
        <w:t>投标人应充分按用户需求，在产品选型过程中，提供的投标产品功能、性能，应满足用户技术要求，其中，加“#”的技术指标为重要指标，可优于，不可降低标准。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3.1 温度自动计量系统性能指标见表1。</w:t>
      </w:r>
    </w:p>
    <w:p>
      <w:pPr>
        <w:pStyle w:val="Default"/>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cs="宋体" w:hint="eastAsia"/>
          <w:color w:val="auto"/>
          <w:sz w:val="21"/>
          <w:szCs w:val="21"/>
          <w:highlight w:val="none"/>
        </w:rPr>
      </w:pPr>
      <w:r>
        <w:rPr>
          <w:rFonts w:ascii="宋体" w:eastAsia="宋体" w:hAnsi="宋体" w:cs="宋体" w:hint="eastAsia"/>
          <w:color w:val="auto"/>
          <w:sz w:val="21"/>
          <w:szCs w:val="21"/>
          <w:highlight w:val="none"/>
        </w:rPr>
        <w:t>表</w:t>
      </w:r>
      <w:r>
        <w:rPr>
          <w:rFonts w:ascii="宋体" w:eastAsia="宋体" w:hAnsi="宋体" w:cs="宋体" w:hint="eastAsia"/>
          <w:color w:val="auto"/>
          <w:sz w:val="21"/>
          <w:szCs w:val="21"/>
          <w:highlight w:val="none"/>
          <w:lang w:val="en-US" w:eastAsia="zh-CN"/>
        </w:rPr>
        <w:t>1</w:t>
      </w:r>
      <w:r>
        <w:rPr>
          <w:rFonts w:ascii="宋体" w:eastAsia="宋体" w:hAnsi="宋体" w:cs="宋体" w:hint="eastAsia"/>
          <w:color w:val="auto"/>
          <w:sz w:val="21"/>
          <w:szCs w:val="21"/>
          <w:highlight w:val="none"/>
        </w:rPr>
        <w:t xml:space="preserve"> 温度自动计量系统技术性能要求</w:t>
      </w:r>
    </w:p>
    <w:tbl>
      <w:tblPr>
        <w:tblStyle w:val="TableNormal"/>
        <w:tblW w:w="45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3"/>
        <w:gridCol w:w="1545"/>
        <w:gridCol w:w="4214"/>
        <w:gridCol w:w="706"/>
        <w:gridCol w:w="756"/>
      </w:tblGrid>
      <w:tr>
        <w:tblPrEx>
          <w:tblW w:w="45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77"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类别</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设备名称</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主要技术指标</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单位</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数量</w:t>
            </w:r>
          </w:p>
        </w:tc>
      </w:tr>
      <w:tr>
        <w:tblPrEx>
          <w:tblW w:w="4534" w:type="pct"/>
          <w:jc w:val="center"/>
          <w:tblLayout w:type="fixed"/>
          <w:tblCellMar>
            <w:top w:w="0" w:type="dxa"/>
            <w:left w:w="108" w:type="dxa"/>
            <w:bottom w:w="0" w:type="dxa"/>
            <w:right w:w="108" w:type="dxa"/>
          </w:tblCellMar>
        </w:tblPrEx>
        <w:trPr>
          <w:jc w:val="center"/>
        </w:trPr>
        <w:tc>
          <w:tcPr>
            <w:tcW w:w="577"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标准器</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标准铂电阻温度计</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测量范围：（-60～80）℃；</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标称电阻 RTPW：25Ω±1Ω；</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准确度等级：一等</w:t>
            </w:r>
            <w:r>
              <w:rPr>
                <w:rFonts w:ascii="仿宋_GB2312" w:eastAsia="仿宋_GB2312" w:hAnsi="仿宋_GB2312" w:cs="仿宋_GB2312" w:hint="eastAsia"/>
                <w:color w:val="auto"/>
                <w:sz w:val="21"/>
                <w:szCs w:val="21"/>
                <w:highlight w:val="none"/>
                <w:lang w:eastAsia="zh-CN"/>
              </w:rPr>
              <w:t>。</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支</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8</w:t>
            </w:r>
          </w:p>
        </w:tc>
      </w:tr>
      <w:tr>
        <w:tblPrEx>
          <w:tblW w:w="4534" w:type="pct"/>
          <w:jc w:val="center"/>
          <w:tblLayout w:type="fixed"/>
          <w:tblCellMar>
            <w:top w:w="0" w:type="dxa"/>
            <w:left w:w="108" w:type="dxa"/>
            <w:bottom w:w="0" w:type="dxa"/>
            <w:right w:w="108" w:type="dxa"/>
          </w:tblCellMar>
        </w:tblPrEx>
        <w:trPr>
          <w:jc w:val="center"/>
        </w:trPr>
        <w:tc>
          <w:tcPr>
            <w:tcW w:w="577"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精密测温</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电桥</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vertAlign w:val="subscript"/>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相对误差不大于1×10</w:t>
            </w:r>
            <w:r>
              <w:rPr>
                <w:rFonts w:ascii="仿宋_GB2312" w:eastAsia="仿宋_GB2312" w:hAnsi="仿宋_GB2312" w:cs="仿宋_GB2312" w:hint="eastAsia"/>
                <w:color w:val="auto"/>
                <w:sz w:val="21"/>
                <w:szCs w:val="21"/>
                <w:highlight w:val="none"/>
                <w:vertAlign w:val="superscript"/>
              </w:rPr>
              <w:t>-5</w:t>
            </w:r>
            <w:r>
              <w:rPr>
                <w:rFonts w:ascii="仿宋_GB2312" w:eastAsia="仿宋_GB2312" w:hAnsi="仿宋_GB2312" w:cs="仿宋_GB2312" w:hint="eastAsia"/>
                <w:color w:val="auto"/>
                <w:sz w:val="21"/>
                <w:szCs w:val="21"/>
                <w:highlight w:val="none"/>
                <w:lang w:eastAsia="zh-CN"/>
              </w:rPr>
              <w:t>。</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1</w:t>
            </w:r>
          </w:p>
        </w:tc>
      </w:tr>
      <w:tr>
        <w:tblPrEx>
          <w:tblW w:w="4534"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温场控制</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设备</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bookmarkStart w:id="60" w:name="OLE_LINK2"/>
            <w:r>
              <w:rPr>
                <w:rFonts w:ascii="仿宋_GB2312" w:eastAsia="仿宋_GB2312" w:hAnsi="仿宋_GB2312" w:cs="仿宋_GB2312" w:hint="eastAsia"/>
                <w:color w:val="auto"/>
                <w:sz w:val="21"/>
                <w:szCs w:val="21"/>
                <w:highlight w:val="yellow"/>
              </w:rPr>
              <w:t>#</w:t>
            </w:r>
            <w:bookmarkEnd w:id="60"/>
            <w:r>
              <w:rPr>
                <w:rFonts w:ascii="仿宋_GB2312" w:eastAsia="仿宋_GB2312" w:hAnsi="仿宋_GB2312" w:cs="仿宋_GB2312" w:hint="eastAsia"/>
                <w:color w:val="auto"/>
                <w:sz w:val="21"/>
                <w:szCs w:val="21"/>
                <w:highlight w:val="none"/>
              </w:rPr>
              <w:t>温度控制范围：-</w:t>
            </w:r>
            <w:r>
              <w:rPr>
                <w:rFonts w:ascii="仿宋_GB2312" w:eastAsia="仿宋_GB2312" w:hAnsi="仿宋_GB2312" w:cs="仿宋_GB2312" w:hint="eastAsia"/>
                <w:color w:val="auto"/>
                <w:sz w:val="21"/>
                <w:szCs w:val="21"/>
                <w:highlight w:val="none"/>
                <w:lang w:val="en-US" w:eastAsia="zh-CN"/>
              </w:rPr>
              <w:t>6</w:t>
            </w:r>
            <w:r>
              <w:rPr>
                <w:rFonts w:ascii="仿宋_GB2312" w:eastAsia="仿宋_GB2312" w:hAnsi="仿宋_GB2312" w:cs="仿宋_GB2312" w:hint="eastAsia"/>
                <w:color w:val="auto"/>
                <w:sz w:val="21"/>
                <w:szCs w:val="21"/>
                <w:highlight w:val="none"/>
              </w:rPr>
              <w:t>0℃～80℃；</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温度控制稳定性（波动度）：≤±0.01℃/10min；</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温度均匀性：水平温差≤0.0</w:t>
            </w:r>
            <w:r>
              <w:rPr>
                <w:rFonts w:ascii="仿宋_GB2312" w:eastAsia="仿宋_GB2312" w:hAnsi="仿宋_GB2312" w:cs="仿宋_GB2312" w:hint="eastAsia"/>
                <w:color w:val="auto"/>
                <w:sz w:val="21"/>
                <w:szCs w:val="21"/>
                <w:highlight w:val="none"/>
                <w:lang w:val="en-US" w:eastAsia="zh-CN"/>
              </w:rPr>
              <w:t>1</w:t>
            </w:r>
            <w:r>
              <w:rPr>
                <w:rFonts w:ascii="仿宋_GB2312" w:eastAsia="仿宋_GB2312" w:hAnsi="仿宋_GB2312" w:cs="仿宋_GB2312" w:hint="eastAsia"/>
                <w:color w:val="auto"/>
                <w:sz w:val="21"/>
                <w:szCs w:val="21"/>
                <w:highlight w:val="none"/>
              </w:rPr>
              <w:t>℃；最大温差≤0.0</w:t>
            </w:r>
            <w:r>
              <w:rPr>
                <w:rFonts w:ascii="仿宋_GB2312" w:eastAsia="仿宋_GB2312" w:hAnsi="仿宋_GB2312" w:cs="仿宋_GB2312" w:hint="eastAsia"/>
                <w:color w:val="auto"/>
                <w:sz w:val="21"/>
                <w:szCs w:val="21"/>
                <w:highlight w:val="none"/>
                <w:lang w:val="en-US" w:eastAsia="zh-CN"/>
              </w:rPr>
              <w:t>1</w:t>
            </w:r>
            <w:r>
              <w:rPr>
                <w:rFonts w:ascii="仿宋_GB2312" w:eastAsia="仿宋_GB2312" w:hAnsi="仿宋_GB2312" w:cs="仿宋_GB2312" w:hint="eastAsia"/>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工作区尺寸：不小于φ150×400mm；</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具备自动换液、补液功能；</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配备排气装置，防止导热介质挥发污染空气；</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具备远程控温设置、压缩机启停、开关机等功能。</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台</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default"/>
                <w:color w:val="auto"/>
                <w:szCs w:val="21"/>
                <w:highlight w:val="none"/>
              </w:rPr>
            </w:pPr>
            <w:r>
              <w:rPr>
                <w:rFonts w:ascii="仿宋_GB2312" w:eastAsia="仿宋_GB2312" w:hAnsi="仿宋_GB2312" w:cs="仿宋_GB2312" w:hint="eastAsia"/>
                <w:color w:val="auto"/>
                <w:sz w:val="21"/>
                <w:szCs w:val="21"/>
                <w:highlight w:val="none"/>
                <w:lang w:val="en-US" w:eastAsia="zh-CN"/>
              </w:rPr>
              <w:t>5</w:t>
            </w:r>
          </w:p>
        </w:tc>
      </w:tr>
      <w:tr>
        <w:tblPrEx>
          <w:tblW w:w="4534"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环境监测设备</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温度测量范围：（0～50）℃，最大允许误差：±0.5 ℃；</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湿度测量范围：（10～90）%RH</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最大允许误差：±5 %RH</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气压测量范围：（500～1100）hPa，最大允许误差：±2.5hPa。</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34" w:type="pct"/>
          <w:jc w:val="center"/>
          <w:tblLayout w:type="fixed"/>
          <w:tblCellMar>
            <w:top w:w="0" w:type="dxa"/>
            <w:left w:w="108" w:type="dxa"/>
            <w:bottom w:w="0" w:type="dxa"/>
            <w:right w:w="108" w:type="dxa"/>
          </w:tblCellMar>
        </w:tblPrEx>
        <w:trPr>
          <w:jc w:val="center"/>
        </w:trPr>
        <w:tc>
          <w:tcPr>
            <w:tcW w:w="577" w:type="pct"/>
            <w:vMerge w:val="restart"/>
            <w:noWrap w:val="0"/>
            <w:vAlign w:val="center"/>
          </w:tcPr>
          <w:p>
            <w:pPr>
              <w:keepNext w:val="0"/>
              <w:keepLines w:val="0"/>
              <w:pageBreakBefore w:val="0"/>
              <w:tabs>
                <w:tab w:val="left" w:pos="284"/>
              </w:tabs>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辅助</w:t>
            </w:r>
          </w:p>
          <w:p>
            <w:pPr>
              <w:keepNext w:val="0"/>
              <w:keepLines w:val="0"/>
              <w:pageBreakBefore w:val="0"/>
              <w:tabs>
                <w:tab w:val="left" w:pos="284"/>
              </w:tabs>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设备</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供电系统及电源控制模块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输出数量：单工装不低于6个测量通道；</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输出精度：±0.1 V；</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内置电池：支持不低于连续8小时供电。</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val="en-US" w:eastAsia="zh-CN" w:bidi="ar"/>
              </w:rPr>
              <w:t>5</w:t>
            </w:r>
          </w:p>
        </w:tc>
      </w:tr>
      <w:tr>
        <w:tblPrEx>
          <w:tblW w:w="4534"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通信传输模块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支持</w:t>
            </w:r>
            <w:r>
              <w:rPr>
                <w:rFonts w:ascii="仿宋_GB2312" w:eastAsia="仿宋_GB2312" w:hAnsi="仿宋_GB2312" w:cs="仿宋_GB2312" w:hint="eastAsia"/>
                <w:color w:val="auto"/>
                <w:sz w:val="21"/>
                <w:szCs w:val="21"/>
                <w:highlight w:val="none"/>
                <w:lang w:eastAsia="zh-CN"/>
              </w:rPr>
              <w:t>Wi-Fi</w:t>
            </w:r>
            <w:r>
              <w:rPr>
                <w:rFonts w:ascii="仿宋_GB2312" w:eastAsia="仿宋_GB2312" w:hAnsi="仿宋_GB2312" w:cs="仿宋_GB2312" w:hint="eastAsia"/>
                <w:color w:val="auto"/>
                <w:sz w:val="21"/>
                <w:szCs w:val="21"/>
                <w:highlight w:val="none"/>
              </w:rPr>
              <w:t>、USB、LAN或RS-232等方式。</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val="en-US" w:eastAsia="zh-CN" w:bidi="ar"/>
              </w:rPr>
              <w:t>5</w:t>
            </w:r>
          </w:p>
        </w:tc>
      </w:tr>
      <w:tr>
        <w:tblPrEx>
          <w:tblW w:w="4534"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设备信息采集和智能识别模块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支持被检传感器快速便捷接入系统</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具备二维码扫描，自动在计量业务系统中匹配传感器基础数据信息，实现二维码、被检智能气（地）温测量仪和采集通道自动匹配</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单工装可配置不低于16支温度传感器</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单工装可配置不低于6支智能气（地）温测量仪。</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val="en-US" w:eastAsia="zh-CN" w:bidi="ar"/>
              </w:rPr>
              <w:t>5</w:t>
            </w:r>
          </w:p>
        </w:tc>
      </w:tr>
      <w:tr>
        <w:tblPrEx>
          <w:tblW w:w="4534"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自动输送模块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实现被检传感器在不同温场控制设备间自动切换功能，负重能力需满足传感器工装及负荷重量要求，</w:t>
            </w:r>
            <w:r>
              <w:rPr>
                <w:rFonts w:ascii="仿宋_GB2312" w:eastAsia="仿宋_GB2312" w:hAnsi="仿宋_GB2312" w:cs="仿宋_GB2312" w:hint="eastAsia"/>
                <w:color w:val="auto"/>
                <w:sz w:val="21"/>
                <w:szCs w:val="21"/>
                <w:highlight w:val="none"/>
                <w:lang w:val="en-US" w:eastAsia="zh-CN"/>
              </w:rPr>
              <w:t>有防止介质外</w:t>
            </w:r>
            <w:r>
              <w:rPr>
                <w:rFonts w:ascii="仿宋_GB2312" w:eastAsia="仿宋_GB2312" w:hAnsi="仿宋_GB2312" w:cs="仿宋_GB2312" w:hint="eastAsia"/>
                <w:color w:val="auto"/>
                <w:sz w:val="21"/>
                <w:szCs w:val="21"/>
                <w:highlight w:val="none"/>
              </w:rPr>
              <w:t>溅</w:t>
            </w:r>
            <w:r>
              <w:rPr>
                <w:rFonts w:ascii="仿宋_GB2312" w:eastAsia="仿宋_GB2312" w:hAnsi="仿宋_GB2312" w:cs="仿宋_GB2312" w:hint="eastAsia"/>
                <w:color w:val="auto"/>
                <w:sz w:val="21"/>
                <w:szCs w:val="21"/>
                <w:highlight w:val="none"/>
                <w:lang w:val="en-US" w:eastAsia="zh-CN"/>
              </w:rPr>
              <w:t>设计</w:t>
            </w:r>
            <w:r>
              <w:rPr>
                <w:rFonts w:ascii="仿宋_GB2312" w:eastAsia="仿宋_GB2312" w:hAnsi="仿宋_GB2312" w:cs="仿宋_GB2312" w:hint="eastAsia"/>
                <w:color w:val="auto"/>
                <w:sz w:val="21"/>
                <w:szCs w:val="21"/>
                <w:highlight w:val="none"/>
              </w:rPr>
              <w:t>。</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bl>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outlineLvl w:val="9"/>
        <w:rPr>
          <w:rFonts w:cs="宋体" w:hint="eastAsia"/>
          <w:color w:val="auto"/>
          <w:kern w:val="2"/>
          <w:sz w:val="21"/>
          <w:szCs w:val="21"/>
          <w:highlight w:val="none"/>
        </w:rPr>
      </w:pPr>
      <w:r>
        <w:rPr>
          <w:rFonts w:ascii="宋体" w:eastAsia="宋体" w:hAnsi="宋体" w:cs="宋体" w:hint="eastAsia"/>
          <w:b w:val="0"/>
          <w:bCs w:val="0"/>
          <w:color w:val="auto"/>
          <w:sz w:val="21"/>
          <w:szCs w:val="21"/>
          <w:highlight w:val="none"/>
          <w:lang w:val="en-US" w:eastAsia="zh-CN"/>
        </w:rPr>
        <w:t>3.</w:t>
      </w:r>
      <w:r>
        <w:rPr>
          <w:rFonts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3.</w:t>
      </w:r>
      <w:r>
        <w:rPr>
          <w:rFonts w:ascii="宋体" w:eastAsia="宋体" w:hAnsi="宋体" w:cs="宋体" w:hint="eastAsia"/>
          <w:color w:val="auto"/>
          <w:kern w:val="2"/>
          <w:sz w:val="21"/>
          <w:szCs w:val="21"/>
          <w:highlight w:val="none"/>
          <w:lang w:val="en-US" w:eastAsia="zh-CN"/>
        </w:rPr>
        <w:t>2</w:t>
      </w:r>
      <w:r>
        <w:rPr>
          <w:rFonts w:cs="宋体" w:hint="eastAsia"/>
          <w:color w:val="auto"/>
          <w:kern w:val="2"/>
          <w:sz w:val="21"/>
          <w:szCs w:val="21"/>
          <w:highlight w:val="none"/>
          <w:lang w:val="en-US" w:eastAsia="zh-CN"/>
        </w:rPr>
        <w:t xml:space="preserve"> </w:t>
      </w:r>
      <w:r>
        <w:rPr>
          <w:rFonts w:ascii="宋体" w:eastAsia="宋体" w:hAnsi="宋体" w:cs="宋体" w:hint="eastAsia"/>
          <w:color w:val="auto"/>
          <w:kern w:val="2"/>
          <w:sz w:val="21"/>
          <w:szCs w:val="21"/>
          <w:highlight w:val="none"/>
        </w:rPr>
        <w:t>湿度自动计量系统</w:t>
      </w:r>
      <w:r>
        <w:rPr>
          <w:rFonts w:ascii="宋体" w:eastAsia="宋体" w:hAnsi="宋体" w:cs="宋体" w:hint="eastAsia"/>
          <w:color w:val="auto"/>
          <w:kern w:val="2"/>
          <w:sz w:val="21"/>
          <w:szCs w:val="21"/>
          <w:highlight w:val="none"/>
          <w:lang w:val="en-US" w:eastAsia="zh-CN"/>
        </w:rPr>
        <w:t>性能</w:t>
      </w:r>
      <w:r>
        <w:rPr>
          <w:rFonts w:ascii="宋体" w:eastAsia="宋体" w:hAnsi="宋体" w:cs="宋体" w:hint="eastAsia"/>
          <w:color w:val="auto"/>
          <w:kern w:val="2"/>
          <w:sz w:val="21"/>
          <w:szCs w:val="21"/>
          <w:highlight w:val="none"/>
        </w:rPr>
        <w:t>指标见表</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w:t>
      </w:r>
    </w:p>
    <w:p>
      <w:pPr>
        <w:pStyle w:val="Default"/>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9"/>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表</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 xml:space="preserve"> 湿度自动计量系统技术性能要求</w:t>
      </w:r>
    </w:p>
    <w:tbl>
      <w:tblPr>
        <w:tblStyle w:val="TableNormal"/>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75"/>
        <w:gridCol w:w="1417"/>
        <w:gridCol w:w="3969"/>
        <w:gridCol w:w="724"/>
        <w:gridCol w:w="718"/>
      </w:tblGrid>
      <w:tr>
        <w:tblPrEx>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975"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类别</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设备名称</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主要技术指标</w:t>
            </w:r>
          </w:p>
        </w:tc>
        <w:tc>
          <w:tcPr>
            <w:tcW w:w="724"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单位</w:t>
            </w:r>
          </w:p>
        </w:tc>
        <w:tc>
          <w:tcPr>
            <w:tcW w:w="718"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数量</w:t>
            </w:r>
          </w:p>
        </w:tc>
      </w:tr>
      <w:tr>
        <w:tblPrEx>
          <w:tblW w:w="7803" w:type="dxa"/>
          <w:jc w:val="center"/>
          <w:tblLayout w:type="fixed"/>
          <w:tblCellMar>
            <w:top w:w="0" w:type="dxa"/>
            <w:left w:w="108" w:type="dxa"/>
            <w:bottom w:w="0" w:type="dxa"/>
            <w:right w:w="108" w:type="dxa"/>
          </w:tblCellMar>
        </w:tblPrEx>
        <w:trPr>
          <w:jc w:val="center"/>
        </w:trPr>
        <w:tc>
          <w:tcPr>
            <w:tcW w:w="975" w:type="dxa"/>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标准器</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湿度发生器（双压法）</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rPr>
              <w:t>湿度范围：（10～95）%RH；</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highlight w:val="none"/>
              </w:rPr>
              <w:t>温度控制范围：（5～50）℃</w:t>
            </w:r>
            <w:r>
              <w:rPr>
                <w:rFonts w:ascii="仿宋_GB2312" w:eastAsia="仿宋_GB2312" w:hAnsi="仿宋_GB2312" w:cs="仿宋_GB2312" w:hint="eastAsia"/>
                <w:sz w:val="21"/>
                <w:szCs w:val="21"/>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rPr>
              <w:t>湿度最大允许误差：±1.0%RH；</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rPr>
              <w:t>温度测量最大允许误差：±0.1℃；</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rPr>
              <w:t>湿度波动度：±0.2 %RH /10 min；</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szCs w:val="21"/>
              </w:rPr>
            </w:pPr>
            <w:r>
              <w:rPr>
                <w:rFonts w:ascii="仿宋_GB2312" w:eastAsia="仿宋_GB2312" w:hAnsi="仿宋_GB2312" w:cs="仿宋_GB2312" w:hint="eastAsia"/>
                <w:sz w:val="21"/>
                <w:szCs w:val="21"/>
              </w:rPr>
              <w:t>流量范围：＞80%RH时，（5～15）L/min；≤80%RH时（15～25）L/min；</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sz w:val="21"/>
                <w:szCs w:val="21"/>
              </w:rPr>
              <w:t xml:space="preserve">测试室尺寸：不低于φ100mm×400 mm； </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台</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精密露点仪</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yellow"/>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露点测量范围：-</w:t>
            </w:r>
            <w:r>
              <w:rPr>
                <w:rFonts w:ascii="仿宋_GB2312" w:eastAsia="仿宋_GB2312" w:hAnsi="仿宋_GB2312" w:cs="仿宋_GB2312" w:hint="eastAsia"/>
                <w:color w:val="auto"/>
                <w:sz w:val="21"/>
                <w:szCs w:val="21"/>
                <w:highlight w:val="none"/>
                <w:lang w:val="en-US" w:eastAsia="zh-CN"/>
              </w:rPr>
              <w:t>5</w:t>
            </w:r>
            <w:r>
              <w:rPr>
                <w:rFonts w:ascii="仿宋_GB2312" w:eastAsia="仿宋_GB2312" w:hAnsi="仿宋_GB2312" w:cs="仿宋_GB2312" w:hint="eastAsia"/>
                <w:color w:val="auto"/>
                <w:sz w:val="21"/>
                <w:szCs w:val="21"/>
                <w:highlight w:val="none"/>
              </w:rPr>
              <w:t>0℃DP～</w:t>
            </w:r>
            <w:r>
              <w:rPr>
                <w:rFonts w:ascii="仿宋_GB2312" w:eastAsia="仿宋_GB2312" w:hAnsi="仿宋_GB2312" w:cs="仿宋_GB2312" w:hint="eastAsia"/>
                <w:color w:val="auto"/>
                <w:sz w:val="21"/>
                <w:szCs w:val="21"/>
                <w:highlight w:val="none"/>
                <w:lang w:val="en-US" w:eastAsia="zh-CN"/>
              </w:rPr>
              <w:t>5</w:t>
            </w:r>
            <w:r>
              <w:rPr>
                <w:rFonts w:ascii="仿宋_GB2312" w:eastAsia="仿宋_GB2312" w:hAnsi="仿宋_GB2312" w:cs="仿宋_GB2312" w:hint="eastAsia"/>
                <w:color w:val="auto"/>
                <w:sz w:val="21"/>
                <w:szCs w:val="21"/>
                <w:highlight w:val="none"/>
              </w:rPr>
              <w:t>0℃DP；</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露点最大允许误差：≤±0.2℃DP；</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温度测量范围：-30℃～</w:t>
            </w:r>
            <w:r>
              <w:rPr>
                <w:rFonts w:ascii="仿宋_GB2312" w:eastAsia="仿宋_GB2312" w:hAnsi="仿宋_GB2312" w:cs="仿宋_GB2312" w:hint="eastAsia"/>
                <w:color w:val="auto"/>
                <w:sz w:val="21"/>
                <w:szCs w:val="21"/>
                <w:highlight w:val="none"/>
                <w:lang w:val="en-US" w:eastAsia="zh-CN"/>
              </w:rPr>
              <w:t>5</w:t>
            </w:r>
            <w:r>
              <w:rPr>
                <w:rFonts w:ascii="仿宋_GB2312" w:eastAsia="仿宋_GB2312" w:hAnsi="仿宋_GB2312" w:cs="仿宋_GB2312" w:hint="eastAsia"/>
                <w:color w:val="auto"/>
                <w:sz w:val="21"/>
                <w:szCs w:val="21"/>
                <w:highlight w:val="none"/>
              </w:rPr>
              <w:t>0℃；</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温度最大允许误差：±0.1℃；</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湿度最大允许误差：≤±1.0%RH</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测量方式：吸气式。</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台</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电源控制</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输出数量：不低于5个。</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输出精度：±0.1V；</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内置电池：支持不低于连续8小时供电。</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274"/>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环境监测</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温度测量范围：（0～50）℃，最大允许误差：±0.5℃；</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湿度测量范围：（10～90）%RH，最大允许误差：±5 %RH；</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气压测量范围：（500～1100）hPa，最大允许误差：±2.5hPa。</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设备信息采集和智能识别模块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支持线路盲接和智能识别功能，具备二维码扫描，自动在计量业务系统中匹配智能湿度测量仪基础数据信息，实现二维码、被检传感器和采集通道自动匹配。</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743"/>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通信传输</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通信接口支持</w:t>
            </w:r>
            <w:r>
              <w:rPr>
                <w:rFonts w:ascii="仿宋_GB2312" w:eastAsia="仿宋_GB2312" w:hAnsi="仿宋_GB2312" w:cs="仿宋_GB2312" w:hint="eastAsia"/>
                <w:color w:val="auto"/>
                <w:sz w:val="21"/>
                <w:szCs w:val="21"/>
                <w:highlight w:val="none"/>
                <w:lang w:eastAsia="zh-CN"/>
              </w:rPr>
              <w:t>Wi-Fi</w:t>
            </w:r>
            <w:r>
              <w:rPr>
                <w:rFonts w:ascii="仿宋_GB2312" w:eastAsia="仿宋_GB2312" w:hAnsi="仿宋_GB2312" w:cs="仿宋_GB2312" w:hint="eastAsia"/>
                <w:color w:val="auto"/>
                <w:sz w:val="21"/>
                <w:szCs w:val="21"/>
                <w:highlight w:val="none"/>
              </w:rPr>
              <w:t>、USB、LAN或RS232等方式。</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自动传输</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负重能力需满足传感器工装及负荷重量要求，在加载智能湿度测量仪工装下具有防</w:t>
            </w:r>
            <w:r>
              <w:rPr>
                <w:rFonts w:ascii="仿宋_GB2312" w:eastAsia="仿宋_GB2312" w:hAnsi="仿宋_GB2312" w:cs="仿宋_GB2312" w:hint="eastAsia"/>
                <w:color w:val="auto"/>
                <w:sz w:val="21"/>
                <w:szCs w:val="21"/>
                <w:highlight w:val="none"/>
                <w:lang w:eastAsia="zh-CN"/>
              </w:rPr>
              <w:t>振动</w:t>
            </w:r>
            <w:r>
              <w:rPr>
                <w:rFonts w:ascii="仿宋_GB2312" w:eastAsia="仿宋_GB2312" w:hAnsi="仿宋_GB2312" w:cs="仿宋_GB2312" w:hint="eastAsia"/>
                <w:color w:val="auto"/>
                <w:sz w:val="21"/>
                <w:szCs w:val="21"/>
                <w:highlight w:val="none"/>
              </w:rPr>
              <w:t>/抖动设计。</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bl>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cs="宋体" w:hint="eastAsia"/>
          <w:color w:val="auto"/>
          <w:sz w:val="21"/>
          <w:szCs w:val="21"/>
          <w:highlight w:val="none"/>
        </w:rPr>
      </w:pPr>
      <w:r>
        <w:rPr>
          <w:rFonts w:ascii="宋体" w:eastAsia="宋体" w:hAnsi="宋体" w:cs="宋体" w:hint="eastAsia"/>
          <w:b w:val="0"/>
          <w:bCs w:val="0"/>
          <w:color w:val="auto"/>
          <w:sz w:val="21"/>
          <w:szCs w:val="21"/>
          <w:highlight w:val="none"/>
          <w:lang w:val="en-US" w:eastAsia="zh-CN"/>
        </w:rPr>
        <w:t>3.</w:t>
      </w:r>
      <w:r>
        <w:rPr>
          <w:rFonts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3.</w:t>
      </w:r>
      <w:r>
        <w:rPr>
          <w:rFonts w:ascii="宋体" w:eastAsia="宋体" w:hAnsi="宋体" w:cs="宋体" w:hint="eastAsia"/>
          <w:color w:val="auto"/>
          <w:sz w:val="21"/>
          <w:szCs w:val="21"/>
          <w:highlight w:val="none"/>
          <w:lang w:val="en-US" w:eastAsia="zh-CN"/>
        </w:rPr>
        <w:t>3</w:t>
      </w:r>
      <w:r>
        <w:rPr>
          <w:rFonts w:cs="宋体" w:hint="eastAsia"/>
          <w:color w:val="auto"/>
          <w:sz w:val="21"/>
          <w:szCs w:val="21"/>
          <w:highlight w:val="none"/>
          <w:lang w:val="en-US" w:eastAsia="zh-CN"/>
        </w:rPr>
        <w:t xml:space="preserve"> </w:t>
      </w:r>
      <w:r>
        <w:rPr>
          <w:rFonts w:ascii="宋体" w:eastAsia="宋体" w:hAnsi="宋体" w:cs="宋体" w:hint="eastAsia"/>
          <w:color w:val="auto"/>
          <w:sz w:val="21"/>
          <w:szCs w:val="21"/>
          <w:highlight w:val="none"/>
          <w:lang w:val="en-US" w:eastAsia="zh-CN"/>
        </w:rPr>
        <w:t>气压</w:t>
      </w:r>
      <w:r>
        <w:rPr>
          <w:rFonts w:ascii="宋体" w:eastAsia="宋体" w:hAnsi="宋体" w:cs="宋体" w:hint="eastAsia"/>
          <w:color w:val="auto"/>
          <w:sz w:val="21"/>
          <w:szCs w:val="21"/>
          <w:highlight w:val="none"/>
        </w:rPr>
        <w:t>自动计量系统性能指标见表</w:t>
      </w:r>
      <w:r>
        <w:rPr>
          <w:rFonts w:ascii="宋体" w:eastAsia="宋体" w:hAnsi="宋体" w:cs="宋体" w:hint="eastAsia"/>
          <w:color w:val="auto"/>
          <w:sz w:val="21"/>
          <w:szCs w:val="21"/>
          <w:highlight w:val="none"/>
          <w:lang w:val="en-US" w:eastAsia="zh-CN"/>
        </w:rPr>
        <w:t>3</w:t>
      </w:r>
      <w:r>
        <w:rPr>
          <w:rFonts w:ascii="宋体" w:eastAsia="宋体" w:hAnsi="宋体" w:cs="宋体" w:hint="eastAsia"/>
          <w:color w:val="auto"/>
          <w:sz w:val="21"/>
          <w:szCs w:val="21"/>
          <w:highlight w:val="none"/>
        </w:rPr>
        <w:t>。</w:t>
      </w:r>
    </w:p>
    <w:p>
      <w:pPr>
        <w:pStyle w:val="Default"/>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cs="宋体" w:hint="eastAsia"/>
          <w:color w:val="auto"/>
          <w:sz w:val="21"/>
          <w:szCs w:val="21"/>
          <w:highlight w:val="none"/>
        </w:rPr>
      </w:pPr>
      <w:r>
        <w:rPr>
          <w:rFonts w:ascii="宋体" w:eastAsia="宋体" w:hAnsi="宋体" w:cs="宋体" w:hint="eastAsia"/>
          <w:color w:val="auto"/>
          <w:sz w:val="21"/>
          <w:szCs w:val="21"/>
          <w:highlight w:val="none"/>
        </w:rPr>
        <w:t>表</w:t>
      </w:r>
      <w:r>
        <w:rPr>
          <w:rFonts w:ascii="宋体" w:eastAsia="宋体" w:hAnsi="宋体" w:cs="宋体" w:hint="eastAsia"/>
          <w:color w:val="auto"/>
          <w:sz w:val="21"/>
          <w:szCs w:val="21"/>
          <w:highlight w:val="none"/>
          <w:lang w:val="en-US" w:eastAsia="zh-CN"/>
        </w:rPr>
        <w:t>3</w:t>
      </w:r>
      <w:r>
        <w:rPr>
          <w:rFonts w:ascii="宋体" w:eastAsia="宋体" w:hAnsi="宋体" w:cs="宋体" w:hint="eastAsia"/>
          <w:color w:val="auto"/>
          <w:sz w:val="21"/>
          <w:szCs w:val="21"/>
          <w:highlight w:val="none"/>
        </w:rPr>
        <w:t xml:space="preserve"> 气压自动计量系统技术性能要求</w:t>
      </w:r>
    </w:p>
    <w:tbl>
      <w:tblPr>
        <w:tblStyle w:val="TableNormal"/>
        <w:tblW w:w="4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0"/>
        <w:gridCol w:w="1421"/>
        <w:gridCol w:w="4297"/>
        <w:gridCol w:w="781"/>
        <w:gridCol w:w="781"/>
      </w:tblGrid>
      <w:tr>
        <w:tblPrEx>
          <w:tblW w:w="4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71"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类别</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设备名称</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主要技术指标</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单位</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数量</w:t>
            </w:r>
          </w:p>
        </w:tc>
      </w:tr>
      <w:tr>
        <w:tblPrEx>
          <w:tblW w:w="4565" w:type="pct"/>
          <w:jc w:val="center"/>
          <w:tblLayout w:type="fixed"/>
          <w:tblCellMar>
            <w:top w:w="0" w:type="dxa"/>
            <w:left w:w="108" w:type="dxa"/>
            <w:bottom w:w="0" w:type="dxa"/>
            <w:right w:w="108" w:type="dxa"/>
          </w:tblCellMar>
        </w:tblPrEx>
        <w:trPr>
          <w:jc w:val="center"/>
        </w:trPr>
        <w:tc>
          <w:tcPr>
            <w:tcW w:w="571"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标准器</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绝压型气体活塞式压力计</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yellow"/>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测量范围：（100～1600）hPa；</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准确度等级：0.01级；</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压力计最大允许误差：实际测量压力值的±0.01%；</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活塞有效面积：不小于0.97 cm</w:t>
            </w:r>
            <w:r>
              <w:rPr>
                <w:rFonts w:ascii="仿宋_GB2312" w:eastAsia="仿宋_GB2312" w:hAnsi="仿宋_GB2312" w:cs="仿宋_GB2312" w:hint="eastAsia"/>
                <w:color w:val="auto"/>
                <w:sz w:val="21"/>
                <w:szCs w:val="21"/>
                <w:highlight w:val="none"/>
                <w:vertAlign w:val="superscript"/>
              </w:rPr>
              <w:t>2</w:t>
            </w:r>
            <w:r>
              <w:rPr>
                <w:rFonts w:ascii="仿宋_GB2312" w:eastAsia="仿宋_GB2312" w:hAnsi="仿宋_GB2312" w:cs="仿宋_GB2312" w:hint="eastAsia"/>
                <w:color w:val="auto"/>
                <w:sz w:val="21"/>
                <w:szCs w:val="21"/>
                <w:highlight w:val="none"/>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活塞有效面积最大允许误差：±0.006%；</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lang w:eastAsia="zh-CN"/>
              </w:rPr>
              <w:t>#</w:t>
            </w:r>
            <w:r>
              <w:rPr>
                <w:rFonts w:ascii="仿宋_GB2312" w:eastAsia="仿宋_GB2312" w:hAnsi="仿宋_GB2312" w:cs="仿宋_GB2312" w:hint="eastAsia"/>
                <w:color w:val="auto"/>
                <w:sz w:val="21"/>
                <w:szCs w:val="21"/>
                <w:highlight w:val="none"/>
              </w:rPr>
              <w:t>活塞及其连接件质量和专用砝码质量最大允许误差：±0.003%；</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活塞垂直度：不大于2′；</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测量范围下限的专用砝码外径：不大于180 mm；</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活塞转动延续时间：不小于50 s；</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活塞下降速度：不大于1.2 mm/min；</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鉴别阈：不超过与测量范围下限最大允许误差绝对值相应的砝码质量值，一般放大到5 mg的整数倍最接近的值；</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密封性：在压力计测量范围上限试验压力下，压力计校验器密封性试验的后5 min压力下降值不超过试验压力的2%；</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活塞有效面积周期变化：不大于0.006%。</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lang w:val="en-US" w:eastAsia="zh-CN"/>
              </w:rPr>
              <w:t>自动标准压力发生器</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测量范围：</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10</w:t>
            </w:r>
            <w:r>
              <w:rPr>
                <w:rFonts w:ascii="仿宋_GB2312" w:eastAsia="仿宋_GB2312" w:hAnsi="仿宋_GB2312" w:cs="仿宋_GB2312" w:hint="eastAsia"/>
                <w:color w:val="auto"/>
                <w:sz w:val="21"/>
                <w:szCs w:val="21"/>
                <w:highlight w:val="none"/>
                <w:lang w:val="en-US" w:eastAsia="zh-CN"/>
              </w:rPr>
              <w:t>0</w:t>
            </w:r>
            <w:r>
              <w:rPr>
                <w:rFonts w:ascii="仿宋_GB2312" w:eastAsia="仿宋_GB2312" w:hAnsi="仿宋_GB2312" w:cs="仿宋_GB2312" w:hint="eastAsia"/>
                <w:color w:val="auto"/>
                <w:sz w:val="21"/>
                <w:szCs w:val="21"/>
                <w:highlight w:val="none"/>
              </w:rPr>
              <w:t>～1</w:t>
            </w:r>
            <w:r>
              <w:rPr>
                <w:rFonts w:ascii="仿宋_GB2312" w:eastAsia="仿宋_GB2312" w:hAnsi="仿宋_GB2312" w:cs="仿宋_GB2312" w:hint="eastAsia"/>
                <w:color w:val="auto"/>
                <w:sz w:val="21"/>
                <w:szCs w:val="21"/>
                <w:highlight w:val="none"/>
                <w:lang w:val="en-US" w:eastAsia="zh-CN"/>
              </w:rPr>
              <w:t>6</w:t>
            </w:r>
            <w:r>
              <w:rPr>
                <w:rFonts w:ascii="仿宋_GB2312" w:eastAsia="仿宋_GB2312" w:hAnsi="仿宋_GB2312" w:cs="仿宋_GB2312" w:hint="eastAsia"/>
                <w:color w:val="auto"/>
                <w:sz w:val="21"/>
                <w:szCs w:val="21"/>
                <w:highlight w:val="none"/>
              </w:rPr>
              <w:t>00</w:t>
            </w:r>
            <w:r>
              <w:rPr>
                <w:rFonts w:ascii="仿宋_GB2312" w:eastAsia="仿宋_GB2312" w:hAnsi="仿宋_GB2312" w:cs="仿宋_GB2312" w:hint="eastAsia"/>
                <w:color w:val="auto"/>
                <w:sz w:val="21"/>
                <w:szCs w:val="21"/>
                <w:highlight w:val="none"/>
                <w:lang w:eastAsia="zh-CN"/>
              </w:rPr>
              <w:t>）</w:t>
            </w:r>
            <w:r>
              <w:rPr>
                <w:rFonts w:ascii="仿宋_GB2312" w:eastAsia="仿宋_GB2312" w:hAnsi="仿宋_GB2312" w:cs="仿宋_GB2312" w:hint="eastAsia"/>
                <w:color w:val="auto"/>
                <w:sz w:val="21"/>
                <w:szCs w:val="21"/>
                <w:highlight w:val="none"/>
              </w:rPr>
              <w:t>hPa</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color w:val="auto"/>
                <w:sz w:val="21"/>
                <w:szCs w:val="21"/>
                <w:highlight w:val="none"/>
              </w:rPr>
              <w:t>准确度：±0.</w:t>
            </w:r>
            <w:r>
              <w:rPr>
                <w:rFonts w:ascii="仿宋_GB2312" w:eastAsia="仿宋_GB2312" w:hAnsi="仿宋_GB2312" w:cs="仿宋_GB2312" w:hint="eastAsia"/>
                <w:color w:val="auto"/>
                <w:sz w:val="21"/>
                <w:szCs w:val="21"/>
                <w:highlight w:val="none"/>
                <w:lang w:val="en-US" w:eastAsia="zh-CN"/>
              </w:rPr>
              <w:t>10</w:t>
            </w:r>
            <w:r>
              <w:rPr>
                <w:rFonts w:ascii="仿宋_GB2312" w:eastAsia="仿宋_GB2312" w:hAnsi="仿宋_GB2312" w:cs="仿宋_GB2312" w:hint="eastAsia"/>
                <w:color w:val="auto"/>
                <w:sz w:val="21"/>
                <w:szCs w:val="21"/>
                <w:highlight w:val="none"/>
              </w:rPr>
              <w:t>hPa</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测压模式：绝压</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测压方式：自动</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测试点控制：单点控制、步距控制、多点多循环连续控制</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既可作为全自动气体活塞压力计的压力发生器使用，也可以单独作为压力标准器使用</w:t>
            </w:r>
            <w:r>
              <w:rPr>
                <w:rFonts w:ascii="仿宋_GB2312" w:eastAsia="仿宋_GB2312" w:hAnsi="仿宋_GB2312" w:cs="仿宋_GB2312"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传输方式：带有USB，网口可以与上位机进行数据传输</w:t>
            </w:r>
            <w:r>
              <w:rPr>
                <w:rFonts w:ascii="仿宋_GB2312" w:eastAsia="仿宋_GB2312" w:hAnsi="仿宋_GB2312" w:cs="仿宋_GB2312" w:hint="eastAsia"/>
                <w:color w:val="auto"/>
                <w:sz w:val="21"/>
                <w:szCs w:val="21"/>
                <w:highlight w:val="none"/>
                <w:lang w:eastAsia="zh-CN"/>
              </w:rPr>
              <w:t>。</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kern w:val="0"/>
                <w:szCs w:val="21"/>
                <w:highlight w:val="none"/>
                <w:lang w:bidi="ar"/>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气体压力控制装置</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一般由压力源、真空源和压力调节器组成。</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环境监测</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温度测量范围：（0～50）℃，最大允许误差：±0.5℃；</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湿度测量范围：（10～90）%RH，最大允许误差：±5 %RH；</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气压测量范围：（500～1100）hPa，最大允许误差：±2.5hPa。</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辅助</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电源控制</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输出电压精度：±0.1V；</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要求：各通道可独立设置（0～24）VDC的可调电压输出。</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通信传输</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通道数量：不少于16路；</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接口要求：支持RS232/RS485、LAN接口、</w:t>
            </w:r>
            <w:r>
              <w:rPr>
                <w:rFonts w:ascii="仿宋_GB2312" w:eastAsia="仿宋_GB2312" w:hAnsi="仿宋_GB2312" w:cs="仿宋_GB2312" w:hint="eastAsia"/>
                <w:color w:val="auto"/>
                <w:sz w:val="21"/>
                <w:szCs w:val="21"/>
                <w:highlight w:val="none"/>
                <w:lang w:eastAsia="zh-CN"/>
              </w:rPr>
              <w:t>Wi-Fi</w:t>
            </w:r>
            <w:r>
              <w:rPr>
                <w:rFonts w:ascii="仿宋_GB2312" w:eastAsia="仿宋_GB2312" w:hAnsi="仿宋_GB2312" w:cs="仿宋_GB2312" w:hint="eastAsia"/>
                <w:color w:val="auto"/>
                <w:sz w:val="21"/>
                <w:szCs w:val="21"/>
                <w:highlight w:val="none"/>
              </w:rPr>
              <w:t>或USB。</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测试辅助</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传感器工装板数量：单个传感器工装板槽位数不少于8个；</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槽位设计要求：支持电源接口、通信接口和管路接口的同时快插接入、自动锁紧和一键释放。</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2</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设备信息采集和智能识别模块</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设备信息采集器模块：支持对传感器工装板槽位安装的传感器进行批量扫码信息识别，匹配数据采集通道；</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智能识别模块：支持从传感器通信接口获取设备唯一UID，从业务信息系统关联获取设备信息，与数据采集通道匹配。</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r>
        <w:tblPrEx>
          <w:tblW w:w="4565"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自动传送</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模块</w:t>
            </w:r>
          </w:p>
        </w:tc>
        <w:tc>
          <w:tcPr>
            <w:tcW w:w="2613" w:type="pct"/>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1.支持不少于4个传感器工装板的自动切换和装载，传感器工装板电源、通信和管路自动接入系统；</w:t>
            </w:r>
          </w:p>
          <w:p>
            <w:pPr>
              <w:keepNext w:val="0"/>
              <w:keepLines w:val="0"/>
              <w:pageBreakBefore w:val="0"/>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2.传感器工装板高度位置可自动升降调节至标准压力参考位置高度。</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仿宋_GB2312" w:eastAsia="仿宋_GB2312" w:hAnsi="仿宋_GB2312" w:cs="仿宋_GB2312" w:hint="eastAsia"/>
                <w:color w:val="auto"/>
                <w:szCs w:val="21"/>
                <w:highlight w:val="none"/>
              </w:rPr>
            </w:pPr>
            <w:r>
              <w:rPr>
                <w:rFonts w:ascii="仿宋_GB2312" w:eastAsia="仿宋_GB2312" w:hAnsi="仿宋_GB2312" w:cs="仿宋_GB2312" w:hint="eastAsia"/>
                <w:color w:val="auto"/>
                <w:kern w:val="0"/>
                <w:sz w:val="21"/>
                <w:szCs w:val="21"/>
                <w:highlight w:val="none"/>
                <w:lang w:bidi="ar"/>
              </w:rPr>
              <w:t>1</w:t>
            </w:r>
          </w:p>
        </w:tc>
      </w:tr>
    </w:tbl>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sz w:val="21"/>
          <w:szCs w:val="21"/>
          <w:highlight w:val="none"/>
          <w:lang w:val="en-US" w:eastAsia="zh-CN"/>
        </w:rPr>
        <w:t>3.</w:t>
      </w:r>
      <w:r>
        <w:rPr>
          <w:rFonts w:ascii="宋体" w:hAnsi="宋体" w:cs="宋体" w:hint="eastAsia"/>
          <w:sz w:val="21"/>
          <w:szCs w:val="21"/>
          <w:highlight w:val="none"/>
          <w:lang w:val="en-US" w:eastAsia="zh-CN"/>
        </w:rPr>
        <w:t>1.</w:t>
      </w:r>
      <w:r>
        <w:rPr>
          <w:rFonts w:ascii="宋体" w:eastAsia="宋体" w:hAnsi="宋体" w:cs="宋体" w:hint="eastAsia"/>
          <w:sz w:val="21"/>
          <w:szCs w:val="21"/>
          <w:highlight w:val="none"/>
          <w:lang w:val="en-US" w:eastAsia="zh-CN"/>
        </w:rPr>
        <w:t xml:space="preserve">4 </w:t>
      </w:r>
      <w:r>
        <w:rPr>
          <w:rFonts w:ascii="宋体" w:eastAsia="宋体" w:hAnsi="宋体" w:cs="宋体" w:hint="eastAsia"/>
          <w:color w:val="auto"/>
          <w:sz w:val="21"/>
          <w:szCs w:val="21"/>
          <w:highlight w:val="none"/>
          <w:lang w:val="en-US" w:eastAsia="zh-CN"/>
        </w:rPr>
        <w:t>系统软件功能技术要求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（1）系统应集成计量标准器及其配套设备，具备按照相关计量技术规范要求开展全自动批量计量的能力，自动提供准确的测量结果和满足计量技术规范要求的不确定度。</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（2）系统应具备与计量业务系统数据交互功能，如获取传感器基础数据和上传计量数据信息等，数据格式须符合《省级气象计量信息标准数据格式》（气测函〔2023〕281号）要求。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（3）系统应具备批量扫码信息识别功能，自动实现被检传感器、二维码和数据采集通道的匹配。</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（4）系统应支持从智能气象测量仪通信接口获取设备唯一标识（UID），从计量业务系统关联获取设备信息，与数据采集通道匹配。</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（5）系统应具备便捷式接线设计，支持线路盲接。</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（6）系统应支持标准器、配套设备、被检传感器数据实时图形化显示。</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（7）系统应具备一键启动功能，能够实现计量环节全自动运行，自动完成检定（校准）点控制、稳定性判断和数据采集等。</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（8）系统应具备计量数据自动处理功能，按照计量技术规范要求生成相应原始记录，自动提示传感器是否合格。</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（9）系统应具备证书定制功能，根据审核和批准结果自动生成证书和检定结果通知书，原始记录和证书格式可根据需求定制。</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（10）系统应具备冗余设计和故障恢复能力，确保在自动辅助设备故障或网络故障等情况下，计量工作可在人工模式下正常完成。</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（11）系统应具有电气安全、控制安全和数据安全设计，防止系统运行过程中出现危及人身、设备设施和数据信息安全的状况；系统具备访问控制和加密通信等安全机制，确保数据的完整性和保密性。</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（12）系统应具备可扩展性，具有二次开发接口，具备灵活配置计量技术规范参数的能力，能够适应业务发展需求。</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（13）系统应具备计量数据本地显示和存储功能。</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（14）系统应能够实时监测设备运行情况，自动判断设备工作状态，当设备出现异常应能够示警，严重时应终止设备运行。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w:t>
      </w:r>
      <w:r>
        <w:rPr>
          <w:rFonts w:ascii="宋体" w:hAnsi="宋体" w:cs="宋体" w:hint="eastAsia"/>
          <w:b w:val="0"/>
          <w:bCs w:val="0"/>
          <w:color w:val="auto"/>
          <w:sz w:val="21"/>
          <w:szCs w:val="21"/>
          <w:highlight w:val="none"/>
          <w:lang w:val="en-US" w:eastAsia="zh-CN"/>
        </w:rPr>
        <w:t>1.</w:t>
      </w:r>
      <w:r>
        <w:rPr>
          <w:rFonts w:ascii="宋体" w:eastAsia="宋体" w:hAnsi="宋体" w:cs="宋体" w:hint="eastAsia"/>
          <w:b w:val="0"/>
          <w:bCs w:val="0"/>
          <w:color w:val="auto"/>
          <w:sz w:val="21"/>
          <w:szCs w:val="21"/>
          <w:highlight w:val="none"/>
          <w:lang w:val="en-US" w:eastAsia="zh-CN"/>
        </w:rPr>
        <w:t>5 设备技术要求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3.1</w:t>
      </w:r>
      <w:r>
        <w:rPr>
          <w:rFonts w:ascii="宋体" w:eastAsia="宋体" w:hAnsi="宋体" w:cs="宋体" w:hint="eastAsia"/>
          <w:b w:val="0"/>
          <w:bCs w:val="0"/>
          <w:color w:val="auto"/>
          <w:sz w:val="21"/>
          <w:szCs w:val="21"/>
          <w:highlight w:val="none"/>
          <w:lang w:val="en-US" w:eastAsia="zh-CN"/>
        </w:rPr>
        <w:t>.5.1</w:t>
      </w:r>
      <w:r>
        <w:rPr>
          <w:rFonts w:ascii="宋体" w:eastAsia="宋体" w:hAnsi="宋体" w:cs="宋体" w:hint="eastAsia"/>
          <w:b w:val="0"/>
          <w:bCs w:val="0"/>
          <w:color w:val="auto"/>
          <w:sz w:val="21"/>
          <w:szCs w:val="21"/>
          <w:highlight w:val="none"/>
        </w:rPr>
        <w:t xml:space="preserve"> </w:t>
      </w:r>
      <w:r>
        <w:rPr>
          <w:rFonts w:ascii="宋体" w:eastAsia="宋体" w:hAnsi="宋体" w:cs="宋体" w:hint="eastAsia"/>
          <w:b w:val="0"/>
          <w:bCs w:val="0"/>
          <w:color w:val="auto"/>
          <w:sz w:val="21"/>
          <w:szCs w:val="21"/>
          <w:highlight w:val="none"/>
          <w:lang w:val="en-US" w:eastAsia="zh-CN"/>
        </w:rPr>
        <w:t>温度</w:t>
      </w:r>
      <w:r>
        <w:rPr>
          <w:rFonts w:ascii="宋体" w:eastAsia="宋体" w:hAnsi="宋体" w:cs="宋体" w:hint="eastAsia"/>
          <w:b w:val="0"/>
          <w:bCs w:val="0"/>
          <w:color w:val="auto"/>
          <w:sz w:val="21"/>
          <w:szCs w:val="21"/>
          <w:highlight w:val="none"/>
        </w:rPr>
        <w:t>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温度自动计量系统应适用于自动气象站铂电阻温度传感器、智能气温测量仪和智能地温测量仪自动计量业务。温度自动计量系统设计采用多槽单点恒温计量模式。多槽单点恒温计量模式应能实现系统依托自动输送模块实现被检设备在各个温场控制设备中的单点计量，被检设备在各个温场控制设备间的移动由系统按照计量流程自动控制，并行协同完成全计量流程。多槽单点恒温计量模式应具备单工装模块不低于16支温度传感器或6支智能气（地）温测量仪计量能力。多槽单点恒温计量模式下，系统应兼容单槽多点变温计量模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3.1</w:t>
      </w:r>
      <w:r>
        <w:rPr>
          <w:rFonts w:ascii="宋体" w:eastAsia="宋体" w:hAnsi="宋体" w:cs="宋体" w:hint="eastAsia"/>
          <w:b w:val="0"/>
          <w:bCs w:val="0"/>
          <w:color w:val="auto"/>
          <w:sz w:val="21"/>
          <w:szCs w:val="21"/>
          <w:highlight w:val="none"/>
          <w:lang w:val="en-US" w:eastAsia="zh-CN"/>
        </w:rPr>
        <w:t>.5.2</w:t>
      </w:r>
      <w:r>
        <w:rPr>
          <w:rFonts w:ascii="宋体" w:eastAsia="宋体" w:hAnsi="宋体" w:cs="宋体" w:hint="eastAsia"/>
          <w:b w:val="0"/>
          <w:bCs w:val="0"/>
          <w:color w:val="auto"/>
          <w:sz w:val="21"/>
          <w:szCs w:val="21"/>
          <w:highlight w:val="none"/>
        </w:rPr>
        <w:t xml:space="preserve"> </w:t>
      </w:r>
      <w:r>
        <w:rPr>
          <w:rFonts w:ascii="宋体" w:eastAsia="宋体" w:hAnsi="宋体" w:cs="宋体" w:hint="eastAsia"/>
          <w:b w:val="0"/>
          <w:bCs w:val="0"/>
          <w:color w:val="auto"/>
          <w:sz w:val="21"/>
          <w:szCs w:val="21"/>
          <w:highlight w:val="none"/>
          <w:lang w:val="en-US" w:eastAsia="zh-CN"/>
        </w:rPr>
        <w:t>湿度</w:t>
      </w:r>
      <w:r>
        <w:rPr>
          <w:rFonts w:ascii="宋体" w:eastAsia="宋体" w:hAnsi="宋体" w:cs="宋体" w:hint="eastAsia"/>
          <w:b w:val="0"/>
          <w:bCs w:val="0"/>
          <w:color w:val="auto"/>
          <w:sz w:val="21"/>
          <w:szCs w:val="21"/>
          <w:highlight w:val="none"/>
        </w:rPr>
        <w:t>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湿度自动计量系统应适用于自动气象站湿度传感器和智能湿度测量仪自动计量业务。湿度自动计量系统设计采用湿度发生器计量模式。湿度发生器计量模式下，湿度发生器提供稳定的湿度环境，精密露点仪提供标准数值，智能工装模块用于采集被检湿度传感器的电信号及供电，自动传输模块用于传感器自动搬运，上位机检定系统软件可以控制湿度发生器、精密露点仪和自动传输模块等设备，按照相关计量技术规范要求实现湿度传感器的自动计量工作。湿度发生器计量模式具有单机单批次不低于5支计量能力。支持超差传感器的自动调整和重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3.1</w:t>
      </w:r>
      <w:r>
        <w:rPr>
          <w:rFonts w:ascii="宋体" w:eastAsia="宋体" w:hAnsi="宋体" w:cs="宋体" w:hint="eastAsia"/>
          <w:b w:val="0"/>
          <w:bCs w:val="0"/>
          <w:color w:val="auto"/>
          <w:sz w:val="21"/>
          <w:szCs w:val="21"/>
          <w:highlight w:val="none"/>
          <w:lang w:val="en-US" w:eastAsia="zh-CN"/>
        </w:rPr>
        <w:t>.5.3</w:t>
      </w:r>
      <w:r>
        <w:rPr>
          <w:rFonts w:ascii="宋体" w:eastAsia="宋体" w:hAnsi="宋体" w:cs="宋体" w:hint="eastAsia"/>
          <w:b w:val="0"/>
          <w:bCs w:val="0"/>
          <w:color w:val="auto"/>
          <w:sz w:val="21"/>
          <w:szCs w:val="21"/>
          <w:highlight w:val="none"/>
        </w:rPr>
        <w:t xml:space="preserve"> 气压自动计量系统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rPr>
        <w:t>气压自动计量系统适用于自动气象站气压传感器和智能气压测量仪自动计量业务。气压发生器/压力控制装置产生稳定气压环境，通过管路与气压标准器和被检气压传感器连接。环境监测设备用于监测采集温度、湿度、气压等环境参数。多通道直流电源用于为被检气压传感器供电，满足传感器供电要求。通信传输模块实现各硬件设备通信，采集被检气压传感器输出的数字信号。设备信息采集和智能识别模块用于批量识别被检气压传感器设备信息，与数据采集通道关联匹配。自动传送系统用于多个工装板的自动切换和装载，使系统具备多批次连续自动检定能力，并能够自动升降调节被检气压传感器高度，使被检气压传感器高度与标准压力参考位置高度在同一水平面。系统可配置不少于4个传感器工装板，传感器工装板至少有8个传感器快插槽位，传感器工装板自动切换和装载时支持将传感器工装板上所有被检气压传感器电源接口、通信接口和管路接口与系统自动连接和断开。上位机检定系统软件可以控制气压发生器/压力控制装置、气压标准器、多通道数据采集器、自动传送系统等设备，按照相关计量技术规范要求实现气压传感器的自动检定和校准，并进行符合性判定，计量数据本地存储并自动上传计量业务系统。系统能够实现人工/半自动状态运行，并支持超差传感器的自动调整和重检。系统单机单次检定能力不低于8台，具备多批次连续自动计量能力。系统具有多任务集约控制功能，支持设备倍增扩展计量能力。</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 xml:space="preserve">3.2 </w:t>
      </w:r>
      <w:r>
        <w:rPr>
          <w:rFonts w:ascii="宋体" w:eastAsia="宋体" w:hAnsi="宋体" w:cs="宋体" w:hint="eastAsia"/>
          <w:color w:val="auto"/>
          <w:sz w:val="21"/>
          <w:szCs w:val="21"/>
          <w:highlight w:val="none"/>
        </w:rPr>
        <w:t>省级计量信息化系统</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default"/>
          <w:color w:val="auto"/>
          <w:szCs w:val="21"/>
          <w:highlight w:val="none"/>
        </w:rPr>
      </w:pPr>
      <w:r>
        <w:rPr>
          <w:rFonts w:ascii="宋体" w:eastAsia="宋体" w:hAnsi="宋体" w:cs="宋体" w:hint="eastAsia"/>
          <w:color w:val="auto"/>
          <w:sz w:val="21"/>
          <w:szCs w:val="21"/>
          <w:highlight w:val="none"/>
          <w:lang w:val="en-US" w:eastAsia="zh-CN"/>
        </w:rPr>
        <w:t>3.2.1 系统软件功能要求</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1</w:t>
      </w:r>
      <w:r>
        <w:rPr>
          <w:rFonts w:ascii="宋体" w:eastAsia="宋体" w:hAnsi="宋体" w:cs="宋体" w:hint="eastAsia"/>
          <w:color w:val="auto"/>
          <w:sz w:val="21"/>
          <w:szCs w:val="21"/>
          <w:highlight w:val="none"/>
        </w:rPr>
        <w:t>）基础信息管理模块实现元数据和设备编码本地的实时管理，与天元保持同步并每日与天元进行比对核验；</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2</w:t>
      </w:r>
      <w:r>
        <w:rPr>
          <w:rFonts w:ascii="宋体" w:eastAsia="宋体" w:hAnsi="宋体" w:cs="宋体" w:hint="eastAsia"/>
          <w:color w:val="auto"/>
          <w:sz w:val="21"/>
          <w:szCs w:val="21"/>
          <w:highlight w:val="none"/>
        </w:rPr>
        <w:t>）计量数据管理模块实现全省计量数据的实时汇集和上传天元管理；</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3</w:t>
      </w:r>
      <w:r>
        <w:rPr>
          <w:rFonts w:ascii="宋体" w:eastAsia="宋体" w:hAnsi="宋体" w:cs="宋体" w:hint="eastAsia"/>
          <w:color w:val="auto"/>
          <w:sz w:val="21"/>
          <w:szCs w:val="21"/>
          <w:highlight w:val="none"/>
        </w:rPr>
        <w:t>）实验室及计量机构管理实现省级实验室收发流转业务多系统的联动运行，以及实现机构、计量标准、标准器、人员信息从天元到检定业务端的信息分发；</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4</w:t>
      </w:r>
      <w:r>
        <w:rPr>
          <w:rFonts w:ascii="宋体" w:eastAsia="宋体" w:hAnsi="宋体" w:cs="宋体" w:hint="eastAsia"/>
          <w:color w:val="auto"/>
          <w:sz w:val="21"/>
          <w:szCs w:val="21"/>
          <w:highlight w:val="none"/>
        </w:rPr>
        <w:t>）移动计量管理模块为省级移动计量系统提供必要的站网、设备信息及计量标准器信息；</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5</w:t>
      </w:r>
      <w:r>
        <w:rPr>
          <w:rFonts w:ascii="宋体" w:eastAsia="宋体" w:hAnsi="宋体" w:cs="宋体" w:hint="eastAsia"/>
          <w:color w:val="auto"/>
          <w:sz w:val="21"/>
          <w:szCs w:val="21"/>
          <w:highlight w:val="none"/>
        </w:rPr>
        <w:t>）外场巡检管理实现国家站和区域站设备外场扫码更换，采集现场核查数据，以及设备更换信息及相关计量数据实时上传天元；</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w:t>
      </w:r>
      <w:r>
        <w:rPr>
          <w:rFonts w:ascii="宋体" w:eastAsia="宋体" w:hAnsi="宋体" w:cs="宋体" w:hint="eastAsia"/>
          <w:color w:val="auto"/>
          <w:sz w:val="21"/>
          <w:szCs w:val="21"/>
          <w:highlight w:val="none"/>
          <w:lang w:val="en-US" w:eastAsia="zh-CN"/>
        </w:rPr>
        <w:t>6</w:t>
      </w:r>
      <w:r>
        <w:rPr>
          <w:rFonts w:ascii="宋体" w:eastAsia="宋体" w:hAnsi="宋体" w:cs="宋体" w:hint="eastAsia"/>
          <w:color w:val="auto"/>
          <w:sz w:val="21"/>
          <w:szCs w:val="21"/>
          <w:highlight w:val="none"/>
        </w:rPr>
        <w:t>）第三方数据源接口，通过开发与第三方数据源交互接口，实现系统各功能模块与第三方业务系统数据互联互通。</w:t>
      </w:r>
    </w:p>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ascii="仿宋" w:eastAsia="仿宋" w:hAnsi="仿宋" w:cs="仿宋" w:hint="eastAsia"/>
          <w:color w:val="auto"/>
          <w:sz w:val="21"/>
          <w:szCs w:val="21"/>
          <w:highlight w:val="none"/>
        </w:rPr>
      </w:pPr>
      <w:r>
        <w:rPr>
          <w:rFonts w:ascii="宋体" w:eastAsia="宋体" w:hAnsi="宋体" w:cs="宋体" w:hint="eastAsia"/>
          <w:color w:val="auto"/>
          <w:kern w:val="2"/>
          <w:sz w:val="21"/>
          <w:szCs w:val="21"/>
          <w:highlight w:val="none"/>
          <w:lang w:val="en-US" w:eastAsia="zh-CN" w:bidi="ar-SA"/>
        </w:rPr>
        <w:t>3.2.2 省级计量信息化系统性能指标见表4。</w:t>
      </w:r>
    </w:p>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cs="宋体" w:hint="eastAsia"/>
          <w:b w:val="0"/>
          <w:bCs w:val="0"/>
          <w:color w:val="auto"/>
          <w:kern w:val="2"/>
          <w:sz w:val="21"/>
          <w:szCs w:val="21"/>
          <w:highlight w:val="none"/>
        </w:rPr>
      </w:pPr>
      <w:r>
        <w:rPr>
          <w:rFonts w:ascii="宋体" w:eastAsia="宋体" w:hAnsi="宋体" w:cs="宋体" w:hint="eastAsia"/>
          <w:b w:val="0"/>
          <w:bCs w:val="0"/>
          <w:color w:val="auto"/>
          <w:kern w:val="2"/>
          <w:sz w:val="21"/>
          <w:szCs w:val="21"/>
          <w:highlight w:val="none"/>
          <w:lang w:val="en-US" w:eastAsia="zh-CN" w:bidi="ar-SA"/>
        </w:rPr>
        <w:t>投标人应充分按用户需求，在产品选型过程中，提供的投标产品功能、性能，应满足用户技术要求，其中，加“#”的技术指标为重要指标，可优于，不可降低标准。</w:t>
      </w:r>
    </w:p>
    <w:p>
      <w:pPr>
        <w:pStyle w:val="Default"/>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cs="宋体" w:hint="eastAsia"/>
          <w:b w:val="0"/>
          <w:bCs w:val="0"/>
          <w:color w:val="auto"/>
          <w:kern w:val="2"/>
          <w:sz w:val="21"/>
          <w:szCs w:val="21"/>
          <w:highlight w:val="none"/>
        </w:rPr>
      </w:pPr>
      <w:r>
        <w:rPr>
          <w:rFonts w:ascii="宋体" w:eastAsia="宋体" w:hAnsi="宋体" w:cs="宋体" w:hint="eastAsia"/>
          <w:color w:val="auto"/>
          <w:kern w:val="2"/>
          <w:sz w:val="21"/>
          <w:szCs w:val="21"/>
          <w:highlight w:val="none"/>
          <w:lang w:val="en-US" w:eastAsia="zh-CN" w:bidi="ar-SA"/>
        </w:rPr>
        <w:t>省级计量信息化系统技术性能指标见表4。</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_GB2312" w:eastAsia="仿宋_GB2312" w:hAnsi="仿宋_GB2312" w:cs="仿宋_GB2312" w:hint="eastAsia"/>
          <w:szCs w:val="21"/>
        </w:rPr>
      </w:pPr>
      <w:r>
        <w:rPr>
          <w:rFonts w:ascii="宋体" w:eastAsia="宋体" w:hAnsi="宋体" w:cs="宋体" w:hint="eastAsia"/>
          <w:b w:val="0"/>
          <w:bCs w:val="0"/>
          <w:color w:val="auto"/>
          <w:kern w:val="2"/>
          <w:sz w:val="21"/>
          <w:szCs w:val="21"/>
          <w:highlight w:val="none"/>
          <w:lang w:val="en-US" w:eastAsia="zh-CN" w:bidi="ar-SA"/>
        </w:rPr>
        <w:t>表4 省级计量信息化系统技术性能要求</w:t>
      </w:r>
    </w:p>
    <w:tbl>
      <w:tblPr>
        <w:tblStyle w:val="TableNormal"/>
        <w:tblW w:w="45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5"/>
        <w:gridCol w:w="1542"/>
        <w:gridCol w:w="5596"/>
      </w:tblGrid>
      <w:tr>
        <w:tblPrEx>
          <w:tblW w:w="45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420"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center"/>
              <w:textAlignment w:val="auto"/>
              <w:rPr>
                <w:rFonts w:ascii="仿宋_GB2312" w:eastAsia="仿宋_GB2312" w:hAnsi="仿宋_GB2312" w:cs="仿宋_GB2312" w:hint="eastAsia"/>
                <w:b w:val="0"/>
                <w:bCs/>
                <w:kern w:val="0"/>
                <w:szCs w:val="21"/>
                <w:lang w:val="en-US" w:bidi="ar-SA"/>
              </w:rPr>
            </w:pPr>
            <w:r>
              <w:rPr>
                <w:rFonts w:ascii="仿宋_GB2312" w:eastAsia="仿宋_GB2312" w:hAnsi="仿宋_GB2312" w:cs="仿宋_GB2312" w:hint="eastAsia"/>
                <w:b w:val="0"/>
                <w:bCs/>
                <w:kern w:val="0"/>
                <w:sz w:val="21"/>
                <w:szCs w:val="21"/>
                <w:lang w:val="en-US" w:eastAsia="zh-CN" w:bidi="ar-SA"/>
              </w:rPr>
              <w:t>序号</w:t>
            </w:r>
          </w:p>
        </w:tc>
        <w:tc>
          <w:tcPr>
            <w:tcW w:w="9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center"/>
              <w:textAlignment w:val="auto"/>
              <w:rPr>
                <w:rFonts w:ascii="仿宋_GB2312" w:eastAsia="仿宋_GB2312" w:hAnsi="仿宋_GB2312" w:cs="仿宋_GB2312" w:hint="eastAsia"/>
                <w:b w:val="0"/>
                <w:bCs/>
                <w:kern w:val="0"/>
                <w:szCs w:val="21"/>
                <w:lang w:val="en-US" w:bidi="ar-SA"/>
              </w:rPr>
            </w:pPr>
            <w:r>
              <w:rPr>
                <w:rFonts w:ascii="仿宋_GB2312" w:eastAsia="仿宋_GB2312" w:hAnsi="仿宋_GB2312" w:cs="仿宋_GB2312" w:hint="eastAsia"/>
                <w:b w:val="0"/>
                <w:bCs/>
                <w:kern w:val="0"/>
                <w:sz w:val="21"/>
                <w:szCs w:val="21"/>
                <w:lang w:val="en-US" w:eastAsia="zh-CN" w:bidi="ar-SA"/>
              </w:rPr>
              <w:t>项目</w:t>
            </w:r>
          </w:p>
        </w:tc>
        <w:tc>
          <w:tcPr>
            <w:tcW w:w="35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center"/>
              <w:textAlignment w:val="auto"/>
              <w:rPr>
                <w:rFonts w:ascii="仿宋_GB2312" w:eastAsia="仿宋_GB2312" w:hAnsi="仿宋_GB2312" w:cs="仿宋_GB2312" w:hint="eastAsia"/>
                <w:b w:val="0"/>
                <w:bCs/>
                <w:kern w:val="0"/>
                <w:szCs w:val="21"/>
                <w:lang w:val="en-US" w:bidi="ar-SA"/>
              </w:rPr>
            </w:pPr>
            <w:r>
              <w:rPr>
                <w:rFonts w:ascii="仿宋_GB2312" w:eastAsia="仿宋_GB2312" w:hAnsi="仿宋_GB2312" w:cs="仿宋_GB2312" w:hint="eastAsia"/>
                <w:b w:val="0"/>
                <w:bCs/>
                <w:kern w:val="0"/>
                <w:sz w:val="21"/>
                <w:szCs w:val="21"/>
                <w:lang w:val="en-US" w:eastAsia="zh-CN" w:bidi="ar-SA"/>
              </w:rPr>
              <w:t>技术指标</w:t>
            </w:r>
          </w:p>
        </w:tc>
      </w:tr>
      <w:tr>
        <w:tblPrEx>
          <w:tblW w:w="4572" w:type="pct"/>
          <w:jc w:val="center"/>
          <w:tblCellMar>
            <w:top w:w="0" w:type="dxa"/>
            <w:left w:w="108" w:type="dxa"/>
            <w:bottom w:w="0" w:type="dxa"/>
            <w:right w:w="108" w:type="dxa"/>
          </w:tblCellMar>
        </w:tblPrEx>
        <w:trPr>
          <w:cantSplit/>
          <w:trHeight w:val="1226"/>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1</w:t>
            </w:r>
          </w:p>
        </w:tc>
        <w:tc>
          <w:tcPr>
            <w:tcW w:w="9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数据的存储和传输标准</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bCs/>
                <w:kern w:val="0"/>
                <w:sz w:val="21"/>
                <w:szCs w:val="21"/>
                <w:lang w:val="en-US" w:eastAsia="zh-CN" w:bidi="ar-SA"/>
              </w:rPr>
              <w:t>计量证书产品数据的存储和传输符合QX/T611-2021《气象计量信息数据格式》《省级气象计量信息标准数据格式》气象行业标准。</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2</w:t>
            </w:r>
          </w:p>
        </w:tc>
        <w:tc>
          <w:tcPr>
            <w:tcW w:w="9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left"/>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证书产品获取时效</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color w:val="auto"/>
                <w:sz w:val="21"/>
                <w:szCs w:val="21"/>
                <w:highlight w:val="yellow"/>
              </w:rPr>
              <w:t>#</w:t>
            </w:r>
            <w:r>
              <w:rPr>
                <w:rFonts w:ascii="仿宋_GB2312" w:eastAsia="仿宋_GB2312" w:hAnsi="仿宋_GB2312" w:cs="仿宋_GB2312" w:hint="eastAsia"/>
                <w:bCs/>
                <w:kern w:val="0"/>
                <w:sz w:val="21"/>
                <w:szCs w:val="21"/>
                <w:lang w:val="en-US" w:eastAsia="zh-CN" w:bidi="ar-SA"/>
              </w:rPr>
              <w:t>计量证书产品从各业务系统自动采集证书在证书签发完成后1小时内完成。</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3</w:t>
            </w:r>
          </w:p>
        </w:tc>
        <w:tc>
          <w:tcPr>
            <w:tcW w:w="9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left"/>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数据同步时效</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计量证书产品同步“天元”系统时效可设置为获取后立即同步或更换发生后触发同步。</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设备更换记录同步“天元”系统时效可设置为更换发生后立即同步或当日晚间定时集中同步(适当延迟便于操作失误后的回滚撤销)。</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4</w:t>
            </w:r>
          </w:p>
        </w:tc>
        <w:tc>
          <w:tcPr>
            <w:tcW w:w="9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left"/>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元数据核验时效</w:t>
            </w:r>
          </w:p>
        </w:tc>
        <w:tc>
          <w:tcPr>
            <w:tcW w:w="3589" w:type="pct"/>
            <w:noWrap w:val="0"/>
            <w:vAlign w:val="center"/>
          </w:tcPr>
          <w:p>
            <w:pPr>
              <w:pStyle w:val="NormalIndent"/>
              <w:keepNext w:val="0"/>
              <w:keepLines w:val="0"/>
              <w:pageBreakBefore w:val="0"/>
              <w:tabs>
                <w:tab w:val="left" w:pos="3119"/>
              </w:tabs>
              <w:kinsoku/>
              <w:wordWrap/>
              <w:overflowPunct/>
              <w:topLinePunct w:val="0"/>
              <w:autoSpaceDE/>
              <w:autoSpaceDN/>
              <w:bidi w:val="0"/>
              <w:adjustRightInd/>
              <w:snapToGrid/>
              <w:spacing w:line="240" w:lineRule="auto"/>
              <w:ind w:firstLine="0"/>
              <w:jc w:val="left"/>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“天元”系统观测任务设备信息、设备状态信息数据自动核验频率不低于1次/天。</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5</w:t>
            </w:r>
          </w:p>
        </w:tc>
        <w:tc>
          <w:tcPr>
            <w:tcW w:w="9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响应时间</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在并发允许范围内，从接受请求到处理完毕所耗费时间，达到：整体系统一般页面平均响应时间为小于3秒；统计类页面平均响应时间小于5秒；需要下载较多内容和图片的交互性页面响应时间小于5秒。</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6</w:t>
            </w:r>
          </w:p>
        </w:tc>
        <w:tc>
          <w:tcPr>
            <w:tcW w:w="9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并发用户</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系统可满足500个用户同时在线，系统全部模块满足200个用户同时并发，即对同一功能调用。</w:t>
            </w:r>
          </w:p>
        </w:tc>
      </w:tr>
      <w:tr>
        <w:tblPrEx>
          <w:tblW w:w="4572" w:type="pct"/>
          <w:jc w:val="center"/>
          <w:tblCellMar>
            <w:top w:w="0" w:type="dxa"/>
            <w:left w:w="108" w:type="dxa"/>
            <w:bottom w:w="0" w:type="dxa"/>
            <w:right w:w="108" w:type="dxa"/>
          </w:tblCellMar>
        </w:tblPrEx>
        <w:trPr>
          <w:cantSplit/>
          <w:jc w:val="center"/>
        </w:trPr>
        <w:tc>
          <w:tcPr>
            <w:tcW w:w="420" w:type="pct"/>
            <w:noWrap w:val="0"/>
            <w:vAlign w:val="center"/>
          </w:tcPr>
          <w:p>
            <w:pPr>
              <w:pStyle w:val="NormalIndent"/>
              <w:keepNext w:val="0"/>
              <w:keepLines w:val="0"/>
              <w:pageBreakBefore w:val="0"/>
              <w:numPr>
                <w:ilvl w:val="0"/>
                <w:numId w:val="0"/>
              </w:numPr>
              <w:tabs>
                <w:tab w:val="left" w:pos="3119"/>
              </w:tabs>
              <w:kinsoku/>
              <w:wordWrap/>
              <w:overflowPunct/>
              <w:topLinePunct w:val="0"/>
              <w:autoSpaceDE/>
              <w:autoSpaceDN/>
              <w:bidi w:val="0"/>
              <w:adjustRightInd/>
              <w:snapToGrid/>
              <w:spacing w:line="240" w:lineRule="auto"/>
              <w:ind w:leftChars="0"/>
              <w:jc w:val="center"/>
              <w:textAlignment w:val="auto"/>
              <w:rPr>
                <w:rFonts w:ascii="仿宋_GB2312" w:eastAsia="仿宋_GB2312" w:hAnsi="仿宋_GB2312" w:cs="仿宋_GB2312" w:hint="eastAsia"/>
                <w:bCs/>
                <w:kern w:val="0"/>
                <w:szCs w:val="21"/>
                <w:lang w:val="en-US" w:bidi="ar-SA"/>
              </w:rPr>
            </w:pPr>
            <w:r>
              <w:rPr>
                <w:rFonts w:ascii="仿宋_GB2312" w:eastAsia="仿宋_GB2312" w:hAnsi="仿宋_GB2312" w:cs="仿宋_GB2312" w:hint="eastAsia"/>
                <w:bCs/>
                <w:kern w:val="0"/>
                <w:sz w:val="21"/>
                <w:szCs w:val="21"/>
                <w:lang w:val="en-US" w:eastAsia="zh-CN" w:bidi="ar-SA"/>
              </w:rPr>
              <w:t>7</w:t>
            </w:r>
          </w:p>
        </w:tc>
        <w:tc>
          <w:tcPr>
            <w:tcW w:w="9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系统无故障运行时间</w:t>
            </w:r>
          </w:p>
        </w:tc>
        <w:tc>
          <w:tcPr>
            <w:tcW w:w="358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ascii="仿宋_GB2312" w:eastAsia="仿宋_GB2312" w:hAnsi="仿宋_GB2312" w:cs="仿宋_GB2312" w:hint="eastAsia"/>
                <w:bCs/>
                <w:kern w:val="0"/>
                <w:szCs w:val="21"/>
              </w:rPr>
            </w:pPr>
            <w:r>
              <w:rPr>
                <w:rFonts w:ascii="仿宋_GB2312" w:eastAsia="仿宋_GB2312" w:hAnsi="仿宋_GB2312" w:cs="仿宋_GB2312" w:hint="eastAsia"/>
                <w:bCs/>
                <w:kern w:val="0"/>
                <w:sz w:val="21"/>
                <w:szCs w:val="21"/>
                <w:lang w:val="en-US" w:eastAsia="zh-CN" w:bidi="ar-SA"/>
              </w:rPr>
              <w:t>支持7x24小时稳定运行，能够在非功能时间对系统进行局部维护，且不影响业务连续性。</w:t>
            </w: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中标人在合同签订后，应及时组织采购，到货后，向采购人提交全部材料，由采购人组织验收，经验收通过后出具验收报告。</w:t>
      </w:r>
    </w:p>
    <w:p>
      <w:pPr>
        <w:spacing w:line="360" w:lineRule="auto"/>
        <w:ind w:firstLine="420" w:firstLineChars="200"/>
        <w:rPr>
          <w:rFonts w:ascii="宋体" w:hAnsi="宋体" w:hint="eastAsia"/>
          <w:szCs w:val="21"/>
        </w:rPr>
      </w:pPr>
      <w:r>
        <w:rPr>
          <w:rFonts w:ascii="宋体" w:hAnsi="宋体" w:hint="eastAsia"/>
          <w:szCs w:val="21"/>
        </w:rPr>
        <w:t>（1）设备出厂前，采购人有权派人到工厂进行检验，中标人应在设备出厂前提供出厂检验项目指标测试程序和检验方法，供采购人参考，采购人可根据需要进行补充和修改。</w:t>
      </w:r>
    </w:p>
    <w:p>
      <w:pPr>
        <w:spacing w:line="360" w:lineRule="auto"/>
        <w:ind w:firstLine="420" w:firstLineChars="200"/>
        <w:rPr>
          <w:rFonts w:ascii="宋体" w:hAnsi="宋体" w:hint="eastAsia"/>
          <w:szCs w:val="21"/>
        </w:rPr>
      </w:pPr>
      <w:r>
        <w:rPr>
          <w:rFonts w:ascii="宋体" w:hAnsi="宋体" w:hint="eastAsia"/>
          <w:szCs w:val="21"/>
        </w:rPr>
        <w:t>（2）设备运抵安装现场后，采购人将与中标人共同开箱验收，如中标人届时不派人到场，则验收结果应以采购人的验收报告为最终验收结果。验收时发现设备短缺、破损，中标人应立即补发进行更换。</w:t>
      </w:r>
    </w:p>
    <w:p>
      <w:pPr>
        <w:spacing w:line="360" w:lineRule="auto"/>
        <w:ind w:firstLine="420" w:firstLineChars="200"/>
        <w:rPr>
          <w:rFonts w:ascii="宋体" w:hAnsi="宋体" w:hint="eastAsia"/>
          <w:szCs w:val="21"/>
        </w:rPr>
      </w:pPr>
      <w:r>
        <w:rPr>
          <w:rFonts w:ascii="宋体" w:hAnsi="宋体" w:hint="eastAsia"/>
          <w:szCs w:val="21"/>
        </w:rPr>
        <w:t>（3）设备安装、调试达到招标文件或后续签订合同规定的指标后，可进行初步验收。验收规范（包括项目、指标、方式和测试仪器等）由中标人提前提交给采购人。采购人可根据合同以及采购人的有关规定进行修改和补充，经双方确认后形成验收文件作为验收依据。验收测试合格后，设备进入试运行期。</w:t>
      </w:r>
    </w:p>
    <w:p>
      <w:pPr>
        <w:spacing w:line="360" w:lineRule="auto"/>
        <w:ind w:firstLine="420" w:firstLineChars="200"/>
        <w:rPr>
          <w:rFonts w:ascii="宋体" w:hAnsi="宋体" w:hint="eastAsia"/>
          <w:szCs w:val="21"/>
        </w:rPr>
      </w:pPr>
      <w:r>
        <w:rPr>
          <w:rFonts w:ascii="宋体" w:hAnsi="宋体" w:hint="eastAsia"/>
          <w:szCs w:val="21"/>
        </w:rPr>
        <w:t>（4）设备安装调试和试运行结束后，采购人组织最终验收。当满足以下条件时，采购人确认验收合格：</w:t>
      </w:r>
    </w:p>
    <w:p>
      <w:pPr>
        <w:spacing w:line="360" w:lineRule="auto"/>
        <w:ind w:firstLine="420" w:firstLineChars="200"/>
        <w:rPr>
          <w:rFonts w:ascii="宋体" w:hAnsi="宋体" w:hint="eastAsia"/>
          <w:szCs w:val="21"/>
        </w:rPr>
      </w:pPr>
      <w:r>
        <w:rPr>
          <w:rFonts w:ascii="宋体" w:hAnsi="宋体" w:hint="eastAsia"/>
          <w:szCs w:val="21"/>
        </w:rPr>
        <w:t>①中标人已提供合同中签署的全部货物及完整技术资料；</w:t>
      </w:r>
    </w:p>
    <w:p>
      <w:pPr>
        <w:spacing w:line="360" w:lineRule="auto"/>
        <w:ind w:firstLine="420" w:firstLineChars="200"/>
        <w:rPr>
          <w:rFonts w:ascii="宋体" w:hAnsi="宋体" w:hint="eastAsia"/>
          <w:szCs w:val="21"/>
        </w:rPr>
      </w:pPr>
      <w:r>
        <w:rPr>
          <w:rFonts w:ascii="宋体" w:hAnsi="宋体" w:hint="eastAsia"/>
          <w:szCs w:val="21"/>
        </w:rPr>
        <w:t>②货物符合技术规格，性能满足要求；</w:t>
      </w:r>
    </w:p>
    <w:p>
      <w:pPr>
        <w:spacing w:line="360" w:lineRule="auto"/>
        <w:ind w:firstLine="420" w:firstLineChars="200"/>
        <w:rPr>
          <w:rFonts w:ascii="宋体" w:hAnsi="宋体" w:hint="eastAsia"/>
          <w:szCs w:val="21"/>
        </w:rPr>
      </w:pPr>
      <w:r>
        <w:rPr>
          <w:rFonts w:ascii="宋体" w:hAnsi="宋体" w:hint="eastAsia"/>
          <w:szCs w:val="21"/>
        </w:rPr>
        <w:t>③安装工程符合技术要求，系统性能满足要求，设备正常运行。</w:t>
      </w:r>
    </w:p>
    <w:p>
      <w:pPr>
        <w:spacing w:line="360" w:lineRule="auto"/>
        <w:ind w:firstLine="420" w:firstLineChars="200"/>
        <w:rPr>
          <w:rFonts w:ascii="宋体" w:hAnsi="宋体" w:hint="eastAsia"/>
          <w:szCs w:val="21"/>
        </w:rPr>
      </w:pPr>
      <w:r>
        <w:rPr>
          <w:rFonts w:ascii="宋体" w:hAnsi="宋体" w:hint="eastAsia"/>
          <w:szCs w:val="21"/>
        </w:rPr>
        <w:t>参照功能规格需求书、测试大纲，以及中国气象局最新业务管理规定等有关文件要求开展检验考核。</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5.1 售后服务要求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5.2 培训要求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系统完成安装及现场测试后，中标方需在现场组织理论基础、实践操作与应用培训，培训内容为：温度、湿度、气压等自动化系统硬件和软件操作培训；自动化系统日常维护培训。培训人数不少于8人次，培训时长不少于3天，培训费用由中标方承担。为确保系统正常运行、管理及维护，投标人应提供全套的书面技术材料，至少应包括：技术资料详细清单；系统说明文件；技术手册（安装、操作、维护、故障排除等）；基于业务运行和日常维护的规范操作说明等。</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5.3 交货要求及履约地点</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中标供应商将所有设备运送至甘肃省气象信息与技术装备保障中心计量检定实验室（运输相关费用由供应商负责），并负责安装调试。合同签订后90天内交货，30天内完成安装调试并具备验收条件。</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5.4 服务团队及服务标准要求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投标人应明确说明此次投标的服务策略，提供此次投标货物的服务计划（售后服务内容、等级、相关服务指标、售后服务组织机构及人员安排情况及其联络信息）。</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5.5 出厂测试及现场测试要求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出厂测试：设备在出厂前，由供应商和建设单位技术人员进行严格的测试和检验，确保设备性能符合技术要求。测试内容包括设备的外观检查、功能测试、精度测试等。测试结果应记录在出厂检验报告中，并随设备一同交付。</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现场测试：设备到达现场后，由建设单位组织技术人员和供应商代表进行现场测试。测试内容包括设备的安装调试、功能验证、精度校准等。测试过程中，应严格按照相关技术规范和标准进行操作，确保测试结果的准确性和可靠性。</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测试结果评估：现场测试结束后，建设单位技术人员将对测试结果进行评估，确认设备是否满足项目要求。如设备存在质量问题或性能不符合要求，将要求供应商进行整改或更换。</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5.6 设备试运行评估要求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试运行期：设备通过现场测试后，进入试运行阶段，试运行期为3个月。在试运行期间，设备将按照正常工作模式进行运行，以检验其稳定性和可靠性。</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评估内容：试运行期间，将对设备的运行稳定性、数据准确性、故障率等进行评估。同时，还将对设备的操作便捷性、维护保养便利性等进行评估。</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评估方法：建设单位技术人员将定期对设备进行检查和维护，记录设备的运行情况和出现的问题。试运行结束后，将对记录的数据进行分析，形成试运行评估报告。</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评估结果处理：根据试运行评估报告，如设备运行稳定、性能符合要求，将办理正式验收手续，投入正式运行。如设备存在需要改进的问题，将与供应商协商，制定整改方案，确保设备达到预期性能。</w:t>
      </w:r>
    </w:p>
    <w:p>
      <w:pPr>
        <w:spacing w:line="360" w:lineRule="auto"/>
        <w:ind w:firstLine="420" w:firstLineChars="200"/>
        <w:rPr>
          <w:rFonts w:ascii="宋体" w:eastAsia="宋体" w:hAnsi="宋体" w:cs="Times New Roman" w:hint="default"/>
          <w:szCs w:val="21"/>
        </w:rPr>
      </w:pPr>
      <w:r>
        <w:rPr>
          <w:rFonts w:ascii="宋体" w:eastAsia="宋体" w:hAnsi="宋体" w:cs="Times New Roman" w:hint="eastAsia"/>
          <w:szCs w:val="21"/>
          <w:lang w:val="en-US" w:eastAsia="zh-CN"/>
        </w:rPr>
        <w:t>5.7 质保期服务要求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投标人须保证所提供产品为相应厂家原装正品，符合国家有关规定。投标人须保证所提供产品具有合法的版权或使用权，如有相关发明专利、实用新型专利、软件著作权的一并提供作为佐证；本项目采购的产品，如在本项目范围内使用过程中出现版权或使用权纠纷，应由中标人负责，采购人不承担责任。投标产品必须是符合仪器自身需求和质量标准的合格产品，满足采购人的使用需求，并具有可靠的售后服务体系，质量可靠、使用安全；中标方必须提供仪器的现场安装调试并达到招标书要求的技术性能。</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设备供应商对所有设备提供自验收合格后8年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达现场对故障设备进行测试和更换，确保设备正常投入业务运行。</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质保期内，设备供应商服务时间应为7×24小时，当投标产品或软件遭到损坏或出现故障时，要在用户报修之时起4小时内做出响应，并在48小时内到达现场，开展维修维护工作，视情况双方协商设备恢复正常运行时限。</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（3）质保期过后，设备供应商仍有义务提供技术服务（包括提供设备维护、备件等）。</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采购人应对合同设备在考核中应达到的技术性能考核指标进行规定，并可根据合同设备的实际情况，规定可以接受的合同设备的最低技术性能考核指标。</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14"/>
        <w:gridCol w:w="1518"/>
        <w:gridCol w:w="514"/>
        <w:gridCol w:w="715"/>
        <w:gridCol w:w="816"/>
        <w:gridCol w:w="514"/>
        <w:gridCol w:w="417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省级计量信息化系统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289,000.00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采购人：甘肃省气象信息与技术装备保障中心；联系人：第五朋朋；联系电话：18629609215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地面气象观测仪自动化计量系统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5,930,000.00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采购人：甘肃省气象信息与技术装备保障中心；联系人：第五朋朋；联系电话：18629609215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6,219,000.00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2840"/>
        <w:gridCol w:w="1781"/>
        <w:gridCol w:w="368"/>
        <w:gridCol w:w="839"/>
        <w:gridCol w:w="699"/>
        <w:gridCol w:w="839"/>
        <w:gridCol w:w="78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甘肃省气象信息与技术装备保障中心(001056008007)</w:t>
            </w:r>
          </w:p>
        </w:tc>
        <w:tc>
          <w:tcPr/>
          <w:p>
            <w:r>
              <w:t>地面气象观测仪自动化计量系统</w:t>
            </w:r>
          </w:p>
        </w:tc>
        <w:tc>
          <w:tcPr/>
          <w:p>
            <w:r>
              <w:t>1</w:t>
            </w:r>
          </w:p>
        </w:tc>
        <w:tc>
          <w:tcPr/>
          <w:p>
            <w:r>
              <w:t>5930000.00</w:t>
            </w:r>
          </w:p>
        </w:tc>
        <w:tc>
          <w:tcPr>
            <w:vMerge w:val="restart"/>
          </w:tcPr>
          <w:p>
            <w:r>
              <w:t xml:space="preserve">6219000.00  </w:t>
            </w:r>
          </w:p>
        </w:tc>
        <w:tc>
          <w:tcPr/>
          <w:p>
            <w:r>
              <w:t>甘肃省兰州市</w:t>
            </w:r>
          </w:p>
        </w:tc>
        <w:tc>
          <w:tcPr/>
          <w:p>
            <w:r>
              <w:t>18629609215</w:t>
            </w:r>
          </w:p>
        </w:tc>
      </w:tr>
      <w:tr>
        <w:tblPrEx>
          <w:tblW w:w="5000" w:type="pct"/>
          <w:tblCellMar>
            <w:left w:w="108" w:type="dxa"/>
            <w:right w:w="108" w:type="dxa"/>
          </w:tblCellMar>
        </w:tblPrEx>
        <w:tc>
          <w:tcPr/>
          <w:p>
            <w:r>
              <w:t>2</w:t>
            </w:r>
          </w:p>
        </w:tc>
        <w:tc>
          <w:tcPr>
            <w:vMerge/>
          </w:tcPr>
          <w:p>
            <w:r>
              <w:t>甘肃省气象信息与技术装备保障中心(001056008007)</w:t>
            </w:r>
          </w:p>
        </w:tc>
        <w:tc>
          <w:tcPr/>
          <w:p>
            <w:r>
              <w:t>省级计量信息化系统</w:t>
            </w:r>
          </w:p>
        </w:tc>
        <w:tc>
          <w:tcPr/>
          <w:p>
            <w:r>
              <w:t>1</w:t>
            </w:r>
          </w:p>
        </w:tc>
        <w:tc>
          <w:tcPr/>
          <w:p>
            <w:r>
              <w:t>289000.00</w:t>
            </w:r>
          </w:p>
        </w:tc>
        <w:tc>
          <w:tcPr>
            <w:vMerge/>
          </w:tcPr>
          <w:p>
            <w:r>
              <w:t xml:space="preserve">6219000.00  </w:t>
            </w:r>
          </w:p>
        </w:tc>
        <w:tc>
          <w:tcPr/>
          <w:p>
            <w:r>
              <w:t>甘肃省兰州市</w:t>
            </w:r>
          </w:p>
        </w:tc>
        <w:tc>
          <w:tcPr/>
          <w:p>
            <w:r>
              <w:t>18629609215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自完成合同验收之日起提供8年维保。</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9"/>
          <w:footerReference w:type="default" r:id="rId10"/>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u w:val="single"/>
          <w:lang w:val="en-US" w:eastAsia="zh-CN"/>
        </w:rPr>
        <w:t>甘肃省气象信息与技术装备保障中心</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hint="default"/>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          </w:t>
      </w:r>
    </w:p>
    <w:p>
      <w:pPr>
        <w:snapToGrid w:val="0"/>
        <w:spacing w:line="400" w:lineRule="exact"/>
        <w:ind w:firstLine="630" w:firstLineChars="300"/>
        <w:rPr>
          <w:rFonts w:hint="default"/>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1、合同生效后付款：双方签署合同后15个工作日内，乙方向甲方开具合同总金额的90%，即人民币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个工作日内向乙方支付；2、</w:t>
      </w:r>
      <w:r>
        <w:rPr>
          <w:rFonts w:ascii="宋体" w:hAnsi="宋体" w:hint="eastAsia"/>
          <w:szCs w:val="21"/>
          <w:highlight w:val="none"/>
          <w:u w:val="single"/>
          <w:lang w:val="en-US" w:eastAsia="zh-CN"/>
        </w:rPr>
        <w:t>合同验收</w:t>
      </w:r>
      <w:r>
        <w:rPr>
          <w:rFonts w:ascii="宋体" w:hAnsi="宋体" w:hint="eastAsia"/>
          <w:szCs w:val="21"/>
          <w:highlight w:val="none"/>
          <w:u w:val="single"/>
        </w:rPr>
        <w:t>后付款：</w:t>
      </w:r>
      <w:r>
        <w:rPr>
          <w:rFonts w:ascii="宋体" w:hAnsi="宋体" w:hint="eastAsia"/>
          <w:szCs w:val="21"/>
          <w:highlight w:val="none"/>
          <w:u w:val="single"/>
          <w:lang w:val="en-US" w:eastAsia="zh-CN"/>
        </w:rPr>
        <w:t>乙方完成合同要求的供货、建设、安装等内容并通过合同验收后</w:t>
      </w:r>
      <w:r>
        <w:rPr>
          <w:rFonts w:ascii="宋体" w:hAnsi="宋体" w:hint="eastAsia"/>
          <w:szCs w:val="21"/>
          <w:highlight w:val="none"/>
          <w:u w:val="single"/>
        </w:rPr>
        <w:t>，乙方向甲方开具合同总金额的10%，即人民币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个工作日内向乙方支付。</w:t>
      </w:r>
    </w:p>
    <w:p>
      <w:pPr>
        <w:adjustRightInd w:val="0"/>
        <w:snapToGrid w:val="0"/>
        <w:spacing w:line="400" w:lineRule="exact"/>
        <w:ind w:firstLine="630" w:firstLineChars="300"/>
        <w:rPr>
          <w:rFonts w:ascii="宋体" w:hAnsi="宋体" w:hint="default"/>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p>
    <w:p>
      <w:pPr>
        <w:adjustRightInd w:val="0"/>
        <w:snapToGrid w:val="0"/>
        <w:spacing w:line="400" w:lineRule="exact"/>
        <w:ind w:firstLine="630" w:firstLineChars="300"/>
        <w:rPr>
          <w:rFonts w:ascii="宋体" w:hAnsi="宋体" w:hint="default"/>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roman"/>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qFormat/>
    <w:pPr>
      <w:ind w:firstLine="420"/>
    </w:pPr>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jpeg" /><Relationship Id="rId8" Type="http://schemas.openxmlformats.org/officeDocument/2006/relationships/image" Target="media/image3.emf" /><Relationship Id="rId9" Type="http://schemas.openxmlformats.org/officeDocument/2006/relationships/header" Target="head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