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2025年地基遥感垂直观测系统建设项目（青岛-气溶胶激光观测仪）采购项目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ZQCD-25170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青岛市气象综合保障中心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2025年地基遥感垂直观测系统建设项目（青岛-气溶胶激光观测仪）采购项目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ZQCD-25170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青岛</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2025年08月01日 08:00:00</w:t>
      </w:r>
      <w:bookmarkEnd w:id="26"/>
      <w:r>
        <w:rPr>
          <w:rFonts w:ascii="宋体" w:hint="eastAsia"/>
          <w:szCs w:val="21"/>
          <w:highlight w:val="none"/>
        </w:rPr>
        <w:t>至</w:t>
      </w:r>
      <w:bookmarkStart w:id="27" w:name="项目公告_signUpLastTime"/>
      <w:r>
        <w:rPr>
          <w:rFonts w:ascii="宋体" w:hint="eastAsia"/>
          <w:szCs w:val="21"/>
          <w:highlight w:val="none"/>
        </w:rPr>
        <w:t>2025年08月07日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2025年09月03日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青岛市气象综合保障中心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李航</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0532-82791087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青岛市市南区伏龙山4号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青岛市气象综合保障中心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拉曼和米散射气溶胶激光雷达气象专用技术装备使用许可证</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不允许（仅针对以下产品：气溶胶激光观测仪（三波长）不允许代理商投标）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必须，以下产品需要提供至投标截止日仍有效的《气象专用技术装备使用许可证》：1、气溶胶激光观测仪（三波长）</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（1）标的：气溶胶激光观测仪（三波长）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销售合同必须包括气溶胶激光观测仪（三波长）设备，每提供1份合同得1分，最多得5分。否则不得分。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针对本项目采购的气溶胶激光观测仪（三波长）设备，承诺提前10天交货的得1分。否则不得分。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针对气溶胶激光观测仪（三波长）设备，每提供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针对气溶胶激光观测仪（三波长）设备，测试报告应涵盖工作温度、贮存温度、最大湿度、淋雨、抗干扰、防风等内容，每包含一项得0.5分，最多得3分。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3.1气溶胶激光观测仪（三波长）基本要求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气溶胶激光观测仪（三波长）以三波长激光器为光源，同时发射355nm，532nm和1064nm的激光光束，光束通过扩束镜扩束整形后经过反射镜反射进入大气中。望远镜系统对视场内的激光光束的米散射和拉曼散射信息进行接收，通过光电转换和信号采集处理后经过相应的雷达反演算法，通过计算得到气溶胶消光系数、气溶胶后向散射系数、气溶胶粒子退偏振比、云信息、光学厚度、污染物混合层高度、能见度、颗粒物浓度廓线、水汽混合比廓线等数据产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3.2技术指标要求</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表3-1 气溶胶激光观测仪（三波长）主要性能指标要求</w:t>
      </w:r>
    </w:p>
    <w:tbl>
      <w:tblPr>
        <w:tblStyle w:val="TableNormal"/>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72"/>
        <w:gridCol w:w="2480"/>
        <w:gridCol w:w="5268"/>
      </w:tblGrid>
      <w:tr>
        <w:tblPrEx>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25"/>
          <w:tblHeader/>
          <w:jc w:val="center"/>
        </w:trPr>
        <w:tc>
          <w:tcPr>
            <w:tcW w:w="1180"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系统名称</w:t>
            </w:r>
          </w:p>
        </w:tc>
        <w:tc>
          <w:tcPr>
            <w:tcW w:w="2496"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w:t>
            </w:r>
          </w:p>
        </w:tc>
        <w:tc>
          <w:tcPr>
            <w:tcW w:w="5303"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355nm，532nm，1064nm</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highlight w:val="yellow"/>
                <w:lang w:eastAsia="en-US"/>
              </w:rPr>
              <w:t>#激光能量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1mJ@1064nm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0.5mJ@532nm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0.3mJ@355nm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脉冲宽度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50ns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发射激光脉冲线宽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0.2 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发射激光的偏振比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100:1</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激光发散角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采用透射式或反射式望远镜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300~2000nm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望远镜口径</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≥Φ</w:t>
            </w:r>
            <w:r>
              <w:rPr>
                <w:rFonts w:ascii="仿宋" w:eastAsia="仿宋" w:hAnsi="仿宋" w:cs="仿宋" w:hint="eastAsia"/>
                <w:bCs/>
                <w:color w:val="auto"/>
                <w:kern w:val="0"/>
                <w:sz w:val="24"/>
                <w:szCs w:val="24"/>
                <w:lang w:eastAsia="en-US"/>
              </w:rPr>
              <w:t>250mm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接收视场角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接收通道</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355nm垂直，355nm平行，532nm垂直，532nm平行，1064nm，386nm氮分子拉曼，407nm水汽分子拉曼，607nm氮分子拉曼</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光电转换和数据采集系统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APD/ PMT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光电探测器模式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模拟或光子计数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数据采集器采样频率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 MHz</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采样位数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模拟通道：</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12bit（有效位）</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光子计数通道：200 M c/s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干涉滤光片带宽抑制</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OD4</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滤光片带宽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#不同波长之间的串扰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#偏振平行到偏振垂直的串扰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 </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#米散射到拉曼散射通道的串扰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0.01% </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性能指标</w:t>
            </w: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#有效探测范围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晴空干洁大气下，夜间</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10km，白天</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5km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连续工作时间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可24小时连续工作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bookmarkStart w:id="61" w:name="OLE_LINK4"/>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空间分辨率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7.5m及其倍数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时间分辨率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1-30min可调</w:t>
            </w:r>
          </w:p>
        </w:tc>
      </w:tr>
      <w:bookmarkEnd w:id="61"/>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数据产品种类</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气溶胶消光系数、气溶胶后向散射系数、气溶胶粒子退偏振比、云信息、光学厚度、污染物混合层高度、能见度、颗粒物浓度廓线</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不大于其空间分辨率</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km：不大于25%，2-5 km：不大于30%</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km：不大于30%， 2-5 km：不大于40%；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数据格式</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按照中国气象局统一要求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标校项目</w:t>
            </w:r>
          </w:p>
          <w:p>
            <w:pPr>
              <w:pStyle w:val="a2"/>
              <w:spacing w:line="240" w:lineRule="auto"/>
              <w:jc w:val="both"/>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系统线性度</w:t>
            </w:r>
          </w:p>
        </w:tc>
        <w:tc>
          <w:tcPr>
            <w:tcW w:w="5303" w:type="dxa"/>
            <w:vAlign w:val="bottom"/>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95%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接收横截面四象限均匀性</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2 km~5km：至少有三个象限的平均相对偏差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偏振通道增益比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偏振系统光轴一致性：相对偏差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ign w:val="center"/>
          </w:tcPr>
          <w:p>
            <w:pPr>
              <w:pStyle w:val="a2"/>
              <w:spacing w:line="240" w:lineRule="auto"/>
              <w:rPr>
                <w:rFonts w:ascii="仿宋" w:eastAsia="仿宋" w:hAnsi="仿宋" w:cs="仿宋" w:hint="eastAsia"/>
                <w:bCs/>
                <w:color w:val="auto"/>
                <w:kern w:val="0"/>
                <w:sz w:val="24"/>
                <w:szCs w:val="24"/>
              </w:rPr>
            </w:pP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增益比稳定性：相对偏差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大气瑞利信号拟合一致性</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重叠因子（与标准雷达比）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0.2 km~0.5km：平均相对偏差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距离平方校正信号</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 xml:space="preserve">2 km~5km：平均相对偏差 </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2 km~5km：平均标准偏差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1273"/>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自动标定系统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标定内容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校准光信号的动态范围大于10</w:t>
            </w:r>
            <w:r>
              <w:rPr>
                <w:rFonts w:ascii="仿宋" w:eastAsia="仿宋" w:hAnsi="仿宋" w:cs="仿宋" w:hint="eastAsia"/>
                <w:bCs/>
                <w:color w:val="auto"/>
                <w:kern w:val="0"/>
                <w:sz w:val="24"/>
                <w:szCs w:val="24"/>
                <w:vertAlign w:val="superscript"/>
              </w:rPr>
              <w:t>4</w:t>
            </w:r>
            <w:r>
              <w:rPr>
                <w:rFonts w:ascii="仿宋" w:eastAsia="仿宋" w:hAnsi="仿宋" w:cs="仿宋" w:hint="eastAsia"/>
                <w:bCs/>
                <w:color w:val="auto"/>
                <w:kern w:val="0"/>
                <w:sz w:val="24"/>
                <w:szCs w:val="24"/>
              </w:rPr>
              <w:t>，能够对激光雷达的动态范围、信噪比、偏振通道的串扰、偏振增益比等进行校正，同时能够模拟晴空、有云和沙尘等多种天气条件下的大气回波信号。</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数据质控和反演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可以实现对激光雷达数据进行预处理、异常数据剔除、数据分级、实时反演，可实现原始数据质量控制、反演结果质量控制等工作。</w:t>
            </w:r>
          </w:p>
        </w:tc>
      </w:tr>
      <w:tr>
        <w:tblPrEx>
          <w:tblW w:w="4954" w:type="pct"/>
          <w:jc w:val="center"/>
          <w:tblCellMar>
            <w:top w:w="0" w:type="dxa"/>
            <w:left w:w="108" w:type="dxa"/>
            <w:bottom w:w="0" w:type="dxa"/>
            <w:right w:w="108" w:type="dxa"/>
          </w:tblCellMar>
          <w:tblLook w:val="0000"/>
        </w:tblPrEx>
        <w:trPr>
          <w:trHeight w:val="989"/>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标准输出控制单元</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bookmarkStart w:id="62" w:name="OLE_LINK3"/>
            <w:r>
              <w:rPr>
                <w:rFonts w:ascii="仿宋" w:eastAsia="仿宋" w:hAnsi="仿宋" w:cs="仿宋" w:hint="eastAsia"/>
                <w:bCs/>
                <w:color w:val="auto"/>
                <w:kern w:val="0"/>
                <w:sz w:val="24"/>
                <w:szCs w:val="24"/>
                <w:highlight w:val="yellow"/>
                <w:lang w:eastAsia="en-US"/>
              </w:rPr>
              <w:t>#</w:t>
            </w:r>
            <w:bookmarkEnd w:id="62"/>
            <w:r>
              <w:rPr>
                <w:rFonts w:ascii="仿宋" w:eastAsia="仿宋" w:hAnsi="仿宋" w:cs="仿宋" w:hint="eastAsia"/>
                <w:bCs/>
                <w:color w:val="auto"/>
                <w:kern w:val="0"/>
                <w:sz w:val="24"/>
                <w:szCs w:val="24"/>
                <w:highlight w:val="yellow"/>
                <w:lang w:eastAsia="en-US"/>
              </w:rPr>
              <w:t>监控和控制内容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具备雷达及附属设备监测、维护维修痕迹管理、远程控制、雷达性能在线分析及产品前期质控等功能。</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设备</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电磁兼容性要求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产品通过电快速瞬变脉冲群抗扰度测试、浪涌抗扰度测试、静电放电抗扰度测试、电压暂降和短时中断抗扰度测试，满足产品电磁兼容性要求。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平均无故障运行时间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1000h</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工作温度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舱外装置：-40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，舱内装置：+10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~30</w:t>
            </w:r>
            <w:r>
              <w:rPr>
                <w:rFonts w:ascii="仿宋" w:eastAsia="仿宋" w:hAnsi="仿宋" w:cs="仿宋" w:hint="eastAsia"/>
                <w:bCs/>
                <w:color w:val="auto"/>
                <w:kern w:val="0"/>
                <w:sz w:val="24"/>
                <w:szCs w:val="24"/>
              </w:rPr>
              <w: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电源要求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单相，AC220 V</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15%，50 Hz</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w:t>
            </w:r>
          </w:p>
        </w:tc>
      </w:tr>
      <w:tr>
        <w:tblPrEx>
          <w:tblW w:w="4954" w:type="pct"/>
          <w:jc w:val="center"/>
          <w:tblCellMar>
            <w:top w:w="0" w:type="dxa"/>
            <w:left w:w="108" w:type="dxa"/>
            <w:bottom w:w="0" w:type="dxa"/>
            <w:right w:w="108" w:type="dxa"/>
          </w:tblCellMar>
          <w:tblLook w:val="0000"/>
        </w:tblPrEx>
        <w:trPr>
          <w:trHeight w:val="337"/>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激光器寿命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3000 H</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3.3气溶胶激光观测仪（三波长）内置软件包要求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3.3.1气溶胶激光观测仪（三波长）采集控制软件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（1）采集控制：能够采集355nm，532nm，1064nm等多路信号，可选择将不同通道的信号全部显示或单独显示，能够对信号曲线进行缩放。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（2）参数设置：能够对站点信息、数据存储路径、采集时间间隔、每组采集脉冲数进行设置。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（3）状态显示：界面上可实时显示激光器、采集卡模块工作状态；可显示采集日志和系统错误提示信息。</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（4）软件自恢复：软件具有自动恢复监测功能，能够在设备故障重启后使用上一次有效监测模式进行监测。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3.3.2气溶胶激光观测仪（三波长）数据分析软件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（1）数据展示：实时展示雷达当前24小时采集的数据结果。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（2）数据产品：气溶胶消光系数、气溶胶后向散射系数、气溶胶粒子退偏振比、云信息、光学厚度、污染物混合层高度、能见度、颗粒物浓度等。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（3）数据导入：可将历史数据进行导入加载，反演展示。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（4）参数设置：可实现对数据路径、位置信息、算法参数等参数的配置。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3.4、配置要求</w:t>
      </w:r>
    </w:p>
    <w:tbl>
      <w:tblPr>
        <w:tblStyle w:val="TableNormal"/>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6565"/>
      </w:tblGrid>
      <w:tr>
        <w:tblPrEx>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编号</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项目</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1</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气溶胶激光观测仪（三波长）主机</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气溶胶激光观测仪（三波长）内置软件包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观测天窗及其附属件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4</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备用电源（UPS）及其附属件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5</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工具包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6</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包装箱</w:t>
            </w:r>
          </w:p>
        </w:tc>
      </w:tr>
    </w:tbl>
    <w:p>
      <w:pPr>
        <w:ind w:firstLine="560" w:firstLineChars="200"/>
        <w:rPr>
          <w:rFonts w:ascii="仿宋" w:eastAsia="仿宋" w:hAnsi="仿宋" w:cs="仿宋"/>
          <w:sz w:val="28"/>
          <w:szCs w:val="20"/>
        </w:rPr>
      </w:pPr>
      <w:r>
        <w:rPr>
          <w:rFonts w:ascii="仿宋" w:eastAsia="仿宋" w:hAnsi="仿宋" w:cs="仿宋" w:hint="eastAsia"/>
          <w:sz w:val="28"/>
          <w:szCs w:val="28"/>
        </w:rPr>
        <w:t>四、</w:t>
      </w: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（1）正式交付运行，并通过合同验收次日起质保期为8年。</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正式交付运行，并通过合同验收次日起质保期为8年。维保包括设备维护维修、相关附属软件及附属设备维护维修，保证每年至少1次的现场巡检和4次远程维护检查，设备发生故障时在业务规定时间内完成维修、维护保障或更换组件，投标人应提供7（天）</w:t>
      </w:r>
      <w:r>
        <w:rPr>
          <w:rFonts w:ascii="仿宋" w:eastAsia="仿宋" w:hAnsi="仿宋" w:cs="仿宋" w:hint="eastAsia"/>
          <w:sz w:val="28"/>
          <w:szCs w:val="20"/>
        </w:rPr>
        <w:t>×</w:t>
      </w:r>
      <w:r>
        <w:rPr>
          <w:rFonts w:ascii="仿宋" w:eastAsia="仿宋" w:hAnsi="仿宋" w:cs="仿宋" w:hint="eastAsia"/>
          <w:sz w:val="28"/>
          <w:szCs w:val="20"/>
        </w:rPr>
        <w:t>24（小时）技术支持热线电话。</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参照《拉曼和米散射气溶胶激光雷达功能需求书》《拉曼和米散射气溶胶激光雷达测试大纲》和《地基遥感垂直观测系统测试大纲》以及中国气象局最新业务管理规定等有关文件要求开展检验考核。</w:t>
      </w:r>
    </w:p>
    <w:p>
      <w:pPr>
        <w:spacing w:line="560" w:lineRule="exact"/>
        <w:ind w:left="365" w:leftChars="174"/>
        <w:rPr>
          <w:rFonts w:ascii="仿宋" w:eastAsia="仿宋" w:hAnsi="仿宋" w:cs="仿宋" w:hint="eastAsia"/>
          <w:sz w:val="28"/>
          <w:szCs w:val="28"/>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bookmarkStart w:id="63" w:name="_Hlk168594784"/>
    </w:p>
    <w:p>
      <w:pPr>
        <w:spacing w:line="560" w:lineRule="exact"/>
        <w:ind w:firstLine="560" w:firstLineChars="200"/>
        <w:rPr>
          <w:rFonts w:ascii="仿宋" w:eastAsia="仿宋" w:hAnsi="仿宋" w:cs="仿宋" w:hint="eastAsia"/>
          <w:sz w:val="28"/>
          <w:szCs w:val="20"/>
        </w:rPr>
      </w:pPr>
      <w:bookmarkEnd w:id="63"/>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84"/>
        <w:gridCol w:w="2642"/>
        <w:gridCol w:w="958"/>
        <w:gridCol w:w="1332"/>
        <w:gridCol w:w="1519"/>
        <w:gridCol w:w="958"/>
        <w:gridCol w:w="56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气溶胶激光观测仪（三波长）</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4,800,000.00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4"/>
        <w:gridCol w:w="1801"/>
        <w:gridCol w:w="2098"/>
        <w:gridCol w:w="464"/>
        <w:gridCol w:w="1058"/>
        <w:gridCol w:w="882"/>
        <w:gridCol w:w="761"/>
        <w:gridCol w:w="9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青岛市气象综合保障中心</w:t>
            </w:r>
          </w:p>
        </w:tc>
        <w:tc>
          <w:tcPr/>
          <w:p>
            <w:r>
              <w:t>气溶胶激光观测仪（三波长）</w:t>
            </w:r>
          </w:p>
        </w:tc>
        <w:tc>
          <w:tcPr/>
          <w:p>
            <w:r>
              <w:t>1</w:t>
            </w:r>
          </w:p>
        </w:tc>
        <w:tc>
          <w:tcPr/>
          <w:p>
            <w:r>
              <w:t>4800000.00</w:t>
            </w:r>
          </w:p>
        </w:tc>
        <w:tc>
          <w:tcPr/>
          <w:p>
            <w:r>
              <w:t xml:space="preserve">4800000.00  </w:t>
            </w:r>
          </w:p>
        </w:tc>
        <w:tc>
          <w:tcPr/>
          <w:p>
            <w:r>
              <w:t>青岛</w:t>
            </w:r>
          </w:p>
        </w:tc>
        <w:tc>
          <w:tcPr/>
          <w:p>
            <w:r>
              <w:t>18661810363</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36"/>
          <w:szCs w:val="36"/>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rPr>
          <w:rFonts w:ascii="仿宋" w:eastAsia="仿宋" w:hAnsi="仿宋" w:cs="仿宋"/>
          <w:b/>
          <w:sz w:val="28"/>
          <w:szCs w:val="20"/>
          <w:highlight w:val="red"/>
        </w:rPr>
      </w:pP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依据</w:t>
      </w:r>
      <w:r>
        <w:rPr>
          <w:rFonts w:ascii="仿宋" w:eastAsia="仿宋" w:hAnsi="仿宋" w:cs="仿宋" w:hint="eastAsia"/>
          <w:sz w:val="28"/>
          <w:szCs w:val="20"/>
          <w:lang w:val="en-US" w:eastAsia="zh-CN"/>
        </w:rPr>
        <w:t>中国气象局《综合气象观测业务发展“十四五”规划》</w:t>
      </w:r>
      <w:r>
        <w:rPr>
          <w:rFonts w:ascii="仿宋" w:eastAsia="仿宋" w:hAnsi="仿宋" w:cs="仿宋" w:hint="eastAsia"/>
          <w:sz w:val="28"/>
          <w:szCs w:val="20"/>
        </w:rPr>
        <w:t>，对标“监测精密”要求，需优化监测站网布局，弥补监测盲区，需在</w:t>
      </w:r>
      <w:r>
        <w:rPr>
          <w:rFonts w:ascii="仿宋" w:eastAsia="仿宋" w:hAnsi="仿宋" w:cs="仿宋" w:hint="eastAsia"/>
          <w:sz w:val="28"/>
          <w:szCs w:val="20"/>
          <w:lang w:val="en-US" w:eastAsia="zh-CN"/>
        </w:rPr>
        <w:t>青岛</w:t>
      </w:r>
      <w:r>
        <w:rPr>
          <w:rFonts w:ascii="仿宋" w:eastAsia="仿宋" w:hAnsi="仿宋" w:cs="仿宋" w:hint="eastAsia"/>
          <w:sz w:val="28"/>
          <w:szCs w:val="20"/>
        </w:rPr>
        <w:t>新建</w:t>
      </w:r>
      <w:r>
        <w:rPr>
          <w:rFonts w:ascii="仿宋" w:eastAsia="仿宋" w:hAnsi="仿宋" w:cs="仿宋" w:hint="eastAsia"/>
          <w:sz w:val="28"/>
          <w:szCs w:val="20"/>
          <w:lang w:val="en-US" w:eastAsia="zh-CN"/>
        </w:rPr>
        <w:t>1</w:t>
      </w:r>
      <w:r>
        <w:rPr>
          <w:rFonts w:ascii="仿宋" w:eastAsia="仿宋" w:hAnsi="仿宋" w:cs="仿宋" w:hint="eastAsia"/>
          <w:sz w:val="28"/>
          <w:szCs w:val="20"/>
        </w:rPr>
        <w:t>部气溶胶激光观测仪（三波长），获取对流层大气层结气溶胶浓度等参数，通过地基遥感垂直观测资料同化预处理和多源观测资料融合，为地基遥感垂直观测资料的数值模式同化应用提供重要支撑，进一步为强对流灾害性天气监测预报预警提供基础支撑，在一定程度上消除观测盲区，突发性、灾害性天气监测能力进一步增强。</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6</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10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甲方指定</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80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w:t>
      </w:r>
      <w:r>
        <w:rPr>
          <w:rFonts w:ascii="仿宋" w:eastAsia="仿宋" w:hAnsi="仿宋" w:cs="仿宋" w:hint="eastAsia"/>
          <w:sz w:val="28"/>
          <w:szCs w:val="20"/>
          <w:lang w:val="en-US" w:eastAsia="zh-CN"/>
        </w:rPr>
        <w:t>国家局和省局的气象通讯</w:t>
      </w:r>
      <w:r>
        <w:rPr>
          <w:rFonts w:ascii="仿宋" w:eastAsia="仿宋" w:hAnsi="仿宋" w:cs="仿宋" w:hint="eastAsia"/>
          <w:sz w:val="28"/>
          <w:szCs w:val="20"/>
        </w:rPr>
        <w:t>协议，可无缝接入</w:t>
      </w:r>
      <w:r>
        <w:rPr>
          <w:rFonts w:ascii="仿宋" w:eastAsia="仿宋" w:hAnsi="仿宋" w:cs="仿宋" w:hint="eastAsia"/>
          <w:sz w:val="28"/>
          <w:szCs w:val="20"/>
          <w:lang w:val="en-US" w:eastAsia="zh-CN"/>
        </w:rPr>
        <w:t>业务</w:t>
      </w:r>
      <w:r>
        <w:rPr>
          <w:rFonts w:ascii="仿宋" w:eastAsia="仿宋" w:hAnsi="仿宋" w:cs="仿宋" w:hint="eastAsia"/>
          <w:sz w:val="28"/>
          <w:szCs w:val="20"/>
        </w:rPr>
        <w:t>网络系统，实现与</w:t>
      </w:r>
      <w:r>
        <w:rPr>
          <w:rFonts w:ascii="仿宋" w:eastAsia="仿宋" w:hAnsi="仿宋" w:cs="仿宋" w:hint="eastAsia"/>
          <w:sz w:val="28"/>
          <w:szCs w:val="20"/>
          <w:lang w:val="en-US" w:eastAsia="zh-CN"/>
        </w:rPr>
        <w:t>国家局和省局</w:t>
      </w:r>
      <w:r>
        <w:rPr>
          <w:rFonts w:ascii="仿宋" w:eastAsia="仿宋" w:hAnsi="仿宋" w:cs="仿宋" w:hint="eastAsia"/>
          <w:sz w:val="28"/>
          <w:szCs w:val="20"/>
        </w:rPr>
        <w:t>网络系统、</w:t>
      </w:r>
      <w:r>
        <w:rPr>
          <w:rFonts w:ascii="仿宋" w:eastAsia="仿宋" w:hAnsi="仿宋" w:cs="仿宋" w:hint="eastAsia"/>
          <w:sz w:val="28"/>
          <w:szCs w:val="20"/>
          <w:lang w:val="en-US" w:eastAsia="zh-CN"/>
        </w:rPr>
        <w:t>国家局天衡天衍</w:t>
      </w:r>
      <w:r>
        <w:rPr>
          <w:rFonts w:ascii="仿宋" w:eastAsia="仿宋" w:hAnsi="仿宋" w:cs="仿宋" w:hint="eastAsia"/>
          <w:sz w:val="28"/>
          <w:szCs w:val="20"/>
        </w:rPr>
        <w:t>平台无缝接入，完全符合甲方相关要求和规范，保证其系统的兼容性和功能的完整性。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061A07">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061A0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1407"/>
        <w:gridCol w:w="6838"/>
      </w:tblGrid>
      <w:tr w:rsidTr="00C849F1">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61A07">
            <w:pPr>
              <w:rPr>
                <w:sz w:val="18"/>
                <w:szCs w:val="18"/>
              </w:rPr>
            </w:pPr>
            <w:r>
              <w:rPr>
                <w:rFonts w:hint="eastAsia"/>
                <w:sz w:val="18"/>
                <w:szCs w:val="18"/>
              </w:rPr>
              <w:t>序号</w:t>
            </w:r>
          </w:p>
        </w:tc>
        <w:tc>
          <w:tcPr>
            <w:tcW w:w="1407" w:type="dxa"/>
            <w:vAlign w:val="center"/>
          </w:tcPr>
          <w:p w:rsidR="00061A07">
            <w:pPr>
              <w:jc w:val="center"/>
              <w:rPr>
                <w:sz w:val="18"/>
                <w:szCs w:val="18"/>
              </w:rPr>
            </w:pPr>
            <w:r>
              <w:rPr>
                <w:rFonts w:hint="eastAsia"/>
                <w:sz w:val="18"/>
                <w:szCs w:val="18"/>
              </w:rPr>
              <w:t>对应</w:t>
            </w:r>
          </w:p>
          <w:p w:rsidR="00061A07">
            <w:pPr>
              <w:jc w:val="center"/>
              <w:rPr>
                <w:sz w:val="18"/>
                <w:szCs w:val="18"/>
              </w:rPr>
            </w:pPr>
            <w:r>
              <w:rPr>
                <w:rFonts w:hint="eastAsia"/>
                <w:sz w:val="18"/>
                <w:szCs w:val="18"/>
              </w:rPr>
              <w:t>条款号</w:t>
            </w:r>
          </w:p>
        </w:tc>
        <w:tc>
          <w:tcPr>
            <w:tcW w:w="6838" w:type="dxa"/>
            <w:vAlign w:val="center"/>
          </w:tcPr>
          <w:p w:rsidR="00061A0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C849F1">
        <w:tblPrEx>
          <w:tblW w:w="8789" w:type="dxa"/>
          <w:tblLayout w:type="fixed"/>
          <w:tblLook w:val="04A0"/>
        </w:tblPrEx>
        <w:trPr>
          <w:cantSplit/>
        </w:trPr>
        <w:tc>
          <w:tcPr>
            <w:tcW w:w="8789" w:type="dxa"/>
            <w:gridSpan w:val="3"/>
            <w:vAlign w:val="center"/>
          </w:tcPr>
          <w:p w:rsidR="00061A0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C849F1">
        <w:tblPrEx>
          <w:tblW w:w="8789" w:type="dxa"/>
          <w:tblLayout w:type="fixed"/>
          <w:tblLook w:val="04A0"/>
        </w:tblPrEx>
        <w:trPr>
          <w:cantSplit/>
        </w:trPr>
        <w:tc>
          <w:tcPr>
            <w:tcW w:w="544" w:type="dxa"/>
            <w:vAlign w:val="center"/>
          </w:tcPr>
          <w:p w:rsidR="00061A07">
            <w:pPr>
              <w:numPr>
                <w:ilvl w:val="0"/>
                <w:numId w:val="13"/>
              </w:numPr>
              <w:rPr>
                <w:rFonts w:ascii="宋体" w:hAnsi="宋体"/>
                <w:sz w:val="18"/>
                <w:szCs w:val="18"/>
              </w:rPr>
            </w:pPr>
          </w:p>
        </w:tc>
        <w:tc>
          <w:tcPr>
            <w:tcW w:w="1407" w:type="dxa"/>
            <w:vAlign w:val="center"/>
          </w:tcPr>
          <w:p w:rsidR="00061A07">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6838" w:type="dxa"/>
          </w:tcPr>
          <w:p w:rsidR="00061A07">
            <w:pPr>
              <w:tabs>
                <w:tab w:val="left" w:pos="709"/>
              </w:tabs>
              <w:spacing w:line="360" w:lineRule="auto"/>
              <w:jc w:val="left"/>
              <w:rPr>
                <w:rFonts w:ascii="宋体" w:hAnsi="宋体" w:cs="微软雅黑"/>
                <w:b/>
                <w:color w:val="0000FF"/>
                <w:kern w:val="0"/>
                <w:sz w:val="18"/>
                <w:szCs w:val="18"/>
              </w:rPr>
            </w:pPr>
            <w:r w:rsidRPr="00C849F1">
              <w:rPr>
                <w:rFonts w:ascii="宋体" w:hAnsi="宋体" w:cs="微软雅黑" w:hint="eastAsia"/>
                <w:b/>
                <w:color w:val="0000FF"/>
                <w:kern w:val="0"/>
                <w:sz w:val="18"/>
                <w:szCs w:val="18"/>
              </w:rPr>
              <w:t>投标人应具有以下有效期超过投标截止日的资质：</w:t>
            </w:r>
            <w:r w:rsidRPr="00C43489" w:rsidR="00C43489">
              <w:rPr>
                <w:rFonts w:ascii="宋体" w:hAnsi="宋体" w:cs="微软雅黑" w:hint="eastAsia"/>
                <w:b/>
                <w:color w:val="0000FF"/>
                <w:kern w:val="0"/>
                <w:sz w:val="18"/>
                <w:szCs w:val="18"/>
              </w:rPr>
              <w:t>拉曼和米散射气溶胶激光雷达气象专用技术装备使用许可证</w:t>
            </w:r>
          </w:p>
        </w:tc>
      </w:tr>
      <w:tr w:rsidTr="00C849F1">
        <w:tblPrEx>
          <w:tblW w:w="8789" w:type="dxa"/>
          <w:tblLayout w:type="fixed"/>
          <w:tblLook w:val="04A0"/>
        </w:tblPrEx>
        <w:trPr>
          <w:cantSplit/>
        </w:trPr>
        <w:tc>
          <w:tcPr>
            <w:tcW w:w="8789" w:type="dxa"/>
            <w:gridSpan w:val="3"/>
            <w:vAlign w:val="center"/>
          </w:tcPr>
          <w:p w:rsidR="00061A0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C849F1">
        <w:tblPrEx>
          <w:tblW w:w="8789" w:type="dxa"/>
          <w:tblLayout w:type="fixed"/>
          <w:tblLook w:val="04A0"/>
        </w:tblPrEx>
        <w:trPr>
          <w:cantSplit/>
        </w:trPr>
        <w:tc>
          <w:tcPr>
            <w:tcW w:w="544" w:type="dxa"/>
            <w:vAlign w:val="center"/>
          </w:tcPr>
          <w:p w:rsidR="00061A07">
            <w:pPr>
              <w:numPr>
                <w:ilvl w:val="0"/>
                <w:numId w:val="13"/>
              </w:numPr>
              <w:rPr>
                <w:rFonts w:ascii="宋体" w:hAnsi="宋体"/>
                <w:sz w:val="18"/>
                <w:szCs w:val="18"/>
              </w:rPr>
            </w:pPr>
          </w:p>
        </w:tc>
        <w:tc>
          <w:tcPr>
            <w:tcW w:w="1407" w:type="dxa"/>
            <w:vAlign w:val="center"/>
          </w:tcPr>
          <w:p w:rsidR="00061A07" w:rsidP="00C849F1">
            <w:pPr>
              <w:jc w:val="center"/>
              <w:rPr>
                <w:rFonts w:ascii="宋体" w:hAnsi="宋体"/>
                <w:sz w:val="18"/>
                <w:szCs w:val="18"/>
              </w:rPr>
            </w:pPr>
            <w:r>
              <w:rPr>
                <w:rFonts w:ascii="宋体" w:hAnsi="宋体" w:hint="eastAsia"/>
                <w:sz w:val="18"/>
                <w:szCs w:val="18"/>
              </w:rPr>
              <w:t>四</w:t>
            </w:r>
            <w:r>
              <w:rPr>
                <w:rFonts w:ascii="宋体" w:hAnsi="宋体"/>
                <w:sz w:val="18"/>
                <w:szCs w:val="18"/>
              </w:rPr>
              <w:t>4.3</w:t>
            </w:r>
            <w:r>
              <w:rPr>
                <w:rFonts w:ascii="宋体" w:hAnsi="宋体" w:hint="eastAsia"/>
                <w:sz w:val="18"/>
                <w:szCs w:val="18"/>
              </w:rPr>
              <w:t>（1）</w:t>
            </w:r>
          </w:p>
        </w:tc>
        <w:tc>
          <w:tcPr>
            <w:tcW w:w="6838" w:type="dxa"/>
            <w:vAlign w:val="center"/>
          </w:tcPr>
          <w:p w:rsidR="00061A07">
            <w:pPr>
              <w:tabs>
                <w:tab w:val="left" w:pos="709"/>
              </w:tabs>
              <w:spacing w:line="360" w:lineRule="auto"/>
              <w:jc w:val="left"/>
              <w:rPr>
                <w:rFonts w:ascii="宋体" w:hAnsi="宋体"/>
                <w:sz w:val="18"/>
                <w:szCs w:val="18"/>
              </w:rPr>
            </w:pPr>
            <w:r w:rsidRPr="00C849F1">
              <w:rPr>
                <w:rFonts w:ascii="宋体" w:hAnsi="宋体" w:cs="微软雅黑" w:hint="eastAsia"/>
                <w:b/>
                <w:color w:val="0000FF"/>
                <w:kern w:val="0"/>
                <w:sz w:val="18"/>
                <w:szCs w:val="18"/>
              </w:rPr>
              <w:t>设备供应商对所有设备提供自验收合格后8年的免费维护维修服务*，并提供相关承诺函</w:t>
            </w:r>
          </w:p>
        </w:tc>
      </w:tr>
    </w:tbl>
    <w:p w:rsidR="00061A07">
      <w:pPr>
        <w:spacing w:before="156" w:beforeLines="50" w:line="360" w:lineRule="auto"/>
        <w:ind w:firstLine="420"/>
      </w:pPr>
      <w:r>
        <w:rPr>
          <w:rFonts w:ascii="宋体" w:hAnsi="宋体" w:hint="eastAsia"/>
          <w:szCs w:val="21"/>
        </w:rPr>
        <w:t>注：根据项目具体情况，对投标人有具体要求，且</w:t>
      </w:r>
      <w:r>
        <w:rPr>
          <w:rFonts w:ascii="宋体" w:hAnsi="宋体" w:hint="eastAsia"/>
          <w:szCs w:val="21"/>
        </w:rPr>
        <w:t>投标人必须遵守的，逐条列出。</w:t>
      </w:r>
    </w:p>
    <w:p w:rsidR="00A77B3E"/>
    <w:p w:rsidR="00061A07">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3"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3"/>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1A07"/>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489"/>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49F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Normal"/>
    <w:qFormat/>
    <w:pPr>
      <w:spacing w:line="440" w:lineRule="exact"/>
      <w:jc w:val="center"/>
    </w:pPr>
    <w:rPr>
      <w:rFonts w:eastAsia="方正仿宋"/>
      <w:color w:val="000000"/>
      <w:sz w:val="18"/>
      <w:szCs w:val="18"/>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