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云南省微小型X波段天气雷达建设项目（施甸、漾濞、河口）设备采购项目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ZQCD-25506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云南省施甸县气象局；云南省河口瑶族目治县气象局；云南省漾濞彝族自治县气象局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云南省微小型X波段天气雷达建设项目（施甸、漾濞、河口）设备采购项目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ZQCD-25506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云南河口县、云南漾濞县，云南施甸县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2025年12月31日 00:00:00</w:t>
      </w:r>
      <w:bookmarkEnd w:id="26"/>
      <w:r>
        <w:rPr>
          <w:rFonts w:ascii="宋体" w:hint="eastAsia"/>
          <w:szCs w:val="21"/>
          <w:highlight w:val="none"/>
        </w:rPr>
        <w:t>至</w:t>
      </w:r>
      <w:bookmarkStart w:id="27" w:name="项目公告_signUpLastTime"/>
      <w:r>
        <w:rPr>
          <w:rFonts w:ascii="宋体" w:hint="eastAsia"/>
          <w:szCs w:val="21"/>
          <w:highlight w:val="none"/>
        </w:rPr>
        <w:t>2026年01月08日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云南省施甸县气象局；云南省河口瑶族目治县气象局；云南省漾濞彝族自治县气象局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解莉燕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0871-64114397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云南省施甸县气象局；云南省河口瑶族目治县气象局；云南省漾濞彝族自治县气象局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设有，核心产品为微小型 X 波段多普勒天气雷达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（1）标的：微小型 X 波段多普勒天气雷达，属于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264.000000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264.000000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销售合同必须包括微小型 X 波段多普勒天气雷达或者X波段双线偏振多普勒天气雷达，每提供1份合同得1分，最多得5分。否则不得分。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针对本项目采购的微小型 X 波段多普勒天气雷达，</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针对微小型 X 波段多普勒天气雷达或者X波段双线偏振多普勒天气雷达设备，每提供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2、除项目经理外至少8人具有2年及以上相关工作经验的，得2分；为本项目派出的技术人员至少8人具有1年及以上相关工作经验的，得1分；其他不得分。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针对微小型 X 波段多普勒天气雷达设备，测试报告应涵盖高温测试、低温测试、电磁环境测试等内容，每包含一项得1分，最多得3分。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240" w:lineRule="auto"/>
        <w:ind w:firstLine="560" w:firstLineChars="200"/>
        <w:outlineLvl w:val="2"/>
        <w:rPr>
          <w:rFonts w:ascii="仿宋_GB2312" w:eastAsia="仿宋_GB2312" w:hAnsi="仿宋_GB2312" w:cs="仿宋_GB2312" w:hint="eastAsia"/>
          <w:bCs/>
          <w:sz w:val="28"/>
          <w:szCs w:val="28"/>
        </w:rPr>
      </w:pPr>
      <w:r>
        <w:rPr>
          <w:rFonts w:ascii="仿宋" w:eastAsia="仿宋" w:hAnsi="仿宋" w:cs="仿宋" w:hint="eastAsia"/>
          <w:sz w:val="28"/>
          <w:szCs w:val="20"/>
        </w:rPr>
        <w:t>一</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项目概况及总体要求（详见采购需求-其他技术及商务需求）</w:t>
      </w:r>
    </w:p>
    <w:p>
      <w:pPr>
        <w:spacing w:line="240" w:lineRule="auto"/>
        <w:ind w:firstLine="560" w:firstLineChars="200"/>
        <w:outlineLvl w:val="2"/>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rPr>
        <w:t>设备需求一览表（详见采购需求附表）</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三</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技术性能指标</w:t>
      </w:r>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按照《微小型X波段双线偏振多普勒天气雷达系统功能规格需求书（试行）》（气测函〔2025〕65号）研制生产雷达。</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（一）分系统设计</w:t>
      </w:r>
    </w:p>
    <w:p>
      <w:pPr>
        <w:ind w:firstLine="560" w:firstLineChars="200"/>
        <w:outlineLvl w:val="4"/>
        <w:rPr>
          <w:rFonts w:ascii="仿宋_GB2312" w:eastAsia="仿宋_GB2312" w:hAnsi="仿宋_GB2312" w:cs="仿宋_GB2312" w:hint="eastAsia"/>
          <w:bCs/>
          <w:sz w:val="28"/>
          <w:szCs w:val="28"/>
        </w:rPr>
      </w:pPr>
      <w:bookmarkStart w:id="61" w:name="_Toc1647384446"/>
      <w:bookmarkStart w:id="62" w:name="_Toc374091441"/>
      <w:bookmarkStart w:id="63" w:name="_Toc13355"/>
      <w:r>
        <w:rPr>
          <w:rFonts w:ascii="仿宋_GB2312" w:eastAsia="仿宋_GB2312" w:hAnsi="仿宋_GB2312" w:cs="仿宋_GB2312" w:hint="eastAsia"/>
          <w:bCs/>
          <w:sz w:val="28"/>
          <w:szCs w:val="28"/>
        </w:rPr>
        <w:t>1</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1天线罩</w:t>
      </w:r>
      <w:bookmarkEnd w:id="61"/>
    </w:p>
    <w:p>
      <w:pPr>
        <w:spacing w:line="570" w:lineRule="exact"/>
        <w:ind w:firstLine="560" w:firstLineChars="200"/>
        <w:rPr>
          <w:rFonts w:ascii="仿宋" w:eastAsia="仿宋" w:hAnsi="仿宋"/>
          <w:sz w:val="28"/>
          <w:szCs w:val="28"/>
        </w:rPr>
      </w:pPr>
      <w:r>
        <w:rPr>
          <w:rFonts w:ascii="仿宋" w:eastAsia="仿宋" w:hAnsi="仿宋" w:hint="eastAsia"/>
          <w:sz w:val="28"/>
          <w:szCs w:val="28"/>
        </w:rPr>
        <w:t>天线罩主要由罩体、底座等设施组成，罩体在电气性能上具有良好的电磁波穿透特性，机械性能上能经受外部恶劣环境。</w:t>
      </w:r>
    </w:p>
    <w:p>
      <w:pPr>
        <w:spacing w:line="570" w:lineRule="exact"/>
        <w:ind w:firstLine="560" w:firstLineChars="200"/>
        <w:rPr>
          <w:rFonts w:ascii="仿宋_GB2312"/>
          <w:sz w:val="28"/>
          <w:szCs w:val="28"/>
        </w:rPr>
      </w:pPr>
      <w:r>
        <w:rPr>
          <w:rFonts w:ascii="仿宋" w:eastAsia="仿宋" w:hAnsi="仿宋" w:hint="eastAsia"/>
          <w:sz w:val="28"/>
          <w:szCs w:val="28"/>
        </w:rPr>
        <w:t>天线罩其主要作用是保护雷达系统免受风雨、冰雪、沙尘和太阳辐射等的影响，减轻天线系统的磨损、腐蚀和老化，延长使用寿命。</w:t>
      </w:r>
    </w:p>
    <w:p>
      <w:pPr>
        <w:ind w:firstLine="560" w:firstLineChars="200"/>
        <w:outlineLvl w:val="4"/>
        <w:rPr>
          <w:rFonts w:ascii="仿宋_GB2312" w:eastAsia="仿宋_GB2312" w:hAnsi="仿宋_GB2312" w:cs="仿宋_GB2312" w:hint="eastAsia"/>
          <w:bCs/>
          <w:sz w:val="28"/>
          <w:szCs w:val="28"/>
        </w:rPr>
      </w:pPr>
      <w:bookmarkStart w:id="64" w:name="_Toc97932656"/>
      <w:r>
        <w:rPr>
          <w:rFonts w:ascii="仿宋_GB2312" w:eastAsia="仿宋_GB2312" w:hAnsi="仿宋_GB2312" w:cs="仿宋_GB2312" w:hint="eastAsia"/>
          <w:bCs/>
          <w:sz w:val="28"/>
          <w:szCs w:val="28"/>
        </w:rPr>
        <w:t>1.2天线</w:t>
      </w:r>
      <w:bookmarkEnd w:id="64"/>
    </w:p>
    <w:p>
      <w:pPr>
        <w:ind w:firstLine="560" w:firstLineChars="200"/>
        <w:outlineLvl w:val="9"/>
        <w:rPr>
          <w:rFonts w:ascii="仿宋" w:eastAsia="仿宋" w:hAnsi="仿宋" w:hint="eastAsia"/>
          <w:sz w:val="28"/>
          <w:szCs w:val="28"/>
        </w:rPr>
      </w:pPr>
      <w:r>
        <w:rPr>
          <w:rFonts w:ascii="仿宋" w:eastAsia="仿宋" w:hAnsi="仿宋" w:hint="eastAsia"/>
          <w:sz w:val="28"/>
          <w:szCs w:val="28"/>
        </w:rPr>
        <w:t>天线用于</w:t>
      </w:r>
      <w:r>
        <w:rPr>
          <w:rFonts w:ascii="仿宋" w:eastAsia="仿宋" w:hAnsi="仿宋" w:cs="Times New Roman" w:hint="eastAsia"/>
          <w:sz w:val="28"/>
          <w:szCs w:val="28"/>
        </w:rPr>
        <w:t>辐射</w:t>
      </w:r>
      <w:r>
        <w:rPr>
          <w:rFonts w:ascii="仿宋" w:eastAsia="仿宋" w:hAnsi="仿宋" w:hint="eastAsia"/>
          <w:sz w:val="28"/>
          <w:szCs w:val="28"/>
        </w:rPr>
        <w:t>微波能量和接收目标后向散射微波功率。</w:t>
      </w:r>
      <w:bookmarkStart w:id="65" w:name="_Toc1460331067"/>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1.3馈线</w:t>
      </w:r>
      <w:bookmarkEnd w:id="65"/>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馈线主要用于传输发射信号和接收信号。</w:t>
      </w:r>
    </w:p>
    <w:p>
      <w:pPr>
        <w:ind w:firstLine="560" w:firstLineChars="200"/>
        <w:outlineLvl w:val="4"/>
        <w:rPr>
          <w:rFonts w:ascii="仿宋_GB2312" w:eastAsia="仿宋_GB2312" w:hAnsi="仿宋_GB2312" w:cs="仿宋_GB2312" w:hint="eastAsia"/>
          <w:bCs/>
          <w:sz w:val="28"/>
          <w:szCs w:val="28"/>
        </w:rPr>
      </w:pPr>
      <w:bookmarkStart w:id="66" w:name="_Toc190723481"/>
      <w:bookmarkStart w:id="67" w:name="_Toc24935"/>
      <w:bookmarkEnd w:id="62"/>
      <w:bookmarkEnd w:id="63"/>
      <w:r>
        <w:rPr>
          <w:rFonts w:ascii="仿宋_GB2312" w:eastAsia="仿宋_GB2312" w:hAnsi="仿宋_GB2312" w:cs="仿宋_GB2312" w:hint="eastAsia"/>
          <w:bCs/>
          <w:sz w:val="28"/>
          <w:szCs w:val="28"/>
        </w:rPr>
        <w:t>1.4伺服转台</w:t>
      </w:r>
      <w:bookmarkEnd w:id="66"/>
    </w:p>
    <w:p>
      <w:pPr>
        <w:spacing w:line="480" w:lineRule="exact"/>
        <w:ind w:firstLine="560" w:firstLineChars="200"/>
        <w:rPr>
          <w:rFonts w:ascii="仿宋" w:eastAsia="仿宋" w:hAnsi="仿宋" w:hint="eastAsia"/>
          <w:sz w:val="28"/>
          <w:szCs w:val="28"/>
        </w:rPr>
      </w:pPr>
      <w:bookmarkStart w:id="68" w:name="_Hlk523992212"/>
      <w:bookmarkStart w:id="69" w:name="_Hlk522863903"/>
      <w:r>
        <w:rPr>
          <w:rFonts w:ascii="仿宋" w:eastAsia="仿宋" w:hAnsi="仿宋" w:hint="eastAsia"/>
          <w:sz w:val="28"/>
          <w:szCs w:val="28"/>
        </w:rPr>
        <w:t>天线控制具有机械限位功能；雷达伺服系统应支持平面位置扫描、距离高度扫描、体积扫描、扇形扫描、定点扫描等多种扫描方式，各种扫描方式均由软件控制完成。</w:t>
      </w:r>
    </w:p>
    <w:p>
      <w:pPr>
        <w:ind w:firstLine="560" w:firstLineChars="200"/>
        <w:outlineLvl w:val="4"/>
        <w:rPr>
          <w:rFonts w:ascii="仿宋_GB2312" w:eastAsia="仿宋_GB2312" w:hAnsi="仿宋_GB2312" w:cs="仿宋_GB2312" w:hint="eastAsia"/>
          <w:bCs/>
          <w:sz w:val="28"/>
          <w:szCs w:val="28"/>
        </w:rPr>
      </w:pPr>
      <w:bookmarkStart w:id="70" w:name="_Toc773431488"/>
      <w:bookmarkEnd w:id="67"/>
      <w:bookmarkEnd w:id="68"/>
      <w:bookmarkEnd w:id="69"/>
      <w:r>
        <w:rPr>
          <w:rFonts w:ascii="仿宋_GB2312" w:eastAsia="仿宋_GB2312" w:hAnsi="仿宋_GB2312" w:cs="仿宋_GB2312" w:hint="eastAsia"/>
          <w:bCs/>
          <w:sz w:val="28"/>
          <w:szCs w:val="28"/>
        </w:rPr>
        <w:t>1.5发射机</w:t>
      </w:r>
      <w:bookmarkEnd w:id="70"/>
    </w:p>
    <w:p>
      <w:pPr>
        <w:ind w:firstLine="560" w:firstLineChars="200"/>
        <w:outlineLvl w:val="9"/>
        <w:rPr>
          <w:rFonts w:ascii="仿宋" w:eastAsia="仿宋" w:hAnsi="仿宋" w:hint="eastAsia"/>
          <w:sz w:val="28"/>
          <w:szCs w:val="28"/>
        </w:rPr>
      </w:pPr>
      <w:r>
        <w:rPr>
          <w:rFonts w:ascii="仿宋" w:eastAsia="仿宋" w:hAnsi="仿宋" w:hint="eastAsia"/>
          <w:sz w:val="28"/>
          <w:szCs w:val="28"/>
        </w:rPr>
        <w:t>发射机将来自接收机的激励信号通过全固态功率放大后，输出大功率微波信号，通过天馈线向空间辐射；接收雷达监控单元的控制指令，完成对发射机的各种控制，并向监控单元反馈发射机的工作状态和故障信息。</w:t>
      </w:r>
      <w:bookmarkStart w:id="71" w:name="_Toc947362128"/>
      <w:bookmarkStart w:id="72" w:name="_Hlk522864094"/>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1.6接收机</w:t>
      </w:r>
      <w:bookmarkEnd w:id="71"/>
    </w:p>
    <w:p>
      <w:pPr>
        <w:spacing w:line="480" w:lineRule="exact"/>
        <w:ind w:firstLine="560" w:firstLineChars="200"/>
        <w:rPr>
          <w:rFonts w:ascii="仿宋" w:eastAsia="仿宋" w:hAnsi="仿宋" w:hint="eastAsia"/>
          <w:sz w:val="28"/>
          <w:szCs w:val="28"/>
        </w:rPr>
      </w:pPr>
      <w:r>
        <w:rPr>
          <w:rFonts w:ascii="仿宋" w:eastAsia="仿宋" w:hAnsi="仿宋" w:hint="eastAsia"/>
          <w:sz w:val="28"/>
          <w:szCs w:val="28"/>
        </w:rPr>
        <w:t>接收机接收气象目标回波信号，经放大、频率变换、滤波，输出中频信号，供数字中频单元进行信号处理。</w:t>
      </w:r>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接收机采用高集成度设计，由接收通道、频率源（本振）等组成。</w:t>
      </w:r>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接收通道主要完成回波信号的放大、滤波和下变频，并输出中频信号至数字中频模块。</w:t>
      </w:r>
    </w:p>
    <w:p>
      <w:pPr>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频率源为雷达各分机提供各种频率信号、本振信号、激励信号、参考时钟和测试信号，并以高稳定度的晶振作为频率基准。</w:t>
      </w:r>
      <w:bookmarkStart w:id="73" w:name="_Toc28016954"/>
      <w:bookmarkEnd w:id="72"/>
    </w:p>
    <w:p>
      <w:pPr>
        <w:ind w:firstLine="560" w:firstLineChars="200"/>
        <w:outlineLvl w:val="4"/>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1.7信号处理器</w:t>
      </w:r>
      <w:bookmarkEnd w:id="73"/>
    </w:p>
    <w:p>
      <w:pPr>
        <w:spacing w:line="480" w:lineRule="exact"/>
        <w:ind w:firstLine="560" w:firstLineChars="200"/>
        <w:rPr>
          <w:rFonts w:ascii="仿宋" w:eastAsia="仿宋" w:hAnsi="仿宋" w:cs="Times New Roman" w:hint="eastAsia"/>
          <w:bCs w:val="0"/>
          <w:sz w:val="28"/>
          <w:szCs w:val="28"/>
        </w:rPr>
      </w:pPr>
      <w:r>
        <w:rPr>
          <w:rFonts w:ascii="仿宋" w:eastAsia="仿宋" w:hAnsi="仿宋" w:cs="Times New Roman" w:hint="eastAsia"/>
          <w:sz w:val="28"/>
          <w:szCs w:val="28"/>
        </w:rPr>
        <w:t>微小型X波段双线偏振多普勒天气雷达（标准型）信号处理器由硬件和终端软件两部分组成，其中硬件为数字中频单元和雷达终端；终端软件由信号处理算法、雷达监控软件、雷达标校软件、雷达控制软件以及雷达数据传输软件5部分组成，并集成在雷达终端上。</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1.7.1数字中频单元</w:t>
      </w:r>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spacing w:line="48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数字中频单元布置于接收机内部。</w:t>
      </w:r>
    </w:p>
    <w:p>
      <w:pPr>
        <w:numPr>
          <w:ilvl w:val="0"/>
          <w:numId w:val="4"/>
        </w:num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组成与功能</w:t>
      </w:r>
    </w:p>
    <w:p>
      <w:pPr>
        <w:spacing w:line="480" w:lineRule="exact"/>
        <w:ind w:firstLine="560" w:firstLineChars="200"/>
        <w:rPr>
          <w:rFonts w:ascii="仿宋" w:eastAsia="仿宋" w:hAnsi="仿宋" w:cs="Times New Roman" w:hint="eastAsia"/>
          <w:color w:val="000000"/>
          <w:sz w:val="28"/>
          <w:szCs w:val="28"/>
        </w:rPr>
      </w:pPr>
      <w:r>
        <w:rPr>
          <w:rFonts w:ascii="仿宋" w:eastAsia="仿宋" w:hAnsi="仿宋" w:cs="Times New Roman" w:hint="eastAsia"/>
          <w:sz w:val="28"/>
          <w:szCs w:val="28"/>
        </w:rPr>
        <w:t>数字中频单元</w:t>
      </w:r>
      <w:r>
        <w:rPr>
          <w:rFonts w:ascii="仿宋" w:eastAsia="仿宋" w:hAnsi="仿宋" w:cs="Times New Roman" w:hint="eastAsia"/>
          <w:color w:val="000000"/>
          <w:sz w:val="28"/>
          <w:szCs w:val="28"/>
        </w:rPr>
        <w:t>可实现数字中频发射信号产生、中频回波信号的下变频、滤波、抽取、脉冲压缩解调等，得到基带IQ信号；可实现千兆以太网的标准化编码/译码；可实现各分系统控制信号的产生与各分系统的状态接收，系统组成如图1所示。</w:t>
      </w:r>
    </w:p>
    <w:p>
      <w:pPr>
        <w:jc w:val="center"/>
        <w:rPr>
          <w:rFonts w:ascii="仿宋_GB2312"/>
          <w:color w:val="000000"/>
          <w:sz w:val="28"/>
          <w:szCs w:val="28"/>
        </w:rPr>
      </w:pPr>
      <w:r>
        <w:rPr>
          <w:rFonts w:ascii="等线" w:eastAsia="等线" w:hAnsi="等线" w:hint="eastAsia"/>
          <w:sz w:val="28"/>
          <w:szCs w:val="2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8" o:spid="_x0000_i1026" type="#_x0000_t75" style="width:396.49pt;height:213.66pt;mso-position-horizontal-relative:page;mso-position-vertical-relative:page;mso-wrap-style:square" o:oleicon="f" o:ole="" o:preferrelative="t" filled="f" stroked="f">
            <v:fill o:detectmouseclick="t"/>
            <v:stroke linestyle="single"/>
            <v:imagedata r:id="rId6" o:title=""/>
            <v:shadow color="gray"/>
            <v:path o:extrusionok="f"/>
            <o:lock v:ext="edit" aspectratio="t"/>
          </v:shape>
          <o:OLEObject Type="Embed" ProgID="Visio.Drawing.15" ShapeID="Object 18" DrawAspect="Content" ObjectID="_1234567890" r:id="rId7"/>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图1.系统组成示意图</w:t>
      </w:r>
    </w:p>
    <w:p>
      <w:pPr>
        <w:numPr>
          <w:ilvl w:val="0"/>
          <w:numId w:val="5"/>
        </w:numPr>
        <w:spacing w:line="570" w:lineRule="exact"/>
        <w:ind w:firstLine="560" w:firstLineChars="200"/>
        <w:rPr>
          <w:rFonts w:ascii="仿宋" w:eastAsia="仿宋" w:hAnsi="仿宋" w:hint="eastAsia"/>
          <w:sz w:val="28"/>
          <w:szCs w:val="28"/>
          <w:highlight w:val="yellow"/>
        </w:rPr>
      </w:pPr>
      <w:r>
        <w:rPr>
          <w:rFonts w:ascii="仿宋" w:eastAsia="仿宋" w:hAnsi="仿宋" w:cs="Times New Roman" w:hint="eastAsia"/>
          <w:color w:val="000000"/>
          <w:sz w:val="28"/>
          <w:szCs w:val="28"/>
          <w:highlight w:val="yellow"/>
        </w:rPr>
        <w:t>结构要求</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cs="Times New Roman" w:hint="eastAsia"/>
          <w:color w:val="000000"/>
          <w:sz w:val="28"/>
          <w:szCs w:val="28"/>
        </w:rPr>
      </w:pPr>
      <w:r>
        <w:rPr>
          <w:rFonts w:ascii="仿宋" w:eastAsia="仿宋" w:hAnsi="仿宋" w:cs="Times New Roman" w:hint="eastAsia"/>
          <w:color w:val="000000"/>
          <w:sz w:val="28"/>
          <w:szCs w:val="28"/>
        </w:rPr>
        <w:t>数字中频单元即X波段天气雷达信号处理器，其结构及参数要求如图2所示。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19" o:spid="_x0000_i1027" type="#_x0000_t75" style="width:393.36pt;height:326.01pt;mso-position-horizontal-relative:page;mso-position-vertical-relative:page;mso-wrap-style:square" o:preferrelative="t" filled="f" stroked="f">
            <v:fill o:detectmouseclick="t"/>
            <v:stroke linestyle="single"/>
            <v:imagedata r:id="rId8" o:title="" cropright="9627f"/>
            <v:shadow color="gray"/>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20" o:spid="_x0000_i1028" type="#_x0000_t75" alt="XA信号处理器盒体图纸-接口图_00" style="width:397.11pt;height:119.68pt;mso-position-horizontal-relative:page;mso-position-vertical-relative:page;mso-wrap-style:square" filled="f" stroked="f">
            <v:stroke linestyle="single"/>
            <v:imagedata r:id="rId9"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numPr>
          <w:ilvl w:val="0"/>
          <w:numId w:val="6"/>
        </w:numPr>
        <w:spacing w:line="570" w:lineRule="exact"/>
        <w:ind w:firstLine="560" w:firstLineChars="200"/>
        <w:rPr>
          <w:rFonts w:ascii="仿宋" w:eastAsia="仿宋" w:hAnsi="仿宋" w:hint="eastAsia"/>
          <w:sz w:val="28"/>
          <w:szCs w:val="28"/>
          <w:highlight w:val="yellow"/>
        </w:rPr>
      </w:pPr>
      <w:r>
        <w:rPr>
          <w:rFonts w:ascii="仿宋" w:eastAsia="仿宋" w:hAnsi="仿宋" w:cs="Times New Roman" w:hint="eastAsia"/>
          <w:color w:val="000000"/>
          <w:sz w:val="28"/>
          <w:szCs w:val="28"/>
          <w:highlight w:val="yellow"/>
        </w:rPr>
        <w:t>接口说明</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cs="Times New Roman" w:hint="eastAsia"/>
          <w:color w:val="000000"/>
          <w:sz w:val="28"/>
          <w:szCs w:val="28"/>
        </w:rPr>
      </w:pPr>
      <w:r>
        <w:rPr>
          <w:rFonts w:ascii="仿宋" w:eastAsia="仿宋" w:hAnsi="仿宋" w:cs="Times New Roman" w:hint="eastAsia"/>
          <w:color w:val="000000"/>
          <w:sz w:val="28"/>
          <w:szCs w:val="28"/>
        </w:rPr>
        <w:t>数字中频接口说明如下表</w:t>
      </w:r>
      <w:r>
        <w:rPr>
          <w:rFonts w:ascii="仿宋" w:eastAsia="仿宋" w:hAnsi="仿宋" w:hint="eastAsia"/>
          <w:sz w:val="28"/>
          <w:szCs w:val="28"/>
        </w:rPr>
        <w:t>：</w:t>
      </w:r>
    </w:p>
    <w:p>
      <w:pPr>
        <w:rPr>
          <w:vanish/>
        </w:rPr>
      </w:pPr>
    </w:p>
    <w:tbl>
      <w:tblPr>
        <w:tblStyle w:val="TableNormal"/>
        <w:tblW w:w="8985" w:type="dxa"/>
        <w:jc w:val="center"/>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212"/>
        <w:gridCol w:w="2834"/>
        <w:gridCol w:w="3521"/>
        <w:gridCol w:w="1418"/>
      </w:tblGrid>
      <w:tr>
        <w:tblPrEx>
          <w:tblW w:w="8985" w:type="dxa"/>
          <w:jc w:val="center"/>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b/>
                <w:bCs/>
                <w:color w:val="000000"/>
                <w:sz w:val="24"/>
                <w:szCs w:val="24"/>
              </w:rPr>
            </w:pPr>
            <w:r>
              <w:rPr>
                <w:rFonts w:ascii="仿宋_GB2312" w:hAnsi="等线" w:hint="eastAsia"/>
                <w:b/>
                <w:bCs/>
                <w:color w:val="000000"/>
                <w:sz w:val="24"/>
                <w:szCs w:val="24"/>
              </w:rPr>
              <w:t>接口号</w:t>
            </w:r>
          </w:p>
        </w:tc>
        <w:tc>
          <w:tcPr>
            <w:tcW w:w="2834" w:type="dxa"/>
            <w:vAlign w:val="center"/>
          </w:tcPr>
          <w:p>
            <w:pPr>
              <w:pStyle w:val="-"/>
              <w:spacing w:line="320" w:lineRule="exact"/>
              <w:ind w:firstLine="0" w:firstLineChars="0"/>
              <w:jc w:val="center"/>
              <w:rPr>
                <w:rFonts w:ascii="仿宋_GB2312" w:hAnsi="等线"/>
                <w:b/>
                <w:bCs/>
                <w:color w:val="000000"/>
                <w:sz w:val="24"/>
                <w:szCs w:val="24"/>
              </w:rPr>
            </w:pPr>
            <w:r>
              <w:rPr>
                <w:rFonts w:ascii="仿宋_GB2312" w:hAnsi="等线" w:hint="eastAsia"/>
                <w:b/>
                <w:bCs/>
                <w:color w:val="000000"/>
                <w:sz w:val="24"/>
                <w:szCs w:val="24"/>
              </w:rPr>
              <w:t>信号定义</w:t>
            </w:r>
          </w:p>
        </w:tc>
        <w:tc>
          <w:tcPr>
            <w:tcW w:w="3521" w:type="dxa"/>
            <w:vAlign w:val="center"/>
          </w:tcPr>
          <w:p>
            <w:pPr>
              <w:pStyle w:val="-"/>
              <w:spacing w:line="320" w:lineRule="exact"/>
              <w:ind w:firstLine="0" w:firstLineChars="0"/>
              <w:jc w:val="center"/>
              <w:rPr>
                <w:rFonts w:ascii="仿宋_GB2312" w:hAnsi="等线"/>
                <w:b/>
                <w:bCs/>
                <w:color w:val="000000"/>
                <w:sz w:val="24"/>
                <w:szCs w:val="24"/>
              </w:rPr>
            </w:pPr>
            <w:r>
              <w:rPr>
                <w:rFonts w:ascii="仿宋_GB2312" w:hAnsi="等线" w:hint="eastAsia"/>
                <w:b/>
                <w:bCs/>
                <w:color w:val="000000"/>
                <w:sz w:val="24"/>
                <w:szCs w:val="24"/>
              </w:rPr>
              <w:t>指标要求</w:t>
            </w:r>
          </w:p>
        </w:tc>
        <w:tc>
          <w:tcPr>
            <w:tcW w:w="1418" w:type="dxa"/>
            <w:vAlign w:val="center"/>
          </w:tcPr>
          <w:p>
            <w:pPr>
              <w:pStyle w:val="-"/>
              <w:spacing w:line="320" w:lineRule="exact"/>
              <w:ind w:firstLine="0" w:firstLineChars="0"/>
              <w:jc w:val="center"/>
              <w:rPr>
                <w:rFonts w:ascii="仿宋_GB2312" w:hAnsi="等线"/>
                <w:b/>
                <w:bCs/>
                <w:color w:val="000000"/>
                <w:sz w:val="24"/>
                <w:szCs w:val="24"/>
              </w:rPr>
            </w:pPr>
            <w:r>
              <w:rPr>
                <w:rFonts w:ascii="仿宋_GB2312" w:hAnsi="等线" w:hint="eastAsia"/>
                <w:b/>
                <w:bCs/>
                <w:color w:val="000000"/>
                <w:sz w:val="24"/>
                <w:szCs w:val="24"/>
              </w:rPr>
              <w:t>接口类型</w:t>
            </w:r>
          </w:p>
        </w:tc>
      </w:tr>
      <w:tr>
        <w:tblPrEx>
          <w:tblW w:w="8985" w:type="dxa"/>
          <w:jc w:val="center"/>
          <w:tblInd w:w="144" w:type="dxa"/>
          <w:tblLayout w:type="fixed"/>
          <w:tblCellMar>
            <w:top w:w="0" w:type="dxa"/>
            <w:left w:w="108" w:type="dxa"/>
            <w:bottom w:w="0" w:type="dxa"/>
            <w:right w:w="108" w:type="dxa"/>
          </w:tblCellMar>
          <w:tblLook w:val="0000"/>
        </w:tblPrEx>
        <w:trPr>
          <w:cantSplit/>
          <w:trHeight w:val="90"/>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XS01</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脉冲同步输出</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测试备份用</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XS02</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中频激励输出</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30MHz~70MHz，0</w:t>
            </w:r>
            <w:r>
              <w:rPr>
                <w:rFonts w:ascii="仿宋_GB2312" w:hAnsi="等线" w:hint="eastAsia"/>
                <w:color w:val="000000"/>
                <w:sz w:val="24"/>
                <w:szCs w:val="24"/>
              </w:rPr>
              <w:t>±</w:t>
            </w:r>
            <w:r>
              <w:rPr>
                <w:rFonts w:ascii="仿宋_GB2312" w:hAnsi="等线" w:hint="eastAsia"/>
                <w:color w:val="000000"/>
                <w:sz w:val="24"/>
                <w:szCs w:val="24"/>
              </w:rPr>
              <w:t>5dBm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XS03</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时钟参考输入</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800MHz，3</w:t>
            </w:r>
            <w:r>
              <w:rPr>
                <w:rFonts w:ascii="仿宋_GB2312" w:hAnsi="等线" w:hint="eastAsia"/>
                <w:color w:val="000000"/>
                <w:sz w:val="24"/>
                <w:szCs w:val="24"/>
              </w:rPr>
              <w:t>±</w:t>
            </w:r>
            <w:r>
              <w:rPr>
                <w:rFonts w:ascii="仿宋_GB2312" w:hAnsi="等线" w:hint="eastAsia"/>
                <w:color w:val="000000"/>
                <w:sz w:val="24"/>
                <w:szCs w:val="24"/>
              </w:rPr>
              <w:t>1dBm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XS04</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V通道中频信号输入副路</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30MHz~70MHz，最大量程</w:t>
            </w:r>
            <w:r>
              <w:rPr>
                <w:rFonts w:ascii="仿宋_GB2312" w:hAnsi="等线" w:hint="eastAsia"/>
                <w:color w:val="000000"/>
                <w:sz w:val="24"/>
                <w:szCs w:val="24"/>
              </w:rPr>
              <w:t>≤</w:t>
            </w:r>
            <w:r>
              <w:rPr>
                <w:rFonts w:ascii="仿宋_GB2312" w:hAnsi="等线" w:hint="eastAsia"/>
                <w:color w:val="000000"/>
                <w:sz w:val="24"/>
                <w:szCs w:val="24"/>
              </w:rPr>
              <w:t>+15dBm</w:t>
            </w:r>
          </w:p>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XS05</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V通道中频信号输入主路</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30MHz~70MHz，最大量程</w:t>
            </w:r>
            <w:r>
              <w:rPr>
                <w:rFonts w:ascii="仿宋_GB2312" w:hAnsi="等线" w:hint="eastAsia"/>
                <w:color w:val="000000"/>
                <w:sz w:val="24"/>
                <w:szCs w:val="24"/>
              </w:rPr>
              <w:t>≤</w:t>
            </w:r>
            <w:r>
              <w:rPr>
                <w:rFonts w:ascii="仿宋_GB2312" w:hAnsi="等线" w:hint="eastAsia"/>
                <w:color w:val="000000"/>
                <w:sz w:val="24"/>
                <w:szCs w:val="24"/>
              </w:rPr>
              <w:t>+15dBm</w:t>
            </w:r>
          </w:p>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trHeight w:val="90"/>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XS06</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H通道中频信号输入副路</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30MHz~70MHz，最大量程</w:t>
            </w:r>
            <w:r>
              <w:rPr>
                <w:rFonts w:ascii="仿宋_GB2312" w:hAnsi="等线" w:hint="eastAsia"/>
                <w:color w:val="000000"/>
                <w:sz w:val="24"/>
                <w:szCs w:val="24"/>
              </w:rPr>
              <w:t>≤</w:t>
            </w:r>
            <w:r>
              <w:rPr>
                <w:rFonts w:ascii="仿宋_GB2312" w:hAnsi="等线" w:hint="eastAsia"/>
                <w:color w:val="000000"/>
                <w:sz w:val="24"/>
                <w:szCs w:val="24"/>
              </w:rPr>
              <w:t>+15dBm</w:t>
            </w:r>
          </w:p>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XS07</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H通道中频信号输入主路</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30MHz~70MHz，最大量程</w:t>
            </w:r>
            <w:r>
              <w:rPr>
                <w:rFonts w:ascii="仿宋_GB2312" w:hAnsi="等线" w:hint="eastAsia"/>
                <w:color w:val="000000"/>
                <w:sz w:val="24"/>
                <w:szCs w:val="24"/>
              </w:rPr>
              <w:t>≤</w:t>
            </w:r>
            <w:r>
              <w:rPr>
                <w:rFonts w:ascii="仿宋_GB2312" w:hAnsi="等线" w:hint="eastAsia"/>
                <w:color w:val="000000"/>
                <w:sz w:val="24"/>
                <w:szCs w:val="24"/>
              </w:rPr>
              <w:t>+15dBm</w:t>
            </w:r>
          </w:p>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最大允许输入幅度 15dBm</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SMA-K</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XS08</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光口通讯</w:t>
            </w:r>
          </w:p>
        </w:tc>
        <w:tc>
          <w:tcPr>
            <w:tcW w:w="3521"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单模单芯双向</w:t>
            </w:r>
          </w:p>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IQ+状态数据</w:t>
            </w: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LC</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XS09</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状态指令收发</w:t>
            </w:r>
          </w:p>
        </w:tc>
        <w:tc>
          <w:tcPr>
            <w:tcW w:w="3521" w:type="dxa"/>
            <w:vAlign w:val="center"/>
          </w:tcPr>
          <w:p>
            <w:pPr>
              <w:pStyle w:val="-"/>
              <w:spacing w:line="320" w:lineRule="exact"/>
              <w:ind w:firstLine="0" w:firstLineChars="0"/>
              <w:jc w:val="center"/>
              <w:rPr>
                <w:rFonts w:ascii="仿宋_GB2312" w:hAnsi="等线"/>
                <w:color w:val="000000"/>
                <w:sz w:val="24"/>
                <w:szCs w:val="24"/>
              </w:rPr>
            </w:pP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J30J-37ZKP</w:t>
            </w:r>
          </w:p>
        </w:tc>
      </w:tr>
      <w:tr>
        <w:tblPrEx>
          <w:tblW w:w="8985" w:type="dxa"/>
          <w:jc w:val="center"/>
          <w:tblInd w:w="144" w:type="dxa"/>
          <w:tblLayout w:type="fixed"/>
          <w:tblCellMar>
            <w:top w:w="0" w:type="dxa"/>
            <w:left w:w="108" w:type="dxa"/>
            <w:bottom w:w="0" w:type="dxa"/>
            <w:right w:w="108" w:type="dxa"/>
          </w:tblCellMar>
          <w:tblLook w:val="0000"/>
        </w:tblPrEx>
        <w:trPr>
          <w:cantSplit/>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XS10</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电源接口</w:t>
            </w:r>
          </w:p>
        </w:tc>
        <w:tc>
          <w:tcPr>
            <w:tcW w:w="3521" w:type="dxa"/>
            <w:vAlign w:val="center"/>
          </w:tcPr>
          <w:p>
            <w:pPr>
              <w:pStyle w:val="-"/>
              <w:spacing w:line="320" w:lineRule="exact"/>
              <w:ind w:firstLine="0" w:firstLineChars="0"/>
              <w:jc w:val="center"/>
              <w:rPr>
                <w:rFonts w:ascii="仿宋_GB2312" w:hAnsi="等线"/>
                <w:color w:val="000000"/>
                <w:sz w:val="24"/>
                <w:szCs w:val="24"/>
              </w:rPr>
            </w:pPr>
          </w:p>
        </w:tc>
        <w:tc>
          <w:tcPr>
            <w:tcW w:w="1418"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J30J-9ZKP</w:t>
            </w:r>
          </w:p>
        </w:tc>
      </w:tr>
      <w:tr>
        <w:tblPrEx>
          <w:tblW w:w="8985" w:type="dxa"/>
          <w:jc w:val="center"/>
          <w:tblInd w:w="144" w:type="dxa"/>
          <w:tblLayout w:type="fixed"/>
          <w:tblCellMar>
            <w:top w:w="0" w:type="dxa"/>
            <w:left w:w="108" w:type="dxa"/>
            <w:bottom w:w="0" w:type="dxa"/>
            <w:right w:w="108" w:type="dxa"/>
          </w:tblCellMar>
          <w:tblLook w:val="0000"/>
        </w:tblPrEx>
        <w:trPr>
          <w:cantSplit/>
          <w:trHeight w:val="287"/>
          <w:jc w:val="center"/>
        </w:trPr>
        <w:tc>
          <w:tcPr>
            <w:tcW w:w="1212"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D1</w:t>
            </w:r>
          </w:p>
        </w:tc>
        <w:tc>
          <w:tcPr>
            <w:tcW w:w="2834" w:type="dxa"/>
            <w:vAlign w:val="center"/>
          </w:tcPr>
          <w:p>
            <w:pPr>
              <w:pStyle w:val="-"/>
              <w:spacing w:line="320" w:lineRule="exact"/>
              <w:ind w:firstLine="0" w:firstLineChars="0"/>
              <w:jc w:val="center"/>
              <w:rPr>
                <w:rFonts w:ascii="仿宋_GB2312" w:hAnsi="等线"/>
                <w:color w:val="000000"/>
                <w:sz w:val="24"/>
                <w:szCs w:val="24"/>
              </w:rPr>
            </w:pPr>
            <w:r>
              <w:rPr>
                <w:rFonts w:ascii="仿宋_GB2312" w:hAnsi="等线" w:hint="eastAsia"/>
                <w:color w:val="000000"/>
                <w:sz w:val="24"/>
                <w:szCs w:val="24"/>
              </w:rPr>
              <w:t>指示灯</w:t>
            </w:r>
          </w:p>
        </w:tc>
        <w:tc>
          <w:tcPr>
            <w:tcW w:w="3521" w:type="dxa"/>
            <w:vAlign w:val="center"/>
          </w:tcPr>
          <w:p>
            <w:pPr>
              <w:pStyle w:val="-"/>
              <w:spacing w:line="320" w:lineRule="exact"/>
              <w:ind w:firstLine="0" w:firstLineChars="0"/>
              <w:jc w:val="center"/>
              <w:rPr>
                <w:rFonts w:ascii="仿宋_GB2312" w:hAnsi="等线"/>
                <w:color w:val="000000"/>
                <w:sz w:val="24"/>
                <w:szCs w:val="24"/>
              </w:rPr>
            </w:pPr>
          </w:p>
        </w:tc>
        <w:tc>
          <w:tcPr>
            <w:tcW w:w="1418" w:type="dxa"/>
            <w:vAlign w:val="center"/>
          </w:tcPr>
          <w:p>
            <w:pPr>
              <w:pStyle w:val="-"/>
              <w:spacing w:line="320" w:lineRule="exact"/>
              <w:ind w:firstLine="0" w:firstLineChars="0"/>
              <w:jc w:val="center"/>
              <w:rPr>
                <w:rFonts w:ascii="仿宋_GB2312" w:hAnsi="等线"/>
                <w:color w:val="000000"/>
                <w:sz w:val="24"/>
                <w:szCs w:val="24"/>
              </w:rPr>
            </w:pPr>
          </w:p>
        </w:tc>
      </w:tr>
    </w:tbl>
    <w:p>
      <w:pPr>
        <w:ind w:firstLine="560" w:firstLineChars="200"/>
        <w:rPr>
          <w:rFonts w:ascii="仿宋_GB2312" w:eastAsia="仿宋_GB2312" w:hint="eastAsia"/>
          <w:color w:val="000000"/>
          <w:sz w:val="28"/>
          <w:szCs w:val="28"/>
        </w:rPr>
      </w:pP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color w:val="000000"/>
                <w:sz w:val="24"/>
                <w:szCs w:val="24"/>
              </w:rPr>
              <w:t>XS09</w:t>
            </w:r>
            <w:r>
              <w:rPr>
                <w:rFonts w:ascii="仿宋_GB2312" w:hint="eastAsia"/>
                <w:b/>
                <w:bCs/>
                <w:color w:val="000000"/>
                <w:sz w:val="24"/>
                <w:szCs w:val="24"/>
              </w:rPr>
              <w:t>引脚</w:t>
            </w:r>
          </w:p>
        </w:tc>
        <w:tc>
          <w:tcPr>
            <w:tcW w:w="1843"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输入输出类型</w:t>
            </w:r>
          </w:p>
        </w:tc>
        <w:tc>
          <w:tcPr>
            <w:tcW w:w="1984"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信号</w:t>
            </w:r>
          </w:p>
        </w:tc>
        <w:tc>
          <w:tcPr>
            <w:tcW w:w="3930"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输入</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ANT_RXD_P</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天线角码状态UART协议，RS422电平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21</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输入</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ANT_RXD_N</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trHeight w:val="528"/>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TX_SEL_P</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上变频通道选择 RS422电平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0：5M滤波器通路</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1：20M滤波器通路</w:t>
            </w:r>
          </w:p>
          <w:p>
            <w:pPr>
              <w:pStyle w:val="-"/>
              <w:spacing w:line="320" w:lineRule="exact"/>
              <w:ind w:firstLine="0" w:firstLineChars="0"/>
              <w:jc w:val="center"/>
              <w:rPr>
                <w:rFonts w:ascii="仿宋_GB2312" w:hint="eastAsia"/>
                <w:color w:val="000000"/>
                <w:sz w:val="24"/>
                <w:szCs w:val="24"/>
              </w:rPr>
            </w:pPr>
            <w:r>
              <w:rPr>
                <w:rFonts w:ascii="仿宋_GB2312" w:hint="eastAsia"/>
                <w:color w:val="000000"/>
                <w:sz w:val="24"/>
                <w:szCs w:val="24"/>
              </w:rPr>
              <w:t>XS02发射核心脉冲 切换5M滤波器</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发射辅助和简单脉冲，切换20M滤波器</w:t>
            </w:r>
          </w:p>
        </w:tc>
      </w:tr>
      <w:tr>
        <w:tblPrEx>
          <w:tblW w:w="9028" w:type="dxa"/>
          <w:jc w:val="center"/>
          <w:tblLayout w:type="fixed"/>
          <w:tblCellMar>
            <w:top w:w="0" w:type="dxa"/>
            <w:left w:w="108" w:type="dxa"/>
            <w:bottom w:w="0" w:type="dxa"/>
            <w:right w:w="108" w:type="dxa"/>
          </w:tblCellMar>
          <w:tblLook w:val="0000"/>
        </w:tblPrEx>
        <w:trPr>
          <w:trHeight w:val="565"/>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4</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TX_SEL_N</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22</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输入</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RF_STS</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频综状态回传，5V TTL电平,20mS定时回传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23</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输入</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TX_STS</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发射机状态监视，5V TTL电平,20mS定时回传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20</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RX_ESL</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场放切换开关5V TTL电平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0：射频接收信号</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1：四位开关切换后信号</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此pin可控制调节LNA增益使用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24</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JS_ATT</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接收衰减控制，5V TTL电平 UART 协议</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本衰减器微小调节HV末端增益</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28</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Noise_switch</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噪声源通断电使能，5V TTL电平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1：噪声源通电</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0：噪声源断电</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6</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RF_ATT[6]</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机内标定数控衰减64dB，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25</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[5]</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机内标定数控衰减32dB，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7</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[4]</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机内标定数控衰减16dB，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26</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[3]</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机内标定数控衰减8dB，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8</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[2]</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机内标定数控衰减4dB，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27</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[1]</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机内标定数控衰减2dB，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9</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RF_ATT [0]</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机内标定数控衰减1dB，</w:t>
            </w:r>
            <w:r>
              <w:rPr>
                <w:rFonts w:ascii="仿宋_GB2312" w:hint="eastAsia"/>
                <w:color w:val="000000"/>
                <w:sz w:val="24"/>
                <w:szCs w:val="24"/>
              </w:rPr>
              <w:t>“</w:t>
            </w:r>
            <w:r>
              <w:rPr>
                <w:rFonts w:ascii="仿宋_GB2312" w:hint="eastAsia"/>
                <w:color w:val="000000"/>
                <w:sz w:val="24"/>
                <w:szCs w:val="24"/>
              </w:rPr>
              <w:t>1</w:t>
            </w:r>
            <w:r>
              <w:rPr>
                <w:rFonts w:ascii="仿宋_GB2312" w:hint="eastAsia"/>
                <w:color w:val="000000"/>
                <w:sz w:val="24"/>
                <w:szCs w:val="24"/>
              </w:rPr>
              <w:t>”</w:t>
            </w:r>
            <w:r>
              <w:rPr>
                <w:rFonts w:ascii="仿宋_GB2312" w:hint="eastAsia"/>
                <w:color w:val="000000"/>
                <w:sz w:val="24"/>
                <w:szCs w:val="24"/>
              </w:rPr>
              <w:t>衰减，</w:t>
            </w:r>
            <w:r>
              <w:rPr>
                <w:rFonts w:ascii="仿宋_GB2312" w:hint="eastAsia"/>
                <w:color w:val="000000"/>
                <w:sz w:val="24"/>
                <w:szCs w:val="24"/>
              </w:rPr>
              <w:t>“</w:t>
            </w:r>
            <w:r>
              <w:rPr>
                <w:rFonts w:ascii="仿宋_GB2312" w:hint="eastAsia"/>
                <w:color w:val="000000"/>
                <w:sz w:val="24"/>
                <w:szCs w:val="24"/>
              </w:rPr>
              <w:t>0</w:t>
            </w:r>
            <w:r>
              <w:rPr>
                <w:rFonts w:ascii="仿宋_GB2312" w:hint="eastAsia"/>
                <w:color w:val="000000"/>
                <w:sz w:val="24"/>
                <w:szCs w:val="24"/>
              </w:rPr>
              <w:t>”</w:t>
            </w:r>
            <w:r>
              <w:rPr>
                <w:rFonts w:ascii="仿宋_GB2312" w:hint="eastAsia"/>
                <w:color w:val="000000"/>
                <w:sz w:val="24"/>
                <w:szCs w:val="24"/>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10</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5V TTL电平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SWH_SEL[3：0]=0000，全关闭</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SWH_SEL[3：0]=1000，保留</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SWH_SEL[3：0]=0100，射频测试通道（RFD）打开</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SWH_SEL[3：0]=0010，发射机耦合通道（TD）打开</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SWH_SEL[3：0]=0001，噪声源（NF）通道打开</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29</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SWH_SEL[2]</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11</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SWH_SEL[1]</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30</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SWH_SEL[0]</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33</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RADAR_FREQ_SEL</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16</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ANT_TXD_P</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天线控制UART协议，RS422电平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35</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ANT_TXD_N</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17</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RF_GATE_P</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36</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RF_GATE_N</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wvguide_switch</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单双发模式切换开关，5V TTL控制电平：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1：单发模式；</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31</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TX_POW_MODUL_P</w:t>
            </w:r>
          </w:p>
        </w:tc>
        <w:tc>
          <w:tcPr>
            <w:tcW w:w="3930" w:type="dxa"/>
            <w:vMerge w:val="restart"/>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32</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b/>
                <w:bCs/>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TX_POW_MODUL_N</w:t>
            </w:r>
          </w:p>
        </w:tc>
        <w:tc>
          <w:tcPr>
            <w:tcW w:w="3930" w:type="dxa"/>
            <w:vMerge/>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18</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19</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37</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其他</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备用</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备用</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剩余5个引脚备用</w:t>
            </w:r>
          </w:p>
        </w:tc>
      </w:tr>
    </w:tbl>
    <w:p>
      <w:pPr>
        <w:spacing w:line="570" w:lineRule="exact"/>
        <w:ind w:firstLine="560" w:firstLineChars="200"/>
        <w:rPr>
          <w:rFonts w:ascii="仿宋" w:eastAsia="仿宋" w:hAnsi="仿宋" w:hint="eastAsia"/>
          <w:color w:val="000000"/>
          <w:sz w:val="28"/>
          <w:szCs w:val="28"/>
        </w:rPr>
      </w:pPr>
      <w:r>
        <w:rPr>
          <w:rFonts w:ascii="仿宋" w:eastAsia="仿宋" w:hAnsi="仿宋" w:hint="eastAsia"/>
          <w:b w:val="0"/>
          <w:bCs w:val="0"/>
          <w:color w:val="000000"/>
          <w:sz w:val="28"/>
          <w:szCs w:val="28"/>
        </w:rPr>
        <w:t>注*</w:t>
      </w:r>
      <w:r>
        <w:rPr>
          <w:rFonts w:ascii="仿宋" w:eastAsia="仿宋" w:hAnsi="仿宋" w:hint="eastAsia"/>
          <w:color w:val="000000"/>
          <w:sz w:val="28"/>
          <w:szCs w:val="28"/>
        </w:rPr>
        <w:t>：输入/输出方向是以数字中频单元作为参考，发射机电源调制脉冲信号上升沿相对于发射激励上升沿提前500ns以内，下降沿相对于发射激励下降沿延迟500ns以内。</w:t>
      </w:r>
    </w:p>
    <w:p>
      <w:pPr>
        <w:spacing w:line="570" w:lineRule="exact"/>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XS10引脚</w:t>
            </w:r>
          </w:p>
        </w:tc>
        <w:tc>
          <w:tcPr>
            <w:tcW w:w="1843"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Input/Output</w:t>
            </w:r>
          </w:p>
        </w:tc>
        <w:tc>
          <w:tcPr>
            <w:tcW w:w="1984"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信号</w:t>
            </w:r>
          </w:p>
        </w:tc>
        <w:tc>
          <w:tcPr>
            <w:tcW w:w="3930" w:type="dxa"/>
            <w:vAlign w:val="center"/>
          </w:tcPr>
          <w:p>
            <w:pPr>
              <w:pStyle w:val="-"/>
              <w:spacing w:line="320" w:lineRule="exact"/>
              <w:ind w:firstLine="0" w:firstLineChars="0"/>
              <w:jc w:val="center"/>
              <w:rPr>
                <w:rFonts w:ascii="仿宋_GB2312"/>
                <w:b/>
                <w:bCs/>
                <w:color w:val="000000"/>
                <w:sz w:val="24"/>
                <w:szCs w:val="24"/>
              </w:rPr>
            </w:pPr>
            <w:r>
              <w:rPr>
                <w:rFonts w:ascii="仿宋_GB2312" w:hint="eastAsia"/>
                <w:b/>
                <w:bCs/>
                <w:color w:val="000000"/>
                <w:sz w:val="24"/>
                <w:szCs w:val="24"/>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1</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波导开关返回</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+5V TTL电平</w:t>
            </w:r>
          </w:p>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2</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输出</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备用</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3</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电源</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+6V电源</w:t>
            </w:r>
          </w:p>
        </w:tc>
        <w:tc>
          <w:tcPr>
            <w:tcW w:w="3930" w:type="dxa"/>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4</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电源</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+6V电源</w:t>
            </w:r>
          </w:p>
        </w:tc>
        <w:tc>
          <w:tcPr>
            <w:tcW w:w="3930" w:type="dxa"/>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电源</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+6V电源</w:t>
            </w:r>
          </w:p>
        </w:tc>
        <w:tc>
          <w:tcPr>
            <w:tcW w:w="3930" w:type="dxa"/>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6</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输入</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备用</w:t>
            </w:r>
          </w:p>
        </w:tc>
        <w:tc>
          <w:tcPr>
            <w:tcW w:w="3930"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7</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GND(+6V电源）</w:t>
            </w:r>
          </w:p>
        </w:tc>
        <w:tc>
          <w:tcPr>
            <w:tcW w:w="3930" w:type="dxa"/>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8</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GND(+6V电源）</w:t>
            </w:r>
          </w:p>
        </w:tc>
        <w:tc>
          <w:tcPr>
            <w:tcW w:w="3930" w:type="dxa"/>
            <w:vAlign w:val="center"/>
          </w:tcPr>
          <w:p>
            <w:pPr>
              <w:pStyle w:val="-"/>
              <w:spacing w:line="320" w:lineRule="exact"/>
              <w:ind w:firstLine="0" w:firstLineChars="0"/>
              <w:jc w:val="center"/>
              <w:rPr>
                <w:rFonts w:ascii="仿宋_GB2312"/>
                <w:color w:val="000000"/>
                <w:sz w:val="24"/>
                <w:szCs w:val="24"/>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9</w:t>
            </w:r>
          </w:p>
        </w:tc>
        <w:tc>
          <w:tcPr>
            <w:tcW w:w="1843"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地</w:t>
            </w:r>
          </w:p>
        </w:tc>
        <w:tc>
          <w:tcPr>
            <w:tcW w:w="1984" w:type="dxa"/>
            <w:vAlign w:val="center"/>
          </w:tcPr>
          <w:p>
            <w:pPr>
              <w:pStyle w:val="-"/>
              <w:spacing w:line="320" w:lineRule="exact"/>
              <w:ind w:firstLine="0" w:firstLineChars="0"/>
              <w:jc w:val="center"/>
              <w:rPr>
                <w:rFonts w:ascii="仿宋_GB2312"/>
                <w:color w:val="000000"/>
                <w:sz w:val="24"/>
                <w:szCs w:val="24"/>
              </w:rPr>
            </w:pPr>
            <w:r>
              <w:rPr>
                <w:rFonts w:ascii="仿宋_GB2312" w:hint="eastAsia"/>
                <w:color w:val="000000"/>
                <w:sz w:val="24"/>
                <w:szCs w:val="24"/>
              </w:rPr>
              <w:t>GND(+6V电源）</w:t>
            </w:r>
          </w:p>
        </w:tc>
        <w:tc>
          <w:tcPr>
            <w:tcW w:w="3930" w:type="dxa"/>
            <w:vAlign w:val="center"/>
          </w:tcPr>
          <w:p>
            <w:pPr>
              <w:pStyle w:val="-"/>
              <w:spacing w:line="320" w:lineRule="exact"/>
              <w:ind w:firstLine="0" w:firstLineChars="0"/>
              <w:jc w:val="center"/>
              <w:rPr>
                <w:rFonts w:ascii="仿宋_GB2312"/>
                <w:color w:val="000000"/>
                <w:sz w:val="24"/>
                <w:szCs w:val="24"/>
              </w:rPr>
            </w:pPr>
          </w:p>
        </w:tc>
      </w:tr>
    </w:tbl>
    <w:p>
      <w:pPr>
        <w:numPr>
          <w:ilvl w:val="0"/>
          <w:numId w:val="7"/>
        </w:numPr>
        <w:spacing w:line="570" w:lineRule="exact"/>
        <w:ind w:firstLine="560" w:firstLineChars="200"/>
        <w:rPr>
          <w:rFonts w:ascii="仿宋" w:eastAsia="仿宋" w:hAnsi="仿宋" w:hint="eastAsia"/>
          <w:sz w:val="28"/>
          <w:szCs w:val="28"/>
          <w:highlight w:val="yellow"/>
        </w:rPr>
      </w:pPr>
      <w:r>
        <w:rPr>
          <w:rFonts w:ascii="仿宋" w:eastAsia="仿宋" w:hAnsi="仿宋" w:hint="eastAsia"/>
          <w:sz w:val="28"/>
          <w:szCs w:val="28"/>
          <w:highlight w:val="yellow"/>
        </w:rPr>
        <w:t>技术指标要求</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包含但不限于下列指标：</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具</w:t>
      </w:r>
      <w:r>
        <w:rPr>
          <w:rFonts w:ascii="仿宋" w:eastAsia="仿宋" w:hAnsi="仿宋"/>
          <w:sz w:val="28"/>
          <w:szCs w:val="28"/>
        </w:rPr>
        <w:t>有</w:t>
      </w:r>
      <w:r>
        <w:rPr>
          <w:rFonts w:ascii="仿宋" w:eastAsia="仿宋" w:hAnsi="仿宋"/>
          <w:sz w:val="28"/>
          <w:szCs w:val="28"/>
        </w:rPr>
        <w:t>4</w:t>
      </w:r>
      <w:r>
        <w:rPr>
          <w:rFonts w:ascii="仿宋" w:eastAsia="仿宋" w:hAnsi="仿宋"/>
          <w:sz w:val="28"/>
          <w:szCs w:val="28"/>
        </w:rPr>
        <w:t>路</w:t>
      </w:r>
      <w:r>
        <w:rPr>
          <w:rFonts w:ascii="仿宋" w:eastAsia="仿宋" w:hAnsi="仿宋"/>
          <w:sz w:val="28"/>
          <w:szCs w:val="28"/>
        </w:rPr>
        <w:t>高</w:t>
      </w:r>
      <w:r>
        <w:rPr>
          <w:rFonts w:ascii="仿宋" w:eastAsia="仿宋" w:hAnsi="仿宋"/>
          <w:sz w:val="28"/>
          <w:szCs w:val="28"/>
        </w:rPr>
        <w:t>速</w:t>
      </w:r>
      <w:r>
        <w:rPr>
          <w:rFonts w:ascii="仿宋" w:eastAsia="仿宋" w:hAnsi="仿宋"/>
          <w:sz w:val="28"/>
          <w:szCs w:val="28"/>
        </w:rPr>
        <w:t>高</w:t>
      </w:r>
      <w:r>
        <w:rPr>
          <w:rFonts w:ascii="仿宋" w:eastAsia="仿宋" w:hAnsi="仿宋"/>
          <w:sz w:val="28"/>
          <w:szCs w:val="28"/>
        </w:rPr>
        <w:t>精</w:t>
      </w:r>
      <w:r>
        <w:rPr>
          <w:rFonts w:ascii="仿宋" w:eastAsia="仿宋" w:hAnsi="仿宋"/>
          <w:sz w:val="28"/>
          <w:szCs w:val="28"/>
        </w:rPr>
        <w:t>度</w:t>
      </w:r>
      <w:r>
        <w:rPr>
          <w:rFonts w:ascii="仿宋" w:eastAsia="仿宋" w:hAnsi="仿宋"/>
          <w:sz w:val="28"/>
          <w:szCs w:val="28"/>
        </w:rPr>
        <w:t>采</w:t>
      </w:r>
      <w:r>
        <w:rPr>
          <w:rFonts w:ascii="仿宋" w:eastAsia="仿宋" w:hAnsi="仿宋"/>
          <w:sz w:val="28"/>
          <w:szCs w:val="28"/>
        </w:rPr>
        <w:t>样</w:t>
      </w:r>
      <w:r>
        <w:rPr>
          <w:rFonts w:ascii="仿宋" w:eastAsia="仿宋" w:hAnsi="仿宋"/>
          <w:sz w:val="28"/>
          <w:szCs w:val="28"/>
        </w:rPr>
        <w:t>通</w:t>
      </w:r>
      <w:r>
        <w:rPr>
          <w:rFonts w:ascii="仿宋" w:eastAsia="仿宋" w:hAnsi="仿宋"/>
          <w:sz w:val="28"/>
          <w:szCs w:val="28"/>
        </w:rPr>
        <w:t>道</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6</w:t>
      </w:r>
      <w:r>
        <w:rPr>
          <w:rFonts w:ascii="仿宋" w:eastAsia="仿宋" w:hAnsi="仿宋"/>
          <w:sz w:val="28"/>
          <w:szCs w:val="28"/>
        </w:rPr>
        <w:t>位</w:t>
      </w:r>
      <w:r>
        <w:rPr>
          <w:rFonts w:ascii="仿宋" w:eastAsia="仿宋" w:hAnsi="仿宋"/>
          <w:sz w:val="28"/>
          <w:szCs w:val="28"/>
        </w:rPr>
        <w:t>A</w:t>
      </w:r>
      <w:r>
        <w:rPr>
          <w:rFonts w:ascii="仿宋" w:eastAsia="仿宋" w:hAnsi="仿宋"/>
          <w:sz w:val="28"/>
          <w:szCs w:val="28"/>
        </w:rPr>
        <w:t>/</w:t>
      </w:r>
      <w:r>
        <w:rPr>
          <w:rFonts w:ascii="仿宋" w:eastAsia="仿宋" w:hAnsi="仿宋"/>
          <w:sz w:val="28"/>
          <w:szCs w:val="28"/>
        </w:rPr>
        <w:t>D</w:t>
      </w:r>
      <w:r>
        <w:rPr>
          <w:rFonts w:ascii="仿宋" w:eastAsia="仿宋" w:hAnsi="仿宋"/>
          <w:sz w:val="28"/>
          <w:szCs w:val="28"/>
        </w:rPr>
        <w:t>）</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参</w:t>
      </w:r>
      <w:r>
        <w:rPr>
          <w:rFonts w:ascii="仿宋" w:eastAsia="仿宋" w:hAnsi="仿宋"/>
          <w:sz w:val="28"/>
          <w:szCs w:val="28"/>
        </w:rPr>
        <w:t>考</w:t>
      </w:r>
      <w:r>
        <w:rPr>
          <w:rFonts w:ascii="仿宋" w:eastAsia="仿宋" w:hAnsi="仿宋"/>
          <w:sz w:val="28"/>
          <w:szCs w:val="28"/>
        </w:rPr>
        <w:t>时</w:t>
      </w:r>
      <w:r>
        <w:rPr>
          <w:rFonts w:ascii="仿宋" w:eastAsia="仿宋" w:hAnsi="仿宋"/>
          <w:sz w:val="28"/>
          <w:szCs w:val="28"/>
        </w:rPr>
        <w:t>钟</w:t>
      </w:r>
      <w:r>
        <w:rPr>
          <w:rFonts w:ascii="仿宋" w:eastAsia="仿宋" w:hAnsi="仿宋"/>
          <w:sz w:val="28"/>
          <w:szCs w:val="28"/>
        </w:rPr>
        <w:t>：</w:t>
      </w:r>
      <w:r>
        <w:rPr>
          <w:rFonts w:ascii="仿宋" w:eastAsia="仿宋" w:hAnsi="仿宋"/>
          <w:sz w:val="28"/>
          <w:szCs w:val="28"/>
        </w:rPr>
        <w:t>8</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输</w:t>
      </w:r>
      <w:r>
        <w:rPr>
          <w:rFonts w:ascii="仿宋" w:eastAsia="仿宋" w:hAnsi="仿宋"/>
          <w:sz w:val="28"/>
          <w:szCs w:val="28"/>
        </w:rPr>
        <w:t>出</w:t>
      </w:r>
      <w:r>
        <w:rPr>
          <w:rFonts w:ascii="仿宋" w:eastAsia="仿宋" w:hAnsi="仿宋"/>
          <w:sz w:val="28"/>
          <w:szCs w:val="28"/>
        </w:rPr>
        <w:t>中</w:t>
      </w:r>
      <w:r>
        <w:rPr>
          <w:rFonts w:ascii="仿宋" w:eastAsia="仿宋" w:hAnsi="仿宋"/>
          <w:sz w:val="28"/>
          <w:szCs w:val="28"/>
        </w:rPr>
        <w:t>频</w:t>
      </w:r>
      <w:r>
        <w:rPr>
          <w:rFonts w:ascii="仿宋" w:eastAsia="仿宋" w:hAnsi="仿宋"/>
          <w:sz w:val="28"/>
          <w:szCs w:val="28"/>
        </w:rPr>
        <w:t>激</w:t>
      </w:r>
      <w:r>
        <w:rPr>
          <w:rFonts w:ascii="仿宋" w:eastAsia="仿宋" w:hAnsi="仿宋"/>
          <w:sz w:val="28"/>
          <w:szCs w:val="28"/>
        </w:rPr>
        <w:t>励</w:t>
      </w:r>
      <w:r>
        <w:rPr>
          <w:rFonts w:ascii="仿宋" w:eastAsia="仿宋" w:hAnsi="仿宋"/>
          <w:sz w:val="28"/>
          <w:szCs w:val="28"/>
        </w:rPr>
        <w:t>信</w:t>
      </w:r>
      <w:r>
        <w:rPr>
          <w:rFonts w:ascii="仿宋" w:eastAsia="仿宋" w:hAnsi="仿宋"/>
          <w:sz w:val="28"/>
          <w:szCs w:val="28"/>
        </w:rPr>
        <w:t>号</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0</w:t>
      </w:r>
      <w:r>
        <w:rPr>
          <w:rFonts w:ascii="仿宋" w:eastAsia="仿宋" w:hAnsi="仿宋"/>
          <w:sz w:val="28"/>
          <w:szCs w:val="28"/>
        </w:rPr>
        <w:t>±</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输</w:t>
      </w:r>
      <w:r>
        <w:rPr>
          <w:rFonts w:ascii="仿宋" w:eastAsia="仿宋" w:hAnsi="仿宋"/>
          <w:sz w:val="28"/>
          <w:szCs w:val="28"/>
        </w:rPr>
        <w:t>入</w:t>
      </w:r>
      <w:r>
        <w:rPr>
          <w:rFonts w:ascii="仿宋" w:eastAsia="仿宋" w:hAnsi="仿宋"/>
          <w:sz w:val="28"/>
          <w:szCs w:val="28"/>
        </w:rPr>
        <w:t>中</w:t>
      </w:r>
      <w:r>
        <w:rPr>
          <w:rFonts w:ascii="仿宋" w:eastAsia="仿宋" w:hAnsi="仿宋"/>
          <w:sz w:val="28"/>
          <w:szCs w:val="28"/>
        </w:rPr>
        <w:t>频</w:t>
      </w:r>
      <w:r>
        <w:rPr>
          <w:rFonts w:ascii="仿宋" w:eastAsia="仿宋" w:hAnsi="仿宋"/>
          <w:sz w:val="28"/>
          <w:szCs w:val="28"/>
        </w:rPr>
        <w:t>信</w:t>
      </w:r>
      <w:r>
        <w:rPr>
          <w:rFonts w:ascii="仿宋" w:eastAsia="仿宋" w:hAnsi="仿宋"/>
          <w:sz w:val="28"/>
          <w:szCs w:val="28"/>
        </w:rPr>
        <w:t>号</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0</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m</w:t>
      </w:r>
      <w:r>
        <w:rPr>
          <w:rFonts w:ascii="仿宋" w:eastAsia="仿宋" w:hAnsi="仿宋" w:hint="eastAsia"/>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动</w:t>
      </w:r>
      <w:r>
        <w:rPr>
          <w:rFonts w:ascii="仿宋" w:eastAsia="仿宋" w:hAnsi="仿宋"/>
          <w:sz w:val="28"/>
          <w:szCs w:val="28"/>
        </w:rPr>
        <w:t>态</w:t>
      </w:r>
      <w:r>
        <w:rPr>
          <w:rFonts w:ascii="仿宋" w:eastAsia="仿宋" w:hAnsi="仿宋"/>
          <w:sz w:val="28"/>
          <w:szCs w:val="28"/>
        </w:rPr>
        <w:t>范</w:t>
      </w:r>
      <w:r>
        <w:rPr>
          <w:rFonts w:ascii="仿宋" w:eastAsia="仿宋" w:hAnsi="仿宋"/>
          <w:sz w:val="28"/>
          <w:szCs w:val="28"/>
        </w:rPr>
        <w:t>围</w:t>
      </w:r>
      <w:r>
        <w:rPr>
          <w:rFonts w:ascii="仿宋" w:eastAsia="仿宋" w:hAnsi="仿宋"/>
          <w:sz w:val="28"/>
          <w:szCs w:val="28"/>
        </w:rPr>
        <w:t>优</w:t>
      </w:r>
      <w:r>
        <w:rPr>
          <w:rFonts w:ascii="仿宋" w:eastAsia="仿宋" w:hAnsi="仿宋"/>
          <w:sz w:val="28"/>
          <w:szCs w:val="28"/>
        </w:rPr>
        <w:t>于</w:t>
      </w:r>
      <w:r>
        <w:rPr>
          <w:rFonts w:ascii="仿宋" w:eastAsia="仿宋" w:hAnsi="仿宋"/>
          <w:sz w:val="28"/>
          <w:szCs w:val="28"/>
        </w:rPr>
        <w:t>9</w:t>
      </w:r>
      <w:r>
        <w:rPr>
          <w:rFonts w:ascii="仿宋" w:eastAsia="仿宋" w:hAnsi="仿宋"/>
          <w:sz w:val="28"/>
          <w:szCs w:val="28"/>
        </w:rPr>
        <w:t>5</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M</w:t>
      </w:r>
      <w:r>
        <w:rPr>
          <w:rFonts w:ascii="仿宋" w:eastAsia="仿宋" w:hAnsi="仿宋"/>
          <w:sz w:val="28"/>
          <w:szCs w:val="28"/>
        </w:rPr>
        <w:t>H</w:t>
      </w:r>
      <w:r>
        <w:rPr>
          <w:rFonts w:ascii="仿宋" w:eastAsia="仿宋" w:hAnsi="仿宋"/>
          <w:sz w:val="28"/>
          <w:szCs w:val="28"/>
        </w:rPr>
        <w:t>z</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脉</w:t>
      </w:r>
      <w:r>
        <w:rPr>
          <w:rFonts w:ascii="仿宋" w:eastAsia="仿宋" w:hAnsi="仿宋"/>
          <w:sz w:val="28"/>
          <w:szCs w:val="28"/>
        </w:rPr>
        <w:t>冲</w:t>
      </w:r>
      <w:r>
        <w:rPr>
          <w:rFonts w:ascii="仿宋" w:eastAsia="仿宋" w:hAnsi="仿宋"/>
          <w:sz w:val="28"/>
          <w:szCs w:val="28"/>
        </w:rPr>
        <w:t>压</w:t>
      </w:r>
      <w:r>
        <w:rPr>
          <w:rFonts w:ascii="仿宋" w:eastAsia="仿宋" w:hAnsi="仿宋"/>
          <w:sz w:val="28"/>
          <w:szCs w:val="28"/>
        </w:rPr>
        <w:t>缩</w:t>
      </w:r>
      <w:r>
        <w:rPr>
          <w:rFonts w:ascii="仿宋" w:eastAsia="仿宋" w:hAnsi="仿宋"/>
          <w:sz w:val="28"/>
          <w:szCs w:val="28"/>
        </w:rPr>
        <w:t>主</w:t>
      </w:r>
      <w:r>
        <w:rPr>
          <w:rFonts w:ascii="仿宋" w:eastAsia="仿宋" w:hAnsi="仿宋"/>
          <w:sz w:val="28"/>
          <w:szCs w:val="28"/>
        </w:rPr>
        <w:t>副</w:t>
      </w:r>
      <w:r>
        <w:rPr>
          <w:rFonts w:ascii="仿宋" w:eastAsia="仿宋" w:hAnsi="仿宋"/>
          <w:sz w:val="28"/>
          <w:szCs w:val="28"/>
        </w:rPr>
        <w:t>瓣</w:t>
      </w:r>
      <w:r>
        <w:rPr>
          <w:rFonts w:ascii="仿宋" w:eastAsia="仿宋" w:hAnsi="仿宋"/>
          <w:sz w:val="28"/>
          <w:szCs w:val="28"/>
        </w:rPr>
        <w:t>比</w:t>
      </w:r>
      <w:r>
        <w:rPr>
          <w:rFonts w:ascii="仿宋" w:eastAsia="仿宋" w:hAnsi="仿宋"/>
          <w:sz w:val="28"/>
          <w:szCs w:val="28"/>
        </w:rPr>
        <w:t>优</w:t>
      </w:r>
      <w:r>
        <w:rPr>
          <w:rFonts w:ascii="仿宋" w:eastAsia="仿宋" w:hAnsi="仿宋"/>
          <w:sz w:val="28"/>
          <w:szCs w:val="28"/>
        </w:rPr>
        <w:t>于</w:t>
      </w:r>
      <w:r>
        <w:rPr>
          <w:rFonts w:ascii="仿宋" w:eastAsia="仿宋" w:hAnsi="仿宋"/>
          <w:sz w:val="28"/>
          <w:szCs w:val="28"/>
        </w:rPr>
        <w:t>5</w:t>
      </w:r>
      <w:r>
        <w:rPr>
          <w:rFonts w:ascii="仿宋" w:eastAsia="仿宋" w:hAnsi="仿宋"/>
          <w:sz w:val="28"/>
          <w:szCs w:val="28"/>
        </w:rPr>
        <w:t>0</w:t>
      </w:r>
      <w:r>
        <w:rPr>
          <w:rFonts w:ascii="仿宋" w:eastAsia="仿宋" w:hAnsi="仿宋"/>
          <w:sz w:val="28"/>
          <w:szCs w:val="28"/>
        </w:rPr>
        <w:t>d</w:t>
      </w:r>
      <w:r>
        <w:rPr>
          <w:rFonts w:ascii="仿宋" w:eastAsia="仿宋" w:hAnsi="仿宋"/>
          <w:sz w:val="28"/>
          <w:szCs w:val="28"/>
        </w:rPr>
        <w:t>B</w:t>
      </w:r>
      <w:r>
        <w:rPr>
          <w:rFonts w:ascii="仿宋" w:eastAsia="仿宋" w:hAnsi="仿宋"/>
          <w:sz w:val="28"/>
          <w:szCs w:val="28"/>
        </w:rPr>
        <w:t>@</w:t>
      </w:r>
      <w:r>
        <w:rPr>
          <w:rFonts w:ascii="仿宋" w:eastAsia="仿宋" w:hAnsi="仿宋"/>
          <w:sz w:val="28"/>
          <w:szCs w:val="28"/>
        </w:rPr>
        <w:t>脉</w:t>
      </w:r>
      <w:r>
        <w:rPr>
          <w:rFonts w:ascii="仿宋" w:eastAsia="仿宋" w:hAnsi="仿宋"/>
          <w:sz w:val="28"/>
          <w:szCs w:val="28"/>
        </w:rPr>
        <w:t>压</w:t>
      </w:r>
      <w:r>
        <w:rPr>
          <w:rFonts w:ascii="仿宋" w:eastAsia="仿宋" w:hAnsi="仿宋"/>
          <w:sz w:val="28"/>
          <w:szCs w:val="28"/>
        </w:rPr>
        <w:t>比</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最</w:t>
      </w:r>
      <w:r>
        <w:rPr>
          <w:rFonts w:ascii="仿宋" w:eastAsia="仿宋" w:hAnsi="仿宋"/>
          <w:sz w:val="28"/>
          <w:szCs w:val="28"/>
        </w:rPr>
        <w:t>大</w:t>
      </w:r>
      <w:r>
        <w:rPr>
          <w:rFonts w:ascii="仿宋" w:eastAsia="仿宋" w:hAnsi="仿宋"/>
          <w:sz w:val="28"/>
          <w:szCs w:val="28"/>
        </w:rPr>
        <w:t>距</w:t>
      </w:r>
      <w:r>
        <w:rPr>
          <w:rFonts w:ascii="仿宋" w:eastAsia="仿宋" w:hAnsi="仿宋"/>
          <w:sz w:val="28"/>
          <w:szCs w:val="28"/>
        </w:rPr>
        <w:t>离</w:t>
      </w:r>
      <w:r>
        <w:rPr>
          <w:rFonts w:ascii="仿宋" w:eastAsia="仿宋" w:hAnsi="仿宋"/>
          <w:sz w:val="28"/>
          <w:szCs w:val="28"/>
        </w:rPr>
        <w:t>库</w:t>
      </w:r>
      <w:r>
        <w:rPr>
          <w:rFonts w:ascii="仿宋" w:eastAsia="仿宋" w:hAnsi="仿宋"/>
          <w:sz w:val="28"/>
          <w:szCs w:val="28"/>
        </w:rPr>
        <w:t>数</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5</w:t>
      </w:r>
      <w:r>
        <w:rPr>
          <w:rFonts w:ascii="仿宋" w:eastAsia="仿宋" w:hAnsi="仿宋"/>
          <w:sz w:val="28"/>
          <w:szCs w:val="28"/>
        </w:rPr>
        <w:t>0</w:t>
      </w:r>
      <w:r>
        <w:rPr>
          <w:rFonts w:ascii="仿宋" w:eastAsia="仿宋" w:hAnsi="仿宋"/>
          <w:sz w:val="28"/>
          <w:szCs w:val="28"/>
        </w:rPr>
        <w:t>0</w:t>
      </w:r>
      <w:r>
        <w:rPr>
          <w:rFonts w:ascii="仿宋" w:eastAsia="仿宋" w:hAnsi="仿宋"/>
          <w:sz w:val="28"/>
          <w:szCs w:val="28"/>
        </w:rPr>
        <w:t>个</w:t>
      </w:r>
      <w:r>
        <w:rPr>
          <w:rFonts w:ascii="仿宋" w:eastAsia="仿宋" w:hAnsi="仿宋"/>
          <w:sz w:val="28"/>
          <w:szCs w:val="28"/>
        </w:rPr>
        <w:t>；</w:t>
      </w:r>
    </w:p>
    <w:p>
      <w:pPr>
        <w:numPr>
          <w:ilvl w:val="0"/>
          <w:numId w:val="8"/>
        </w:numPr>
        <w:tabs>
          <w:tab w:val="left" w:pos="420"/>
        </w:tabs>
        <w:spacing w:line="570" w:lineRule="exact"/>
        <w:ind w:firstLine="552" w:firstLineChars="0"/>
        <w:rPr>
          <w:rFonts w:ascii="仿宋" w:eastAsia="仿宋" w:hAnsi="仿宋"/>
          <w:sz w:val="28"/>
          <w:szCs w:val="28"/>
        </w:rPr>
      </w:pPr>
      <w:r>
        <w:rPr>
          <w:rFonts w:ascii="仿宋" w:eastAsia="仿宋" w:hAnsi="仿宋"/>
          <w:sz w:val="28"/>
          <w:szCs w:val="28"/>
        </w:rPr>
        <w:sym w:font="仿宋" w:char="F06C"/>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系</w:t>
      </w:r>
      <w:r>
        <w:rPr>
          <w:rFonts w:ascii="仿宋" w:eastAsia="仿宋" w:hAnsi="仿宋"/>
          <w:sz w:val="28"/>
          <w:szCs w:val="28"/>
        </w:rPr>
        <w:t>数</w:t>
      </w:r>
      <w:r>
        <w:rPr>
          <w:rFonts w:ascii="仿宋" w:eastAsia="仿宋" w:hAnsi="仿宋"/>
          <w:sz w:val="28"/>
          <w:szCs w:val="28"/>
        </w:rPr>
        <w:t>处</w:t>
      </w:r>
      <w:r>
        <w:rPr>
          <w:rFonts w:ascii="仿宋" w:eastAsia="仿宋" w:hAnsi="仿宋"/>
          <w:sz w:val="28"/>
          <w:szCs w:val="28"/>
        </w:rPr>
        <w:t>理</w:t>
      </w:r>
      <w:r>
        <w:rPr>
          <w:rFonts w:ascii="仿宋" w:eastAsia="仿宋" w:hAnsi="仿宋"/>
          <w:sz w:val="28"/>
          <w:szCs w:val="28"/>
        </w:rPr>
        <w:t>方</w:t>
      </w:r>
      <w:r>
        <w:rPr>
          <w:rFonts w:ascii="仿宋" w:eastAsia="仿宋" w:hAnsi="仿宋"/>
          <w:sz w:val="28"/>
          <w:szCs w:val="28"/>
        </w:rPr>
        <w:t>式</w:t>
      </w:r>
      <w:r>
        <w:rPr>
          <w:rFonts w:ascii="仿宋" w:eastAsia="仿宋" w:hAnsi="仿宋"/>
          <w:sz w:val="28"/>
          <w:szCs w:val="28"/>
        </w:rPr>
        <w:t>：</w:t>
      </w:r>
      <w:r>
        <w:rPr>
          <w:rFonts w:ascii="仿宋" w:eastAsia="仿宋" w:hAnsi="仿宋"/>
          <w:sz w:val="28"/>
          <w:szCs w:val="28"/>
        </w:rPr>
        <w:t>一</w:t>
      </w:r>
      <w:r>
        <w:rPr>
          <w:rFonts w:ascii="仿宋" w:eastAsia="仿宋" w:hAnsi="仿宋"/>
          <w:sz w:val="28"/>
          <w:szCs w:val="28"/>
        </w:rPr>
        <w:t>阶</w:t>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或</w:t>
      </w:r>
      <w:r>
        <w:rPr>
          <w:rFonts w:ascii="仿宋" w:eastAsia="仿宋" w:hAnsi="仿宋"/>
          <w:sz w:val="28"/>
          <w:szCs w:val="28"/>
        </w:rPr>
        <w:t>多</w:t>
      </w:r>
      <w:r>
        <w:rPr>
          <w:rFonts w:ascii="仿宋" w:eastAsia="仿宋" w:hAnsi="仿宋"/>
          <w:sz w:val="28"/>
          <w:szCs w:val="28"/>
        </w:rPr>
        <w:t>阶</w:t>
      </w:r>
      <w:r>
        <w:rPr>
          <w:rFonts w:ascii="仿宋" w:eastAsia="仿宋" w:hAnsi="仿宋"/>
          <w:sz w:val="28"/>
          <w:szCs w:val="28"/>
        </w:rPr>
        <w:t>相</w:t>
      </w:r>
      <w:r>
        <w:rPr>
          <w:rFonts w:ascii="仿宋" w:eastAsia="仿宋" w:hAnsi="仿宋"/>
          <w:sz w:val="28"/>
          <w:szCs w:val="28"/>
        </w:rPr>
        <w:t>关</w:t>
      </w:r>
      <w:r>
        <w:rPr>
          <w:rFonts w:ascii="仿宋" w:eastAsia="仿宋" w:hAnsi="仿宋"/>
          <w:sz w:val="28"/>
          <w:szCs w:val="28"/>
        </w:rPr>
        <w:t>；</w:t>
      </w:r>
    </w:p>
    <w:p>
      <w:pPr>
        <w:numPr>
          <w:ilvl w:val="0"/>
          <w:numId w:val="8"/>
        </w:numPr>
        <w:tabs>
          <w:tab w:val="left" w:pos="420"/>
        </w:tabs>
        <w:spacing w:line="570" w:lineRule="exact"/>
        <w:ind w:firstLine="552" w:firstLineChars="0"/>
        <w:rPr>
          <w:rFonts w:ascii="仿宋_GB2312" w:eastAsia="仿宋_GB2312" w:hint="eastAsia"/>
          <w:color w:val="000000"/>
          <w:sz w:val="28"/>
          <w:szCs w:val="28"/>
        </w:rPr>
      </w:pPr>
      <w:r>
        <w:rPr>
          <w:rFonts w:ascii="仿宋" w:eastAsia="仿宋" w:hAnsi="仿宋"/>
          <w:sz w:val="28"/>
          <w:szCs w:val="28"/>
        </w:rPr>
        <w:sym w:font="仿宋" w:char="F06C"/>
      </w:r>
      <w:r>
        <w:rPr>
          <w:rFonts w:ascii="仿宋" w:eastAsia="仿宋" w:hAnsi="仿宋"/>
          <w:sz w:val="28"/>
          <w:szCs w:val="28"/>
        </w:rPr>
        <w:t>处</w:t>
      </w:r>
      <w:r>
        <w:rPr>
          <w:rFonts w:ascii="仿宋" w:eastAsia="仿宋" w:hAnsi="仿宋"/>
          <w:sz w:val="28"/>
          <w:szCs w:val="28"/>
        </w:rPr>
        <w:t>理</w:t>
      </w:r>
      <w:r>
        <w:rPr>
          <w:rFonts w:ascii="仿宋" w:eastAsia="仿宋" w:hAnsi="仿宋"/>
          <w:sz w:val="28"/>
          <w:szCs w:val="28"/>
        </w:rPr>
        <w:t>对</w:t>
      </w:r>
      <w:r>
        <w:rPr>
          <w:rFonts w:ascii="仿宋" w:eastAsia="仿宋" w:hAnsi="仿宋"/>
          <w:sz w:val="28"/>
          <w:szCs w:val="28"/>
        </w:rPr>
        <w:t>数</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6</w:t>
      </w:r>
      <w:r>
        <w:rPr>
          <w:rFonts w:ascii="仿宋" w:eastAsia="仿宋" w:hAnsi="仿宋"/>
          <w:sz w:val="28"/>
          <w:szCs w:val="28"/>
        </w:rPr>
        <w:t>、</w:t>
      </w:r>
      <w:r>
        <w:rPr>
          <w:rFonts w:ascii="仿宋" w:eastAsia="仿宋" w:hAnsi="仿宋"/>
          <w:sz w:val="28"/>
          <w:szCs w:val="28"/>
        </w:rPr>
        <w:t>3</w:t>
      </w:r>
      <w:r>
        <w:rPr>
          <w:rFonts w:ascii="仿宋" w:eastAsia="仿宋" w:hAnsi="仿宋"/>
          <w:sz w:val="28"/>
          <w:szCs w:val="28"/>
        </w:rPr>
        <w:t>2</w:t>
      </w:r>
      <w:r>
        <w:rPr>
          <w:rFonts w:ascii="仿宋" w:eastAsia="仿宋" w:hAnsi="仿宋"/>
          <w:sz w:val="28"/>
          <w:szCs w:val="28"/>
        </w:rPr>
        <w:t>、</w:t>
      </w:r>
      <w:r>
        <w:rPr>
          <w:rFonts w:ascii="仿宋" w:eastAsia="仿宋" w:hAnsi="仿宋"/>
          <w:sz w:val="28"/>
          <w:szCs w:val="28"/>
        </w:rPr>
        <w:t>6</w:t>
      </w:r>
      <w:r>
        <w:rPr>
          <w:rFonts w:ascii="仿宋" w:eastAsia="仿宋" w:hAnsi="仿宋"/>
          <w:sz w:val="28"/>
          <w:szCs w:val="28"/>
        </w:rPr>
        <w:t>4</w:t>
      </w:r>
      <w:r>
        <w:rPr>
          <w:rFonts w:ascii="仿宋" w:eastAsia="仿宋" w:hAnsi="仿宋"/>
          <w:sz w:val="28"/>
          <w:szCs w:val="28"/>
        </w:rPr>
        <w:t>、</w:t>
      </w:r>
      <w:r>
        <w:rPr>
          <w:rFonts w:ascii="仿宋" w:eastAsia="仿宋" w:hAnsi="仿宋"/>
          <w:sz w:val="28"/>
          <w:szCs w:val="28"/>
        </w:rPr>
        <w:t>1</w:t>
      </w:r>
      <w:r>
        <w:rPr>
          <w:rFonts w:ascii="仿宋" w:eastAsia="仿宋" w:hAnsi="仿宋"/>
          <w:sz w:val="28"/>
          <w:szCs w:val="28"/>
        </w:rPr>
        <w:t>2</w:t>
      </w:r>
      <w:r>
        <w:rPr>
          <w:rFonts w:ascii="仿宋" w:eastAsia="仿宋" w:hAnsi="仿宋"/>
          <w:sz w:val="28"/>
          <w:szCs w:val="28"/>
        </w:rPr>
        <w:t>8</w:t>
      </w:r>
      <w:r>
        <w:rPr>
          <w:rFonts w:ascii="仿宋" w:eastAsia="仿宋" w:hAnsi="仿宋"/>
          <w:sz w:val="28"/>
          <w:szCs w:val="28"/>
        </w:rPr>
        <w:t>、</w:t>
      </w:r>
      <w:r>
        <w:rPr>
          <w:rFonts w:ascii="仿宋" w:eastAsia="仿宋" w:hAnsi="仿宋"/>
          <w:sz w:val="28"/>
          <w:szCs w:val="28"/>
        </w:rPr>
        <w:t>2</w:t>
      </w:r>
      <w:r>
        <w:rPr>
          <w:rFonts w:ascii="仿宋" w:eastAsia="仿宋" w:hAnsi="仿宋"/>
          <w:sz w:val="28"/>
          <w:szCs w:val="28"/>
        </w:rPr>
        <w:t>5</w:t>
      </w:r>
      <w:r>
        <w:rPr>
          <w:rFonts w:ascii="仿宋" w:eastAsia="仿宋" w:hAnsi="仿宋"/>
          <w:sz w:val="28"/>
          <w:szCs w:val="28"/>
        </w:rPr>
        <w:t>6</w:t>
      </w:r>
      <w:r>
        <w:rPr>
          <w:rFonts w:ascii="仿宋" w:eastAsia="仿宋" w:hAnsi="仿宋"/>
          <w:sz w:val="28"/>
          <w:szCs w:val="28"/>
        </w:rPr>
        <w:t>等</w:t>
      </w:r>
      <w:r>
        <w:rPr>
          <w:rFonts w:ascii="仿宋" w:eastAsia="仿宋" w:hAnsi="仿宋"/>
          <w:sz w:val="28"/>
          <w:szCs w:val="28"/>
        </w:rPr>
        <w:t>可</w:t>
      </w:r>
      <w:r>
        <w:rPr>
          <w:rFonts w:ascii="仿宋" w:eastAsia="仿宋" w:hAnsi="仿宋"/>
          <w:sz w:val="28"/>
          <w:szCs w:val="28"/>
        </w:rPr>
        <w:t>选</w:t>
      </w:r>
      <w:r>
        <w:rPr>
          <w:rFonts w:ascii="仿宋" w:eastAsia="仿宋" w:hAnsi="仿宋"/>
          <w:sz w:val="28"/>
          <w:szCs w:val="28"/>
        </w:rPr>
        <w:t>；</w:t>
      </w:r>
    </w:p>
    <w:p>
      <w:pPr>
        <w:numPr>
          <w:ilvl w:val="0"/>
          <w:numId w:val="8"/>
        </w:numPr>
        <w:tabs>
          <w:tab w:val="left" w:pos="420"/>
        </w:tabs>
        <w:spacing w:line="570" w:lineRule="exact"/>
        <w:ind w:firstLine="552" w:firstLineChars="0"/>
        <w:rPr>
          <w:rFonts w:ascii="仿宋_GB2312" w:eastAsia="仿宋_GB2312" w:hint="eastAsia"/>
          <w:color w:val="000000"/>
          <w:sz w:val="28"/>
          <w:szCs w:val="28"/>
        </w:rPr>
      </w:pPr>
      <w:r>
        <w:rPr>
          <w:rFonts w:ascii="仿宋" w:eastAsia="仿宋" w:hAnsi="仿宋"/>
          <w:sz w:val="28"/>
          <w:szCs w:val="28"/>
        </w:rPr>
        <w:sym w:font="仿宋" w:char="F06C"/>
      </w:r>
      <w:r>
        <w:rPr>
          <w:rFonts w:ascii="仿宋" w:eastAsia="仿宋" w:hAnsi="仿宋"/>
          <w:sz w:val="28"/>
          <w:szCs w:val="28"/>
        </w:rPr>
        <w:t>距</w:t>
      </w:r>
      <w:r>
        <w:rPr>
          <w:rFonts w:ascii="仿宋" w:eastAsia="仿宋" w:hAnsi="仿宋"/>
          <w:sz w:val="28"/>
          <w:szCs w:val="28"/>
        </w:rPr>
        <w:t>离</w:t>
      </w:r>
      <w:r>
        <w:rPr>
          <w:rFonts w:ascii="仿宋" w:eastAsia="仿宋" w:hAnsi="仿宋"/>
          <w:sz w:val="28"/>
          <w:szCs w:val="28"/>
        </w:rPr>
        <w:t>分</w:t>
      </w:r>
      <w:r>
        <w:rPr>
          <w:rFonts w:ascii="仿宋" w:eastAsia="仿宋" w:hAnsi="仿宋"/>
          <w:sz w:val="28"/>
          <w:szCs w:val="28"/>
        </w:rPr>
        <w:t>辨</w:t>
      </w:r>
      <w:r>
        <w:rPr>
          <w:rFonts w:ascii="仿宋" w:eastAsia="仿宋" w:hAnsi="仿宋"/>
          <w:sz w:val="28"/>
          <w:szCs w:val="28"/>
        </w:rPr>
        <w:t>率</w:t>
      </w:r>
      <w:r>
        <w:rPr>
          <w:rFonts w:ascii="仿宋" w:eastAsia="仿宋" w:hAnsi="仿宋"/>
          <w:sz w:val="28"/>
          <w:szCs w:val="28"/>
        </w:rPr>
        <w:t>：</w:t>
      </w:r>
      <w:r>
        <w:rPr>
          <w:rFonts w:ascii="仿宋" w:eastAsia="仿宋" w:hAnsi="仿宋"/>
          <w:sz w:val="28"/>
          <w:szCs w:val="28"/>
        </w:rPr>
        <w:t>≤</w:t>
      </w:r>
      <w:r>
        <w:rPr>
          <w:rFonts w:ascii="仿宋" w:eastAsia="仿宋" w:hAnsi="仿宋"/>
          <w:sz w:val="28"/>
          <w:szCs w:val="28"/>
        </w:rPr>
        <w:t>7</w:t>
      </w:r>
      <w:r>
        <w:rPr>
          <w:rFonts w:ascii="仿宋" w:eastAsia="仿宋" w:hAnsi="仿宋"/>
          <w:sz w:val="28"/>
          <w:szCs w:val="28"/>
        </w:rPr>
        <w:t>5</w:t>
      </w:r>
      <w:r>
        <w:rPr>
          <w:rFonts w:ascii="仿宋" w:eastAsia="仿宋" w:hAnsi="仿宋"/>
          <w:sz w:val="28"/>
          <w:szCs w:val="28"/>
        </w:rPr>
        <w:t>m</w:t>
      </w:r>
      <w:r>
        <w:rPr>
          <w:rFonts w:ascii="仿宋" w:eastAsia="仿宋" w:hAnsi="仿宋"/>
          <w:sz w:val="28"/>
          <w:szCs w:val="28"/>
        </w:rPr>
        <w:t>；</w:t>
      </w:r>
    </w:p>
    <w:p>
      <w:pPr>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w:t>
      </w:r>
      <w:r>
        <w:rPr>
          <w:rFonts w:ascii="仿宋_GB2312" w:eastAsia="仿宋_GB2312" w:hAnsi="仿宋_GB2312" w:cs="仿宋_GB2312" w:hint="eastAsia"/>
          <w:sz w:val="28"/>
          <w:szCs w:val="28"/>
          <w:lang w:val="en-US" w:eastAsia="zh-CN"/>
        </w:rPr>
        <w:t>2</w:t>
      </w:r>
      <w:r>
        <w:rPr>
          <w:rFonts w:ascii="仿宋_GB2312" w:eastAsia="仿宋_GB2312" w:hAnsi="仿宋_GB2312" w:cs="仿宋_GB2312" w:hint="eastAsia"/>
          <w:sz w:val="28"/>
          <w:szCs w:val="28"/>
        </w:rPr>
        <w:t>信号处理软件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）、退偏振比（LDR，标准型应能够输出）等参数，具有速度退模糊和距离退折叠的能力。可向终端提供观测数据和状态信息等。具有地物、电磁干扰、风电干扰等非气象回波识别和抑制的能力。</w:t>
      </w:r>
    </w:p>
    <w:p>
      <w:pPr>
        <w:spacing w:line="240" w:lineRule="auto"/>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1.7.</w:t>
      </w:r>
      <w:r>
        <w:rPr>
          <w:rFonts w:ascii="仿宋_GB2312" w:eastAsia="仿宋_GB2312" w:hAnsi="仿宋_GB2312" w:cs="仿宋_GB2312" w:hint="eastAsia"/>
          <w:sz w:val="28"/>
          <w:szCs w:val="28"/>
          <w:lang w:val="en-US" w:eastAsia="zh-CN"/>
        </w:rPr>
        <w:t>3</w:t>
      </w:r>
      <w:r>
        <w:rPr>
          <w:rFonts w:ascii="仿宋_GB2312" w:eastAsia="仿宋_GB2312" w:hAnsi="仿宋_GB2312" w:cs="仿宋_GB2312" w:hint="eastAsia"/>
          <w:sz w:val="28"/>
          <w:szCs w:val="28"/>
        </w:rPr>
        <w:t>终端软件</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spacing w:line="570" w:lineRule="exact"/>
        <w:ind w:firstLine="560" w:firstLineChars="200"/>
        <w:rPr>
          <w:rFonts w:ascii="仿宋" w:eastAsia="仿宋" w:hAnsi="仿宋" w:hint="eastAsia"/>
          <w:sz w:val="28"/>
          <w:szCs w:val="28"/>
        </w:rPr>
      </w:pPr>
      <w:r>
        <w:rPr>
          <w:rFonts w:ascii="仿宋_GB2312" w:hint="eastAsia"/>
          <w:sz w:val="28"/>
          <w:szCs w:val="28"/>
        </w:rPr>
        <w:t>2）</w:t>
      </w:r>
      <w:r>
        <w:rPr>
          <w:rFonts w:ascii="仿宋" w:eastAsia="仿宋" w:hAnsi="仿宋" w:hint="eastAsia"/>
          <w:sz w:val="28"/>
          <w:szCs w:val="28"/>
          <w:highlight w:val="none"/>
        </w:rPr>
        <w:t>雷达标校软件具备在线标校和离线标校功能</w:t>
      </w:r>
      <w:r>
        <w:rPr>
          <w:rFonts w:ascii="仿宋" w:eastAsia="仿宋" w:hAnsi="仿宋" w:hint="eastAsia"/>
          <w:sz w:val="28"/>
          <w:szCs w:val="28"/>
        </w:rPr>
        <w:t>，在线监测结果要有独立报警门限并在记录文件中保存，可以在雷达终端上查看雷达系统长期的监测记录。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在线监测参数主要包括发射机峰值功率、接收机增益等；标准型的在线监测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hint="eastAsia"/>
          <w:sz w:val="28"/>
          <w:szCs w:val="28"/>
          <w:vertAlign w:val="baseline"/>
        </w:rPr>
        <w:t>2</w:t>
      </w:r>
      <w:r>
        <w:rPr>
          <w:rFonts w:ascii="仿宋" w:eastAsia="仿宋" w:hAnsi="仿宋" w:hint="eastAsia"/>
          <w:sz w:val="28"/>
          <w:szCs w:val="28"/>
        </w:rPr>
        <w:t>-1)/(m</w:t>
      </w:r>
      <w:r>
        <w:rPr>
          <w:rFonts w:ascii="仿宋" w:eastAsia="仿宋" w:hAnsi="仿宋" w:hint="eastAsia"/>
          <w:sz w:val="28"/>
          <w:szCs w:val="28"/>
          <w:vertAlign w:val="baseline"/>
        </w:rPr>
        <w:t>2</w:t>
      </w:r>
      <w:r>
        <w:rPr>
          <w:rFonts w:ascii="仿宋" w:eastAsia="仿宋" w:hAnsi="仿宋" w:hint="eastAsia"/>
          <w:sz w:val="28"/>
          <w:szCs w:val="28"/>
        </w:rPr>
        <w:t>+2)|）、匹配滤波器损耗、收发支路总损耗、天线增益、天线罩双程损耗。</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等，雷达应具有同步信号输出、网络通信等功能，还要具有相关测试参数设置，以及发射机重复频率、脉宽和测试信号控制等功能。主要包括：</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a）发射机脉冲宽度、峰值功率、频谱特性、输出端极限改善因子：发射机输出端测量；</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c）脉冲压缩主副瓣比：软件自动分别测试脉压比</w:t>
      </w:r>
      <w:r>
        <w:rPr>
          <w:rFonts w:ascii="仿宋" w:eastAsia="仿宋" w:hAnsi="仿宋" w:hint="eastAsia"/>
          <w:sz w:val="28"/>
          <w:szCs w:val="28"/>
        </w:rPr>
        <w:t>≥</w:t>
      </w:r>
      <w:r>
        <w:rPr>
          <w:rFonts w:ascii="仿宋" w:eastAsia="仿宋" w:hAnsi="仿宋" w:hint="eastAsia"/>
          <w:sz w:val="28"/>
          <w:szCs w:val="28"/>
        </w:rPr>
        <w:t>100和＜100的主副瓣比；</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d）地物对消能力：比较对消前和对消后的回波强度，检查系统对实际地物的抑制能力；</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e）天顶标定：采用小雨滴作为球形散射体检查两个通道的一致性；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f）金属球法：采用金属球作为标准器检查回波强度、差分反射率等雷达关键指标的探测准确性；</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g）天线波束指向误差：采用太阳法或其他等效方法进行检查；</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h）射频激励信号（RFD，标准型须具备）：可通过机外仪表进行输出功率测试。</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i）天线座水平度：在伺服转台顶部预留测试位置或内置测试设备。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highlight w:val="yellow"/>
        </w:rPr>
        <w:t>3）雷达控制软件有预置的多种观测模式#，</w:t>
      </w:r>
      <w:r>
        <w:rPr>
          <w:rFonts w:ascii="仿宋" w:eastAsia="仿宋" w:hAnsi="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spacing w:line="570" w:lineRule="exact"/>
        <w:ind w:firstLine="552" w:firstLineChars="0"/>
        <w:rPr>
          <w:rFonts w:ascii="仿宋" w:eastAsia="仿宋" w:hAnsi="仿宋" w:hint="eastAsia"/>
          <w:sz w:val="28"/>
          <w:szCs w:val="28"/>
        </w:rPr>
      </w:pPr>
      <w:r>
        <w:rPr>
          <w:rFonts w:ascii="仿宋" w:eastAsia="仿宋" w:hAnsi="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ind w:left="420" w:leftChars="200"/>
        <w:outlineLvl w:val="6"/>
        <w:rPr>
          <w:rFonts w:ascii="仿宋_GB2312" w:eastAsia="仿宋_GB2312" w:hAnsi="仿宋_GB2312" w:cs="仿宋_GB2312" w:hint="eastAsia"/>
          <w:b w:val="0"/>
          <w:bCs w:val="0"/>
          <w:sz w:val="28"/>
          <w:szCs w:val="28"/>
        </w:rPr>
      </w:pPr>
      <w:bookmarkStart w:id="74" w:name="_Toc522018069"/>
      <w:bookmarkStart w:id="75" w:name="_Toc522018392"/>
      <w:r>
        <w:rPr>
          <w:rFonts w:ascii="仿宋_GB2312" w:eastAsia="仿宋_GB2312" w:hAnsi="仿宋_GB2312" w:cs="仿宋_GB2312" w:hint="eastAsia"/>
          <w:b w:val="0"/>
          <w:bCs w:val="0"/>
          <w:sz w:val="28"/>
          <w:szCs w:val="28"/>
          <w:highlight w:val="none"/>
        </w:rPr>
        <w:t>1.7.3.1雷达系统监测</w:t>
      </w:r>
    </w:p>
    <w:p>
      <w:pPr>
        <w:spacing w:line="570" w:lineRule="exact"/>
        <w:ind w:firstLine="560" w:firstLineChars="200"/>
        <w:rPr>
          <w:rFonts w:ascii="仿宋_GB2312"/>
          <w:sz w:val="28"/>
          <w:szCs w:val="28"/>
        </w:rPr>
      </w:pPr>
      <w:r>
        <w:rPr>
          <w:rFonts w:ascii="仿宋" w:eastAsia="仿宋" w:hAnsi="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1）具备本地和远程在线监测功能，可显示雷达自动测试结果，并上传基础参数，基础参数包括但不限于：雷达静态参数、雷达运行模式参数、雷达运行环境参数、雷达在线标校参数等，具体参数见下表。</w:t>
      </w:r>
    </w:p>
    <w:p>
      <w:pPr>
        <w:jc w:val="center"/>
        <w:rPr>
          <w:rFonts w:eastAsia="方正小标宋简体" w:hint="eastAsia"/>
          <w:sz w:val="28"/>
          <w:szCs w:val="28"/>
        </w:rPr>
      </w:pP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Look w:val="0000"/>
      </w:tblPr>
      <w:tblGrid>
        <w:gridCol w:w="1235"/>
        <w:gridCol w:w="3847"/>
        <w:gridCol w:w="3401"/>
      </w:tblGrid>
      <w:tr>
        <w:tblPrEx>
          <w:tblW w:w="8483" w:type="dxa"/>
          <w:jc w:val="center"/>
          <w:tblLayout w:type="fixed"/>
          <w:tblCellMar>
            <w:top w:w="0" w:type="dxa"/>
            <w:left w:w="108" w:type="dxa"/>
            <w:bottom w:w="0" w:type="dxa"/>
            <w:right w:w="108" w:type="dxa"/>
          </w:tblCellMar>
          <w:tblLook w:val="0000"/>
        </w:tblPrEx>
        <w:trPr>
          <w:trHeight w:val="397"/>
          <w:tblHeader/>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序号</w:t>
            </w:r>
          </w:p>
        </w:tc>
        <w:tc>
          <w:tcPr>
            <w:tcW w:w="3847"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上传参数</w:t>
            </w:r>
          </w:p>
        </w:tc>
        <w:tc>
          <w:tcPr>
            <w:tcW w:w="340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备注</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雷达静态参数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雷达站号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站点名称</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纬度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经度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保留4位小数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天线馈源高度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地面高度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雷达型号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雷达数据采集终端版本号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工作频率</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单位：MHz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垂直天线增益</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垂直波束宽度H面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垂直波束宽度E面</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垂直发射馈线损耗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水平接收馈线损耗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19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垂直接收馈线损耗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天线罩双程损耗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双程大气损耗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单位：dB，保留3位小数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s匹配滤波器损耗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29</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其他损耗</w:t>
            </w:r>
          </w:p>
        </w:tc>
        <w:tc>
          <w:tcPr>
            <w:tcW w:w="3401" w:type="dxa"/>
            <w:tcBorders>
              <w:top w:val="nil"/>
              <w:left w:val="nil"/>
              <w:bottom w:val="single" w:sz="4" w:space="0" w:color="auto"/>
              <w:right w:val="single" w:sz="4" w:space="0" w:color="auto"/>
            </w:tcBorders>
          </w:tcPr>
          <w:p>
            <w:pPr>
              <w:widowControl/>
              <w:jc w:val="left"/>
              <w:rPr>
                <w:rFonts w:ascii="仿宋_GB2312"/>
                <w:kern w:val="0"/>
              </w:rPr>
            </w:pPr>
            <w:r>
              <w:rPr>
                <w:rFonts w:ascii="仿宋_GB2312"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雷达运行模式参数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30</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日期</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格式：YYYYMMDD</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31</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时间</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格式：HHmmss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32</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扫描模式</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33</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控制权标志</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34</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系统状态</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正常运行、需维护、故障、正常关机、待机、异常关机</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35</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状态数据格式版本号</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rPr>
            </w:pPr>
            <w:r>
              <w:rPr>
                <w:rFonts w:ascii="仿宋_GB2312" w:hint="eastAsia"/>
                <w:b/>
                <w:bCs/>
                <w:kern w:val="0"/>
                <w:sz w:val="24"/>
              </w:rPr>
              <w:t>雷达运行环境参数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36</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接收机温度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37</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天线罩内温度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r>
              <w:rPr>
                <w:rFonts w:ascii="仿宋_GB2312" w:hAnsi="宋体" w:cs="宋体"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nil"/>
              <w:left w:val="single" w:sz="4" w:space="0" w:color="auto"/>
              <w:bottom w:val="single" w:sz="4" w:space="0" w:color="auto"/>
              <w:right w:val="single" w:sz="4" w:space="0" w:color="auto"/>
            </w:tcBorders>
            <w:vAlign w:val="center"/>
          </w:tcPr>
          <w:p>
            <w:pPr>
              <w:widowControl/>
              <w:jc w:val="center"/>
              <w:rPr>
                <w:rFonts w:ascii="仿宋_GB2312"/>
                <w:kern w:val="0"/>
              </w:rPr>
            </w:pPr>
            <w:r>
              <w:rPr>
                <w:rFonts w:ascii="仿宋_GB2312" w:hint="eastAsia"/>
                <w:kern w:val="0"/>
                <w:sz w:val="24"/>
              </w:rPr>
              <w:t>38</w:t>
            </w:r>
          </w:p>
        </w:tc>
        <w:tc>
          <w:tcPr>
            <w:tcW w:w="3847"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天线罩内相对湿度</w:t>
            </w:r>
          </w:p>
        </w:tc>
        <w:tc>
          <w:tcPr>
            <w:tcW w:w="3401" w:type="dxa"/>
            <w:tcBorders>
              <w:top w:val="nil"/>
              <w:left w:val="nil"/>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单位：%</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int="eastAsia"/>
                <w:b/>
                <w:bCs/>
                <w:sz w:val="24"/>
              </w:rPr>
              <w:t>在线监测参数</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发射机峰值功率</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单位：kW</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水平通道噪声温度/噪声系数</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垂直通道噪声温度/噪声系数</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单位：K/dB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0.5</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59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10</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20</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40</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80</w:t>
            </w:r>
            <w:r>
              <w:rPr>
                <w:rFonts w:ascii="仿宋_GB2312" w:hint="eastAsia"/>
                <w:sz w:val="24"/>
              </w:rPr>
              <w:t>μ</w:t>
            </w:r>
            <w:r>
              <w:rPr>
                <w:rFonts w:ascii="仿宋_GB2312" w:hint="eastAsia"/>
                <w:sz w:val="24"/>
              </w:rPr>
              <w:t>s水平通道噪声电平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0.5</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10</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20</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69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40</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int="eastAsia"/>
                <w:sz w:val="24"/>
              </w:rPr>
              <w:t>80</w:t>
            </w:r>
            <w:r>
              <w:rPr>
                <w:rFonts w:ascii="仿宋_GB2312" w:hint="eastAsia"/>
                <w:sz w:val="24"/>
              </w:rPr>
              <w:t>μ</w:t>
            </w:r>
            <w:r>
              <w:rPr>
                <w:rFonts w:ascii="仿宋_GB2312" w:hint="eastAsia"/>
                <w:sz w:val="24"/>
              </w:rPr>
              <w:t>s垂直通道噪声电平</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水平通道相位噪声</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垂直通道相位噪声</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水平通道滤波前功率</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水平通道滤波后功率</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垂直通道滤波前功率</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垂直通道滤波后功率</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0.5</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561"/>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79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10</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20</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40</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89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s反射率因子期望值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sz w:val="24"/>
              </w:rPr>
              <w:t>80</w:t>
            </w:r>
            <w:r>
              <w:rPr>
                <w:rFonts w:ascii="仿宋_GB2312" w:hint="eastAsia"/>
                <w:sz w:val="24"/>
              </w:rPr>
              <w:t>μ</w:t>
            </w:r>
            <w:r>
              <w:rPr>
                <w:rFonts w:ascii="仿宋_GB2312" w:hint="eastAsia"/>
                <w:sz w:val="24"/>
              </w:rPr>
              <w:t>s反射率因子测量值</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单位：dBZ</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速度期望值1（移相0</w:t>
            </w:r>
            <w:r>
              <w:rPr>
                <w:rFonts w:ascii="仿宋_GB2312" w:hAnsi="仿宋" w:hint="eastAsia"/>
                <w:sz w:val="24"/>
              </w:rPr>
              <w:t>π</w:t>
            </w:r>
            <w:r>
              <w:rPr>
                <w:rFonts w:ascii="仿宋_GB2312" w:hAnsi="仿宋" w:hint="eastAsia"/>
                <w:sz w:val="24"/>
              </w:rPr>
              <w:t>）</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速度测量值1（移相0</w:t>
            </w:r>
            <w:r>
              <w:rPr>
                <w:rFonts w:ascii="仿宋_GB2312" w:hAnsi="仿宋" w:hint="eastAsia"/>
                <w:sz w:val="24"/>
              </w:rPr>
              <w:t>π</w:t>
            </w:r>
            <w:r>
              <w:rPr>
                <w:rFonts w:ascii="仿宋_GB2312" w:hAnsi="仿宋" w:hint="eastAsia"/>
                <w:sz w:val="24"/>
              </w:rPr>
              <w:t>）</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速度期望值2（移相</w:t>
            </w:r>
            <w:r>
              <w:rPr>
                <w:rFonts w:ascii="仿宋_GB2312" w:hAnsi="仿宋" w:hint="eastAsia"/>
                <w:sz w:val="24"/>
              </w:rPr>
              <w:t>π</w:t>
            </w:r>
            <w:r>
              <w:rPr>
                <w:rFonts w:ascii="仿宋_GB2312" w:hAnsi="仿宋" w:hint="eastAsia"/>
                <w:sz w:val="24"/>
              </w:rPr>
              <w:t>/4）</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速度测量值2（移相</w:t>
            </w:r>
            <w:r>
              <w:rPr>
                <w:rFonts w:ascii="仿宋_GB2312" w:hAnsi="仿宋" w:hint="eastAsia"/>
                <w:sz w:val="24"/>
              </w:rPr>
              <w:t>π</w:t>
            </w:r>
            <w:r>
              <w:rPr>
                <w:rFonts w:ascii="仿宋_GB2312" w:hAnsi="仿宋" w:hint="eastAsia"/>
                <w:sz w:val="24"/>
              </w:rPr>
              <w:t>/4）</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速度期望值3（移相3</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速度测量值3（移相3</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速度期望值4（移相5</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速度测量值4（移相5</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99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谱宽期望值1（移相0</w:t>
            </w:r>
            <w:r>
              <w:rPr>
                <w:rFonts w:ascii="仿宋_GB2312" w:hAnsi="仿宋" w:hint="eastAsia"/>
                <w:sz w:val="24"/>
              </w:rPr>
              <w:t>π</w:t>
            </w:r>
            <w:r>
              <w:rPr>
                <w:rFonts w:ascii="仿宋_GB2312" w:hAnsi="仿宋" w:hint="eastAsia"/>
                <w:sz w:val="24"/>
              </w:rPr>
              <w:t>）</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谱宽测量值1（移相0</w:t>
            </w:r>
            <w:r>
              <w:rPr>
                <w:rFonts w:ascii="仿宋_GB2312" w:hAnsi="仿宋" w:hint="eastAsia"/>
                <w:sz w:val="24"/>
              </w:rPr>
              <w:t>π</w:t>
            </w:r>
            <w:r>
              <w:rPr>
                <w:rFonts w:ascii="仿宋_GB2312" w:hAnsi="仿宋" w:hint="eastAsia"/>
                <w:sz w:val="24"/>
              </w:rPr>
              <w:t>）</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谱宽期望值2（移相</w:t>
            </w:r>
            <w:r>
              <w:rPr>
                <w:rFonts w:ascii="仿宋_GB2312" w:hAnsi="仿宋" w:hint="eastAsia"/>
                <w:sz w:val="24"/>
              </w:rPr>
              <w:t>π</w:t>
            </w:r>
            <w:r>
              <w:rPr>
                <w:rFonts w:ascii="仿宋_GB2312" w:hAnsi="仿宋" w:hint="eastAsia"/>
                <w:sz w:val="24"/>
              </w:rPr>
              <w:t>/4）</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谱宽测量值2（移相</w:t>
            </w:r>
            <w:r>
              <w:rPr>
                <w:rFonts w:ascii="仿宋_GB2312" w:hAnsi="仿宋" w:hint="eastAsia"/>
                <w:sz w:val="24"/>
              </w:rPr>
              <w:t>π</w:t>
            </w:r>
            <w:r>
              <w:rPr>
                <w:rFonts w:ascii="仿宋_GB2312" w:hAnsi="仿宋" w:hint="eastAsia"/>
                <w:sz w:val="24"/>
              </w:rPr>
              <w:t>/4）</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谱宽期望值3（移相3</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谱宽测量值3（移相3</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谱宽期望值4（移相5</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106</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rPr>
            </w:pPr>
            <w:r>
              <w:rPr>
                <w:rFonts w:ascii="仿宋_GB2312" w:hAnsi="仿宋" w:hint="eastAsia"/>
                <w:sz w:val="24"/>
              </w:rPr>
              <w:t>谱宽测量值4（移相5</w:t>
            </w:r>
            <w:r>
              <w:rPr>
                <w:rFonts w:ascii="仿宋_GB2312" w:hAnsi="仿宋" w:hint="eastAsia"/>
                <w:sz w:val="24"/>
              </w:rPr>
              <w:t>π</w:t>
            </w:r>
            <w:r>
              <w:rPr>
                <w:rFonts w:ascii="仿宋_GB2312" w:hAnsi="仿宋" w:hint="eastAsia"/>
                <w:sz w:val="24"/>
              </w:rPr>
              <w:t>/8）</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单位：m/s</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107</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ZDR标校值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108</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Φ</w:t>
            </w:r>
            <w:r>
              <w:rPr>
                <w:rFonts w:ascii="仿宋_GB2312" w:hAnsi="仿宋" w:hint="eastAsia"/>
                <w:kern w:val="0"/>
                <w:sz w:val="24"/>
              </w:rPr>
              <w:t>DP标校值</w:t>
            </w:r>
          </w:p>
        </w:tc>
        <w:tc>
          <w:tcPr>
            <w:tcW w:w="340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rPr>
            </w:pPr>
            <w:r>
              <w:rPr>
                <w:rFonts w:ascii="仿宋_GB2312" w:hAnsi="仿宋" w:hint="eastAsia"/>
                <w:kern w:val="0"/>
                <w:sz w:val="24"/>
              </w:rPr>
              <w:t>单位：</w:t>
            </w:r>
            <w:r>
              <w:rPr>
                <w:rFonts w:ascii="仿宋_GB2312" w:hAnsi="仿宋" w:hint="eastAsia"/>
                <w:kern w:val="0"/>
                <w:sz w:val="24"/>
              </w:rPr>
              <w:t>°</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109</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0.5</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110</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111</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112</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10</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113</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20</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114</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40</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r>
        <w:tblPrEx>
          <w:tblW w:w="8483" w:type="dxa"/>
          <w:jc w:val="center"/>
          <w:tblLayout w:type="fixed"/>
          <w:tblCellMar>
            <w:top w:w="0" w:type="dxa"/>
            <w:left w:w="108" w:type="dxa"/>
            <w:bottom w:w="0" w:type="dxa"/>
            <w:right w:w="108" w:type="dxa"/>
          </w:tblCellMar>
          <w:tblLook w:val="0000"/>
        </w:tblPrEx>
        <w:trPr>
          <w:trHeight w:val="397"/>
          <w:jc w:val="center"/>
        </w:trPr>
        <w:tc>
          <w:tcPr>
            <w:tcW w:w="1235"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rPr>
            </w:pPr>
            <w:r>
              <w:rPr>
                <w:rFonts w:ascii="仿宋_GB2312" w:hAnsi="仿宋" w:hint="eastAsia"/>
                <w:kern w:val="0"/>
                <w:sz w:val="24"/>
              </w:rPr>
              <w:t>115</w:t>
            </w:r>
          </w:p>
        </w:tc>
        <w:tc>
          <w:tcPr>
            <w:tcW w:w="3847"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rPr>
            </w:pPr>
            <w:r>
              <w:rPr>
                <w:rFonts w:ascii="仿宋_GB2312" w:hint="eastAsia"/>
                <w:kern w:val="0"/>
                <w:sz w:val="24"/>
              </w:rPr>
              <w:t>80</w:t>
            </w:r>
            <w:r>
              <w:rPr>
                <w:rFonts w:ascii="仿宋_GB2312" w:hint="eastAsia"/>
                <w:kern w:val="0"/>
                <w:sz w:val="24"/>
              </w:rPr>
              <w:t>μ</w:t>
            </w:r>
            <w:r>
              <w:rPr>
                <w:rFonts w:ascii="仿宋_GB2312" w:hint="eastAsia"/>
                <w:kern w:val="0"/>
                <w:sz w:val="24"/>
              </w:rPr>
              <w:t>s系统标校常数</w:t>
            </w:r>
          </w:p>
        </w:tc>
        <w:tc>
          <w:tcPr>
            <w:tcW w:w="3401"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rPr>
            </w:pPr>
            <w:r>
              <w:rPr>
                <w:rFonts w:ascii="仿宋_GB2312" w:hAnsi="仿宋" w:hint="eastAsia"/>
                <w:kern w:val="0"/>
                <w:sz w:val="24"/>
              </w:rPr>
              <w:t>单位：dB</w:t>
            </w:r>
          </w:p>
        </w:tc>
      </w:tr>
    </w:tbl>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2）完整记录雷达维护维修信息、关键器件出厂测试重要参数及更换信息，其中维护维修信息包括适配参数变更、备件更换、软件更迭、监测结果等。</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3）雷达机内测试设备应实时监测对雷达工作有影响的因素，同时自动存储和上传工作状态和系统告警。</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4）可对天线罩内部雷达运行环境进行在线采集、监测、显示并记录上传，上传参数包括但不限于天线罩内温度、湿度等。</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1.7.3.2远程控制功能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1）具有本地、远程监视和遥控能力，包括但不限于控制开关机、观测模式切换、查看监测结果、修改适配参数等。</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2）雷达系统具有远程软件升级功能。</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w:t>
      </w:r>
      <w:r>
        <w:rPr>
          <w:rFonts w:ascii="仿宋" w:eastAsia="仿宋" w:hAnsi="仿宋" w:hint="eastAsia"/>
          <w:sz w:val="28"/>
          <w:szCs w:val="28"/>
        </w:rPr>
        <w:t>具备雷达运行与维护的远程支持能力，包括但不限于发射机峰值功率、接收机噪声电平和噪声系数、回波强度、径向速度、双通道幅相一致性等。</w:t>
      </w:r>
    </w:p>
    <w:p>
      <w:pPr>
        <w:ind w:firstLine="560" w:firstLineChars="200"/>
        <w:outlineLvl w:val="6"/>
        <w:rPr>
          <w:rFonts w:ascii="仿宋_GB2312" w:eastAsia="仿宋_GB2312" w:hAnsi="仿宋_GB2312" w:cs="仿宋_GB2312" w:hint="eastAsia"/>
          <w:b w:val="0"/>
          <w:bCs w:val="0"/>
          <w:sz w:val="28"/>
          <w:szCs w:val="28"/>
        </w:rPr>
      </w:pPr>
      <w:bookmarkEnd w:id="74"/>
      <w:bookmarkEnd w:id="75"/>
      <w:r>
        <w:rPr>
          <w:rFonts w:ascii="仿宋_GB2312" w:eastAsia="仿宋_GB2312" w:hAnsi="仿宋_GB2312" w:cs="仿宋_GB2312" w:hint="eastAsia"/>
          <w:b w:val="0"/>
          <w:bCs w:val="0"/>
          <w:sz w:val="28"/>
          <w:szCs w:val="28"/>
        </w:rPr>
        <w:t>1.7.3.3关键参数在线分析</w:t>
      </w:r>
    </w:p>
    <w:p>
      <w:pPr>
        <w:spacing w:line="570" w:lineRule="exact"/>
        <w:ind w:firstLine="560" w:firstLineChars="200"/>
        <w:rPr>
          <w:rFonts w:ascii="仿宋" w:eastAsia="仿宋" w:hAnsi="仿宋" w:hint="eastAsia"/>
          <w:sz w:val="28"/>
          <w:szCs w:val="28"/>
        </w:rPr>
      </w:pPr>
      <w:bookmarkStart w:id="76" w:name="_Hlk522871009"/>
      <w:r>
        <w:rPr>
          <w:rFonts w:ascii="仿宋" w:eastAsia="仿宋" w:hAnsi="仿宋" w:hint="eastAsia"/>
          <w:sz w:val="28"/>
          <w:szCs w:val="28"/>
        </w:rPr>
        <w:t>雷达应具有关键参数在线分析功能，应满足如下要求：</w:t>
      </w:r>
    </w:p>
    <w:p>
      <w:pPr>
        <w:spacing w:line="570" w:lineRule="exact"/>
        <w:ind w:firstLine="560" w:firstLineChars="200"/>
        <w:rPr>
          <w:rFonts w:ascii="仿宋" w:eastAsia="仿宋" w:hAnsi="仿宋" w:hint="eastAsia"/>
          <w:sz w:val="28"/>
          <w:szCs w:val="28"/>
        </w:rPr>
      </w:pPr>
      <w:bookmarkStart w:id="77" w:name="_Toc524551142"/>
      <w:bookmarkEnd w:id="76"/>
      <w:r>
        <w:rPr>
          <w:rFonts w:ascii="仿宋" w:eastAsia="仿宋" w:hAnsi="仿宋" w:hint="eastAsia"/>
          <w:sz w:val="28"/>
          <w:szCs w:val="28"/>
        </w:rPr>
        <w:t>1）具备关键参数记录功能。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2）具备监测到的所有实时参数超限告警提示功能。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3）具备监测参数和分析结果存储、显示、统计分析等功能。</w:t>
      </w:r>
    </w:p>
    <w:p>
      <w:pPr>
        <w:ind w:firstLine="560" w:firstLineChars="200"/>
        <w:outlineLvl w:val="6"/>
        <w:rPr>
          <w:rFonts w:ascii="仿宋_GB2312" w:eastAsia="仿宋_GB2312" w:hAnsi="仿宋_GB2312" w:cs="仿宋_GB2312" w:hint="eastAsia"/>
          <w:b w:val="0"/>
          <w:bCs w:val="0"/>
          <w:sz w:val="28"/>
          <w:szCs w:val="28"/>
        </w:rPr>
      </w:pPr>
      <w:r>
        <w:rPr>
          <w:rFonts w:ascii="仿宋_GB2312" w:eastAsia="仿宋_GB2312" w:hAnsi="仿宋_GB2312" w:cs="仿宋_GB2312" w:hint="eastAsia"/>
          <w:b w:val="0"/>
          <w:bCs w:val="0"/>
          <w:sz w:val="28"/>
          <w:szCs w:val="28"/>
        </w:rPr>
        <w:t>1.7.3.4基数据质控及显示</w:t>
      </w:r>
      <w:bookmarkEnd w:id="77"/>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对回波强度（Z）、径向速度（V）、速度谱宽（W）、差分反射率（Z</w:t>
      </w:r>
      <w:r>
        <w:rPr>
          <w:rFonts w:ascii="仿宋" w:eastAsia="仿宋" w:hAnsi="仿宋" w:hint="eastAsia"/>
          <w:sz w:val="28"/>
          <w:szCs w:val="28"/>
          <w:vertAlign w:val="baseline"/>
        </w:rPr>
        <w:t>DR</w:t>
      </w:r>
      <w:r>
        <w:rPr>
          <w:rFonts w:ascii="仿宋" w:eastAsia="仿宋" w:hAnsi="仿宋" w:hint="eastAsia"/>
          <w:sz w:val="28"/>
          <w:szCs w:val="28"/>
        </w:rPr>
        <w:t>）、差分传播相移（</w:t>
      </w:r>
      <w:r>
        <w:rPr>
          <w:rFonts w:ascii="仿宋" w:eastAsia="仿宋" w:hAnsi="仿宋" w:hint="eastAsia"/>
          <w:sz w:val="28"/>
          <w:szCs w:val="28"/>
        </w:rPr>
        <w:t>Φ</w:t>
      </w:r>
      <w:r>
        <w:rPr>
          <w:rFonts w:ascii="仿宋" w:eastAsia="仿宋" w:hAnsi="仿宋" w:hint="eastAsia"/>
          <w:sz w:val="28"/>
          <w:szCs w:val="28"/>
          <w:vertAlign w:val="baseline"/>
        </w:rPr>
        <w:t>DP</w:t>
      </w:r>
      <w:r>
        <w:rPr>
          <w:rFonts w:ascii="仿宋" w:eastAsia="仿宋" w:hAnsi="仿宋" w:hint="eastAsia"/>
          <w:sz w:val="28"/>
          <w:szCs w:val="28"/>
        </w:rPr>
        <w:t>）、差分传播相移率（K</w:t>
      </w:r>
      <w:r>
        <w:rPr>
          <w:rFonts w:ascii="仿宋" w:eastAsia="仿宋" w:hAnsi="仿宋" w:hint="eastAsia"/>
          <w:sz w:val="28"/>
          <w:szCs w:val="28"/>
          <w:vertAlign w:val="baseline"/>
        </w:rPr>
        <w:t>DP</w:t>
      </w:r>
      <w:r>
        <w:rPr>
          <w:rFonts w:ascii="仿宋" w:eastAsia="仿宋" w:hAnsi="仿宋" w:hint="eastAsia"/>
          <w:sz w:val="28"/>
          <w:szCs w:val="28"/>
        </w:rPr>
        <w:t>）、相关系数（</w:t>
      </w:r>
      <w:r>
        <w:rPr>
          <w:rFonts w:ascii="仿宋" w:eastAsia="仿宋" w:hAnsi="仿宋" w:hint="eastAsia"/>
          <w:sz w:val="28"/>
          <w:szCs w:val="28"/>
        </w:rPr>
        <w:t>ρ</w:t>
      </w:r>
      <w:r>
        <w:rPr>
          <w:rFonts w:ascii="仿宋" w:eastAsia="仿宋" w:hAnsi="仿宋" w:hint="eastAsia"/>
          <w:sz w:val="28"/>
          <w:szCs w:val="28"/>
          <w:vertAlign w:val="baseline"/>
        </w:rPr>
        <w:t>hv</w:t>
      </w:r>
      <w:r>
        <w:rPr>
          <w:rFonts w:ascii="仿宋" w:eastAsia="仿宋" w:hAnsi="仿宋" w:hint="eastAsia"/>
          <w:sz w:val="28"/>
          <w:szCs w:val="28"/>
        </w:rPr>
        <w:t>）等基本量进行质控，质控包括滤波、杂波校正因子（CCOR）门限、电磁干扰抑制、风电干扰抑制、速度退模糊、距离退折叠、异常回波标记等，</w:t>
      </w:r>
      <w:bookmarkStart w:id="78" w:name="_Hlk19004266"/>
      <w:r>
        <w:rPr>
          <w:rFonts w:ascii="仿宋" w:eastAsia="仿宋" w:hAnsi="仿宋" w:hint="eastAsia"/>
          <w:sz w:val="28"/>
          <w:szCs w:val="28"/>
        </w:rPr>
        <w:t>质控前后的基数据都具备存储功能。</w:t>
      </w:r>
      <w:bookmarkEnd w:id="78"/>
      <w:r>
        <w:rPr>
          <w:rFonts w:ascii="仿宋" w:eastAsia="仿宋" w:hAnsi="仿宋" w:hint="eastAsia"/>
          <w:sz w:val="28"/>
          <w:szCs w:val="28"/>
        </w:rPr>
        <w:t xml:space="preserve">在雷达终端上需具备以下功能： </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数据处理功能：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基数据自动处理，按照要求的格式进行存储，台站端至少可以存储近1年的基数据。</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显示功能：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1）回波数据种类、时间选择并显示；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2）监测的所有参数显示及超限告警提示显示；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3）鼠标悬浮显示；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4）数据分层控制显示；</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5）图像处理显示，具有多仰角多要素同时显示。</w:t>
      </w:r>
    </w:p>
    <w:p>
      <w:pPr>
        <w:ind w:firstLine="560" w:firstLineChars="200"/>
        <w:outlineLvl w:val="6"/>
        <w:rPr>
          <w:rFonts w:ascii="仿宋_GB2312" w:eastAsia="仿宋_GB2312" w:hAnsi="仿宋_GB2312" w:cs="仿宋_GB2312"/>
          <w:b w:val="0"/>
          <w:bCs w:val="0"/>
          <w:sz w:val="28"/>
          <w:szCs w:val="28"/>
          <w:highlight w:val="yellow"/>
        </w:rPr>
      </w:pPr>
      <w:r>
        <w:rPr>
          <w:rFonts w:ascii="仿宋_GB2312" w:eastAsia="仿宋_GB2312" w:hAnsi="仿宋_GB2312" w:cs="仿宋_GB2312" w:hint="eastAsia"/>
          <w:b w:val="0"/>
          <w:bCs w:val="0"/>
          <w:sz w:val="28"/>
          <w:szCs w:val="28"/>
          <w:highlight w:val="yellow"/>
        </w:rPr>
        <w:t>1.7.3.5授时功能</w:t>
      </w:r>
      <w:r>
        <w:rPr>
          <w:rFonts w:ascii="仿宋_GB2312" w:eastAsia="仿宋_GB2312" w:hAnsi="仿宋_GB2312" w:cs="仿宋_GB2312" w:hint="eastAsia"/>
          <w:sz w:val="28"/>
          <w:szCs w:val="28"/>
          <w:highlight w:val="yellow"/>
        </w:rPr>
        <w:t>#</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雷达具备授时功能，可以通过网络授时或北斗卫星授时校准系统时间，授时精度优于1s。</w:t>
      </w:r>
    </w:p>
    <w:p>
      <w:pPr>
        <w:ind w:firstLine="560" w:firstLineChars="200"/>
        <w:outlineLvl w:val="4"/>
        <w:rPr>
          <w:rFonts w:ascii="仿宋_GB2312" w:eastAsia="仿宋_GB2312" w:hAnsi="仿宋_GB2312" w:cs="仿宋_GB2312" w:hint="eastAsia"/>
          <w:bCs/>
          <w:sz w:val="28"/>
          <w:szCs w:val="28"/>
          <w:highlight w:val="yellow"/>
        </w:rPr>
      </w:pPr>
      <w:r>
        <w:rPr>
          <w:rFonts w:ascii="仿宋_GB2312" w:eastAsia="仿宋_GB2312" w:hAnsi="仿宋_GB2312" w:cs="仿宋_GB2312" w:hint="eastAsia"/>
          <w:bCs/>
          <w:sz w:val="28"/>
          <w:szCs w:val="28"/>
          <w:highlight w:val="yellow"/>
        </w:rPr>
        <w:t>1.8产品软件功能</w:t>
      </w:r>
      <w:r>
        <w:rPr>
          <w:rFonts w:ascii="仿宋" w:eastAsia="仿宋" w:hAnsi="仿宋" w:cs="Times New Roman" w:hint="eastAsia"/>
          <w:color w:val="000000"/>
          <w:sz w:val="28"/>
          <w:szCs w:val="28"/>
          <w:highlight w:val="yellow"/>
          <w:lang w:val="en-US" w:eastAsia="zh-CN"/>
        </w:rPr>
        <w:t>#</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1）产品显示：平面位置产品、距离高度产品、等高面位置产品、二次产品等显示功能。</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2）分屏显示：二分屏、四分屏等分屏显示功能、支持光标联动信息显示。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3）垂直剖面：基本产品任意垂直剖面显示功能，支持折线剖面，可同时显示多个产品，可保存图像。</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4）最大值显示：体扫各层反射率垂直、东西、南北三个方向最大值可投影显示。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5）图形缩放、拖曳：产品图像可放大缩小，拖曳移动。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6）图像保存：产品图像可保存为图片格式，分辨率可调。</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7）动态展示：支持产品时序播放、动图制作。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8）地图加载：产品显示可加载离线地图文件，同时应支持API接口获取在线瓦片，底图包括但不限于地图、地形、影像，支持各级界线、名称显隐。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9）测距功能：产品显示界面可显示两点间距离、折线距离。</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10）游标引导：游标所在点的经纬度、方位、距离、高度、产品数值、地理位置等信息显示。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11）产品色标：提供默认配色，支持自定义配色。</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12）阈值过滤：显示阈值范围内数据，过滤超限数据；可单一范围显隐；可调整产品透明度。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13）自动刷新：可启停的自动显示最新产品数据。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14）状态监控：包括数据接收、产品制作、产品传输状态监控。</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15）数据归档：本地或异地产品数据归档，支持定时清理。</w:t>
      </w:r>
    </w:p>
    <w:p>
      <w:pPr>
        <w:spacing w:line="570" w:lineRule="exact"/>
        <w:ind w:firstLine="560" w:firstLineChars="200"/>
        <w:jc w:val="left"/>
        <w:rPr>
          <w:rFonts w:ascii="仿宋" w:eastAsia="仿宋" w:hAnsi="仿宋" w:hint="eastAsia"/>
          <w:sz w:val="28"/>
          <w:szCs w:val="28"/>
          <w:highlight w:val="none"/>
        </w:rPr>
      </w:pPr>
      <w:r>
        <w:rPr>
          <w:rFonts w:ascii="仿宋" w:eastAsia="仿宋" w:hAnsi="仿宋" w:hint="eastAsia"/>
          <w:sz w:val="28"/>
          <w:szCs w:val="28"/>
          <w:highlight w:val="none"/>
        </w:rPr>
        <w:t>16）数据上传：产品数据多节点上传，支持恢复网络后自动补传、手动补传。</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17）算法参数：算法参数可本地化调整。</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18）算法接口：支持外部算法接入，使用统一数据接口调用。</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19）系统日志：包括软件运行日志、数据接收日志、产品生成日志、数据上传日志、告警日志、预警日志。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20）日志查询：可按日期、类型、关键词等方式查询系统日志。</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21）多用户并发：每个产品生成终端应至少能够满足30位用户同时访问。</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22）数据库接口：可从数据库接口获取雷达基数据作为数据源。</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23）快捷操作：可通过键盘进行产品切换、时间切换、仰角层切换等快捷操作。</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24）关注点标记：设定不同类型的关注点，可设置备注信息并保存；可单选、多选、分类选择叠加在产品上进行显示；可设定关注点预警范围。支持关注点信息导入导出。</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25）产品识别告警：依据识别类产品提供的信息，通过产品显示分析界面进行冰雹等强天气告警。</w:t>
      </w:r>
    </w:p>
    <w:p>
      <w:pPr>
        <w:spacing w:line="570" w:lineRule="exact"/>
        <w:ind w:firstLine="560" w:firstLineChars="200"/>
        <w:rPr>
          <w:rFonts w:ascii="仿宋" w:eastAsia="仿宋" w:hAnsi="仿宋" w:hint="eastAsia"/>
          <w:sz w:val="28"/>
          <w:szCs w:val="28"/>
          <w:highlight w:val="none"/>
        </w:rPr>
      </w:pPr>
      <w:r>
        <w:rPr>
          <w:rFonts w:ascii="仿宋" w:eastAsia="仿宋" w:hAnsi="仿宋" w:hint="eastAsia"/>
          <w:sz w:val="28"/>
          <w:szCs w:val="28"/>
          <w:highlight w:val="none"/>
        </w:rPr>
        <w:t>26）传输网络兼容性：产品传输支持有线、4G/5G、DCP、北斗等方式，多种网络可并发，支持根据传输网络调整传输产品类型、产品格式（数据、文字）及传输判别条件。</w:t>
      </w:r>
    </w:p>
    <w:p>
      <w:pPr>
        <w:ind w:firstLine="560" w:firstLineChars="200"/>
        <w:outlineLvl w:val="4"/>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1.9其它功能</w:t>
      </w:r>
    </w:p>
    <w:p>
      <w:pPr>
        <w:ind w:firstLine="560" w:firstLineChars="200"/>
        <w:outlineLvl w:val="5"/>
        <w:rPr>
          <w:rFonts w:ascii="仿宋_GB2312" w:hAnsi="仿宋_GB2312" w:cs="仿宋_GB2312"/>
          <w:sz w:val="28"/>
          <w:szCs w:val="28"/>
        </w:rPr>
      </w:pPr>
      <w:r>
        <w:rPr>
          <w:rFonts w:ascii="仿宋_GB2312" w:eastAsia="仿宋_GB2312" w:hAnsi="仿宋_GB2312" w:cs="仿宋_GB2312" w:hint="eastAsia"/>
          <w:sz w:val="28"/>
          <w:szCs w:val="28"/>
        </w:rPr>
        <w:t>1.9.1供电设施</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可采用市电或太阳能、风能等方式进行供电。</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太阳能、风能供电需满足无人值守要求，发电功率应大于雷达设备功耗。</w:t>
      </w:r>
    </w:p>
    <w:p>
      <w:pPr>
        <w:adjustRightInd w:val="0"/>
        <w:snapToGrid w:val="0"/>
        <w:ind w:firstLine="560" w:firstLineChars="200"/>
        <w:outlineLvl w:val="5"/>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1.9.2通信辅助设备</w:t>
      </w:r>
    </w:p>
    <w:p>
      <w:pPr>
        <w:spacing w:line="570" w:lineRule="exact"/>
        <w:ind w:firstLine="560" w:firstLineChars="200"/>
        <w:rPr>
          <w:rFonts w:ascii="仿宋" w:eastAsia="仿宋" w:hAnsi="仿宋" w:hint="eastAsia"/>
          <w:sz w:val="28"/>
          <w:szCs w:val="28"/>
        </w:rPr>
      </w:pPr>
      <w:r>
        <w:rPr>
          <w:rFonts w:ascii="仿宋" w:eastAsia="仿宋" w:hAnsi="仿宋" w:hint="eastAsia"/>
          <w:sz w:val="28"/>
          <w:szCs w:val="28"/>
        </w:rPr>
        <w:t>雷达系统通信方式包括但不限于有线网络、4G/5G信号、数据收集平台（DCP）、北斗通讯等，用于基数据、产品文件、状态及告警文件等信息的上传，以及雷达控制指令的下行。</w:t>
      </w:r>
    </w:p>
    <w:p>
      <w:pPr>
        <w:spacing w:line="240" w:lineRule="auto"/>
        <w:ind w:firstLine="560" w:firstLineChars="200"/>
        <w:outlineLvl w:val="3"/>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89"/>
        <w:gridCol w:w="2157"/>
        <w:gridCol w:w="5114"/>
      </w:tblGrid>
      <w:tr>
        <w:tblPrEx>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全固态双线偏振多普勒体制</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9.1～9.5GHz范围内，间隔5MHz可选</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15年</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定量</w:t>
            </w:r>
            <w:r>
              <w:rPr>
                <w:rFonts w:ascii="仿宋_GB2312" w:hint="eastAsia"/>
                <w:sz w:val="24"/>
              </w:rPr>
              <w:t>≥</w:t>
            </w:r>
            <w:r>
              <w:rPr>
                <w:rFonts w:ascii="仿宋_GB2312" w:hint="eastAsia"/>
                <w:sz w:val="24"/>
              </w:rPr>
              <w:t>35km</w:t>
            </w:r>
          </w:p>
        </w:tc>
      </w:tr>
      <w:tr>
        <w:tblPrEx>
          <w:tblW w:w="8760" w:type="dxa"/>
          <w:jc w:val="center"/>
          <w:tblLayout w:type="fixed"/>
          <w:tblCellMar>
            <w:top w:w="0" w:type="dxa"/>
            <w:left w:w="108" w:type="dxa"/>
            <w:bottom w:w="0" w:type="dxa"/>
            <w:right w:w="108" w:type="dxa"/>
          </w:tblCellMar>
          <w:tblLook w:val="0000"/>
        </w:tblPrEx>
        <w:trPr>
          <w:trHeight w:val="65"/>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500m</w:t>
            </w:r>
          </w:p>
        </w:tc>
      </w:tr>
      <w:tr>
        <w:tblPrEx>
          <w:tblW w:w="8760" w:type="dxa"/>
          <w:jc w:val="center"/>
          <w:tblLayout w:type="fixed"/>
          <w:tblCellMar>
            <w:top w:w="0" w:type="dxa"/>
            <w:left w:w="108" w:type="dxa"/>
            <w:bottom w:w="0" w:type="dxa"/>
            <w:right w:w="108" w:type="dxa"/>
          </w:tblCellMar>
          <w:tblLook w:val="0000"/>
        </w:tblPrEx>
        <w:trPr>
          <w:trHeight w:val="90"/>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int="eastAsia"/>
              </w:rPr>
            </w:pPr>
            <w:r>
              <w:rPr>
                <w:rFonts w:ascii="仿宋_GB2312" w:hint="eastAsia"/>
                <w:sz w:val="24"/>
                <w:highlight w:val="yellow"/>
              </w:rPr>
              <w:t>分辨率</w:t>
            </w:r>
            <w:r>
              <w:rPr>
                <w:rFonts w:ascii="仿宋_GB2312" w:hint="eastAsia"/>
                <w:sz w:val="24"/>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75m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rPr>
              <w:t>测量范围</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0～+80dBZ</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48m/s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0～16m/s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-7.9dB～+7.9dB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-180</w:t>
            </w:r>
            <w:r>
              <w:rPr>
                <w:rFonts w:ascii="仿宋_GB2312" w:hint="eastAsia"/>
                <w:sz w:val="24"/>
              </w:rPr>
              <w:t>°</w:t>
            </w:r>
            <w:r>
              <w:rPr>
                <w:rFonts w:ascii="仿宋_GB2312" w:hint="eastAsia"/>
                <w:sz w:val="24"/>
              </w:rPr>
              <w:t>～+180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w:t>
            </w:r>
            <w:r>
              <w:rPr>
                <w:rFonts w:ascii="仿宋_GB2312" w:hint="eastAsia"/>
                <w:sz w:val="24"/>
              </w:rPr>
              <w:t>°</w:t>
            </w:r>
            <w:r>
              <w:rPr>
                <w:rFonts w:ascii="仿宋_GB2312" w:hint="eastAsia"/>
                <w:sz w:val="24"/>
              </w:rPr>
              <w:t>/km～+10</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0～1</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-30dB～6dB（单发双收模式）</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rPr>
            </w:pPr>
            <w:r>
              <w:rPr>
                <w:rFonts w:ascii="仿宋_GB2312" w:hint="eastAsia"/>
                <w:sz w:val="24"/>
                <w:highlight w:val="yellow"/>
              </w:rPr>
              <w:t>参数测量精度（标准差）</w:t>
            </w:r>
            <w:r>
              <w:rPr>
                <w:rFonts w:ascii="仿宋_GB2312" w:hint="eastAsia"/>
                <w:sz w:val="24"/>
                <w:highlight w:val="yellow"/>
                <w:lang w:val="en-US" w:eastAsia="zh-CN"/>
              </w:rPr>
              <w:t>#</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trHeight w:val="361"/>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1m/s</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0.5dB</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r>
              <w:rPr>
                <w:rFonts w:ascii="仿宋_GB2312" w:hint="eastAsia"/>
                <w:sz w:val="24"/>
              </w:rPr>
              <w:t>/km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0.01</w:t>
            </w:r>
          </w:p>
        </w:tc>
      </w:tr>
      <w:tr>
        <w:tblPrEx>
          <w:tblW w:w="8760" w:type="dxa"/>
          <w:jc w:val="center"/>
          <w:tblLayout w:type="fixed"/>
          <w:tblCellMar>
            <w:top w:w="0" w:type="dxa"/>
            <w:left w:w="108" w:type="dxa"/>
            <w:bottom w:w="0" w:type="dxa"/>
            <w:right w:w="108" w:type="dxa"/>
          </w:tblCellMar>
          <w:tblLook w:val="0000"/>
        </w:tblPrEx>
        <w:trPr>
          <w:trHeight w:val="7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可探测的最小反射率因子（35km处，75m分辨率，同发同收）</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17dBZ</w:t>
            </w:r>
          </w:p>
        </w:tc>
      </w:tr>
      <w:tr>
        <w:tblPrEx>
          <w:tblW w:w="8760" w:type="dxa"/>
          <w:jc w:val="center"/>
          <w:tblLayout w:type="fixed"/>
          <w:tblCellMar>
            <w:top w:w="0" w:type="dxa"/>
            <w:left w:w="108" w:type="dxa"/>
            <w:bottom w:w="0" w:type="dxa"/>
            <w:right w:w="108" w:type="dxa"/>
          </w:tblCellMar>
          <w:tblLook w:val="0000"/>
        </w:tblPrEx>
        <w:trPr>
          <w:trHeight w:val="4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系统相位噪声</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trHeight w:val="60"/>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实际地物抑制能力</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w:t>
            </w:r>
          </w:p>
        </w:tc>
      </w:tr>
      <w:tr>
        <w:tblPrEx>
          <w:tblW w:w="8760" w:type="dxa"/>
          <w:jc w:val="center"/>
          <w:tblLayout w:type="fixed"/>
          <w:tblCellMar>
            <w:top w:w="0" w:type="dxa"/>
            <w:left w:w="108" w:type="dxa"/>
            <w:bottom w:w="0" w:type="dxa"/>
            <w:right w:w="108" w:type="dxa"/>
          </w:tblCellMar>
          <w:tblLook w:val="0000"/>
        </w:tblPrEx>
        <w:trPr>
          <w:trHeight w:val="243"/>
          <w:jc w:val="center"/>
        </w:trPr>
        <w:tc>
          <w:tcPr>
            <w:tcW w:w="3646"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highlight w:val="yellow"/>
              </w:rPr>
              <w:t>占用带宽</w:t>
            </w:r>
            <w:r>
              <w:rPr>
                <w:rFonts w:ascii="仿宋_GB2312" w:hint="eastAsia"/>
                <w:sz w:val="24"/>
                <w:highlight w:val="yellow"/>
                <w:lang w:val="en-US" w:eastAsia="zh-CN"/>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30MHz</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滤波前回波强度、滤波后回波强度、径向速度、速度谱宽、差分反射率、差分传播相移、差分传播相移率、相关系数、信噪比，标准型还应能够输出退偏振比</w:t>
            </w:r>
          </w:p>
        </w:tc>
      </w:tr>
      <w:tr>
        <w:tblPrEx>
          <w:tblW w:w="8760" w:type="dxa"/>
          <w:jc w:val="center"/>
          <w:tblLayout w:type="fixed"/>
          <w:tblCellMar>
            <w:top w:w="0" w:type="dxa"/>
            <w:left w:w="108" w:type="dxa"/>
            <w:bottom w:w="0" w:type="dxa"/>
            <w:right w:w="108" w:type="dxa"/>
          </w:tblCellMar>
          <w:tblLook w:val="0000"/>
        </w:tblPrEx>
        <w:trPr>
          <w:trHeight w:val="450"/>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单相AC220V</w:t>
            </w:r>
            <w:r>
              <w:rPr>
                <w:rFonts w:ascii="仿宋_GB2312" w:hint="eastAsia"/>
                <w:sz w:val="24"/>
              </w:rPr>
              <w:t>±</w:t>
            </w:r>
            <w:r>
              <w:rPr>
                <w:rFonts w:ascii="仿宋_GB2312" w:hint="eastAsia"/>
                <w:sz w:val="24"/>
              </w:rPr>
              <w:t>10%</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重量（标准配置，参考值）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200kg（含天线罩）</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环境要求</w:t>
            </w: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外界环境温度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-20～+50</w:t>
            </w:r>
            <w:r>
              <w:rPr>
                <w:rFonts w:ascii="仿宋_GB2312" w:hAnsi="宋体" w:cs="宋体"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left w:val="single" w:sz="4" w:space="0" w:color="auto"/>
              <w:right w:val="single" w:sz="4" w:space="0" w:color="auto"/>
            </w:tcBorders>
            <w:vAlign w:val="center"/>
          </w:tcPr>
          <w:p>
            <w:pPr>
              <w:spacing w:line="380" w:lineRule="exac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-40～+60</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外界最大湿度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95%（+35</w:t>
            </w:r>
            <w:r>
              <w:rPr>
                <w:rFonts w:ascii="仿宋_GB2312" w:hAnsi="宋体" w:cs="宋体" w:hint="eastAsia"/>
                <w:sz w:val="24"/>
              </w:rPr>
              <w:t>℃</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海拔</w:t>
            </w:r>
            <w:r>
              <w:rPr>
                <w:rFonts w:ascii="仿宋_GB2312" w:hint="eastAsia"/>
                <w:sz w:val="24"/>
              </w:rPr>
              <w:t>≤</w:t>
            </w:r>
            <w:r>
              <w:rPr>
                <w:rFonts w:ascii="仿宋_GB2312" w:hint="eastAsia"/>
                <w:sz w:val="24"/>
              </w:rPr>
              <w:t>5000m</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符合国家有关部门规定，且满足野外运输要求</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电源干扰、电磁干扰、无线电频率干扰</w:t>
            </w:r>
          </w:p>
        </w:tc>
      </w:tr>
      <w:tr>
        <w:tblPrEx>
          <w:tblW w:w="8760" w:type="dxa"/>
          <w:jc w:val="center"/>
          <w:tblLayout w:type="fixed"/>
          <w:tblCellMar>
            <w:top w:w="0" w:type="dxa"/>
            <w:left w:w="108" w:type="dxa"/>
            <w:bottom w:w="0" w:type="dxa"/>
            <w:right w:w="108" w:type="dxa"/>
          </w:tblCellMar>
          <w:tblLook w:val="0000"/>
        </w:tblPrEx>
        <w:trPr>
          <w:jc w:val="center"/>
        </w:trPr>
        <w:tc>
          <w:tcPr>
            <w:tcW w:w="1489"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2157"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防水、防霉、防盐雾</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整机功耗（峰值）</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1200W</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在线自动标校能力</w:t>
            </w:r>
            <w:r>
              <w:rPr>
                <w:rFonts w:ascii="仿宋_GB2312" w:hint="eastAsia"/>
                <w:sz w:val="24"/>
              </w:rPr>
              <w:t>（以现场安装后测试结果为基准，更换相关器件后重新标校）</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szCs w:val="24"/>
              </w:rPr>
              <w:t>月变化最大偏差</w:t>
            </w:r>
            <w:r>
              <w:rPr>
                <w:rFonts w:ascii="仿宋_GB2312" w:hint="eastAsia"/>
                <w:sz w:val="24"/>
              </w:rPr>
              <w:t>在</w:t>
            </w:r>
            <w:r>
              <w:rPr>
                <w:rFonts w:ascii="仿宋_GB2312" w:hint="eastAsia"/>
                <w:sz w:val="24"/>
              </w:rPr>
              <w:t>±</w:t>
            </w:r>
            <w:r>
              <w:rPr>
                <w:rFonts w:ascii="仿宋_GB2312" w:hint="eastAsia"/>
                <w:sz w:val="24"/>
              </w:rPr>
              <w:t>2dB范围内</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5000h</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szCs w:val="24"/>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固定架设</w:t>
            </w:r>
          </w:p>
        </w:tc>
      </w:tr>
      <w:tr>
        <w:tblPrEx>
          <w:tblW w:w="8760" w:type="dxa"/>
          <w:jc w:val="center"/>
          <w:tblLayout w:type="fixed"/>
          <w:tblCellMar>
            <w:top w:w="0" w:type="dxa"/>
            <w:left w:w="108" w:type="dxa"/>
            <w:bottom w:w="0" w:type="dxa"/>
            <w:right w:w="108" w:type="dxa"/>
          </w:tblCellMar>
          <w:tblLook w:val="0000"/>
        </w:tblPrEx>
        <w:trPr>
          <w:trHeight w:val="68"/>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外部接口</w:t>
            </w:r>
            <w:r>
              <w:rPr>
                <w:rFonts w:ascii="仿宋_GB2312" w:hint="eastAsia"/>
                <w:sz w:val="24"/>
                <w:highlight w:val="yellow"/>
                <w:lang w:val="en-US" w:eastAsia="zh-CN"/>
              </w:rPr>
              <w:t>#</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市电供电接口*1（航空插座）</w:t>
            </w:r>
          </w:p>
          <w:p>
            <w:pPr>
              <w:spacing w:line="380" w:lineRule="exact"/>
              <w:rPr>
                <w:rFonts w:ascii="仿宋_GB2312"/>
              </w:rPr>
            </w:pPr>
            <w:r>
              <w:rPr>
                <w:rFonts w:ascii="仿宋_GB2312" w:hint="eastAsia"/>
                <w:sz w:val="24"/>
              </w:rPr>
              <w:t>光纤通信接口*1（航空插座）</w:t>
            </w:r>
          </w:p>
          <w:p>
            <w:pPr>
              <w:spacing w:line="380" w:lineRule="exact"/>
              <w:rPr>
                <w:rFonts w:ascii="仿宋_GB2312"/>
              </w:rPr>
            </w:pPr>
            <w:r>
              <w:rPr>
                <w:rFonts w:ascii="仿宋_GB2312" w:hint="eastAsia"/>
                <w:sz w:val="24"/>
              </w:rPr>
              <w:t>网络通信接口*1（航空插座）</w:t>
            </w:r>
          </w:p>
          <w:p>
            <w:pPr>
              <w:spacing w:line="380" w:lineRule="exact"/>
              <w:rPr>
                <w:rFonts w:ascii="仿宋_GB2312"/>
              </w:rPr>
            </w:pPr>
            <w:r>
              <w:rPr>
                <w:rFonts w:ascii="仿宋_GB2312" w:hint="eastAsia"/>
                <w:sz w:val="24"/>
              </w:rPr>
              <w:t>USB接口*2</w:t>
            </w:r>
          </w:p>
          <w:p>
            <w:pPr>
              <w:spacing w:line="380" w:lineRule="exact"/>
              <w:rPr>
                <w:rFonts w:ascii="仿宋_GB2312"/>
              </w:rPr>
            </w:pPr>
            <w:r>
              <w:rPr>
                <w:rFonts w:ascii="仿宋_GB2312" w:hint="eastAsia"/>
                <w:sz w:val="24"/>
              </w:rPr>
              <w:t>HDMI接口*1</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雷达微波漏能功率密度应符合GJB5313-2004的要求。</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微波泄漏部位、机械转动部位、危险电压部位及超重设备（大于15kg）等应有清晰、醒目的安全警示标记。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雷达备份零件、部件、组件和功能单元均能在现场更换，无需调整而正常工作。</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雷达具有市电滤波和防电磁干扰的能力，设置静电屏蔽、电磁屏蔽，模拟地线、数字地线和安全地线严格分开，避雷地线要单独接地。</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雷达应有安全性设计，确保雷达按规定条件进行制造、安装、运输、贮存、使用和维护时的人身安全和设备安全。雷达系统电源开关、伺服转台维护开关带自锁功能和指示灯。</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雷达电源线输入端应加装防雷滤波器，室外电缆一律采用屏蔽电缆或光缆。</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雷达各初级电源与大地间绝缘电阻应大于1M</w:t>
            </w:r>
            <w:r>
              <w:rPr>
                <w:rFonts w:ascii="仿宋_GB2312" w:hint="eastAsia"/>
                <w:sz w:val="24"/>
              </w:rPr>
              <w:t>Ω</w:t>
            </w:r>
            <w:r>
              <w:rPr>
                <w:rFonts w:ascii="仿宋_GB2312" w:hint="eastAsia"/>
                <w:sz w:val="24"/>
              </w:rPr>
              <w:t>。</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雷达整体形象应协调一致。外表面应无凹痕、碰伤、裂痕和变形等缺陷；镀涂层不起泡、龟裂和脱落；金属零件无锈蚀、毛刺及其它机械损伤。</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机箱、机箱、插件和线缆等应有统一的编号和标记，符合国家标准。</w:t>
            </w:r>
          </w:p>
          <w:p>
            <w:pPr>
              <w:spacing w:line="380" w:lineRule="exact"/>
              <w:rPr>
                <w:rFonts w:ascii="仿宋_GB2312"/>
              </w:rPr>
            </w:pPr>
            <w:r>
              <w:rPr>
                <w:rFonts w:ascii="仿宋_GB2312" w:hint="eastAsia"/>
                <w:sz w:val="24"/>
              </w:rPr>
              <w:t>印制板、主要元器件等应在相应位置印有与电路图中项目代号相符的标记。</w:t>
            </w:r>
          </w:p>
          <w:p>
            <w:pPr>
              <w:spacing w:line="380" w:lineRule="exact"/>
              <w:rPr>
                <w:rFonts w:ascii="仿宋_GB2312"/>
              </w:rPr>
            </w:pPr>
            <w:r>
              <w:rPr>
                <w:rFonts w:ascii="仿宋_GB2312" w:hint="eastAsia"/>
                <w:sz w:val="24"/>
              </w:rPr>
              <w:t>标记的文字、字母和符号应完整、规范、清晰和牢固，且便于识读。</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发射机和接收机的噪音应低于85dB。</w:t>
            </w:r>
          </w:p>
        </w:tc>
      </w:tr>
      <w:tr>
        <w:tblPrEx>
          <w:tblW w:w="8760" w:type="dxa"/>
          <w:jc w:val="center"/>
          <w:tblLayout w:type="fixed"/>
          <w:tblCellMar>
            <w:top w:w="0" w:type="dxa"/>
            <w:left w:w="108" w:type="dxa"/>
            <w:bottom w:w="0" w:type="dxa"/>
            <w:right w:w="108" w:type="dxa"/>
          </w:tblCellMar>
          <w:tblLook w:val="0000"/>
        </w:tblPrEx>
        <w:trPr>
          <w:jc w:val="center"/>
        </w:trPr>
        <w:tc>
          <w:tcPr>
            <w:tcW w:w="3646"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雷达的名称、型号（代号）；出厂编号；出厂年月；制造厂商标。</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天线罩技术性能指标表</w:t>
      </w:r>
    </w:p>
    <w:tbl>
      <w:tblPr>
        <w:tblStyle w:val="TableNormal"/>
        <w:tblW w:w="8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502"/>
        <w:gridCol w:w="5337"/>
      </w:tblGrid>
      <w:tr>
        <w:tblPrEx>
          <w:tblW w:w="8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50"/>
          <w:jc w:val="center"/>
        </w:trPr>
        <w:tc>
          <w:tcPr>
            <w:tcW w:w="3502"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rPr>
            </w:pPr>
            <w:r>
              <w:rPr>
                <w:rFonts w:ascii="仿宋_GB2312" w:hint="eastAsia"/>
                <w:b/>
                <w:bCs/>
                <w:sz w:val="24"/>
              </w:rPr>
              <w:t>项目</w:t>
            </w:r>
          </w:p>
        </w:tc>
        <w:tc>
          <w:tcPr>
            <w:tcW w:w="5337" w:type="dxa"/>
            <w:tcBorders>
              <w:top w:val="single" w:sz="4" w:space="0" w:color="auto"/>
              <w:left w:val="single" w:sz="4" w:space="0" w:color="auto"/>
              <w:right w:val="single" w:sz="4" w:space="0" w:color="auto"/>
            </w:tcBorders>
            <w:vAlign w:val="center"/>
          </w:tcPr>
          <w:p>
            <w:pPr>
              <w:adjustRightInd w:val="0"/>
              <w:snapToGrid w:val="0"/>
              <w:spacing w:line="240" w:lineRule="auto"/>
              <w:jc w:val="center"/>
              <w:rPr>
                <w:rFonts w:ascii="仿宋_GB2312"/>
                <w:b/>
                <w:bCs/>
              </w:rPr>
            </w:pPr>
            <w:r>
              <w:rPr>
                <w:rFonts w:ascii="仿宋_GB2312" w:hint="eastAsia"/>
                <w:b/>
                <w:bCs/>
                <w:sz w:val="24"/>
              </w:rPr>
              <w:t>性能指标</w:t>
            </w:r>
          </w:p>
        </w:tc>
      </w:tr>
      <w:tr>
        <w:tblPrEx>
          <w:tblW w:w="8839" w:type="dxa"/>
          <w:jc w:val="center"/>
          <w:tblLayout w:type="fixed"/>
          <w:tblCellMar>
            <w:top w:w="0" w:type="dxa"/>
            <w:left w:w="108" w:type="dxa"/>
            <w:bottom w:w="0" w:type="dxa"/>
            <w:right w:w="108" w:type="dxa"/>
          </w:tblCellMar>
          <w:tblLook w:val="0000"/>
        </w:tblPrEx>
        <w:trPr>
          <w:trHeight w:val="368"/>
          <w:jc w:val="center"/>
        </w:trPr>
        <w:tc>
          <w:tcPr>
            <w:tcW w:w="3502"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抗风能力（阵风）</w:t>
            </w:r>
          </w:p>
        </w:tc>
        <w:tc>
          <w:tcPr>
            <w:tcW w:w="5337"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60m/s不损坏</w:t>
            </w:r>
          </w:p>
        </w:tc>
      </w:tr>
      <w:tr>
        <w:tblPrEx>
          <w:tblW w:w="8839" w:type="dxa"/>
          <w:jc w:val="center"/>
          <w:tblLayout w:type="fixed"/>
          <w:tblCellMar>
            <w:top w:w="0" w:type="dxa"/>
            <w:left w:w="108" w:type="dxa"/>
            <w:bottom w:w="0" w:type="dxa"/>
            <w:right w:w="108" w:type="dxa"/>
          </w:tblCellMar>
          <w:tblLook w:val="0000"/>
        </w:tblPrEx>
        <w:trPr>
          <w:trHeight w:val="350"/>
          <w:jc w:val="center"/>
        </w:trPr>
        <w:tc>
          <w:tcPr>
            <w:tcW w:w="3502"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射频损失</w:t>
            </w:r>
          </w:p>
        </w:tc>
        <w:tc>
          <w:tcPr>
            <w:tcW w:w="5337"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1.2dB（双程）</w:t>
            </w:r>
          </w:p>
        </w:tc>
      </w:tr>
      <w:tr>
        <w:tblPrEx>
          <w:tblW w:w="8839" w:type="dxa"/>
          <w:jc w:val="center"/>
          <w:tblLayout w:type="fixed"/>
          <w:tblCellMar>
            <w:top w:w="0" w:type="dxa"/>
            <w:left w:w="108" w:type="dxa"/>
            <w:bottom w:w="0" w:type="dxa"/>
            <w:right w:w="108" w:type="dxa"/>
          </w:tblCellMar>
          <w:tblLook w:val="0000"/>
        </w:tblPrEx>
        <w:trPr>
          <w:trHeight w:val="350"/>
          <w:jc w:val="center"/>
        </w:trPr>
        <w:tc>
          <w:tcPr>
            <w:tcW w:w="3502"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引入波束偏差</w:t>
            </w:r>
          </w:p>
        </w:tc>
        <w:tc>
          <w:tcPr>
            <w:tcW w:w="5337"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39" w:type="dxa"/>
          <w:jc w:val="center"/>
          <w:tblLayout w:type="fixed"/>
          <w:tblCellMar>
            <w:top w:w="0" w:type="dxa"/>
            <w:left w:w="108" w:type="dxa"/>
            <w:bottom w:w="0" w:type="dxa"/>
            <w:right w:w="108" w:type="dxa"/>
          </w:tblCellMar>
          <w:tblLook w:val="0000"/>
        </w:tblPrEx>
        <w:trPr>
          <w:trHeight w:val="350"/>
          <w:jc w:val="center"/>
        </w:trPr>
        <w:tc>
          <w:tcPr>
            <w:tcW w:w="3502"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引入波束展宽</w:t>
            </w:r>
          </w:p>
        </w:tc>
        <w:tc>
          <w:tcPr>
            <w:tcW w:w="5337"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0.05</w:t>
            </w:r>
            <w:r>
              <w:rPr>
                <w:rFonts w:ascii="仿宋_GB2312" w:hint="eastAsia"/>
                <w:sz w:val="24"/>
              </w:rPr>
              <w:t>°</w:t>
            </w:r>
          </w:p>
        </w:tc>
      </w:tr>
      <w:tr>
        <w:tblPrEx>
          <w:tblW w:w="8839" w:type="dxa"/>
          <w:jc w:val="center"/>
          <w:tblLayout w:type="fixed"/>
          <w:tblCellMar>
            <w:top w:w="0" w:type="dxa"/>
            <w:left w:w="108" w:type="dxa"/>
            <w:bottom w:w="0" w:type="dxa"/>
            <w:right w:w="108" w:type="dxa"/>
          </w:tblCellMar>
          <w:tblLook w:val="0000"/>
        </w:tblPrEx>
        <w:trPr>
          <w:trHeight w:val="381"/>
          <w:jc w:val="center"/>
        </w:trPr>
        <w:tc>
          <w:tcPr>
            <w:tcW w:w="3502" w:type="dxa"/>
            <w:tcBorders>
              <w:left w:val="single" w:sz="4" w:space="0" w:color="auto"/>
              <w:right w:val="single" w:sz="4" w:space="0" w:color="auto"/>
            </w:tcBorders>
            <w:vAlign w:val="center"/>
          </w:tcPr>
          <w:p>
            <w:pPr>
              <w:adjustRightInd w:val="0"/>
              <w:snapToGrid w:val="0"/>
              <w:spacing w:line="240" w:lineRule="auto"/>
              <w:rPr>
                <w:rFonts w:ascii="仿宋_GB2312"/>
              </w:rPr>
            </w:pPr>
            <w:r>
              <w:rPr>
                <w:rFonts w:ascii="仿宋_GB2312" w:hint="eastAsia"/>
                <w:sz w:val="24"/>
              </w:rPr>
              <w:t>引入交叉极化隔离度影响</w:t>
            </w:r>
          </w:p>
        </w:tc>
        <w:tc>
          <w:tcPr>
            <w:tcW w:w="5337" w:type="dxa"/>
            <w:tcBorders>
              <w:top w:val="single" w:sz="4" w:space="0" w:color="auto"/>
              <w:left w:val="single" w:sz="4" w:space="0" w:color="auto"/>
              <w:bottom w:val="single" w:sz="4" w:space="0" w:color="auto"/>
              <w:right w:val="single" w:sz="4" w:space="0" w:color="auto"/>
            </w:tcBorders>
            <w:vAlign w:val="center"/>
          </w:tcPr>
          <w:p>
            <w:pPr>
              <w:adjustRightInd w:val="0"/>
              <w:snapToGrid w:val="0"/>
              <w:spacing w:line="240" w:lineRule="auto"/>
              <w:jc w:val="left"/>
              <w:rPr>
                <w:rFonts w:ascii="仿宋_GB2312"/>
              </w:rPr>
            </w:pPr>
            <w:r>
              <w:rPr>
                <w:rFonts w:ascii="仿宋_GB2312" w:hint="eastAsia"/>
                <w:sz w:val="24"/>
              </w:rPr>
              <w:t>≤</w:t>
            </w:r>
            <w:r>
              <w:rPr>
                <w:rFonts w:ascii="仿宋_GB2312" w:hint="eastAsia"/>
                <w:sz w:val="24"/>
              </w:rPr>
              <w:t>1.0dB</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p>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天线技术性能指标表</w:t>
      </w:r>
    </w:p>
    <w:tbl>
      <w:tblPr>
        <w:tblStyle w:val="TableNormal"/>
        <w:tblW w:w="8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823"/>
        <w:gridCol w:w="4883"/>
      </w:tblGrid>
      <w:tr>
        <w:tblPrEx>
          <w:tblW w:w="8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382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88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706" w:type="dxa"/>
          <w:jc w:val="center"/>
          <w:tblLayout w:type="fixed"/>
          <w:tblCellMar>
            <w:top w:w="0" w:type="dxa"/>
            <w:left w:w="108" w:type="dxa"/>
            <w:bottom w:w="0" w:type="dxa"/>
            <w:right w:w="108" w:type="dxa"/>
          </w:tblCellMar>
          <w:tblLook w:val="0000"/>
        </w:tblPrEx>
        <w:trPr>
          <w:trHeight w:val="321"/>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工作频率</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9.1～9.5GHz</w:t>
            </w:r>
          </w:p>
        </w:tc>
      </w:tr>
      <w:tr>
        <w:tblPrEx>
          <w:tblW w:w="870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极化方式</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线性水平、垂直极化</w:t>
            </w:r>
          </w:p>
        </w:tc>
      </w:tr>
      <w:tr>
        <w:tblPrEx>
          <w:tblW w:w="8706" w:type="dxa"/>
          <w:jc w:val="center"/>
          <w:tblLayout w:type="fixed"/>
          <w:tblCellMar>
            <w:top w:w="0" w:type="dxa"/>
            <w:left w:w="108" w:type="dxa"/>
            <w:bottom w:w="0" w:type="dxa"/>
            <w:right w:w="108" w:type="dxa"/>
          </w:tblCellMar>
          <w:tblLook w:val="0000"/>
        </w:tblPrEx>
        <w:trPr>
          <w:trHeight w:val="328"/>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highlight w:val="yellow"/>
              </w:rPr>
              <w:t>反射面直径</w:t>
            </w:r>
            <w:r>
              <w:rPr>
                <w:rFonts w:ascii="仿宋_GB2312" w:hint="eastAsia"/>
                <w:sz w:val="24"/>
                <w:highlight w:val="yellow"/>
                <w:lang w:val="en-US" w:eastAsia="zh-CN"/>
              </w:rPr>
              <w:t>#</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1m</w:t>
            </w:r>
          </w:p>
        </w:tc>
      </w:tr>
      <w:tr>
        <w:tblPrEx>
          <w:tblW w:w="8706" w:type="dxa"/>
          <w:jc w:val="center"/>
          <w:tblLayout w:type="fixed"/>
          <w:tblCellMar>
            <w:top w:w="0" w:type="dxa"/>
            <w:left w:w="108" w:type="dxa"/>
            <w:bottom w:w="0" w:type="dxa"/>
            <w:right w:w="108" w:type="dxa"/>
          </w:tblCellMar>
          <w:tblLook w:val="0000"/>
        </w:tblPrEx>
        <w:trPr>
          <w:trHeight w:val="207"/>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水平和垂直波束宽度（3dB）</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（含天线罩）</w:t>
            </w:r>
          </w:p>
        </w:tc>
      </w:tr>
      <w:tr>
        <w:tblPrEx>
          <w:tblW w:w="8706" w:type="dxa"/>
          <w:jc w:val="center"/>
          <w:tblLayout w:type="fixed"/>
          <w:tblCellMar>
            <w:top w:w="0" w:type="dxa"/>
            <w:left w:w="108" w:type="dxa"/>
            <w:bottom w:w="0" w:type="dxa"/>
            <w:right w:w="108" w:type="dxa"/>
          </w:tblCellMar>
          <w:tblLook w:val="0000"/>
        </w:tblPrEx>
        <w:trPr>
          <w:trHeight w:val="206"/>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2.7</w:t>
            </w:r>
            <w:r>
              <w:rPr>
                <w:rFonts w:ascii="仿宋_GB2312" w:hint="eastAsia"/>
                <w:sz w:val="24"/>
              </w:rPr>
              <w:t>°</w:t>
            </w:r>
            <w:r>
              <w:rPr>
                <w:rFonts w:ascii="仿宋_GB2312" w:hint="eastAsia"/>
                <w:sz w:val="24"/>
              </w:rPr>
              <w:t>（不含天线罩）</w:t>
            </w:r>
          </w:p>
        </w:tc>
      </w:tr>
      <w:tr>
        <w:tblPrEx>
          <w:tblW w:w="8706" w:type="dxa"/>
          <w:jc w:val="center"/>
          <w:tblLayout w:type="fixed"/>
          <w:tblCellMar>
            <w:top w:w="0" w:type="dxa"/>
            <w:left w:w="108" w:type="dxa"/>
            <w:bottom w:w="0" w:type="dxa"/>
            <w:right w:w="108" w:type="dxa"/>
          </w:tblCellMar>
          <w:tblLook w:val="0000"/>
        </w:tblPrEx>
        <w:trPr>
          <w:trHeight w:val="410"/>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双极化波束宽度差异（3dB）</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70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增益（水平和垂直）</w:t>
            </w:r>
          </w:p>
        </w:tc>
        <w:tc>
          <w:tcPr>
            <w:tcW w:w="488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34.4dB（含天线罩）</w:t>
            </w:r>
          </w:p>
        </w:tc>
      </w:tr>
      <w:tr>
        <w:tblPrEx>
          <w:tblW w:w="870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right w:val="single" w:sz="4" w:space="0" w:color="auto"/>
            </w:tcBorders>
            <w:vAlign w:val="center"/>
          </w:tcPr>
          <w:p>
            <w:pPr>
              <w:spacing w:line="380" w:lineRule="exact"/>
              <w:rPr>
                <w:rFonts w:ascii="仿宋_GB2312"/>
              </w:rPr>
            </w:pPr>
          </w:p>
        </w:tc>
        <w:tc>
          <w:tcPr>
            <w:tcW w:w="4883" w:type="dxa"/>
            <w:tcBorders>
              <w:top w:val="single" w:sz="4" w:space="0" w:color="auto"/>
              <w:left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35dB（不含天线罩）</w:t>
            </w:r>
          </w:p>
        </w:tc>
      </w:tr>
      <w:tr>
        <w:tblPrEx>
          <w:tblW w:w="8706" w:type="dxa"/>
          <w:jc w:val="center"/>
          <w:tblLayout w:type="fixed"/>
          <w:tblCellMar>
            <w:top w:w="0" w:type="dxa"/>
            <w:left w:w="108" w:type="dxa"/>
            <w:bottom w:w="0" w:type="dxa"/>
            <w:right w:w="108" w:type="dxa"/>
          </w:tblCellMar>
          <w:tblLook w:val="0000"/>
        </w:tblPrEx>
        <w:trPr>
          <w:trHeight w:val="178"/>
          <w:jc w:val="center"/>
        </w:trPr>
        <w:tc>
          <w:tcPr>
            <w:tcW w:w="3823" w:type="dxa"/>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双极化天线增益差（H面和E面）</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0.3dB</w:t>
            </w:r>
          </w:p>
        </w:tc>
      </w:tr>
      <w:tr>
        <w:tblPrEx>
          <w:tblW w:w="870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最大副瓣电平</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-22dB（含天线罩）</w:t>
            </w:r>
          </w:p>
        </w:tc>
      </w:tr>
      <w:tr>
        <w:tblPrEx>
          <w:tblW w:w="870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-25dB（不含天线罩）</w:t>
            </w:r>
          </w:p>
        </w:tc>
      </w:tr>
      <w:tr>
        <w:tblPrEx>
          <w:tblW w:w="8706" w:type="dxa"/>
          <w:jc w:val="center"/>
          <w:tblLayout w:type="fixed"/>
          <w:tblCellMar>
            <w:top w:w="0" w:type="dxa"/>
            <w:left w:w="108" w:type="dxa"/>
            <w:bottom w:w="0" w:type="dxa"/>
            <w:right w:w="108" w:type="dxa"/>
          </w:tblCellMar>
          <w:tblLook w:val="0000"/>
        </w:tblPrEx>
        <w:trPr>
          <w:trHeight w:val="192"/>
          <w:jc w:val="center"/>
        </w:trPr>
        <w:tc>
          <w:tcPr>
            <w:tcW w:w="3823" w:type="dxa"/>
            <w:vMerge w:val="restart"/>
            <w:tcBorders>
              <w:top w:val="single" w:sz="4" w:space="0" w:color="auto"/>
              <w:left w:val="single" w:sz="4" w:space="0" w:color="auto"/>
              <w:right w:val="single" w:sz="4" w:space="0" w:color="auto"/>
            </w:tcBorders>
            <w:vAlign w:val="center"/>
          </w:tcPr>
          <w:p>
            <w:pPr>
              <w:spacing w:line="380" w:lineRule="exact"/>
              <w:rPr>
                <w:rFonts w:ascii="仿宋_GB2312"/>
              </w:rPr>
            </w:pPr>
            <w:r>
              <w:rPr>
                <w:rFonts w:ascii="仿宋_GB2312" w:hint="eastAsia"/>
                <w:sz w:val="24"/>
              </w:rPr>
              <w:t>交叉极化隔离度</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30dB（含天线罩）</w:t>
            </w:r>
          </w:p>
        </w:tc>
      </w:tr>
      <w:tr>
        <w:tblPrEx>
          <w:tblW w:w="8706" w:type="dxa"/>
          <w:jc w:val="center"/>
          <w:tblLayout w:type="fixed"/>
          <w:tblCellMar>
            <w:top w:w="0" w:type="dxa"/>
            <w:left w:w="108" w:type="dxa"/>
            <w:bottom w:w="0" w:type="dxa"/>
            <w:right w:w="108" w:type="dxa"/>
          </w:tblCellMar>
          <w:tblLook w:val="0000"/>
        </w:tblPrEx>
        <w:trPr>
          <w:trHeight w:val="191"/>
          <w:jc w:val="center"/>
        </w:trPr>
        <w:tc>
          <w:tcPr>
            <w:tcW w:w="3823" w:type="dxa"/>
            <w:vMerge/>
            <w:tcBorders>
              <w:left w:val="single" w:sz="4" w:space="0" w:color="auto"/>
              <w:bottom w:val="single" w:sz="4" w:space="0" w:color="auto"/>
              <w:right w:val="single" w:sz="4" w:space="0" w:color="auto"/>
            </w:tcBorders>
            <w:vAlign w:val="center"/>
          </w:tcPr>
          <w:p>
            <w:pPr>
              <w:spacing w:line="380" w:lineRule="exact"/>
              <w:rPr>
                <w:rFonts w:ascii="仿宋_GB2312"/>
              </w:rPr>
            </w:pP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30dB（不含天线罩）</w:t>
            </w:r>
          </w:p>
        </w:tc>
      </w:tr>
      <w:tr>
        <w:tblPrEx>
          <w:tblW w:w="8706" w:type="dxa"/>
          <w:jc w:val="center"/>
          <w:tblLayout w:type="fixed"/>
          <w:tblCellMar>
            <w:top w:w="0" w:type="dxa"/>
            <w:left w:w="108" w:type="dxa"/>
            <w:bottom w:w="0" w:type="dxa"/>
            <w:right w:w="108" w:type="dxa"/>
          </w:tblCellMar>
          <w:tblLook w:val="0000"/>
        </w:tblPrEx>
        <w:trPr>
          <w:trHeight w:val="85"/>
          <w:jc w:val="center"/>
        </w:trPr>
        <w:tc>
          <w:tcPr>
            <w:tcW w:w="382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883"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1.5（含馈线）</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馈线技术性能指标表</w:t>
      </w:r>
    </w:p>
    <w:tbl>
      <w:tblPr>
        <w:tblStyle w:val="TableNormal"/>
        <w:tblW w:w="8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673"/>
        <w:gridCol w:w="4011"/>
      </w:tblGrid>
      <w:tr>
        <w:tblPrEx>
          <w:tblW w:w="8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4673"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项目</w:t>
            </w:r>
          </w:p>
        </w:tc>
        <w:tc>
          <w:tcPr>
            <w:tcW w:w="4011" w:type="dxa"/>
            <w:tcBorders>
              <w:top w:val="single" w:sz="4" w:space="0" w:color="auto"/>
              <w:left w:val="single" w:sz="4" w:space="0" w:color="auto"/>
              <w:right w:val="single" w:sz="4" w:space="0" w:color="auto"/>
            </w:tcBorders>
            <w:vAlign w:val="center"/>
          </w:tcPr>
          <w:p>
            <w:pPr>
              <w:spacing w:line="380" w:lineRule="exact"/>
              <w:jc w:val="center"/>
              <w:rPr>
                <w:rFonts w:ascii="仿宋_GB2312"/>
                <w:b/>
                <w:bCs/>
              </w:rPr>
            </w:pPr>
            <w:r>
              <w:rPr>
                <w:rFonts w:ascii="仿宋_GB2312" w:hint="eastAsia"/>
                <w:b/>
                <w:bCs/>
                <w:sz w:val="24"/>
              </w:rPr>
              <w:t>性能指标</w:t>
            </w:r>
          </w:p>
        </w:tc>
      </w:tr>
      <w:tr>
        <w:tblPrEx>
          <w:tblW w:w="8684" w:type="dxa"/>
          <w:jc w:val="center"/>
          <w:tblLayout w:type="fixed"/>
          <w:tblCellMar>
            <w:top w:w="0" w:type="dxa"/>
            <w:left w:w="108" w:type="dxa"/>
            <w:bottom w:w="0" w:type="dxa"/>
            <w:right w:w="108" w:type="dxa"/>
          </w:tblCellMar>
          <w:tblLook w:val="0000"/>
        </w:tblPrEx>
        <w:trPr>
          <w:trHeight w:val="328"/>
          <w:jc w:val="center"/>
        </w:trPr>
        <w:tc>
          <w:tcPr>
            <w:tcW w:w="467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损耗（单通道收发总损耗，不含功分器）</w:t>
            </w:r>
          </w:p>
        </w:tc>
        <w:tc>
          <w:tcPr>
            <w:tcW w:w="401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w:t>
            </w:r>
            <w:r>
              <w:rPr>
                <w:rFonts w:ascii="仿宋_GB2312" w:hint="eastAsia"/>
                <w:sz w:val="24"/>
              </w:rPr>
              <w:t>3dB</w:t>
            </w:r>
          </w:p>
        </w:tc>
      </w:tr>
      <w:tr>
        <w:tblPrEx>
          <w:tblW w:w="8684" w:type="dxa"/>
          <w:jc w:val="center"/>
          <w:tblLayout w:type="fixed"/>
          <w:tblCellMar>
            <w:top w:w="0" w:type="dxa"/>
            <w:left w:w="108" w:type="dxa"/>
            <w:bottom w:w="0" w:type="dxa"/>
            <w:right w:w="108" w:type="dxa"/>
          </w:tblCellMar>
          <w:tblLook w:val="0000"/>
        </w:tblPrEx>
        <w:trPr>
          <w:trHeight w:val="328"/>
          <w:jc w:val="center"/>
        </w:trPr>
        <w:tc>
          <w:tcPr>
            <w:tcW w:w="467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耦合度</w:t>
            </w:r>
          </w:p>
        </w:tc>
        <w:tc>
          <w:tcPr>
            <w:tcW w:w="401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40</w:t>
            </w:r>
            <w:r>
              <w:rPr>
                <w:rFonts w:ascii="仿宋_GB2312" w:hint="eastAsia"/>
                <w:sz w:val="24"/>
              </w:rPr>
              <w:t>±</w:t>
            </w:r>
            <w:r>
              <w:rPr>
                <w:rFonts w:ascii="仿宋_GB2312" w:hint="eastAsia"/>
                <w:sz w:val="24"/>
              </w:rPr>
              <w:t>1dB</w:t>
            </w:r>
          </w:p>
        </w:tc>
      </w:tr>
      <w:tr>
        <w:tblPrEx>
          <w:tblW w:w="8684" w:type="dxa"/>
          <w:jc w:val="center"/>
          <w:tblLayout w:type="fixed"/>
          <w:tblCellMar>
            <w:top w:w="0" w:type="dxa"/>
            <w:left w:w="108" w:type="dxa"/>
            <w:bottom w:w="0" w:type="dxa"/>
            <w:right w:w="108" w:type="dxa"/>
          </w:tblCellMar>
          <w:tblLook w:val="0000"/>
        </w:tblPrEx>
        <w:trPr>
          <w:trHeight w:val="85"/>
          <w:jc w:val="center"/>
        </w:trPr>
        <w:tc>
          <w:tcPr>
            <w:tcW w:w="4673"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rPr>
            </w:pPr>
            <w:r>
              <w:rPr>
                <w:rFonts w:ascii="仿宋_GB2312" w:hint="eastAsia"/>
                <w:sz w:val="24"/>
              </w:rPr>
              <w:t>驻波比</w:t>
            </w:r>
          </w:p>
        </w:tc>
        <w:tc>
          <w:tcPr>
            <w:tcW w:w="4011"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rPr>
            </w:pPr>
            <w:r>
              <w:rPr>
                <w:rFonts w:ascii="仿宋_GB2312" w:hint="eastAsia"/>
                <w:sz w:val="24"/>
              </w:rPr>
              <w:t>≤</w:t>
            </w:r>
            <w:r>
              <w:rPr>
                <w:rFonts w:ascii="仿宋_GB2312" w:hint="eastAsia"/>
                <w:sz w:val="24"/>
              </w:rPr>
              <w:t>1.5</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伺服转台技术性能指标表</w:t>
      </w:r>
    </w:p>
    <w:tbl>
      <w:tblPr>
        <w:tblStyle w:val="TableNormal"/>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51"/>
        <w:gridCol w:w="1225"/>
        <w:gridCol w:w="5261"/>
      </w:tblGrid>
      <w:tr>
        <w:tblPrEx>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right w:val="single" w:sz="4" w:space="0" w:color="auto"/>
            </w:tcBorders>
          </w:tcPr>
          <w:p>
            <w:pPr>
              <w:spacing w:line="460" w:lineRule="exact"/>
              <w:jc w:val="center"/>
              <w:rPr>
                <w:rFonts w:ascii="仿宋_GB2312"/>
                <w:b/>
                <w:bCs/>
              </w:rPr>
            </w:pPr>
            <w:r>
              <w:rPr>
                <w:rFonts w:ascii="仿宋_GB2312" w:hint="eastAsia"/>
                <w:b/>
                <w:bCs/>
                <w:sz w:val="24"/>
              </w:rPr>
              <w:t>项目</w:t>
            </w:r>
          </w:p>
        </w:tc>
        <w:tc>
          <w:tcPr>
            <w:tcW w:w="5261" w:type="dxa"/>
            <w:tcBorders>
              <w:top w:val="single" w:sz="4" w:space="0" w:color="auto"/>
              <w:left w:val="single" w:sz="4" w:space="0" w:color="auto"/>
              <w:bottom w:val="single" w:sz="4" w:space="0" w:color="auto"/>
              <w:right w:val="single" w:sz="4" w:space="0" w:color="auto"/>
            </w:tcBorders>
          </w:tcPr>
          <w:p>
            <w:pPr>
              <w:spacing w:line="460" w:lineRule="exact"/>
              <w:jc w:val="center"/>
              <w:rPr>
                <w:rFonts w:ascii="仿宋_GB2312"/>
                <w:b/>
                <w:bCs/>
              </w:rPr>
            </w:pPr>
            <w:r>
              <w:rPr>
                <w:rFonts w:ascii="仿宋_GB2312" w:hint="eastAsia"/>
                <w:b/>
                <w:bCs/>
                <w:sz w:val="24"/>
              </w:rPr>
              <w:t>性能指标</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天线扫描方式</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平面位置扫描、距离高度扫描、体积扫描、扇形扫描、定点扫描、任意指向扫描</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2151" w:type="dxa"/>
            <w:vMerge w:val="restart"/>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0～360</w:t>
            </w:r>
            <w:r>
              <w:rPr>
                <w:rFonts w:ascii="仿宋_GB2312" w:hint="eastAsia"/>
                <w:sz w:val="24"/>
              </w:rPr>
              <w:t>°</w:t>
            </w:r>
            <w:r>
              <w:rPr>
                <w:rFonts w:ascii="仿宋_GB2312" w:hint="eastAsia"/>
                <w:sz w:val="24"/>
              </w:rPr>
              <w:t>连续扫描</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2151"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-2～+92</w:t>
            </w:r>
            <w:r>
              <w:rPr>
                <w:rFonts w:ascii="仿宋_GB2312" w:hint="eastAsia"/>
                <w:sz w:val="24"/>
              </w:rPr>
              <w:t>°</w:t>
            </w:r>
            <w:r>
              <w:rPr>
                <w:rFonts w:ascii="仿宋_GB2312" w:hint="eastAsia"/>
                <w:sz w:val="24"/>
              </w:rPr>
              <w:t>往返扫描</w:t>
            </w:r>
          </w:p>
        </w:tc>
      </w:tr>
      <w:tr>
        <w:tblPrEx>
          <w:tblW w:w="863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天线扫描速度</w:t>
            </w:r>
          </w:p>
        </w:tc>
        <w:tc>
          <w:tcPr>
            <w:tcW w:w="1225" w:type="dxa"/>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36</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3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12</w:t>
            </w:r>
            <w:r>
              <w:rPr>
                <w:rFonts w:ascii="仿宋_GB2312" w:hint="eastAsia"/>
                <w:sz w:val="24"/>
              </w:rPr>
              <w:t>°</w:t>
            </w:r>
            <w:r>
              <w:rPr>
                <w:rFonts w:ascii="仿宋_GB2312" w:hint="eastAsia"/>
                <w:sz w:val="24"/>
              </w:rPr>
              <w:t>/s，</w:t>
            </w:r>
            <w:r>
              <w:rPr>
                <w:rFonts w:ascii="仿宋_GB2312" w:hint="eastAsia"/>
                <w:sz w:val="24"/>
              </w:rPr>
              <w:t>≥</w:t>
            </w:r>
            <w:r>
              <w:rPr>
                <w:rFonts w:ascii="仿宋_GB2312" w:hint="eastAsia"/>
                <w:sz w:val="24"/>
              </w:rPr>
              <w:t>6</w:t>
            </w:r>
            <w:r>
              <w:rPr>
                <w:rFonts w:ascii="仿宋_GB2312" w:hint="eastAsia"/>
                <w:sz w:val="24"/>
              </w:rPr>
              <w:t>°</w:t>
            </w:r>
            <w:r>
              <w:rPr>
                <w:rFonts w:ascii="仿宋_GB2312" w:hint="eastAsia"/>
                <w:sz w:val="24"/>
              </w:rPr>
              <w:t>/s误差</w:t>
            </w:r>
            <w:r>
              <w:rPr>
                <w:rFonts w:ascii="仿宋_GB2312" w:hint="eastAsia"/>
                <w:sz w:val="24"/>
              </w:rPr>
              <w:t>≤</w:t>
            </w:r>
            <w:r>
              <w:rPr>
                <w:rFonts w:ascii="仿宋_GB2312" w:hint="eastAsia"/>
                <w:sz w:val="24"/>
              </w:rPr>
              <w:t>5%</w:t>
            </w:r>
          </w:p>
        </w:tc>
      </w:tr>
      <w:tr>
        <w:tblPrEx>
          <w:tblW w:w="8637" w:type="dxa"/>
          <w:jc w:val="center"/>
          <w:tblLayout w:type="fixed"/>
          <w:tblCellMar>
            <w:top w:w="0" w:type="dxa"/>
            <w:left w:w="108" w:type="dxa"/>
            <w:bottom w:w="0" w:type="dxa"/>
            <w:right w:w="108" w:type="dxa"/>
          </w:tblCellMar>
          <w:tblLook w:val="0000"/>
        </w:tblPrEx>
        <w:trPr>
          <w:trHeight w:val="315"/>
          <w:jc w:val="center"/>
        </w:trPr>
        <w:tc>
          <w:tcPr>
            <w:tcW w:w="2151" w:type="dxa"/>
            <w:vMerge w:val="restart"/>
            <w:tcBorders>
              <w:left w:val="single" w:sz="4" w:space="0" w:color="auto"/>
              <w:right w:val="single" w:sz="4" w:space="0" w:color="auto"/>
            </w:tcBorders>
            <w:vAlign w:val="center"/>
          </w:tcPr>
          <w:p>
            <w:pPr>
              <w:spacing w:line="460" w:lineRule="exact"/>
              <w:rPr>
                <w:rFonts w:ascii="仿宋_GB2312"/>
              </w:rPr>
            </w:pPr>
            <w:r>
              <w:rPr>
                <w:rFonts w:ascii="仿宋_GB2312" w:hint="eastAsia"/>
                <w:sz w:val="24"/>
              </w:rPr>
              <w:t>天线扫描加速度</w:t>
            </w: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方位</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30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37" w:type="dxa"/>
          <w:jc w:val="center"/>
          <w:tblLayout w:type="fixed"/>
          <w:tblCellMar>
            <w:top w:w="0" w:type="dxa"/>
            <w:left w:w="108" w:type="dxa"/>
            <w:bottom w:w="0" w:type="dxa"/>
            <w:right w:w="108" w:type="dxa"/>
          </w:tblCellMar>
          <w:tblLook w:val="0000"/>
        </w:tblPrEx>
        <w:trPr>
          <w:trHeight w:val="315"/>
          <w:jc w:val="center"/>
        </w:trPr>
        <w:tc>
          <w:tcPr>
            <w:tcW w:w="2151" w:type="dxa"/>
            <w:vMerge/>
            <w:tcBorders>
              <w:left w:val="single" w:sz="4" w:space="0" w:color="auto"/>
              <w:bottom w:val="single" w:sz="4" w:space="0" w:color="auto"/>
              <w:right w:val="single" w:sz="4" w:space="0" w:color="auto"/>
            </w:tcBorders>
            <w:vAlign w:val="center"/>
          </w:tcPr>
          <w:p>
            <w:pPr>
              <w:spacing w:line="460" w:lineRule="exact"/>
              <w:rPr>
                <w:rFonts w:ascii="仿宋_GB2312"/>
              </w:rPr>
            </w:pPr>
          </w:p>
        </w:tc>
        <w:tc>
          <w:tcPr>
            <w:tcW w:w="1225" w:type="dxa"/>
            <w:tcBorders>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俯仰</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10</w:t>
            </w:r>
            <w:r>
              <w:rPr>
                <w:rFonts w:ascii="仿宋_GB2312" w:hint="eastAsia"/>
                <w:sz w:val="24"/>
              </w:rPr>
              <w:t>°</w:t>
            </w:r>
            <w:r>
              <w:rPr>
                <w:rFonts w:ascii="仿宋_GB2312" w:hint="eastAsia"/>
                <w:sz w:val="24"/>
              </w:rPr>
              <w:t>/s</w:t>
            </w:r>
            <w:r>
              <w:rPr>
                <w:rFonts w:ascii="仿宋_GB2312" w:hint="eastAsia"/>
                <w:sz w:val="24"/>
                <w:vertAlign w:val="superscript"/>
              </w:rPr>
              <w:t>2</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天线控制方式</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预置全自动、人工干预自动/手动控制</w:t>
            </w:r>
          </w:p>
        </w:tc>
      </w:tr>
      <w:tr>
        <w:tblPrEx>
          <w:tblW w:w="8637" w:type="dxa"/>
          <w:jc w:val="center"/>
          <w:tblLayout w:type="fixed"/>
          <w:tblCellMar>
            <w:top w:w="0" w:type="dxa"/>
            <w:left w:w="108" w:type="dxa"/>
            <w:bottom w:w="0" w:type="dxa"/>
            <w:right w:w="108" w:type="dxa"/>
          </w:tblCellMar>
          <w:tblLook w:val="0000"/>
        </w:tblPrEx>
        <w:trPr>
          <w:trHeight w:val="49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波束指向误差（方位和俯仰）</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0.2</w:t>
            </w:r>
            <w:r>
              <w:rPr>
                <w:rFonts w:ascii="仿宋_GB2312" w:hint="eastAsia"/>
                <w:sz w:val="24"/>
              </w:rPr>
              <w:t>°</w:t>
            </w:r>
          </w:p>
        </w:tc>
      </w:tr>
      <w:tr>
        <w:tblPrEx>
          <w:tblW w:w="8637" w:type="dxa"/>
          <w:jc w:val="center"/>
          <w:tblLayout w:type="fixed"/>
          <w:tblCellMar>
            <w:top w:w="0" w:type="dxa"/>
            <w:left w:w="108" w:type="dxa"/>
            <w:bottom w:w="0" w:type="dxa"/>
            <w:right w:w="108" w:type="dxa"/>
          </w:tblCellMar>
          <w:tblLook w:val="0000"/>
        </w:tblPrEx>
        <w:trPr>
          <w:trHeight w:val="450"/>
          <w:jc w:val="center"/>
        </w:trPr>
        <w:tc>
          <w:tcPr>
            <w:tcW w:w="3376" w:type="dxa"/>
            <w:gridSpan w:val="2"/>
            <w:tcBorders>
              <w:top w:val="single" w:sz="4" w:space="0" w:color="auto"/>
              <w:left w:val="single" w:sz="4" w:space="0" w:color="auto"/>
              <w:right w:val="single" w:sz="4" w:space="0" w:color="auto"/>
            </w:tcBorders>
            <w:vAlign w:val="center"/>
          </w:tcPr>
          <w:p>
            <w:pPr>
              <w:spacing w:line="460" w:lineRule="exact"/>
              <w:rPr>
                <w:rFonts w:ascii="仿宋_GB2312"/>
              </w:rPr>
            </w:pPr>
            <w:r>
              <w:rPr>
                <w:rFonts w:ascii="仿宋_GB2312" w:hint="eastAsia"/>
                <w:sz w:val="24"/>
              </w:rPr>
              <w:t>天线控制精度（方位和俯仰）</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0.1</w:t>
            </w:r>
            <w:r>
              <w:rPr>
                <w:rFonts w:ascii="仿宋_GB2312" w:hint="eastAsia"/>
                <w:sz w:val="24"/>
              </w:rPr>
              <w:t>°</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天线控制字长</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角度编码器字长</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w:t>
            </w:r>
            <w:r>
              <w:rPr>
                <w:rFonts w:ascii="仿宋_GB2312" w:hint="eastAsia"/>
                <w:sz w:val="24"/>
              </w:rPr>
              <w:t>14位</w:t>
            </w:r>
          </w:p>
        </w:tc>
      </w:tr>
      <w:tr>
        <w:tblPrEx>
          <w:tblW w:w="8637" w:type="dxa"/>
          <w:jc w:val="center"/>
          <w:tblLayout w:type="fixed"/>
          <w:tblCellMar>
            <w:top w:w="0" w:type="dxa"/>
            <w:left w:w="108" w:type="dxa"/>
            <w:bottom w:w="0" w:type="dxa"/>
            <w:right w:w="108" w:type="dxa"/>
          </w:tblCellMar>
          <w:tblLook w:val="0000"/>
        </w:tblPrEx>
        <w:trPr>
          <w:trHeight w:val="160"/>
          <w:jc w:val="center"/>
        </w:trPr>
        <w:tc>
          <w:tcPr>
            <w:tcW w:w="3376" w:type="dxa"/>
            <w:gridSpan w:val="2"/>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安全与保护</w:t>
            </w:r>
          </w:p>
        </w:tc>
        <w:tc>
          <w:tcPr>
            <w:tcW w:w="5261" w:type="dxa"/>
            <w:tcBorders>
              <w:top w:val="single" w:sz="4" w:space="0" w:color="auto"/>
              <w:left w:val="single" w:sz="4" w:space="0" w:color="auto"/>
              <w:bottom w:val="single" w:sz="4" w:space="0" w:color="auto"/>
              <w:right w:val="single" w:sz="4" w:space="0" w:color="auto"/>
            </w:tcBorders>
            <w:vAlign w:val="center"/>
          </w:tcPr>
          <w:p>
            <w:pPr>
              <w:spacing w:line="460" w:lineRule="exact"/>
              <w:rPr>
                <w:rFonts w:ascii="仿宋_GB2312"/>
              </w:rPr>
            </w:pPr>
            <w:r>
              <w:rPr>
                <w:rFonts w:ascii="仿宋_GB2312" w:hint="eastAsia"/>
                <w:sz w:val="24"/>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发射机技术性能指标表</w:t>
      </w:r>
    </w:p>
    <w:tbl>
      <w:tblPr>
        <w:tblStyle w:val="TableNormal"/>
        <w:tblW w:w="8626" w:type="dxa"/>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65"/>
        <w:gridCol w:w="4961"/>
      </w:tblGrid>
      <w:tr>
        <w:tblPrEx>
          <w:tblW w:w="8626" w:type="dxa"/>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665"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全固态</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26" w:type="dxa"/>
          <w:jc w:val="center"/>
          <w:tblInd w:w="-409" w:type="dxa"/>
          <w:tblLayout w:type="fixed"/>
          <w:tblCellMar>
            <w:top w:w="0" w:type="dxa"/>
            <w:left w:w="108" w:type="dxa"/>
            <w:bottom w:w="0" w:type="dxa"/>
            <w:right w:w="108" w:type="dxa"/>
          </w:tblCellMar>
          <w:tblLook w:val="0000"/>
        </w:tblPrEx>
        <w:trPr>
          <w:trHeight w:val="317"/>
          <w:jc w:val="center"/>
        </w:trPr>
        <w:tc>
          <w:tcPr>
            <w:tcW w:w="3665"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脉冲峰值功率（总功率）</w:t>
            </w:r>
            <w:r>
              <w:rPr>
                <w:rFonts w:ascii="仿宋_GB2312" w:hint="eastAsia"/>
                <w:sz w:val="24"/>
                <w:highlight w:val="yellow"/>
                <w:lang w:val="en-US" w:eastAsia="zh-CN"/>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200W～300W</w:t>
            </w:r>
          </w:p>
        </w:tc>
      </w:tr>
      <w:tr>
        <w:tblPrEx>
          <w:tblW w:w="8626" w:type="dxa"/>
          <w:jc w:val="center"/>
          <w:tblInd w:w="-409" w:type="dxa"/>
          <w:tblLayout w:type="fixed"/>
          <w:tblCellMar>
            <w:top w:w="0" w:type="dxa"/>
            <w:left w:w="108" w:type="dxa"/>
            <w:bottom w:w="0" w:type="dxa"/>
            <w:right w:w="108" w:type="dxa"/>
          </w:tblCellMar>
          <w:tblLook w:val="0000"/>
        </w:tblPrEx>
        <w:trPr>
          <w:trHeight w:val="317"/>
          <w:jc w:val="center"/>
        </w:trPr>
        <w:tc>
          <w:tcPr>
            <w:tcW w:w="3665"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626" w:type="dxa"/>
          <w:jc w:val="center"/>
          <w:tblInd w:w="-409" w:type="dxa"/>
          <w:tblLayout w:type="fixed"/>
          <w:tblCellMar>
            <w:top w:w="0" w:type="dxa"/>
            <w:left w:w="108" w:type="dxa"/>
            <w:bottom w:w="0" w:type="dxa"/>
            <w:right w:w="108" w:type="dxa"/>
          </w:tblCellMar>
          <w:tblLook w:val="0000"/>
        </w:tblPrEx>
        <w:trPr>
          <w:trHeight w:val="317"/>
          <w:jc w:val="center"/>
        </w:trPr>
        <w:tc>
          <w:tcPr>
            <w:tcW w:w="3665"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峰值功率波动（24小时，以现场安装后测试结果为基准，更换相关器件后重新标校）</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0.4dB范围内</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脉冲重复频率</w:t>
            </w:r>
            <w:r>
              <w:rPr>
                <w:rFonts w:ascii="仿宋_GB2312" w:hint="eastAsia"/>
                <w:sz w:val="24"/>
                <w:highlight w:val="yellow"/>
                <w:lang w:val="en-US" w:eastAsia="zh-CN"/>
              </w:rPr>
              <w:t>#</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500Hz～3000Hz</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0.5～200</w:t>
            </w:r>
            <w:r>
              <w:rPr>
                <w:rFonts w:ascii="仿宋_GB2312" w:hint="eastAsia"/>
                <w:sz w:val="24"/>
              </w:rPr>
              <w:t>μ</w:t>
            </w:r>
            <w:r>
              <w:rPr>
                <w:rFonts w:ascii="仿宋_GB2312" w:hint="eastAsia"/>
                <w:sz w:val="24"/>
              </w:rPr>
              <w:t>s（可选）</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26" w:type="dxa"/>
          <w:jc w:val="center"/>
          <w:tblInd w:w="-409" w:type="dxa"/>
          <w:tblLayout w:type="fixed"/>
          <w:tblCellMar>
            <w:top w:w="0" w:type="dxa"/>
            <w:left w:w="108" w:type="dxa"/>
            <w:bottom w:w="0" w:type="dxa"/>
            <w:right w:w="108" w:type="dxa"/>
          </w:tblCellMar>
          <w:tblLook w:val="0000"/>
        </w:tblPrEx>
        <w:trPr>
          <w:jc w:val="center"/>
        </w:trPr>
        <w:tc>
          <w:tcPr>
            <w:tcW w:w="366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发生过温、过流等情况时可报警并实现自保；输出功率低时输出报警信号。</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接收机技术性能指标表</w:t>
      </w:r>
    </w:p>
    <w:tbl>
      <w:tblPr>
        <w:tblStyle w:val="TableNormal"/>
        <w:tblW w:w="8615" w:type="dxa"/>
        <w:jc w:val="center"/>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16"/>
        <w:gridCol w:w="1224"/>
        <w:gridCol w:w="4475"/>
      </w:tblGrid>
      <w:tr>
        <w:tblPrEx>
          <w:tblW w:w="8615" w:type="dxa"/>
          <w:jc w:val="center"/>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14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rPr>
            </w:pPr>
            <w:r>
              <w:rPr>
                <w:rFonts w:ascii="仿宋_GB2312" w:hint="eastAsia"/>
                <w:b/>
                <w:bCs/>
                <w:sz w:val="24"/>
              </w:rPr>
              <w:t>性能指标</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9.1～9.5GHz</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0.3dB范围内（机内/机外）</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0.2dB范围内</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线性动态范围（带宽1MHz）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95dB（机内/机外）</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最小可测功率（灵敏度）</w:t>
            </w:r>
            <w:r>
              <w:rPr>
                <w:rFonts w:ascii="仿宋_GB2312" w:hint="eastAsia"/>
                <w:sz w:val="24"/>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-110dBm（带宽1MHz）</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接收机噪声电平波动（24小时，以现场安装后测试结果为基准，更换相关器件后重新标校）</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1dB范围内</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-40dBc</w:t>
            </w:r>
          </w:p>
        </w:tc>
      </w:tr>
      <w:tr>
        <w:tblPrEx>
          <w:tblW w:w="8615" w:type="dxa"/>
          <w:jc w:val="center"/>
          <w:tblInd w:w="-540" w:type="dxa"/>
          <w:tblLayout w:type="fixed"/>
          <w:tblCellMar>
            <w:top w:w="0" w:type="dxa"/>
            <w:left w:w="108" w:type="dxa"/>
            <w:bottom w:w="0" w:type="dxa"/>
            <w:right w:w="108" w:type="dxa"/>
          </w:tblCellMar>
          <w:tblLook w:val="0000"/>
        </w:tblPrEx>
        <w:trPr>
          <w:trHeight w:val="357"/>
          <w:jc w:val="center"/>
        </w:trPr>
        <w:tc>
          <w:tcPr>
            <w:tcW w:w="2916" w:type="dxa"/>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频率源射频输出相位噪声</w:t>
            </w:r>
          </w:p>
        </w:tc>
        <w:tc>
          <w:tcPr>
            <w:tcW w:w="122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-110dBc/Hz </w:t>
            </w:r>
          </w:p>
        </w:tc>
      </w:tr>
      <w:tr>
        <w:tblPrEx>
          <w:tblW w:w="8615" w:type="dxa"/>
          <w:jc w:val="center"/>
          <w:tblInd w:w="-540" w:type="dxa"/>
          <w:tblLayout w:type="fixed"/>
          <w:tblCellMar>
            <w:top w:w="0" w:type="dxa"/>
            <w:left w:w="108" w:type="dxa"/>
            <w:bottom w:w="0" w:type="dxa"/>
            <w:right w:w="108" w:type="dxa"/>
          </w:tblCellMar>
          <w:tblLook w:val="0000"/>
        </w:tblPrEx>
        <w:trPr>
          <w:trHeight w:val="418"/>
          <w:jc w:val="center"/>
        </w:trPr>
        <w:tc>
          <w:tcPr>
            <w:tcW w:w="2916" w:type="dxa"/>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p>
        </w:tc>
        <w:tc>
          <w:tcPr>
            <w:tcW w:w="122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 xml:space="preserve">-115dBc/Hz </w:t>
            </w:r>
          </w:p>
        </w:tc>
      </w:tr>
      <w:tr>
        <w:tblPrEx>
          <w:tblW w:w="8615" w:type="dxa"/>
          <w:jc w:val="center"/>
          <w:tblInd w:w="-540" w:type="dxa"/>
          <w:tblLayout w:type="fixed"/>
          <w:tblCellMar>
            <w:top w:w="0" w:type="dxa"/>
            <w:left w:w="108" w:type="dxa"/>
            <w:bottom w:w="0" w:type="dxa"/>
            <w:right w:w="108" w:type="dxa"/>
          </w:tblCellMar>
          <w:tblLook w:val="0000"/>
        </w:tblPrEx>
        <w:trPr>
          <w:trHeight w:val="418"/>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highlight w:val="yellow"/>
              </w:rPr>
              <w:t>谐波和杂散抑制</w:t>
            </w:r>
            <w:r>
              <w:rPr>
                <w:rFonts w:ascii="仿宋_GB2312" w:hint="eastAsia"/>
                <w:sz w:val="24"/>
                <w:highlight w:val="yellow"/>
                <w:lang w:val="en-US" w:eastAsia="zh-CN"/>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15" w:type="dxa"/>
          <w:jc w:val="center"/>
          <w:tblInd w:w="-540" w:type="dxa"/>
          <w:tblLayout w:type="fixed"/>
          <w:tblCellMar>
            <w:top w:w="0" w:type="dxa"/>
            <w:left w:w="108" w:type="dxa"/>
            <w:bottom w:w="0" w:type="dxa"/>
            <w:right w:w="108" w:type="dxa"/>
          </w:tblCellMar>
          <w:tblLook w:val="0000"/>
        </w:tblPrEx>
        <w:trPr>
          <w:trHeight w:val="418"/>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40dB</w:t>
            </w:r>
          </w:p>
        </w:tc>
      </w:tr>
      <w:tr>
        <w:tblPrEx>
          <w:tblW w:w="8615" w:type="dxa"/>
          <w:jc w:val="center"/>
          <w:tblInd w:w="-540" w:type="dxa"/>
          <w:tblLayout w:type="fixed"/>
          <w:tblCellMar>
            <w:top w:w="0" w:type="dxa"/>
            <w:left w:w="108" w:type="dxa"/>
            <w:bottom w:w="0" w:type="dxa"/>
            <w:right w:w="108" w:type="dxa"/>
          </w:tblCellMar>
          <w:tblLook w:val="0000"/>
        </w:tblPrEx>
        <w:trPr>
          <w:jc w:val="center"/>
        </w:trPr>
        <w:tc>
          <w:tcPr>
            <w:tcW w:w="414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 xml:space="preserve">发生本振故障、激励故障、时钟故障、RFD测量误差超限等情况时可报警。 </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数字中频单元技术性能指标表</w:t>
      </w:r>
    </w:p>
    <w:tbl>
      <w:tblPr>
        <w:tblStyle w:val="TableNormal"/>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600"/>
        <w:gridCol w:w="5098"/>
      </w:tblGrid>
      <w:tr>
        <w:tblPrEx>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600" w:type="dxa"/>
            <w:tcBorders>
              <w:top w:val="single" w:sz="4" w:space="0" w:color="auto"/>
              <w:left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项目</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rPr>
            </w:pPr>
            <w:r>
              <w:rPr>
                <w:rFonts w:ascii="仿宋_GB2312" w:hint="eastAsia"/>
                <w:b/>
                <w:bCs/>
                <w:sz w:val="24"/>
              </w:rPr>
              <w:t>性能指标</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hint="eastAsia"/>
                <w:sz w:val="24"/>
              </w:rPr>
              <w:t>参考时钟</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800MHz，3</w:t>
            </w:r>
            <w:r>
              <w:rPr>
                <w:rFonts w:ascii="仿宋_GB2312" w:hint="eastAsia"/>
                <w:sz w:val="24"/>
              </w:rPr>
              <w:t>±</w:t>
            </w:r>
            <w:r>
              <w:rPr>
                <w:rFonts w:ascii="仿宋_GB2312" w:hint="eastAsia"/>
                <w:sz w:val="24"/>
              </w:rPr>
              <w:t>1dBm</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pPr>
            <w:r>
              <w:rPr>
                <w:rFonts w:hint="eastAsia"/>
                <w:sz w:val="24"/>
              </w:rPr>
              <w:t>输出中频激励信号</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30MHz～70MHz，0</w:t>
            </w:r>
            <w:r>
              <w:rPr>
                <w:rFonts w:ascii="仿宋_GB2312" w:hint="eastAsia"/>
                <w:sz w:val="24"/>
              </w:rPr>
              <w:t>±</w:t>
            </w:r>
            <w:r>
              <w:rPr>
                <w:rFonts w:ascii="仿宋_GB2312" w:hint="eastAsia"/>
                <w:sz w:val="24"/>
              </w:rPr>
              <w:t>5dBm</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输入中频信号</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30MHz～70MHz，</w:t>
            </w:r>
            <w:r>
              <w:rPr>
                <w:rFonts w:ascii="仿宋_GB2312" w:hint="eastAsia"/>
                <w:sz w:val="24"/>
              </w:rPr>
              <w:t>≤</w:t>
            </w:r>
            <w:r>
              <w:rPr>
                <w:rFonts w:ascii="仿宋_GB2312" w:hint="eastAsia"/>
                <w:sz w:val="24"/>
              </w:rPr>
              <w:t>+15dBm</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脉冲压缩主副瓣比</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脉压比</w:t>
            </w:r>
            <w:r>
              <w:rPr>
                <w:rFonts w:ascii="仿宋_GB2312" w:hint="eastAsia"/>
                <w:sz w:val="24"/>
              </w:rPr>
              <w:t>≥</w:t>
            </w:r>
            <w:r>
              <w:rPr>
                <w:rFonts w:ascii="仿宋_GB2312" w:hint="eastAsia"/>
                <w:sz w:val="24"/>
              </w:rPr>
              <w:t>100时，</w:t>
            </w:r>
            <w:r>
              <w:rPr>
                <w:rFonts w:ascii="仿宋_GB2312" w:hint="eastAsia"/>
                <w:sz w:val="24"/>
              </w:rPr>
              <w:t>≥</w:t>
            </w:r>
            <w:r>
              <w:rPr>
                <w:rFonts w:ascii="仿宋_GB2312" w:hint="eastAsia"/>
                <w:sz w:val="24"/>
              </w:rPr>
              <w:t>50dB</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距离库数</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w:t>
            </w:r>
            <w:r>
              <w:rPr>
                <w:rFonts w:ascii="仿宋_GB2312" w:hint="eastAsia"/>
                <w:sz w:val="24"/>
              </w:rPr>
              <w:t>500个</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相关系数处理方式</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一阶相关或多阶相关</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处理对数</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16、32、64、128、256等可选</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支持脉冲数</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同一发射周期内最大支持3种脉冲宽度拼接补盲，可选脉冲宽度支持0.5</w:t>
            </w:r>
            <w:r>
              <w:rPr>
                <w:rFonts w:ascii="仿宋_GB2312" w:hint="eastAsia"/>
                <w:sz w:val="24"/>
              </w:rPr>
              <w:t>μ</w:t>
            </w:r>
            <w:r>
              <w:rPr>
                <w:rFonts w:ascii="仿宋_GB2312" w:hint="eastAsia"/>
                <w:sz w:val="24"/>
              </w:rPr>
              <w:t>s</w:t>
            </w:r>
            <w:r>
              <w:rPr>
                <w:rFonts w:ascii="宋体" w:eastAsia="宋体" w:hAnsi="宋体" w:hint="eastAsia"/>
                <w:sz w:val="24"/>
              </w:rPr>
              <w:t>～</w:t>
            </w:r>
            <w:r>
              <w:rPr>
                <w:rFonts w:ascii="仿宋_GB2312" w:hint="eastAsia"/>
                <w:sz w:val="24"/>
              </w:rPr>
              <w:t>200</w:t>
            </w:r>
            <w:r>
              <w:rPr>
                <w:rFonts w:ascii="仿宋_GB2312" w:hint="eastAsia"/>
                <w:sz w:val="24"/>
              </w:rPr>
              <w:t>μ</w:t>
            </w:r>
            <w:r>
              <w:rPr>
                <w:rFonts w:ascii="仿宋_GB2312" w:hint="eastAsia"/>
                <w:sz w:val="24"/>
              </w:rPr>
              <w:t>s</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距离退模糊方法</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相位编码或其它等效方法</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速度退模糊方法</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双重频或其它等效方法</w:t>
            </w:r>
          </w:p>
        </w:tc>
      </w:tr>
      <w:tr>
        <w:tblPrEx>
          <w:tblW w:w="8698" w:type="dxa"/>
          <w:jc w:val="center"/>
          <w:tblLayout w:type="fixed"/>
          <w:tblCellMar>
            <w:top w:w="0" w:type="dxa"/>
            <w:left w:w="108" w:type="dxa"/>
            <w:bottom w:w="0" w:type="dxa"/>
            <w:right w:w="108" w:type="dxa"/>
          </w:tblCellMar>
          <w:tblLook w:val="0000"/>
        </w:tblPrEx>
        <w:trPr>
          <w:jc w:val="center"/>
        </w:trPr>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故障检测和保护</w:t>
            </w:r>
          </w:p>
        </w:tc>
        <w:tc>
          <w:tcPr>
            <w:tcW w:w="509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rPr>
            </w:pPr>
            <w:r>
              <w:rPr>
                <w:rFonts w:ascii="仿宋_GB2312" w:hint="eastAsia"/>
                <w:sz w:val="24"/>
              </w:rPr>
              <w:t>IQ数据、数据丢包、参数输出等故障</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信号处理算法</w:t>
      </w:r>
    </w:p>
    <w:tbl>
      <w:tblPr>
        <w:tblStyle w:val="TableNormal"/>
        <w:tblW w:w="48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2"/>
        <w:gridCol w:w="2000"/>
        <w:gridCol w:w="5976"/>
      </w:tblGrid>
      <w:tr>
        <w:tblPrEx>
          <w:tblW w:w="48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序号</w:t>
            </w:r>
          </w:p>
        </w:tc>
        <w:tc>
          <w:tcPr>
            <w:tcW w:w="4563" w:type="pct"/>
            <w:gridSpan w:val="2"/>
            <w:noWrap/>
            <w:vAlign w:val="center"/>
          </w:tcPr>
          <w:p>
            <w:pPr>
              <w:widowControl/>
              <w:adjustRightInd w:val="0"/>
              <w:snapToGrid w:val="0"/>
              <w:spacing w:line="400" w:lineRule="exact"/>
              <w:jc w:val="center"/>
              <w:rPr>
                <w:rFonts w:ascii="仿宋_GB2312" w:hAnsi="宋体" w:cs="宋体"/>
                <w:b/>
                <w:bCs/>
                <w:kern w:val="0"/>
              </w:rPr>
            </w:pPr>
            <w:r>
              <w:rPr>
                <w:rFonts w:ascii="仿宋_GB2312" w:hAnsi="宋体" w:cs="宋体" w:hint="eastAsia"/>
                <w:b/>
                <w:bCs/>
                <w:kern w:val="0"/>
                <w:sz w:val="24"/>
                <w:szCs w:val="24"/>
              </w:rPr>
              <w:t>算法名称</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w:t>
            </w:r>
          </w:p>
        </w:tc>
        <w:tc>
          <w:tcPr>
            <w:tcW w:w="114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highlight w:val="yellow"/>
              </w:rPr>
              <w:t>杂波抑制</w:t>
            </w:r>
            <w:r>
              <w:rPr>
                <w:rFonts w:ascii="仿宋_GB2312" w:hint="eastAsia"/>
                <w:sz w:val="24"/>
                <w:highlight w:val="yellow"/>
                <w:lang w:val="en-US" w:eastAsia="zh-CN"/>
              </w:rPr>
              <w:t>#</w:t>
            </w: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电磁干扰识别</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电磁干扰抑制</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3</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风电干扰识别</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4</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风电干扰抑制</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5</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地杂波识别</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6</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地杂波抑制</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7</w:t>
            </w:r>
          </w:p>
        </w:tc>
        <w:tc>
          <w:tcPr>
            <w:tcW w:w="114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距离/速度退模糊</w:t>
            </w: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双重频（DPRF）</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8</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参差重频（SPRT）</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9</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随机相位调制</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10</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系统相位编码</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11</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批处理</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12</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分层处理</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13</w:t>
            </w:r>
          </w:p>
        </w:tc>
        <w:tc>
          <w:tcPr>
            <w:tcW w:w="114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参数估计</w:t>
            </w: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常规估计（反射率因子、径向速度、速度谱宽、差分反射率、差分传播相移、相关系数）</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14</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频域估计（反射率因子、径向速度、速度谱宽、差分反射率、差分传播相移、相关系数）</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15</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多阶相关估计（反射率因子、径向速度、速度谱宽、差分反射率、差分传播相移、相关系数）</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16</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线性规划估计、最小二乘估计等多种方式（差分传播相移率）</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17</w:t>
            </w:r>
          </w:p>
        </w:tc>
        <w:tc>
          <w:tcPr>
            <w:tcW w:w="1144" w:type="pct"/>
            <w:vMerge w:val="restar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门限设置</w:t>
            </w: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信号质量指数（SQI）</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18</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天气信号强度指数（SIG）</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19</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杂波订正指数（CCOR）</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20</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杂信比（CSR）</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21</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信噪比（LOG）</w:t>
            </w:r>
          </w:p>
        </w:tc>
      </w:tr>
      <w:tr>
        <w:tblPrEx>
          <w:tblW w:w="4853" w:type="pct"/>
          <w:jc w:val="center"/>
          <w:tblLayout w:type="fixed"/>
          <w:tblCellMar>
            <w:top w:w="0" w:type="dxa"/>
            <w:left w:w="108" w:type="dxa"/>
            <w:bottom w:w="0" w:type="dxa"/>
            <w:right w:w="108" w:type="dxa"/>
          </w:tblCellMar>
          <w:tblLook w:val="0000"/>
        </w:tblPrEx>
        <w:trPr>
          <w:trHeight w:val="280"/>
          <w:jc w:val="center"/>
        </w:trPr>
        <w:tc>
          <w:tcPr>
            <w:tcW w:w="436" w:type="pct"/>
            <w:noWrap/>
            <w:vAlign w:val="center"/>
          </w:tcPr>
          <w:p>
            <w:pPr>
              <w:widowControl/>
              <w:adjustRightInd w:val="0"/>
              <w:snapToGrid w:val="0"/>
              <w:spacing w:line="400" w:lineRule="exact"/>
              <w:jc w:val="center"/>
              <w:rPr>
                <w:rFonts w:ascii="仿宋_GB2312" w:hAnsi="宋体" w:cs="宋体"/>
                <w:kern w:val="0"/>
              </w:rPr>
            </w:pPr>
            <w:r>
              <w:rPr>
                <w:rFonts w:ascii="仿宋_GB2312" w:hAnsi="宋体" w:cs="宋体" w:hint="eastAsia"/>
                <w:kern w:val="0"/>
                <w:sz w:val="24"/>
                <w:szCs w:val="24"/>
              </w:rPr>
              <w:t>22</w:t>
            </w:r>
          </w:p>
        </w:tc>
        <w:tc>
          <w:tcPr>
            <w:tcW w:w="1144" w:type="pct"/>
            <w:vMerge/>
            <w:vAlign w:val="center"/>
          </w:tcPr>
          <w:p>
            <w:pPr>
              <w:widowControl/>
              <w:adjustRightInd w:val="0"/>
              <w:snapToGrid w:val="0"/>
              <w:spacing w:line="400" w:lineRule="exact"/>
              <w:jc w:val="left"/>
              <w:rPr>
                <w:rFonts w:ascii="仿宋_GB2312" w:hAnsi="宋体" w:cs="宋体"/>
                <w:kern w:val="0"/>
              </w:rPr>
            </w:pPr>
          </w:p>
        </w:tc>
        <w:tc>
          <w:tcPr>
            <w:tcW w:w="3418" w:type="pct"/>
            <w:noWrap/>
            <w:vAlign w:val="center"/>
          </w:tcPr>
          <w:p>
            <w:pPr>
              <w:widowControl/>
              <w:adjustRightInd w:val="0"/>
              <w:snapToGrid w:val="0"/>
              <w:spacing w:line="400" w:lineRule="exact"/>
              <w:jc w:val="center"/>
              <w:rPr>
                <w:rFonts w:ascii="仿宋_GB2312" w:hAnsi="宋体" w:cs="宋体"/>
                <w:kern w:val="0"/>
              </w:rPr>
            </w:pPr>
            <w:r>
              <w:rPr>
                <w:rFonts w:ascii="仿宋_GB2312" w:hint="eastAsia"/>
                <w:sz w:val="24"/>
                <w:szCs w:val="24"/>
              </w:rPr>
              <w:t>偏振</w:t>
            </w:r>
            <w:r>
              <w:rPr>
                <w:rFonts w:ascii="仿宋_GB2312" w:hAnsi="宋体" w:cs="宋体" w:hint="eastAsia"/>
                <w:kern w:val="0"/>
                <w:sz w:val="24"/>
                <w:szCs w:val="24"/>
              </w:rPr>
              <w:t>量信噪比（DPLOG）</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雷达终端配置</w:t>
      </w:r>
      <w:r>
        <w:rPr>
          <w:rFonts w:ascii="Times New Roman" w:eastAsia="方正小标宋简体" w:hAnsi="Times New Roman" w:cs="Times New Roman" w:hint="eastAsia"/>
          <w:sz w:val="28"/>
          <w:szCs w:val="28"/>
          <w:highlight w:val="yellow"/>
          <w:lang w:val="en-US" w:eastAsia="zh-CN"/>
        </w:rPr>
        <w:t>#</w:t>
      </w:r>
    </w:p>
    <w:tbl>
      <w:tblPr>
        <w:tblStyle w:val="TableNormal"/>
        <w:tblW w:w="8764" w:type="dxa"/>
        <w:jc w:val="center"/>
        <w:tblInd w:w="148" w:type="dxa"/>
        <w:tblCellMar>
          <w:top w:w="0" w:type="dxa"/>
          <w:left w:w="108" w:type="dxa"/>
          <w:bottom w:w="0" w:type="dxa"/>
          <w:right w:w="108" w:type="dxa"/>
        </w:tblCellMar>
        <w:tblLook w:val="0000"/>
      </w:tblPr>
      <w:tblGrid>
        <w:gridCol w:w="878"/>
        <w:gridCol w:w="1896"/>
        <w:gridCol w:w="5990"/>
      </w:tblGrid>
      <w:tr>
        <w:tblPrEx>
          <w:tblW w:w="8764" w:type="dxa"/>
          <w:jc w:val="center"/>
          <w:tblInd w:w="14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序号</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b/>
                <w:bCs/>
                <w:kern w:val="0"/>
              </w:rPr>
            </w:pPr>
            <w:r>
              <w:rPr>
                <w:rFonts w:ascii="仿宋_GB2312" w:hAnsi="仿宋" w:cs="宋体" w:hint="eastAsia"/>
                <w:b/>
                <w:bCs/>
                <w:kern w:val="0"/>
                <w:sz w:val="24"/>
                <w:szCs w:val="24"/>
              </w:rPr>
              <w:t>项目</w:t>
            </w:r>
          </w:p>
        </w:tc>
        <w:tc>
          <w:tcPr>
            <w:tcW w:w="5990"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b/>
                <w:bCs/>
              </w:rPr>
            </w:pPr>
            <w:r>
              <w:rPr>
                <w:rFonts w:ascii="仿宋_GB2312" w:hint="eastAsia"/>
                <w:b/>
                <w:bCs/>
                <w:sz w:val="24"/>
                <w:szCs w:val="24"/>
              </w:rPr>
              <w:t>性能指标</w:t>
            </w:r>
          </w:p>
        </w:tc>
      </w:tr>
      <w:tr>
        <w:tblPrEx>
          <w:tblW w:w="8764" w:type="dxa"/>
          <w:jc w:val="center"/>
          <w:tblInd w:w="148"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1</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CPU</w:t>
            </w:r>
          </w:p>
        </w:tc>
        <w:tc>
          <w:tcPr>
            <w:tcW w:w="5990"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不少于8核16线程，频率不低于2.8GHz</w:t>
            </w:r>
          </w:p>
        </w:tc>
      </w:tr>
      <w:tr>
        <w:tblPrEx>
          <w:tblW w:w="8764" w:type="dxa"/>
          <w:jc w:val="center"/>
          <w:tblInd w:w="148"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2</w:t>
            </w:r>
          </w:p>
        </w:tc>
        <w:tc>
          <w:tcPr>
            <w:tcW w:w="1896" w:type="dxa"/>
            <w:tcBorders>
              <w:top w:val="nil"/>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内存</w:t>
            </w:r>
          </w:p>
        </w:tc>
        <w:tc>
          <w:tcPr>
            <w:tcW w:w="5990" w:type="dxa"/>
            <w:tcBorders>
              <w:top w:val="nil"/>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不低于16GB DDR4</w:t>
            </w:r>
          </w:p>
        </w:tc>
      </w:tr>
      <w:tr>
        <w:tblPrEx>
          <w:tblW w:w="8764" w:type="dxa"/>
          <w:jc w:val="center"/>
          <w:tblInd w:w="14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固态硬盘</w:t>
            </w:r>
          </w:p>
        </w:tc>
        <w:tc>
          <w:tcPr>
            <w:tcW w:w="5990"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不低于512GB</w:t>
            </w:r>
          </w:p>
        </w:tc>
      </w:tr>
      <w:tr>
        <w:tblPrEx>
          <w:tblW w:w="8764" w:type="dxa"/>
          <w:jc w:val="center"/>
          <w:tblInd w:w="14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4</w:t>
            </w:r>
          </w:p>
        </w:tc>
        <w:tc>
          <w:tcPr>
            <w:tcW w:w="1896" w:type="dxa"/>
            <w:tcBorders>
              <w:top w:val="single" w:sz="4" w:space="0" w:color="auto"/>
              <w:left w:val="single" w:sz="4" w:space="0" w:color="auto"/>
              <w:bottom w:val="single" w:sz="4" w:space="0" w:color="auto"/>
              <w:right w:val="nil"/>
            </w:tcBorders>
            <w:noWrap/>
            <w:vAlign w:val="center"/>
          </w:tcPr>
          <w:p>
            <w:pPr>
              <w:widowControl/>
              <w:spacing w:line="240" w:lineRule="auto"/>
              <w:jc w:val="center"/>
              <w:rPr>
                <w:rFonts w:ascii="仿宋_GB2312" w:hAnsi="仿宋" w:cs="宋体"/>
                <w:kern w:val="0"/>
              </w:rPr>
            </w:pPr>
            <w:r>
              <w:rPr>
                <w:rFonts w:ascii="仿宋_GB2312" w:hAnsi="仿宋" w:cs="宋体" w:hint="eastAsia"/>
                <w:kern w:val="0"/>
                <w:sz w:val="24"/>
                <w:szCs w:val="24"/>
              </w:rPr>
              <w:t>操作系统</w:t>
            </w:r>
          </w:p>
        </w:tc>
        <w:tc>
          <w:tcPr>
            <w:tcW w:w="5990" w:type="dxa"/>
            <w:tcBorders>
              <w:top w:val="single" w:sz="4" w:space="0" w:color="auto"/>
              <w:left w:val="single" w:sz="4" w:space="0" w:color="auto"/>
              <w:bottom w:val="single" w:sz="4" w:space="0" w:color="auto"/>
              <w:right w:val="single" w:sz="4" w:space="0" w:color="auto"/>
            </w:tcBorders>
            <w:noWrap/>
            <w:vAlign w:val="center"/>
          </w:tcPr>
          <w:p>
            <w:pPr>
              <w:widowControl/>
              <w:spacing w:line="240" w:lineRule="auto"/>
              <w:jc w:val="center"/>
              <w:rPr>
                <w:rFonts w:ascii="仿宋_GB2312"/>
              </w:rPr>
            </w:pPr>
            <w:r>
              <w:rPr>
                <w:rFonts w:ascii="仿宋_GB2312" w:hint="eastAsia"/>
                <w:sz w:val="24"/>
                <w:szCs w:val="24"/>
              </w:rPr>
              <w:t>国产信创系统</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highlight w:val="yellow"/>
        </w:rPr>
      </w:pPr>
      <w:r>
        <w:rPr>
          <w:rFonts w:ascii="Times New Roman" w:eastAsia="方正小标宋简体" w:hAnsi="Times New Roman" w:cs="Times New Roman" w:hint="eastAsia"/>
          <w:sz w:val="28"/>
          <w:szCs w:val="28"/>
          <w:highlight w:val="yellow"/>
        </w:rPr>
        <w:t>基本产品列表</w:t>
      </w:r>
      <w:r>
        <w:rPr>
          <w:rFonts w:ascii="Times New Roman" w:eastAsia="方正小标宋简体" w:hAnsi="Times New Roman" w:cs="Times New Roman" w:hint="eastAsia"/>
          <w:sz w:val="28"/>
          <w:szCs w:val="28"/>
          <w:highlight w:val="yellow"/>
          <w:lang w:val="en-US" w:eastAsia="zh-CN"/>
        </w:rPr>
        <w:t>#</w:t>
      </w:r>
    </w:p>
    <w:tbl>
      <w:tblPr>
        <w:tblStyle w:val="13"/>
        <w:tblW w:w="8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56"/>
        <w:gridCol w:w="3280"/>
        <w:gridCol w:w="2908"/>
      </w:tblGrid>
      <w:tr>
        <w:tblPrEx>
          <w:tblW w:w="8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456" w:type="dxa"/>
            <w:vAlign w:val="center"/>
          </w:tcPr>
          <w:p>
            <w:pPr>
              <w:spacing w:line="240" w:lineRule="auto"/>
              <w:jc w:val="center"/>
              <w:rPr>
                <w:rFonts w:ascii="仿宋_GB2312"/>
                <w:b/>
              </w:rPr>
            </w:pPr>
            <w:r>
              <w:rPr>
                <w:rFonts w:ascii="仿宋_GB2312" w:hint="eastAsia"/>
                <w:b/>
                <w:sz w:val="24"/>
                <w:szCs w:val="24"/>
              </w:rPr>
              <w:t>类别</w:t>
            </w:r>
          </w:p>
        </w:tc>
        <w:tc>
          <w:tcPr>
            <w:tcW w:w="3280" w:type="dxa"/>
            <w:vAlign w:val="center"/>
          </w:tcPr>
          <w:p>
            <w:pPr>
              <w:spacing w:line="240" w:lineRule="auto"/>
              <w:jc w:val="center"/>
              <w:rPr>
                <w:rFonts w:ascii="仿宋_GB2312"/>
                <w:b/>
              </w:rPr>
            </w:pPr>
            <w:r>
              <w:rPr>
                <w:rFonts w:ascii="仿宋_GB2312" w:hint="eastAsia"/>
                <w:b/>
                <w:sz w:val="24"/>
                <w:szCs w:val="24"/>
              </w:rPr>
              <w:t>产品名称</w:t>
            </w:r>
          </w:p>
        </w:tc>
        <w:tc>
          <w:tcPr>
            <w:tcW w:w="2908" w:type="dxa"/>
            <w:vAlign w:val="center"/>
          </w:tcPr>
          <w:p>
            <w:pPr>
              <w:spacing w:line="240" w:lineRule="auto"/>
              <w:jc w:val="center"/>
              <w:rPr>
                <w:rFonts w:ascii="仿宋_GB2312"/>
                <w:b/>
              </w:rPr>
            </w:pPr>
            <w:r>
              <w:rPr>
                <w:rFonts w:ascii="仿宋_GB2312" w:hint="eastAsia"/>
                <w:b/>
                <w:sz w:val="24"/>
                <w:szCs w:val="24"/>
              </w:rPr>
              <w:t>产品标识</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restart"/>
            <w:vAlign w:val="center"/>
          </w:tcPr>
          <w:p>
            <w:pPr>
              <w:spacing w:line="240" w:lineRule="auto"/>
              <w:jc w:val="center"/>
              <w:rPr>
                <w:rFonts w:ascii="仿宋_GB2312"/>
              </w:rPr>
            </w:pPr>
            <w:r>
              <w:rPr>
                <w:rFonts w:ascii="仿宋_GB2312" w:hint="eastAsia"/>
                <w:sz w:val="24"/>
                <w:szCs w:val="24"/>
              </w:rPr>
              <w:t>基础量</w:t>
            </w:r>
          </w:p>
          <w:p>
            <w:pPr>
              <w:spacing w:line="240" w:lineRule="auto"/>
              <w:jc w:val="center"/>
              <w:rPr>
                <w:rFonts w:ascii="仿宋_GB2312"/>
              </w:rPr>
            </w:pPr>
            <w:r>
              <w:rPr>
                <w:rFonts w:ascii="仿宋_GB2312" w:hint="eastAsia"/>
                <w:sz w:val="24"/>
                <w:szCs w:val="24"/>
              </w:rPr>
              <w:t>（9种）</w:t>
            </w:r>
          </w:p>
        </w:tc>
        <w:tc>
          <w:tcPr>
            <w:tcW w:w="3280" w:type="dxa"/>
            <w:vAlign w:val="center"/>
          </w:tcPr>
          <w:p>
            <w:pPr>
              <w:spacing w:line="240" w:lineRule="auto"/>
              <w:jc w:val="center"/>
              <w:rPr>
                <w:rFonts w:ascii="仿宋_GB2312"/>
              </w:rPr>
            </w:pPr>
            <w:r>
              <w:rPr>
                <w:rFonts w:ascii="仿宋_GB2312" w:hint="eastAsia"/>
                <w:sz w:val="24"/>
                <w:szCs w:val="24"/>
              </w:rPr>
              <w:t>滤波后反射率</w:t>
            </w:r>
          </w:p>
        </w:tc>
        <w:tc>
          <w:tcPr>
            <w:tcW w:w="2908" w:type="dxa"/>
            <w:vAlign w:val="center"/>
          </w:tcPr>
          <w:p>
            <w:pPr>
              <w:spacing w:line="240" w:lineRule="auto"/>
              <w:jc w:val="center"/>
              <w:rPr>
                <w:rFonts w:ascii="仿宋_GB2312"/>
              </w:rPr>
            </w:pPr>
            <w:r>
              <w:rPr>
                <w:rFonts w:ascii="仿宋_GB2312" w:hint="eastAsia"/>
                <w:sz w:val="24"/>
                <w:szCs w:val="24"/>
              </w:rPr>
              <w:t>R</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径向速度</w:t>
            </w:r>
          </w:p>
        </w:tc>
        <w:tc>
          <w:tcPr>
            <w:tcW w:w="2908" w:type="dxa"/>
            <w:vAlign w:val="center"/>
          </w:tcPr>
          <w:p>
            <w:pPr>
              <w:spacing w:line="240" w:lineRule="auto"/>
              <w:jc w:val="center"/>
              <w:rPr>
                <w:rFonts w:ascii="仿宋_GB2312"/>
              </w:rPr>
            </w:pPr>
            <w:r>
              <w:rPr>
                <w:rFonts w:ascii="仿宋_GB2312" w:hint="eastAsia"/>
                <w:sz w:val="24"/>
                <w:szCs w:val="24"/>
              </w:rPr>
              <w:t>V</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速度谱宽</w:t>
            </w:r>
          </w:p>
        </w:tc>
        <w:tc>
          <w:tcPr>
            <w:tcW w:w="2908" w:type="dxa"/>
            <w:vAlign w:val="center"/>
          </w:tcPr>
          <w:p>
            <w:pPr>
              <w:spacing w:line="240" w:lineRule="auto"/>
              <w:jc w:val="center"/>
              <w:rPr>
                <w:rFonts w:ascii="仿宋_GB2312"/>
              </w:rPr>
            </w:pPr>
            <w:r>
              <w:rPr>
                <w:rFonts w:ascii="仿宋_GB2312" w:hint="eastAsia"/>
                <w:sz w:val="24"/>
                <w:szCs w:val="24"/>
              </w:rPr>
              <w:t>SW</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水平通道信噪比</w:t>
            </w:r>
          </w:p>
        </w:tc>
        <w:tc>
          <w:tcPr>
            <w:tcW w:w="2908" w:type="dxa"/>
            <w:vAlign w:val="center"/>
          </w:tcPr>
          <w:p>
            <w:pPr>
              <w:spacing w:line="240" w:lineRule="auto"/>
              <w:jc w:val="center"/>
              <w:rPr>
                <w:rFonts w:ascii="仿宋_GB2312"/>
              </w:rPr>
            </w:pPr>
            <w:r>
              <w:rPr>
                <w:rFonts w:ascii="仿宋_GB2312" w:hint="eastAsia"/>
                <w:sz w:val="24"/>
                <w:szCs w:val="24"/>
              </w:rPr>
              <w:t>SNRH</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差分反射率</w:t>
            </w:r>
          </w:p>
        </w:tc>
        <w:tc>
          <w:tcPr>
            <w:tcW w:w="2908" w:type="dxa"/>
            <w:vAlign w:val="center"/>
          </w:tcPr>
          <w:p>
            <w:pPr>
              <w:spacing w:line="240" w:lineRule="auto"/>
              <w:jc w:val="center"/>
              <w:rPr>
                <w:rFonts w:ascii="仿宋_GB2312"/>
              </w:rPr>
            </w:pPr>
            <w:r>
              <w:rPr>
                <w:rFonts w:ascii="仿宋_GB2312" w:hint="eastAsia"/>
                <w:sz w:val="24"/>
                <w:szCs w:val="24"/>
              </w:rPr>
              <w:t>ZDR</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差分传播相移</w:t>
            </w:r>
          </w:p>
        </w:tc>
        <w:tc>
          <w:tcPr>
            <w:tcW w:w="2908" w:type="dxa"/>
            <w:vAlign w:val="center"/>
          </w:tcPr>
          <w:p>
            <w:pPr>
              <w:spacing w:line="240" w:lineRule="auto"/>
              <w:jc w:val="center"/>
              <w:rPr>
                <w:rFonts w:ascii="仿宋_GB2312"/>
              </w:rPr>
            </w:pPr>
            <w:r>
              <w:rPr>
                <w:rFonts w:ascii="仿宋_GB2312" w:hint="eastAsia"/>
                <w:sz w:val="24"/>
                <w:szCs w:val="24"/>
              </w:rPr>
              <w:t>PDP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差分传播相移率</w:t>
            </w:r>
          </w:p>
        </w:tc>
        <w:tc>
          <w:tcPr>
            <w:tcW w:w="2908" w:type="dxa"/>
            <w:vAlign w:val="center"/>
          </w:tcPr>
          <w:p>
            <w:pPr>
              <w:spacing w:line="240" w:lineRule="auto"/>
              <w:jc w:val="center"/>
              <w:rPr>
                <w:rFonts w:ascii="仿宋_GB2312"/>
              </w:rPr>
            </w:pPr>
            <w:r>
              <w:rPr>
                <w:rFonts w:ascii="仿宋_GB2312" w:hint="eastAsia"/>
                <w:sz w:val="24"/>
                <w:szCs w:val="24"/>
              </w:rPr>
              <w:t>KDP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相关系数</w:t>
            </w:r>
          </w:p>
        </w:tc>
        <w:tc>
          <w:tcPr>
            <w:tcW w:w="2908" w:type="dxa"/>
            <w:vAlign w:val="center"/>
          </w:tcPr>
          <w:p>
            <w:pPr>
              <w:spacing w:line="240" w:lineRule="auto"/>
              <w:jc w:val="center"/>
              <w:rPr>
                <w:rFonts w:ascii="仿宋_GB2312"/>
              </w:rPr>
            </w:pPr>
            <w:r>
              <w:rPr>
                <w:rFonts w:ascii="仿宋_GB2312" w:hint="eastAsia"/>
                <w:sz w:val="24"/>
                <w:szCs w:val="24"/>
              </w:rPr>
              <w:t>CC</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垂直通道信噪比</w:t>
            </w:r>
          </w:p>
        </w:tc>
        <w:tc>
          <w:tcPr>
            <w:tcW w:w="2908" w:type="dxa"/>
            <w:vAlign w:val="center"/>
          </w:tcPr>
          <w:p>
            <w:pPr>
              <w:spacing w:line="240" w:lineRule="auto"/>
              <w:jc w:val="center"/>
              <w:rPr>
                <w:rFonts w:ascii="仿宋_GB2312"/>
              </w:rPr>
            </w:pPr>
            <w:r>
              <w:rPr>
                <w:rFonts w:ascii="仿宋_GB2312" w:hint="eastAsia"/>
                <w:sz w:val="24"/>
                <w:szCs w:val="24"/>
              </w:rPr>
              <w:t>SNRV</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restart"/>
            <w:vAlign w:val="center"/>
          </w:tcPr>
          <w:p>
            <w:pPr>
              <w:spacing w:line="240" w:lineRule="auto"/>
              <w:jc w:val="center"/>
              <w:rPr>
                <w:rFonts w:ascii="仿宋_GB2312"/>
              </w:rPr>
            </w:pPr>
            <w:r>
              <w:rPr>
                <w:rFonts w:ascii="仿宋_GB2312" w:hint="eastAsia"/>
                <w:sz w:val="24"/>
                <w:szCs w:val="24"/>
              </w:rPr>
              <w:t>物理量</w:t>
            </w:r>
          </w:p>
          <w:p>
            <w:pPr>
              <w:spacing w:line="240" w:lineRule="auto"/>
              <w:jc w:val="center"/>
              <w:rPr>
                <w:rFonts w:ascii="仿宋_GB2312"/>
              </w:rPr>
            </w:pPr>
            <w:r>
              <w:rPr>
                <w:rFonts w:ascii="仿宋_GB2312" w:hint="eastAsia"/>
                <w:sz w:val="24"/>
                <w:szCs w:val="24"/>
              </w:rPr>
              <w:t>（1</w:t>
            </w:r>
            <w:r>
              <w:rPr>
                <w:rFonts w:ascii="仿宋_GB2312"/>
                <w:sz w:val="24"/>
                <w:szCs w:val="24"/>
              </w:rPr>
              <w:t>0</w:t>
            </w:r>
            <w:r>
              <w:rPr>
                <w:rFonts w:ascii="仿宋_GB2312" w:hint="eastAsia"/>
                <w:sz w:val="24"/>
                <w:szCs w:val="24"/>
              </w:rPr>
              <w:t>种）</w:t>
            </w:r>
          </w:p>
        </w:tc>
        <w:tc>
          <w:tcPr>
            <w:tcW w:w="3280" w:type="dxa"/>
            <w:vAlign w:val="center"/>
          </w:tcPr>
          <w:p>
            <w:pPr>
              <w:spacing w:line="240" w:lineRule="auto"/>
              <w:jc w:val="center"/>
              <w:rPr>
                <w:rFonts w:ascii="仿宋_GB2312"/>
              </w:rPr>
            </w:pPr>
            <w:r>
              <w:rPr>
                <w:rFonts w:ascii="仿宋_GB2312" w:hint="eastAsia"/>
                <w:sz w:val="24"/>
                <w:szCs w:val="24"/>
              </w:rPr>
              <w:t>组合反射率</w:t>
            </w:r>
          </w:p>
        </w:tc>
        <w:tc>
          <w:tcPr>
            <w:tcW w:w="2908" w:type="dxa"/>
            <w:vAlign w:val="center"/>
          </w:tcPr>
          <w:p>
            <w:pPr>
              <w:spacing w:line="240" w:lineRule="auto"/>
              <w:jc w:val="center"/>
              <w:rPr>
                <w:rFonts w:ascii="仿宋_GB2312"/>
              </w:rPr>
            </w:pPr>
            <w:r>
              <w:rPr>
                <w:rFonts w:ascii="仿宋_GB2312" w:hint="eastAsia"/>
                <w:sz w:val="24"/>
                <w:szCs w:val="24"/>
              </w:rPr>
              <w:t>CR</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垂直积分液态水</w:t>
            </w:r>
          </w:p>
        </w:tc>
        <w:tc>
          <w:tcPr>
            <w:tcW w:w="2908" w:type="dxa"/>
            <w:vAlign w:val="center"/>
          </w:tcPr>
          <w:p>
            <w:pPr>
              <w:spacing w:line="240" w:lineRule="auto"/>
              <w:jc w:val="center"/>
              <w:rPr>
                <w:rFonts w:ascii="仿宋_GB2312"/>
              </w:rPr>
            </w:pPr>
            <w:r>
              <w:rPr>
                <w:rFonts w:ascii="仿宋_GB2312" w:hint="eastAsia"/>
                <w:sz w:val="24"/>
                <w:szCs w:val="24"/>
              </w:rPr>
              <w:t>VIL</w:t>
            </w:r>
          </w:p>
        </w:tc>
      </w:tr>
      <w:tr>
        <w:tblPrEx>
          <w:tblW w:w="8644" w:type="dxa"/>
          <w:jc w:val="center"/>
          <w:tblLayout w:type="fixed"/>
          <w:tblCellMar>
            <w:top w:w="0" w:type="dxa"/>
            <w:left w:w="108" w:type="dxa"/>
            <w:bottom w:w="0" w:type="dxa"/>
            <w:right w:w="108" w:type="dxa"/>
          </w:tblCellMar>
          <w:tblLook w:val="0000"/>
        </w:tblPrEx>
        <w:trPr>
          <w:cantSplit/>
          <w:trHeight w:val="274"/>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回波顶高</w:t>
            </w:r>
          </w:p>
        </w:tc>
        <w:tc>
          <w:tcPr>
            <w:tcW w:w="2908" w:type="dxa"/>
            <w:vAlign w:val="center"/>
          </w:tcPr>
          <w:p>
            <w:pPr>
              <w:spacing w:line="240" w:lineRule="auto"/>
              <w:jc w:val="center"/>
              <w:rPr>
                <w:rFonts w:ascii="仿宋_GB2312"/>
              </w:rPr>
            </w:pPr>
            <w:r>
              <w:rPr>
                <w:rFonts w:ascii="仿宋_GB2312" w:hint="eastAsia"/>
                <w:sz w:val="24"/>
                <w:szCs w:val="24"/>
              </w:rPr>
              <w:t>ET</w:t>
            </w:r>
          </w:p>
        </w:tc>
      </w:tr>
      <w:tr>
        <w:tblPrEx>
          <w:tblW w:w="8644" w:type="dxa"/>
          <w:jc w:val="center"/>
          <w:tblLayout w:type="fixed"/>
          <w:tblCellMar>
            <w:top w:w="0" w:type="dxa"/>
            <w:left w:w="108" w:type="dxa"/>
            <w:bottom w:w="0" w:type="dxa"/>
            <w:right w:w="108" w:type="dxa"/>
          </w:tblCellMar>
          <w:tblLook w:val="0000"/>
        </w:tblPrEx>
        <w:trPr>
          <w:cantSplit/>
          <w:trHeight w:val="274"/>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分层组合反射率</w:t>
            </w:r>
          </w:p>
        </w:tc>
        <w:tc>
          <w:tcPr>
            <w:tcW w:w="2908" w:type="dxa"/>
            <w:vAlign w:val="center"/>
          </w:tcPr>
          <w:p>
            <w:pPr>
              <w:spacing w:line="240" w:lineRule="auto"/>
              <w:jc w:val="center"/>
              <w:rPr>
                <w:rFonts w:ascii="仿宋_GB2312"/>
              </w:rPr>
            </w:pPr>
            <w:r>
              <w:rPr>
                <w:rFonts w:ascii="仿宋_GB2312" w:hint="eastAsia"/>
                <w:sz w:val="24"/>
                <w:szCs w:val="24"/>
              </w:rPr>
              <w:t>LCR</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风暴质心高度</w:t>
            </w:r>
          </w:p>
        </w:tc>
        <w:tc>
          <w:tcPr>
            <w:tcW w:w="2908" w:type="dxa"/>
            <w:vAlign w:val="center"/>
          </w:tcPr>
          <w:p>
            <w:pPr>
              <w:spacing w:line="240" w:lineRule="auto"/>
              <w:jc w:val="center"/>
              <w:rPr>
                <w:rFonts w:ascii="仿宋_GB2312"/>
              </w:rPr>
            </w:pPr>
            <w:r>
              <w:rPr>
                <w:rFonts w:ascii="仿宋_GB2312" w:hint="eastAsia"/>
                <w:sz w:val="24"/>
                <w:szCs w:val="24"/>
              </w:rPr>
              <w:t>RCH</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速度方位显示风廓线</w:t>
            </w:r>
          </w:p>
        </w:tc>
        <w:tc>
          <w:tcPr>
            <w:tcW w:w="2908" w:type="dxa"/>
            <w:vAlign w:val="center"/>
          </w:tcPr>
          <w:p>
            <w:pPr>
              <w:spacing w:line="240" w:lineRule="auto"/>
              <w:jc w:val="center"/>
              <w:rPr>
                <w:rFonts w:ascii="仿宋_GB2312"/>
              </w:rPr>
            </w:pPr>
            <w:r>
              <w:rPr>
                <w:rFonts w:ascii="仿宋_GB2312" w:hint="eastAsia"/>
                <w:sz w:val="24"/>
                <w:szCs w:val="24"/>
              </w:rPr>
              <w:t>VWP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1小时累积降水量</w:t>
            </w:r>
          </w:p>
        </w:tc>
        <w:tc>
          <w:tcPr>
            <w:tcW w:w="2908" w:type="dxa"/>
            <w:vAlign w:val="center"/>
          </w:tcPr>
          <w:p>
            <w:pPr>
              <w:spacing w:line="240" w:lineRule="auto"/>
              <w:jc w:val="center"/>
              <w:rPr>
                <w:rFonts w:ascii="仿宋_GB2312"/>
              </w:rPr>
            </w:pPr>
            <w:r>
              <w:rPr>
                <w:rFonts w:ascii="仿宋_GB2312"/>
                <w:sz w:val="24"/>
                <w:szCs w:val="24"/>
              </w:rPr>
              <w:t>1</w:t>
            </w:r>
            <w:r>
              <w:rPr>
                <w:rFonts w:ascii="仿宋_GB2312" w:hint="eastAsia"/>
                <w:sz w:val="24"/>
                <w:szCs w:val="24"/>
              </w:rPr>
              <w:t>HP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小时累积降水量</w:t>
            </w:r>
          </w:p>
        </w:tc>
        <w:tc>
          <w:tcPr>
            <w:tcW w:w="2908" w:type="dxa"/>
            <w:vAlign w:val="center"/>
          </w:tcPr>
          <w:p>
            <w:pPr>
              <w:spacing w:line="240" w:lineRule="auto"/>
              <w:jc w:val="center"/>
              <w:rPr>
                <w:rFonts w:ascii="仿宋_GB2312"/>
              </w:rPr>
            </w:pPr>
            <w:r>
              <w:rPr>
                <w:rFonts w:ascii="仿宋_GB2312"/>
                <w:sz w:val="24"/>
                <w:szCs w:val="24"/>
              </w:rPr>
              <w:t>2</w:t>
            </w:r>
            <w:r>
              <w:rPr>
                <w:rFonts w:ascii="仿宋_GB2312" w:hint="eastAsia"/>
                <w:sz w:val="24"/>
                <w:szCs w:val="24"/>
              </w:rPr>
              <w:t>HP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N小时累积降水量</w:t>
            </w:r>
          </w:p>
        </w:tc>
        <w:tc>
          <w:tcPr>
            <w:tcW w:w="2908" w:type="dxa"/>
            <w:vAlign w:val="center"/>
          </w:tcPr>
          <w:p>
            <w:pPr>
              <w:spacing w:line="240" w:lineRule="auto"/>
              <w:jc w:val="center"/>
              <w:rPr>
                <w:rFonts w:ascii="仿宋_GB2312"/>
              </w:rPr>
            </w:pPr>
            <w:r>
              <w:rPr>
                <w:rFonts w:ascii="仿宋_GB2312" w:hint="eastAsia"/>
                <w:sz w:val="24"/>
                <w:szCs w:val="24"/>
              </w:rPr>
              <w:t>NHP</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风暴相对径向速度</w:t>
            </w:r>
          </w:p>
        </w:tc>
        <w:tc>
          <w:tcPr>
            <w:tcW w:w="2908" w:type="dxa"/>
            <w:vAlign w:val="center"/>
          </w:tcPr>
          <w:p>
            <w:pPr>
              <w:spacing w:line="240" w:lineRule="auto"/>
              <w:jc w:val="center"/>
              <w:rPr>
                <w:rFonts w:ascii="仿宋_GB2312"/>
              </w:rPr>
            </w:pPr>
            <w:r>
              <w:rPr>
                <w:rFonts w:ascii="仿宋_GB2312" w:hint="eastAsia"/>
                <w:sz w:val="24"/>
                <w:szCs w:val="24"/>
              </w:rPr>
              <w:t>SRM</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restart"/>
            <w:vAlign w:val="center"/>
          </w:tcPr>
          <w:p>
            <w:pPr>
              <w:spacing w:line="240" w:lineRule="auto"/>
              <w:jc w:val="center"/>
              <w:rPr>
                <w:rFonts w:ascii="仿宋_GB2312"/>
              </w:rPr>
            </w:pPr>
            <w:r>
              <w:rPr>
                <w:rFonts w:ascii="仿宋_GB2312" w:hint="eastAsia"/>
                <w:sz w:val="24"/>
                <w:szCs w:val="24"/>
              </w:rPr>
              <w:t>识别产品</w:t>
            </w:r>
          </w:p>
          <w:p>
            <w:pPr>
              <w:spacing w:line="240" w:lineRule="auto"/>
              <w:jc w:val="center"/>
              <w:rPr>
                <w:rFonts w:ascii="仿宋_GB2312"/>
              </w:rPr>
            </w:pPr>
            <w:r>
              <w:rPr>
                <w:rFonts w:ascii="仿宋_GB2312" w:hint="eastAsia"/>
                <w:sz w:val="24"/>
                <w:szCs w:val="24"/>
              </w:rPr>
              <w:t>（6种）</w:t>
            </w:r>
          </w:p>
        </w:tc>
        <w:tc>
          <w:tcPr>
            <w:tcW w:w="3280" w:type="dxa"/>
            <w:vAlign w:val="center"/>
          </w:tcPr>
          <w:p>
            <w:pPr>
              <w:spacing w:line="240" w:lineRule="auto"/>
              <w:jc w:val="center"/>
              <w:rPr>
                <w:rFonts w:ascii="仿宋_GB2312"/>
              </w:rPr>
            </w:pPr>
            <w:r>
              <w:rPr>
                <w:rFonts w:ascii="仿宋_GB2312" w:hint="eastAsia"/>
                <w:sz w:val="24"/>
                <w:szCs w:val="24"/>
              </w:rPr>
              <w:t>冰雹指数</w:t>
            </w:r>
          </w:p>
        </w:tc>
        <w:tc>
          <w:tcPr>
            <w:tcW w:w="2908" w:type="dxa"/>
            <w:vAlign w:val="center"/>
          </w:tcPr>
          <w:p>
            <w:pPr>
              <w:spacing w:line="240" w:lineRule="auto"/>
              <w:jc w:val="center"/>
              <w:rPr>
                <w:rFonts w:ascii="仿宋_GB2312"/>
              </w:rPr>
            </w:pPr>
            <w:r>
              <w:rPr>
                <w:rFonts w:ascii="仿宋_GB2312" w:hint="eastAsia"/>
                <w:sz w:val="24"/>
                <w:szCs w:val="24"/>
              </w:rPr>
              <w:t>HI</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风暴追踪信息</w:t>
            </w:r>
          </w:p>
        </w:tc>
        <w:tc>
          <w:tcPr>
            <w:tcW w:w="2908" w:type="dxa"/>
            <w:vAlign w:val="center"/>
          </w:tcPr>
          <w:p>
            <w:pPr>
              <w:spacing w:line="240" w:lineRule="auto"/>
              <w:jc w:val="center"/>
              <w:rPr>
                <w:rFonts w:ascii="仿宋_GB2312"/>
              </w:rPr>
            </w:pPr>
            <w:r>
              <w:rPr>
                <w:rFonts w:ascii="仿宋_GB2312" w:hint="eastAsia"/>
                <w:sz w:val="24"/>
                <w:szCs w:val="24"/>
              </w:rPr>
              <w:t>STI</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中气旋</w:t>
            </w:r>
          </w:p>
        </w:tc>
        <w:tc>
          <w:tcPr>
            <w:tcW w:w="2908" w:type="dxa"/>
            <w:vAlign w:val="center"/>
          </w:tcPr>
          <w:p>
            <w:pPr>
              <w:spacing w:line="240" w:lineRule="auto"/>
              <w:jc w:val="center"/>
              <w:rPr>
                <w:rFonts w:ascii="仿宋_GB2312"/>
              </w:rPr>
            </w:pPr>
            <w:r>
              <w:rPr>
                <w:rFonts w:ascii="仿宋_GB2312" w:hint="eastAsia"/>
                <w:sz w:val="24"/>
                <w:szCs w:val="24"/>
              </w:rPr>
              <w:t>M</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雷暴大风</w:t>
            </w:r>
          </w:p>
        </w:tc>
        <w:tc>
          <w:tcPr>
            <w:tcW w:w="2908" w:type="dxa"/>
            <w:vAlign w:val="center"/>
          </w:tcPr>
          <w:p>
            <w:pPr>
              <w:spacing w:line="240" w:lineRule="auto"/>
              <w:jc w:val="center"/>
              <w:rPr>
                <w:rFonts w:ascii="仿宋_GB2312"/>
              </w:rPr>
            </w:pPr>
            <w:r>
              <w:rPr>
                <w:rFonts w:ascii="仿宋_GB2312" w:hint="eastAsia"/>
                <w:sz w:val="24"/>
                <w:szCs w:val="24"/>
              </w:rPr>
              <w:t>TD</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短时强降水</w:t>
            </w:r>
          </w:p>
        </w:tc>
        <w:tc>
          <w:tcPr>
            <w:tcW w:w="2908" w:type="dxa"/>
            <w:vAlign w:val="center"/>
          </w:tcPr>
          <w:p>
            <w:pPr>
              <w:spacing w:line="240" w:lineRule="auto"/>
              <w:jc w:val="center"/>
              <w:rPr>
                <w:rFonts w:ascii="仿宋_GB2312"/>
              </w:rPr>
            </w:pPr>
            <w:r>
              <w:rPr>
                <w:rFonts w:ascii="仿宋_GB2312" w:hint="eastAsia"/>
                <w:sz w:val="24"/>
                <w:szCs w:val="24"/>
              </w:rPr>
              <w:t>HR</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水凝物分类</w:t>
            </w:r>
          </w:p>
        </w:tc>
        <w:tc>
          <w:tcPr>
            <w:tcW w:w="2908" w:type="dxa"/>
            <w:vAlign w:val="center"/>
          </w:tcPr>
          <w:p>
            <w:pPr>
              <w:spacing w:line="240" w:lineRule="auto"/>
              <w:jc w:val="center"/>
              <w:rPr>
                <w:rFonts w:ascii="仿宋_GB2312"/>
              </w:rPr>
            </w:pPr>
            <w:r>
              <w:rPr>
                <w:rFonts w:ascii="仿宋_GB2312" w:hint="eastAsia"/>
                <w:sz w:val="24"/>
                <w:szCs w:val="24"/>
              </w:rPr>
              <w:t>HCL</w:t>
            </w:r>
          </w:p>
        </w:tc>
      </w:tr>
      <w:tr>
        <w:tblPrEx>
          <w:tblW w:w="8644" w:type="dxa"/>
          <w:jc w:val="center"/>
          <w:tblLayout w:type="fixed"/>
          <w:tblCellMar>
            <w:top w:w="0" w:type="dxa"/>
            <w:left w:w="108" w:type="dxa"/>
            <w:bottom w:w="0" w:type="dxa"/>
            <w:right w:w="108" w:type="dxa"/>
          </w:tblCellMar>
          <w:tblLook w:val="0000"/>
        </w:tblPrEx>
        <w:trPr>
          <w:cantSplit/>
          <w:trHeight w:val="424"/>
          <w:jc w:val="center"/>
        </w:trPr>
        <w:tc>
          <w:tcPr>
            <w:tcW w:w="2456" w:type="dxa"/>
            <w:vMerge w:val="restart"/>
            <w:vAlign w:val="center"/>
          </w:tcPr>
          <w:p>
            <w:pPr>
              <w:spacing w:line="240" w:lineRule="auto"/>
              <w:jc w:val="center"/>
              <w:rPr>
                <w:rFonts w:ascii="仿宋_GB2312"/>
              </w:rPr>
            </w:pPr>
            <w:r>
              <w:rPr>
                <w:rFonts w:ascii="仿宋_GB2312" w:hint="eastAsia"/>
                <w:sz w:val="24"/>
                <w:szCs w:val="24"/>
              </w:rPr>
              <w:t>告警产品</w:t>
            </w:r>
          </w:p>
          <w:p>
            <w:pPr>
              <w:spacing w:line="240" w:lineRule="auto"/>
              <w:jc w:val="center"/>
              <w:rPr>
                <w:rFonts w:ascii="仿宋_GB2312"/>
              </w:rPr>
            </w:pPr>
            <w:r>
              <w:rPr>
                <w:rFonts w:ascii="仿宋_GB2312" w:hint="eastAsia"/>
                <w:sz w:val="24"/>
                <w:szCs w:val="24"/>
              </w:rPr>
              <w:t>（2种）</w:t>
            </w:r>
          </w:p>
        </w:tc>
        <w:tc>
          <w:tcPr>
            <w:tcW w:w="3280" w:type="dxa"/>
            <w:vAlign w:val="center"/>
          </w:tcPr>
          <w:p>
            <w:pPr>
              <w:spacing w:line="240" w:lineRule="auto"/>
              <w:jc w:val="center"/>
              <w:rPr>
                <w:rFonts w:ascii="仿宋_GB2312"/>
              </w:rPr>
            </w:pPr>
            <w:r>
              <w:rPr>
                <w:rFonts w:ascii="仿宋_GB2312"/>
                <w:sz w:val="24"/>
                <w:szCs w:val="24"/>
              </w:rPr>
              <w:t>冰雹强度趋势</w:t>
            </w:r>
            <w:r>
              <w:rPr>
                <w:rFonts w:ascii="仿宋_GB2312" w:hint="eastAsia"/>
                <w:sz w:val="24"/>
                <w:szCs w:val="24"/>
              </w:rPr>
              <w:t>告警</w:t>
            </w:r>
          </w:p>
        </w:tc>
        <w:tc>
          <w:tcPr>
            <w:tcW w:w="2908" w:type="dxa"/>
            <w:vAlign w:val="center"/>
          </w:tcPr>
          <w:p>
            <w:pPr>
              <w:spacing w:line="240" w:lineRule="auto"/>
              <w:jc w:val="center"/>
              <w:rPr>
                <w:rFonts w:ascii="仿宋_GB2312"/>
              </w:rPr>
            </w:pPr>
            <w:r>
              <w:rPr>
                <w:rFonts w:ascii="仿宋_GB2312" w:hint="eastAsia"/>
                <w:sz w:val="24"/>
                <w:szCs w:val="24"/>
              </w:rPr>
              <w:t>MESHT</w:t>
            </w:r>
          </w:p>
        </w:tc>
      </w:tr>
      <w:tr>
        <w:tblPrEx>
          <w:tblW w:w="8644" w:type="dxa"/>
          <w:jc w:val="center"/>
          <w:tblLayout w:type="fixed"/>
          <w:tblCellMar>
            <w:top w:w="0" w:type="dxa"/>
            <w:left w:w="108" w:type="dxa"/>
            <w:bottom w:w="0" w:type="dxa"/>
            <w:right w:w="108" w:type="dxa"/>
          </w:tblCellMar>
          <w:tblLook w:val="0000"/>
        </w:tblPrEx>
        <w:trPr>
          <w:cantSplit/>
          <w:jc w:val="center"/>
        </w:trPr>
        <w:tc>
          <w:tcPr>
            <w:tcW w:w="2456" w:type="dxa"/>
            <w:vMerge/>
            <w:vAlign w:val="center"/>
          </w:tcPr>
          <w:p>
            <w:pPr>
              <w:spacing w:line="240" w:lineRule="auto"/>
              <w:jc w:val="center"/>
              <w:rPr>
                <w:rFonts w:ascii="仿宋_GB2312"/>
              </w:rPr>
            </w:pPr>
          </w:p>
        </w:tc>
        <w:tc>
          <w:tcPr>
            <w:tcW w:w="3280" w:type="dxa"/>
            <w:vAlign w:val="center"/>
          </w:tcPr>
          <w:p>
            <w:pPr>
              <w:spacing w:line="240" w:lineRule="auto"/>
              <w:jc w:val="center"/>
              <w:rPr>
                <w:rFonts w:ascii="仿宋_GB2312"/>
              </w:rPr>
            </w:pPr>
            <w:r>
              <w:rPr>
                <w:rFonts w:ascii="仿宋_GB2312" w:hint="eastAsia"/>
                <w:sz w:val="24"/>
                <w:szCs w:val="24"/>
              </w:rPr>
              <w:t>降雨强度告警</w:t>
            </w:r>
          </w:p>
        </w:tc>
        <w:tc>
          <w:tcPr>
            <w:tcW w:w="2908" w:type="dxa"/>
            <w:vAlign w:val="center"/>
          </w:tcPr>
          <w:p>
            <w:pPr>
              <w:spacing w:line="240" w:lineRule="auto"/>
              <w:jc w:val="center"/>
              <w:rPr>
                <w:rFonts w:ascii="仿宋_GB2312"/>
              </w:rPr>
            </w:pPr>
            <w:r>
              <w:rPr>
                <w:rFonts w:ascii="仿宋_GB2312" w:hint="eastAsia"/>
                <w:sz w:val="24"/>
                <w:szCs w:val="24"/>
              </w:rPr>
              <w:t>PIA</w:t>
            </w:r>
          </w:p>
        </w:tc>
      </w:tr>
    </w:tbl>
    <w:p>
      <w:pPr>
        <w:keepNext w:val="0"/>
        <w:keepLines w:val="0"/>
        <w:pageBreakBefore w:val="0"/>
        <w:widowControl w:val="0"/>
        <w:kinsoku/>
        <w:wordWrap/>
        <w:overflowPunct/>
        <w:topLinePunct w:val="0"/>
        <w:autoSpaceDE/>
        <w:autoSpaceDN/>
        <w:bidi w:val="0"/>
        <w:adjustRightInd/>
        <w:snapToGrid w:val="0"/>
        <w:spacing w:before="156" w:beforeLines="50" w:line="360" w:lineRule="auto"/>
        <w:jc w:val="center"/>
        <w:textAlignment w:val="auto"/>
        <w:rPr>
          <w:rFonts w:ascii="Times New Roman" w:eastAsia="方正小标宋简体" w:hAnsi="Times New Roman" w:cs="Times New Roman" w:hint="eastAsia"/>
          <w:sz w:val="28"/>
          <w:szCs w:val="28"/>
        </w:rPr>
      </w:pPr>
      <w:r>
        <w:rPr>
          <w:rFonts w:ascii="Times New Roman" w:eastAsia="方正小标宋简体" w:hAnsi="Times New Roman" w:cs="Times New Roman" w:hint="eastAsia"/>
          <w:sz w:val="28"/>
          <w:szCs w:val="28"/>
        </w:rPr>
        <w:t>产品终端要求</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1）用户端至少配置2台产品终端，负责产品制作及数据归档。</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2）应支持国产化操作系统。</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3）产品终端数据处理能力应满足产品制作整体耗时小于雷达最短体扫用时，避免造成数据积压。</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4）产品终端能存储不少于3个月的雷达产品。</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四 质保服务要求</w:t>
      </w:r>
    </w:p>
    <w:p>
      <w:pPr>
        <w:ind w:firstLine="560" w:firstLineChars="200"/>
        <w:outlineLvl w:val="9"/>
        <w:rPr>
          <w:rFonts w:ascii="仿宋" w:eastAsia="仿宋" w:hAnsi="仿宋" w:cs="仿宋" w:hint="eastAsia"/>
          <w:sz w:val="28"/>
          <w:szCs w:val="28"/>
        </w:rPr>
      </w:pPr>
      <w:r>
        <w:rPr>
          <w:rFonts w:ascii="仿宋_GB2312" w:eastAsia="仿宋_GB2312" w:hAnsi="仿宋_GB2312" w:cs="仿宋_GB2312" w:hint="eastAsia"/>
          <w:bCs/>
          <w:sz w:val="28"/>
          <w:szCs w:val="28"/>
          <w:highlight w:val="none"/>
        </w:rPr>
        <w:t>4.1培训</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ind w:firstLine="560" w:firstLineChars="200"/>
        <w:outlineLvl w:val="9"/>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4.2质保期服务*</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提供服务，确保设备稳定运行，以及自验收合格后8年的整机及雷达分系统质保服务等。</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spacing w:line="570" w:lineRule="exact"/>
        <w:ind w:firstLine="560" w:firstLineChars="200"/>
        <w:outlineLvl w:val="9"/>
        <w:rPr>
          <w:rFonts w:ascii="仿宋" w:eastAsia="仿宋" w:hAnsi="仿宋" w:cs="仿宋"/>
          <w:sz w:val="28"/>
          <w:szCs w:val="28"/>
        </w:rPr>
      </w:pP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ind w:firstLine="560" w:firstLineChars="200"/>
        <w:outlineLvl w:val="9"/>
        <w:rPr>
          <w:rFonts w:ascii="仿宋" w:eastAsia="仿宋" w:hAnsi="仿宋" w:cs="仿宋" w:hint="eastAsia"/>
          <w:sz w:val="28"/>
          <w:szCs w:val="28"/>
          <w:highlight w:val="yellow"/>
        </w:rPr>
      </w:pPr>
      <w:r>
        <w:rPr>
          <w:rFonts w:ascii="仿宋_GB2312" w:eastAsia="仿宋_GB2312" w:hAnsi="仿宋_GB2312" w:cs="仿宋_GB2312" w:hint="eastAsia"/>
          <w:bCs/>
          <w:sz w:val="28"/>
          <w:szCs w:val="28"/>
          <w:highlight w:val="yellow"/>
        </w:rPr>
        <w:t>4.3 软件调试</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安装调试，保证上站后能够安全稳定运行。投标方须提供承诺函。</w:t>
      </w:r>
    </w:p>
    <w:p>
      <w:pPr>
        <w:spacing w:line="240" w:lineRule="auto"/>
        <w:ind w:firstLine="560" w:firstLineChars="200"/>
        <w:outlineLvl w:val="2"/>
        <w:rPr>
          <w:rFonts w:ascii="仿宋_GB2312" w:eastAsia="仿宋_GB2312" w:hAnsi="仿宋_GB2312" w:cs="仿宋_GB2312" w:hint="eastAsia"/>
          <w:bCs/>
          <w:sz w:val="28"/>
          <w:szCs w:val="28"/>
          <w:highlight w:val="none"/>
        </w:rPr>
      </w:pPr>
      <w:r>
        <w:rPr>
          <w:rFonts w:ascii="仿宋_GB2312" w:eastAsia="仿宋_GB2312" w:hAnsi="仿宋_GB2312" w:cs="仿宋_GB2312" w:hint="eastAsia"/>
          <w:bCs/>
          <w:sz w:val="28"/>
          <w:szCs w:val="28"/>
          <w:highlight w:val="none"/>
        </w:rPr>
        <w:t>五</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highlight w:val="none"/>
        </w:rPr>
        <w:t>验收要求（检验考核要求等）</w:t>
      </w:r>
    </w:p>
    <w:p>
      <w:pPr>
        <w:spacing w:line="570" w:lineRule="exact"/>
        <w:ind w:firstLine="560" w:firstLineChars="200"/>
        <w:rPr>
          <w:rFonts w:ascii="仿宋" w:eastAsia="仿宋" w:hAnsi="仿宋" w:hint="eastAsia"/>
          <w:sz w:val="28"/>
          <w:szCs w:val="28"/>
        </w:rPr>
      </w:pPr>
      <w:bookmarkStart w:id="79" w:name="_Hlk168594784"/>
      <w:r>
        <w:rPr>
          <w:rFonts w:ascii="仿宋" w:eastAsia="仿宋" w:hAnsi="仿宋" w:hint="eastAsia"/>
          <w:sz w:val="28"/>
          <w:szCs w:val="28"/>
        </w:rPr>
        <w:t>参照可行性研究报告、合同、《微小型X</w:t>
      </w:r>
      <w:r>
        <w:rPr>
          <w:rFonts w:ascii="仿宋" w:eastAsia="仿宋" w:hAnsi="仿宋" w:cs="Times New Roman" w:hint="eastAsia"/>
          <w:sz w:val="28"/>
          <w:szCs w:val="28"/>
        </w:rPr>
        <w:t>波段双线偏振多普勒天气雷达测试大纲（试行）》（气测函〔2025〕106号）、《气象监测预警补短板工程X波段天气雷达现场验收规定（试行）》等文件的要求开展检验考核。同时，采购人可根据合同以及采购人的有</w:t>
      </w:r>
      <w:r>
        <w:rPr>
          <w:rFonts w:ascii="仿宋" w:eastAsia="仿宋" w:hAnsi="仿宋" w:cs="Times New Roman" w:hint="eastAsia"/>
          <w:color w:val="auto"/>
          <w:sz w:val="28"/>
          <w:szCs w:val="28"/>
        </w:rPr>
        <w:t>关规定</w:t>
      </w:r>
      <w:r>
        <w:rPr>
          <w:rFonts w:ascii="仿宋" w:eastAsia="仿宋" w:hAnsi="仿宋" w:cs="Times New Roman" w:hint="eastAsia"/>
          <w:color w:val="auto"/>
          <w:sz w:val="28"/>
          <w:szCs w:val="28"/>
          <w:highlight w:val="none"/>
        </w:rPr>
        <w:t>修改完善验收文件</w:t>
      </w:r>
      <w:r>
        <w:rPr>
          <w:rFonts w:ascii="仿宋" w:eastAsia="仿宋" w:hAnsi="仿宋" w:hint="eastAsia"/>
          <w:color w:val="auto"/>
          <w:sz w:val="28"/>
          <w:szCs w:val="28"/>
        </w:rPr>
        <w:t>，</w:t>
      </w:r>
      <w:r>
        <w:rPr>
          <w:rFonts w:ascii="仿宋" w:eastAsia="仿宋" w:hAnsi="仿宋" w:hint="eastAsia"/>
          <w:sz w:val="28"/>
          <w:szCs w:val="28"/>
        </w:rPr>
        <w:t>经双方确认后作为验收</w:t>
      </w:r>
      <w:r>
        <w:rPr>
          <w:rFonts w:ascii="仿宋" w:eastAsia="仿宋" w:hAnsi="仿宋" w:hint="eastAsia"/>
          <w:color w:val="auto"/>
          <w:sz w:val="28"/>
          <w:szCs w:val="28"/>
        </w:rPr>
        <w:t>依据</w:t>
      </w:r>
      <w:r>
        <w:rPr>
          <w:rFonts w:ascii="仿宋" w:eastAsia="仿宋" w:hAnsi="仿宋" w:cs="Times New Roman" w:hint="eastAsia"/>
          <w:color w:val="auto"/>
          <w:sz w:val="28"/>
          <w:szCs w:val="28"/>
          <w:highlight w:val="none"/>
        </w:rPr>
        <w:t>。</w:t>
      </w:r>
    </w:p>
    <w:p>
      <w:pPr>
        <w:spacing w:line="240" w:lineRule="auto"/>
        <w:ind w:firstLine="560" w:firstLineChars="200"/>
        <w:outlineLvl w:val="2"/>
        <w:rPr>
          <w:rFonts w:ascii="仿宋_GB2312" w:eastAsia="仿宋_GB2312" w:hAnsi="仿宋_GB2312" w:cs="仿宋_GB2312" w:hint="eastAsia"/>
          <w:bCs/>
          <w:sz w:val="28"/>
          <w:szCs w:val="28"/>
          <w:highlight w:val="none"/>
        </w:rPr>
      </w:pPr>
      <w:bookmarkEnd w:id="79"/>
      <w:r>
        <w:rPr>
          <w:rFonts w:ascii="仿宋_GB2312" w:eastAsia="仿宋_GB2312" w:hAnsi="仿宋_GB2312" w:cs="仿宋_GB2312" w:hint="eastAsia"/>
          <w:bCs/>
          <w:sz w:val="28"/>
          <w:szCs w:val="28"/>
          <w:highlight w:val="none"/>
        </w:rPr>
        <w:t>六 其他要求</w:t>
      </w:r>
    </w:p>
    <w:p>
      <w:pPr>
        <w:spacing w:line="570" w:lineRule="exact"/>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p>
    <w:p>
      <w:pPr>
        <w:spacing w:line="570" w:lineRule="exact"/>
        <w:ind w:left="0" w:firstLine="560" w:leftChars="0" w:firstLineChars="200"/>
        <w:rPr>
          <w:rFonts w:ascii="仿宋" w:eastAsia="仿宋" w:hAnsi="仿宋" w:cs="Times New Roman" w:hint="eastAsia"/>
          <w:sz w:val="28"/>
          <w:szCs w:val="28"/>
        </w:rPr>
      </w:pPr>
      <w:r>
        <w:rPr>
          <w:rFonts w:ascii="仿宋" w:eastAsia="仿宋" w:hAnsi="仿宋" w:hint="eastAsia"/>
          <w:sz w:val="28"/>
          <w:szCs w:val="28"/>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34"/>
        <w:gridCol w:w="806"/>
        <w:gridCol w:w="383"/>
        <w:gridCol w:w="533"/>
        <w:gridCol w:w="608"/>
        <w:gridCol w:w="1917"/>
        <w:gridCol w:w="40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0" w:name="货物一览表_index"/>
            <w:r>
              <w:rPr>
                <w:rFonts w:asciiTheme="minorEastAsia" w:eastAsiaTheme="minorEastAsia" w:hAnsiTheme="minorEastAsia" w:cstheme="minorEastAsia" w:hint="eastAsia"/>
                <w:kern w:val="0"/>
                <w:szCs w:val="21"/>
              </w:rPr>
              <w:t>序号</w:t>
            </w:r>
            <w:bookmarkEnd w:id="80"/>
          </w:p>
        </w:tc>
        <w:tc>
          <w:tcPr>
            <w:tcW w:w="1135" w:type="dxa"/>
          </w:tcPr>
          <w:p>
            <w:pPr>
              <w:autoSpaceDE w:val="0"/>
              <w:jc w:val="center"/>
              <w:rPr>
                <w:rFonts w:asciiTheme="minorEastAsia" w:hAnsiTheme="minorEastAsia" w:cstheme="minorEastAsia"/>
                <w:kern w:val="0"/>
                <w:szCs w:val="21"/>
              </w:rPr>
            </w:pPr>
            <w:bookmarkStart w:id="81" w:name="货物一览表_goodsName"/>
            <w:r>
              <w:rPr>
                <w:rFonts w:asciiTheme="minorEastAsia" w:eastAsiaTheme="minorEastAsia" w:hAnsiTheme="minorEastAsia" w:cstheme="minorEastAsia" w:hint="eastAsia"/>
                <w:kern w:val="0"/>
                <w:szCs w:val="21"/>
              </w:rPr>
              <w:t>设备名称</w:t>
            </w:r>
            <w:bookmarkEnd w:id="81"/>
          </w:p>
        </w:tc>
        <w:tc>
          <w:tcPr>
            <w:tcW w:w="965" w:type="dxa"/>
          </w:tcPr>
          <w:p>
            <w:pPr>
              <w:autoSpaceDE w:val="0"/>
              <w:jc w:val="center"/>
              <w:rPr>
                <w:rFonts w:asciiTheme="minorEastAsia" w:hAnsiTheme="minorEastAsia" w:cstheme="minorEastAsia"/>
                <w:kern w:val="0"/>
                <w:szCs w:val="21"/>
              </w:rPr>
            </w:pPr>
            <w:bookmarkStart w:id="82" w:name="货物一览表_nums"/>
            <w:r>
              <w:rPr>
                <w:rFonts w:asciiTheme="minorEastAsia" w:eastAsiaTheme="minorEastAsia" w:hAnsiTheme="minorEastAsia" w:cstheme="minorEastAsia" w:hint="eastAsia"/>
                <w:kern w:val="0"/>
                <w:szCs w:val="21"/>
              </w:rPr>
              <w:t>采购数量</w:t>
            </w:r>
            <w:bookmarkEnd w:id="82"/>
          </w:p>
        </w:tc>
        <w:tc>
          <w:tcPr>
            <w:tcW w:w="1062" w:type="dxa"/>
          </w:tcPr>
          <w:p>
            <w:pPr>
              <w:autoSpaceDE w:val="0"/>
              <w:jc w:val="center"/>
              <w:rPr>
                <w:rFonts w:asciiTheme="minorEastAsia" w:hAnsiTheme="minorEastAsia" w:cstheme="minorEastAsia"/>
                <w:kern w:val="0"/>
                <w:szCs w:val="21"/>
              </w:rPr>
            </w:pPr>
            <w:bookmarkStart w:id="83" w:name="货物一览表_units"/>
            <w:r>
              <w:rPr>
                <w:rFonts w:asciiTheme="minorEastAsia" w:eastAsiaTheme="minorEastAsia" w:hAnsiTheme="minorEastAsia" w:cstheme="minorEastAsia" w:hint="eastAsia"/>
                <w:kern w:val="0"/>
                <w:szCs w:val="21"/>
              </w:rPr>
              <w:t>计量单位</w:t>
            </w:r>
            <w:bookmarkEnd w:id="83"/>
          </w:p>
        </w:tc>
        <w:tc>
          <w:tcPr>
            <w:tcW w:w="1220" w:type="dxa"/>
          </w:tcPr>
          <w:p>
            <w:pPr>
              <w:autoSpaceDE w:val="0"/>
              <w:jc w:val="center"/>
              <w:rPr>
                <w:rFonts w:asciiTheme="minorEastAsia" w:hAnsiTheme="minorEastAsia" w:cstheme="minorEastAsia"/>
                <w:kern w:val="0"/>
                <w:szCs w:val="21"/>
              </w:rPr>
            </w:pPr>
            <w:bookmarkStart w:id="84" w:name="货物一览表_procurementBudget"/>
            <w:r>
              <w:rPr>
                <w:rFonts w:asciiTheme="minorEastAsia" w:eastAsiaTheme="minorEastAsia" w:hAnsiTheme="minorEastAsia" w:cstheme="minorEastAsia" w:hint="eastAsia"/>
                <w:kern w:val="0"/>
                <w:szCs w:val="21"/>
              </w:rPr>
              <w:t>采购预算（元）</w:t>
            </w:r>
            <w:bookmarkEnd w:id="84"/>
          </w:p>
        </w:tc>
        <w:tc>
          <w:tcPr>
            <w:tcW w:w="1329" w:type="dxa"/>
          </w:tcPr>
          <w:p>
            <w:pPr>
              <w:autoSpaceDE w:val="0"/>
              <w:jc w:val="center"/>
              <w:rPr>
                <w:rFonts w:asciiTheme="minorEastAsia" w:hAnsiTheme="minorEastAsia" w:cstheme="minorEastAsia" w:hint="eastAsia"/>
                <w:kern w:val="0"/>
                <w:szCs w:val="21"/>
              </w:rPr>
            </w:pPr>
            <w:bookmarkStart w:id="8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6" w:name="货物一览表_remark"/>
            <w:r>
              <w:rPr>
                <w:rFonts w:asciiTheme="minorEastAsia" w:eastAsiaTheme="minorEastAsia" w:hAnsiTheme="minorEastAsia" w:cstheme="minorEastAsia" w:hint="eastAsia"/>
                <w:kern w:val="0"/>
                <w:szCs w:val="21"/>
              </w:rPr>
              <w:t>备注</w:t>
            </w:r>
            <w:bookmarkEnd w:id="8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X波段双线偏振多普勒天气雷达（标准型）</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2,640,000.00</w:t>
            </w:r>
          </w:p>
        </w:tc>
        <w:tc>
          <w:tcPr/>
          <w:p>
            <w:pPr>
              <w:autoSpaceDE w:val="0"/>
              <w:jc w:val="center"/>
              <w:rPr>
                <w:rFonts w:asciiTheme="minorEastAsia" w:hAnsiTheme="minorEastAsia" w:cstheme="minorEastAsia" w:hint="eastAsia"/>
                <w:kern w:val="0"/>
                <w:szCs w:val="21"/>
              </w:rPr>
            </w:pPr>
            <w:r>
              <w:t>合同签订后120天内完成交货、安装调试并具备验收条件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预算包括主机设备、附属设备的安装、转运、防雷、供电供网改造等费用（主机设备预算240万元、附属设备预算24万元）</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0"/>
        <w:gridCol w:w="1710"/>
        <w:gridCol w:w="1655"/>
        <w:gridCol w:w="480"/>
        <w:gridCol w:w="1095"/>
        <w:gridCol w:w="913"/>
        <w:gridCol w:w="1402"/>
        <w:gridCol w:w="78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供应站(001053018004)</w:t>
            </w:r>
          </w:p>
        </w:tc>
        <w:tc>
          <w:tcPr/>
          <w:p>
            <w:r>
              <w:t>X波段双线偏振多普勒天气雷达（标准型）</w:t>
            </w:r>
          </w:p>
        </w:tc>
        <w:tc>
          <w:tcPr/>
          <w:p>
            <w:r>
              <w:t>3</w:t>
            </w:r>
          </w:p>
        </w:tc>
        <w:tc>
          <w:tcPr/>
          <w:p>
            <w:r>
              <w:t>2640000.00</w:t>
            </w:r>
          </w:p>
        </w:tc>
        <w:tc>
          <w:tcPr/>
          <w:p>
            <w:r>
              <w:t xml:space="preserve">2640000.00  </w:t>
            </w:r>
          </w:p>
        </w:tc>
        <w:tc>
          <w:tcPr/>
          <w:p>
            <w:r>
              <w:t>河口、漾濞、施甸</w:t>
            </w:r>
          </w:p>
        </w:tc>
        <w:tc>
          <w:tcPr/>
          <w:p>
            <w:r>
              <w:t>解莉燕   0871-64114397</w:t>
            </w:r>
          </w:p>
        </w:tc>
      </w:tr>
    </w:tbl>
    <w:p w:rsidR="00A77B3E"/>
    <w:p>
      <w:pPr>
        <w:spacing w:line="360" w:lineRule="auto"/>
        <w:rPr>
          <w:rFonts w:ascii="宋体" w:hAnsi="宋体"/>
          <w:szCs w:val="21"/>
        </w:rPr>
      </w:pPr>
      <w:bookmarkEnd w:id="8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 xml:space="preserve">微小型 X 波段天气雷达建设项目作为科技创新与产业升级的 </w:t>
      </w:r>
    </w:p>
    <w:p>
      <w:pPr>
        <w:rPr>
          <w:rFonts w:ascii="仿宋" w:eastAsia="仿宋" w:hAnsi="仿宋" w:cs="仿宋" w:hint="eastAsia"/>
          <w:sz w:val="28"/>
          <w:szCs w:val="20"/>
        </w:rPr>
      </w:pPr>
      <w:r>
        <w:rPr>
          <w:rFonts w:ascii="仿宋" w:eastAsia="仿宋" w:hAnsi="仿宋" w:cs="仿宋" w:hint="eastAsia"/>
          <w:sz w:val="28"/>
          <w:szCs w:val="20"/>
          <w:lang w:val="en-US" w:eastAsia="zh-CN"/>
        </w:rPr>
        <w:t xml:space="preserve">重要组成部分，与经济社会发展规划和地区防灾减灾紧密相关。 </w:t>
      </w:r>
    </w:p>
    <w:p>
      <w:pPr>
        <w:rPr>
          <w:rFonts w:ascii="仿宋" w:eastAsia="仿宋" w:hAnsi="仿宋" w:cs="仿宋" w:hint="eastAsia"/>
          <w:sz w:val="28"/>
          <w:szCs w:val="20"/>
        </w:rPr>
      </w:pPr>
      <w:r>
        <w:rPr>
          <w:rFonts w:ascii="仿宋" w:eastAsia="仿宋" w:hAnsi="仿宋" w:cs="仿宋" w:hint="eastAsia"/>
          <w:sz w:val="28"/>
          <w:szCs w:val="20"/>
          <w:lang w:val="en-US" w:eastAsia="zh-CN"/>
        </w:rPr>
        <w:t xml:space="preserve">该项目旨在推动天气雷达探测产品研发与应用，促进相关领域的 </w:t>
      </w:r>
    </w:p>
    <w:p>
      <w:pPr>
        <w:rPr>
          <w:rFonts w:ascii="仿宋" w:eastAsia="仿宋" w:hAnsi="仿宋" w:cs="仿宋" w:hint="eastAsia"/>
          <w:sz w:val="28"/>
          <w:szCs w:val="20"/>
        </w:rPr>
      </w:pPr>
      <w:r>
        <w:rPr>
          <w:rFonts w:ascii="仿宋" w:eastAsia="仿宋" w:hAnsi="仿宋" w:cs="仿宋" w:hint="eastAsia"/>
          <w:sz w:val="28"/>
          <w:szCs w:val="20"/>
          <w:lang w:val="en-US" w:eastAsia="zh-CN"/>
        </w:rPr>
        <w:t xml:space="preserve">技术进步和产业升级，从而为我国经济社会发展提供新的增长动 </w:t>
      </w:r>
    </w:p>
    <w:p>
      <w:pPr>
        <w:rPr>
          <w:rFonts w:ascii="仿宋" w:eastAsia="仿宋" w:hAnsi="仿宋" w:cs="仿宋" w:hint="eastAsia"/>
          <w:sz w:val="28"/>
          <w:szCs w:val="20"/>
        </w:rPr>
      </w:pPr>
      <w:r>
        <w:rPr>
          <w:rFonts w:ascii="仿宋" w:eastAsia="仿宋" w:hAnsi="仿宋" w:cs="仿宋" w:hint="eastAsia"/>
          <w:sz w:val="28"/>
          <w:szCs w:val="20"/>
          <w:lang w:val="en-US" w:eastAsia="zh-CN"/>
        </w:rPr>
        <w:t xml:space="preserve">力。通过加强科技创新和成果转化，项目将有效提升我国微小型 </w:t>
      </w:r>
    </w:p>
    <w:p>
      <w:pPr>
        <w:rPr>
          <w:rFonts w:ascii="仿宋" w:eastAsia="仿宋" w:hAnsi="仿宋" w:cs="仿宋" w:hint="eastAsia"/>
          <w:sz w:val="28"/>
          <w:szCs w:val="20"/>
        </w:rPr>
      </w:pPr>
      <w:r>
        <w:rPr>
          <w:rFonts w:ascii="仿宋" w:eastAsia="仿宋" w:hAnsi="仿宋" w:cs="仿宋" w:hint="eastAsia"/>
          <w:sz w:val="28"/>
          <w:szCs w:val="20"/>
          <w:lang w:val="en-US" w:eastAsia="zh-CN"/>
        </w:rPr>
        <w:t xml:space="preserve">X 波段天气雷达的国际竞争力，促进相关产业链的协同发展，实 </w:t>
      </w:r>
    </w:p>
    <w:p>
      <w:pPr>
        <w:rPr>
          <w:rFonts w:ascii="仿宋" w:eastAsia="仿宋" w:hAnsi="仿宋" w:cs="仿宋" w:hint="eastAsia"/>
          <w:sz w:val="28"/>
          <w:szCs w:val="20"/>
        </w:rPr>
      </w:pPr>
      <w:r>
        <w:rPr>
          <w:rFonts w:ascii="仿宋" w:eastAsia="仿宋" w:hAnsi="仿宋" w:cs="仿宋" w:hint="eastAsia"/>
          <w:sz w:val="28"/>
          <w:szCs w:val="20"/>
          <w:lang w:val="en-US" w:eastAsia="zh-CN"/>
        </w:rPr>
        <w:t>现经济社会发展的可持续性。该项目符合《全国气象发展</w:t>
      </w:r>
      <w:r>
        <w:rPr>
          <w:rFonts w:ascii="仿宋" w:eastAsia="仿宋" w:hAnsi="仿宋" w:cs="仿宋" w:hint="eastAsia"/>
          <w:sz w:val="28"/>
          <w:szCs w:val="20"/>
          <w:lang w:val="en-US" w:eastAsia="zh-CN"/>
        </w:rPr>
        <w:t>“</w:t>
      </w:r>
      <w:r>
        <w:rPr>
          <w:rFonts w:ascii="仿宋" w:eastAsia="仿宋" w:hAnsi="仿宋" w:cs="仿宋" w:hint="eastAsia"/>
          <w:sz w:val="28"/>
          <w:szCs w:val="20"/>
          <w:lang w:val="en-US" w:eastAsia="zh-CN"/>
        </w:rPr>
        <w:t>十四五</w:t>
      </w:r>
      <w:r>
        <w:rPr>
          <w:rFonts w:ascii="仿宋" w:eastAsia="仿宋" w:hAnsi="仿宋" w:cs="仿宋" w:hint="eastAsia"/>
          <w:sz w:val="28"/>
          <w:szCs w:val="20"/>
          <w:lang w:val="en-US" w:eastAsia="zh-CN"/>
        </w:rPr>
        <w:t>”</w:t>
      </w:r>
      <w:r>
        <w:rPr>
          <w:rFonts w:ascii="仿宋" w:eastAsia="仿宋" w:hAnsi="仿宋" w:cs="仿宋" w:hint="eastAsia"/>
          <w:sz w:val="28"/>
          <w:szCs w:val="20"/>
          <w:lang w:val="en-US" w:eastAsia="zh-CN"/>
        </w:rPr>
        <w:t>规划》、《全国气象现代化发展纲要（2015-2030 年）》等气象发展规划，项目依据《综合气象观测业务发展</w:t>
      </w:r>
      <w:r>
        <w:rPr>
          <w:rFonts w:ascii="仿宋" w:eastAsia="仿宋" w:hAnsi="仿宋" w:cs="仿宋" w:hint="eastAsia"/>
          <w:sz w:val="28"/>
          <w:szCs w:val="20"/>
          <w:lang w:val="en-US" w:eastAsia="zh-CN"/>
        </w:rPr>
        <w:t>“</w:t>
      </w:r>
      <w:r>
        <w:rPr>
          <w:rFonts w:ascii="仿宋" w:eastAsia="仿宋" w:hAnsi="仿宋" w:cs="仿宋" w:hint="eastAsia"/>
          <w:sz w:val="28"/>
          <w:szCs w:val="20"/>
          <w:lang w:val="en-US" w:eastAsia="zh-CN"/>
        </w:rPr>
        <w:t>十四五规划</w:t>
      </w:r>
      <w:r>
        <w:rPr>
          <w:rFonts w:ascii="仿宋" w:eastAsia="仿宋" w:hAnsi="仿宋" w:cs="仿宋" w:hint="eastAsia"/>
          <w:sz w:val="28"/>
          <w:szCs w:val="20"/>
          <w:lang w:val="en-US" w:eastAsia="zh-CN"/>
        </w:rPr>
        <w:t>”</w:t>
      </w:r>
      <w:r>
        <w:rPr>
          <w:rFonts w:ascii="仿宋" w:eastAsia="仿宋" w:hAnsi="仿宋" w:cs="仿宋" w:hint="eastAsia"/>
          <w:sz w:val="28"/>
          <w:szCs w:val="20"/>
          <w:lang w:val="en-US" w:eastAsia="zh-CN"/>
        </w:rPr>
        <w:t>》，为增强局地强对流天气的监测预警提供数据支撑，也提升了建设区域的天气雷达网的覆盖程度，为地方防灾减灾保驾护航.</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项目建设地点：云南 3 部微小 X 波段雷达建设地点选在大理州漾濞县富恒乡长寿村，经度为 99 度 41 分，纬度为 25 度 36 分；保山市施甸县甸阳镇菖蒲塘村，经度为 99 度 9 分，纬度为 24 度 38 分；红河州河口县国家基本气象站，经度为 103 度 57 分，纬度为 22 度 30分。</w:t>
      </w:r>
      <w:r>
        <w:rPr>
          <w:rFonts w:ascii="仿宋" w:eastAsia="仿宋" w:hAnsi="仿宋" w:cs="仿宋" w:hint="eastAsia"/>
          <w:sz w:val="28"/>
          <w:szCs w:val="20"/>
          <w:lang w:eastAsia="zh-CN"/>
        </w:rPr>
        <w:t>供应商中标后分别与以上三个建设站点签订合同及对接后续工作。</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spacing w:line="570" w:lineRule="exact"/>
        <w:ind w:firstLine="560" w:firstLineChars="200"/>
        <w:outlineLvl w:val="9"/>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按照中国气象局有关业务规范要求，在三级及以上气象应急响应期间，24小时全天候现场值守保障，并定期编制和上报雷达运行状态及故障处置报告。</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备品备件、维护标校、故障维修和巡检巡查等各项要求参照《X波段天气雷达观测规范（试行）》、《X波段天气雷达标校业务规范（试行）》等文件要求执行。</w:t>
      </w:r>
    </w:p>
    <w:p>
      <w:pPr>
        <w:ind w:firstLine="560" w:firstLineChars="200"/>
        <w:rPr>
          <w:rFonts w:ascii="仿宋" w:eastAsia="仿宋" w:hAnsi="仿宋" w:cs="仿宋"/>
          <w:sz w:val="28"/>
          <w:szCs w:val="20"/>
        </w:rPr>
      </w:pPr>
      <w:r>
        <w:rPr>
          <w:rFonts w:ascii="仿宋" w:eastAsia="仿宋" w:hAnsi="仿宋" w:hint="eastAsia"/>
          <w:sz w:val="28"/>
          <w:szCs w:val="28"/>
        </w:rPr>
        <w:t>中标方按照中国气象局有关要求和双方协商约定的内容</w:t>
      </w:r>
      <w:r>
        <w:rPr>
          <w:rFonts w:ascii="仿宋" w:eastAsia="仿宋" w:hAnsi="仿宋" w:cs="Times New Roman" w:hint="eastAsia"/>
          <w:sz w:val="28"/>
          <w:szCs w:val="28"/>
        </w:rPr>
        <w:t>提供服务，确保设备稳定运行，</w:t>
      </w:r>
      <w:r>
        <w:rPr>
          <w:rFonts w:ascii="仿宋" w:eastAsia="仿宋" w:hAnsi="仿宋" w:cs="Times New Roman" w:hint="eastAsia"/>
          <w:b/>
          <w:bCs/>
          <w:sz w:val="28"/>
          <w:szCs w:val="28"/>
          <w:highlight w:val="yellow"/>
        </w:rPr>
        <w:t>以及自验收合格后8年的整机及雷达分系统质保服务等。</w:t>
      </w:r>
      <w:r>
        <w:rPr>
          <w:rFonts w:ascii="仿宋" w:eastAsia="仿宋" w:hAnsi="仿宋" w:cs="Times New Roman" w:hint="eastAsia"/>
          <w:sz w:val="28"/>
          <w:szCs w:val="28"/>
        </w:rPr>
        <w:t>质保期服务提供相关承诺函</w:t>
      </w:r>
      <w:r>
        <w:rPr>
          <w:rFonts w:ascii="仿宋" w:eastAsia="仿宋" w:hAnsi="仿宋" w:cs="仿宋" w:hint="eastAsia"/>
          <w:sz w:val="28"/>
          <w:szCs w:val="28"/>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hint="eastAsia"/>
          <w:sz w:val="28"/>
          <w:szCs w:val="28"/>
        </w:rPr>
        <w:t>在采购方指定地点，中标方对相关技术人员进行不低于2人*5</w:t>
      </w:r>
      <w:r>
        <w:rPr>
          <w:rFonts w:ascii="仿宋" w:eastAsia="仿宋" w:hAnsi="仿宋" w:cs="Times New Roman" w:hint="eastAsia"/>
          <w:sz w:val="28"/>
          <w:szCs w:val="28"/>
        </w:rPr>
        <w:t>天的雷达使用培训和机务培训，使相关人员能够熟练掌握雷达基本操作、维护维修方法等，培训至少应包括以下内容：</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1）熟悉雷达系统工作原理；</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2）掌握雷达总体、各系统和配套设备的安装与布局位置；</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3）掌握雷达的结构和性能特点；</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4）在使用过程中，台站人员能熟练进行雷达操作；</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5）能完成雷达常见故障的判断；</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6）掌握雷达的日常维护、标定流程；</w:t>
      </w:r>
    </w:p>
    <w:p>
      <w:pPr>
        <w:spacing w:line="570" w:lineRule="exact"/>
        <w:ind w:firstLine="560" w:firstLineChars="200"/>
        <w:outlineLvl w:val="9"/>
        <w:rPr>
          <w:rFonts w:ascii="仿宋" w:eastAsia="仿宋" w:hAnsi="仿宋" w:cs="Times New Roman" w:hint="eastAsia"/>
          <w:sz w:val="28"/>
          <w:szCs w:val="28"/>
        </w:rPr>
      </w:pPr>
      <w:r>
        <w:rPr>
          <w:rFonts w:ascii="仿宋" w:eastAsia="仿宋" w:hAnsi="仿宋" w:cs="Times New Roman" w:hint="eastAsia"/>
          <w:sz w:val="28"/>
          <w:szCs w:val="28"/>
        </w:rPr>
        <w:t>7）具备雷达回波识别能力。</w:t>
      </w:r>
    </w:p>
    <w:p>
      <w:pPr>
        <w:ind w:firstLine="560" w:firstLineChars="200"/>
        <w:rPr>
          <w:rFonts w:ascii="仿宋" w:eastAsia="仿宋" w:hAnsi="仿宋" w:cs="Times New Roman" w:hint="eastAsia"/>
          <w:sz w:val="28"/>
          <w:szCs w:val="28"/>
        </w:rPr>
      </w:pPr>
      <w:r>
        <w:rPr>
          <w:rFonts w:ascii="仿宋" w:eastAsia="仿宋" w:hAnsi="仿宋" w:cs="Times New Roman" w:hint="eastAsia"/>
          <w:sz w:val="28"/>
          <w:szCs w:val="28"/>
        </w:rPr>
        <w:t>8）掌握仪器仪表使用方法。</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rPr>
        <w:t>履约地点：</w:t>
      </w:r>
      <w:r>
        <w:rPr>
          <w:rFonts w:ascii="仿宋" w:eastAsia="仿宋" w:hAnsi="仿宋" w:cs="仿宋" w:hint="eastAsia"/>
          <w:sz w:val="28"/>
          <w:szCs w:val="20"/>
          <w:lang w:val="en-US" w:eastAsia="zh-CN"/>
        </w:rPr>
        <w:t>大理州漾濞县、红河州</w:t>
      </w:r>
      <w:r>
        <w:rPr>
          <w:rFonts w:ascii="仿宋" w:eastAsia="仿宋" w:hAnsi="仿宋" w:cs="仿宋" w:hint="eastAsia"/>
          <w:sz w:val="28"/>
          <w:szCs w:val="20"/>
          <w:highlight w:val="none"/>
          <w:lang w:val="en-US" w:eastAsia="zh-CN"/>
        </w:rPr>
        <w:t>河口县、保山市施甸县</w:t>
      </w:r>
      <w:r>
        <w:rPr>
          <w:rFonts w:ascii="仿宋" w:eastAsia="仿宋" w:hAnsi="仿宋" w:cs="仿宋" w:hint="eastAsia"/>
          <w:sz w:val="28"/>
          <w:szCs w:val="20"/>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highlight w:val="none"/>
        </w:rPr>
        <w:t>交货与暂存要求：</w:t>
      </w:r>
      <w:r>
        <w:rPr>
          <w:rFonts w:ascii="仿宋" w:eastAsia="仿宋" w:hAnsi="仿宋" w:cs="仿宋" w:hint="eastAsia"/>
          <w:sz w:val="28"/>
          <w:szCs w:val="20"/>
          <w:highlight w:val="none"/>
          <w:lang w:eastAsia="zh-CN"/>
        </w:rPr>
        <w:t>该项目</w:t>
      </w:r>
      <w:r>
        <w:rPr>
          <w:rFonts w:ascii="仿宋" w:eastAsia="仿宋" w:hAnsi="仿宋" w:cs="仿宋" w:hint="eastAsia"/>
          <w:sz w:val="28"/>
          <w:szCs w:val="20"/>
          <w:highlight w:val="none"/>
        </w:rPr>
        <w:t>包括主机设备及</w:t>
      </w:r>
      <w:r>
        <w:rPr>
          <w:rFonts w:ascii="仿宋" w:eastAsia="仿宋" w:hAnsi="仿宋" w:cs="仿宋" w:hint="eastAsia"/>
          <w:sz w:val="28"/>
          <w:szCs w:val="20"/>
          <w:highlight w:val="none"/>
          <w:lang w:eastAsia="zh-CN"/>
        </w:rPr>
        <w:t>附属</w:t>
      </w:r>
      <w:r>
        <w:rPr>
          <w:rFonts w:ascii="仿宋" w:eastAsia="仿宋" w:hAnsi="仿宋" w:cs="仿宋" w:hint="eastAsia"/>
          <w:sz w:val="28"/>
          <w:szCs w:val="20"/>
          <w:highlight w:val="none"/>
        </w:rPr>
        <w:t>设备</w:t>
      </w:r>
      <w:r>
        <w:rPr>
          <w:rFonts w:ascii="仿宋" w:eastAsia="仿宋" w:hAnsi="仿宋" w:cs="仿宋" w:hint="eastAsia"/>
          <w:sz w:val="28"/>
          <w:szCs w:val="20"/>
          <w:highlight w:val="none"/>
          <w:lang w:eastAsia="zh-CN"/>
        </w:rPr>
        <w:t>。</w:t>
      </w:r>
      <w:r>
        <w:rPr>
          <w:rFonts w:ascii="仿宋" w:eastAsia="仿宋" w:hAnsi="仿宋" w:cs="仿宋" w:hint="eastAsia"/>
          <w:sz w:val="28"/>
          <w:szCs w:val="20"/>
        </w:rPr>
        <w:t>中标供应商负责将本项目所有设备运送至对应雷达站的指定吊装地点，并承担设备安装调试工作；若雷达站基础设施（如塔楼、机房等）尚未完成建设，中标供应商需先将设备运送至各建设单位（各县级气象局或其指定地点）明确的暂存地点进行保管，待雷达站具备吊装条件后，由中标供应商负责将设备从暂存地点转运至该雷达站的指定吊装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highlight w:val="none"/>
        </w:rPr>
      </w:pPr>
      <w:r>
        <w:rPr>
          <w:rFonts w:ascii="仿宋" w:eastAsia="仿宋" w:hAnsi="仿宋" w:cs="仿宋" w:hint="eastAsia"/>
          <w:sz w:val="28"/>
          <w:szCs w:val="20"/>
        </w:rPr>
        <w:t>费用承担：设备全流程（含从供应商厂区至暂存地点、暂存地点至吊装地点的运输，以及吊装作业）产生的所有费用均由中标供应商承担，具体包括但不限于运输费、运输保险费、装卸费、叉车租赁费、吊车租赁费、人工服务费等。</w:t>
      </w:r>
      <w:r>
        <w:rPr>
          <w:rFonts w:ascii="仿宋" w:eastAsia="仿宋" w:hAnsi="仿宋" w:cs="仿宋" w:hint="eastAsia"/>
          <w:sz w:val="28"/>
          <w:szCs w:val="20"/>
          <w:highlight w:val="none"/>
          <w:lang w:eastAsia="zh-CN"/>
        </w:rPr>
        <w:t>并且包含主机设备及附属设备的安装、转运、防雷、供电供网改造等。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highlight w:val="none"/>
        </w:rPr>
        <w:t>安装调试责任：中标供应商需在设备运抵吊装地点后，按招标文件及采购合同约定的技术标准完成</w:t>
      </w:r>
      <w:r>
        <w:rPr>
          <w:rFonts w:ascii="仿宋" w:eastAsia="仿宋" w:hAnsi="仿宋" w:cs="仿宋" w:hint="eastAsia"/>
          <w:sz w:val="28"/>
          <w:szCs w:val="20"/>
          <w:highlight w:val="none"/>
          <w:lang w:eastAsia="zh-CN"/>
        </w:rPr>
        <w:t>主机</w:t>
      </w:r>
      <w:r>
        <w:rPr>
          <w:rFonts w:ascii="仿宋" w:eastAsia="仿宋" w:hAnsi="仿宋" w:cs="仿宋" w:hint="eastAsia"/>
          <w:sz w:val="28"/>
          <w:szCs w:val="20"/>
          <w:highlight w:val="none"/>
        </w:rPr>
        <w:t>设备</w:t>
      </w:r>
      <w:r>
        <w:rPr>
          <w:rFonts w:ascii="仿宋" w:eastAsia="仿宋" w:hAnsi="仿宋" w:cs="仿宋" w:hint="eastAsia"/>
          <w:sz w:val="28"/>
          <w:szCs w:val="20"/>
          <w:highlight w:val="none"/>
          <w:lang w:eastAsia="zh-CN"/>
        </w:rPr>
        <w:t>及附属设备的</w:t>
      </w:r>
      <w:r>
        <w:rPr>
          <w:rFonts w:ascii="仿宋" w:eastAsia="仿宋" w:hAnsi="仿宋" w:cs="仿宋" w:hint="eastAsia"/>
          <w:sz w:val="28"/>
          <w:szCs w:val="20"/>
        </w:rPr>
        <w:t>安装调试，确保设备各项性能指标达标并具备验收条件。</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Times New Roman" w:hint="eastAsia"/>
          <w:sz w:val="28"/>
          <w:szCs w:val="28"/>
        </w:rPr>
      </w:pPr>
      <w:r>
        <w:rPr>
          <w:rFonts w:ascii="仿宋" w:eastAsia="仿宋" w:hAnsi="仿宋" w:hint="eastAsia"/>
          <w:sz w:val="28"/>
          <w:szCs w:val="28"/>
        </w:rPr>
        <w:t>中标方需配合采购方，完成配套软件的</w:t>
      </w:r>
      <w:r>
        <w:rPr>
          <w:rFonts w:ascii="仿宋" w:eastAsia="仿宋" w:hAnsi="仿宋" w:cs="Times New Roman" w:hint="eastAsia"/>
          <w:sz w:val="28"/>
          <w:szCs w:val="28"/>
        </w:rPr>
        <w:t>安装调试，保证上站后能够安全稳定运行。</w:t>
      </w:r>
      <w:r>
        <w:rPr>
          <w:rFonts w:ascii="仿宋" w:eastAsia="仿宋" w:hAnsi="仿宋" w:cs="仿宋" w:hint="eastAsia"/>
          <w:sz w:val="28"/>
          <w:szCs w:val="20"/>
        </w:rPr>
        <w:t>完全符合甲方相关要求和规范，保证其系统的兼容性和功能的完整性。</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系统接入：可无缝接入采购人现有气象数据平台、国家级业务平台，支持与多波段雷达组网系统协同对接，通过统一远程控制接口实现协同控制，确保观测数据、预报产品的实时共享与联动。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数据格式兼容：完全符合《天气雷达基数据标准格式》等规范，基数据、产品数据等标准格式的输出与存储。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硬件与平台适配：支持国产信创操作系统。</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功能完整性保障：软件兼容性需覆盖数据采集、处理、存储、传输全流程，确保与雷达监控软件、标校软件、控制软件及数据传输软件的协同运行，满足组网协同控制、远程维护、在线标校等核心业务场景的功能要求，完全符合甲方相关技术规范。</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sz w:val="28"/>
          <w:szCs w:val="20"/>
        </w:rPr>
      </w:pPr>
      <w:r>
        <w:rPr>
          <w:rFonts w:ascii="仿宋" w:eastAsia="仿宋" w:hAnsi="仿宋" w:cs="仿宋" w:hint="eastAsia"/>
          <w:sz w:val="28"/>
          <w:szCs w:val="20"/>
        </w:rPr>
        <w:t>暂存在省级保障部门的备件要进行动态更新。</w:t>
      </w: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8"/>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8"/>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4.2</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设备供应商对所有整机及雷达分系统提供自验收合格后8年的</w:t>
            </w:r>
            <w:r>
              <w:rPr>
                <w:rFonts w:ascii="宋体" w:hAnsi="宋体" w:cs="微软雅黑" w:hint="eastAsia"/>
                <w:b/>
                <w:color w:val="0000FF"/>
                <w:kern w:val="0"/>
                <w:sz w:val="18"/>
                <w:szCs w:val="18"/>
                <w:highlight w:val="none"/>
                <w:lang w:eastAsia="zh-CN"/>
              </w:rPr>
              <w:t>质保</w:t>
            </w:r>
            <w:r>
              <w:rPr>
                <w:rFonts w:ascii="宋体" w:hAnsi="宋体" w:cs="微软雅黑" w:hint="eastAsia"/>
                <w:b/>
                <w:color w:val="0000FF"/>
                <w:kern w:val="0"/>
                <w:sz w:val="18"/>
                <w:szCs w:val="18"/>
                <w:highlight w:val="none"/>
              </w:rPr>
              <w:t>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10"/>
          <w:footerReference w:type="default" r:id="rId11"/>
          <w:pgSz w:w="11906" w:h="16838"/>
          <w:pgMar w:top="1440" w:right="1800" w:bottom="1440" w:left="1800" w:header="851" w:footer="992" w:gutter="0"/>
          <w:cols w:space="708"/>
          <w:docGrid w:type="lines" w:linePitch="312"/>
        </w:sectPr>
      </w:pPr>
      <w:bookmarkEnd w:id="8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9"/>
        </w:numPr>
        <w:spacing w:line="360" w:lineRule="auto"/>
        <w:ind w:firstLine="3066" w:firstLineChars="1460"/>
        <w:jc w:val="left"/>
        <w:rPr>
          <w:rFonts w:hint="eastAsia"/>
          <w:b/>
          <w:bCs/>
          <w:szCs w:val="21"/>
          <w:highlight w:val="none"/>
        </w:rPr>
      </w:pPr>
      <w:bookmarkStart w:id="8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9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9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9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9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1"/>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合同签订后支付</w:t>
      </w:r>
      <w:r>
        <w:rPr>
          <w:rFonts w:ascii="宋体" w:hAnsi="宋体" w:hint="eastAsia"/>
          <w:szCs w:val="21"/>
          <w:highlight w:val="none"/>
          <w:u w:val="single"/>
          <w:lang w:val="en-US" w:eastAsia="zh-CN"/>
        </w:rPr>
        <w:t>95%，到货、验收后支付5%</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0"/>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2"/>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92" w:name="_Toc27624"/>
      <w:r>
        <w:rPr>
          <w:rFonts w:ascii="黑体" w:hAnsi="黑体" w:hint="eastAsia"/>
          <w:b w:val="0"/>
          <w:bCs w:val="0"/>
          <w:sz w:val="28"/>
          <w:szCs w:val="28"/>
          <w:highlight w:val="none"/>
        </w:rPr>
        <w:t>第二节 政府采购合同通用条款</w:t>
      </w:r>
      <w:bookmarkEnd w:id="9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4"/>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5"/>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6"/>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7"/>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9"/>
        </w:numPr>
        <w:spacing w:line="360" w:lineRule="auto"/>
        <w:ind w:firstLine="3066" w:firstLineChars="1460"/>
        <w:jc w:val="left"/>
        <w:rPr>
          <w:rFonts w:hint="eastAsia"/>
          <w:b/>
          <w:bCs/>
          <w:szCs w:val="21"/>
          <w:highlight w:val="none"/>
        </w:rPr>
      </w:pPr>
      <w:bookmarkEnd w:id="8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10600030101010101"/>
    <w:charset w:val="86"/>
    <w:family w:val="script"/>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CF2C71C"/>
    <w:multiLevelType w:val="singleLevel"/>
    <w:tmpl w:val="ACF2C71C"/>
    <w:lvl w:ilvl="0">
      <w:start w:val="3"/>
      <w:numFmt w:val="decimal"/>
      <w:suff w:val="nothing"/>
      <w:lvlText w:val="%1）"/>
      <w:lvlJc w:val="left"/>
    </w:lvl>
  </w:abstractNum>
  <w:abstractNum w:abstractNumId="1">
    <w:nsid w:val="B74C305E"/>
    <w:multiLevelType w:val="singleLevel"/>
    <w:tmpl w:val="B74C305E"/>
    <w:lvl w:ilvl="0">
      <w:start w:val="1"/>
      <w:numFmt w:val="bullet"/>
      <w:lvlText w:val=""/>
      <w:lvlJc w:val="left"/>
      <w:pPr>
        <w:tabs>
          <w:tab w:val="num" w:pos="420"/>
        </w:tabs>
        <w:ind w:left="840" w:hanging="420"/>
      </w:pPr>
      <w:rPr>
        <w:rFonts w:ascii="Wingdings" w:hAnsi="Wingdings" w:hint="default"/>
      </w:rPr>
    </w:lvl>
  </w:abstractNum>
  <w:abstractNum w:abstractNumId="2">
    <w:nsid w:val="BF6BC116"/>
    <w:multiLevelType w:val="singleLevel"/>
    <w:tmpl w:val="BF6BC116"/>
    <w:lvl w:ilvl="0">
      <w:start w:val="16"/>
      <w:numFmt w:val="decimal"/>
      <w:suff w:val="space"/>
      <w:lvlText w:val="%1."/>
      <w:lvlJc w:val="left"/>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97DDC9E"/>
    <w:multiLevelType w:val="singleLevel"/>
    <w:tmpl w:val="097DDC9E"/>
    <w:lvl w:ilvl="0">
      <w:start w:val="4"/>
      <w:numFmt w:val="decimal"/>
      <w:suff w:val="nothing"/>
      <w:lvlText w:val="%1）"/>
      <w:lvlJc w:val="left"/>
    </w:lvl>
  </w:abstractNum>
  <w:abstractNum w:abstractNumId="1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62FE413"/>
    <w:multiLevelType w:val="singleLevel"/>
    <w:tmpl w:val="362FE413"/>
    <w:lvl w:ilvl="0">
      <w:start w:val="2"/>
      <w:numFmt w:val="decimal"/>
      <w:suff w:val="nothing"/>
      <w:lvlText w:val="%1）"/>
      <w:lvlJc w:val="left"/>
    </w:lvl>
  </w:abstractNum>
  <w:abstractNum w:abstractNumId="14">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5">
    <w:nsid w:val="53A08313"/>
    <w:multiLevelType w:val="singleLevel"/>
    <w:tmpl w:val="53A08313"/>
    <w:lvl w:ilvl="0">
      <w:start w:val="9"/>
      <w:numFmt w:val="chineseCounting"/>
      <w:suff w:val="space"/>
      <w:lvlText w:val="第%1章"/>
      <w:lvlJc w:val="left"/>
      <w:rPr>
        <w:rFonts w:hint="eastAsia"/>
      </w:rPr>
    </w:lvl>
  </w:abstractNum>
  <w:abstractNum w:abstractNumId="16">
    <w:nsid w:val="5A3B1AC5"/>
    <w:multiLevelType w:val="singleLevel"/>
    <w:tmpl w:val="5A3B1AC5"/>
    <w:lvl w:ilvl="0">
      <w:start w:val="1"/>
      <w:numFmt w:val="decimal"/>
      <w:suff w:val="nothing"/>
      <w:lvlText w:val="%1）"/>
      <w:lvlJc w:val="left"/>
    </w:lvl>
  </w:abstractNum>
  <w:abstractNum w:abstractNumId="17">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1"/>
  </w:num>
  <w:num w:numId="4">
    <w:abstractNumId w:val="16"/>
  </w:num>
  <w:num w:numId="5">
    <w:abstractNumId w:val="13"/>
  </w:num>
  <w:num w:numId="6">
    <w:abstractNumId w:val="0"/>
  </w:num>
  <w:num w:numId="7">
    <w:abstractNumId w:val="10"/>
  </w:num>
  <w:num w:numId="8">
    <w:abstractNumId w:val="1"/>
  </w:num>
  <w:num w:numId="9">
    <w:abstractNumId w:val="15"/>
  </w:num>
  <w:num w:numId="10">
    <w:abstractNumId w:val="17"/>
  </w:num>
  <w:num w:numId="11">
    <w:abstractNumId w:val="3"/>
  </w:num>
  <w:num w:numId="12">
    <w:abstractNumId w:val="7"/>
  </w:num>
  <w:num w:numId="13">
    <w:abstractNumId w:val="5"/>
  </w:num>
  <w:num w:numId="14">
    <w:abstractNumId w:val="4"/>
  </w:num>
  <w:num w:numId="15">
    <w:abstractNumId w:val="14"/>
  </w:num>
  <w:num w:numId="16">
    <w:abstractNumId w:val="2"/>
  </w:num>
  <w:num w:numId="17">
    <w:abstractNumId w:val="6"/>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png" /><Relationship Id="rId9" Type="http://schemas.openxmlformats.org/officeDocument/2006/relationships/image" Target="media/image3.jpe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