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2025年短临工程X波段双线偏振多普勒天气雷达及附属设备采购项目（福建省）</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ZQCD-25434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2025年短临工程X波段双线偏振多普勒天气雷达及附属设备采购项目（福建省）</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ZQCD-25434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合同签订后210天内交货，交货后60天内完成安装调试并具备验收条件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福建省境内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2025年12月08日 17:00:00</w:t>
      </w:r>
      <w:bookmarkEnd w:id="26"/>
      <w:r>
        <w:rPr>
          <w:rFonts w:ascii="宋体" w:hint="eastAsia"/>
          <w:szCs w:val="21"/>
          <w:highlight w:val="none"/>
        </w:rPr>
        <w:t>至</w:t>
      </w:r>
      <w:bookmarkStart w:id="27" w:name="项目公告_signUpLastTime"/>
      <w:r>
        <w:rPr>
          <w:rFonts w:ascii="宋体" w:hint="eastAsia"/>
          <w:szCs w:val="21"/>
          <w:highlight w:val="none"/>
        </w:rPr>
        <w:t>2025年12月15日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吴雪菲</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0591-83327971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福建省福州市仓山区建新中路98号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不允许（仅针对以下产品：X波段双线偏振多普勒天气雷达不允许代理商投标）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必须，以下产品需要提供至投标截止日仍有效的《气象专用技术装备使用许可证》：X波段双线偏振多普勒天气雷达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标的：X波段双线偏振多普勒天气雷达及附属设备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1,230.000000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1,230.000000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针对本项目采购的X波段双偏振多普勒天气雷达，</w:t>
              <w:cr/>
              <w:t>承诺每提前15天交货的得0.5分，最多得1分。否则不得分。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针对X波段双偏振多普勒天气雷达设备，每提供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1、投标人为本项目拟派的服务团队中项目经理应具有3年以上相关工作经验的得1分；</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针对X波段天气雷达设备，测试报告应涵盖沙尘、振动、辐射抗扰等内容，每包含一项得1分，最多得3分。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mso-height-relative:page;mso-width-relative:page;position:absolute;z-index:251658240" coordsize="21600,21600" o:preferrelative="t" filled="f" stroked="f">
            <v:imagedata r:id="rId6" o:title=""/>
            <o:lock v:ext="edit" aspectratio="t"/>
          </v:shape>
        </w:pict>
      </w:r>
      <w:r>
        <w:rPr>
          <w:sz w:val="28"/>
          <w:szCs w:val="28"/>
        </w:rPr>
        <w:pict>
          <v:shape id="_x0000_i1027" type="#_x0000_t75" style="width:370.3pt;height:283.3pt" coordsize="21600,21600" o:preferrelative="t" filled="f" stroked="f">
            <v:imagedata r:id="rId7" o:title=""/>
            <o:lock v:ext="edit" aspectratio="t"/>
            <w10:anchorlock/>
          </v:shape>
        </w:pict>
      </w:r>
    </w:p>
    <w:p>
      <w:pPr>
        <w:snapToGrid w:val="0"/>
        <w:spacing w:line="360" w:lineRule="auto"/>
        <w:jc w:val="center"/>
        <w:rPr>
          <w:sz w:val="28"/>
          <w:szCs w:val="28"/>
        </w:rPr>
      </w:pPr>
      <w:r>
        <w:rPr>
          <w:sz w:val="28"/>
          <w:szCs w:val="28"/>
        </w:rPr>
        <w:pict>
          <v:shape id="_x0000_i1028" type="#_x0000_t75" style="width:286.95pt;height:283.7pt" coordsize="21600,21600" o:preferrelative="t" filled="f" stroked="f">
            <v:imagedata r:id="rId8" o:title=""/>
            <o:lock v:ext="edit" aspectratio="t"/>
            <w10:anchorlock/>
          </v:shape>
        </w:pict>
      </w:r>
    </w:p>
    <w:p>
      <w:pPr>
        <w:snapToGrid w:val="0"/>
        <w:spacing w:line="360" w:lineRule="auto"/>
        <w:rPr>
          <w:sz w:val="28"/>
          <w:szCs w:val="28"/>
        </w:rPr>
      </w:pPr>
      <w:r>
        <w:rPr>
          <w:sz w:val="28"/>
          <w:szCs w:val="28"/>
        </w:rPr>
        <w:pict>
          <v:shape id="_x0000_i1029" type="#_x0000_t75" style="width:415.05pt;height:263.7pt" coordsize="21600,21600" o:preferrelative="t" filled="f" stroked="f">
            <v:imagedata r:id="rId9" o:title=""/>
            <o:lock v:ext="edit" aspectratio="t"/>
            <w10:anchorlock/>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outlineLvl w:val="9"/>
        <w:rPr>
          <w:rFonts w:ascii="仿宋" w:eastAsia="仿宋" w:hAnsi="仿宋" w:cs="仿宋" w:hint="eastAsia"/>
          <w:bCs/>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_GB2312" w:hAnsi="仿宋_GB2312" w:cs="仿宋_GB2312"/>
          <w:bCs/>
          <w:sz w:val="28"/>
          <w:szCs w:val="28"/>
        </w:rPr>
      </w:pPr>
      <w:r>
        <w:rPr>
          <w:rFonts w:ascii="仿宋" w:eastAsia="仿宋" w:hAnsi="仿宋" w:cs="仿宋" w:hint="eastAsia"/>
          <w:bCs/>
          <w:sz w:val="28"/>
          <w:szCs w:val="28"/>
        </w:rPr>
        <w:t>1.2天线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_x0000_i1030" type="#_x0000_t75" style="width:396.95pt;height:280.25pt" coordsize="21600,21600" o:preferrelative="t" filled="f" stroked="f">
            <v:imagedata r:id="rId10"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mso-height-relative:page;mso-width-relative:page;mso-wrap-distance-bottom:0;mso-wrap-distance-top:0;position:absolute;z-index:251660288" coordsize="21600,21600" o:preferrelative="t" filled="f" stroked="f">
            <v:imagedata r:id="rId11" o:title=""/>
            <o:lock v:ext="edit" aspectratio="t"/>
            <w10:wrap type="topAndBottom"/>
          </v:shape>
        </w:pict>
      </w:r>
      <w:r>
        <w:rPr>
          <w:sz w:val="28"/>
          <w:szCs w:val="28"/>
        </w:rPr>
        <w:pict>
          <v:shape id="图片 11" o:spid="_x0000_s1032" type="#_x0000_t75" style="width:30.15pt;height:11.4pt;margin-top:151.1pt;margin-left:35.55pt;mso-height-relative:page;mso-position-horizontal-relative:margin;mso-width-relative:page;position:absolute;z-index:251659264" coordsize="21600,21600" o:preferrelative="t" filled="f" stroked="f">
            <v:imagedata r:id="rId6" o:title=""/>
            <o:lock v:ext="edit" aspectratio="t"/>
            <w10:wrap anchorx="margin"/>
          </v:shape>
        </w:pict>
      </w:r>
      <w:r>
        <w:rPr>
          <w:rFonts w:ascii="黑体" w:eastAsia="黑体" w:hAnsi="黑体" w:cs="黑体" w:hint="eastAsia"/>
          <w:sz w:val="28"/>
          <w:szCs w:val="28"/>
        </w:rPr>
        <w:t>图3 转台和天线连接结构示例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1.2.3工艺、材质及标识标牌要求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序列号中的“YYYY”代表出厂所述年，“MM”代表出厂所述月，“XXX代表出厂序号”。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1.2.4接口说明#</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r>
        <w:rPr>
          <w:rFonts w:ascii="仿宋_GB2312" w:eastAsia="仿宋_GB2312" w:hAnsi="仿宋_GB2312" w:cs="仿宋_GB2312" w:hint="eastAsia"/>
          <w:bCs/>
          <w:sz w:val="28"/>
          <w:szCs w:val="28"/>
        </w:rPr>
        <w:t>1.3馈线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mso-height-relative:page;mso-width-relative:page;position:absolute;z-index:251661312" coordsize="21600,21600" o:preferrelative="t" filled="f" stroked="f">
            <v:imagedata r:id="rId6" o:title=""/>
            <o:lock v:ext="edit" aspectratio="t"/>
          </v:shape>
        </w:pict>
      </w:r>
      <w:r>
        <w:rPr>
          <w:rFonts w:ascii="仿宋_GB2312"/>
          <w:sz w:val="28"/>
          <w:szCs w:val="28"/>
        </w:rPr>
        <w:pict>
          <v:shape id="_x0000_i1034" type="#_x0000_t75" alt="D:\WeChat Files\fenrisking\FileStorage\File\2024-01\馈线尺寸图_00.png" style="width:415.2pt;height:293.3pt" coordsize="21600,21600" o:preferrelative="t" filled="f" stroked="f">
            <v:imagedata r:id="rId12" o:title="馈线尺寸图_00"/>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1.3.4接口说明#</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耦合测试口（耦合比40±1dB），连接接收机（XS03），用于功率监视</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耦合测试口（耦合比40±1dB），连接接收机（XS04），用于功率监视</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1.4伺服转台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无限制、俯仰-2°—+180°扫描（固态体制），俯仰-2°—+90°扫描（速调管体制），具有相应的电气和机械限位功能；雷达伺服转台应支持平面位置扫描、距离高度扫描、体积扫描、扇形扫描、定点扫描等多种扫描方式，各种扫描方式均由软件控制完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_x0000_i1035" type="#_x0000_t75" style="width:262.15pt;height:297.9pt" coordsize="21600,21600" o:preferrelative="t" filled="f" stroked="f">
            <v:imagedata r:id="rId13"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1.5发射机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mso-height-relative:page;mso-width-relative:page;position:absolute;z-index:251662336" coordsize="21600,21600" o:preferrelative="t" filled="f" stroked="f">
            <v:imagedata r:id="rId6" o:title=""/>
            <o:lock v:ext="edit" aspectratio="t"/>
          </v:shape>
        </w:pict>
      </w:r>
      <w:r>
        <w:rPr>
          <w:sz w:val="28"/>
          <w:szCs w:val="28"/>
        </w:rPr>
        <w:pict>
          <v:shape id="_x0000_i1037" type="#_x0000_t75" style="width:306.35pt;height:255.25pt" coordsize="21600,21600" o:preferrelative="t" filled="f" stroked="f">
            <v:imagedata r:id="rId14"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_x0000_i1038" type="#_x0000_t75" style="width:241.75pt;height:258.35pt" coordsize="21600,21600" o:preferrelative="t" filled="f" stroked="f">
            <v:imagedata r:id="rId15"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r>
        <w:rPr>
          <w:rFonts w:ascii="仿宋" w:eastAsia="仿宋" w:hAnsi="仿宋" w:cs="仿宋" w:hint="eastAsia"/>
          <w:kern w:val="2"/>
          <w:szCs w:val="28"/>
          <w:highlight w:val="yellow"/>
        </w:rPr>
        <w:t>1.5.4接口说明</w:t>
      </w:r>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功放耦合输出（耦合比40±1dB）,测试口</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馈线测试输入（耦合比40±1dB），测试口</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1.6接收机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mso-height-relative:page;mso-width-relative:page;position:absolute;z-index:251663360" coordsize="21600,21600" o:preferrelative="t" filled="f" stroked="f">
            <v:imagedata r:id="rId6" o:title=""/>
            <o:lock v:ext="edit" aspectratio="t"/>
          </v:shape>
        </w:pict>
      </w:r>
      <w:r>
        <w:rPr>
          <w:sz w:val="28"/>
          <w:szCs w:val="28"/>
        </w:rPr>
        <w:pict>
          <v:shape id="_x0000_i1040" type="#_x0000_t75" style="width:415.55pt;height:313.6pt" coordsize="21600,21600" o:preferrelative="t" filled="f" stroked="f">
            <v:imagedata r:id="rId16"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 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240mm×480mm×270mm</w:t>
            </w:r>
          </w:p>
        </w:tc>
      </w:tr>
      <w:tr>
        <w:tblPrEx>
          <w:tblW w:w="8599" w:type="dxa"/>
          <w:jc w:val="center"/>
          <w:tblCellMar>
            <w:top w:w="0" w:type="dxa"/>
            <w:left w:w="108" w:type="dxa"/>
            <w:bottom w:w="0" w:type="dxa"/>
            <w:right w:w="108" w:type="dxa"/>
          </w:tblCellMar>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1.7综合机柜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_x0000_i1041" type="#_x0000_t75" alt="综合机柜_00" style="width:414.65pt;height:140.9pt" coordsize="21600,21600" o:preferrelative="t" filled="f" stroked="f">
            <v:imagedata r:id="rId17" o:title="综合机柜_00" croptop="17550f" cropbottom="15269f"/>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色：RAL9003、RAL8022</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_x0000_i1042" type="#_x0000_t75" alt="1657625101653" style="width:255.4pt;height:283.3pt" coordsize="21600,21600" o:preferrelative="t" filled="f" stroked="f">
            <v:imagedata r:id="rId18" o:title="1657625101653"/>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kern w:val="2"/>
          <w:szCs w:val="28"/>
          <w:highlight w:val="yellow"/>
        </w:rPr>
      </w:pPr>
      <w:r>
        <w:rPr>
          <w:rFonts w:ascii="仿宋" w:eastAsia="仿宋" w:hAnsi="仿宋" w:cs="仿宋" w:hint="eastAsia"/>
          <w:kern w:val="2"/>
          <w:szCs w:val="28"/>
          <w:highlight w:val="yellow"/>
        </w:rPr>
        <w:t>1.8雷达线缆清单#</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1.9信号处理器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rPr>
        <w:t>1.9.1.1组成与功能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_x0000_i1043" type="#_x0000_t75" style="width:396.45pt;height:248.1pt" o:oleicon="f" o:ole="" coordsize="21600,21600" o:preferrelative="t" filled="f" stroked="f">
            <v:imagedata r:id="rId19" o:title=""/>
            <o:lock v:ext="edit" aspectratio="t"/>
            <w10:anchorlock/>
          </v:shape>
          <o:OLEObject Type="Embed" ProgID="Visio.Drawing.15" ShapeID="_x0000_i1043" DrawAspect="Content" ObjectID="_1468075725"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1.9.1.2结构要求</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_x0000_i1044" type="#_x0000_t75" style="width:340.4pt;height:282.05pt" coordsize="21600,21600" o:preferrelative="t" filled="f" stroked="f">
            <v:imagedata r:id="rId21" o:title="" cropright="9627f"/>
            <o:lock v:ext="edit" aspectratio="t"/>
            <w10:anchorlock/>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_x0000_i1045" type="#_x0000_t75" alt="XA信号处理器盒体图纸-接口图_00" style="width:397.1pt;height:119.65pt" coordsize="21600,21600" o:preferrelative="t" filled="f" stroked="f">
            <v:imagedata r:id="rId22" o:title="XA信号处理器盒体图纸-接口图_00" cropbottom="-493f" cropleft="8294f" cropright="11621f"/>
            <o:lock v:ext="edit" aspectratio="t"/>
            <w10:anchorlock/>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1.9.1.3接口说明</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30MHz—70MHz，0±5dBm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pageBreakBefore w:val="0"/>
        <w:widowControl w:val="0"/>
        <w:kinsoku/>
        <w:wordWrap/>
        <w:overflowPunct/>
        <w:topLinePunct w:val="0"/>
        <w:autoSpaceDE/>
        <w:autoSpaceDN/>
        <w:bidi w:val="0"/>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c）脉冲压缩主副瓣比：软件自动分别测试脉压比≥100和＜100的主副瓣比；</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highlight w:val="yellow"/>
        </w:rPr>
        <w:t>1.9.2.1雷达系统监测</w:t>
      </w:r>
      <w:r>
        <w:rPr>
          <w:rFonts w:ascii="仿宋" w:eastAsia="仿宋" w:hAnsi="仿宋" w:cs="仿宋" w:hint="eastAsia"/>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Pr>
      <w:tblGrid>
        <w:gridCol w:w="1276"/>
        <w:gridCol w:w="3691"/>
        <w:gridCol w:w="3516"/>
      </w:tblGrid>
      <w:tr>
        <w:tblPrEx>
          <w:tblW w:w="8483" w:type="dxa"/>
          <w:jc w:val="center"/>
          <w:tblLayout w:type="fixed"/>
          <w:tblCellMar>
            <w:top w:w="0" w:type="dxa"/>
            <w:left w:w="108" w:type="dxa"/>
            <w:bottom w:w="0" w:type="dxa"/>
            <w:right w:w="108" w:type="dxa"/>
          </w:tblCellMar>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速度期望值1（移相0π）</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1.9.2.2远程控制功能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1.9.2.3关键参数在线分析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雷达应具有关键参数在线分析功能，应满足如下要求：</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1）具备关键参数记录功能。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1.9.2.4基数据质控及显示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 xml:space="preserve">）等基本量进行质控，质控包括滤波、杂波校正因子（CCOR）门限、电磁干扰抑制、风电干扰抑制、速度退模糊、距离退折叠、异常回波标记等，质控前后的基数据都具备存储功能。在雷达终端上需具备以下功能： </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数据处理功能：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3）鼠标悬浮显示；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4）数据分层控制显示；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1.9.2.5授时功能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pageBreakBefore w:val="0"/>
        <w:widowControl w:val="0"/>
        <w:kinsoku/>
        <w:wordWrap/>
        <w:overflowPunct/>
        <w:topLinePunct w:val="0"/>
        <w:autoSpaceDE/>
        <w:autoSpaceDN/>
        <w:bidi w:val="0"/>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pageBreakBefore w:val="0"/>
        <w:widowControl w:val="0"/>
        <w:kinsoku/>
        <w:wordWrap/>
        <w:overflowPunct/>
        <w:topLinePunct w:val="0"/>
        <w:autoSpaceDE/>
        <w:autoSpaceDN/>
        <w:bidi w:val="0"/>
        <w:spacing w:line="560" w:lineRule="exact"/>
        <w:ind w:firstLine="560" w:firstLineChars="200"/>
        <w:jc w:val="left"/>
        <w:textAlignment w:val="auto"/>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pageBreakBefore w:val="0"/>
        <w:widowControl w:val="0"/>
        <w:kinsoku/>
        <w:wordWrap/>
        <w:overflowPunct/>
        <w:topLinePunct w:val="0"/>
        <w:autoSpaceDE/>
        <w:autoSpaceDN/>
        <w:bidi w:val="0"/>
        <w:spacing w:line="560" w:lineRule="exact"/>
        <w:ind w:firstLine="560" w:firstLineChars="200"/>
        <w:textAlignment w:val="auto"/>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定量≥75km</w:t>
            </w:r>
          </w:p>
        </w:tc>
      </w:tr>
      <w:tr>
        <w:tblPrEx>
          <w:tblW w:w="9072" w:type="dxa"/>
          <w:jc w:val="center"/>
          <w:tblLayout w:type="fixed"/>
          <w:tblCellMar>
            <w:top w:w="0" w:type="dxa"/>
            <w:left w:w="108" w:type="dxa"/>
            <w:bottom w:w="0" w:type="dxa"/>
            <w:right w:w="108" w:type="dxa"/>
          </w:tblCellMar>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-180°～+180°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-2°/km～+10°/km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≤0.2°/km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单相AC220V±10%或三相AC380V±10%，50Hz±5%</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≤90%（+30℃）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海拔≤5000m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≤1.0dB</w:t>
            </w:r>
          </w:p>
        </w:tc>
      </w:tr>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≤1.0°（含天线罩）</w:t>
            </w:r>
          </w:p>
        </w:tc>
      </w:tr>
      <w:tr>
        <w:tblPrEx>
          <w:tblW w:w="8718" w:type="dxa"/>
          <w:jc w:val="center"/>
          <w:tblLayout w:type="fixed"/>
          <w:tblCellMar>
            <w:top w:w="0" w:type="dxa"/>
            <w:left w:w="108" w:type="dxa"/>
            <w:bottom w:w="0" w:type="dxa"/>
            <w:right w:w="108" w:type="dxa"/>
          </w:tblCellMar>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≤1.0°（不含天线罩）</w:t>
            </w:r>
          </w:p>
        </w:tc>
      </w:tr>
      <w:tr>
        <w:tblPrEx>
          <w:tblW w:w="8718" w:type="dxa"/>
          <w:jc w:val="center"/>
          <w:tblLayout w:type="fixed"/>
          <w:tblCellMar>
            <w:top w:w="0" w:type="dxa"/>
            <w:left w:w="108" w:type="dxa"/>
            <w:bottom w:w="0" w:type="dxa"/>
            <w:right w:w="108" w:type="dxa"/>
          </w:tblCellMar>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≤0.05°</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≤30″</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≤1.5:1</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0～360°连续扫描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-2～+180°往返扫描</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0.5±0.05μs，1.0±0.10μs，0.5～200μs（可选）</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0.5μs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2.00±0.10MHz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1.0μs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1.00±0.10MHz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800MHz，3±1dBm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30MHz～70MHz，≤+15dBm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≥50dB（脉压比≥100）</w:t>
            </w:r>
          </w:p>
          <w:p>
            <w:pPr>
              <w:spacing w:line="360" w:lineRule="exact"/>
              <w:rPr>
                <w:rFonts w:ascii="仿宋_GB2312"/>
                <w:sz w:val="28"/>
                <w:szCs w:val="28"/>
              </w:rPr>
            </w:pP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同一发射周期内最大支持3种脉冲宽度拼接补盲，可选脉冲宽度支持0.5μs</w:t>
            </w:r>
            <w:r>
              <w:rPr>
                <w:rFonts w:ascii="宋体" w:eastAsia="宋体" w:hAnsi="宋体" w:hint="eastAsia"/>
                <w:sz w:val="28"/>
                <w:szCs w:val="28"/>
              </w:rPr>
              <w:t>～</w:t>
            </w:r>
            <w:r>
              <w:rPr>
                <w:rFonts w:ascii="仿宋_GB2312" w:hint="eastAsia"/>
                <w:sz w:val="28"/>
                <w:szCs w:val="28"/>
              </w:rPr>
              <w:t>200μs</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Pr>
      <w:tblGrid>
        <w:gridCol w:w="878"/>
        <w:gridCol w:w="1896"/>
        <w:gridCol w:w="5731"/>
      </w:tblGrid>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衰减订正后，与相邻S波段雷达相比平均偏差≤3.0dB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衰减订正后，与相邻S波段雷达相比平均偏差≤0.6dB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非降水回波识别准确率≥88%，且降水回波误判率≤5%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径向干扰识别准确率≥90%，且降水回波误判率≤5%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非降水回波识别准确率≥88%，且降水回波误判率≤5%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jc w:val="center"/>
        </w:trPr>
        <w:tc>
          <w:tcPr>
            <w:tcW w:w="2228" w:type="dxa"/>
            <w:vAlign w:val="center"/>
          </w:tcPr>
          <w:p>
            <w:pPr>
              <w:spacing w:line="400" w:lineRule="exact"/>
              <w:jc w:val="center"/>
              <w:rPr>
                <w:rFonts w:ascii="仿宋_GB2312" w:hAnsi="等线"/>
                <w:b/>
                <w:sz w:val="28"/>
                <w:szCs w:val="28"/>
              </w:rPr>
            </w:pPr>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产品终端要求#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2）应支持国产信创系统。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四、质保服务要求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4.1培训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在采购方指定地点，中标方对相关技术人员进行不低于2人*5天</w:t>
      </w:r>
      <w:r>
        <w:rPr>
          <w:rFonts w:ascii="仿宋" w:eastAsia="仿宋" w:hAnsi="仿宋" w:cs="仿宋" w:hint="eastAsia"/>
          <w:sz w:val="28"/>
          <w:szCs w:val="28"/>
          <w:lang w:eastAsia="zh-CN"/>
        </w:rPr>
        <w:t>（</w:t>
      </w:r>
      <w:r>
        <w:rPr>
          <w:rFonts w:ascii="仿宋" w:eastAsia="仿宋" w:hAnsi="仿宋" w:cs="仿宋" w:hint="eastAsia"/>
          <w:sz w:val="28"/>
          <w:szCs w:val="28"/>
          <w:lang w:val="en-US" w:eastAsia="zh-CN"/>
        </w:rPr>
        <w:t>40课时</w:t>
      </w:r>
      <w:r>
        <w:rPr>
          <w:rFonts w:ascii="仿宋" w:eastAsia="仿宋" w:hAnsi="仿宋" w:cs="仿宋" w:hint="eastAsia"/>
          <w:sz w:val="28"/>
          <w:szCs w:val="28"/>
          <w:lang w:eastAsia="zh-CN"/>
        </w:rPr>
        <w:t>）</w:t>
      </w:r>
      <w:r>
        <w:rPr>
          <w:rFonts w:ascii="仿宋" w:eastAsia="仿宋" w:hAnsi="仿宋" w:cs="仿宋" w:hint="eastAsia"/>
          <w:sz w:val="28"/>
          <w:szCs w:val="28"/>
        </w:rPr>
        <w:t>的雷达使用培训和机务培训，使相关人员能够熟练掌握雷达基本操作、维护维修方法等，培训至少应包括以下内容：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1）熟悉雷达系统工作原理；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7）具备雷达回波识别能力。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8）掌握仪器仪表使用方法。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29"/>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12,300,000.00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12,300,000.00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5"/>
        <w:gridCol w:w="2538"/>
        <w:gridCol w:w="989"/>
        <w:gridCol w:w="375"/>
        <w:gridCol w:w="856"/>
        <w:gridCol w:w="774"/>
        <w:gridCol w:w="736"/>
        <w:gridCol w:w="187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福建省大气探测技术保障中心(001043019004)</w:t>
            </w:r>
          </w:p>
        </w:tc>
        <w:tc>
          <w:tcPr/>
          <w:p>
            <w:r>
              <w:t>X波段双线偏振多普勒天气雷达</w:t>
            </w:r>
          </w:p>
        </w:tc>
        <w:tc>
          <w:tcPr/>
          <w:p>
            <w:r>
              <w:t>3</w:t>
            </w:r>
          </w:p>
        </w:tc>
        <w:tc>
          <w:tcPr/>
          <w:p>
            <w:r>
              <w:t>12300000.00</w:t>
            </w:r>
          </w:p>
        </w:tc>
        <w:tc>
          <w:tcPr/>
          <w:p>
            <w:r>
              <w:t xml:space="preserve">12300000.00  </w:t>
            </w:r>
          </w:p>
        </w:tc>
        <w:tc>
          <w:tcPr/>
          <w:p>
            <w:r>
              <w:t>福建省境内</w:t>
            </w:r>
          </w:p>
        </w:tc>
        <w:tc>
          <w:tcPr/>
          <w:p>
            <w:r>
              <w:t>交货联系人：吴雪菲18850731087</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highlight w:val="none"/>
        </w:rPr>
      </w:pPr>
      <w:r>
        <w:rPr>
          <w:rFonts w:ascii="仿宋" w:eastAsia="仿宋" w:hAnsi="仿宋" w:cs="仿宋"/>
          <w:b/>
          <w:sz w:val="36"/>
          <w:szCs w:val="36"/>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highlight w:val="none"/>
        </w:rPr>
        <w:instrText>ADDIN CNKISM.UserStyle</w:instrText>
      </w:r>
      <w:r>
        <w:rPr>
          <w:rFonts w:ascii="仿宋" w:eastAsia="仿宋" w:hAnsi="仿宋" w:cs="仿宋"/>
          <w:b/>
          <w:sz w:val="36"/>
          <w:szCs w:val="36"/>
          <w:highlight w:val="none"/>
        </w:rPr>
        <w:fldChar w:fldCharType="separate"/>
      </w:r>
      <w:r>
        <w:rPr>
          <w:rFonts w:ascii="仿宋" w:eastAsia="仿宋" w:hAnsi="仿宋" w:cs="仿宋"/>
          <w:b/>
          <w:sz w:val="36"/>
          <w:szCs w:val="36"/>
          <w:highlight w:val="none"/>
        </w:rPr>
        <w:fldChar w:fldCharType="end"/>
      </w:r>
      <w:r>
        <w:rPr>
          <w:rFonts w:ascii="仿宋" w:eastAsia="仿宋" w:hAnsi="仿宋" w:cs="仿宋" w:hint="eastAsia"/>
          <w:b/>
          <w:sz w:val="36"/>
          <w:szCs w:val="36"/>
          <w:highlight w:val="none"/>
        </w:rPr>
        <w:t>采购需求（其他技术及商务需求）</w:t>
      </w:r>
    </w:p>
    <w:p>
      <w:pPr>
        <w:spacing w:line="560" w:lineRule="exact"/>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一、项目概况及总体要求</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福建省新建3部X波段天气雷达（每套雷达均含附属设备：</w:t>
      </w:r>
      <w:r>
        <w:rPr>
          <w:rFonts w:ascii="仿宋" w:eastAsia="仿宋" w:hAnsi="仿宋" w:hint="eastAsia"/>
          <w:sz w:val="28"/>
          <w:szCs w:val="28"/>
          <w:highlight w:val="none"/>
        </w:rPr>
        <w:t>UPS不间断电源、电站设备、通信辅助设备、防雷设施、随机备件及测试仪表</w:t>
      </w:r>
      <w:r>
        <w:rPr>
          <w:rFonts w:ascii="仿宋" w:eastAsia="仿宋" w:hAnsi="仿宋" w:cs="仿宋" w:hint="eastAsia"/>
          <w:sz w:val="28"/>
          <w:szCs w:val="20"/>
          <w:highlight w:val="none"/>
        </w:rPr>
        <w:t>），通过项目建设，提升灾害易发区复杂地形下距地1千米高度观测覆盖率，增强中小尺度强对流灾害性天气监测预警能力。</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二、售后服务要求</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中标方按照中国气象局有关要求提供服务，确保设备稳定运行，主要工作包括：日巡查、周维护、月维护及标校、汛前巡检及标校、年维护及标校、卫生清洁、防雷设施检测、消防设备检测、铁塔安全性检测等现场巡检巡查工作，以及自验收合格后8年的整机及雷达分系统质保服务等。</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按照中国气象局有关业务规范要求，在三级及以上气象应急响应期间，24小时全天候现场值守保障，并定期编制和上报雷达运行状态及故障处置报告。</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备品备件按质保总额的20%比例配置。设备厂家以履约保函等形式支付10%担保金额，后续逐年返还。此外，设备厂家应按照雷达维修保障要求配置整机备品备件，确保维修保障时效内配送至雷达站。</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备品备件、维护标校、故障维修和巡检巡查等各项要求按照《X波段天气雷达观测规范（试行）》、《X波段天气雷达标校业务规范（试行）》等文件要求执行。</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质保期服务提供相关承诺函。</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三、培训要求</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在采购方指定地点，中标方对相关技术人员进行不低于2人*5天</w:t>
      </w:r>
      <w:r>
        <w:rPr>
          <w:rFonts w:ascii="仿宋" w:eastAsia="仿宋" w:hAnsi="仿宋" w:cs="仿宋" w:hint="eastAsia"/>
          <w:sz w:val="28"/>
          <w:szCs w:val="28"/>
          <w:highlight w:val="none"/>
          <w:lang w:eastAsia="zh-CN"/>
        </w:rPr>
        <w:t>（</w:t>
      </w:r>
      <w:r>
        <w:rPr>
          <w:rFonts w:ascii="仿宋" w:eastAsia="仿宋" w:hAnsi="仿宋" w:cs="仿宋" w:hint="eastAsia"/>
          <w:sz w:val="28"/>
          <w:szCs w:val="28"/>
          <w:highlight w:val="none"/>
          <w:lang w:val="en-US" w:eastAsia="zh-CN"/>
        </w:rPr>
        <w:t>40课时</w:t>
      </w:r>
      <w:r>
        <w:rPr>
          <w:rFonts w:ascii="仿宋" w:eastAsia="仿宋" w:hAnsi="仿宋" w:cs="仿宋" w:hint="eastAsia"/>
          <w:sz w:val="28"/>
          <w:szCs w:val="28"/>
          <w:highlight w:val="none"/>
          <w:lang w:eastAsia="zh-CN"/>
        </w:rPr>
        <w:t>）</w:t>
      </w:r>
      <w:r>
        <w:rPr>
          <w:rFonts w:ascii="仿宋" w:eastAsia="仿宋" w:hAnsi="仿宋" w:cs="仿宋" w:hint="eastAsia"/>
          <w:sz w:val="28"/>
          <w:szCs w:val="28"/>
          <w:highlight w:val="none"/>
        </w:rPr>
        <w:t>的雷达使用培训和机务培训，使相关人员能够熟练掌握雷达基本操作、维护维修方法等，培训至少应包括以下内容：</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1）熟悉雷达系统工作原理；</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2）掌握雷达总体、各系统和配套设备的安装与布局位置；</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3）掌握雷达的结构和性能特点；</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4）在使用过程中，台站人员能熟练进行雷达操作；</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5）能完成雷达常见故障的判断；</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6）掌握雷达的日常维护、标定流程；</w:t>
      </w:r>
    </w:p>
    <w:p>
      <w:pPr>
        <w:spacing w:line="560" w:lineRule="exact"/>
        <w:ind w:firstLine="560" w:firstLineChars="200"/>
        <w:rPr>
          <w:rFonts w:ascii="仿宋" w:eastAsia="仿宋" w:hAnsi="仿宋" w:cs="仿宋"/>
          <w:sz w:val="28"/>
          <w:szCs w:val="28"/>
          <w:highlight w:val="none"/>
        </w:rPr>
      </w:pPr>
      <w:r>
        <w:rPr>
          <w:rFonts w:ascii="仿宋" w:eastAsia="仿宋" w:hAnsi="仿宋" w:cs="仿宋" w:hint="eastAsia"/>
          <w:sz w:val="28"/>
          <w:szCs w:val="28"/>
          <w:highlight w:val="none"/>
        </w:rPr>
        <w:t>7）具备雷达回波识别能力。</w:t>
      </w:r>
    </w:p>
    <w:p>
      <w:pPr>
        <w:ind w:firstLine="560" w:firstLineChars="200"/>
        <w:rPr>
          <w:rFonts w:ascii="仿宋" w:eastAsia="仿宋" w:hAnsi="仿宋" w:cs="仿宋"/>
          <w:sz w:val="28"/>
          <w:szCs w:val="20"/>
          <w:highlight w:val="none"/>
        </w:rPr>
      </w:pPr>
      <w:r>
        <w:rPr>
          <w:rFonts w:ascii="仿宋" w:eastAsia="仿宋" w:hAnsi="仿宋" w:cs="仿宋" w:hint="eastAsia"/>
          <w:sz w:val="28"/>
          <w:szCs w:val="28"/>
          <w:highlight w:val="none"/>
        </w:rPr>
        <w:t>8）掌握仪器仪表使用方法。</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四、交货要求及履约地点</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rPr>
        <w:t>中标供应商将所有设备运送至福建省</w:t>
      </w:r>
      <w:r>
        <w:rPr>
          <w:rFonts w:ascii="仿宋" w:eastAsia="仿宋" w:hAnsi="仿宋" w:cs="仿宋" w:hint="eastAsia"/>
          <w:sz w:val="28"/>
          <w:szCs w:val="20"/>
          <w:highlight w:val="none"/>
          <w:lang w:val="en-US" w:eastAsia="zh-CN"/>
        </w:rPr>
        <w:t>境内</w:t>
      </w:r>
      <w:r>
        <w:rPr>
          <w:rFonts w:ascii="仿宋" w:eastAsia="仿宋" w:hAnsi="仿宋" w:cs="仿宋" w:hint="eastAsia"/>
          <w:sz w:val="28"/>
          <w:szCs w:val="20"/>
          <w:highlight w:val="none"/>
        </w:rPr>
        <w:t>（运输相关费用由供应商负责），并负责安装调试。</w:t>
      </w:r>
    </w:p>
    <w:p>
      <w:pPr>
        <w:ind w:firstLine="560" w:firstLineChars="200"/>
        <w:rPr>
          <w:rFonts w:ascii="仿宋" w:eastAsia="仿宋" w:hAnsi="仿宋" w:cs="仿宋"/>
          <w:b/>
          <w:bCs/>
          <w:sz w:val="28"/>
          <w:szCs w:val="20"/>
          <w:highlight w:val="none"/>
        </w:rPr>
      </w:pPr>
      <w:r>
        <w:rPr>
          <w:rFonts w:ascii="仿宋" w:eastAsia="仿宋" w:hAnsi="仿宋" w:cs="仿宋" w:hint="eastAsia"/>
          <w:sz w:val="28"/>
          <w:szCs w:val="20"/>
          <w:highlight w:val="none"/>
        </w:rPr>
        <w:t>合同签订后210天内交货，交货后60天内完成安装调试并具备验收条件。</w:t>
      </w:r>
      <w:r>
        <w:rPr>
          <w:rFonts w:ascii="仿宋" w:eastAsia="仿宋" w:hAnsi="仿宋" w:cs="仿宋" w:hint="eastAsia"/>
          <w:sz w:val="28"/>
          <w:szCs w:val="20"/>
          <w:highlight w:val="none"/>
        </w:rPr>
        <w:br/>
      </w:r>
      <w:r>
        <w:rPr>
          <w:rFonts w:ascii="仿宋" w:eastAsia="仿宋" w:hAnsi="仿宋" w:cs="仿宋" w:hint="eastAsia"/>
          <w:b/>
          <w:bCs/>
          <w:sz w:val="28"/>
          <w:szCs w:val="20"/>
          <w:highlight w:val="none"/>
        </w:rPr>
        <w:t>五、服务团队要求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六、投标产品软件兼容性要求</w:t>
      </w:r>
    </w:p>
    <w:p>
      <w:pPr>
        <w:ind w:firstLine="560" w:firstLineChars="200"/>
        <w:rPr>
          <w:rFonts w:ascii="仿宋" w:eastAsia="仿宋" w:hAnsi="仿宋" w:cs="仿宋"/>
          <w:b/>
          <w:bCs/>
          <w:sz w:val="28"/>
          <w:szCs w:val="20"/>
          <w:highlight w:val="none"/>
        </w:rPr>
      </w:pPr>
      <w:r>
        <w:rPr>
          <w:rFonts w:ascii="仿宋" w:eastAsia="仿宋" w:hAnsi="仿宋" w:cs="仿宋" w:hint="eastAsia"/>
          <w:sz w:val="28"/>
          <w:szCs w:val="20"/>
          <w:highlight w:val="none"/>
        </w:rPr>
        <w:t>设备软件兼容性强，设备数据传输模式、数据格式、数据通讯协议满足国家局下发的《</w:t>
      </w:r>
      <w:r>
        <w:rPr>
          <w:rFonts w:ascii="仿宋" w:eastAsia="仿宋" w:hAnsi="仿宋" w:cs="仿宋"/>
          <w:sz w:val="28"/>
          <w:szCs w:val="20"/>
          <w:highlight w:val="none"/>
        </w:rPr>
        <w:t>X波段双线偏振多普勒天气雷达系统功能规格需求书（第二版）》（</w:t>
      </w:r>
      <w:r>
        <w:rPr>
          <w:rFonts w:ascii="仿宋" w:eastAsia="仿宋" w:hAnsi="仿宋" w:cs="仿宋" w:hint="eastAsia"/>
          <w:sz w:val="28"/>
          <w:szCs w:val="20"/>
          <w:highlight w:val="none"/>
        </w:rPr>
        <w:t>气测函〔</w:t>
      </w:r>
      <w:r>
        <w:rPr>
          <w:rFonts w:ascii="仿宋" w:eastAsia="仿宋" w:hAnsi="仿宋" w:cs="仿宋"/>
          <w:sz w:val="28"/>
          <w:szCs w:val="20"/>
          <w:highlight w:val="none"/>
        </w:rPr>
        <w:t>2025〕109号）</w:t>
      </w:r>
      <w:r>
        <w:rPr>
          <w:rFonts w:ascii="仿宋" w:eastAsia="仿宋" w:hAnsi="仿宋" w:cs="仿宋" w:hint="eastAsia"/>
          <w:sz w:val="28"/>
          <w:szCs w:val="20"/>
          <w:highlight w:val="none"/>
        </w:rPr>
        <w:t>，设备观测数据可以无缝接入气象大数据云平台（天擎）、</w:t>
      </w:r>
      <w:r>
        <w:rPr>
          <w:rFonts w:ascii="仿宋" w:eastAsia="仿宋" w:hAnsi="仿宋" w:cs="仿宋"/>
          <w:sz w:val="28"/>
          <w:szCs w:val="28"/>
          <w:highlight w:val="none"/>
        </w:rPr>
        <w:t>ROSE-X等软件</w:t>
      </w:r>
      <w:r>
        <w:rPr>
          <w:rFonts w:ascii="仿宋" w:eastAsia="仿宋" w:hAnsi="仿宋" w:cs="仿宋" w:hint="eastAsia"/>
          <w:sz w:val="28"/>
          <w:szCs w:val="28"/>
          <w:highlight w:val="none"/>
        </w:rPr>
        <w:t>或系统平台</w:t>
      </w:r>
      <w:r>
        <w:rPr>
          <w:rFonts w:ascii="仿宋" w:eastAsia="仿宋" w:hAnsi="仿宋" w:cs="仿宋" w:hint="eastAsia"/>
          <w:sz w:val="28"/>
          <w:szCs w:val="20"/>
          <w:highlight w:val="none"/>
        </w:rPr>
        <w:t>，完全符合甲方相关要求和规范，保证其系统的兼容性和功能的完整性。</w:t>
      </w:r>
      <w:r>
        <w:rPr>
          <w:rFonts w:ascii="仿宋" w:eastAsia="仿宋" w:hAnsi="仿宋" w:cs="仿宋" w:hint="eastAsia"/>
          <w:sz w:val="28"/>
          <w:szCs w:val="20"/>
          <w:highlight w:val="none"/>
        </w:rPr>
        <w:br/>
      </w:r>
      <w:r>
        <w:rPr>
          <w:rFonts w:ascii="仿宋" w:eastAsia="仿宋" w:hAnsi="仿宋" w:cs="仿宋" w:hint="eastAsia"/>
          <w:b/>
          <w:bCs/>
          <w:sz w:val="28"/>
          <w:szCs w:val="20"/>
          <w:highlight w:val="none"/>
        </w:rPr>
        <w:t>七、设备需求明细表</w:t>
      </w:r>
    </w:p>
    <w:p>
      <w:pPr>
        <w:ind w:firstLine="560" w:firstLineChars="200"/>
        <w:rPr>
          <w:rFonts w:ascii="仿宋" w:eastAsia="仿宋" w:hAnsi="仿宋" w:cs="仿宋"/>
          <w:color w:val="auto"/>
          <w:sz w:val="28"/>
          <w:szCs w:val="28"/>
          <w:highlight w:val="none"/>
        </w:rPr>
      </w:pPr>
      <w:r>
        <w:rPr>
          <w:rFonts w:ascii="仿宋" w:eastAsia="仿宋" w:hAnsi="仿宋" w:cs="仿宋" w:hint="eastAsia"/>
          <w:color w:val="auto"/>
          <w:sz w:val="28"/>
          <w:szCs w:val="28"/>
          <w:highlight w:val="none"/>
        </w:rPr>
        <w:t>采购的每套X波段天气雷达还需包含配套附属设备：UPS不间断电源、电站设备、通信辅助设备、防雷设施、随机备件及测试仪表。</w:t>
      </w:r>
    </w:p>
    <w:p>
      <w:pPr>
        <w:spacing w:line="560" w:lineRule="exact"/>
        <w:ind w:firstLine="0" w:firstLineChars="0"/>
        <w:jc w:val="center"/>
        <w:rPr>
          <w:rFonts w:ascii="仿宋" w:eastAsia="仿宋" w:hAnsi="仿宋" w:cs="仿宋_GB2312"/>
          <w:b/>
          <w:bCs/>
          <w:color w:val="000000" w:themeColor="text1"/>
          <w:szCs w:val="21"/>
          <w:highlight w:val="none"/>
        </w:rPr>
      </w:pPr>
      <w:r>
        <w:rPr>
          <w:rFonts w:ascii="仿宋" w:eastAsia="仿宋" w:hAnsi="仿宋" w:cs="仿宋_GB2312" w:hint="eastAsia"/>
          <w:b/>
          <w:bCs/>
          <w:color w:val="000000" w:themeColor="text1"/>
          <w:sz w:val="28"/>
          <w:szCs w:val="20"/>
          <w:highlight w:val="none"/>
        </w:rPr>
        <w:t>设备需求明细表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6"/>
        <w:gridCol w:w="992"/>
        <w:gridCol w:w="1918"/>
        <w:gridCol w:w="637"/>
        <w:gridCol w:w="1631"/>
        <w:gridCol w:w="1536"/>
        <w:gridCol w:w="117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0" w:type="auto"/>
          </w:tcPr>
          <w:p>
            <w:pPr>
              <w:rPr>
                <w:rFonts w:ascii="仿宋" w:eastAsia="仿宋" w:hAnsi="仿宋" w:cs="仿宋"/>
                <w:b/>
                <w:bCs/>
                <w:color w:val="000000" w:themeColor="text1"/>
                <w:highlight w:val="none"/>
              </w:rPr>
            </w:pPr>
            <w:r>
              <w:rPr>
                <w:rFonts w:ascii="仿宋" w:eastAsia="仿宋" w:hAnsi="仿宋" w:cs="仿宋" w:hint="eastAsia"/>
                <w:b/>
                <w:bCs/>
                <w:color w:val="000000" w:themeColor="text1"/>
                <w:sz w:val="24"/>
                <w:szCs w:val="24"/>
                <w:highlight w:val="none"/>
              </w:rPr>
              <w:t>序号</w:t>
            </w:r>
          </w:p>
        </w:tc>
        <w:tc>
          <w:tcPr>
            <w:tcW w:w="0" w:type="auto"/>
            <w:gridSpan w:val="2"/>
          </w:tcPr>
          <w:p>
            <w:pPr>
              <w:rPr>
                <w:rFonts w:ascii="仿宋" w:eastAsia="仿宋" w:hAnsi="仿宋" w:cs="仿宋"/>
                <w:b/>
                <w:bCs/>
                <w:color w:val="000000" w:themeColor="text1"/>
                <w:highlight w:val="none"/>
              </w:rPr>
            </w:pPr>
            <w:r>
              <w:rPr>
                <w:rFonts w:ascii="仿宋" w:eastAsia="仿宋" w:hAnsi="仿宋" w:cs="仿宋" w:hint="eastAsia"/>
                <w:b/>
                <w:bCs/>
                <w:color w:val="000000" w:themeColor="text1"/>
                <w:sz w:val="24"/>
                <w:szCs w:val="24"/>
                <w:highlight w:val="none"/>
              </w:rPr>
              <w:t>设备名称</w:t>
            </w:r>
          </w:p>
        </w:tc>
        <w:tc>
          <w:tcPr>
            <w:tcW w:w="0" w:type="auto"/>
          </w:tcPr>
          <w:p>
            <w:pPr>
              <w:rPr>
                <w:rFonts w:ascii="仿宋" w:eastAsia="仿宋" w:hAnsi="仿宋" w:cs="仿宋"/>
                <w:b/>
                <w:bCs/>
                <w:color w:val="000000" w:themeColor="text1"/>
                <w:highlight w:val="none"/>
              </w:rPr>
            </w:pPr>
            <w:r>
              <w:rPr>
                <w:rFonts w:ascii="仿宋" w:eastAsia="仿宋" w:hAnsi="仿宋" w:cs="仿宋" w:hint="eastAsia"/>
                <w:b/>
                <w:bCs/>
                <w:color w:val="000000" w:themeColor="text1"/>
                <w:sz w:val="24"/>
                <w:szCs w:val="24"/>
                <w:highlight w:val="none"/>
              </w:rPr>
              <w:t>数量</w:t>
            </w:r>
          </w:p>
        </w:tc>
        <w:tc>
          <w:tcPr>
            <w:tcW w:w="0" w:type="auto"/>
          </w:tcPr>
          <w:p>
            <w:pPr>
              <w:rPr>
                <w:rFonts w:ascii="仿宋" w:eastAsia="仿宋" w:hAnsi="仿宋" w:cs="仿宋"/>
                <w:b/>
                <w:bCs/>
                <w:color w:val="000000" w:themeColor="text1"/>
                <w:highlight w:val="none"/>
              </w:rPr>
            </w:pPr>
            <w:r>
              <w:rPr>
                <w:rFonts w:ascii="仿宋" w:eastAsia="仿宋" w:hAnsi="仿宋" w:cs="仿宋" w:hint="eastAsia"/>
                <w:b/>
                <w:bCs/>
                <w:color w:val="000000" w:themeColor="text1"/>
                <w:sz w:val="24"/>
                <w:szCs w:val="24"/>
                <w:highlight w:val="none"/>
              </w:rPr>
              <w:t>采购预算(元)</w:t>
            </w:r>
          </w:p>
        </w:tc>
        <w:tc>
          <w:tcPr>
            <w:tcW w:w="0" w:type="auto"/>
          </w:tcPr>
          <w:p>
            <w:pPr>
              <w:rPr>
                <w:rFonts w:ascii="仿宋" w:eastAsia="仿宋" w:hAnsi="仿宋" w:cs="仿宋"/>
                <w:b/>
                <w:bCs/>
                <w:color w:val="000000" w:themeColor="text1"/>
                <w:highlight w:val="none"/>
              </w:rPr>
            </w:pPr>
            <w:r>
              <w:rPr>
                <w:rFonts w:ascii="仿宋" w:eastAsia="仿宋" w:hAnsi="仿宋" w:cs="仿宋" w:hint="eastAsia"/>
                <w:b/>
                <w:bCs/>
                <w:color w:val="000000" w:themeColor="text1"/>
                <w:sz w:val="24"/>
                <w:szCs w:val="24"/>
                <w:highlight w:val="none"/>
              </w:rPr>
              <w:t>合计(元)</w:t>
            </w:r>
          </w:p>
        </w:tc>
        <w:tc>
          <w:tcPr>
            <w:tcW w:w="0" w:type="auto"/>
          </w:tcPr>
          <w:p>
            <w:pPr>
              <w:rPr>
                <w:rFonts w:ascii="仿宋" w:eastAsia="仿宋" w:hAnsi="仿宋" w:cs="仿宋"/>
                <w:b/>
                <w:bCs/>
                <w:color w:val="000000" w:themeColor="text1"/>
                <w:highlight w:val="none"/>
              </w:rPr>
            </w:pPr>
            <w:r>
              <w:rPr>
                <w:rFonts w:ascii="仿宋" w:eastAsia="仿宋" w:hAnsi="仿宋" w:cs="仿宋" w:hint="eastAsia"/>
                <w:b/>
                <w:bCs/>
                <w:color w:val="000000" w:themeColor="text1"/>
                <w:sz w:val="24"/>
                <w:szCs w:val="24"/>
                <w:highlight w:val="none"/>
              </w:rPr>
              <w:t>交货地点</w:t>
            </w:r>
          </w:p>
        </w:tc>
      </w:tr>
      <w:tr>
        <w:tblPrEx>
          <w:tblW w:w="0" w:type="auto"/>
          <w:tblInd w:w="0" w:type="dxa"/>
          <w:tblCellMar>
            <w:top w:w="0" w:type="dxa"/>
            <w:left w:w="108" w:type="dxa"/>
            <w:bottom w:w="0" w:type="dxa"/>
            <w:right w:w="108" w:type="dxa"/>
          </w:tblCellMar>
        </w:tblPrEx>
        <w:tc>
          <w:tcPr>
            <w:tcW w:w="0" w:type="auto"/>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1</w:t>
            </w:r>
          </w:p>
        </w:tc>
        <w:tc>
          <w:tcPr>
            <w:tcW w:w="0" w:type="auto"/>
            <w:gridSpan w:val="2"/>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kern w:val="0"/>
                <w:sz w:val="24"/>
                <w:szCs w:val="24"/>
                <w:highlight w:val="none"/>
              </w:rPr>
              <w:t>X波段天气雷达</w:t>
            </w:r>
          </w:p>
        </w:tc>
        <w:tc>
          <w:tcPr>
            <w:tcW w:w="0" w:type="auto"/>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w:t>
            </w:r>
          </w:p>
        </w:tc>
        <w:tc>
          <w:tcPr>
            <w:tcW w:w="0" w:type="auto"/>
          </w:tcPr>
          <w:p>
            <w:pPr>
              <w:rPr>
                <w:rFonts w:ascii="仿宋" w:eastAsia="仿宋" w:hAnsi="仿宋" w:cs="仿宋"/>
                <w:color w:val="000000" w:themeColor="text1"/>
                <w:highlight w:val="none"/>
              </w:rPr>
            </w:pPr>
            <w:r>
              <w:rPr>
                <w:rFonts w:ascii="仿宋" w:eastAsia="仿宋" w:hAnsi="仿宋" w:cs="仿宋"/>
                <w:color w:val="000000" w:themeColor="text1"/>
                <w:sz w:val="24"/>
                <w:szCs w:val="24"/>
                <w:highlight w:val="none"/>
              </w:rPr>
              <w:t>1</w:t>
            </w:r>
            <w:r>
              <w:rPr>
                <w:rFonts w:ascii="仿宋" w:eastAsia="仿宋" w:hAnsi="仿宋" w:cs="仿宋" w:hint="eastAsia"/>
                <w:color w:val="000000" w:themeColor="text1"/>
                <w:sz w:val="24"/>
                <w:szCs w:val="24"/>
                <w:highlight w:val="none"/>
                <w:lang w:val="en-US" w:eastAsia="zh-CN"/>
              </w:rPr>
              <w:t>062</w:t>
            </w:r>
            <w:r>
              <w:rPr>
                <w:rFonts w:ascii="仿宋" w:eastAsia="仿宋" w:hAnsi="仿宋" w:cs="仿宋" w:hint="eastAsia"/>
                <w:color w:val="000000" w:themeColor="text1"/>
                <w:sz w:val="24"/>
                <w:szCs w:val="24"/>
                <w:highlight w:val="none"/>
              </w:rPr>
              <w:t>0000.00</w:t>
            </w:r>
          </w:p>
        </w:tc>
        <w:tc>
          <w:tcPr>
            <w:tcW w:w="0" w:type="auto"/>
          </w:tcPr>
          <w:p>
            <w:pPr>
              <w:rPr>
                <w:rFonts w:ascii="仿宋" w:eastAsia="仿宋" w:hAnsi="仿宋" w:cs="仿宋"/>
                <w:color w:val="000000" w:themeColor="text1"/>
                <w:highlight w:val="none"/>
              </w:rPr>
            </w:pPr>
            <w:r>
              <w:rPr>
                <w:rFonts w:ascii="仿宋" w:eastAsia="仿宋" w:hAnsi="仿宋" w:cs="仿宋"/>
                <w:color w:val="000000" w:themeColor="text1"/>
                <w:sz w:val="24"/>
                <w:szCs w:val="24"/>
                <w:highlight w:val="none"/>
              </w:rPr>
              <w:t>1</w:t>
            </w:r>
            <w:r>
              <w:rPr>
                <w:rFonts w:ascii="仿宋" w:eastAsia="仿宋" w:hAnsi="仿宋" w:cs="仿宋" w:hint="eastAsia"/>
                <w:color w:val="000000" w:themeColor="text1"/>
                <w:sz w:val="24"/>
                <w:szCs w:val="24"/>
                <w:highlight w:val="none"/>
                <w:lang w:val="en-US" w:eastAsia="zh-CN"/>
              </w:rPr>
              <w:t>062</w:t>
            </w:r>
            <w:r>
              <w:rPr>
                <w:rFonts w:ascii="仿宋" w:eastAsia="仿宋" w:hAnsi="仿宋" w:cs="仿宋" w:hint="eastAsia"/>
                <w:color w:val="000000" w:themeColor="text1"/>
                <w:sz w:val="24"/>
                <w:szCs w:val="24"/>
                <w:highlight w:val="none"/>
              </w:rPr>
              <w:t>0000.00</w:t>
            </w:r>
          </w:p>
        </w:tc>
        <w:tc>
          <w:tcPr>
            <w:tcW w:w="0" w:type="auto"/>
          </w:tcPr>
          <w:p>
            <w:pPr>
              <w:rPr>
                <w:rFonts w:ascii="仿宋" w:eastAsia="仿宋" w:hAnsi="仿宋" w:cs="仿宋"/>
                <w:color w:val="000000" w:themeColor="text1"/>
                <w:highlight w:val="none"/>
              </w:rPr>
            </w:pPr>
            <w:r>
              <w:rPr>
                <w:rFonts w:ascii="仿宋" w:eastAsia="仿宋" w:hAnsi="仿宋" w:cs="仿宋" w:hint="eastAsia"/>
                <w:sz w:val="24"/>
                <w:szCs w:val="24"/>
                <w:highlight w:val="none"/>
              </w:rPr>
              <w:t>福建省</w:t>
            </w:r>
            <w:r>
              <w:rPr>
                <w:rFonts w:ascii="仿宋" w:eastAsia="仿宋" w:hAnsi="仿宋" w:cs="仿宋" w:hint="eastAsia"/>
                <w:sz w:val="24"/>
                <w:szCs w:val="24"/>
                <w:highlight w:val="none"/>
                <w:lang w:val="en-US" w:eastAsia="zh-CN"/>
              </w:rPr>
              <w:t>境内</w:t>
            </w:r>
          </w:p>
        </w:tc>
      </w:tr>
      <w:tr>
        <w:tblPrEx>
          <w:tblW w:w="0" w:type="auto"/>
          <w:tblInd w:w="0" w:type="dxa"/>
          <w:tblCellMar>
            <w:top w:w="0" w:type="dxa"/>
            <w:left w:w="108" w:type="dxa"/>
            <w:bottom w:w="0" w:type="dxa"/>
            <w:right w:w="108" w:type="dxa"/>
          </w:tblCellMar>
        </w:tblPrEx>
        <w:tc>
          <w:tcPr>
            <w:tcW w:w="0" w:type="auto"/>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2</w:t>
            </w:r>
          </w:p>
        </w:tc>
        <w:tc>
          <w:tcPr>
            <w:tcW w:w="0" w:type="auto"/>
            <w:vMerge w:val="restart"/>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附属设备</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UPS不间断电源</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300000.00</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300000.00</w:t>
            </w:r>
          </w:p>
        </w:tc>
        <w:tc>
          <w:tcPr>
            <w:tcW w:w="0" w:type="auto"/>
          </w:tcPr>
          <w:p>
            <w:pPr>
              <w:rPr>
                <w:rFonts w:ascii="仿宋" w:eastAsia="仿宋" w:hAnsi="仿宋" w:cs="仿宋"/>
                <w:color w:val="000000" w:themeColor="text1"/>
                <w:highlight w:val="none"/>
              </w:rPr>
            </w:pPr>
            <w:r>
              <w:rPr>
                <w:rFonts w:ascii="仿宋" w:eastAsia="仿宋" w:hAnsi="仿宋" w:cs="仿宋" w:hint="eastAsia"/>
                <w:sz w:val="24"/>
                <w:szCs w:val="24"/>
                <w:highlight w:val="none"/>
              </w:rPr>
              <w:t>福建省</w:t>
            </w:r>
            <w:r>
              <w:rPr>
                <w:rFonts w:ascii="仿宋" w:eastAsia="仿宋" w:hAnsi="仿宋" w:cs="仿宋" w:hint="eastAsia"/>
                <w:sz w:val="24"/>
                <w:szCs w:val="24"/>
                <w:highlight w:val="none"/>
                <w:lang w:val="en-US" w:eastAsia="zh-CN"/>
              </w:rPr>
              <w:t>境内</w:t>
            </w:r>
          </w:p>
        </w:tc>
      </w:tr>
      <w:tr>
        <w:tblPrEx>
          <w:tblW w:w="0" w:type="auto"/>
          <w:tblInd w:w="0" w:type="dxa"/>
          <w:tblCellMar>
            <w:top w:w="0" w:type="dxa"/>
            <w:left w:w="108" w:type="dxa"/>
            <w:bottom w:w="0" w:type="dxa"/>
            <w:right w:w="108" w:type="dxa"/>
          </w:tblCellMar>
        </w:tblPrEx>
        <w:tc>
          <w:tcPr>
            <w:tcW w:w="0" w:type="auto"/>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w:t>
            </w:r>
          </w:p>
        </w:tc>
        <w:tc>
          <w:tcPr>
            <w:tcW w:w="0" w:type="auto"/>
            <w:vMerge/>
            <w:vAlign w:val="center"/>
          </w:tcPr>
          <w:p>
            <w:pPr>
              <w:rPr>
                <w:rFonts w:ascii="仿宋" w:eastAsia="仿宋" w:hAnsi="仿宋" w:cs="仿宋"/>
                <w:color w:val="000000" w:themeColor="text1"/>
                <w:highlight w:val="none"/>
              </w:rPr>
            </w:pP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电站设备</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300000.00</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300000.00</w:t>
            </w:r>
          </w:p>
        </w:tc>
        <w:tc>
          <w:tcPr>
            <w:tcW w:w="0" w:type="auto"/>
          </w:tcPr>
          <w:p>
            <w:pPr>
              <w:rPr>
                <w:rFonts w:ascii="仿宋" w:eastAsia="仿宋" w:hAnsi="仿宋" w:cs="仿宋"/>
                <w:color w:val="000000" w:themeColor="text1"/>
                <w:highlight w:val="none"/>
              </w:rPr>
            </w:pPr>
            <w:r>
              <w:rPr>
                <w:rFonts w:ascii="仿宋" w:eastAsia="仿宋" w:hAnsi="仿宋" w:cs="仿宋" w:hint="eastAsia"/>
                <w:sz w:val="24"/>
                <w:szCs w:val="24"/>
                <w:highlight w:val="none"/>
              </w:rPr>
              <w:t>福建省</w:t>
            </w:r>
            <w:r>
              <w:rPr>
                <w:rFonts w:ascii="仿宋" w:eastAsia="仿宋" w:hAnsi="仿宋" w:cs="仿宋" w:hint="eastAsia"/>
                <w:sz w:val="24"/>
                <w:szCs w:val="24"/>
                <w:highlight w:val="none"/>
                <w:lang w:val="en-US" w:eastAsia="zh-CN"/>
              </w:rPr>
              <w:t>境内</w:t>
            </w:r>
          </w:p>
        </w:tc>
      </w:tr>
      <w:tr>
        <w:tblPrEx>
          <w:tblW w:w="0" w:type="auto"/>
          <w:tblInd w:w="0" w:type="dxa"/>
          <w:tblCellMar>
            <w:top w:w="0" w:type="dxa"/>
            <w:left w:w="108" w:type="dxa"/>
            <w:bottom w:w="0" w:type="dxa"/>
            <w:right w:w="108" w:type="dxa"/>
          </w:tblCellMar>
        </w:tblPrEx>
        <w:tc>
          <w:tcPr>
            <w:tcW w:w="0" w:type="auto"/>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4</w:t>
            </w:r>
          </w:p>
        </w:tc>
        <w:tc>
          <w:tcPr>
            <w:tcW w:w="0" w:type="auto"/>
            <w:vMerge/>
            <w:vAlign w:val="center"/>
          </w:tcPr>
          <w:p>
            <w:pPr>
              <w:rPr>
                <w:rFonts w:ascii="仿宋" w:eastAsia="仿宋" w:hAnsi="仿宋" w:cs="仿宋"/>
                <w:color w:val="000000" w:themeColor="text1"/>
                <w:highlight w:val="none"/>
              </w:rPr>
            </w:pP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通信辅助设备</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300000.00</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300000.00</w:t>
            </w:r>
          </w:p>
        </w:tc>
        <w:tc>
          <w:tcPr>
            <w:tcW w:w="0" w:type="auto"/>
          </w:tcPr>
          <w:p>
            <w:pPr>
              <w:rPr>
                <w:rFonts w:ascii="仿宋" w:eastAsia="仿宋" w:hAnsi="仿宋" w:cs="仿宋"/>
                <w:color w:val="000000" w:themeColor="text1"/>
                <w:highlight w:val="none"/>
              </w:rPr>
            </w:pPr>
            <w:r>
              <w:rPr>
                <w:rFonts w:ascii="仿宋" w:eastAsia="仿宋" w:hAnsi="仿宋" w:cs="仿宋" w:hint="eastAsia"/>
                <w:sz w:val="24"/>
                <w:szCs w:val="24"/>
                <w:highlight w:val="none"/>
              </w:rPr>
              <w:t>福建省</w:t>
            </w:r>
            <w:r>
              <w:rPr>
                <w:rFonts w:ascii="仿宋" w:eastAsia="仿宋" w:hAnsi="仿宋" w:cs="仿宋" w:hint="eastAsia"/>
                <w:sz w:val="24"/>
                <w:szCs w:val="24"/>
                <w:highlight w:val="none"/>
                <w:lang w:val="en-US" w:eastAsia="zh-CN"/>
              </w:rPr>
              <w:t>境内</w:t>
            </w:r>
          </w:p>
        </w:tc>
      </w:tr>
      <w:tr>
        <w:tblPrEx>
          <w:tblW w:w="0" w:type="auto"/>
          <w:tblInd w:w="0" w:type="dxa"/>
          <w:tblCellMar>
            <w:top w:w="0" w:type="dxa"/>
            <w:left w:w="108" w:type="dxa"/>
            <w:bottom w:w="0" w:type="dxa"/>
            <w:right w:w="108" w:type="dxa"/>
          </w:tblCellMar>
        </w:tblPrEx>
        <w:tc>
          <w:tcPr>
            <w:tcW w:w="0" w:type="auto"/>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6</w:t>
            </w:r>
          </w:p>
        </w:tc>
        <w:tc>
          <w:tcPr>
            <w:tcW w:w="0" w:type="auto"/>
            <w:vMerge/>
            <w:vAlign w:val="center"/>
          </w:tcPr>
          <w:p>
            <w:pPr>
              <w:rPr>
                <w:rFonts w:ascii="仿宋" w:eastAsia="仿宋" w:hAnsi="仿宋" w:cs="仿宋"/>
                <w:color w:val="000000" w:themeColor="text1"/>
                <w:highlight w:val="none"/>
              </w:rPr>
            </w:pP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防雷设施</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300000.00</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300000.00</w:t>
            </w:r>
          </w:p>
        </w:tc>
        <w:tc>
          <w:tcPr>
            <w:tcW w:w="0" w:type="auto"/>
          </w:tcPr>
          <w:p>
            <w:pPr>
              <w:rPr>
                <w:rFonts w:ascii="仿宋" w:eastAsia="仿宋" w:hAnsi="仿宋" w:cs="仿宋"/>
                <w:color w:val="000000" w:themeColor="text1"/>
                <w:highlight w:val="none"/>
              </w:rPr>
            </w:pPr>
            <w:r>
              <w:rPr>
                <w:rFonts w:ascii="仿宋" w:eastAsia="仿宋" w:hAnsi="仿宋" w:cs="仿宋" w:hint="eastAsia"/>
                <w:sz w:val="24"/>
                <w:szCs w:val="24"/>
                <w:highlight w:val="none"/>
              </w:rPr>
              <w:t>福建省</w:t>
            </w:r>
            <w:r>
              <w:rPr>
                <w:rFonts w:ascii="仿宋" w:eastAsia="仿宋" w:hAnsi="仿宋" w:cs="仿宋" w:hint="eastAsia"/>
                <w:sz w:val="24"/>
                <w:szCs w:val="24"/>
                <w:highlight w:val="none"/>
                <w:lang w:val="en-US" w:eastAsia="zh-CN"/>
              </w:rPr>
              <w:t>境内</w:t>
            </w:r>
          </w:p>
        </w:tc>
      </w:tr>
      <w:tr>
        <w:tblPrEx>
          <w:tblW w:w="0" w:type="auto"/>
          <w:tblInd w:w="0" w:type="dxa"/>
          <w:tblCellMar>
            <w:top w:w="0" w:type="dxa"/>
            <w:left w:w="108" w:type="dxa"/>
            <w:bottom w:w="0" w:type="dxa"/>
            <w:right w:w="108" w:type="dxa"/>
          </w:tblCellMar>
        </w:tblPrEx>
        <w:tc>
          <w:tcPr>
            <w:tcW w:w="0" w:type="auto"/>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7</w:t>
            </w:r>
          </w:p>
        </w:tc>
        <w:tc>
          <w:tcPr>
            <w:tcW w:w="0" w:type="auto"/>
            <w:vMerge/>
            <w:vAlign w:val="center"/>
          </w:tcPr>
          <w:p>
            <w:pPr>
              <w:rPr>
                <w:rFonts w:ascii="仿宋" w:eastAsia="仿宋" w:hAnsi="仿宋" w:cs="仿宋"/>
                <w:color w:val="000000" w:themeColor="text1"/>
                <w:highlight w:val="none"/>
              </w:rPr>
            </w:pP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随机备件及测试仪表</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3</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480000.00</w:t>
            </w:r>
          </w:p>
        </w:tc>
        <w:tc>
          <w:tcPr>
            <w:tcW w:w="0" w:type="auto"/>
            <w:vAlign w:val="center"/>
          </w:tcPr>
          <w:p>
            <w:pPr>
              <w:rPr>
                <w:rFonts w:ascii="仿宋" w:eastAsia="仿宋" w:hAnsi="仿宋" w:cs="仿宋"/>
                <w:color w:val="000000" w:themeColor="text1"/>
                <w:highlight w:val="none"/>
              </w:rPr>
            </w:pPr>
            <w:r>
              <w:rPr>
                <w:rFonts w:ascii="仿宋" w:eastAsia="仿宋" w:hAnsi="仿宋" w:cs="仿宋" w:hint="eastAsia"/>
                <w:color w:val="000000" w:themeColor="text1"/>
                <w:sz w:val="24"/>
                <w:szCs w:val="24"/>
                <w:highlight w:val="none"/>
              </w:rPr>
              <w:t>480000.00</w:t>
            </w:r>
          </w:p>
        </w:tc>
        <w:tc>
          <w:tcPr>
            <w:tcW w:w="0" w:type="auto"/>
          </w:tcPr>
          <w:p>
            <w:pPr>
              <w:rPr>
                <w:rFonts w:ascii="仿宋" w:eastAsia="仿宋" w:hAnsi="仿宋" w:cs="仿宋"/>
                <w:color w:val="000000" w:themeColor="text1"/>
                <w:highlight w:val="none"/>
              </w:rPr>
            </w:pPr>
            <w:r>
              <w:rPr>
                <w:rFonts w:ascii="仿宋" w:eastAsia="仿宋" w:hAnsi="仿宋" w:cs="仿宋" w:hint="eastAsia"/>
                <w:sz w:val="24"/>
                <w:szCs w:val="24"/>
                <w:highlight w:val="none"/>
              </w:rPr>
              <w:t>福建省</w:t>
            </w:r>
            <w:r>
              <w:rPr>
                <w:rFonts w:ascii="仿宋" w:eastAsia="仿宋" w:hAnsi="仿宋" w:cs="仿宋" w:hint="eastAsia"/>
                <w:sz w:val="24"/>
                <w:szCs w:val="24"/>
                <w:highlight w:val="none"/>
                <w:lang w:val="en-US" w:eastAsia="zh-CN"/>
              </w:rPr>
              <w:t>境内</w:t>
            </w:r>
          </w:p>
        </w:tc>
      </w:tr>
    </w:tbl>
    <w:p>
      <w:pPr>
        <w:ind w:firstLine="560" w:firstLineChars="200"/>
        <w:rPr>
          <w:rFonts w:ascii="仿宋" w:eastAsia="仿宋" w:hAnsi="仿宋" w:cs="仿宋" w:hint="eastAsia"/>
          <w:b/>
          <w:bCs/>
          <w:sz w:val="28"/>
          <w:szCs w:val="20"/>
          <w:highlight w:val="none"/>
        </w:rPr>
      </w:pPr>
      <w:r>
        <w:rPr>
          <w:rFonts w:ascii="仿宋" w:eastAsia="仿宋" w:hAnsi="仿宋" w:cs="仿宋" w:hint="eastAsia"/>
          <w:b/>
          <w:bCs/>
          <w:sz w:val="28"/>
          <w:szCs w:val="20"/>
          <w:highlight w:val="none"/>
        </w:rPr>
        <w:t>八、验收</w:t>
      </w:r>
    </w:p>
    <w:p>
      <w:pPr>
        <w:spacing w:line="560" w:lineRule="exact"/>
        <w:ind w:firstLine="560" w:firstLineChars="200"/>
        <w:rPr>
          <w:rFonts w:ascii="仿宋" w:eastAsia="仿宋" w:hAnsi="仿宋" w:cs="仿宋"/>
          <w:sz w:val="28"/>
          <w:szCs w:val="28"/>
          <w:highlight w:val="none"/>
        </w:rPr>
      </w:pPr>
      <w:bookmarkStart w:id="69" w:name="_Hlk168594784"/>
      <w:r>
        <w:rPr>
          <w:rFonts w:ascii="仿宋" w:eastAsia="仿宋" w:hAnsi="仿宋" w:cs="仿宋" w:hint="eastAsia"/>
          <w:sz w:val="28"/>
          <w:szCs w:val="28"/>
          <w:highlight w:val="none"/>
        </w:rPr>
        <w:t>参照可行性研究报告、合同、《X波段双线偏振多普勒天气雷达测试大纲（第二版）》（气测函〔2025〕109号）、《气象监测预警补短板工程X波段天气雷达现场验收规定（试行）》等文件的要求开展检验考核。</w:t>
      </w:r>
    </w:p>
    <w:bookmarkEnd w:id="69"/>
    <w:p>
      <w:pPr>
        <w:spacing w:line="480" w:lineRule="exact"/>
        <w:ind w:firstLine="560" w:firstLineChars="200"/>
        <w:rPr>
          <w:rFonts w:ascii="仿宋" w:eastAsia="仿宋" w:hAnsi="仿宋"/>
          <w:color w:val="000000" w:themeColor="text1"/>
          <w:kern w:val="20"/>
          <w:sz w:val="28"/>
          <w:szCs w:val="28"/>
          <w:highlight w:val="none"/>
          <w:lang w:val="zh-CN"/>
        </w:rPr>
      </w:pPr>
      <w:r>
        <w:rPr>
          <w:rFonts w:ascii="仿宋" w:eastAsia="仿宋" w:hAnsi="仿宋"/>
          <w:color w:val="000000" w:themeColor="text1"/>
          <w:kern w:val="20"/>
          <w:sz w:val="28"/>
          <w:szCs w:val="28"/>
          <w:highlight w:val="none"/>
          <w:lang w:val="zh-CN"/>
        </w:rPr>
        <w:t>1、</w:t>
      </w:r>
      <w:r>
        <w:rPr>
          <w:rFonts w:ascii="仿宋" w:eastAsia="仿宋" w:hAnsi="仿宋" w:hint="eastAsia"/>
          <w:color w:val="000000" w:themeColor="text1"/>
          <w:kern w:val="20"/>
          <w:sz w:val="28"/>
          <w:szCs w:val="28"/>
          <w:highlight w:val="none"/>
        </w:rPr>
        <w:t>出厂验收：验收</w:t>
      </w:r>
      <w:r>
        <w:rPr>
          <w:rFonts w:ascii="仿宋" w:eastAsia="仿宋" w:hAnsi="仿宋" w:hint="eastAsia"/>
          <w:color w:val="000000" w:themeColor="text1"/>
          <w:kern w:val="20"/>
          <w:sz w:val="28"/>
          <w:szCs w:val="28"/>
          <w:highlight w:val="none"/>
          <w:lang w:val="zh-CN"/>
        </w:rPr>
        <w:t>期间中标方必须在招标方代表参加的情况下，在工厂环境里验证相关的硬件和软件能够完全正确运行和满足验收方案要求和技术指标，并形成出厂测试报告及核心部件标定报告。如果未能通过出厂验收测试，验收将延期重新进行，由此增加的一切费用由中标方承担。出厂测试验收时，中标方应提供</w:t>
      </w:r>
      <w:r>
        <w:rPr>
          <w:rFonts w:ascii="仿宋" w:eastAsia="仿宋" w:hAnsi="仿宋"/>
          <w:color w:val="000000" w:themeColor="text1"/>
          <w:kern w:val="20"/>
          <w:sz w:val="28"/>
          <w:szCs w:val="28"/>
          <w:highlight w:val="none"/>
          <w:lang w:val="zh-CN"/>
        </w:rPr>
        <w:t>X</w:t>
      </w:r>
      <w:r>
        <w:rPr>
          <w:rFonts w:ascii="仿宋" w:eastAsia="仿宋" w:hAnsi="仿宋" w:hint="eastAsia"/>
          <w:color w:val="000000" w:themeColor="text1"/>
          <w:kern w:val="20"/>
          <w:sz w:val="28"/>
          <w:szCs w:val="28"/>
          <w:highlight w:val="none"/>
          <w:lang w:val="zh-CN"/>
        </w:rPr>
        <w:t>波段双线偏振多普勒天气雷达、配套软件详细的技术文档，包括技术说明书和使用说明书等各</w:t>
      </w:r>
      <w:r>
        <w:rPr>
          <w:rFonts w:ascii="仿宋" w:eastAsia="仿宋" w:hAnsi="仿宋"/>
          <w:color w:val="000000" w:themeColor="text1"/>
          <w:kern w:val="20"/>
          <w:sz w:val="28"/>
          <w:szCs w:val="28"/>
          <w:highlight w:val="none"/>
          <w:lang w:val="zh-CN"/>
        </w:rPr>
        <w:t>1份。</w:t>
      </w:r>
    </w:p>
    <w:p>
      <w:pPr>
        <w:spacing w:line="480" w:lineRule="exact"/>
        <w:ind w:firstLine="560" w:firstLineChars="200"/>
        <w:rPr>
          <w:rFonts w:ascii="仿宋" w:eastAsia="仿宋" w:hAnsi="仿宋"/>
          <w:color w:val="000000" w:themeColor="text1"/>
          <w:kern w:val="20"/>
          <w:sz w:val="28"/>
          <w:szCs w:val="28"/>
          <w:highlight w:val="none"/>
          <w:lang w:val="zh-CN"/>
        </w:rPr>
      </w:pPr>
      <w:r>
        <w:rPr>
          <w:rFonts w:ascii="仿宋" w:eastAsia="仿宋" w:hAnsi="仿宋"/>
          <w:color w:val="000000" w:themeColor="text1"/>
          <w:kern w:val="20"/>
          <w:sz w:val="28"/>
          <w:szCs w:val="28"/>
          <w:highlight w:val="none"/>
          <w:lang w:val="zh-CN"/>
        </w:rPr>
        <w:t>2、</w:t>
      </w:r>
      <w:r>
        <w:rPr>
          <w:rFonts w:ascii="仿宋" w:eastAsia="仿宋" w:hAnsi="仿宋" w:hint="eastAsia"/>
          <w:color w:val="000000" w:themeColor="text1"/>
          <w:kern w:val="20"/>
          <w:sz w:val="28"/>
          <w:szCs w:val="28"/>
          <w:highlight w:val="none"/>
        </w:rPr>
        <w:t>现场验收：</w:t>
      </w:r>
      <w:r>
        <w:rPr>
          <w:rFonts w:ascii="仿宋" w:eastAsia="仿宋" w:hAnsi="仿宋" w:hint="eastAsia"/>
          <w:color w:val="000000" w:themeColor="text1"/>
          <w:kern w:val="20"/>
          <w:sz w:val="28"/>
          <w:szCs w:val="28"/>
          <w:highlight w:val="none"/>
          <w:lang w:val="zh-CN"/>
        </w:rPr>
        <w:t>现场测试验收应在中标方指定的建设场地对设备和软件进行调试后，经过一定时间的试运行，在招标方代表参加的情况下，依据验收方案中相关要求和技术指标对</w:t>
      </w:r>
      <w:r>
        <w:rPr>
          <w:rFonts w:ascii="仿宋" w:eastAsia="仿宋" w:hAnsi="仿宋"/>
          <w:color w:val="000000" w:themeColor="text1"/>
          <w:kern w:val="20"/>
          <w:sz w:val="28"/>
          <w:szCs w:val="28"/>
          <w:highlight w:val="none"/>
          <w:lang w:val="zh-CN"/>
        </w:rPr>
        <w:t>X</w:t>
      </w:r>
      <w:r>
        <w:rPr>
          <w:rFonts w:ascii="仿宋" w:eastAsia="仿宋" w:hAnsi="仿宋" w:hint="eastAsia"/>
          <w:color w:val="000000" w:themeColor="text1"/>
          <w:kern w:val="20"/>
          <w:sz w:val="28"/>
          <w:szCs w:val="28"/>
          <w:highlight w:val="none"/>
          <w:lang w:val="zh-CN"/>
        </w:rPr>
        <w:t>波段双线偏振多普勒天气雷达、配套软件进行现场测试验收并形成报告。如果未能通过现场测试验收，验收将延期重新进行，由此增加的一切费用由中标方承担。</w:t>
      </w:r>
    </w:p>
    <w:p>
      <w:pPr>
        <w:spacing w:line="480" w:lineRule="exact"/>
        <w:ind w:firstLine="560" w:firstLineChars="200"/>
        <w:rPr>
          <w:rFonts w:ascii="仿宋" w:eastAsia="仿宋" w:hAnsi="仿宋"/>
          <w:color w:val="000000" w:themeColor="text1"/>
          <w:kern w:val="20"/>
          <w:sz w:val="28"/>
          <w:szCs w:val="28"/>
          <w:highlight w:val="none"/>
          <w:lang w:val="zh-CN"/>
        </w:rPr>
      </w:pPr>
      <w:r>
        <w:rPr>
          <w:rFonts w:ascii="仿宋" w:eastAsia="仿宋" w:hAnsi="仿宋"/>
          <w:color w:val="000000" w:themeColor="text1"/>
          <w:kern w:val="20"/>
          <w:sz w:val="28"/>
          <w:szCs w:val="28"/>
          <w:highlight w:val="none"/>
          <w:lang w:val="zh-CN"/>
        </w:rPr>
        <w:t>3、合同验收：项目建设在合同任务完成后，采购人组织中标人</w:t>
      </w:r>
      <w:r>
        <w:rPr>
          <w:rFonts w:ascii="仿宋" w:eastAsia="仿宋" w:hAnsi="仿宋" w:hint="eastAsia"/>
          <w:color w:val="000000" w:themeColor="text1"/>
          <w:kern w:val="20"/>
          <w:sz w:val="28"/>
          <w:szCs w:val="28"/>
          <w:highlight w:val="none"/>
          <w:lang w:val="zh-CN"/>
        </w:rPr>
        <w:t>进行合同验收。</w:t>
      </w:r>
    </w:p>
    <w:p>
      <w:pPr>
        <w:ind w:firstLine="560" w:firstLineChars="200"/>
        <w:rPr>
          <w:rFonts w:ascii="仿宋" w:eastAsia="仿宋" w:hAnsi="仿宋"/>
          <w:color w:val="000000" w:themeColor="text1"/>
          <w:kern w:val="20"/>
          <w:sz w:val="28"/>
          <w:szCs w:val="28"/>
          <w:highlight w:val="none"/>
          <w:lang w:val="zh-CN"/>
        </w:rPr>
      </w:pPr>
      <w:r>
        <w:rPr>
          <w:rFonts w:ascii="仿宋" w:eastAsia="仿宋" w:hAnsi="仿宋"/>
          <w:color w:val="000000" w:themeColor="text1"/>
          <w:kern w:val="20"/>
          <w:sz w:val="28"/>
          <w:szCs w:val="28"/>
          <w:highlight w:val="none"/>
          <w:lang w:val="zh-CN"/>
        </w:rPr>
        <w:t>4、试运行验收：项目建设完成后需进行项目试运行，试运行结束后提交试运</w:t>
      </w:r>
      <w:r>
        <w:rPr>
          <w:rFonts w:ascii="仿宋" w:eastAsia="仿宋" w:hAnsi="仿宋" w:hint="eastAsia"/>
          <w:color w:val="000000" w:themeColor="text1"/>
          <w:kern w:val="20"/>
          <w:sz w:val="28"/>
          <w:szCs w:val="28"/>
          <w:highlight w:val="none"/>
          <w:lang w:val="zh-CN"/>
        </w:rPr>
        <w:t>行报告。</w:t>
      </w:r>
    </w:p>
    <w:p>
      <w:pPr>
        <w:ind w:firstLine="560" w:firstLineChars="200"/>
        <w:rPr>
          <w:rFonts w:ascii="仿宋" w:eastAsia="仿宋" w:hAnsi="仿宋" w:cs="仿宋"/>
          <w:color w:val="000000" w:themeColor="text1"/>
          <w:sz w:val="28"/>
          <w:szCs w:val="20"/>
          <w:highlight w:val="none"/>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7E32B0">
      <w:pPr>
        <w:tabs>
          <w:tab w:val="left" w:pos="1573"/>
        </w:tabs>
        <w:adjustRightInd w:val="0"/>
        <w:snapToGrid w:val="0"/>
        <w:spacing w:line="360" w:lineRule="auto"/>
        <w:jc w:val="center"/>
        <w:outlineLvl w:val="1"/>
        <w:rPr>
          <w:b/>
          <w:bCs/>
          <w:sz w:val="30"/>
          <w:szCs w:val="30"/>
        </w:rPr>
      </w:pPr>
      <w:bookmarkStart w:id="70"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7E32B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C9199A">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775DC" w:rsidRPr="004775DC" w:rsidP="004775DC">
            <w:pPr>
              <w:rPr>
                <w:sz w:val="18"/>
                <w:szCs w:val="18"/>
              </w:rPr>
            </w:pPr>
            <w:r w:rsidRPr="004775DC">
              <w:rPr>
                <w:rFonts w:hint="eastAsia"/>
                <w:sz w:val="18"/>
                <w:szCs w:val="18"/>
              </w:rPr>
              <w:t>序号</w:t>
            </w:r>
          </w:p>
        </w:tc>
        <w:tc>
          <w:tcPr>
            <w:tcW w:w="898" w:type="dxa"/>
            <w:vAlign w:val="center"/>
          </w:tcPr>
          <w:p w:rsidR="004775DC" w:rsidRPr="004775DC" w:rsidP="004775DC">
            <w:pPr>
              <w:jc w:val="center"/>
              <w:rPr>
                <w:sz w:val="18"/>
                <w:szCs w:val="18"/>
              </w:rPr>
            </w:pPr>
            <w:r w:rsidRPr="004775DC">
              <w:rPr>
                <w:rFonts w:hint="eastAsia"/>
                <w:sz w:val="18"/>
                <w:szCs w:val="18"/>
              </w:rPr>
              <w:t>对应</w:t>
            </w:r>
          </w:p>
          <w:p w:rsidR="004775DC" w:rsidRPr="004775DC" w:rsidP="004775DC">
            <w:pPr>
              <w:jc w:val="center"/>
              <w:rPr>
                <w:sz w:val="18"/>
                <w:szCs w:val="18"/>
              </w:rPr>
            </w:pPr>
            <w:r w:rsidRPr="004775DC">
              <w:rPr>
                <w:rFonts w:hint="eastAsia"/>
                <w:sz w:val="18"/>
                <w:szCs w:val="18"/>
              </w:rPr>
              <w:t>条款号</w:t>
            </w:r>
          </w:p>
        </w:tc>
        <w:tc>
          <w:tcPr>
            <w:tcW w:w="7347" w:type="dxa"/>
            <w:vAlign w:val="center"/>
          </w:tcPr>
          <w:p w:rsidR="004775DC" w:rsidRPr="004775DC" w:rsidP="004775DC">
            <w:pPr>
              <w:jc w:val="center"/>
              <w:rPr>
                <w:sz w:val="18"/>
                <w:szCs w:val="18"/>
              </w:rPr>
            </w:pPr>
            <w:r w:rsidRPr="004775DC">
              <w:rPr>
                <w:rFonts w:hint="eastAsia"/>
                <w:sz w:val="18"/>
                <w:szCs w:val="18"/>
              </w:rPr>
              <w:t>内</w:t>
            </w:r>
            <w:r w:rsidRPr="004775DC">
              <w:rPr>
                <w:rFonts w:hint="eastAsia"/>
                <w:sz w:val="18"/>
                <w:szCs w:val="18"/>
              </w:rPr>
              <w:t xml:space="preserve"> </w:t>
            </w:r>
            <w:r w:rsidRPr="004775DC">
              <w:rPr>
                <w:rFonts w:hint="eastAsia"/>
                <w:sz w:val="18"/>
                <w:szCs w:val="18"/>
              </w:rPr>
              <w:t>容</w:t>
            </w:r>
          </w:p>
        </w:tc>
      </w:tr>
      <w:tr w:rsidTr="00C9199A">
        <w:tblPrEx>
          <w:tblW w:w="8789" w:type="dxa"/>
          <w:tblLayout w:type="fixed"/>
          <w:tblLook w:val="04A0"/>
        </w:tblPrEx>
        <w:trPr>
          <w:cantSplit/>
        </w:trPr>
        <w:tc>
          <w:tcPr>
            <w:tcW w:w="8789" w:type="dxa"/>
            <w:gridSpan w:val="3"/>
            <w:vAlign w:val="center"/>
          </w:tcPr>
          <w:p w:rsidR="004775DC" w:rsidRPr="004775DC" w:rsidP="004775DC">
            <w:pPr>
              <w:jc w:val="center"/>
              <w:rPr>
                <w:b/>
                <w:sz w:val="18"/>
                <w:szCs w:val="18"/>
              </w:rPr>
            </w:pPr>
            <w:r w:rsidRPr="004775DC">
              <w:rPr>
                <w:rFonts w:hint="eastAsia"/>
                <w:b/>
                <w:sz w:val="18"/>
                <w:szCs w:val="18"/>
              </w:rPr>
              <w:t>第五章</w:t>
            </w:r>
            <w:r w:rsidRPr="004775DC">
              <w:rPr>
                <w:rFonts w:hint="eastAsia"/>
                <w:b/>
                <w:sz w:val="18"/>
                <w:szCs w:val="18"/>
              </w:rPr>
              <w:t xml:space="preserve"> </w:t>
            </w:r>
            <w:r w:rsidRPr="004775DC">
              <w:rPr>
                <w:rFonts w:hint="eastAsia"/>
                <w:b/>
                <w:sz w:val="18"/>
                <w:szCs w:val="18"/>
              </w:rPr>
              <w:t>投标人须知专用部分</w:t>
            </w:r>
          </w:p>
        </w:tc>
      </w:tr>
      <w:tr w:rsidTr="00C9199A">
        <w:tblPrEx>
          <w:tblW w:w="8789" w:type="dxa"/>
          <w:tblLayout w:type="fixed"/>
          <w:tblLook w:val="04A0"/>
        </w:tblPrEx>
        <w:trPr>
          <w:cantSplit/>
        </w:trPr>
        <w:tc>
          <w:tcPr>
            <w:tcW w:w="544" w:type="dxa"/>
            <w:vAlign w:val="center"/>
          </w:tcPr>
          <w:p w:rsidR="004775DC" w:rsidRPr="004775DC" w:rsidP="004775DC">
            <w:pPr>
              <w:numPr>
                <w:ilvl w:val="0"/>
                <w:numId w:val="13"/>
              </w:numPr>
              <w:rPr>
                <w:rFonts w:ascii="宋体" w:hAnsi="宋体"/>
                <w:sz w:val="18"/>
                <w:szCs w:val="18"/>
              </w:rPr>
            </w:pPr>
          </w:p>
        </w:tc>
        <w:tc>
          <w:tcPr>
            <w:tcW w:w="898" w:type="dxa"/>
            <w:vAlign w:val="center"/>
          </w:tcPr>
          <w:p w:rsidR="004775DC" w:rsidRPr="004775DC" w:rsidP="004775DC">
            <w:pPr>
              <w:jc w:val="center"/>
              <w:rPr>
                <w:rFonts w:ascii="宋体" w:hAnsi="宋体"/>
                <w:sz w:val="18"/>
                <w:szCs w:val="18"/>
              </w:rPr>
            </w:pPr>
            <w:r w:rsidRPr="004775DC">
              <w:rPr>
                <w:rFonts w:ascii="宋体" w:hAnsi="宋体" w:hint="eastAsia"/>
                <w:sz w:val="18"/>
                <w:szCs w:val="18"/>
              </w:rPr>
              <w:t>5</w:t>
            </w:r>
            <w:r w:rsidRPr="004775DC">
              <w:rPr>
                <w:rFonts w:ascii="宋体" w:hAnsi="宋体"/>
                <w:sz w:val="18"/>
                <w:szCs w:val="18"/>
              </w:rPr>
              <w:t>.</w:t>
            </w:r>
            <w:r w:rsidRPr="004775DC">
              <w:rPr>
                <w:rFonts w:ascii="宋体" w:hAnsi="宋体" w:hint="eastAsia"/>
                <w:sz w:val="18"/>
                <w:szCs w:val="18"/>
              </w:rPr>
              <w:t>7</w:t>
            </w:r>
          </w:p>
        </w:tc>
        <w:tc>
          <w:tcPr>
            <w:tcW w:w="7347" w:type="dxa"/>
          </w:tcPr>
          <w:p w:rsidR="004775DC" w:rsidRPr="004775DC" w:rsidP="004775DC">
            <w:pPr>
              <w:tabs>
                <w:tab w:val="left" w:pos="709"/>
              </w:tabs>
              <w:jc w:val="left"/>
              <w:rPr>
                <w:rFonts w:ascii="宋体" w:hAnsi="宋体" w:cs="微软雅黑"/>
                <w:b/>
                <w:color w:val="0000FF"/>
                <w:kern w:val="0"/>
                <w:sz w:val="18"/>
                <w:szCs w:val="18"/>
              </w:rPr>
            </w:pPr>
            <w:r w:rsidRPr="004775DC">
              <w:rPr>
                <w:rFonts w:ascii="宋体" w:hAnsi="宋体" w:cs="微软雅黑" w:hint="eastAsia"/>
                <w:b/>
                <w:color w:val="0000FF"/>
                <w:kern w:val="0"/>
                <w:sz w:val="18"/>
                <w:szCs w:val="18"/>
              </w:rPr>
              <w:t>投标人应具有以下到投标截止日仍在有效期内的资质：X</w:t>
            </w:r>
            <w:r w:rsidRPr="004775DC">
              <w:rPr>
                <w:rFonts w:ascii="宋体" w:hAnsi="宋体" w:cs="微软雅黑" w:hint="eastAsia"/>
                <w:b/>
                <w:color w:val="0000FF"/>
                <w:kern w:val="0"/>
                <w:sz w:val="18"/>
                <w:szCs w:val="18"/>
              </w:rPr>
              <w:t>波段双</w:t>
            </w:r>
            <w:r w:rsidRPr="004775DC">
              <w:rPr>
                <w:rFonts w:ascii="宋体" w:hAnsi="宋体" w:cs="微软雅黑" w:hint="eastAsia"/>
                <w:b/>
                <w:color w:val="0000FF"/>
                <w:kern w:val="0"/>
                <w:sz w:val="18"/>
                <w:szCs w:val="18"/>
              </w:rPr>
              <w:t>线偏振多普勒天气雷达气象专用技术装备使用许可证</w:t>
            </w:r>
          </w:p>
        </w:tc>
      </w:tr>
      <w:tr w:rsidTr="00C9199A">
        <w:tblPrEx>
          <w:tblW w:w="8789" w:type="dxa"/>
          <w:tblLayout w:type="fixed"/>
          <w:tblLook w:val="04A0"/>
        </w:tblPrEx>
        <w:trPr>
          <w:cantSplit/>
        </w:trPr>
        <w:tc>
          <w:tcPr>
            <w:tcW w:w="8789" w:type="dxa"/>
            <w:gridSpan w:val="3"/>
            <w:vAlign w:val="center"/>
          </w:tcPr>
          <w:p w:rsidR="004775DC" w:rsidRPr="004775DC" w:rsidP="004775DC">
            <w:pPr>
              <w:jc w:val="center"/>
              <w:rPr>
                <w:sz w:val="18"/>
                <w:szCs w:val="18"/>
              </w:rPr>
            </w:pPr>
            <w:r w:rsidRPr="004775DC">
              <w:rPr>
                <w:rFonts w:hint="eastAsia"/>
                <w:b/>
                <w:sz w:val="18"/>
                <w:szCs w:val="18"/>
              </w:rPr>
              <w:t>第七章</w:t>
            </w:r>
            <w:r w:rsidRPr="004775DC">
              <w:rPr>
                <w:rFonts w:hint="eastAsia"/>
                <w:b/>
                <w:sz w:val="18"/>
                <w:szCs w:val="18"/>
              </w:rPr>
              <w:t xml:space="preserve">  </w:t>
            </w:r>
            <w:r w:rsidRPr="004775DC">
              <w:rPr>
                <w:rFonts w:hint="eastAsia"/>
                <w:b/>
                <w:sz w:val="18"/>
                <w:szCs w:val="18"/>
              </w:rPr>
              <w:t>采购需求</w:t>
            </w:r>
          </w:p>
        </w:tc>
      </w:tr>
      <w:tr w:rsidTr="00C9199A">
        <w:tblPrEx>
          <w:tblW w:w="8789" w:type="dxa"/>
          <w:tblLayout w:type="fixed"/>
          <w:tblLook w:val="04A0"/>
        </w:tblPrEx>
        <w:trPr>
          <w:cantSplit/>
        </w:trPr>
        <w:tc>
          <w:tcPr>
            <w:tcW w:w="544" w:type="dxa"/>
            <w:vAlign w:val="center"/>
          </w:tcPr>
          <w:p w:rsidR="004775DC" w:rsidRPr="004775DC" w:rsidP="004775DC">
            <w:pPr>
              <w:numPr>
                <w:ilvl w:val="0"/>
                <w:numId w:val="13"/>
              </w:numPr>
              <w:rPr>
                <w:rFonts w:ascii="宋体" w:hAnsi="宋体"/>
                <w:sz w:val="18"/>
                <w:szCs w:val="18"/>
              </w:rPr>
            </w:pPr>
          </w:p>
        </w:tc>
        <w:tc>
          <w:tcPr>
            <w:tcW w:w="898" w:type="dxa"/>
            <w:vAlign w:val="center"/>
          </w:tcPr>
          <w:p w:rsidR="004775DC" w:rsidRPr="004775DC" w:rsidP="004775DC">
            <w:pPr>
              <w:jc w:val="center"/>
              <w:rPr>
                <w:rFonts w:ascii="宋体" w:hAnsi="宋体" w:cs="微软雅黑"/>
                <w:b/>
                <w:color w:val="0000FF"/>
                <w:kern w:val="0"/>
                <w:sz w:val="18"/>
                <w:szCs w:val="18"/>
              </w:rPr>
            </w:pPr>
            <w:r w:rsidRPr="004775DC">
              <w:rPr>
                <w:rFonts w:ascii="宋体" w:hAnsi="宋体" w:cs="微软雅黑" w:hint="eastAsia"/>
                <w:b/>
                <w:color w:val="0000FF"/>
                <w:kern w:val="0"/>
                <w:sz w:val="18"/>
                <w:szCs w:val="18"/>
              </w:rPr>
              <w:t>4.2质保期服务*</w:t>
            </w:r>
          </w:p>
        </w:tc>
        <w:tc>
          <w:tcPr>
            <w:tcW w:w="7347" w:type="dxa"/>
            <w:vAlign w:val="center"/>
          </w:tcPr>
          <w:p w:rsidR="004775DC" w:rsidRPr="004775DC" w:rsidP="004775DC">
            <w:pPr>
              <w:tabs>
                <w:tab w:val="left" w:pos="709"/>
              </w:tabs>
              <w:jc w:val="left"/>
              <w:rPr>
                <w:rFonts w:ascii="宋体" w:hAnsi="宋体" w:cs="微软雅黑"/>
                <w:b/>
                <w:color w:val="0000FF"/>
                <w:kern w:val="0"/>
                <w:sz w:val="18"/>
                <w:szCs w:val="18"/>
              </w:rPr>
            </w:pPr>
            <w:r w:rsidRPr="004775DC">
              <w:rPr>
                <w:rFonts w:ascii="宋体" w:hAnsi="宋体" w:cs="微软雅黑" w:hint="eastAsia"/>
                <w:b/>
                <w:color w:val="0000FF"/>
                <w:kern w:val="0"/>
                <w:sz w:val="18"/>
                <w:szCs w:val="18"/>
              </w:rPr>
              <w:t>中标方按照中国气象局有关要求提供服务，确保设备稳定运行，主要工作包括：日巡查、周维护、</w:t>
            </w:r>
            <w:r w:rsidRPr="004775DC">
              <w:rPr>
                <w:rFonts w:ascii="宋体" w:hAnsi="宋体" w:cs="微软雅黑" w:hint="eastAsia"/>
                <w:b/>
                <w:color w:val="0000FF"/>
                <w:kern w:val="0"/>
                <w:sz w:val="18"/>
                <w:szCs w:val="18"/>
              </w:rPr>
              <w:t>月维护</w:t>
            </w:r>
            <w:r w:rsidRPr="004775DC">
              <w:rPr>
                <w:rFonts w:ascii="宋体" w:hAnsi="宋体" w:cs="微软雅黑" w:hint="eastAsia"/>
                <w:b/>
                <w:color w:val="0000FF"/>
                <w:kern w:val="0"/>
                <w:sz w:val="18"/>
                <w:szCs w:val="18"/>
              </w:rPr>
              <w:t>及标校、汛前巡检及标校、</w:t>
            </w:r>
            <w:r w:rsidRPr="004775DC">
              <w:rPr>
                <w:rFonts w:ascii="宋体" w:hAnsi="宋体" w:cs="微软雅黑" w:hint="eastAsia"/>
                <w:b/>
                <w:color w:val="0000FF"/>
                <w:kern w:val="0"/>
                <w:sz w:val="18"/>
                <w:szCs w:val="18"/>
              </w:rPr>
              <w:t>年维护</w:t>
            </w:r>
            <w:r w:rsidRPr="004775DC">
              <w:rPr>
                <w:rFonts w:ascii="宋体" w:hAnsi="宋体" w:cs="微软雅黑" w:hint="eastAsia"/>
                <w:b/>
                <w:color w:val="0000FF"/>
                <w:kern w:val="0"/>
                <w:sz w:val="18"/>
                <w:szCs w:val="18"/>
              </w:rPr>
              <w:t>及标校、卫生清洁、防雷设施检测、消防设备检测、铁塔安全性检测等现场巡检巡查工作，以及自验收合格后8年的整机及雷达分系统质保服务等。</w:t>
            </w:r>
          </w:p>
          <w:p w:rsidR="004775DC" w:rsidRPr="004775DC" w:rsidP="004775DC">
            <w:pPr>
              <w:tabs>
                <w:tab w:val="left" w:pos="709"/>
              </w:tabs>
              <w:jc w:val="left"/>
              <w:rPr>
                <w:rFonts w:ascii="宋体" w:hAnsi="宋体" w:cs="微软雅黑"/>
                <w:b/>
                <w:color w:val="0000FF"/>
                <w:kern w:val="0"/>
                <w:sz w:val="18"/>
                <w:szCs w:val="18"/>
              </w:rPr>
            </w:pPr>
            <w:r w:rsidRPr="004775DC">
              <w:rPr>
                <w:rFonts w:ascii="宋体" w:hAnsi="宋体" w:cs="微软雅黑" w:hint="eastAsia"/>
                <w:b/>
                <w:color w:val="0000FF"/>
                <w:kern w:val="0"/>
                <w:sz w:val="18"/>
                <w:szCs w:val="18"/>
              </w:rPr>
              <w:t>按照中国气象局有关业务规范要求，在三级及以上气象应急响应期间，24小时全天候现场值守保障，并定期编制和上报雷达运行状态及故障处置报告。</w:t>
            </w:r>
          </w:p>
          <w:p w:rsidR="004775DC" w:rsidRPr="004775DC" w:rsidP="004775DC">
            <w:pPr>
              <w:tabs>
                <w:tab w:val="left" w:pos="709"/>
              </w:tabs>
              <w:jc w:val="left"/>
              <w:rPr>
                <w:rFonts w:ascii="宋体" w:hAnsi="宋体" w:cs="微软雅黑"/>
                <w:b/>
                <w:color w:val="0000FF"/>
                <w:kern w:val="0"/>
                <w:sz w:val="18"/>
                <w:szCs w:val="18"/>
              </w:rPr>
            </w:pPr>
            <w:r w:rsidRPr="004775DC">
              <w:rPr>
                <w:rFonts w:ascii="宋体" w:hAnsi="宋体" w:cs="微软雅黑" w:hint="eastAsia"/>
                <w:b/>
                <w:color w:val="0000FF"/>
                <w:kern w:val="0"/>
                <w:sz w:val="18"/>
                <w:szCs w:val="18"/>
              </w:rPr>
              <w:t>备品备件按质保总额的20%比例配置。设备厂家以履约保函等形式支付20%担保金额，后续逐年返还。此外，设备厂家应按照雷达维修保障要求配置整机备品备件，确保维修保障时效内配送至雷达站。</w:t>
            </w:r>
          </w:p>
          <w:p w:rsidR="004775DC" w:rsidRPr="004775DC" w:rsidP="004775DC">
            <w:pPr>
              <w:tabs>
                <w:tab w:val="left" w:pos="709"/>
              </w:tabs>
              <w:jc w:val="left"/>
              <w:rPr>
                <w:rFonts w:ascii="宋体" w:hAnsi="宋体" w:cs="微软雅黑"/>
                <w:b/>
                <w:color w:val="0000FF"/>
                <w:kern w:val="0"/>
                <w:sz w:val="18"/>
                <w:szCs w:val="18"/>
              </w:rPr>
            </w:pPr>
            <w:r w:rsidRPr="004775DC">
              <w:rPr>
                <w:rFonts w:ascii="宋体" w:hAnsi="宋体" w:cs="微软雅黑" w:hint="eastAsia"/>
                <w:b/>
                <w:color w:val="0000FF"/>
                <w:kern w:val="0"/>
                <w:sz w:val="18"/>
                <w:szCs w:val="18"/>
              </w:rPr>
              <w:t>备品备件、维护标校、故障维修和巡检巡查等各项要求按照《X波段天气雷达观测规范（试行）》、《X波段天气雷达标校业务规范（试行）》等文件要求执行。</w:t>
            </w:r>
          </w:p>
          <w:p w:rsidR="004775DC" w:rsidRPr="004775DC" w:rsidP="004775DC">
            <w:pPr>
              <w:tabs>
                <w:tab w:val="left" w:pos="709"/>
              </w:tabs>
              <w:jc w:val="left"/>
              <w:rPr>
                <w:rFonts w:ascii="宋体" w:hAnsi="宋体"/>
                <w:sz w:val="18"/>
                <w:szCs w:val="18"/>
              </w:rPr>
            </w:pPr>
            <w:r w:rsidRPr="004775DC">
              <w:rPr>
                <w:rFonts w:ascii="宋体" w:hAnsi="宋体" w:cs="微软雅黑" w:hint="eastAsia"/>
                <w:b/>
                <w:color w:val="0000FF"/>
                <w:kern w:val="0"/>
                <w:sz w:val="18"/>
                <w:szCs w:val="18"/>
              </w:rPr>
              <w:t>质保期服务提供相关承诺函。</w:t>
            </w:r>
          </w:p>
        </w:tc>
      </w:tr>
      <w:tr w:rsidTr="00C9199A">
        <w:tblPrEx>
          <w:tblW w:w="8789" w:type="dxa"/>
          <w:tblLayout w:type="fixed"/>
          <w:tblLook w:val="04A0"/>
        </w:tblPrEx>
        <w:trPr>
          <w:cantSplit/>
        </w:trPr>
        <w:tc>
          <w:tcPr>
            <w:tcW w:w="544" w:type="dxa"/>
            <w:vAlign w:val="center"/>
          </w:tcPr>
          <w:p w:rsidR="004775DC" w:rsidRPr="004775DC" w:rsidP="004775DC">
            <w:pPr>
              <w:numPr>
                <w:ilvl w:val="0"/>
                <w:numId w:val="13"/>
              </w:numPr>
              <w:rPr>
                <w:rFonts w:ascii="宋体" w:hAnsi="宋体"/>
                <w:sz w:val="18"/>
                <w:szCs w:val="18"/>
              </w:rPr>
            </w:pPr>
          </w:p>
        </w:tc>
        <w:tc>
          <w:tcPr>
            <w:tcW w:w="898" w:type="dxa"/>
            <w:vAlign w:val="center"/>
          </w:tcPr>
          <w:p w:rsidR="004775DC" w:rsidRPr="004775DC" w:rsidP="004775DC">
            <w:pPr>
              <w:jc w:val="center"/>
              <w:rPr>
                <w:rFonts w:ascii="宋体" w:hAnsi="宋体" w:cs="微软雅黑"/>
                <w:b/>
                <w:color w:val="0000FF"/>
                <w:kern w:val="0"/>
                <w:sz w:val="18"/>
                <w:szCs w:val="18"/>
              </w:rPr>
            </w:pPr>
            <w:r w:rsidRPr="004775DC">
              <w:rPr>
                <w:rFonts w:ascii="宋体" w:hAnsi="宋体" w:cs="微软雅黑" w:hint="eastAsia"/>
                <w:b/>
                <w:color w:val="0000FF"/>
                <w:kern w:val="0"/>
                <w:sz w:val="18"/>
                <w:szCs w:val="18"/>
              </w:rPr>
              <w:t>4.3 软件调试*</w:t>
            </w:r>
          </w:p>
        </w:tc>
        <w:tc>
          <w:tcPr>
            <w:tcW w:w="7347" w:type="dxa"/>
            <w:vAlign w:val="center"/>
          </w:tcPr>
          <w:p w:rsidR="004775DC" w:rsidRPr="004775DC" w:rsidP="004775DC">
            <w:pPr>
              <w:tabs>
                <w:tab w:val="left" w:pos="709"/>
              </w:tabs>
              <w:spacing w:line="360" w:lineRule="auto"/>
              <w:jc w:val="left"/>
              <w:rPr>
                <w:rFonts w:ascii="宋体" w:hAnsi="宋体" w:cs="微软雅黑"/>
                <w:b/>
                <w:color w:val="0000FF"/>
                <w:kern w:val="0"/>
                <w:sz w:val="18"/>
                <w:szCs w:val="18"/>
              </w:rPr>
            </w:pPr>
            <w:r w:rsidRPr="004775DC">
              <w:rPr>
                <w:rFonts w:ascii="宋体" w:hAnsi="宋体" w:cs="微软雅黑" w:hint="eastAsia"/>
                <w:b/>
                <w:color w:val="0000FF"/>
                <w:kern w:val="0"/>
                <w:sz w:val="18"/>
                <w:szCs w:val="18"/>
              </w:rPr>
              <w:t>中标方需配合采购方，完成ROSE-X等软件的安装调试，保证上站后能够安全稳定运行。投标方须提供承诺函。</w:t>
            </w:r>
          </w:p>
        </w:tc>
      </w:tr>
    </w:tbl>
    <w:p w:rsidR="007E32B0">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7E32B0">
      <w:pPr>
        <w:tabs>
          <w:tab w:val="left" w:pos="1573"/>
        </w:tabs>
        <w:adjustRightInd w:val="0"/>
        <w:snapToGrid w:val="0"/>
        <w:spacing w:line="360" w:lineRule="auto"/>
        <w:jc w:val="center"/>
        <w:outlineLvl w:val="1"/>
        <w:rPr>
          <w:b/>
          <w:bCs/>
          <w:sz w:val="30"/>
          <w:szCs w:val="30"/>
        </w:rPr>
        <w:sectPr>
          <w:headerReference w:type="default" r:id="rId23"/>
          <w:footerReference w:type="default" r:id="rId24"/>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b/>
          <w:bCs/>
          <w:szCs w:val="21"/>
        </w:rPr>
      </w:pPr>
      <w:bookmarkStart w:id="71" w:name="采购公告合同部分_ZBGGHT"/>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72"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rPr>
      </w:pPr>
      <w:bookmarkStart w:id="73"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3"/>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pPr>
      <w:r>
        <w:rPr>
          <w:rFonts w:ascii="Wingdings" w:hAnsi="Wingdings" w:hint="eastAsia"/>
          <w:szCs w:val="21"/>
        </w:rPr>
        <w:t>√</w:t>
      </w:r>
      <w:r>
        <w:rPr>
          <w:rFonts w:ascii="宋体" w:hAnsi="宋体" w:hint="eastAsia"/>
          <w:szCs w:val="21"/>
        </w:rPr>
        <w:t>分期付款：</w:t>
      </w:r>
      <w:r>
        <w:rPr>
          <w:rFonts w:ascii="宋体" w:hAnsi="宋体" w:hint="eastAsia"/>
          <w:szCs w:val="21"/>
          <w:u w:val="single"/>
        </w:rPr>
        <w:t xml:space="preserve">  </w:t>
      </w:r>
      <w:bookmarkStart w:id="74" w:name="OLE_LINK1"/>
      <w:bookmarkStart w:id="75" w:name="OLE_LINK2"/>
      <w:r>
        <w:rPr>
          <w:rFonts w:ascii="宋体" w:hAnsi="宋体" w:hint="eastAsia"/>
          <w:szCs w:val="21"/>
          <w:u w:val="single"/>
        </w:rPr>
        <w:t>合同生效后付款：</w:t>
      </w:r>
      <w:bookmarkStart w:id="76" w:name="OLE_LINK3"/>
      <w:bookmarkStart w:id="77" w:name="OLE_LINK4"/>
      <w:r>
        <w:rPr>
          <w:rFonts w:ascii="宋体" w:hAnsi="宋体" w:hint="eastAsia"/>
          <w:szCs w:val="21"/>
          <w:u w:val="single"/>
        </w:rPr>
        <w:t>甲方于本合同生效且收到乙方出具的合法发票后20个工作日内，向乙方支付合同总金额的80%</w:t>
      </w:r>
      <w:bookmarkEnd w:id="74"/>
      <w:bookmarkEnd w:id="75"/>
      <w:bookmarkEnd w:id="76"/>
      <w:bookmarkEnd w:id="77"/>
      <w:r>
        <w:rPr>
          <w:rFonts w:ascii="宋体" w:hAnsi="宋体" w:hint="eastAsia"/>
          <w:szCs w:val="21"/>
          <w:u w:val="single"/>
        </w:rPr>
        <w:t>；出厂验收合格后甲方向乙方支付合同总金额的1</w:t>
      </w:r>
      <w:r>
        <w:rPr>
          <w:rFonts w:ascii="宋体" w:hAnsi="宋体"/>
          <w:szCs w:val="21"/>
          <w:u w:val="single"/>
        </w:rPr>
        <w:t>5%</w:t>
      </w:r>
      <w:r>
        <w:rPr>
          <w:rFonts w:ascii="宋体" w:hAnsi="宋体" w:hint="eastAsia"/>
          <w:szCs w:val="21"/>
          <w:u w:val="single"/>
        </w:rPr>
        <w:t>；现场验收合格后甲方向乙方支付合同总金额的5</w:t>
      </w:r>
      <w:r>
        <w:rPr>
          <w:rFonts w:ascii="宋体" w:hAnsi="宋体"/>
          <w:szCs w:val="21"/>
          <w:u w:val="single"/>
        </w:rPr>
        <w:t>%</w:t>
      </w:r>
      <w:r>
        <w:rPr>
          <w:rFonts w:ascii="宋体" w:hAnsi="宋体" w:hint="eastAsia"/>
          <w:szCs w:val="21"/>
          <w:u w:val="single"/>
        </w:rPr>
        <w:t xml:space="preserve">（应明确分期支付合同款项的各期比例和支付条件，各期支付条件应与分期履约验收情况挂钩） </w:t>
      </w:r>
      <w:r>
        <w:rPr>
          <w:rFonts w:ascii="宋体" w:hAnsi="宋体" w:hint="eastAsia"/>
          <w:szCs w:val="21"/>
        </w:rPr>
        <w:t>，其中涉及预付款的：</w:t>
      </w:r>
      <w:r>
        <w:rPr>
          <w:rFonts w:ascii="宋体" w:hAnsi="宋体" w:hint="eastAsia"/>
          <w:szCs w:val="21"/>
          <w:u w:val="single"/>
        </w:rPr>
        <w:t xml:space="preserve">合同生效后付款为本项目的预付款。支付比例和支付条件：甲方于本合同生效且收到乙方出具的合法发票后20个工作日内，向乙方支付合同总金额的80%。 （应明确预付款的支付比例和支付条件） </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hint="eastAsia"/>
          <w:szCs w:val="21"/>
        </w:rPr>
        <w:t>√</w:t>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履约保函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合同总金额的10%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乙方收到甲方</w:t>
      </w:r>
      <w:r>
        <w:rPr>
          <w:rFonts w:ascii="宋体" w:hAnsi="宋体" w:hint="eastAsia"/>
          <w:szCs w:val="21"/>
          <w:u w:val="single"/>
        </w:rPr>
        <w:t>合同生效</w:t>
      </w:r>
      <w:r>
        <w:rPr>
          <w:rFonts w:ascii="宋体" w:hAnsi="宋体" w:cs="宋体" w:hint="eastAsia"/>
          <w:bCs/>
          <w:szCs w:val="21"/>
          <w:u w:val="single"/>
        </w:rPr>
        <w:t>款项后</w:t>
      </w:r>
      <w:r>
        <w:rPr>
          <w:rFonts w:ascii="宋体" w:hAnsi="宋体" w:cs="宋体"/>
          <w:bCs/>
          <w:szCs w:val="21"/>
          <w:u w:val="single"/>
        </w:rPr>
        <w:t>30</w:t>
      </w:r>
      <w:r>
        <w:rPr>
          <w:rFonts w:ascii="宋体" w:hAnsi="宋体" w:cs="宋体" w:hint="eastAsia"/>
          <w:bCs/>
          <w:szCs w:val="21"/>
          <w:u w:val="single"/>
        </w:rPr>
        <w:t>个工作日内,乙方向甲方提供相当于合同总价</w:t>
      </w:r>
      <w:r>
        <w:rPr>
          <w:rFonts w:ascii="宋体" w:hAnsi="宋体" w:cs="宋体"/>
          <w:bCs/>
          <w:szCs w:val="21"/>
          <w:u w:val="single"/>
        </w:rPr>
        <w:t>10</w:t>
      </w:r>
      <w:r>
        <w:rPr>
          <w:rFonts w:ascii="宋体" w:hAnsi="宋体" w:cs="宋体" w:hint="eastAsia"/>
          <w:bCs/>
          <w:szCs w:val="21"/>
          <w:u w:val="single"/>
        </w:rPr>
        <w:t xml:space="preserve">%的履约保函，保函有效期为2年，自开立之日起算。乙方履约保函到期后以2年为单位进行替换，保函金额每2年递减25%直至质保期结束，每次保函到期前乙方质保服务情况需经甲方审核合格。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8" w:name="_Toc27624"/>
      <w:r>
        <w:rPr>
          <w:rFonts w:ascii="黑体" w:hAnsi="黑体" w:hint="eastAsia"/>
          <w:b w:val="0"/>
          <w:bCs w:val="0"/>
          <w:sz w:val="28"/>
          <w:szCs w:val="28"/>
        </w:rPr>
        <w:t>第二节 政府采购合同通用条款</w:t>
      </w:r>
      <w:bookmarkEnd w:id="78"/>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9"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9"/>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80"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8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pPr>
        <w:numPr>
          <w:ilvl w:val="0"/>
          <w:numId w:val="4"/>
        </w:numPr>
        <w:spacing w:line="360" w:lineRule="auto"/>
        <w:ind w:firstLine="3066" w:firstLineChars="1460"/>
        <w:jc w:val="left"/>
        <w:rPr>
          <w:b/>
          <w:bCs/>
          <w:szCs w:val="21"/>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57">
    <w:panose1 w:val="02010609030101010101"/>
    <w:charset w:val="86"/>
    <w:family w:val="auto"/>
    <w:pitch w:val="default"/>
    <w:sig w:usb0="00000001" w:usb1="080E0000" w:usb2="00000000" w:usb3="00000000" w:csb0="00040000" w:csb1="00000000"/>
  </w:font>
  <w:font w:name="WPSEMBED58">
    <w:panose1 w:val="02010600010101010101"/>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775DC"/>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2B0"/>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qFormat/>
    <w:pPr>
      <w:ind w:firstLine="420" w:firstLineChars="200"/>
    </w:pPr>
    <w:rPr>
      <w:rFonts w:eastAsia="方正仿宋"/>
      <w:sz w:val="32"/>
    </w:rPr>
  </w:style>
  <w:style w:type="character" w:customStyle="1" w:styleId="20">
    <w:name w:val="正文文本首行缩进 2 字符"/>
    <w:link w:val="BodyTextFirstIndent2"/>
    <w:qFormat/>
    <w:rPr>
      <w:rFonts w:ascii="仿宋_GB2312" w:eastAsia="方正仿宋"/>
      <w:kern w:val="2"/>
      <w:sz w:val="32"/>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