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2025年新疆、大连地基遥感垂直观测系统建设项目-微波辐射计</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ZQCD-25207</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2025年07月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新疆维吾尔自治区气象技术装备保障中心;大连市气象装备保障中心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2025年新疆、大连地基遥感垂直观测系统建设项目-微波辐射计</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ZQCD-25207</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合同签订后120天内交货，180天内完成安装调试并具备验收条件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乌鲁木齐、库车、阿拉山口、塔城、大连</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2025年08月01日 17:00:00</w:t>
      </w:r>
      <w:bookmarkEnd w:id="26"/>
      <w:r>
        <w:rPr>
          <w:rFonts w:ascii="宋体" w:hint="eastAsia"/>
          <w:szCs w:val="21"/>
          <w:highlight w:val="none"/>
        </w:rPr>
        <w:t>至</w:t>
      </w:r>
      <w:bookmarkStart w:id="27" w:name="项目公告_signUpLastTime"/>
      <w:r>
        <w:rPr>
          <w:rFonts w:ascii="宋体" w:hint="eastAsia"/>
          <w:szCs w:val="21"/>
          <w:highlight w:val="none"/>
        </w:rPr>
        <w:t>2025年08月08日 17:00:00</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2025年08月29日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北京市海淀区中关村南大街46号中国气象局北区8号楼4层404会议室（科技大楼前草坪西侧），届时请投标人的法定代表人或其授权的投标人授权代表准时到场参加。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张夏虹</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新疆维吾尔自治区气象技术装备保障中心;大连市气象装备保障中心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冯婉悦</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0991-3631560</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新疆新市区天津南路215号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新疆维吾尔自治区气象技术装备保障中心;大连市气象装备保障中心</w:t>
            </w:r>
            <w:bookmarkEnd w:id="38"/>
            <w:bookmarkStart w:id="39" w:name="_GoBack"/>
            <w:bookmarkEnd w:id="39"/>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40" w:name="资_bidderQualificationValidBeyondDeadline"/>
            <w:r>
              <w:rPr>
                <w:rFonts w:ascii="宋体" w:hAnsi="宋体" w:cs="微软雅黑" w:hint="eastAsia"/>
                <w:kern w:val="0"/>
                <w:szCs w:val="21"/>
                <w:highlight w:val="none"/>
              </w:rPr>
              <w:t>无</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1" w:name="代理商投标_agentFlagText"/>
            <w:r>
              <w:rPr>
                <w:rFonts w:asciiTheme="minorEastAsia" w:eastAsiaTheme="minorEastAsia" w:hAnsiTheme="minorEastAsia" w:cstheme="minorEastAsia" w:hint="eastAsia"/>
                <w:kern w:val="0"/>
                <w:szCs w:val="21"/>
                <w:highlight w:val="none"/>
              </w:rPr>
              <w:t>不允许</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2" w:name="进口产品_agentMaterials"/>
            <w:r>
              <w:rPr>
                <w:rFonts w:ascii="宋体" w:hAnsi="宋体" w:cs="微软雅黑" w:hint="eastAsia"/>
                <w:kern w:val="0"/>
                <w:szCs w:val="21"/>
                <w:highlight w:val="none"/>
              </w:rPr>
              <w:t>无</w:t>
            </w:r>
            <w:bookmarkEnd w:id="42"/>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3" w:name="是否设有核心产品_coreFlagText"/>
            <w:r>
              <w:rPr>
                <w:rFonts w:asciiTheme="minorEastAsia" w:eastAsiaTheme="minorEastAsia" w:hAnsiTheme="minorEastAsia" w:cstheme="minorEastAsia" w:hint="eastAsia"/>
                <w:kern w:val="0"/>
                <w:szCs w:val="21"/>
                <w:highlight w:val="none"/>
              </w:rPr>
              <w:t>不设有</w:t>
            </w:r>
            <w:bookmarkEnd w:id="43"/>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4" w:name="联合体投标_jointFlagText"/>
            <w:r>
              <w:rPr>
                <w:rFonts w:ascii="宋体" w:hAnsi="宋体" w:cs="微软雅黑" w:hint="eastAsia"/>
                <w:kern w:val="0"/>
                <w:szCs w:val="21"/>
                <w:highlight w:val="none"/>
              </w:rPr>
              <w:t>不允许</w:t>
            </w:r>
            <w:bookmarkEnd w:id="44"/>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5"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必须，以下产品需要提供至投标截止日仍有效的《气象专用技术装备使用许可证》：地基微波辐射计</w:t>
            </w:r>
            <w:bookmarkEnd w:id="45"/>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6" w:name="进口产品投标_entranceFlagText"/>
            <w:r>
              <w:rPr>
                <w:rFonts w:asciiTheme="minorEastAsia" w:eastAsiaTheme="minorEastAsia" w:hAnsiTheme="minorEastAsia" w:cstheme="minorEastAsia" w:hint="eastAsia"/>
                <w:kern w:val="0"/>
                <w:szCs w:val="21"/>
                <w:highlight w:val="none"/>
              </w:rPr>
              <w:t>不允许</w:t>
            </w:r>
            <w:bookmarkEnd w:id="46"/>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 xml:space="preserve">标的：地基微波辐射计，所属行业：工业 </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8" w:name="中小企业_minorEnterprisesFlagText"/>
            <w:r>
              <w:rPr>
                <w:rFonts w:ascii="Wingdings 2" w:hAnsi="Wingdings 2" w:cs="微软雅黑" w:hint="eastAsia"/>
                <w:kern w:val="0"/>
                <w:szCs w:val="21"/>
                <w:highlight w:val="none"/>
                <w:lang w:eastAsia="zh-CN"/>
              </w:rPr>
              <w:t>否</w:t>
            </w:r>
            <w:bookmarkEnd w:id="48"/>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9" w:name="中标服务费_finalAmountText"/>
            <w:r>
              <w:rPr>
                <w:rFonts w:hint="eastAsia"/>
                <w:highlight w:val="none"/>
                <w:lang w:eastAsia="zh-CN"/>
              </w:rPr>
              <w:t>是，中标服务费：6.3万元。</w:t>
            </w:r>
            <w:bookmarkEnd w:id="49"/>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50" w:name="答疑会_answeringQuestionFlagText"/>
            <w:r>
              <w:rPr>
                <w:rFonts w:ascii="宋体" w:hAnsi="宋体" w:cs="微软雅黑"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1" w:name="标保证金_bailFlagText"/>
            <w:r>
              <w:rPr>
                <w:rFonts w:asciiTheme="minorEastAsia" w:eastAsiaTheme="minorEastAsia" w:hAnsiTheme="minorEastAsia" w:cstheme="minorEastAsia" w:hint="eastAsia"/>
                <w:kern w:val="0"/>
                <w:szCs w:val="21"/>
                <w:highlight w:val="none"/>
              </w:rPr>
              <w:t>否</w:t>
            </w:r>
            <w:bookmarkEnd w:id="51"/>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2" w:name="预算金额_budgetAmount"/>
            <w:r>
              <w:rPr>
                <w:rFonts w:ascii="宋体" w:hAnsi="宋体" w:cs="微软雅黑" w:hint="eastAsia"/>
                <w:kern w:val="0"/>
                <w:szCs w:val="21"/>
                <w:highlight w:val="none"/>
              </w:rPr>
              <w:t>850.000000</w:t>
            </w:r>
            <w:bookmarkEnd w:id="52"/>
            <w:r>
              <w:rPr>
                <w:rFonts w:ascii="宋体" w:hAnsi="宋体" w:cs="微软雅黑" w:hint="eastAsia"/>
                <w:kern w:val="0"/>
                <w:szCs w:val="21"/>
                <w:highlight w:val="none"/>
              </w:rPr>
              <w:t>万元</w:t>
            </w:r>
            <w:bookmarkStart w:id="53" w:name="预算明细_packMoneyDetail"/>
            <w:r>
              <w:rPr>
                <w:rFonts w:hint="eastAsia"/>
                <w:szCs w:val="21"/>
                <w:highlight w:val="none"/>
              </w:rPr>
              <w:t>,包 1 采购预算(或最高限价)为人民币 850.000000 万元</w:t>
            </w:r>
            <w:bookmarkEnd w:id="53"/>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4" w:name="关键性工作_entrustingOthersFlagText"/>
            <w:r>
              <w:rPr>
                <w:rFonts w:ascii="Wingdings 2" w:hAnsi="Wingdings 2" w:cs="微软雅黑"/>
                <w:kern w:val="0"/>
                <w:szCs w:val="21"/>
                <w:highlight w:val="none"/>
              </w:rPr>
              <w:t>不允许</w:t>
            </w:r>
            <w:bookmarkEnd w:id="54"/>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5" w:name="投标有效期_bidExpirationDate"/>
            <w:r>
              <w:rPr>
                <w:rFonts w:ascii="宋体" w:hAnsi="宋体" w:cs="微软雅黑" w:hint="eastAsia"/>
                <w:kern w:val="0"/>
                <w:szCs w:val="21"/>
                <w:highlight w:val="none"/>
              </w:rPr>
              <w:t>120日历天</w:t>
            </w:r>
            <w:bookmarkEnd w:id="55"/>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采用低价优先法计算，公式：投标人得分=评标基准价/评标价×30</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销售合同必须包括微波辐射计，每提供1份合同得1分，最多得5分。否则不得分。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针对本项目采购的微波辐射计，承诺每提前10天交货的得0.5分，最多得1分。否则不得分。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针对微波辐射计设备，每提供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2、除项目经理外至少8人具有2年及以上相关工作经验的，得2分；为本项目派出的技术人员至少5人具有1年及以上相关工作经验的，得1分；其他不得分。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 xml:space="preserve">一档：未提供技术方案，或者投标产品综合技术性能不能满足采购文件要求。 </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针对微波辐射计设备，测试报告应涵盖气候环境、工作环境、电磁环境测试等内容，每包含一项得1分，最多得3分。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技术性能指标</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729"/>
        <w:gridCol w:w="993"/>
        <w:gridCol w:w="1784"/>
        <w:gridCol w:w="2967"/>
        <w:gridCol w:w="2530"/>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cantSplit/>
          <w:trHeight w:val="90"/>
          <w:jc w:val="center"/>
        </w:trPr>
        <w:tc>
          <w:tcPr>
            <w:tcW w:w="405" w:type="pct"/>
            <w:vAlign w:val="center"/>
          </w:tcPr>
          <w:p>
            <w:pPr>
              <w:pStyle w:val="NormalIndent"/>
              <w:tabs>
                <w:tab w:val="left" w:pos="3119"/>
              </w:tabs>
              <w:ind w:firstLine="0"/>
              <w:jc w:val="center"/>
              <w:rPr>
                <w:rFonts w:ascii="仿宋" w:eastAsia="仿宋" w:hAnsi="仿宋" w:cs="仿宋" w:hint="eastAsia"/>
                <w:b/>
                <w:kern w:val="0"/>
                <w:sz w:val="24"/>
                <w:szCs w:val="24"/>
              </w:rPr>
            </w:pPr>
            <w:r>
              <w:rPr>
                <w:rFonts w:ascii="仿宋" w:eastAsia="仿宋" w:hAnsi="仿宋" w:cs="仿宋" w:hint="eastAsia"/>
                <w:b/>
                <w:kern w:val="0"/>
                <w:sz w:val="24"/>
                <w:szCs w:val="24"/>
              </w:rPr>
              <w:t>序号</w:t>
            </w:r>
          </w:p>
        </w:tc>
        <w:tc>
          <w:tcPr>
            <w:tcW w:w="1542" w:type="pct"/>
            <w:gridSpan w:val="2"/>
            <w:vAlign w:val="center"/>
          </w:tcPr>
          <w:p>
            <w:pPr>
              <w:pStyle w:val="NormalIndent"/>
              <w:tabs>
                <w:tab w:val="left" w:pos="3119"/>
              </w:tabs>
              <w:ind w:firstLine="0"/>
              <w:jc w:val="center"/>
              <w:rPr>
                <w:rFonts w:ascii="仿宋" w:eastAsia="仿宋" w:hAnsi="仿宋" w:cs="仿宋" w:hint="eastAsia"/>
                <w:b/>
                <w:kern w:val="0"/>
                <w:sz w:val="24"/>
                <w:szCs w:val="24"/>
              </w:rPr>
            </w:pPr>
            <w:r>
              <w:rPr>
                <w:rFonts w:ascii="仿宋" w:eastAsia="仿宋" w:hAnsi="仿宋" w:cs="仿宋" w:hint="eastAsia"/>
                <w:b/>
                <w:kern w:val="0"/>
                <w:sz w:val="24"/>
                <w:szCs w:val="24"/>
              </w:rPr>
              <w:t>项目</w:t>
            </w:r>
          </w:p>
        </w:tc>
        <w:tc>
          <w:tcPr>
            <w:tcW w:w="3052" w:type="pct"/>
            <w:gridSpan w:val="2"/>
            <w:vAlign w:val="center"/>
          </w:tcPr>
          <w:p>
            <w:pPr>
              <w:pStyle w:val="NormalIndent"/>
              <w:tabs>
                <w:tab w:val="left" w:pos="3119"/>
              </w:tabs>
              <w:ind w:firstLine="0"/>
              <w:jc w:val="center"/>
              <w:rPr>
                <w:rFonts w:ascii="仿宋" w:eastAsia="仿宋" w:hAnsi="仿宋" w:cs="仿宋" w:hint="eastAsia"/>
                <w:b/>
                <w:kern w:val="0"/>
                <w:sz w:val="24"/>
                <w:szCs w:val="24"/>
              </w:rPr>
            </w:pPr>
            <w:r>
              <w:rPr>
                <w:rFonts w:ascii="仿宋" w:eastAsia="仿宋" w:hAnsi="仿宋" w:cs="仿宋" w:hint="eastAsia"/>
                <w:b/>
                <w:kern w:val="0"/>
                <w:sz w:val="24"/>
                <w:szCs w:val="24"/>
              </w:rPr>
              <w:t>技术指标</w:t>
            </w:r>
          </w:p>
        </w:tc>
      </w:tr>
      <w:tr>
        <w:tblPrEx>
          <w:tblW w:w="5000" w:type="pct"/>
          <w:jc w:val="center"/>
          <w:tblCellMar>
            <w:top w:w="0" w:type="dxa"/>
            <w:left w:w="108" w:type="dxa"/>
            <w:bottom w:w="0" w:type="dxa"/>
            <w:right w:w="108" w:type="dxa"/>
          </w:tblCellMar>
          <w:tblLook w:val="0000"/>
        </w:tblPrEx>
        <w:trPr>
          <w:cantSplit/>
          <w:trHeight w:val="1226"/>
          <w:jc w:val="center"/>
        </w:trPr>
        <w:tc>
          <w:tcPr>
            <w:tcW w:w="405"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w:t>
            </w:r>
          </w:p>
        </w:tc>
        <w:tc>
          <w:tcPr>
            <w:tcW w:w="1542" w:type="pct"/>
            <w:gridSpan w:val="2"/>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主要功能</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通过实时测量大气微波辐射信号，综合实现大气温度、湿度、云水辐射信号的多通道探测，全中文界面，终端可显示实时温湿廓线图、时间剖面图，运行状态实时监控、自动记录、自动报警，远程控制，具有断电自动恢复能力及历史数据回放功能。</w:t>
            </w:r>
          </w:p>
        </w:tc>
      </w:tr>
      <w:tr>
        <w:tblPrEx>
          <w:tblW w:w="5000" w:type="pct"/>
          <w:jc w:val="center"/>
          <w:tblCellMar>
            <w:top w:w="0" w:type="dxa"/>
            <w:left w:w="108" w:type="dxa"/>
            <w:bottom w:w="0" w:type="dxa"/>
            <w:right w:w="108" w:type="dxa"/>
          </w:tblCellMar>
          <w:tblLook w:val="0000"/>
        </w:tblPrEx>
        <w:trPr>
          <w:cantSplit/>
          <w:jc w:val="center"/>
        </w:trPr>
        <w:tc>
          <w:tcPr>
            <w:tcW w:w="405"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2</w:t>
            </w:r>
          </w:p>
        </w:tc>
        <w:tc>
          <w:tcPr>
            <w:tcW w:w="1542" w:type="pct"/>
            <w:gridSpan w:val="2"/>
            <w:vAlign w:val="center"/>
          </w:tcPr>
          <w:p>
            <w:pPr>
              <w:pStyle w:val="NormalIndent"/>
              <w:tabs>
                <w:tab w:val="left" w:pos="3119"/>
              </w:tabs>
              <w:ind w:firstLine="0"/>
              <w:jc w:val="center"/>
              <w:rPr>
                <w:rFonts w:ascii="仿宋" w:eastAsia="仿宋" w:hAnsi="仿宋" w:cs="仿宋" w:hint="eastAsia"/>
                <w:bCs/>
                <w:kern w:val="0"/>
                <w:sz w:val="24"/>
                <w:szCs w:val="24"/>
              </w:rPr>
            </w:pPr>
            <w:r>
              <w:rPr>
                <w:rFonts w:ascii="仿宋" w:eastAsia="仿宋" w:hAnsi="仿宋" w:cs="仿宋" w:hint="eastAsia"/>
                <w:bCs/>
                <w:kern w:val="0"/>
                <w:sz w:val="24"/>
                <w:szCs w:val="24"/>
              </w:rPr>
              <w:t>基本数据产品</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大气辐射亮温，大气温度廓线，边界层温度廓线，水汽密度廓线，相对湿度廓线，液态水廓线，积分水汽，积分液态水，降雨标志，云底温度和云底高度等。</w:t>
            </w:r>
          </w:p>
        </w:tc>
      </w:tr>
      <w:tr>
        <w:tblPrEx>
          <w:tblW w:w="5000" w:type="pct"/>
          <w:jc w:val="center"/>
          <w:tblCellMar>
            <w:top w:w="0" w:type="dxa"/>
            <w:left w:w="108" w:type="dxa"/>
            <w:bottom w:w="0" w:type="dxa"/>
            <w:right w:w="108" w:type="dxa"/>
          </w:tblCellMar>
          <w:tblLook w:val="0000"/>
        </w:tblPrEx>
        <w:trPr>
          <w:cantSplit/>
          <w:jc w:val="center"/>
        </w:trPr>
        <w:tc>
          <w:tcPr>
            <w:tcW w:w="405"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3</w:t>
            </w:r>
          </w:p>
        </w:tc>
        <w:tc>
          <w:tcPr>
            <w:tcW w:w="1542" w:type="pct"/>
            <w:gridSpan w:val="2"/>
            <w:vAlign w:val="center"/>
          </w:tcPr>
          <w:p>
            <w:pPr>
              <w:pStyle w:val="NormalIndent"/>
              <w:tabs>
                <w:tab w:val="left" w:pos="3119"/>
              </w:tabs>
              <w:ind w:firstLine="0"/>
              <w:jc w:val="center"/>
              <w:rPr>
                <w:rFonts w:ascii="仿宋" w:eastAsia="仿宋" w:hAnsi="仿宋" w:cs="仿宋" w:hint="eastAsia"/>
                <w:bCs/>
                <w:kern w:val="0"/>
                <w:sz w:val="24"/>
                <w:szCs w:val="24"/>
              </w:rPr>
            </w:pPr>
            <w:r>
              <w:rPr>
                <w:rFonts w:ascii="仿宋" w:eastAsia="仿宋" w:hAnsi="仿宋" w:cs="仿宋" w:hint="eastAsia"/>
                <w:bCs/>
                <w:kern w:val="0"/>
                <w:sz w:val="24"/>
                <w:szCs w:val="24"/>
              </w:rPr>
              <w:t>数据质控</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具有亮温、地面辅助观测数据和气象产品数据质量的自动检测和质量控制功能。</w:t>
            </w:r>
          </w:p>
        </w:tc>
      </w:tr>
      <w:tr>
        <w:tblPrEx>
          <w:tblW w:w="5000" w:type="pct"/>
          <w:jc w:val="center"/>
          <w:tblCellMar>
            <w:top w:w="0" w:type="dxa"/>
            <w:left w:w="108" w:type="dxa"/>
            <w:bottom w:w="0" w:type="dxa"/>
            <w:right w:w="108" w:type="dxa"/>
          </w:tblCellMar>
          <w:tblLook w:val="0000"/>
        </w:tblPrEx>
        <w:trPr>
          <w:cantSplit/>
          <w:jc w:val="center"/>
        </w:trPr>
        <w:tc>
          <w:tcPr>
            <w:tcW w:w="405"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4</w:t>
            </w:r>
          </w:p>
        </w:tc>
        <w:tc>
          <w:tcPr>
            <w:tcW w:w="1542" w:type="pct"/>
            <w:gridSpan w:val="2"/>
            <w:vAlign w:val="center"/>
          </w:tcPr>
          <w:p>
            <w:pPr>
              <w:pStyle w:val="NormalIndent"/>
              <w:tabs>
                <w:tab w:val="left" w:pos="3119"/>
              </w:tabs>
              <w:ind w:firstLine="0"/>
              <w:jc w:val="center"/>
              <w:rPr>
                <w:rFonts w:ascii="仿宋" w:eastAsia="仿宋" w:hAnsi="仿宋" w:cs="仿宋" w:hint="eastAsia"/>
                <w:bCs/>
                <w:kern w:val="0"/>
                <w:sz w:val="24"/>
                <w:szCs w:val="24"/>
              </w:rPr>
            </w:pPr>
            <w:r>
              <w:rPr>
                <w:rFonts w:ascii="仿宋" w:eastAsia="仿宋" w:hAnsi="仿宋" w:cs="仿宋" w:hint="eastAsia"/>
                <w:bCs/>
                <w:kern w:val="0"/>
                <w:sz w:val="24"/>
                <w:szCs w:val="24"/>
              </w:rPr>
              <w:t>廓线采样速率</w:t>
            </w:r>
          </w:p>
        </w:tc>
        <w:tc>
          <w:tcPr>
            <w:tcW w:w="3052" w:type="pct"/>
            <w:gridSpan w:val="2"/>
            <w:vAlign w:val="center"/>
          </w:tcPr>
          <w:p>
            <w:pPr>
              <w:pStyle w:val="NormalIndent"/>
              <w:tabs>
                <w:tab w:val="left" w:pos="3119"/>
              </w:tabs>
              <w:ind w:firstLine="0"/>
              <w:rPr>
                <w:rFonts w:ascii="仿宋" w:eastAsia="仿宋" w:hAnsi="仿宋" w:cs="仿宋" w:hint="eastAsia"/>
                <w:bCs/>
                <w:kern w:val="0"/>
                <w:sz w:val="24"/>
                <w:szCs w:val="24"/>
              </w:rPr>
            </w:pPr>
            <w:r>
              <w:rPr>
                <w:rFonts w:ascii="仿宋" w:eastAsia="仿宋" w:hAnsi="仿宋" w:cs="仿宋" w:hint="eastAsia"/>
                <w:bCs/>
                <w:kern w:val="0"/>
                <w:sz w:val="24"/>
                <w:szCs w:val="24"/>
              </w:rPr>
              <w:t>≤</w:t>
            </w:r>
            <w:r>
              <w:rPr>
                <w:rFonts w:ascii="仿宋" w:eastAsia="仿宋" w:hAnsi="仿宋" w:cs="仿宋" w:hint="eastAsia"/>
                <w:bCs/>
                <w:kern w:val="0"/>
                <w:sz w:val="24"/>
                <w:szCs w:val="24"/>
              </w:rPr>
              <w:t>2min</w:t>
            </w:r>
          </w:p>
        </w:tc>
      </w:tr>
      <w:tr>
        <w:tblPrEx>
          <w:tblW w:w="5000" w:type="pct"/>
          <w:jc w:val="center"/>
          <w:tblCellMar>
            <w:top w:w="0" w:type="dxa"/>
            <w:left w:w="108" w:type="dxa"/>
            <w:bottom w:w="0" w:type="dxa"/>
            <w:right w:w="108" w:type="dxa"/>
          </w:tblCellMar>
          <w:tblLook w:val="0000"/>
        </w:tblPrEx>
        <w:trPr>
          <w:cantSplit/>
          <w:jc w:val="center"/>
        </w:trPr>
        <w:tc>
          <w:tcPr>
            <w:tcW w:w="405"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5</w:t>
            </w:r>
          </w:p>
        </w:tc>
        <w:tc>
          <w:tcPr>
            <w:tcW w:w="1542" w:type="pct"/>
            <w:gridSpan w:val="2"/>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探测高度</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10km</w:t>
            </w:r>
          </w:p>
        </w:tc>
      </w:tr>
      <w:tr>
        <w:tblPrEx>
          <w:tblW w:w="5000" w:type="pct"/>
          <w:jc w:val="center"/>
          <w:tblCellMar>
            <w:top w:w="0" w:type="dxa"/>
            <w:left w:w="108" w:type="dxa"/>
            <w:bottom w:w="0" w:type="dxa"/>
            <w:right w:w="108" w:type="dxa"/>
          </w:tblCellMar>
          <w:tblLook w:val="0000"/>
        </w:tblPrEx>
        <w:trPr>
          <w:cantSplit/>
          <w:trHeight w:val="308"/>
          <w:jc w:val="center"/>
        </w:trPr>
        <w:tc>
          <w:tcPr>
            <w:tcW w:w="405" w:type="pct"/>
            <w:vMerge w:val="restar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6</w:t>
            </w:r>
          </w:p>
        </w:tc>
        <w:tc>
          <w:tcPr>
            <w:tcW w:w="551" w:type="pct"/>
            <w:vMerge w:val="restart"/>
            <w:vAlign w:val="center"/>
          </w:tcPr>
          <w:p>
            <w:pPr>
              <w:pStyle w:val="NormalIndent"/>
              <w:tabs>
                <w:tab w:val="left" w:pos="3119"/>
              </w:tabs>
              <w:ind w:firstLine="0"/>
              <w:jc w:val="center"/>
              <w:rPr>
                <w:rFonts w:ascii="仿宋" w:eastAsia="仿宋" w:hAnsi="仿宋" w:cs="仿宋" w:hint="eastAsia"/>
                <w:bCs/>
                <w:kern w:val="0"/>
                <w:sz w:val="24"/>
                <w:szCs w:val="24"/>
              </w:rPr>
            </w:pPr>
            <w:r>
              <w:rPr>
                <w:rFonts w:ascii="仿宋" w:eastAsia="仿宋" w:hAnsi="仿宋" w:cs="仿宋" w:hint="eastAsia"/>
                <w:bCs/>
                <w:kern w:val="0"/>
                <w:sz w:val="24"/>
                <w:szCs w:val="24"/>
              </w:rPr>
              <w:t>温度廓线垂直分辨力</w:t>
            </w: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highlight w:val="yellow"/>
              </w:rPr>
              <w:t>#天线半功率波束宽度</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水汽通道</w:t>
            </w:r>
            <w:r>
              <w:rPr>
                <w:rFonts w:ascii="仿宋" w:eastAsia="仿宋" w:hAnsi="仿宋" w:cs="仿宋" w:hint="eastAsia"/>
                <w:bCs/>
                <w:kern w:val="0"/>
                <w:sz w:val="24"/>
              </w:rPr>
              <w:t>≤</w:t>
            </w:r>
            <w:r>
              <w:rPr>
                <w:rFonts w:ascii="仿宋" w:eastAsia="仿宋" w:hAnsi="仿宋" w:cs="仿宋" w:hint="eastAsia"/>
                <w:bCs/>
                <w:kern w:val="0"/>
                <w:sz w:val="24"/>
              </w:rPr>
              <w:t>5</w:t>
            </w:r>
            <w:r>
              <w:rPr>
                <w:rFonts w:ascii="仿宋" w:eastAsia="仿宋" w:hAnsi="仿宋" w:cs="仿宋" w:hint="eastAsia"/>
                <w:bCs/>
                <w:kern w:val="0"/>
                <w:sz w:val="24"/>
              </w:rPr>
              <w:t>°</w:t>
            </w:r>
            <w:r>
              <w:rPr>
                <w:rFonts w:ascii="仿宋" w:eastAsia="仿宋" w:hAnsi="仿宋" w:cs="仿宋" w:hint="eastAsia"/>
                <w:bCs/>
                <w:kern w:val="0"/>
                <w:sz w:val="24"/>
              </w:rPr>
              <w:t>，温度通道</w:t>
            </w:r>
            <w:r>
              <w:rPr>
                <w:rFonts w:ascii="仿宋" w:eastAsia="仿宋" w:hAnsi="仿宋" w:cs="仿宋" w:hint="eastAsia"/>
                <w:bCs/>
                <w:kern w:val="0"/>
                <w:sz w:val="24"/>
              </w:rPr>
              <w:t>≤</w:t>
            </w:r>
            <w:r>
              <w:rPr>
                <w:rFonts w:ascii="仿宋" w:eastAsia="仿宋" w:hAnsi="仿宋" w:cs="仿宋" w:hint="eastAsia"/>
                <w:bCs/>
                <w:kern w:val="0"/>
                <w:sz w:val="24"/>
              </w:rPr>
              <w:t>3</w:t>
            </w:r>
            <w:r>
              <w:rPr>
                <w:rFonts w:ascii="仿宋" w:eastAsia="仿宋" w:hAnsi="仿宋" w:cs="仿宋" w:hint="eastAsia"/>
                <w:bCs/>
                <w:kern w:val="0"/>
                <w:sz w:val="24"/>
              </w:rPr>
              <w:t>°</w:t>
            </w:r>
          </w:p>
        </w:tc>
      </w:tr>
      <w:tr>
        <w:tblPrEx>
          <w:tblW w:w="5000" w:type="pct"/>
          <w:jc w:val="center"/>
          <w:tblCellMar>
            <w:top w:w="0" w:type="dxa"/>
            <w:left w:w="108" w:type="dxa"/>
            <w:bottom w:w="0" w:type="dxa"/>
            <w:right w:w="108" w:type="dxa"/>
          </w:tblCellMar>
          <w:tblLook w:val="0000"/>
        </w:tblPrEx>
        <w:trPr>
          <w:cantSplit/>
          <w:trHeight w:val="308"/>
          <w:jc w:val="center"/>
        </w:trPr>
        <w:tc>
          <w:tcPr>
            <w:tcW w:w="405" w:type="pct"/>
            <w:vMerge/>
            <w:vAlign w:val="center"/>
          </w:tcPr>
          <w:p>
            <w:pPr>
              <w:pStyle w:val="NormalIndent"/>
              <w:tabs>
                <w:tab w:val="left" w:pos="3119"/>
              </w:tabs>
              <w:ind w:firstLine="0"/>
              <w:jc w:val="center"/>
              <w:rPr>
                <w:rFonts w:ascii="仿宋" w:eastAsia="仿宋" w:hAnsi="仿宋" w:cs="仿宋" w:hint="eastAsia"/>
                <w:bCs/>
                <w:kern w:val="0"/>
                <w:sz w:val="24"/>
                <w:szCs w:val="24"/>
              </w:rPr>
            </w:pPr>
          </w:p>
        </w:tc>
        <w:tc>
          <w:tcPr>
            <w:tcW w:w="551" w:type="pct"/>
            <w:vMerge/>
            <w:vAlign w:val="center"/>
          </w:tcPr>
          <w:p>
            <w:pPr>
              <w:pStyle w:val="NormalIndent"/>
              <w:tabs>
                <w:tab w:val="left" w:pos="3119"/>
              </w:tabs>
              <w:ind w:firstLine="0"/>
              <w:jc w:val="center"/>
              <w:rPr>
                <w:rFonts w:ascii="仿宋" w:eastAsia="仿宋" w:hAnsi="仿宋" w:cs="仿宋" w:hint="eastAsia"/>
                <w:bCs/>
                <w:kern w:val="0"/>
                <w:sz w:val="24"/>
                <w:szCs w:val="24"/>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highlight w:val="yellow"/>
              </w:rPr>
              <w:t>#天线旁瓣电平</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水汽通道＜-25 dB，温度通道＜-28dB</w:t>
            </w:r>
          </w:p>
        </w:tc>
      </w:tr>
      <w:tr>
        <w:tblPrEx>
          <w:tblW w:w="5000" w:type="pct"/>
          <w:jc w:val="center"/>
          <w:tblCellMar>
            <w:top w:w="0" w:type="dxa"/>
            <w:left w:w="108" w:type="dxa"/>
            <w:bottom w:w="0" w:type="dxa"/>
            <w:right w:w="108" w:type="dxa"/>
          </w:tblCellMar>
          <w:tblLook w:val="0000"/>
        </w:tblPrEx>
        <w:trPr>
          <w:cantSplit/>
          <w:trHeight w:val="308"/>
          <w:jc w:val="center"/>
        </w:trPr>
        <w:tc>
          <w:tcPr>
            <w:tcW w:w="405" w:type="pct"/>
            <w:vMerge/>
            <w:vAlign w:val="center"/>
          </w:tcPr>
          <w:p>
            <w:pPr>
              <w:pStyle w:val="NormalIndent"/>
              <w:tabs>
                <w:tab w:val="left" w:pos="3119"/>
              </w:tabs>
              <w:ind w:firstLine="0"/>
              <w:jc w:val="center"/>
              <w:rPr>
                <w:rFonts w:ascii="仿宋" w:eastAsia="仿宋" w:hAnsi="仿宋" w:cs="仿宋" w:hint="eastAsia"/>
                <w:bCs/>
                <w:kern w:val="0"/>
                <w:sz w:val="24"/>
                <w:szCs w:val="24"/>
              </w:rPr>
            </w:pPr>
          </w:p>
        </w:tc>
        <w:tc>
          <w:tcPr>
            <w:tcW w:w="551" w:type="pct"/>
            <w:vMerge/>
            <w:vAlign w:val="center"/>
          </w:tcPr>
          <w:p>
            <w:pPr>
              <w:pStyle w:val="NormalIndent"/>
              <w:tabs>
                <w:tab w:val="left" w:pos="3119"/>
              </w:tabs>
              <w:ind w:firstLine="0"/>
              <w:jc w:val="center"/>
              <w:rPr>
                <w:rFonts w:ascii="仿宋" w:eastAsia="仿宋" w:hAnsi="仿宋" w:cs="仿宋" w:hint="eastAsia"/>
                <w:bCs/>
                <w:kern w:val="0"/>
                <w:sz w:val="24"/>
                <w:szCs w:val="24"/>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天线罩损耗</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0.1dB</w:t>
            </w:r>
          </w:p>
        </w:tc>
      </w:tr>
      <w:tr>
        <w:tblPrEx>
          <w:tblW w:w="5000" w:type="pct"/>
          <w:jc w:val="center"/>
          <w:tblCellMar>
            <w:top w:w="0" w:type="dxa"/>
            <w:left w:w="108" w:type="dxa"/>
            <w:bottom w:w="0" w:type="dxa"/>
            <w:right w:w="108" w:type="dxa"/>
          </w:tblCellMar>
          <w:tblLook w:val="0000"/>
        </w:tblPrEx>
        <w:trPr>
          <w:cantSplit/>
          <w:trHeight w:val="68"/>
          <w:jc w:val="center"/>
        </w:trPr>
        <w:tc>
          <w:tcPr>
            <w:tcW w:w="405" w:type="pct"/>
            <w:vMerge w:val="restar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7</w:t>
            </w:r>
          </w:p>
        </w:tc>
        <w:tc>
          <w:tcPr>
            <w:tcW w:w="551" w:type="pct"/>
            <w:vMerge w:val="restar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接收单元</w:t>
            </w: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技术体制</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直接检波或混频检波</w:t>
            </w:r>
          </w:p>
        </w:tc>
      </w:tr>
      <w:tr>
        <w:tblPrEx>
          <w:tblW w:w="5000" w:type="pct"/>
          <w:jc w:val="center"/>
          <w:tblCellMar>
            <w:top w:w="0" w:type="dxa"/>
            <w:left w:w="108" w:type="dxa"/>
            <w:bottom w:w="0" w:type="dxa"/>
            <w:right w:w="108" w:type="dxa"/>
          </w:tblCellMar>
          <w:tblLook w:val="0000"/>
        </w:tblPrEx>
        <w:trPr>
          <w:cantSplit/>
          <w:trHeight w:val="68"/>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工作频率</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水汽通道 22～32GHz ，温度通道 51～59GHz</w:t>
            </w:r>
          </w:p>
        </w:tc>
      </w:tr>
      <w:tr>
        <w:tblPrEx>
          <w:tblW w:w="5000" w:type="pct"/>
          <w:jc w:val="center"/>
          <w:tblCellMar>
            <w:top w:w="0" w:type="dxa"/>
            <w:left w:w="108" w:type="dxa"/>
            <w:bottom w:w="0" w:type="dxa"/>
            <w:right w:w="108" w:type="dxa"/>
          </w:tblCellMar>
          <w:tblLook w:val="0000"/>
        </w:tblPrEx>
        <w:trPr>
          <w:cantSplit/>
          <w:trHeight w:val="307"/>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Merge w:val="restar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通道数量</w:t>
            </w:r>
          </w:p>
        </w:tc>
        <w:tc>
          <w:tcPr>
            <w:tcW w:w="3052" w:type="pct"/>
            <w:gridSpan w:val="2"/>
            <w:vAlign w:val="center"/>
          </w:tcPr>
          <w:p>
            <w:pPr>
              <w:widowControl/>
              <w:jc w:val="left"/>
              <w:rPr>
                <w:rFonts w:hint="eastAsia"/>
              </w:rPr>
            </w:pPr>
            <w:r>
              <w:rPr>
                <w:rFonts w:ascii="仿宋" w:eastAsia="仿宋" w:hAnsi="仿宋" w:cs="仿宋" w:hint="eastAsia"/>
                <w:bCs/>
                <w:kern w:val="0"/>
                <w:sz w:val="24"/>
              </w:rPr>
              <w:t>温度通道</w:t>
            </w:r>
            <w:r>
              <w:rPr>
                <w:rFonts w:ascii="仿宋" w:eastAsia="仿宋" w:hAnsi="仿宋" w:cs="仿宋" w:hint="eastAsia"/>
                <w:bCs/>
                <w:kern w:val="0"/>
                <w:sz w:val="24"/>
              </w:rPr>
              <w:t>≥</w:t>
            </w:r>
            <w:r>
              <w:rPr>
                <w:rFonts w:ascii="仿宋" w:eastAsia="仿宋" w:hAnsi="仿宋" w:cs="仿宋" w:hint="eastAsia"/>
                <w:bCs/>
                <w:kern w:val="0"/>
                <w:sz w:val="24"/>
              </w:rPr>
              <w:t>7个</w:t>
            </w:r>
          </w:p>
        </w:tc>
      </w:tr>
      <w:tr>
        <w:tblPrEx>
          <w:tblW w:w="5000" w:type="pct"/>
          <w:jc w:val="center"/>
          <w:tblCellMar>
            <w:top w:w="0" w:type="dxa"/>
            <w:left w:w="108" w:type="dxa"/>
            <w:bottom w:w="0" w:type="dxa"/>
            <w:right w:w="108" w:type="dxa"/>
          </w:tblCellMar>
          <w:tblLook w:val="0000"/>
        </w:tblPrEx>
        <w:trPr>
          <w:cantSplit/>
          <w:trHeight w:val="307"/>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Merge/>
            <w:vAlign w:val="center"/>
          </w:tcPr>
          <w:p>
            <w:pPr>
              <w:widowControl/>
              <w:jc w:val="center"/>
              <w:rPr>
                <w:rFonts w:ascii="仿宋" w:eastAsia="仿宋" w:hAnsi="仿宋" w:cs="仿宋" w:hint="eastAsia"/>
                <w:bCs/>
                <w:kern w:val="0"/>
              </w:rPr>
            </w:pP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水汽通道</w:t>
            </w:r>
            <w:r>
              <w:rPr>
                <w:rFonts w:ascii="仿宋" w:eastAsia="仿宋" w:hAnsi="仿宋" w:cs="仿宋" w:hint="eastAsia"/>
                <w:bCs/>
                <w:kern w:val="0"/>
                <w:sz w:val="24"/>
              </w:rPr>
              <w:t>≥</w:t>
            </w:r>
            <w:r>
              <w:rPr>
                <w:rFonts w:ascii="仿宋" w:eastAsia="仿宋" w:hAnsi="仿宋" w:cs="仿宋" w:hint="eastAsia"/>
                <w:bCs/>
                <w:kern w:val="0"/>
                <w:sz w:val="24"/>
              </w:rPr>
              <w:t>7个</w:t>
            </w:r>
          </w:p>
        </w:tc>
      </w:tr>
      <w:tr>
        <w:tblPrEx>
          <w:tblW w:w="5000" w:type="pct"/>
          <w:jc w:val="center"/>
          <w:tblCellMar>
            <w:top w:w="0" w:type="dxa"/>
            <w:left w:w="108" w:type="dxa"/>
            <w:bottom w:w="0" w:type="dxa"/>
            <w:right w:w="108" w:type="dxa"/>
          </w:tblCellMar>
          <w:tblLook w:val="0000"/>
        </w:tblPrEx>
        <w:trPr>
          <w:cantSplit/>
          <w:trHeight w:val="68"/>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highlight w:val="yellow"/>
              </w:rPr>
              <w:t>#噪声系数</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水汽通道</w:t>
            </w:r>
            <w:r>
              <w:rPr>
                <w:rFonts w:ascii="仿宋" w:eastAsia="仿宋" w:hAnsi="仿宋" w:cs="仿宋" w:hint="eastAsia"/>
                <w:bCs/>
                <w:kern w:val="0"/>
                <w:sz w:val="24"/>
              </w:rPr>
              <w:t>≤</w:t>
            </w:r>
            <w:r>
              <w:rPr>
                <w:rFonts w:ascii="仿宋" w:eastAsia="仿宋" w:hAnsi="仿宋" w:cs="仿宋" w:hint="eastAsia"/>
                <w:bCs/>
                <w:kern w:val="0"/>
                <w:sz w:val="24"/>
              </w:rPr>
              <w:t>4dB，温度通道</w:t>
            </w:r>
            <w:r>
              <w:rPr>
                <w:rFonts w:ascii="仿宋" w:eastAsia="仿宋" w:hAnsi="仿宋" w:cs="仿宋" w:hint="eastAsia"/>
                <w:bCs/>
                <w:kern w:val="0"/>
                <w:sz w:val="24"/>
              </w:rPr>
              <w:t>≤</w:t>
            </w:r>
            <w:r>
              <w:rPr>
                <w:rFonts w:ascii="仿宋" w:eastAsia="仿宋" w:hAnsi="仿宋" w:cs="仿宋" w:hint="eastAsia"/>
                <w:bCs/>
                <w:kern w:val="0"/>
                <w:sz w:val="24"/>
              </w:rPr>
              <w:t>6dB</w:t>
            </w:r>
          </w:p>
        </w:tc>
      </w:tr>
      <w:tr>
        <w:tblPrEx>
          <w:tblW w:w="5000" w:type="pct"/>
          <w:jc w:val="center"/>
          <w:tblCellMar>
            <w:top w:w="0" w:type="dxa"/>
            <w:left w:w="108" w:type="dxa"/>
            <w:bottom w:w="0" w:type="dxa"/>
            <w:right w:w="108" w:type="dxa"/>
          </w:tblCellMar>
          <w:tblLook w:val="0000"/>
        </w:tblPrEx>
        <w:trPr>
          <w:cantSplit/>
          <w:trHeight w:val="68"/>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亮温测量范围</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0K～400K</w:t>
            </w:r>
          </w:p>
        </w:tc>
      </w:tr>
      <w:tr>
        <w:tblPrEx>
          <w:tblW w:w="5000" w:type="pct"/>
          <w:jc w:val="center"/>
          <w:tblCellMar>
            <w:top w:w="0" w:type="dxa"/>
            <w:left w:w="108" w:type="dxa"/>
            <w:bottom w:w="0" w:type="dxa"/>
            <w:right w:w="108" w:type="dxa"/>
          </w:tblCellMar>
          <w:tblLook w:val="0000"/>
        </w:tblPrEx>
        <w:trPr>
          <w:cantSplit/>
          <w:trHeight w:val="68"/>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亮温灵敏度</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水汽通道</w:t>
            </w:r>
            <w:r>
              <w:rPr>
                <w:rFonts w:ascii="仿宋" w:eastAsia="仿宋" w:hAnsi="仿宋" w:cs="仿宋" w:hint="eastAsia"/>
                <w:bCs/>
                <w:kern w:val="0"/>
                <w:sz w:val="24"/>
              </w:rPr>
              <w:t>≤</w:t>
            </w:r>
            <w:r>
              <w:rPr>
                <w:rFonts w:ascii="仿宋" w:eastAsia="仿宋" w:hAnsi="仿宋" w:cs="仿宋" w:hint="eastAsia"/>
                <w:bCs/>
                <w:kern w:val="0"/>
                <w:sz w:val="24"/>
              </w:rPr>
              <w:t>0.2K（1s 积分时间）</w:t>
            </w:r>
          </w:p>
          <w:p>
            <w:pPr>
              <w:widowControl/>
              <w:jc w:val="left"/>
              <w:rPr>
                <w:rFonts w:ascii="仿宋" w:eastAsia="仿宋" w:hAnsi="仿宋" w:cs="仿宋" w:hint="eastAsia"/>
                <w:bCs/>
                <w:kern w:val="0"/>
              </w:rPr>
            </w:pPr>
            <w:r>
              <w:rPr>
                <w:rFonts w:ascii="仿宋" w:eastAsia="仿宋" w:hAnsi="仿宋" w:cs="仿宋" w:hint="eastAsia"/>
                <w:bCs/>
                <w:kern w:val="0"/>
                <w:sz w:val="24"/>
              </w:rPr>
              <w:t>氧气通道</w:t>
            </w:r>
            <w:r>
              <w:rPr>
                <w:rFonts w:ascii="仿宋" w:eastAsia="仿宋" w:hAnsi="仿宋" w:cs="仿宋" w:hint="eastAsia"/>
                <w:bCs/>
                <w:kern w:val="0"/>
                <w:sz w:val="24"/>
              </w:rPr>
              <w:t>≤</w:t>
            </w:r>
            <w:r>
              <w:rPr>
                <w:rFonts w:ascii="仿宋" w:eastAsia="仿宋" w:hAnsi="仿宋" w:cs="仿宋" w:hint="eastAsia"/>
                <w:bCs/>
                <w:kern w:val="0"/>
                <w:sz w:val="24"/>
              </w:rPr>
              <w:t>0.3K（1s 积分时间）</w:t>
            </w:r>
          </w:p>
        </w:tc>
      </w:tr>
      <w:tr>
        <w:tblPrEx>
          <w:tblW w:w="5000" w:type="pct"/>
          <w:jc w:val="center"/>
          <w:tblCellMar>
            <w:top w:w="0" w:type="dxa"/>
            <w:left w:w="108" w:type="dxa"/>
            <w:bottom w:w="0" w:type="dxa"/>
            <w:right w:w="108" w:type="dxa"/>
          </w:tblCellMar>
          <w:tblLook w:val="0000"/>
        </w:tblPrEx>
        <w:trPr>
          <w:cantSplit/>
          <w:trHeight w:val="68"/>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#亮温测量误差</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1K RMS</w:t>
            </w:r>
          </w:p>
        </w:tc>
      </w:tr>
      <w:tr>
        <w:tblPrEx>
          <w:tblW w:w="5000" w:type="pct"/>
          <w:jc w:val="center"/>
          <w:tblCellMar>
            <w:top w:w="0" w:type="dxa"/>
            <w:left w:w="108" w:type="dxa"/>
            <w:bottom w:w="0" w:type="dxa"/>
            <w:right w:w="108" w:type="dxa"/>
          </w:tblCellMar>
          <w:tblLook w:val="0000"/>
        </w:tblPrEx>
        <w:trPr>
          <w:cantSplit/>
          <w:trHeight w:val="68"/>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#检波器线性度</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0.9999</w:t>
            </w:r>
          </w:p>
        </w:tc>
      </w:tr>
      <w:tr>
        <w:tblPrEx>
          <w:tblW w:w="5000" w:type="pct"/>
          <w:jc w:val="center"/>
          <w:tblCellMar>
            <w:top w:w="0" w:type="dxa"/>
            <w:left w:w="108" w:type="dxa"/>
            <w:bottom w:w="0" w:type="dxa"/>
            <w:right w:w="108" w:type="dxa"/>
          </w:tblCellMar>
          <w:tblLook w:val="0000"/>
        </w:tblPrEx>
        <w:trPr>
          <w:cantSplit/>
          <w:trHeight w:val="307"/>
          <w:jc w:val="center"/>
        </w:trPr>
        <w:tc>
          <w:tcPr>
            <w:tcW w:w="405" w:type="pct"/>
            <w:vMerge w:val="restar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8</w:t>
            </w:r>
          </w:p>
        </w:tc>
        <w:tc>
          <w:tcPr>
            <w:tcW w:w="551" w:type="pct"/>
            <w:vMerge w:val="restar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定标单元</w:t>
            </w:r>
          </w:p>
        </w:tc>
        <w:tc>
          <w:tcPr>
            <w:tcW w:w="991" w:type="pct"/>
            <w:vAlign w:val="center"/>
          </w:tcPr>
          <w:p>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#内置黑体温度均匀性</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0.5K</w:t>
            </w:r>
          </w:p>
        </w:tc>
      </w:tr>
      <w:tr>
        <w:tblPrEx>
          <w:tblW w:w="5000" w:type="pct"/>
          <w:jc w:val="center"/>
          <w:tblCellMar>
            <w:top w:w="0" w:type="dxa"/>
            <w:left w:w="108" w:type="dxa"/>
            <w:bottom w:w="0" w:type="dxa"/>
            <w:right w:w="108" w:type="dxa"/>
          </w:tblCellMar>
          <w:tblLook w:val="0000"/>
        </w:tblPrEx>
        <w:trPr>
          <w:cantSplit/>
          <w:trHeight w:val="307"/>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黑体内置温度传感器误差</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0.2K</w:t>
            </w:r>
          </w:p>
        </w:tc>
      </w:tr>
      <w:tr>
        <w:tblPrEx>
          <w:tblW w:w="5000" w:type="pct"/>
          <w:jc w:val="center"/>
          <w:tblCellMar>
            <w:top w:w="0" w:type="dxa"/>
            <w:left w:w="108" w:type="dxa"/>
            <w:bottom w:w="0" w:type="dxa"/>
            <w:right w:w="108" w:type="dxa"/>
          </w:tblCellMar>
          <w:tblLook w:val="0000"/>
        </w:tblPrEx>
        <w:trPr>
          <w:cantSplit/>
          <w:trHeight w:val="122"/>
          <w:jc w:val="center"/>
        </w:trPr>
        <w:tc>
          <w:tcPr>
            <w:tcW w:w="405" w:type="pct"/>
            <w:vMerge w:val="restar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9</w:t>
            </w:r>
          </w:p>
        </w:tc>
        <w:tc>
          <w:tcPr>
            <w:tcW w:w="551" w:type="pct"/>
            <w:vMerge w:val="restar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地面参数测量单元</w:t>
            </w: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地面温度传感器</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测量范围：-50</w:t>
            </w:r>
            <w:r>
              <w:rPr>
                <w:rFonts w:ascii="仿宋" w:eastAsia="仿宋" w:hAnsi="仿宋" w:cs="仿宋" w:hint="eastAsia"/>
                <w:bCs/>
                <w:kern w:val="0"/>
                <w:sz w:val="24"/>
              </w:rPr>
              <w:t>℃</w:t>
            </w:r>
            <w:r>
              <w:rPr>
                <w:rFonts w:ascii="仿宋" w:eastAsia="仿宋" w:hAnsi="仿宋" w:cs="仿宋" w:hint="eastAsia"/>
                <w:bCs/>
                <w:kern w:val="0"/>
                <w:sz w:val="24"/>
              </w:rPr>
              <w:t>～50</w:t>
            </w:r>
            <w:r>
              <w:rPr>
                <w:rFonts w:ascii="仿宋" w:eastAsia="仿宋" w:hAnsi="仿宋" w:cs="仿宋" w:hint="eastAsia"/>
                <w:bCs/>
                <w:kern w:val="0"/>
                <w:sz w:val="24"/>
              </w:rPr>
              <w:t>℃</w:t>
            </w:r>
            <w:r>
              <w:rPr>
                <w:rFonts w:ascii="仿宋" w:eastAsia="仿宋" w:hAnsi="仿宋" w:cs="仿宋" w:hint="eastAsia"/>
                <w:bCs/>
                <w:kern w:val="0"/>
                <w:sz w:val="24"/>
              </w:rPr>
              <w:t>；</w:t>
            </w:r>
          </w:p>
          <w:p>
            <w:pPr>
              <w:widowControl/>
              <w:jc w:val="left"/>
              <w:rPr>
                <w:rFonts w:ascii="仿宋" w:eastAsia="仿宋" w:hAnsi="仿宋" w:cs="仿宋" w:hint="eastAsia"/>
                <w:bCs/>
                <w:kern w:val="0"/>
              </w:rPr>
            </w:pPr>
            <w:r>
              <w:rPr>
                <w:rFonts w:ascii="仿宋" w:eastAsia="仿宋" w:hAnsi="仿宋" w:cs="仿宋" w:hint="eastAsia"/>
                <w:bCs/>
                <w:kern w:val="0"/>
                <w:sz w:val="24"/>
              </w:rPr>
              <w:t>允许误差：</w:t>
            </w:r>
            <w:r>
              <w:rPr>
                <w:rFonts w:ascii="仿宋" w:eastAsia="仿宋" w:hAnsi="仿宋" w:cs="仿宋" w:hint="eastAsia"/>
                <w:bCs/>
                <w:kern w:val="0"/>
                <w:sz w:val="24"/>
              </w:rPr>
              <w:t>≤</w:t>
            </w:r>
            <w:r>
              <w:rPr>
                <w:rFonts w:ascii="仿宋" w:eastAsia="仿宋" w:hAnsi="仿宋" w:cs="仿宋" w:hint="eastAsia"/>
                <w:bCs/>
                <w:kern w:val="0"/>
                <w:sz w:val="24"/>
              </w:rPr>
              <w:t>0.2</w:t>
            </w:r>
            <w:r>
              <w:rPr>
                <w:rFonts w:ascii="仿宋" w:eastAsia="仿宋" w:hAnsi="仿宋" w:cs="仿宋" w:hint="eastAsia"/>
                <w:bCs/>
                <w:kern w:val="0"/>
                <w:sz w:val="24"/>
              </w:rPr>
              <w:t>℃</w:t>
            </w:r>
          </w:p>
        </w:tc>
      </w:tr>
      <w:tr>
        <w:tblPrEx>
          <w:tblW w:w="5000" w:type="pct"/>
          <w:jc w:val="center"/>
          <w:tblCellMar>
            <w:top w:w="0" w:type="dxa"/>
            <w:left w:w="108" w:type="dxa"/>
            <w:bottom w:w="0" w:type="dxa"/>
            <w:right w:w="108" w:type="dxa"/>
          </w:tblCellMar>
          <w:tblLook w:val="0000"/>
        </w:tblPrEx>
        <w:trPr>
          <w:cantSplit/>
          <w:trHeight w:val="122"/>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地面湿度传感器</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测量范围：5%～100%RH；</w:t>
            </w:r>
          </w:p>
          <w:p>
            <w:pPr>
              <w:widowControl/>
              <w:jc w:val="left"/>
              <w:rPr>
                <w:rFonts w:ascii="仿宋" w:eastAsia="仿宋" w:hAnsi="仿宋" w:cs="仿宋" w:hint="eastAsia"/>
                <w:bCs/>
                <w:kern w:val="0"/>
              </w:rPr>
            </w:pPr>
            <w:r>
              <w:rPr>
                <w:rFonts w:ascii="仿宋" w:eastAsia="仿宋" w:hAnsi="仿宋" w:cs="仿宋" w:hint="eastAsia"/>
                <w:bCs/>
                <w:kern w:val="0"/>
                <w:sz w:val="24"/>
              </w:rPr>
              <w:t>允许误差：</w:t>
            </w:r>
            <w:r>
              <w:rPr>
                <w:rFonts w:ascii="仿宋" w:eastAsia="仿宋" w:hAnsi="仿宋" w:cs="仿宋" w:hint="eastAsia"/>
                <w:bCs/>
                <w:kern w:val="0"/>
                <w:sz w:val="24"/>
              </w:rPr>
              <w:t>≤</w:t>
            </w:r>
            <w:r>
              <w:rPr>
                <w:rFonts w:ascii="仿宋" w:eastAsia="仿宋" w:hAnsi="仿宋" w:cs="仿宋" w:hint="eastAsia"/>
                <w:bCs/>
                <w:kern w:val="0"/>
                <w:sz w:val="24"/>
              </w:rPr>
              <w:t>3%（</w:t>
            </w:r>
            <w:r>
              <w:rPr>
                <w:rFonts w:ascii="仿宋" w:eastAsia="仿宋" w:hAnsi="仿宋" w:cs="仿宋" w:hint="eastAsia"/>
                <w:bCs/>
                <w:kern w:val="0"/>
                <w:sz w:val="24"/>
              </w:rPr>
              <w:t>≤</w:t>
            </w:r>
            <w:r>
              <w:rPr>
                <w:rFonts w:ascii="仿宋" w:eastAsia="仿宋" w:hAnsi="仿宋" w:cs="仿宋" w:hint="eastAsia"/>
                <w:bCs/>
                <w:kern w:val="0"/>
                <w:sz w:val="24"/>
              </w:rPr>
              <w:t>80%）；</w:t>
            </w:r>
            <w:r>
              <w:rPr>
                <w:rFonts w:ascii="仿宋" w:eastAsia="仿宋" w:hAnsi="仿宋" w:cs="仿宋" w:hint="eastAsia"/>
                <w:bCs/>
                <w:kern w:val="0"/>
                <w:sz w:val="24"/>
              </w:rPr>
              <w:t>≤</w:t>
            </w:r>
            <w:r>
              <w:rPr>
                <w:rFonts w:ascii="仿宋" w:eastAsia="仿宋" w:hAnsi="仿宋" w:cs="仿宋" w:hint="eastAsia"/>
                <w:bCs/>
                <w:kern w:val="0"/>
                <w:sz w:val="24"/>
              </w:rPr>
              <w:t>5%（＞80%）</w:t>
            </w:r>
          </w:p>
        </w:tc>
      </w:tr>
      <w:tr>
        <w:tblPrEx>
          <w:tblW w:w="5000" w:type="pct"/>
          <w:jc w:val="center"/>
          <w:tblCellMar>
            <w:top w:w="0" w:type="dxa"/>
            <w:left w:w="108" w:type="dxa"/>
            <w:bottom w:w="0" w:type="dxa"/>
            <w:right w:w="108" w:type="dxa"/>
          </w:tblCellMar>
          <w:tblLook w:val="0000"/>
        </w:tblPrEx>
        <w:trPr>
          <w:cantSplit/>
          <w:trHeight w:val="122"/>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地面气压传感器</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测量范围：500hPa～1060hPa；</w:t>
            </w:r>
          </w:p>
          <w:p>
            <w:pPr>
              <w:widowControl/>
              <w:jc w:val="left"/>
              <w:rPr>
                <w:rFonts w:ascii="仿宋" w:eastAsia="仿宋" w:hAnsi="仿宋" w:cs="仿宋" w:hint="eastAsia"/>
                <w:bCs/>
                <w:kern w:val="0"/>
              </w:rPr>
            </w:pPr>
            <w:r>
              <w:rPr>
                <w:rFonts w:ascii="仿宋" w:eastAsia="仿宋" w:hAnsi="仿宋" w:cs="仿宋" w:hint="eastAsia"/>
                <w:bCs/>
                <w:kern w:val="0"/>
                <w:sz w:val="24"/>
              </w:rPr>
              <w:t>允许误差：</w:t>
            </w:r>
            <w:r>
              <w:rPr>
                <w:rFonts w:ascii="仿宋" w:eastAsia="仿宋" w:hAnsi="仿宋" w:cs="仿宋" w:hint="eastAsia"/>
                <w:bCs/>
                <w:kern w:val="0"/>
                <w:sz w:val="24"/>
              </w:rPr>
              <w:t>≤</w:t>
            </w:r>
            <w:r>
              <w:rPr>
                <w:rFonts w:ascii="仿宋" w:eastAsia="仿宋" w:hAnsi="仿宋" w:cs="仿宋" w:hint="eastAsia"/>
                <w:bCs/>
                <w:kern w:val="0"/>
                <w:sz w:val="24"/>
              </w:rPr>
              <w:t>0.3hPa</w:t>
            </w:r>
          </w:p>
        </w:tc>
      </w:tr>
      <w:tr>
        <w:tblPrEx>
          <w:tblW w:w="5000" w:type="pct"/>
          <w:jc w:val="center"/>
          <w:tblCellMar>
            <w:top w:w="0" w:type="dxa"/>
            <w:left w:w="108" w:type="dxa"/>
            <w:bottom w:w="0" w:type="dxa"/>
            <w:right w:w="108" w:type="dxa"/>
          </w:tblCellMar>
          <w:tblLook w:val="0000"/>
        </w:tblPrEx>
        <w:trPr>
          <w:cantSplit/>
          <w:jc w:val="center"/>
        </w:trPr>
        <w:tc>
          <w:tcPr>
            <w:tcW w:w="405"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10</w:t>
            </w:r>
          </w:p>
        </w:tc>
        <w:tc>
          <w:tcPr>
            <w:tcW w:w="55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采集与控制单元</w:t>
            </w: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存储</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满足 1 年以上基数据和产品等数据存储要求</w:t>
            </w:r>
          </w:p>
        </w:tc>
      </w:tr>
      <w:tr>
        <w:tblPrEx>
          <w:tblW w:w="5000" w:type="pct"/>
          <w:jc w:val="center"/>
          <w:tblCellMar>
            <w:top w:w="0" w:type="dxa"/>
            <w:left w:w="108" w:type="dxa"/>
            <w:bottom w:w="0" w:type="dxa"/>
            <w:right w:w="108" w:type="dxa"/>
          </w:tblCellMar>
          <w:tblLook w:val="0000"/>
        </w:tblPrEx>
        <w:trPr>
          <w:cantSplit/>
          <w:trHeight w:val="75"/>
          <w:jc w:val="center"/>
        </w:trPr>
        <w:tc>
          <w:tcPr>
            <w:tcW w:w="405" w:type="pct"/>
            <w:vMerge w:val="restar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11</w:t>
            </w:r>
          </w:p>
        </w:tc>
        <w:tc>
          <w:tcPr>
            <w:tcW w:w="551" w:type="pct"/>
            <w:vMerge w:val="restar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观测性能</w:t>
            </w:r>
          </w:p>
        </w:tc>
        <w:tc>
          <w:tcPr>
            <w:tcW w:w="991" w:type="pct"/>
            <w:vAlign w:val="center"/>
          </w:tcPr>
          <w:p>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#相对湿度廓线</w:t>
            </w:r>
          </w:p>
        </w:tc>
        <w:tc>
          <w:tcPr>
            <w:tcW w:w="1647" w:type="pct"/>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垂直分辨率：</w:t>
            </w:r>
          </w:p>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50m（0m～500m）；</w:t>
            </w:r>
          </w:p>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100m（500m～2000m）；</w:t>
            </w:r>
          </w:p>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250m（2km～10km）</w:t>
            </w:r>
          </w:p>
        </w:tc>
        <w:tc>
          <w:tcPr>
            <w:tcW w:w="1404" w:type="pct"/>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均方根误差：</w:t>
            </w:r>
            <w:r>
              <w:rPr>
                <w:rFonts w:ascii="仿宋" w:eastAsia="仿宋" w:hAnsi="仿宋" w:cs="仿宋" w:hint="eastAsia"/>
                <w:bCs/>
                <w:kern w:val="0"/>
                <w:sz w:val="24"/>
              </w:rPr>
              <w:t>≤</w:t>
            </w:r>
            <w:r>
              <w:rPr>
                <w:rFonts w:ascii="仿宋" w:eastAsia="仿宋" w:hAnsi="仿宋" w:cs="仿宋" w:hint="eastAsia"/>
                <w:bCs/>
                <w:kern w:val="0"/>
                <w:sz w:val="24"/>
              </w:rPr>
              <w:t>15%RH</w:t>
            </w:r>
          </w:p>
        </w:tc>
      </w:tr>
      <w:tr>
        <w:tblPrEx>
          <w:tblW w:w="5000" w:type="pct"/>
          <w:jc w:val="center"/>
          <w:tblCellMar>
            <w:top w:w="0" w:type="dxa"/>
            <w:left w:w="108" w:type="dxa"/>
            <w:bottom w:w="0" w:type="dxa"/>
            <w:right w:w="108" w:type="dxa"/>
          </w:tblCellMar>
          <w:tblLook w:val="0000"/>
        </w:tblPrEx>
        <w:trPr>
          <w:cantSplit/>
          <w:trHeight w:val="75"/>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#水汽密度廓线</w:t>
            </w:r>
          </w:p>
        </w:tc>
        <w:tc>
          <w:tcPr>
            <w:tcW w:w="1647" w:type="pct"/>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垂直分辨率：</w:t>
            </w:r>
          </w:p>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50m（0m～500m）；</w:t>
            </w:r>
          </w:p>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100m（500m～2000m）；</w:t>
            </w:r>
          </w:p>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250m（2km～10km）</w:t>
            </w:r>
          </w:p>
        </w:tc>
        <w:tc>
          <w:tcPr>
            <w:tcW w:w="1404" w:type="pct"/>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均方根误差：</w:t>
            </w:r>
            <w:r>
              <w:rPr>
                <w:rFonts w:ascii="仿宋" w:eastAsia="仿宋" w:hAnsi="仿宋" w:cs="仿宋" w:hint="eastAsia"/>
                <w:bCs/>
                <w:kern w:val="0"/>
                <w:sz w:val="24"/>
              </w:rPr>
              <w:t>≤</w:t>
            </w:r>
            <w:r>
              <w:rPr>
                <w:rFonts w:ascii="仿宋" w:eastAsia="仿宋" w:hAnsi="仿宋" w:cs="仿宋" w:hint="eastAsia"/>
                <w:bCs/>
                <w:kern w:val="0"/>
                <w:sz w:val="24"/>
              </w:rPr>
              <w:t>0.8g/m3</w:t>
            </w:r>
          </w:p>
        </w:tc>
      </w:tr>
      <w:tr>
        <w:tblPrEx>
          <w:tblW w:w="5000" w:type="pct"/>
          <w:jc w:val="center"/>
          <w:tblCellMar>
            <w:top w:w="0" w:type="dxa"/>
            <w:left w:w="108" w:type="dxa"/>
            <w:bottom w:w="0" w:type="dxa"/>
            <w:right w:w="108" w:type="dxa"/>
          </w:tblCellMar>
          <w:tblLook w:val="0000"/>
        </w:tblPrEx>
        <w:trPr>
          <w:cantSplit/>
          <w:trHeight w:val="75"/>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#温度廓线</w:t>
            </w:r>
          </w:p>
        </w:tc>
        <w:tc>
          <w:tcPr>
            <w:tcW w:w="1647" w:type="pct"/>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垂直分辨率：</w:t>
            </w:r>
          </w:p>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25m（0m～500m）；</w:t>
            </w:r>
          </w:p>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50m（500m～2000m）；</w:t>
            </w:r>
          </w:p>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250m（2km～10km）</w:t>
            </w:r>
          </w:p>
        </w:tc>
        <w:tc>
          <w:tcPr>
            <w:tcW w:w="1404" w:type="pct"/>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当高度＞2000m时，均方根误差：</w:t>
            </w:r>
            <w:r>
              <w:rPr>
                <w:rFonts w:ascii="仿宋" w:eastAsia="仿宋" w:hAnsi="仿宋" w:cs="仿宋" w:hint="eastAsia"/>
                <w:bCs/>
                <w:kern w:val="0"/>
                <w:sz w:val="24"/>
              </w:rPr>
              <w:t>≤</w:t>
            </w:r>
            <w:r>
              <w:rPr>
                <w:rFonts w:ascii="仿宋" w:eastAsia="仿宋" w:hAnsi="仿宋" w:cs="仿宋" w:hint="eastAsia"/>
                <w:bCs/>
                <w:kern w:val="0"/>
                <w:sz w:val="24"/>
              </w:rPr>
              <w:t>1.8K；</w:t>
            </w:r>
          </w:p>
          <w:p>
            <w:pPr>
              <w:widowControl/>
              <w:jc w:val="left"/>
              <w:rPr>
                <w:rFonts w:ascii="仿宋" w:eastAsia="仿宋" w:hAnsi="仿宋" w:cs="仿宋" w:hint="eastAsia"/>
                <w:bCs/>
                <w:kern w:val="0"/>
              </w:rPr>
            </w:pPr>
            <w:r>
              <w:rPr>
                <w:rFonts w:ascii="仿宋" w:eastAsia="仿宋" w:hAnsi="仿宋" w:cs="仿宋" w:hint="eastAsia"/>
                <w:bCs/>
                <w:kern w:val="0"/>
                <w:sz w:val="24"/>
              </w:rPr>
              <w:t>当高度</w:t>
            </w:r>
            <w:r>
              <w:rPr>
                <w:rFonts w:ascii="仿宋" w:eastAsia="仿宋" w:hAnsi="仿宋" w:cs="仿宋" w:hint="eastAsia"/>
                <w:bCs/>
                <w:kern w:val="0"/>
                <w:sz w:val="24"/>
              </w:rPr>
              <w:t>≤</w:t>
            </w:r>
            <w:r>
              <w:rPr>
                <w:rFonts w:ascii="仿宋" w:eastAsia="仿宋" w:hAnsi="仿宋" w:cs="仿宋" w:hint="eastAsia"/>
                <w:bCs/>
                <w:kern w:val="0"/>
                <w:sz w:val="24"/>
              </w:rPr>
              <w:t>2000m时，均方根误差：</w:t>
            </w:r>
            <w:r>
              <w:rPr>
                <w:rFonts w:ascii="仿宋" w:eastAsia="仿宋" w:hAnsi="仿宋" w:cs="仿宋" w:hint="eastAsia"/>
                <w:bCs/>
                <w:kern w:val="0"/>
                <w:sz w:val="24"/>
              </w:rPr>
              <w:t>≤</w:t>
            </w:r>
            <w:r>
              <w:rPr>
                <w:rFonts w:ascii="仿宋" w:eastAsia="仿宋" w:hAnsi="仿宋" w:cs="仿宋" w:hint="eastAsia"/>
                <w:bCs/>
                <w:kern w:val="0"/>
                <w:sz w:val="24"/>
              </w:rPr>
              <w:t>1K</w:t>
            </w:r>
          </w:p>
        </w:tc>
      </w:tr>
      <w:tr>
        <w:tblPrEx>
          <w:tblW w:w="5000" w:type="pct"/>
          <w:jc w:val="center"/>
          <w:tblCellMar>
            <w:top w:w="0" w:type="dxa"/>
            <w:left w:w="108" w:type="dxa"/>
            <w:bottom w:w="0" w:type="dxa"/>
            <w:right w:w="108" w:type="dxa"/>
          </w:tblCellMar>
          <w:tblLook w:val="0000"/>
        </w:tblPrEx>
        <w:trPr>
          <w:cantSplit/>
          <w:trHeight w:val="75"/>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#积分水汽含量</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均方根误差</w:t>
            </w:r>
            <w:r>
              <w:rPr>
                <w:rFonts w:ascii="仿宋" w:eastAsia="仿宋" w:hAnsi="仿宋" w:cs="仿宋" w:hint="eastAsia"/>
                <w:bCs/>
                <w:kern w:val="0"/>
                <w:sz w:val="24"/>
              </w:rPr>
              <w:t>≤</w:t>
            </w:r>
            <w:r>
              <w:rPr>
                <w:rFonts w:ascii="仿宋" w:eastAsia="仿宋" w:hAnsi="仿宋" w:cs="仿宋" w:hint="eastAsia"/>
                <w:bCs/>
                <w:kern w:val="0"/>
                <w:sz w:val="24"/>
              </w:rPr>
              <w:t>4mm</w:t>
            </w:r>
          </w:p>
        </w:tc>
      </w:tr>
      <w:tr>
        <w:tblPrEx>
          <w:tblW w:w="5000" w:type="pct"/>
          <w:jc w:val="center"/>
          <w:tblCellMar>
            <w:top w:w="0" w:type="dxa"/>
            <w:left w:w="108" w:type="dxa"/>
            <w:bottom w:w="0" w:type="dxa"/>
            <w:right w:w="108" w:type="dxa"/>
          </w:tblCellMar>
          <w:tblLook w:val="0000"/>
        </w:tblPrEx>
        <w:trPr>
          <w:cantSplit/>
          <w:trHeight w:val="307"/>
          <w:jc w:val="center"/>
        </w:trPr>
        <w:tc>
          <w:tcPr>
            <w:tcW w:w="405" w:type="pct"/>
            <w:vMerge w:val="restar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12</w:t>
            </w:r>
          </w:p>
        </w:tc>
        <w:tc>
          <w:tcPr>
            <w:tcW w:w="551" w:type="pct"/>
            <w:vMerge w:val="restar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供电</w:t>
            </w: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供电</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220V、50Hz，电压变化－15％～10％，频率变化</w:t>
            </w:r>
            <w:r>
              <w:rPr>
                <w:rFonts w:ascii="仿宋" w:eastAsia="仿宋" w:hAnsi="仿宋" w:cs="仿宋" w:hint="eastAsia"/>
                <w:bCs/>
                <w:kern w:val="0"/>
                <w:sz w:val="24"/>
              </w:rPr>
              <w:t>±</w:t>
            </w:r>
            <w:r>
              <w:rPr>
                <w:rFonts w:ascii="仿宋" w:eastAsia="仿宋" w:hAnsi="仿宋" w:cs="仿宋" w:hint="eastAsia"/>
                <w:bCs/>
                <w:kern w:val="0"/>
                <w:sz w:val="24"/>
              </w:rPr>
              <w:t>3％时，系统能正常工作</w:t>
            </w:r>
          </w:p>
        </w:tc>
      </w:tr>
      <w:tr>
        <w:tblPrEx>
          <w:tblW w:w="5000" w:type="pct"/>
          <w:jc w:val="center"/>
          <w:tblCellMar>
            <w:top w:w="0" w:type="dxa"/>
            <w:left w:w="108" w:type="dxa"/>
            <w:bottom w:w="0" w:type="dxa"/>
            <w:right w:w="108" w:type="dxa"/>
          </w:tblCellMar>
          <w:tblLook w:val="0000"/>
        </w:tblPrEx>
        <w:trPr>
          <w:cantSplit/>
          <w:trHeight w:val="307"/>
          <w:jc w:val="center"/>
        </w:trPr>
        <w:tc>
          <w:tcPr>
            <w:tcW w:w="405" w:type="pct"/>
            <w:vMerge/>
            <w:vAlign w:val="center"/>
          </w:tcPr>
          <w:p>
            <w:pPr>
              <w:pStyle w:val="NormalIndent"/>
              <w:tabs>
                <w:tab w:val="left" w:pos="3119"/>
              </w:tabs>
              <w:ind w:firstLine="0"/>
              <w:jc w:val="center"/>
              <w:rPr>
                <w:rFonts w:ascii="仿宋" w:eastAsia="仿宋" w:hAnsi="仿宋" w:cs="仿宋" w:hint="eastAsia"/>
                <w:bCs/>
                <w:kern w:val="0"/>
                <w:sz w:val="24"/>
                <w:szCs w:val="24"/>
              </w:rPr>
            </w:pPr>
          </w:p>
        </w:tc>
        <w:tc>
          <w:tcPr>
            <w:tcW w:w="551" w:type="pct"/>
            <w:vMerge/>
            <w:vAlign w:val="center"/>
          </w:tcPr>
          <w:p>
            <w:pPr>
              <w:pStyle w:val="NormalIndent"/>
              <w:tabs>
                <w:tab w:val="left" w:pos="3119"/>
              </w:tabs>
              <w:ind w:firstLine="0"/>
              <w:jc w:val="center"/>
              <w:rPr>
                <w:rFonts w:ascii="仿宋" w:eastAsia="仿宋" w:hAnsi="仿宋" w:cs="仿宋" w:hint="eastAsia"/>
                <w:bCs/>
                <w:kern w:val="0"/>
                <w:sz w:val="24"/>
                <w:szCs w:val="24"/>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功耗</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未开启防雾干燥系统加热模块时，整机功耗应</w:t>
            </w:r>
            <w:r>
              <w:rPr>
                <w:rFonts w:ascii="仿宋" w:eastAsia="仿宋" w:hAnsi="仿宋" w:cs="仿宋" w:hint="eastAsia"/>
                <w:bCs/>
                <w:kern w:val="0"/>
                <w:sz w:val="24"/>
              </w:rPr>
              <w:t>≤</w:t>
            </w:r>
            <w:r>
              <w:rPr>
                <w:rFonts w:ascii="仿宋" w:eastAsia="仿宋" w:hAnsi="仿宋" w:cs="仿宋" w:hint="eastAsia"/>
                <w:bCs/>
                <w:kern w:val="0"/>
                <w:sz w:val="24"/>
              </w:rPr>
              <w:t>600W；</w:t>
            </w:r>
          </w:p>
          <w:p>
            <w:pPr>
              <w:widowControl/>
              <w:jc w:val="left"/>
              <w:rPr>
                <w:rFonts w:ascii="仿宋" w:eastAsia="仿宋" w:hAnsi="仿宋" w:cs="仿宋" w:hint="eastAsia"/>
                <w:bCs/>
                <w:kern w:val="0"/>
              </w:rPr>
            </w:pPr>
            <w:r>
              <w:rPr>
                <w:rFonts w:ascii="仿宋" w:eastAsia="仿宋" w:hAnsi="仿宋" w:cs="仿宋" w:hint="eastAsia"/>
                <w:bCs/>
                <w:kern w:val="0"/>
                <w:sz w:val="24"/>
              </w:rPr>
              <w:t>最大允许功耗应</w:t>
            </w:r>
            <w:r>
              <w:rPr>
                <w:rFonts w:ascii="仿宋" w:eastAsia="仿宋" w:hAnsi="仿宋" w:cs="仿宋" w:hint="eastAsia"/>
                <w:bCs/>
                <w:kern w:val="0"/>
                <w:sz w:val="24"/>
              </w:rPr>
              <w:t>≤</w:t>
            </w:r>
            <w:r>
              <w:rPr>
                <w:rFonts w:ascii="仿宋" w:eastAsia="仿宋" w:hAnsi="仿宋" w:cs="仿宋" w:hint="eastAsia"/>
                <w:bCs/>
                <w:kern w:val="0"/>
                <w:sz w:val="24"/>
              </w:rPr>
              <w:t>2100W</w:t>
            </w:r>
          </w:p>
        </w:tc>
      </w:tr>
      <w:tr>
        <w:tblPrEx>
          <w:tblW w:w="5000" w:type="pct"/>
          <w:jc w:val="center"/>
          <w:tblCellMar>
            <w:top w:w="0" w:type="dxa"/>
            <w:left w:w="108" w:type="dxa"/>
            <w:bottom w:w="0" w:type="dxa"/>
            <w:right w:w="108" w:type="dxa"/>
          </w:tblCellMar>
          <w:tblLook w:val="0000"/>
        </w:tblPrEx>
        <w:trPr>
          <w:cantSplit/>
          <w:trHeight w:val="122"/>
          <w:jc w:val="center"/>
        </w:trPr>
        <w:tc>
          <w:tcPr>
            <w:tcW w:w="405" w:type="pct"/>
            <w:vMerge w:val="restar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13</w:t>
            </w:r>
          </w:p>
        </w:tc>
        <w:tc>
          <w:tcPr>
            <w:tcW w:w="551" w:type="pct"/>
            <w:vMerge w:val="restar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环境适应性</w:t>
            </w: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温度</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工作温度：</w:t>
            </w:r>
            <w:r>
              <w:rPr>
                <w:rFonts w:ascii="仿宋" w:eastAsia="仿宋" w:hAnsi="仿宋" w:cs="仿宋" w:hint="eastAsia"/>
                <w:bCs/>
                <w:kern w:val="0"/>
                <w:sz w:val="24"/>
              </w:rPr>
              <w:t>−</w:t>
            </w:r>
            <w:r>
              <w:rPr>
                <w:rFonts w:ascii="仿宋" w:eastAsia="仿宋" w:hAnsi="仿宋" w:cs="仿宋" w:hint="eastAsia"/>
                <w:bCs/>
                <w:kern w:val="0"/>
                <w:sz w:val="24"/>
              </w:rPr>
              <w:t>40</w:t>
            </w:r>
            <w:r>
              <w:rPr>
                <w:rFonts w:ascii="仿宋" w:eastAsia="仿宋" w:hAnsi="仿宋" w:cs="仿宋" w:hint="eastAsia"/>
                <w:bCs/>
                <w:kern w:val="0"/>
                <w:sz w:val="24"/>
              </w:rPr>
              <w:t>℃</w:t>
            </w:r>
            <w:r>
              <w:rPr>
                <w:rFonts w:ascii="仿宋" w:eastAsia="仿宋" w:hAnsi="仿宋" w:cs="仿宋" w:hint="eastAsia"/>
                <w:bCs/>
                <w:kern w:val="0"/>
                <w:sz w:val="24"/>
              </w:rPr>
              <w:t>～50</w:t>
            </w:r>
            <w:r>
              <w:rPr>
                <w:rFonts w:ascii="仿宋" w:eastAsia="仿宋" w:hAnsi="仿宋" w:cs="仿宋" w:hint="eastAsia"/>
                <w:bCs/>
                <w:kern w:val="0"/>
                <w:sz w:val="24"/>
              </w:rPr>
              <w:t>℃</w:t>
            </w:r>
            <w:r>
              <w:rPr>
                <w:rFonts w:ascii="仿宋" w:eastAsia="仿宋" w:hAnsi="仿宋" w:cs="仿宋" w:hint="eastAsia"/>
                <w:bCs/>
                <w:kern w:val="0"/>
                <w:sz w:val="24"/>
              </w:rPr>
              <w:t>（室外设备），0</w:t>
            </w:r>
            <w:r>
              <w:rPr>
                <w:rFonts w:ascii="仿宋" w:eastAsia="仿宋" w:hAnsi="仿宋" w:cs="仿宋" w:hint="eastAsia"/>
                <w:bCs/>
                <w:kern w:val="0"/>
                <w:sz w:val="24"/>
              </w:rPr>
              <w:t>℃</w:t>
            </w:r>
            <w:r>
              <w:rPr>
                <w:rFonts w:ascii="仿宋" w:eastAsia="仿宋" w:hAnsi="仿宋" w:cs="仿宋" w:hint="eastAsia"/>
                <w:bCs/>
                <w:kern w:val="0"/>
                <w:sz w:val="24"/>
              </w:rPr>
              <w:t>～40</w:t>
            </w:r>
            <w:r>
              <w:rPr>
                <w:rFonts w:ascii="仿宋" w:eastAsia="仿宋" w:hAnsi="仿宋" w:cs="仿宋" w:hint="eastAsia"/>
                <w:bCs/>
                <w:kern w:val="0"/>
                <w:sz w:val="24"/>
              </w:rPr>
              <w:t>℃</w:t>
            </w:r>
            <w:r>
              <w:rPr>
                <w:rFonts w:ascii="仿宋" w:eastAsia="仿宋" w:hAnsi="仿宋" w:cs="仿宋" w:hint="eastAsia"/>
                <w:bCs/>
                <w:kern w:val="0"/>
                <w:sz w:val="24"/>
              </w:rPr>
              <w:t>（室内设备）；</w:t>
            </w:r>
          </w:p>
          <w:p>
            <w:pPr>
              <w:widowControl/>
              <w:jc w:val="left"/>
              <w:rPr>
                <w:rFonts w:ascii="仿宋" w:eastAsia="仿宋" w:hAnsi="仿宋" w:cs="仿宋" w:hint="eastAsia"/>
                <w:bCs/>
                <w:kern w:val="0"/>
              </w:rPr>
            </w:pPr>
            <w:r>
              <w:rPr>
                <w:rFonts w:ascii="仿宋" w:eastAsia="仿宋" w:hAnsi="仿宋" w:cs="仿宋" w:hint="eastAsia"/>
                <w:bCs/>
                <w:kern w:val="0"/>
                <w:sz w:val="24"/>
              </w:rPr>
              <w:t>贮存温度：</w:t>
            </w:r>
            <w:r>
              <w:rPr>
                <w:rFonts w:ascii="仿宋" w:eastAsia="仿宋" w:hAnsi="仿宋" w:cs="仿宋" w:hint="eastAsia"/>
                <w:bCs/>
                <w:kern w:val="0"/>
                <w:sz w:val="24"/>
              </w:rPr>
              <w:t>−</w:t>
            </w:r>
            <w:r>
              <w:rPr>
                <w:rFonts w:ascii="仿宋" w:eastAsia="仿宋" w:hAnsi="仿宋" w:cs="仿宋" w:hint="eastAsia"/>
                <w:bCs/>
                <w:kern w:val="0"/>
                <w:sz w:val="24"/>
              </w:rPr>
              <w:t>50</w:t>
            </w:r>
            <w:r>
              <w:rPr>
                <w:rFonts w:ascii="仿宋" w:eastAsia="仿宋" w:hAnsi="仿宋" w:cs="仿宋" w:hint="eastAsia"/>
                <w:bCs/>
                <w:kern w:val="0"/>
                <w:sz w:val="24"/>
              </w:rPr>
              <w:t>℃</w:t>
            </w:r>
            <w:r>
              <w:rPr>
                <w:rFonts w:ascii="仿宋" w:eastAsia="仿宋" w:hAnsi="仿宋" w:cs="仿宋" w:hint="eastAsia"/>
                <w:bCs/>
                <w:kern w:val="0"/>
                <w:sz w:val="24"/>
              </w:rPr>
              <w:t>～55</w:t>
            </w:r>
            <w:r>
              <w:rPr>
                <w:rFonts w:ascii="仿宋" w:eastAsia="仿宋" w:hAnsi="仿宋" w:cs="仿宋" w:hint="eastAsia"/>
                <w:bCs/>
                <w:kern w:val="0"/>
                <w:sz w:val="24"/>
              </w:rPr>
              <w:t>℃</w:t>
            </w:r>
            <w:r>
              <w:rPr>
                <w:rFonts w:ascii="仿宋" w:eastAsia="仿宋" w:hAnsi="仿宋" w:cs="仿宋" w:hint="eastAsia"/>
                <w:bCs/>
                <w:kern w:val="0"/>
                <w:sz w:val="24"/>
              </w:rPr>
              <w:t>。</w:t>
            </w:r>
          </w:p>
        </w:tc>
      </w:tr>
      <w:tr>
        <w:tblPrEx>
          <w:tblW w:w="5000" w:type="pct"/>
          <w:jc w:val="center"/>
          <w:tblCellMar>
            <w:top w:w="0" w:type="dxa"/>
            <w:left w:w="108" w:type="dxa"/>
            <w:bottom w:w="0" w:type="dxa"/>
            <w:right w:w="108" w:type="dxa"/>
          </w:tblCellMar>
          <w:tblLook w:val="0000"/>
        </w:tblPrEx>
        <w:trPr>
          <w:cantSplit/>
          <w:trHeight w:val="122"/>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恒定湿热</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室外设备相对湿度95%，环境温度35</w:t>
            </w:r>
            <w:r>
              <w:rPr>
                <w:rFonts w:ascii="仿宋" w:eastAsia="仿宋" w:hAnsi="仿宋" w:cs="仿宋" w:hint="eastAsia"/>
                <w:bCs/>
                <w:kern w:val="0"/>
                <w:sz w:val="24"/>
              </w:rPr>
              <w:t>℃</w:t>
            </w:r>
            <w:r>
              <w:rPr>
                <w:rFonts w:ascii="仿宋" w:eastAsia="仿宋" w:hAnsi="仿宋" w:cs="仿宋" w:hint="eastAsia"/>
                <w:bCs/>
                <w:kern w:val="0"/>
                <w:sz w:val="24"/>
              </w:rPr>
              <w:t>，试验时间48h</w:t>
            </w:r>
          </w:p>
        </w:tc>
      </w:tr>
      <w:tr>
        <w:tblPrEx>
          <w:tblW w:w="5000" w:type="pct"/>
          <w:jc w:val="center"/>
          <w:tblCellMar>
            <w:top w:w="0" w:type="dxa"/>
            <w:left w:w="108" w:type="dxa"/>
            <w:bottom w:w="0" w:type="dxa"/>
            <w:right w:w="108" w:type="dxa"/>
          </w:tblCellMar>
          <w:tblLook w:val="0000"/>
        </w:tblPrEx>
        <w:trPr>
          <w:cantSplit/>
          <w:trHeight w:val="122"/>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气压</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500～1060hPa。</w:t>
            </w:r>
          </w:p>
        </w:tc>
      </w:tr>
      <w:tr>
        <w:tblPrEx>
          <w:tblW w:w="5000" w:type="pct"/>
          <w:jc w:val="center"/>
          <w:tblCellMar>
            <w:top w:w="0" w:type="dxa"/>
            <w:left w:w="108" w:type="dxa"/>
            <w:bottom w:w="0" w:type="dxa"/>
            <w:right w:w="108" w:type="dxa"/>
          </w:tblCellMar>
          <w:tblLook w:val="0000"/>
        </w:tblPrEx>
        <w:trPr>
          <w:cantSplit/>
          <w:trHeight w:val="122"/>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外壳防护</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室外设备外壳防护等级应达到IP55。</w:t>
            </w:r>
          </w:p>
        </w:tc>
      </w:tr>
      <w:tr>
        <w:tblPrEx>
          <w:tblW w:w="5000" w:type="pct"/>
          <w:jc w:val="center"/>
          <w:tblCellMar>
            <w:top w:w="0" w:type="dxa"/>
            <w:left w:w="108" w:type="dxa"/>
            <w:bottom w:w="0" w:type="dxa"/>
            <w:right w:w="108" w:type="dxa"/>
          </w:tblCellMar>
          <w:tblLook w:val="0000"/>
        </w:tblPrEx>
        <w:trPr>
          <w:cantSplit/>
          <w:trHeight w:val="122"/>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抗盐雾腐</w:t>
            </w:r>
          </w:p>
          <w:p>
            <w:pPr>
              <w:widowControl/>
              <w:jc w:val="center"/>
              <w:rPr>
                <w:rFonts w:ascii="仿宋" w:eastAsia="仿宋" w:hAnsi="仿宋" w:cs="仿宋" w:hint="eastAsia"/>
                <w:bCs/>
                <w:kern w:val="0"/>
              </w:rPr>
            </w:pPr>
            <w:r>
              <w:rPr>
                <w:rFonts w:ascii="仿宋" w:eastAsia="仿宋" w:hAnsi="仿宋" w:cs="仿宋" w:hint="eastAsia"/>
                <w:bCs/>
                <w:kern w:val="0"/>
                <w:sz w:val="24"/>
              </w:rPr>
              <w:t>蚀</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外露零件镀层耐48小时盐雾沉降试验。</w:t>
            </w:r>
          </w:p>
        </w:tc>
      </w:tr>
      <w:tr>
        <w:tblPrEx>
          <w:tblW w:w="5000" w:type="pct"/>
          <w:jc w:val="center"/>
          <w:tblCellMar>
            <w:top w:w="0" w:type="dxa"/>
            <w:left w:w="108" w:type="dxa"/>
            <w:bottom w:w="0" w:type="dxa"/>
            <w:right w:w="108" w:type="dxa"/>
          </w:tblCellMar>
          <w:tblLook w:val="0000"/>
        </w:tblPrEx>
        <w:trPr>
          <w:cantSplit/>
          <w:jc w:val="center"/>
        </w:trPr>
        <w:tc>
          <w:tcPr>
            <w:tcW w:w="405"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14</w:t>
            </w:r>
          </w:p>
        </w:tc>
        <w:tc>
          <w:tcPr>
            <w:tcW w:w="55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机械</w:t>
            </w:r>
          </w:p>
          <w:p>
            <w:pPr>
              <w:widowControl/>
              <w:jc w:val="center"/>
              <w:rPr>
                <w:rFonts w:ascii="仿宋" w:eastAsia="仿宋" w:hAnsi="仿宋" w:cs="仿宋" w:hint="eastAsia"/>
                <w:bCs/>
                <w:kern w:val="0"/>
              </w:rPr>
            </w:pPr>
            <w:r>
              <w:rPr>
                <w:rFonts w:ascii="仿宋" w:eastAsia="仿宋" w:hAnsi="仿宋" w:cs="仿宋" w:hint="eastAsia"/>
                <w:bCs/>
                <w:kern w:val="0"/>
                <w:sz w:val="24"/>
              </w:rPr>
              <w:t>条件</w:t>
            </w: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冲击振动</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在产品规定包装条件下，宽带随机振动试验应达到2M3等级（参考标准GB/T 4798.2-2008）。</w:t>
            </w:r>
          </w:p>
        </w:tc>
      </w:tr>
      <w:tr>
        <w:tblPrEx>
          <w:tblW w:w="5000" w:type="pct"/>
          <w:jc w:val="center"/>
          <w:tblCellMar>
            <w:top w:w="0" w:type="dxa"/>
            <w:left w:w="108" w:type="dxa"/>
            <w:bottom w:w="0" w:type="dxa"/>
            <w:right w:w="108" w:type="dxa"/>
          </w:tblCellMar>
          <w:tblLook w:val="0000"/>
        </w:tblPrEx>
        <w:trPr>
          <w:cantSplit/>
          <w:jc w:val="center"/>
        </w:trPr>
        <w:tc>
          <w:tcPr>
            <w:tcW w:w="405"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15</w:t>
            </w:r>
          </w:p>
        </w:tc>
        <w:tc>
          <w:tcPr>
            <w:tcW w:w="55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电磁兼容性</w:t>
            </w: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电磁抗扰度</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满足GB/T17626.2-2018 静电放电抗扰度要求</w:t>
            </w:r>
          </w:p>
          <w:p>
            <w:pPr>
              <w:widowControl/>
              <w:jc w:val="left"/>
              <w:rPr>
                <w:rFonts w:ascii="仿宋" w:eastAsia="仿宋" w:hAnsi="仿宋" w:cs="仿宋" w:hint="eastAsia"/>
                <w:bCs/>
                <w:kern w:val="0"/>
              </w:rPr>
            </w:pPr>
            <w:r>
              <w:rPr>
                <w:rFonts w:ascii="仿宋" w:eastAsia="仿宋" w:hAnsi="仿宋" w:cs="仿宋" w:hint="eastAsia"/>
                <w:bCs/>
                <w:kern w:val="0"/>
                <w:sz w:val="24"/>
              </w:rPr>
              <w:t>满足GB/T17626.4-2018 电快速瞬变脉冲群抗扰度要求</w:t>
            </w:r>
          </w:p>
          <w:p>
            <w:pPr>
              <w:widowControl/>
              <w:jc w:val="left"/>
              <w:rPr>
                <w:rFonts w:ascii="仿宋" w:eastAsia="仿宋" w:hAnsi="仿宋" w:cs="仿宋" w:hint="eastAsia"/>
                <w:bCs/>
                <w:kern w:val="0"/>
              </w:rPr>
            </w:pPr>
            <w:r>
              <w:rPr>
                <w:rFonts w:ascii="仿宋" w:eastAsia="仿宋" w:hAnsi="仿宋" w:cs="仿宋" w:hint="eastAsia"/>
                <w:bCs/>
                <w:kern w:val="0"/>
                <w:sz w:val="24"/>
              </w:rPr>
              <w:t>满足GB/T17626.5-2018 浪涌（冲击）抗扰度要求</w:t>
            </w:r>
          </w:p>
          <w:p>
            <w:pPr>
              <w:widowControl/>
              <w:jc w:val="left"/>
              <w:rPr>
                <w:rFonts w:ascii="仿宋" w:eastAsia="仿宋" w:hAnsi="仿宋" w:cs="仿宋" w:hint="eastAsia"/>
                <w:bCs/>
                <w:kern w:val="0"/>
              </w:rPr>
            </w:pPr>
            <w:r>
              <w:rPr>
                <w:rFonts w:ascii="仿宋" w:eastAsia="仿宋" w:hAnsi="仿宋" w:cs="仿宋" w:hint="eastAsia"/>
                <w:bCs/>
                <w:kern w:val="0"/>
                <w:sz w:val="24"/>
              </w:rPr>
              <w:t>提供投标产品的电磁兼容检测报告</w:t>
            </w:r>
          </w:p>
        </w:tc>
      </w:tr>
      <w:tr>
        <w:tblPrEx>
          <w:tblW w:w="5000" w:type="pct"/>
          <w:jc w:val="center"/>
          <w:tblCellMar>
            <w:top w:w="0" w:type="dxa"/>
            <w:left w:w="108" w:type="dxa"/>
            <w:bottom w:w="0" w:type="dxa"/>
            <w:right w:w="108" w:type="dxa"/>
          </w:tblCellMar>
          <w:tblLook w:val="0000"/>
        </w:tblPrEx>
        <w:trPr>
          <w:cantSplit/>
          <w:trHeight w:val="307"/>
          <w:jc w:val="center"/>
        </w:trPr>
        <w:tc>
          <w:tcPr>
            <w:tcW w:w="405" w:type="pct"/>
            <w:vMerge w:val="restar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16</w:t>
            </w:r>
          </w:p>
        </w:tc>
        <w:tc>
          <w:tcPr>
            <w:tcW w:w="551" w:type="pct"/>
            <w:vMerge w:val="restar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其他</w:t>
            </w: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天线罩性能</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微波天线罩具有雨、雪、尘土等防护作用</w:t>
            </w:r>
          </w:p>
        </w:tc>
      </w:tr>
      <w:tr>
        <w:tblPrEx>
          <w:tblW w:w="5000" w:type="pct"/>
          <w:jc w:val="center"/>
          <w:tblCellMar>
            <w:top w:w="0" w:type="dxa"/>
            <w:left w:w="108" w:type="dxa"/>
            <w:bottom w:w="0" w:type="dxa"/>
            <w:right w:w="108" w:type="dxa"/>
          </w:tblCellMar>
          <w:tblLook w:val="0000"/>
        </w:tblPrEx>
        <w:trPr>
          <w:cantSplit/>
          <w:trHeight w:val="441"/>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自动观测</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投标产品具备无人值守观测方式，要求投标产品具备内定标技术，实现自动定标观测能力</w:t>
            </w:r>
          </w:p>
        </w:tc>
      </w:tr>
      <w:tr>
        <w:tblPrEx>
          <w:tblW w:w="5000" w:type="pct"/>
          <w:jc w:val="center"/>
          <w:tblCellMar>
            <w:top w:w="0" w:type="dxa"/>
            <w:left w:w="108" w:type="dxa"/>
            <w:bottom w:w="0" w:type="dxa"/>
            <w:right w:w="108" w:type="dxa"/>
          </w:tblCellMar>
          <w:tblLook w:val="0000"/>
        </w:tblPrEx>
        <w:trPr>
          <w:cantSplit/>
          <w:jc w:val="center"/>
        </w:trPr>
        <w:tc>
          <w:tcPr>
            <w:tcW w:w="405"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17</w:t>
            </w:r>
          </w:p>
        </w:tc>
        <w:tc>
          <w:tcPr>
            <w:tcW w:w="1542" w:type="pct"/>
            <w:gridSpan w:val="2"/>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标准输出控制单元</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具备数据采集、处理、存储、通讯，以及产品显示、质量控制、业务过程、状态监控等功能（满足中国局《气象监测预警补短板工程建设技术指南（修订）》要求）</w:t>
            </w:r>
          </w:p>
        </w:tc>
      </w:tr>
    </w:tbl>
    <w:p>
      <w:pPr>
        <w:spacing w:line="560" w:lineRule="exact"/>
        <w:jc w:val="center"/>
        <w:rPr>
          <w:rFonts w:ascii="仿宋_GB2312" w:eastAsia="仿宋_GB2312" w:hAnsi="仿宋_GB2312" w:cs="仿宋_GB2312" w:hint="eastAsia"/>
          <w:b/>
          <w:bCs/>
          <w:szCs w:val="21"/>
        </w:rPr>
      </w:pPr>
      <w:r>
        <w:rPr>
          <w:rFonts w:ascii="仿宋_GB2312" w:eastAsia="仿宋_GB2312" w:hAnsi="仿宋_GB2312" w:cs="仿宋_GB2312" w:hint="eastAsia"/>
          <w:b/>
          <w:bCs/>
          <w:szCs w:val="21"/>
        </w:rPr>
        <w:t>配置要求</w:t>
      </w:r>
    </w:p>
    <w:tbl>
      <w:tblPr>
        <w:tblStyle w:val="TableNormal"/>
        <w:tblW w:w="9097"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 w:type="dxa"/>
          <w:bottom w:w="0" w:type="dxa"/>
          <w:right w:w="10" w:type="dxa"/>
        </w:tblCellMar>
        <w:tblLook w:val="0000"/>
      </w:tblPr>
      <w:tblGrid>
        <w:gridCol w:w="558"/>
        <w:gridCol w:w="1846"/>
        <w:gridCol w:w="709"/>
        <w:gridCol w:w="709"/>
        <w:gridCol w:w="3823"/>
        <w:gridCol w:w="1452"/>
      </w:tblGrid>
      <w:tr>
        <w:tblPrEx>
          <w:tblW w:w="9097"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 w:type="dxa"/>
            <w:bottom w:w="0" w:type="dxa"/>
            <w:right w:w="10" w:type="dxa"/>
          </w:tblCellMar>
          <w:tblLook w:val="0000"/>
        </w:tblPrEx>
        <w:trPr>
          <w:trHeight w:val="503"/>
          <w:jc w:val="center"/>
        </w:trPr>
        <w:tc>
          <w:tcPr>
            <w:tcW w:w="558" w:type="dxa"/>
            <w:vAlign w:val="center"/>
          </w:tcPr>
          <w:p>
            <w:pPr>
              <w:widowControl/>
              <w:jc w:val="center"/>
              <w:rPr>
                <w:rFonts w:ascii="仿宋" w:eastAsia="仿宋" w:hAnsi="仿宋" w:cs="仿宋" w:hint="eastAsia"/>
                <w:b/>
                <w:kern w:val="0"/>
              </w:rPr>
            </w:pPr>
            <w:r>
              <w:rPr>
                <w:rFonts w:ascii="仿宋" w:eastAsia="仿宋" w:hAnsi="仿宋" w:cs="仿宋" w:hint="eastAsia"/>
                <w:b/>
                <w:kern w:val="0"/>
                <w:sz w:val="24"/>
              </w:rPr>
              <w:t>序号</w:t>
            </w:r>
          </w:p>
        </w:tc>
        <w:tc>
          <w:tcPr>
            <w:tcW w:w="1846" w:type="dxa"/>
            <w:vAlign w:val="center"/>
          </w:tcPr>
          <w:p>
            <w:pPr>
              <w:widowControl/>
              <w:jc w:val="center"/>
              <w:rPr>
                <w:rFonts w:ascii="仿宋" w:eastAsia="仿宋" w:hAnsi="仿宋" w:cs="仿宋" w:hint="eastAsia"/>
                <w:b/>
                <w:kern w:val="0"/>
              </w:rPr>
            </w:pPr>
            <w:r>
              <w:rPr>
                <w:rFonts w:ascii="仿宋" w:eastAsia="仿宋" w:hAnsi="仿宋" w:cs="仿宋" w:hint="eastAsia"/>
                <w:b/>
                <w:kern w:val="0"/>
                <w:sz w:val="24"/>
              </w:rPr>
              <w:t>设备名称</w:t>
            </w:r>
          </w:p>
        </w:tc>
        <w:tc>
          <w:tcPr>
            <w:tcW w:w="709" w:type="dxa"/>
            <w:vAlign w:val="center"/>
          </w:tcPr>
          <w:p>
            <w:pPr>
              <w:widowControl/>
              <w:jc w:val="center"/>
              <w:rPr>
                <w:rFonts w:ascii="仿宋" w:eastAsia="仿宋" w:hAnsi="仿宋" w:cs="仿宋" w:hint="eastAsia"/>
                <w:b/>
                <w:kern w:val="0"/>
              </w:rPr>
            </w:pPr>
            <w:r>
              <w:rPr>
                <w:rFonts w:ascii="仿宋" w:eastAsia="仿宋" w:hAnsi="仿宋" w:cs="仿宋" w:hint="eastAsia"/>
                <w:b/>
                <w:kern w:val="0"/>
                <w:sz w:val="24"/>
              </w:rPr>
              <w:t>单位</w:t>
            </w:r>
          </w:p>
        </w:tc>
        <w:tc>
          <w:tcPr>
            <w:tcW w:w="709" w:type="dxa"/>
            <w:vAlign w:val="center"/>
          </w:tcPr>
          <w:p>
            <w:pPr>
              <w:widowControl/>
              <w:jc w:val="center"/>
              <w:rPr>
                <w:rFonts w:ascii="仿宋" w:eastAsia="仿宋" w:hAnsi="仿宋" w:cs="仿宋" w:hint="eastAsia"/>
                <w:b/>
                <w:kern w:val="0"/>
              </w:rPr>
            </w:pPr>
            <w:r>
              <w:rPr>
                <w:rFonts w:ascii="仿宋" w:eastAsia="仿宋" w:hAnsi="仿宋" w:cs="仿宋" w:hint="eastAsia"/>
                <w:b/>
                <w:kern w:val="0"/>
                <w:sz w:val="24"/>
              </w:rPr>
              <w:t>数量</w:t>
            </w:r>
          </w:p>
        </w:tc>
        <w:tc>
          <w:tcPr>
            <w:tcW w:w="3823" w:type="dxa"/>
            <w:vAlign w:val="center"/>
          </w:tcPr>
          <w:p>
            <w:pPr>
              <w:widowControl/>
              <w:jc w:val="center"/>
              <w:rPr>
                <w:rFonts w:ascii="仿宋" w:eastAsia="仿宋" w:hAnsi="仿宋" w:cs="仿宋" w:hint="eastAsia"/>
                <w:b/>
                <w:kern w:val="0"/>
              </w:rPr>
            </w:pPr>
            <w:r>
              <w:rPr>
                <w:rFonts w:ascii="仿宋" w:eastAsia="仿宋" w:hAnsi="仿宋" w:cs="仿宋" w:hint="eastAsia"/>
                <w:b/>
                <w:kern w:val="0"/>
                <w:sz w:val="24"/>
              </w:rPr>
              <w:t>主要功能</w:t>
            </w:r>
          </w:p>
        </w:tc>
        <w:tc>
          <w:tcPr>
            <w:tcW w:w="1452" w:type="dxa"/>
            <w:vAlign w:val="center"/>
          </w:tcPr>
          <w:p>
            <w:pPr>
              <w:widowControl/>
              <w:jc w:val="center"/>
              <w:rPr>
                <w:rFonts w:ascii="仿宋" w:eastAsia="仿宋" w:hAnsi="仿宋" w:cs="仿宋" w:hint="eastAsia"/>
                <w:b/>
                <w:kern w:val="0"/>
              </w:rPr>
            </w:pPr>
            <w:r>
              <w:rPr>
                <w:rFonts w:ascii="仿宋" w:eastAsia="仿宋" w:hAnsi="仿宋" w:cs="仿宋" w:hint="eastAsia"/>
                <w:b/>
                <w:kern w:val="0"/>
                <w:sz w:val="24"/>
              </w:rPr>
              <w:t>备注</w:t>
            </w:r>
          </w:p>
        </w:tc>
      </w:tr>
      <w:tr>
        <w:tblPrEx>
          <w:tblW w:w="9097" w:type="dxa"/>
          <w:jc w:val="center"/>
          <w:tblLayout w:type="fixed"/>
          <w:tblCellMar>
            <w:top w:w="0" w:type="dxa"/>
            <w:left w:w="10" w:type="dxa"/>
            <w:bottom w:w="0" w:type="dxa"/>
            <w:right w:w="10" w:type="dxa"/>
          </w:tblCellMar>
          <w:tblLook w:val="0000"/>
        </w:tblPrEx>
        <w:trPr>
          <w:trHeight w:val="1260"/>
          <w:jc w:val="center"/>
        </w:trPr>
        <w:tc>
          <w:tcPr>
            <w:tcW w:w="558"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1846"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微波辐射计室外主机</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台</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3823" w:type="dxa"/>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具备温度、水汽多通道复合大气微波辐射及云红外辐射接收能力，同时还能监测工作现场的温度、湿度、气压、降水等气象要素以及设备工作状态信息。</w:t>
            </w:r>
          </w:p>
        </w:tc>
        <w:tc>
          <w:tcPr>
            <w:tcW w:w="1452" w:type="dxa"/>
            <w:vMerge w:val="restart"/>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包含设备运输、安装、调试、验收等。</w:t>
            </w:r>
          </w:p>
        </w:tc>
      </w:tr>
      <w:tr>
        <w:tblPrEx>
          <w:tblW w:w="9097" w:type="dxa"/>
          <w:jc w:val="center"/>
          <w:tblLayout w:type="fixed"/>
          <w:tblCellMar>
            <w:top w:w="0" w:type="dxa"/>
            <w:left w:w="10" w:type="dxa"/>
            <w:bottom w:w="0" w:type="dxa"/>
            <w:right w:w="10" w:type="dxa"/>
          </w:tblCellMar>
          <w:tblLook w:val="0000"/>
        </w:tblPrEx>
        <w:trPr>
          <w:trHeight w:val="638"/>
          <w:jc w:val="center"/>
        </w:trPr>
        <w:tc>
          <w:tcPr>
            <w:tcW w:w="558"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2</w:t>
            </w:r>
          </w:p>
        </w:tc>
        <w:tc>
          <w:tcPr>
            <w:tcW w:w="1846"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辅助单元</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套</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3823" w:type="dxa"/>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外部液氮标定组件、防雨雾干燥组件、加热组件、地面气象观测要素观测组件。</w:t>
            </w:r>
          </w:p>
        </w:tc>
        <w:tc>
          <w:tcPr>
            <w:tcW w:w="1452" w:type="dxa"/>
            <w:vMerge/>
            <w:vAlign w:val="center"/>
          </w:tcPr>
          <w:p>
            <w:pPr>
              <w:widowControl/>
              <w:jc w:val="left"/>
              <w:rPr>
                <w:rFonts w:ascii="仿宋" w:eastAsia="仿宋" w:hAnsi="仿宋" w:cs="仿宋" w:hint="eastAsia"/>
                <w:bCs/>
                <w:kern w:val="0"/>
              </w:rPr>
            </w:pPr>
          </w:p>
        </w:tc>
      </w:tr>
      <w:tr>
        <w:tblPrEx>
          <w:tblW w:w="9097" w:type="dxa"/>
          <w:jc w:val="center"/>
          <w:tblLayout w:type="fixed"/>
          <w:tblCellMar>
            <w:top w:w="0" w:type="dxa"/>
            <w:left w:w="10" w:type="dxa"/>
            <w:bottom w:w="0" w:type="dxa"/>
            <w:right w:w="10" w:type="dxa"/>
          </w:tblCellMar>
          <w:tblLook w:val="0000"/>
        </w:tblPrEx>
        <w:trPr>
          <w:trHeight w:val="638"/>
          <w:jc w:val="center"/>
        </w:trPr>
        <w:tc>
          <w:tcPr>
            <w:tcW w:w="558"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3</w:t>
            </w:r>
          </w:p>
        </w:tc>
        <w:tc>
          <w:tcPr>
            <w:tcW w:w="1846"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辐射计管理应用软件</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套</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3823" w:type="dxa"/>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运算生成大气温湿度廓线等多种气象产品，控制和监测辐射计主机及附属设备的工作状态。</w:t>
            </w:r>
          </w:p>
        </w:tc>
        <w:tc>
          <w:tcPr>
            <w:tcW w:w="1452" w:type="dxa"/>
            <w:vMerge/>
            <w:vAlign w:val="center"/>
          </w:tcPr>
          <w:p>
            <w:pPr>
              <w:widowControl/>
              <w:jc w:val="left"/>
              <w:rPr>
                <w:rFonts w:ascii="仿宋" w:eastAsia="仿宋" w:hAnsi="仿宋" w:cs="仿宋" w:hint="eastAsia"/>
                <w:bCs/>
                <w:kern w:val="0"/>
              </w:rPr>
            </w:pPr>
          </w:p>
        </w:tc>
      </w:tr>
      <w:tr>
        <w:tblPrEx>
          <w:tblW w:w="9097" w:type="dxa"/>
          <w:jc w:val="center"/>
          <w:tblLayout w:type="fixed"/>
          <w:tblCellMar>
            <w:top w:w="0" w:type="dxa"/>
            <w:left w:w="10" w:type="dxa"/>
            <w:bottom w:w="0" w:type="dxa"/>
            <w:right w:w="10" w:type="dxa"/>
          </w:tblCellMar>
          <w:tblLook w:val="0000"/>
        </w:tblPrEx>
        <w:trPr>
          <w:trHeight w:val="327"/>
          <w:jc w:val="center"/>
        </w:trPr>
        <w:tc>
          <w:tcPr>
            <w:tcW w:w="558"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4</w:t>
            </w:r>
          </w:p>
        </w:tc>
        <w:tc>
          <w:tcPr>
            <w:tcW w:w="1846"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标准输出控制单元</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套</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3823" w:type="dxa"/>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辐射计数据质量监测单元。</w:t>
            </w:r>
          </w:p>
        </w:tc>
        <w:tc>
          <w:tcPr>
            <w:tcW w:w="1452" w:type="dxa"/>
            <w:vMerge/>
            <w:vAlign w:val="center"/>
          </w:tcPr>
          <w:p>
            <w:pPr>
              <w:widowControl/>
              <w:jc w:val="left"/>
              <w:rPr>
                <w:rFonts w:ascii="仿宋" w:eastAsia="仿宋" w:hAnsi="仿宋" w:cs="仿宋" w:hint="eastAsia"/>
                <w:bCs/>
                <w:kern w:val="0"/>
              </w:rPr>
            </w:pPr>
          </w:p>
        </w:tc>
      </w:tr>
      <w:tr>
        <w:tblPrEx>
          <w:tblW w:w="9097" w:type="dxa"/>
          <w:jc w:val="center"/>
          <w:tblLayout w:type="fixed"/>
          <w:tblCellMar>
            <w:top w:w="0" w:type="dxa"/>
            <w:left w:w="10" w:type="dxa"/>
            <w:bottom w:w="0" w:type="dxa"/>
            <w:right w:w="10" w:type="dxa"/>
          </w:tblCellMar>
          <w:tblLook w:val="0000"/>
        </w:tblPrEx>
        <w:trPr>
          <w:trHeight w:val="327"/>
          <w:jc w:val="center"/>
        </w:trPr>
        <w:tc>
          <w:tcPr>
            <w:tcW w:w="558"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5</w:t>
            </w:r>
          </w:p>
        </w:tc>
        <w:tc>
          <w:tcPr>
            <w:tcW w:w="1846"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室外支架</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台</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3823" w:type="dxa"/>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室外主机安装。</w:t>
            </w:r>
          </w:p>
        </w:tc>
        <w:tc>
          <w:tcPr>
            <w:tcW w:w="1452" w:type="dxa"/>
            <w:vMerge/>
            <w:vAlign w:val="center"/>
          </w:tcPr>
          <w:p>
            <w:pPr>
              <w:widowControl/>
              <w:jc w:val="left"/>
              <w:rPr>
                <w:rFonts w:ascii="仿宋" w:eastAsia="仿宋" w:hAnsi="仿宋" w:cs="仿宋" w:hint="eastAsia"/>
                <w:bCs/>
                <w:kern w:val="0"/>
              </w:rPr>
            </w:pPr>
          </w:p>
        </w:tc>
      </w:tr>
      <w:tr>
        <w:tblPrEx>
          <w:tblW w:w="9097" w:type="dxa"/>
          <w:jc w:val="center"/>
          <w:tblLayout w:type="fixed"/>
          <w:tblCellMar>
            <w:top w:w="0" w:type="dxa"/>
            <w:left w:w="10" w:type="dxa"/>
            <w:bottom w:w="0" w:type="dxa"/>
            <w:right w:w="10" w:type="dxa"/>
          </w:tblCellMar>
          <w:tblLook w:val="0000"/>
        </w:tblPrEx>
        <w:trPr>
          <w:trHeight w:val="638"/>
          <w:jc w:val="center"/>
        </w:trPr>
        <w:tc>
          <w:tcPr>
            <w:tcW w:w="558"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6</w:t>
            </w:r>
          </w:p>
        </w:tc>
        <w:tc>
          <w:tcPr>
            <w:tcW w:w="1846"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产品技术手册</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套</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3823" w:type="dxa"/>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产品技术说明书、软件使用操作说明书、产品维护说明书。</w:t>
            </w:r>
          </w:p>
        </w:tc>
        <w:tc>
          <w:tcPr>
            <w:tcW w:w="1452" w:type="dxa"/>
            <w:vMerge/>
            <w:vAlign w:val="center"/>
          </w:tcPr>
          <w:p>
            <w:pPr>
              <w:widowControl/>
              <w:jc w:val="left"/>
              <w:rPr>
                <w:rFonts w:ascii="仿宋" w:eastAsia="仿宋" w:hAnsi="仿宋" w:cs="仿宋" w:hint="eastAsia"/>
                <w:bCs/>
                <w:kern w:val="0"/>
              </w:rPr>
            </w:pPr>
          </w:p>
        </w:tc>
      </w:tr>
      <w:tr>
        <w:tblPrEx>
          <w:tblW w:w="9097" w:type="dxa"/>
          <w:jc w:val="center"/>
          <w:tblLayout w:type="fixed"/>
          <w:tblCellMar>
            <w:top w:w="0" w:type="dxa"/>
            <w:left w:w="10" w:type="dxa"/>
            <w:bottom w:w="0" w:type="dxa"/>
            <w:right w:w="10" w:type="dxa"/>
          </w:tblCellMar>
          <w:tblLook w:val="0000"/>
        </w:tblPrEx>
        <w:trPr>
          <w:trHeight w:val="342"/>
          <w:jc w:val="center"/>
        </w:trPr>
        <w:tc>
          <w:tcPr>
            <w:tcW w:w="558"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7</w:t>
            </w:r>
          </w:p>
        </w:tc>
        <w:tc>
          <w:tcPr>
            <w:tcW w:w="1846"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随机附件备件</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套</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3823" w:type="dxa"/>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随机备件一套。</w:t>
            </w:r>
          </w:p>
        </w:tc>
        <w:tc>
          <w:tcPr>
            <w:tcW w:w="1452" w:type="dxa"/>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随机免费提供</w:t>
            </w:r>
          </w:p>
        </w:tc>
      </w:tr>
    </w:tbl>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四、质保服务要求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4.1 设备建设</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设备供应商对投标产品技术指标要求、采购人质量服务要求及项目建设特点应有全面、深入的理解。设备供应商需提供详细项目建设方案，包括但不限于：产品质量检测方案、设备安装建设方案、建设工期安排、工期保证措施等。由设备供应商负责设备安装、调试等工作，用户方负责提供安装场地、供电及通讯，设备安装调试、验收等相关工作,费用由设备供应商负责。设备不合格或不符合质量要求，供应商除无条件退货、返工外，还应承担采购人的一切损失。</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4.2技术服务</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（1）设备供应商需提供详细技术服务方案，包括但不限于：设备安装建设规范、设备工作原理、设备部件结构组成、设备操作手册、设备运行维护手册、设备软件使用手册、相关产品算法说明文档等。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（2）设备供应商需提供详细售后服务方案，包括设备售后服务组织机构、人员组成、技术支持文档等。其中，售后服务组织机构设置合理，人员技术能力强，技术文档内容全面。</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（3）设备供应商对每套投标产品提供至少2次技术培训，培训内容包括设备安装、使用、日常维护、观测原理及产品应用，培训时间及地点双方协商确定。</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4.3 质保期服务</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w:t>
      </w:r>
      <w:r>
        <w:rPr>
          <w:rFonts w:ascii="仿宋" w:eastAsia="仿宋" w:hAnsi="仿宋" w:cs="仿宋" w:hint="eastAsia"/>
          <w:sz w:val="28"/>
          <w:szCs w:val="20"/>
          <w:highlight w:val="yellow"/>
        </w:rPr>
        <w:t>设备供应商对所有设备提供自验收合格后8年的免费维护维修服务*，</w:t>
      </w:r>
      <w:r>
        <w:rPr>
          <w:rFonts w:ascii="仿宋" w:eastAsia="仿宋" w:hAnsi="仿宋" w:cs="仿宋" w:hint="eastAsia"/>
          <w:sz w:val="28"/>
          <w:szCs w:val="20"/>
        </w:rPr>
        <w:t>并提供相关承诺函。按照业务运行规范要求执行，确保设备可稳定运行，主要工作包括：汛前巡检、周维护、月维护、年维护等巡检巡查工作，以及关键器件及系统故障的维修等。故障维修和巡检巡查等需按照《2022年度补短板工程新上设备建设及质保指导意见（地基遥感垂直观测系统）》要求执行。</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（2）在质保期内，设备供应商服务时间应为 7</w:t>
      </w:r>
      <w:r>
        <w:rPr>
          <w:rFonts w:ascii="仿宋" w:eastAsia="仿宋" w:hAnsi="仿宋" w:cs="仿宋" w:hint="eastAsia"/>
          <w:sz w:val="28"/>
          <w:szCs w:val="20"/>
        </w:rPr>
        <w:t>×</w:t>
      </w:r>
      <w:r>
        <w:rPr>
          <w:rFonts w:ascii="仿宋" w:eastAsia="仿宋" w:hAnsi="仿宋" w:cs="仿宋" w:hint="eastAsia"/>
          <w:sz w:val="28"/>
          <w:szCs w:val="20"/>
        </w:rPr>
        <w:t>24小时，当投标产品或软件遭到损坏或出现故障时，要在用户报修之时起4小时内做出响应，并在48小时内到达现场，开展维修维护工作，视情况双方协商设备恢复正常运行时限。</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（3）质保期过后，设备供应商仍有义务提供技术服务（包括提供设备维护、备件等）。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五、验收要求（检验考核要求等）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参照《地基微波辐射计功能规格需求书》《地基微波辐射计测试大纲》和《地基遥感垂直观测系统测试大纲》以及中国气象局最新业务管理规定等有关文件要求开展检验考核。</w:t>
      </w:r>
    </w:p>
    <w:p>
      <w:pPr>
        <w:spacing w:line="560" w:lineRule="exact"/>
        <w:ind w:left="420" w:leftChars="200"/>
        <w:rPr>
          <w:rFonts w:ascii="仿宋" w:eastAsia="仿宋" w:hAnsi="仿宋" w:cs="仿宋" w:hint="eastAsia"/>
          <w:sz w:val="28"/>
          <w:szCs w:val="20"/>
        </w:rPr>
      </w:pPr>
      <w:r>
        <w:rPr>
          <w:rFonts w:ascii="仿宋" w:eastAsia="仿宋" w:hAnsi="仿宋" w:cs="仿宋" w:hint="eastAsia"/>
          <w:sz w:val="28"/>
          <w:szCs w:val="20"/>
        </w:rPr>
        <w:t>六、其他要求</w:t>
      </w:r>
      <w:r>
        <w:rPr>
          <w:rFonts w:ascii="仿宋" w:eastAsia="仿宋" w:hAnsi="仿宋" w:cs="仿宋" w:hint="eastAsia"/>
          <w:sz w:val="28"/>
          <w:szCs w:val="20"/>
        </w:rPr>
        <w:br/>
      </w:r>
      <w:r>
        <w:rPr>
          <w:rFonts w:ascii="仿宋" w:eastAsia="仿宋" w:hAnsi="仿宋" w:cs="仿宋" w:hint="eastAsia"/>
          <w:sz w:val="28"/>
          <w:szCs w:val="20"/>
        </w:rPr>
        <w:t>详见采购需求-其他技术及商务需求。</w:t>
      </w:r>
    </w:p>
    <w:p>
      <w:pPr>
        <w:spacing w:line="240" w:lineRule="auto"/>
        <w:outlineLvl w:val="9"/>
        <w:rPr>
          <w:rFonts w:ascii="Times New Roman" w:hAnsi="Times New Roman" w:hint="default"/>
          <w:bCs w:val="0"/>
          <w:snapToGrid/>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56"/>
        <w:gridCol w:w="1286"/>
        <w:gridCol w:w="1076"/>
        <w:gridCol w:w="1496"/>
        <w:gridCol w:w="1706"/>
        <w:gridCol w:w="1076"/>
        <w:gridCol w:w="1161"/>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微波辐射计</w:t>
            </w:r>
          </w:p>
        </w:tc>
        <w:tc>
          <w:tcPr/>
          <w:p>
            <w:pPr>
              <w:autoSpaceDE w:val="0"/>
              <w:jc w:val="center"/>
              <w:rPr>
                <w:rFonts w:asciiTheme="minorEastAsia" w:hAnsiTheme="minorEastAsia" w:cstheme="minorEastAsia"/>
                <w:kern w:val="0"/>
                <w:szCs w:val="21"/>
              </w:rPr>
            </w:pPr>
            <w:r>
              <w:t>5</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8,500,000.00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r>
              <w:t>含8年维保</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8,500,000.00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05"/>
        <w:gridCol w:w="695"/>
        <w:gridCol w:w="598"/>
        <w:gridCol w:w="305"/>
        <w:gridCol w:w="695"/>
        <w:gridCol w:w="580"/>
        <w:gridCol w:w="1574"/>
        <w:gridCol w:w="377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保障中心</w:t>
            </w:r>
          </w:p>
        </w:tc>
        <w:tc>
          <w:tcPr/>
          <w:p>
            <w:r>
              <w:t>微波辐射计</w:t>
            </w:r>
          </w:p>
        </w:tc>
        <w:tc>
          <w:tcPr/>
          <w:p>
            <w:r>
              <w:t>1</w:t>
            </w:r>
          </w:p>
        </w:tc>
        <w:tc>
          <w:tcPr/>
          <w:p>
            <w:r>
              <w:t>1700000.00</w:t>
            </w:r>
          </w:p>
        </w:tc>
        <w:tc>
          <w:tcPr/>
          <w:p>
            <w:r>
              <w:t xml:space="preserve">1700000.00  </w:t>
            </w:r>
          </w:p>
        </w:tc>
        <w:tc>
          <w:tcPr/>
          <w:p>
            <w:r>
              <w:t>大连</w:t>
            </w:r>
          </w:p>
        </w:tc>
        <w:tc>
          <w:tcPr/>
          <w:p>
            <w:r>
              <w:t>采购人全称：大连市气象装备保障中心；联系人：刘广强13842680510</w:t>
            </w:r>
          </w:p>
        </w:tc>
      </w:tr>
      <w:tr>
        <w:tblPrEx>
          <w:tblW w:w="5000" w:type="pct"/>
          <w:tblCellMar>
            <w:left w:w="108" w:type="dxa"/>
            <w:right w:w="108" w:type="dxa"/>
          </w:tblCellMar>
        </w:tblPrEx>
        <w:tc>
          <w:tcPr/>
          <w:p>
            <w:r>
              <w:t>2</w:t>
            </w:r>
          </w:p>
        </w:tc>
        <w:tc>
          <w:tcPr/>
          <w:p>
            <w:r>
              <w:t>装备保障中心</w:t>
            </w:r>
          </w:p>
        </w:tc>
        <w:tc>
          <w:tcPr/>
          <w:p>
            <w:r>
              <w:t>微波辐射计</w:t>
            </w:r>
          </w:p>
        </w:tc>
        <w:tc>
          <w:tcPr/>
          <w:p>
            <w:r>
              <w:t>4</w:t>
            </w:r>
          </w:p>
        </w:tc>
        <w:tc>
          <w:tcPr/>
          <w:p>
            <w:r>
              <w:t>6800000.00</w:t>
            </w:r>
          </w:p>
        </w:tc>
        <w:tc>
          <w:tcPr/>
          <w:p>
            <w:r>
              <w:t xml:space="preserve">6800000.00 </w:t>
            </w:r>
          </w:p>
        </w:tc>
        <w:tc>
          <w:tcPr/>
          <w:p>
            <w:r>
              <w:t>乌鲁木齐、库车、阿拉山口、塔城</w:t>
            </w:r>
          </w:p>
        </w:tc>
        <w:tc>
          <w:tcPr/>
          <w:p>
            <w:r>
              <w:t>采购人全称：新疆维吾尔自治区气象技术装备保障中心；联系人：冯婉悦13809953585</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highlight w:val="none"/>
        </w:rPr>
      </w:pPr>
      <w:r>
        <w:rPr>
          <w:rFonts w:ascii="仿宋" w:eastAsia="仿宋" w:hAnsi="仿宋" w:cs="仿宋"/>
          <w:b/>
          <w:sz w:val="36"/>
          <w:szCs w:val="36"/>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highlight w:val="none"/>
        </w:rPr>
        <w:instrText>ADDIN CNKISM.UserStyle</w:instrText>
      </w:r>
      <w:r>
        <w:rPr>
          <w:rFonts w:ascii="仿宋" w:eastAsia="仿宋" w:hAnsi="仿宋" w:cs="仿宋"/>
          <w:b/>
          <w:sz w:val="36"/>
          <w:szCs w:val="36"/>
          <w:highlight w:val="none"/>
        </w:rPr>
        <w:fldChar w:fldCharType="separate"/>
      </w:r>
      <w:r>
        <w:rPr>
          <w:rFonts w:ascii="仿宋" w:eastAsia="仿宋" w:hAnsi="仿宋" w:cs="仿宋"/>
          <w:b/>
          <w:sz w:val="36"/>
          <w:szCs w:val="36"/>
          <w:highlight w:val="none"/>
        </w:rPr>
        <w:fldChar w:fldCharType="end"/>
      </w:r>
      <w:r>
        <w:rPr>
          <w:rFonts w:ascii="仿宋" w:eastAsia="仿宋" w:hAnsi="仿宋" w:cs="仿宋" w:hint="eastAsia"/>
          <w:b/>
          <w:sz w:val="36"/>
          <w:szCs w:val="36"/>
          <w:highlight w:val="none"/>
        </w:rPr>
        <w:t>采购需求（其他技术及商务需求）</w:t>
      </w:r>
    </w:p>
    <w:p>
      <w:pPr>
        <w:spacing w:line="560" w:lineRule="exact"/>
        <w:ind w:firstLine="560" w:firstLineChars="200"/>
        <w:rPr>
          <w:rFonts w:ascii="仿宋" w:eastAsia="仿宋" w:hAnsi="仿宋" w:cs="仿宋"/>
          <w:b/>
          <w:bCs/>
          <w:sz w:val="28"/>
          <w:szCs w:val="20"/>
          <w:highlight w:val="none"/>
        </w:rPr>
      </w:pPr>
      <w:r>
        <w:rPr>
          <w:rFonts w:ascii="仿宋" w:eastAsia="仿宋" w:hAnsi="仿宋" w:cs="仿宋" w:hint="eastAsia"/>
          <w:b/>
          <w:bCs/>
          <w:sz w:val="28"/>
          <w:szCs w:val="20"/>
          <w:highlight w:val="none"/>
        </w:rPr>
        <w:t>一、项目概况及总体要求</w:t>
      </w:r>
    </w:p>
    <w:p>
      <w:pPr>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依据2025年地基遥感垂直观测系统-微波辐射计建设项目的要求，需在新疆</w:t>
      </w:r>
      <w:r>
        <w:rPr>
          <w:rFonts w:ascii="仿宋" w:eastAsia="仿宋" w:hAnsi="仿宋" w:cs="仿宋" w:hint="eastAsia"/>
          <w:sz w:val="28"/>
          <w:szCs w:val="20"/>
          <w:highlight w:val="none"/>
          <w:lang w:eastAsia="zh-CN"/>
        </w:rPr>
        <w:t>、</w:t>
      </w:r>
      <w:r>
        <w:rPr>
          <w:rFonts w:ascii="仿宋" w:eastAsia="仿宋" w:hAnsi="仿宋" w:cs="仿宋" w:hint="eastAsia"/>
          <w:sz w:val="28"/>
          <w:szCs w:val="20"/>
          <w:highlight w:val="none"/>
          <w:lang w:val="en-US" w:eastAsia="zh-CN"/>
        </w:rPr>
        <w:t>大连布设5套</w:t>
      </w:r>
      <w:r>
        <w:rPr>
          <w:rFonts w:ascii="仿宋" w:eastAsia="仿宋" w:hAnsi="仿宋" w:cs="仿宋" w:hint="eastAsia"/>
          <w:sz w:val="28"/>
          <w:szCs w:val="20"/>
          <w:highlight w:val="none"/>
        </w:rPr>
        <w:t>微波辐射计获取温度、相对湿度、水汽密度廓线等参数与其他地基遥感设备组建地基遥感垂直观测系统，形成大气温、湿、风、气溶胶和水凝物等气象要素三维立体监测网，解决当前探测系统的观测对影响中小尺度灾害性天气事件发生、发展的垂直结构观测能力薄弱的问题</w:t>
      </w:r>
      <w:r>
        <w:rPr>
          <w:rFonts w:ascii="仿宋" w:eastAsia="仿宋" w:hAnsi="仿宋" w:cs="仿宋" w:hint="eastAsia"/>
          <w:sz w:val="28"/>
          <w:szCs w:val="20"/>
          <w:highlight w:val="none"/>
          <w:lang w:eastAsia="zh-CN"/>
        </w:rPr>
        <w:t>。</w:t>
      </w:r>
      <w:r>
        <w:rPr>
          <w:rFonts w:ascii="仿宋" w:eastAsia="仿宋" w:hAnsi="仿宋" w:cs="仿宋" w:hint="eastAsia"/>
          <w:sz w:val="28"/>
          <w:szCs w:val="20"/>
          <w:highlight w:val="none"/>
        </w:rPr>
        <w:t>通过加密布设地基遥感垂直观测系统使观测时间从十几小时提升至分钟，提高捕捉中小尺度灾害性天气过程的探测能力。</w:t>
      </w:r>
    </w:p>
    <w:p>
      <w:pPr>
        <w:ind w:firstLine="560" w:firstLineChars="200"/>
        <w:rPr>
          <w:rFonts w:ascii="仿宋" w:eastAsia="仿宋" w:hAnsi="仿宋" w:cs="仿宋"/>
          <w:b/>
          <w:bCs/>
          <w:sz w:val="28"/>
          <w:szCs w:val="20"/>
          <w:highlight w:val="none"/>
        </w:rPr>
      </w:pPr>
      <w:r>
        <w:rPr>
          <w:rFonts w:ascii="仿宋" w:eastAsia="仿宋" w:hAnsi="仿宋" w:cs="仿宋" w:hint="eastAsia"/>
          <w:b/>
          <w:bCs/>
          <w:sz w:val="28"/>
          <w:szCs w:val="20"/>
          <w:highlight w:val="none"/>
        </w:rPr>
        <w:t>二、售后服务要求</w:t>
      </w:r>
    </w:p>
    <w:p>
      <w:pPr>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设备供应商需提供详细售后服务方案，包括设备售后服务组织机构、人员组成、技术支持文档等。其中，售后服务组织机构设置合理，人员技术能力强，技术文档内容全面。</w:t>
      </w:r>
    </w:p>
    <w:p>
      <w:pPr>
        <w:ind w:firstLine="560" w:firstLineChars="200"/>
        <w:rPr>
          <w:rFonts w:ascii="仿宋" w:eastAsia="仿宋" w:hAnsi="仿宋" w:cs="仿宋"/>
          <w:b/>
          <w:bCs/>
          <w:sz w:val="28"/>
          <w:szCs w:val="20"/>
          <w:highlight w:val="none"/>
        </w:rPr>
      </w:pPr>
      <w:r>
        <w:rPr>
          <w:rFonts w:ascii="仿宋" w:eastAsia="仿宋" w:hAnsi="仿宋" w:cs="仿宋" w:hint="eastAsia"/>
          <w:b/>
          <w:bCs/>
          <w:sz w:val="28"/>
          <w:szCs w:val="20"/>
          <w:highlight w:val="none"/>
        </w:rPr>
        <w:t>三、培训要求</w:t>
      </w:r>
    </w:p>
    <w:p>
      <w:pPr>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设备供应商对每套投标产品提供至少2次技术培训，培训课时</w:t>
      </w:r>
      <w:r>
        <w:rPr>
          <w:rFonts w:ascii="仿宋" w:eastAsia="仿宋" w:hAnsi="仿宋" w:cs="仿宋"/>
          <w:sz w:val="28"/>
          <w:szCs w:val="20"/>
          <w:highlight w:val="none"/>
        </w:rPr>
        <w:t>不少于</w:t>
      </w:r>
      <w:r>
        <w:rPr>
          <w:rFonts w:ascii="仿宋" w:eastAsia="仿宋" w:hAnsi="仿宋" w:cs="仿宋" w:hint="eastAsia"/>
          <w:sz w:val="28"/>
          <w:szCs w:val="20"/>
          <w:highlight w:val="none"/>
          <w:lang w:val="en-US" w:eastAsia="zh-CN"/>
        </w:rPr>
        <w:t>24</w:t>
      </w:r>
      <w:r>
        <w:rPr>
          <w:rFonts w:ascii="仿宋" w:eastAsia="仿宋" w:hAnsi="仿宋" w:cs="仿宋" w:hint="eastAsia"/>
          <w:sz w:val="28"/>
          <w:szCs w:val="20"/>
          <w:highlight w:val="none"/>
        </w:rPr>
        <w:t>个</w:t>
      </w:r>
      <w:r>
        <w:rPr>
          <w:rFonts w:ascii="仿宋" w:eastAsia="仿宋" w:hAnsi="仿宋" w:cs="仿宋"/>
          <w:sz w:val="28"/>
          <w:szCs w:val="20"/>
          <w:highlight w:val="none"/>
        </w:rPr>
        <w:t>课时，培训人数不少于</w:t>
      </w:r>
      <w:r>
        <w:rPr>
          <w:rFonts w:ascii="仿宋" w:eastAsia="仿宋" w:hAnsi="仿宋" w:cs="仿宋" w:hint="eastAsia"/>
          <w:sz w:val="28"/>
          <w:szCs w:val="20"/>
          <w:highlight w:val="none"/>
          <w:lang w:val="en-US" w:eastAsia="zh-CN"/>
        </w:rPr>
        <w:t>10</w:t>
      </w:r>
      <w:r>
        <w:rPr>
          <w:rFonts w:ascii="仿宋" w:eastAsia="仿宋" w:hAnsi="仿宋" w:cs="仿宋" w:hint="eastAsia"/>
          <w:sz w:val="28"/>
          <w:szCs w:val="20"/>
          <w:highlight w:val="none"/>
        </w:rPr>
        <w:t>人</w:t>
      </w:r>
      <w:r>
        <w:rPr>
          <w:rFonts w:ascii="仿宋" w:eastAsia="仿宋" w:hAnsi="仿宋" w:cs="仿宋"/>
          <w:sz w:val="28"/>
          <w:szCs w:val="20"/>
          <w:highlight w:val="none"/>
        </w:rPr>
        <w:t>。</w:t>
      </w:r>
      <w:r>
        <w:rPr>
          <w:rFonts w:ascii="仿宋" w:eastAsia="仿宋" w:hAnsi="仿宋" w:cs="仿宋" w:hint="eastAsia"/>
          <w:sz w:val="28"/>
          <w:szCs w:val="20"/>
          <w:highlight w:val="none"/>
        </w:rPr>
        <w:t>培训内容包括设备安装、使用、日常维护、观测原理及产品应用，培训时间及地点双方协商确定。</w:t>
      </w:r>
    </w:p>
    <w:p>
      <w:pPr>
        <w:ind w:firstLine="560" w:firstLineChars="200"/>
        <w:rPr>
          <w:rFonts w:ascii="仿宋" w:eastAsia="仿宋" w:hAnsi="仿宋" w:cs="仿宋"/>
          <w:b/>
          <w:bCs/>
          <w:sz w:val="28"/>
          <w:szCs w:val="20"/>
          <w:highlight w:val="none"/>
        </w:rPr>
      </w:pPr>
      <w:r>
        <w:rPr>
          <w:rFonts w:ascii="仿宋" w:eastAsia="仿宋" w:hAnsi="仿宋" w:cs="仿宋" w:hint="eastAsia"/>
          <w:b/>
          <w:bCs/>
          <w:sz w:val="28"/>
          <w:szCs w:val="20"/>
          <w:highlight w:val="none"/>
        </w:rPr>
        <w:t>四、交货要求及履约地点</w:t>
      </w:r>
    </w:p>
    <w:p>
      <w:pPr>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中标供应商将所有设备运送至</w:t>
      </w:r>
      <w:r>
        <w:rPr>
          <w:rFonts w:ascii="仿宋" w:eastAsia="仿宋" w:hAnsi="仿宋" w:cs="仿宋" w:hint="eastAsia"/>
          <w:sz w:val="28"/>
          <w:szCs w:val="20"/>
          <w:highlight w:val="none"/>
          <w:lang w:val="en-US" w:eastAsia="zh-CN"/>
        </w:rPr>
        <w:t>乌鲁木齐、库车、阿拉山口、塔城、大连</w:t>
      </w:r>
      <w:r>
        <w:rPr>
          <w:rFonts w:ascii="仿宋" w:eastAsia="仿宋" w:hAnsi="仿宋" w:cs="仿宋" w:hint="eastAsia"/>
          <w:sz w:val="28"/>
          <w:szCs w:val="20"/>
          <w:highlight w:val="none"/>
        </w:rPr>
        <w:t>（运输相关费用由供应商负责），并负责安装调试。</w:t>
      </w:r>
    </w:p>
    <w:p>
      <w:pPr>
        <w:ind w:left="559" w:leftChars="266"/>
        <w:rPr>
          <w:rFonts w:ascii="仿宋" w:eastAsia="仿宋" w:hAnsi="仿宋" w:cs="仿宋"/>
          <w:b/>
          <w:bCs/>
          <w:sz w:val="28"/>
          <w:szCs w:val="20"/>
          <w:highlight w:val="none"/>
        </w:rPr>
      </w:pPr>
      <w:r>
        <w:rPr>
          <w:rFonts w:ascii="仿宋" w:eastAsia="仿宋" w:hAnsi="仿宋" w:cs="仿宋" w:hint="eastAsia"/>
          <w:sz w:val="28"/>
          <w:szCs w:val="20"/>
          <w:highlight w:val="none"/>
        </w:rPr>
        <w:t>合同签订后120天内完成供货</w:t>
      </w:r>
      <w:r>
        <w:rPr>
          <w:rFonts w:ascii="仿宋" w:eastAsia="仿宋" w:hAnsi="仿宋" w:cs="仿宋" w:hint="eastAsia"/>
          <w:sz w:val="28"/>
          <w:szCs w:val="20"/>
          <w:highlight w:val="none"/>
          <w:lang w:eastAsia="zh-CN"/>
        </w:rPr>
        <w:t>，</w:t>
      </w:r>
      <w:r>
        <w:rPr>
          <w:rFonts w:ascii="仿宋" w:eastAsia="仿宋" w:hAnsi="仿宋" w:cs="仿宋" w:hint="eastAsia"/>
          <w:sz w:val="28"/>
          <w:szCs w:val="20"/>
          <w:highlight w:val="none"/>
          <w:lang w:val="en-US" w:eastAsia="zh-CN"/>
        </w:rPr>
        <w:t>180天内完成</w:t>
      </w:r>
      <w:r>
        <w:rPr>
          <w:rFonts w:ascii="仿宋" w:eastAsia="仿宋" w:hAnsi="仿宋" w:cs="仿宋" w:hint="eastAsia"/>
          <w:sz w:val="28"/>
          <w:szCs w:val="20"/>
          <w:highlight w:val="none"/>
        </w:rPr>
        <w:t>安装调试并具备验收条件。</w:t>
      </w:r>
      <w:r>
        <w:rPr>
          <w:rFonts w:ascii="仿宋" w:eastAsia="仿宋" w:hAnsi="仿宋" w:cs="仿宋" w:hint="eastAsia"/>
          <w:sz w:val="28"/>
          <w:szCs w:val="20"/>
          <w:highlight w:val="none"/>
        </w:rPr>
        <w:br/>
      </w:r>
      <w:r>
        <w:rPr>
          <w:rFonts w:ascii="仿宋" w:eastAsia="仿宋" w:hAnsi="仿宋" w:cs="仿宋" w:hint="eastAsia"/>
          <w:b/>
          <w:bCs/>
          <w:sz w:val="28"/>
          <w:szCs w:val="20"/>
          <w:highlight w:val="none"/>
        </w:rPr>
        <w:t>五、服务团队要求</w:t>
      </w:r>
    </w:p>
    <w:p>
      <w:pPr>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highlight w:val="none"/>
        </w:rPr>
      </w:pPr>
      <w:r>
        <w:rPr>
          <w:rFonts w:ascii="仿宋" w:eastAsia="仿宋" w:hAnsi="仿宋" w:cs="仿宋" w:hint="eastAsia"/>
          <w:b/>
          <w:bCs/>
          <w:sz w:val="28"/>
          <w:szCs w:val="20"/>
          <w:highlight w:val="none"/>
        </w:rPr>
        <w:t>六、投标产品软件兼容性要求</w:t>
      </w:r>
    </w:p>
    <w:p>
      <w:pPr>
        <w:ind w:firstLine="560" w:firstLineChars="200"/>
        <w:rPr>
          <w:rFonts w:ascii="仿宋" w:eastAsia="仿宋" w:hAnsi="仿宋" w:cs="仿宋" w:hint="eastAsia"/>
          <w:sz w:val="28"/>
          <w:szCs w:val="20"/>
          <w:highlight w:val="none"/>
        </w:rPr>
      </w:pPr>
      <w:r>
        <w:rPr>
          <w:rFonts w:ascii="仿宋" w:eastAsia="仿宋" w:hAnsi="仿宋" w:cs="仿宋" w:hint="eastAsia"/>
          <w:sz w:val="28"/>
          <w:szCs w:val="20"/>
          <w:highlight w:val="none"/>
        </w:rPr>
        <w:t>设备软件兼容性强，设备数据传输模式、数据格式、数据通讯协议满足中国气象局下发的《地基遥感垂直气象观测业务管理规定（2024版）》（气测函〔2024〕14号），可无缝接入气象业务内网网络系统，实现与气象业务内网网络系统、天元、天衡天衍、天擎及省级业务平台无缝接入，完全符合甲方相关要求和规范，保证其系统的兼容性和功能的完整性。</w:t>
      </w:r>
    </w:p>
    <w:p>
      <w:pPr>
        <w:ind w:firstLine="560" w:firstLineChars="200"/>
        <w:rPr>
          <w:rFonts w:ascii="仿宋" w:eastAsia="仿宋" w:hAnsi="仿宋" w:cs="仿宋"/>
          <w:sz w:val="28"/>
          <w:szCs w:val="20"/>
          <w:highlight w:val="none"/>
        </w:rPr>
      </w:pPr>
      <w:r>
        <w:rPr>
          <w:rFonts w:ascii="仿宋" w:eastAsia="仿宋" w:hAnsi="仿宋" w:cs="仿宋" w:hint="eastAsia"/>
          <w:b/>
          <w:bCs/>
          <w:sz w:val="28"/>
          <w:szCs w:val="20"/>
          <w:highlight w:val="none"/>
        </w:rPr>
        <w:t>七、其他</w:t>
      </w:r>
    </w:p>
    <w:p>
      <w:pPr>
        <w:ind w:firstLine="560" w:firstLineChars="200"/>
        <w:rPr>
          <w:rFonts w:ascii="仿宋" w:eastAsia="仿宋" w:hAnsi="仿宋" w:cs="仿宋" w:hint="eastAsia"/>
          <w:sz w:val="28"/>
          <w:szCs w:val="20"/>
          <w:highlight w:val="none"/>
        </w:rPr>
      </w:pPr>
      <w:r>
        <w:rPr>
          <w:rFonts w:ascii="仿宋" w:eastAsia="仿宋" w:hAnsi="仿宋" w:cs="仿宋" w:hint="eastAsia"/>
          <w:sz w:val="28"/>
          <w:szCs w:val="20"/>
          <w:highlight w:val="none"/>
          <w:lang w:val="en-US" w:eastAsia="zh-CN"/>
        </w:rPr>
        <w:t>无。</w:t>
      </w:r>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69"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rPr>
              <w:t>5.7</w:t>
            </w:r>
          </w:p>
        </w:tc>
        <w:tc>
          <w:tcPr>
            <w:tcW w:w="7347" w:type="dxa"/>
            <w:noWrap w:val="0"/>
            <w:vAlign w:val="center"/>
          </w:tcPr>
          <w:p>
            <w:pPr>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rPr>
              <w:t>投标产品需要取得地基微波</w:t>
            </w:r>
            <w:r>
              <w:rPr>
                <w:rFonts w:ascii="宋体" w:hAnsi="宋体" w:cs="微软雅黑" w:hint="eastAsia"/>
                <w:b/>
                <w:color w:val="0000FF"/>
                <w:kern w:val="0"/>
                <w:sz w:val="18"/>
                <w:szCs w:val="18"/>
              </w:rPr>
              <w:t>辐射计《气象专用技术装备使用许可证》</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bCs/>
                <w:sz w:val="18"/>
                <w:szCs w:val="18"/>
              </w:rPr>
              <w:t>第</w:t>
            </w:r>
            <w:r>
              <w:rPr>
                <w:rFonts w:ascii="宋体" w:hAnsi="宋体" w:hint="eastAsia"/>
                <w:bCs/>
                <w:sz w:val="18"/>
                <w:szCs w:val="18"/>
                <w:lang w:val="en-US" w:eastAsia="zh-CN"/>
              </w:rPr>
              <w:t>七</w:t>
            </w:r>
            <w:r>
              <w:rPr>
                <w:rFonts w:ascii="宋体" w:hAnsi="宋体" w:hint="eastAsia"/>
                <w:bCs/>
                <w:sz w:val="18"/>
                <w:szCs w:val="18"/>
              </w:rPr>
              <w:t>章第</w:t>
            </w:r>
            <w:r>
              <w:rPr>
                <w:rFonts w:ascii="宋体" w:hAnsi="宋体"/>
                <w:bCs/>
                <w:sz w:val="18"/>
                <w:szCs w:val="18"/>
              </w:rPr>
              <w:t>四</w:t>
            </w:r>
            <w:r>
              <w:rPr>
                <w:rFonts w:ascii="宋体" w:hAnsi="宋体" w:hint="eastAsia"/>
                <w:bCs/>
                <w:sz w:val="18"/>
                <w:szCs w:val="18"/>
              </w:rPr>
              <w:t>部分</w:t>
            </w:r>
            <w:r>
              <w:rPr>
                <w:rFonts w:ascii="宋体" w:hAnsi="宋体"/>
                <w:bCs/>
                <w:sz w:val="18"/>
                <w:szCs w:val="18"/>
              </w:rPr>
              <w:t>4.3</w:t>
            </w:r>
            <w:r>
              <w:rPr>
                <w:rFonts w:ascii="宋体" w:hAnsi="宋体" w:hint="eastAsia"/>
                <w:bCs/>
                <w:sz w:val="18"/>
                <w:szCs w:val="18"/>
              </w:rPr>
              <w:t>质保期服务</w:t>
            </w: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rPr>
              <w:t>设备供应商对所有设备提供自验收合格后8年的免费维护维修服务*，</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4"/>
        </w:numPr>
        <w:spacing w:line="360" w:lineRule="auto"/>
        <w:ind w:firstLine="3066" w:firstLineChars="1460"/>
        <w:jc w:val="left"/>
        <w:rPr>
          <w:rFonts w:hint="eastAsia"/>
          <w:b/>
          <w:bCs/>
          <w:szCs w:val="21"/>
          <w:highlight w:val="none"/>
        </w:rPr>
      </w:pPr>
      <w:bookmarkStart w:id="70"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1"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1"/>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2"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2"/>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6"/>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A8"/>
      </w:r>
      <w:r>
        <w:rPr>
          <w:rFonts w:ascii="宋体" w:hAnsi="宋体" w:hint="eastAsia"/>
          <w:szCs w:val="21"/>
          <w:highlight w:val="none"/>
        </w:rPr>
        <w:t>分期付款：</w:t>
      </w:r>
      <w:r>
        <w:rPr>
          <w:rFonts w:ascii="宋体" w:hAnsi="宋体" w:hint="eastAsia"/>
          <w:szCs w:val="21"/>
          <w:highlight w:val="none"/>
          <w:u w:val="single"/>
        </w:rPr>
        <w:t xml:space="preserve">   双方签署合同后7个工作日内，甲方向乙方支付合同总金额的85%，到货、检验后甲方向乙方支付合同总金额的15 %  </w:t>
      </w:r>
      <w:r>
        <w:rPr>
          <w:rFonts w:ascii="宋体" w:hAnsi="宋体" w:hint="eastAsia"/>
          <w:szCs w:val="21"/>
          <w:highlight w:val="none"/>
          <w:u w:val="single"/>
        </w:rPr>
        <w:t xml:space="preserve"> </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5"/>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7"/>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998"/>
        <w:gridCol w:w="2548"/>
        <w:gridCol w:w="2090"/>
        <w:gridCol w:w="2236"/>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3" w:name="_Toc27624"/>
      <w:r>
        <w:rPr>
          <w:rFonts w:ascii="黑体" w:hAnsi="黑体" w:hint="eastAsia"/>
          <w:b w:val="0"/>
          <w:bCs w:val="0"/>
          <w:sz w:val="28"/>
          <w:szCs w:val="28"/>
          <w:highlight w:val="none"/>
        </w:rPr>
        <w:t>第二节 政府采购合同通用条款</w:t>
      </w:r>
      <w:bookmarkEnd w:id="73"/>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8"/>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4"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4"/>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0"/>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1"/>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2"/>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5"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spacing w:line="360" w:lineRule="auto"/>
        <w:ind w:firstLine="3066" w:firstLineChars="1460"/>
        <w:jc w:val="left"/>
        <w:rPr>
          <w:b/>
          <w:bCs/>
          <w:szCs w:val="21"/>
          <w:highlight w:val="none"/>
        </w:rPr>
      </w:pPr>
      <w:bookmarkEnd w:id="70"/>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00000000000000000"/>
    <w:charset w:val="86"/>
    <w:family w:val="script"/>
    <w:pitch w:val="default"/>
    <w:sig w:usb0="A00002BF" w:usb1="184F6CFA" w:usb2="00000012" w:usb3="00000000" w:csb0="00040001"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styleId="NormalIndent">
    <w:name w:val="Normal Indent"/>
    <w:basedOn w:val="Normal"/>
    <w:pPr>
      <w:ind w:firstLine="420"/>
    </w:pPr>
    <w:rPr>
      <w:rFonts w:eastAsia="方正仿宋"/>
      <w:sz w:val="3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25716</Words>
  <Characters>27253</Characters>
  <Application>Microsoft Office Word</Application>
  <DocSecurity>0</DocSecurity>
  <Lines>209</Lines>
  <Paragraphs>59</Paragraphs>
  <ScaleCrop>false</ScaleCrop>
  <Company>中国气象局</Company>
  <LinksUpToDate>false</LinksUpToDate>
  <CharactersWithSpaces>27436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2025-07-01T07:52:43Z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2052-12.1.0.21541</vt:lpwstr>
  </property>
  <property fmtid="{D5CDD505-2E9C-101B-9397-08002B2CF9AE}" pid="4" name="KSOTemplateDocerSaveRecord">
    <vt:lpwstr>eyJoZGlkIjoiM2FkMjdjNjAxZjdmYjI5MjMyNmE5MTA5ZjJkMDM4NmEiLCJ1c2VySWQiOiI0MTI2MjIxMDYifQ==</vt:lpwstr>
  </property>
</Properties>
</file>