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2025年重庆、海南计量能力提升及风洞升级计量自动化能力提升项目——计量能力提升（气压）（重新招标）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ZQCD-25313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重庆市气象信息与技术保障中心；海南省气象探测中心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2025年重庆、海南计量能力提升及风洞升级计量自动化能力提升项目——计量能力提升（气压）（重新招标）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ZQCD-25313</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合同签订后120天内完成供货、安装调试并具备验收条件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重庆、海南</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2025年09月30日 00:00:00</w:t>
      </w:r>
      <w:bookmarkEnd w:id="26"/>
      <w:r>
        <w:rPr>
          <w:rFonts w:ascii="宋体" w:hint="eastAsia"/>
          <w:szCs w:val="21"/>
          <w:highlight w:val="none"/>
        </w:rPr>
        <w:t>至</w:t>
      </w:r>
      <w:bookmarkStart w:id="27" w:name="项目公告_signUpLastTime"/>
      <w:r>
        <w:rPr>
          <w:rFonts w:ascii="宋体" w:hint="eastAsia"/>
          <w:szCs w:val="21"/>
          <w:highlight w:val="none"/>
        </w:rPr>
        <w:t>2025年10月14日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2025年10月22日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北京市海淀区中关村南大街46号中国气象局北区8号楼404 组织线上开标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重庆市气象信息与技术保障中心；海南省气象探测中心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屈波</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023-89116135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重庆市渝北区新牌坊一路68号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重庆市气象信息与技术保障中心；海南省气象探测中心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不允许（仅针对以下产品：1、压力控制器，2、气压环境密封箱不允许代理商投标）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设有，核心产品为气压环境密封箱</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（1）标的：压力控制器、气压环境密封箱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58.000000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58.000000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73"/>
        <w:gridCol w:w="283"/>
        <w:gridCol w:w="1442"/>
        <w:gridCol w:w="283"/>
        <w:gridCol w:w="682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评审标准：</w:t>
              <w:cr/>
              <w:t>采用低价优先法计算，公式：投标人得分=评标基准价/评标价×价格分值</w:t>
              <w:cr/>
              <w:t>评审标准说明：</w:t>
              <w:c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(2)</w:t>
            </w:r>
          </w:p>
        </w:tc>
        <w:tc>
          <w:tcPr/>
          <w:p>
            <w:r>
              <w:t>评审标准：</w:t>
            </w:r>
          </w:p>
          <w:p>
            <w:r>
              <w:t>投标人具有 ISO9000系列或GJB9001B质量管理体系认证，得2分。否则不得分。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1、销售合同必须包括气压环境密封箱，每提供1份合同得1分，最多得4分。否则不得分。</w:t>
              <w:cr/>
              <w:t>2、销售合同必须包括压力控制器，每提供1份合同得1分，最多得4分。否则不得分。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二档1分</w:t>
              <w:cr/>
              <w:t>三档2分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一档：未提供售后服务方案或售后服务方案不完整（指缺失售后服务响应速度、售后服务承诺、技术支持服务、售后人员配置中任一项内容）；</w:t>
              <w:cr/>
              <w:t>二档：售后服务方案较完整，但针对性一般，没有建立合理的技术支持机构或技术支持小组，技术支持内容不明确；或者未提供质保期内的7×24小时电话技术支持和保修的承诺。</w:t>
              <w:cr/>
              <w:t>三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质保期及质保服务方案（主观分）</w:t>
            </w:r>
          </w:p>
        </w:tc>
        <w:tc>
          <w:tcPr/>
          <w:p>
            <w:r>
              <w:t>勾选打分</w:t>
            </w:r>
            <w:r>
              <w:t>(3)</w:t>
            </w:r>
          </w:p>
        </w:tc>
        <w:tc>
          <w:tcPr/>
          <w:p>
            <w:r>
              <w:t>评审标准：</w:t>
            </w:r>
          </w:p>
          <w:p>
            <w:r>
              <w:t>一档0分</w:t>
              <w:cr/>
              <w:t>二档1分</w:t>
              <w:cr/>
              <w:t>三档2分</w:t>
              <w:cr/>
              <w:t>四档3分</w:t>
            </w:r>
          </w:p>
          <w:p>
            <w:r>
              <w:t>评审标准说明：</w:t>
            </w:r>
          </w:p>
          <w:p>
            <w:r>
              <w:t>根据投标人提供的质保方案进行评分。具体评分标准如下：</w:t>
              <w:cr/>
              <w:t xml:space="preserve"> 一档：未提供2年质保承诺或质保方案。  </w:t>
              <w:cr/>
              <w:t xml:space="preserve">二档：提供2年质保承诺，质保方案能按照招标文件的要求进行响应，方案结构不清晰，缺乏系统性。 </w:t>
              <w:cr/>
              <w:t xml:space="preserve"> 三档：提供2年质保承诺，质保方案基本能按照招标文件的要求进行响应，有一定针对性，基本满足采购文件的需求。 </w:t>
              <w:cr/>
              <w:t xml:space="preserve"> 四档：提供2年质保承诺，质保方案能按照招标文件的要求进行响应，详细具体，针对性强，与项目实际情况相契合，完全满足采购文件的需求。  （需提供书面质保承诺，并加盖投标人公章）</w:t>
            </w:r>
          </w:p>
          <w:p/>
        </w:tc>
      </w:tr>
      <w:tr>
        <w:tblPrEx>
          <w:tblW w:w="5000" w:type="pct"/>
          <w:tblCellMar>
            <w:left w:w="108" w:type="dxa"/>
            <w:right w:w="108" w:type="dxa"/>
          </w:tblCellMar>
        </w:tblPrEx>
        <w:tc>
          <w:tcPr/>
          <w:p>
            <w:r>
              <w:t>6</w:t>
            </w:r>
          </w:p>
        </w:tc>
        <w:tc>
          <w:tcPr>
            <w:vMerge/>
          </w:tcPr>
          <w:p>
            <w:r>
              <w:t>服务部分</w:t>
            </w:r>
          </w:p>
        </w:tc>
        <w:tc>
          <w:tcPr/>
          <w:p>
            <w:r>
              <w:t>产品质量保证</w:t>
            </w:r>
          </w:p>
        </w:tc>
        <w:tc>
          <w:tcPr/>
          <w:p>
            <w:r>
              <w:t>勾选打分</w:t>
            </w:r>
            <w:r>
              <w:t>(4)</w:t>
            </w:r>
          </w:p>
        </w:tc>
        <w:tc>
          <w:tcPr/>
          <w:p>
            <w:r>
              <w:t>评审标准：</w:t>
            </w:r>
          </w:p>
          <w:p>
            <w:r>
              <w:t>承诺为计量标准器及配套设备提供由第三方检测机构出具的检定或校准证书得4分。</w:t>
            </w:r>
          </w:p>
          <w:p>
            <w:r>
              <w:t>评审标准说明：</w:t>
            </w:r>
          </w:p>
          <w:p>
            <w:r>
              <w:t>需第三方检测机构出具的检定或校准证书并加盖投标人公章</w:t>
            </w:r>
          </w:p>
          <w:p/>
        </w:tc>
      </w:tr>
      <w:tr>
        <w:tblPrEx>
          <w:tblW w:w="5000" w:type="pct"/>
          <w:tblCellMar>
            <w:left w:w="108" w:type="dxa"/>
            <w:right w:w="108" w:type="dxa"/>
          </w:tblCellMar>
        </w:tblPrEx>
        <w:tc>
          <w:tcPr/>
          <w:p>
            <w:r>
              <w:t>7</w:t>
            </w:r>
          </w:p>
        </w:tc>
        <w:tc>
          <w:tcPr>
            <w:vMerge/>
          </w:tcPr>
          <w:p>
            <w:r>
              <w:t>服务部分</w:t>
            </w:r>
          </w:p>
        </w:tc>
        <w:tc>
          <w:tcPr/>
          <w:p>
            <w:r>
              <w:t>培训承诺及方案（主观分）</w:t>
            </w:r>
          </w:p>
        </w:tc>
        <w:tc>
          <w:tcPr/>
          <w:p>
            <w:r>
              <w:t>勾选打分</w:t>
            </w:r>
            <w:r>
              <w:t>(2)</w:t>
            </w:r>
          </w:p>
        </w:tc>
        <w:tc>
          <w:tcPr/>
          <w:p>
            <w:r>
              <w:t>评审标准：</w:t>
            </w:r>
          </w:p>
          <w:p>
            <w:r>
              <w:t>一档0分</w:t>
              <w:cr/>
              <w:t>二档1分</w:t>
              <w:cr/>
              <w:t>三档2分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一档：未同时提供承诺和培训方案或培训方案不完整（指缺失培训计划、培训材料（讲义）、培训课表、主要授课教师介绍任意一项）：</w:t>
              <w:cr/>
              <w:t>二档：同时提供承诺和培训方案，培训方案完整，但课程设计重点不突出或针对性不强，基本满足采购文件需求；</w:t>
              <w:cr/>
              <w:t>三档：同时提供承诺和培训方案，培训方案完整，课程设计重点突出、针对性强，完全满足采购文件需求。</w:t>
            </w:r>
          </w:p>
          <w:p/>
        </w:tc>
      </w:tr>
      <w:tr>
        <w:tblPrEx>
          <w:tblW w:w="5000" w:type="pct"/>
          <w:tblCellMar>
            <w:left w:w="108" w:type="dxa"/>
            <w:right w:w="108" w:type="dxa"/>
          </w:tblCellMar>
        </w:tblPrEx>
        <w:tc>
          <w:tcPr/>
          <w:p>
            <w:r>
              <w:t>8</w:t>
            </w:r>
          </w:p>
        </w:tc>
        <w:tc>
          <w:tcPr>
            <w:vMerge/>
          </w:tcPr>
          <w:p>
            <w:r>
              <w:t>服务部分</w:t>
            </w:r>
          </w:p>
        </w:tc>
        <w:tc>
          <w:tcPr/>
          <w:p>
            <w:r>
              <w:t>交货期保证（客观分）</w:t>
            </w:r>
          </w:p>
        </w:tc>
        <w:tc>
          <w:tcPr/>
          <w:p>
            <w:r>
              <w:t>勾选打分</w:t>
            </w:r>
            <w:r>
              <w:t>(3)</w:t>
            </w:r>
          </w:p>
        </w:tc>
        <w:tc>
          <w:tcPr/>
          <w:p>
            <w:r>
              <w:t>评审标准：</w:t>
            </w:r>
          </w:p>
          <w:p>
            <w:r>
              <w:t>针对本项目采购的压力控制器、气压环境密封箱承诺每提前10天交货的得1分，最多得3分。否则不得分。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9</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需提供技术文档。响应且满足招标文件第七章详细技术指标要求，并加盖投标人公章的检定证书，#标注需厂家做的相应的承诺（必须加盖产品厂家公章)及产品资料作为证明材料。</w:t>
            </w:r>
          </w:p>
          <w:p/>
        </w:tc>
      </w:tr>
      <w:tr>
        <w:tblPrEx>
          <w:tblW w:w="5000" w:type="pct"/>
          <w:tblCellMar>
            <w:left w:w="108" w:type="dxa"/>
            <w:right w:w="108" w:type="dxa"/>
          </w:tblCellMar>
        </w:tblPrEx>
        <w:tc>
          <w:tcPr/>
          <w:p>
            <w:r>
              <w:t>10</w:t>
            </w:r>
          </w:p>
        </w:tc>
        <w:tc>
          <w:tcPr>
            <w:vMerge/>
          </w:tcPr>
          <w:p>
            <w:r>
              <w:t>技术部分</w:t>
            </w:r>
          </w:p>
        </w:tc>
        <w:tc>
          <w:tcPr/>
          <w:p>
            <w:r>
              <w:t>投标产品技术方案及综合性能（主观分）</w:t>
            </w:r>
          </w:p>
        </w:tc>
        <w:tc>
          <w:tcPr/>
          <w:p>
            <w:r>
              <w:t>勾选打分</w:t>
            </w:r>
            <w:r>
              <w:t>(3)</w:t>
            </w:r>
          </w:p>
        </w:tc>
        <w:tc>
          <w:tcPr/>
          <w:p>
            <w:r>
              <w:t>评审标准：</w:t>
            </w:r>
          </w:p>
          <w:p>
            <w:r>
              <w:t>一档0分</w:t>
              <w:cr/>
              <w:t>二档1分</w:t>
              <w:cr/>
              <w:t>三档2分</w:t>
              <w:cr/>
              <w:t>四档3分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11</w:t>
            </w:r>
          </w:p>
        </w:tc>
        <w:tc>
          <w:tcPr>
            <w:vMerge/>
          </w:tcPr>
          <w:p>
            <w:r>
              <w:t>技术部分</w:t>
            </w:r>
          </w:p>
        </w:tc>
        <w:tc>
          <w:tcPr/>
          <w:p>
            <w:r>
              <w:t>实施方案（主观分）</w:t>
            </w:r>
          </w:p>
        </w:tc>
        <w:tc>
          <w:tcPr/>
          <w:p>
            <w:r>
              <w:t>勾选打分</w:t>
            </w:r>
            <w:r>
              <w:t>(3)</w:t>
            </w:r>
          </w:p>
        </w:tc>
        <w:tc>
          <w:tcPr/>
          <w:p>
            <w:r>
              <w:t>评审标准：</w:t>
            </w:r>
          </w:p>
          <w:p>
            <w:r>
              <w:t>一档0分</w:t>
              <w:cr/>
              <w:t>二档1分</w:t>
              <w:cr/>
              <w:t>三档2分</w:t>
              <w:cr/>
              <w:t>四档3分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hint="eastAsia"/>
          <w:szCs w:val="21"/>
        </w:rPr>
      </w:pPr>
      <w:r>
        <w:rPr>
          <w:rFonts w:ascii="宋体" w:hAnsi="宋体" w:hint="eastAsia"/>
          <w:szCs w:val="21"/>
        </w:rPr>
        <w:t>一、项目概况及总体要求</w:t>
      </w:r>
    </w:p>
    <w:p>
      <w:pPr>
        <w:spacing w:line="360" w:lineRule="auto"/>
        <w:ind w:firstLine="420" w:firstLineChars="200"/>
        <w:rPr>
          <w:rFonts w:ascii="宋体" w:hAnsi="宋体" w:hint="eastAsia"/>
          <w:szCs w:val="21"/>
        </w:rPr>
      </w:pPr>
      <w:r>
        <w:rPr>
          <w:rFonts w:ascii="宋体" w:hAnsi="宋体" w:hint="eastAsia"/>
          <w:szCs w:val="21"/>
        </w:rPr>
        <w:t>通过计量标准器及配套设备的升级完善，实现计量能力全面提升，保证各种气象观测数据的准确性和一致性。其中主要设备有</w:t>
      </w:r>
      <w:r>
        <w:rPr>
          <w:rFonts w:ascii="宋体" w:hAnsi="宋体" w:hint="eastAsia"/>
          <w:szCs w:val="21"/>
          <w:lang w:val="en-US" w:eastAsia="zh-CN"/>
        </w:rPr>
        <w:t>压力控制器</w:t>
      </w:r>
      <w:r>
        <w:rPr>
          <w:rFonts w:ascii="宋体" w:hAnsi="宋体" w:hint="eastAsia"/>
          <w:szCs w:val="21"/>
        </w:rPr>
        <w:t>、</w:t>
      </w:r>
      <w:r>
        <w:rPr>
          <w:rFonts w:ascii="宋体" w:hAnsi="宋体" w:hint="eastAsia"/>
          <w:szCs w:val="21"/>
          <w:lang w:val="en-US" w:eastAsia="zh-CN"/>
        </w:rPr>
        <w:t>气压环境密封箱</w:t>
      </w:r>
      <w:r>
        <w:rPr>
          <w:rFonts w:ascii="宋体" w:hAnsi="宋体" w:hint="eastAsia"/>
          <w:szCs w:val="21"/>
        </w:rPr>
        <w:t>等，可为</w:t>
      </w:r>
      <w:r>
        <w:rPr>
          <w:rFonts w:ascii="宋体" w:hAnsi="宋体" w:hint="eastAsia"/>
          <w:szCs w:val="21"/>
          <w:lang w:val="en-US" w:eastAsia="zh-CN"/>
        </w:rPr>
        <w:t>气压</w:t>
      </w:r>
      <w:r>
        <w:rPr>
          <w:rFonts w:ascii="宋体" w:hAnsi="宋体" w:hint="eastAsia"/>
          <w:szCs w:val="21"/>
        </w:rPr>
        <w:t>等常规气象要素的计量检定工作提供更为精准的参考标准及试验环境。</w:t>
      </w:r>
    </w:p>
    <w:p>
      <w:pPr>
        <w:spacing w:line="360" w:lineRule="auto"/>
        <w:ind w:firstLine="420" w:firstLineChars="200"/>
        <w:rPr>
          <w:rFonts w:ascii="宋体" w:hAnsi="宋体" w:hint="eastAsia"/>
          <w:szCs w:val="21"/>
        </w:rPr>
      </w:pPr>
      <w:r>
        <w:rPr>
          <w:rFonts w:ascii="宋体" w:hAnsi="宋体" w:hint="eastAsia"/>
          <w:szCs w:val="21"/>
        </w:rPr>
        <w:t>二、设备需求一览表（见第七章 采购需求 附表）</w:t>
      </w:r>
    </w:p>
    <w:p>
      <w:pPr>
        <w:spacing w:line="360" w:lineRule="auto"/>
        <w:ind w:firstLine="420" w:firstLineChars="200"/>
        <w:rPr>
          <w:rFonts w:ascii="宋体" w:hAnsi="宋体" w:hint="eastAsia"/>
          <w:szCs w:val="21"/>
        </w:rPr>
      </w:pPr>
      <w:r>
        <w:rPr>
          <w:rFonts w:ascii="宋体" w:hAnsi="宋体" w:hint="eastAsia"/>
          <w:szCs w:val="21"/>
        </w:rPr>
        <w:t>三、技术性能指标</w:t>
      </w:r>
    </w:p>
    <w:p>
      <w:pPr>
        <w:spacing w:line="360" w:lineRule="auto"/>
        <w:ind w:firstLine="420" w:firstLineChars="200"/>
        <w:rPr>
          <w:rFonts w:ascii="宋体" w:hAnsi="宋体" w:hint="eastAsia"/>
          <w:szCs w:val="21"/>
        </w:rPr>
      </w:pPr>
      <w:r>
        <w:rPr>
          <w:rFonts w:ascii="宋体" w:hAnsi="宋体" w:hint="eastAsia"/>
          <w:szCs w:val="21"/>
          <w:lang w:val="en-US" w:eastAsia="zh-CN"/>
        </w:rPr>
        <w:t>3</w:t>
      </w:r>
      <w:r>
        <w:rPr>
          <w:rFonts w:ascii="宋体" w:hAnsi="宋体" w:hint="eastAsia"/>
          <w:szCs w:val="21"/>
        </w:rPr>
        <w:t>.1</w:t>
      </w:r>
      <w:r>
        <w:rPr>
          <w:rFonts w:ascii="宋体" w:hAnsi="宋体" w:hint="eastAsia"/>
          <w:szCs w:val="21"/>
          <w:lang w:val="en-US" w:eastAsia="zh-CN"/>
        </w:rPr>
        <w:t>压力控制器</w:t>
      </w:r>
      <w:r>
        <w:rPr>
          <w:rFonts w:ascii="宋体" w:hAnsi="宋体" w:hint="eastAsia"/>
          <w:szCs w:val="21"/>
        </w:rPr>
        <w:t>技术性能指标</w:t>
      </w:r>
    </w:p>
    <w:tbl>
      <w:tblPr>
        <w:tblStyle w:val="TableNormal"/>
        <w:tblW w:w="80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925"/>
        <w:gridCol w:w="2932"/>
        <w:gridCol w:w="4166"/>
      </w:tblGrid>
      <w:tr>
        <w:tblPrEx>
          <w:tblW w:w="80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Ex>
        <w:trPr>
          <w:trHeight w:val="311"/>
          <w:jc w:val="center"/>
        </w:trPr>
        <w:tc>
          <w:tcPr>
            <w:tcW w:w="925"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
                <w:bCs w:val="0"/>
                <w:color w:val="auto"/>
                <w:sz w:val="24"/>
                <w:szCs w:val="24"/>
                <w:u w:val="none"/>
              </w:rPr>
            </w:pPr>
            <w:r>
              <w:rPr>
                <w:rFonts w:ascii="仿宋" w:eastAsia="仿宋" w:hAnsi="仿宋" w:cs="仿宋" w:hint="eastAsia"/>
                <w:b/>
                <w:bCs w:val="0"/>
                <w:color w:val="auto"/>
                <w:w w:val="95"/>
                <w:sz w:val="24"/>
                <w:szCs w:val="24"/>
                <w:u w:val="none"/>
              </w:rPr>
              <w:t>序号</w:t>
            </w:r>
          </w:p>
        </w:tc>
        <w:tc>
          <w:tcPr>
            <w:tcW w:w="293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
                <w:bCs w:val="0"/>
                <w:color w:val="auto"/>
                <w:sz w:val="24"/>
                <w:szCs w:val="24"/>
                <w:u w:val="none"/>
              </w:rPr>
            </w:pPr>
            <w:r>
              <w:rPr>
                <w:rFonts w:ascii="仿宋" w:eastAsia="仿宋" w:hAnsi="仿宋" w:cs="仿宋" w:hint="eastAsia"/>
                <w:b/>
                <w:bCs w:val="0"/>
                <w:color w:val="auto"/>
                <w:w w:val="95"/>
                <w:sz w:val="24"/>
                <w:szCs w:val="24"/>
                <w:u w:val="none"/>
              </w:rPr>
              <w:t>参数</w:t>
            </w:r>
          </w:p>
        </w:tc>
        <w:tc>
          <w:tcPr>
            <w:tcW w:w="4166"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
                <w:bCs w:val="0"/>
                <w:color w:val="auto"/>
                <w:sz w:val="24"/>
                <w:szCs w:val="24"/>
                <w:u w:val="none"/>
              </w:rPr>
            </w:pPr>
            <w:r>
              <w:rPr>
                <w:rFonts w:ascii="仿宋" w:eastAsia="仿宋" w:hAnsi="仿宋" w:cs="仿宋" w:hint="eastAsia"/>
                <w:b/>
                <w:bCs w:val="0"/>
                <w:color w:val="auto"/>
                <w:sz w:val="24"/>
                <w:szCs w:val="24"/>
                <w:u w:val="none"/>
              </w:rPr>
              <w:t>技术指标</w:t>
            </w:r>
          </w:p>
        </w:tc>
      </w:tr>
      <w:tr>
        <w:tblPrEx>
          <w:tblW w:w="8023" w:type="dxa"/>
          <w:jc w:val="center"/>
          <w:tblLayout w:type="fixed"/>
          <w:tblCellMar>
            <w:top w:w="0" w:type="dxa"/>
            <w:left w:w="0" w:type="dxa"/>
            <w:bottom w:w="0" w:type="dxa"/>
            <w:right w:w="0" w:type="dxa"/>
          </w:tblCellMar>
        </w:tblPrEx>
        <w:trPr>
          <w:trHeight w:val="320"/>
          <w:jc w:val="center"/>
        </w:trPr>
        <w:tc>
          <w:tcPr>
            <w:tcW w:w="925"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rPr>
            </w:pPr>
            <w:r>
              <w:rPr>
                <w:rFonts w:ascii="仿宋" w:eastAsia="仿宋" w:hAnsi="仿宋" w:cs="仿宋" w:hint="eastAsia"/>
                <w:bCs/>
                <w:color w:val="auto"/>
                <w:sz w:val="24"/>
                <w:szCs w:val="24"/>
                <w:u w:val="none"/>
              </w:rPr>
              <w:t>1</w:t>
            </w:r>
          </w:p>
        </w:tc>
        <w:tc>
          <w:tcPr>
            <w:tcW w:w="293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rPr>
            </w:pPr>
            <w:r>
              <w:rPr>
                <w:rFonts w:ascii="仿宋" w:eastAsia="仿宋" w:hAnsi="仿宋" w:cs="仿宋" w:hint="eastAsia"/>
                <w:bCs/>
                <w:color w:val="0D0D0D" w:themeColor="text1" w:themeTint="F2"/>
                <w:sz w:val="24"/>
                <w:szCs w:val="24"/>
                <w:u w:val="none"/>
                <w:lang w:val="en-US" w:eastAsia="zh-CN"/>
              </w:rPr>
              <w:t>#</w:t>
            </w:r>
            <w:r>
              <w:rPr>
                <w:rFonts w:ascii="仿宋" w:eastAsia="仿宋" w:hAnsi="仿宋" w:cs="仿宋" w:hint="eastAsia"/>
                <w:bCs/>
                <w:color w:val="auto"/>
                <w:sz w:val="24"/>
                <w:szCs w:val="24"/>
                <w:u w:val="none"/>
              </w:rPr>
              <w:t>压力范围</w:t>
            </w:r>
          </w:p>
        </w:tc>
        <w:tc>
          <w:tcPr>
            <w:tcW w:w="4166"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lang w:eastAsia="zh-CN"/>
              </w:rPr>
            </w:pPr>
            <w:r>
              <w:rPr>
                <w:rFonts w:ascii="仿宋" w:eastAsia="仿宋" w:hAnsi="仿宋" w:cs="仿宋" w:hint="eastAsia"/>
                <w:bCs/>
                <w:color w:val="auto"/>
                <w:sz w:val="24"/>
                <w:szCs w:val="24"/>
                <w:u w:val="none"/>
                <w:lang w:eastAsia="zh-CN"/>
              </w:rPr>
              <w:t>0～1100hPa</w:t>
            </w:r>
          </w:p>
        </w:tc>
      </w:tr>
      <w:tr>
        <w:tblPrEx>
          <w:tblW w:w="8023" w:type="dxa"/>
          <w:jc w:val="center"/>
          <w:tblLayout w:type="fixed"/>
          <w:tblCellMar>
            <w:top w:w="0" w:type="dxa"/>
            <w:left w:w="0" w:type="dxa"/>
            <w:bottom w:w="0" w:type="dxa"/>
            <w:right w:w="0" w:type="dxa"/>
          </w:tblCellMar>
        </w:tblPrEx>
        <w:trPr>
          <w:trHeight w:val="320"/>
          <w:jc w:val="center"/>
        </w:trPr>
        <w:tc>
          <w:tcPr>
            <w:tcW w:w="925"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rPr>
            </w:pPr>
            <w:r>
              <w:rPr>
                <w:rFonts w:ascii="仿宋" w:eastAsia="仿宋" w:hAnsi="仿宋" w:cs="仿宋" w:hint="eastAsia"/>
                <w:bCs/>
                <w:color w:val="auto"/>
                <w:sz w:val="24"/>
                <w:szCs w:val="24"/>
                <w:u w:val="none"/>
              </w:rPr>
              <w:t>2</w:t>
            </w:r>
          </w:p>
        </w:tc>
        <w:tc>
          <w:tcPr>
            <w:tcW w:w="293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rPr>
            </w:pPr>
            <w:r>
              <w:rPr>
                <w:rFonts w:ascii="仿宋" w:eastAsia="仿宋" w:hAnsi="仿宋" w:cs="仿宋" w:hint="eastAsia"/>
                <w:bCs/>
                <w:color w:val="auto"/>
                <w:sz w:val="24"/>
                <w:szCs w:val="24"/>
                <w:u w:val="none"/>
                <w:lang w:val="en-US" w:eastAsia="zh-CN"/>
              </w:rPr>
              <w:t>#</w:t>
            </w:r>
            <w:r>
              <w:rPr>
                <w:rFonts w:ascii="仿宋" w:eastAsia="仿宋" w:hAnsi="仿宋" w:cs="仿宋" w:hint="eastAsia"/>
                <w:bCs/>
                <w:color w:val="auto"/>
                <w:sz w:val="24"/>
                <w:szCs w:val="24"/>
                <w:u w:val="none"/>
              </w:rPr>
              <w:t>准确度</w:t>
            </w:r>
          </w:p>
        </w:tc>
        <w:tc>
          <w:tcPr>
            <w:tcW w:w="4166"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rPr>
            </w:pPr>
            <w:r>
              <w:rPr>
                <w:rFonts w:ascii="仿宋" w:eastAsia="仿宋" w:hAnsi="仿宋" w:cs="仿宋" w:hint="eastAsia"/>
                <w:bCs/>
                <w:color w:val="auto"/>
                <w:spacing w:val="-1"/>
                <w:sz w:val="24"/>
                <w:szCs w:val="24"/>
                <w:u w:val="none"/>
              </w:rPr>
              <w:t>0.01%FS</w:t>
            </w:r>
          </w:p>
        </w:tc>
      </w:tr>
      <w:tr>
        <w:tblPrEx>
          <w:tblW w:w="8023" w:type="dxa"/>
          <w:jc w:val="center"/>
          <w:tblLayout w:type="fixed"/>
          <w:tblCellMar>
            <w:top w:w="0" w:type="dxa"/>
            <w:left w:w="0" w:type="dxa"/>
            <w:bottom w:w="0" w:type="dxa"/>
            <w:right w:w="0" w:type="dxa"/>
          </w:tblCellMar>
        </w:tblPrEx>
        <w:trPr>
          <w:trHeight w:val="90"/>
          <w:jc w:val="center"/>
        </w:trPr>
        <w:tc>
          <w:tcPr>
            <w:tcW w:w="925"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rPr>
            </w:pPr>
            <w:r>
              <w:rPr>
                <w:rFonts w:ascii="仿宋" w:eastAsia="仿宋" w:hAnsi="仿宋" w:cs="仿宋" w:hint="eastAsia"/>
                <w:bCs/>
                <w:color w:val="auto"/>
                <w:sz w:val="24"/>
                <w:szCs w:val="24"/>
                <w:u w:val="none"/>
                <w:lang w:val="en-US" w:eastAsia="zh-CN"/>
              </w:rPr>
              <w:t>3</w:t>
            </w:r>
          </w:p>
        </w:tc>
        <w:tc>
          <w:tcPr>
            <w:tcW w:w="293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rPr>
            </w:pPr>
            <w:r>
              <w:rPr>
                <w:rFonts w:ascii="仿宋" w:eastAsia="仿宋" w:hAnsi="仿宋" w:cs="仿宋" w:hint="eastAsia"/>
                <w:bCs/>
                <w:color w:val="auto"/>
                <w:sz w:val="24"/>
                <w:szCs w:val="24"/>
                <w:u w:val="none"/>
                <w:lang w:val="en-US" w:eastAsia="zh-CN"/>
              </w:rPr>
              <w:t>压力类型</w:t>
            </w:r>
          </w:p>
        </w:tc>
        <w:tc>
          <w:tcPr>
            <w:tcW w:w="4166"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rPr>
            </w:pPr>
            <w:r>
              <w:rPr>
                <w:rFonts w:ascii="仿宋" w:eastAsia="仿宋" w:hAnsi="仿宋" w:cs="仿宋" w:hint="eastAsia"/>
                <w:bCs/>
                <w:color w:val="auto"/>
                <w:sz w:val="24"/>
                <w:szCs w:val="24"/>
                <w:u w:val="none"/>
                <w:lang w:val="en-US" w:eastAsia="zh-CN"/>
              </w:rPr>
              <w:t>绝压</w:t>
            </w:r>
          </w:p>
        </w:tc>
      </w:tr>
      <w:tr>
        <w:tblPrEx>
          <w:tblW w:w="8023" w:type="dxa"/>
          <w:jc w:val="center"/>
          <w:tblLayout w:type="fixed"/>
          <w:tblCellMar>
            <w:top w:w="0" w:type="dxa"/>
            <w:left w:w="0" w:type="dxa"/>
            <w:bottom w:w="0" w:type="dxa"/>
            <w:right w:w="0" w:type="dxa"/>
          </w:tblCellMar>
        </w:tblPrEx>
        <w:trPr>
          <w:trHeight w:val="312"/>
          <w:jc w:val="center"/>
        </w:trPr>
        <w:tc>
          <w:tcPr>
            <w:tcW w:w="925"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rPr>
            </w:pPr>
            <w:r>
              <w:rPr>
                <w:rFonts w:ascii="仿宋" w:eastAsia="仿宋" w:hAnsi="仿宋" w:cs="仿宋" w:hint="eastAsia"/>
                <w:bCs/>
                <w:color w:val="auto"/>
                <w:sz w:val="24"/>
                <w:szCs w:val="24"/>
                <w:u w:val="none"/>
                <w:lang w:val="en-US" w:eastAsia="zh-CN"/>
              </w:rPr>
              <w:t>4</w:t>
            </w:r>
          </w:p>
        </w:tc>
        <w:tc>
          <w:tcPr>
            <w:tcW w:w="293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default"/>
                <w:bCs/>
                <w:color w:val="auto"/>
                <w:sz w:val="24"/>
                <w:szCs w:val="24"/>
                <w:u w:val="none"/>
                <w:lang w:val="en-US" w:eastAsia="zh-CN"/>
              </w:rPr>
            </w:pPr>
            <w:r>
              <w:rPr>
                <w:rFonts w:ascii="仿宋" w:eastAsia="仿宋" w:hAnsi="仿宋" w:cs="仿宋" w:hint="eastAsia"/>
                <w:bCs/>
                <w:color w:val="auto"/>
                <w:sz w:val="24"/>
                <w:szCs w:val="24"/>
                <w:u w:val="none"/>
                <w:lang w:val="en-US" w:eastAsia="zh-CN"/>
              </w:rPr>
              <w:t>设备功能</w:t>
            </w:r>
          </w:p>
        </w:tc>
        <w:tc>
          <w:tcPr>
            <w:tcW w:w="4166"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default"/>
                <w:bCs/>
                <w:color w:val="auto"/>
                <w:sz w:val="24"/>
                <w:szCs w:val="24"/>
                <w:u w:val="none"/>
                <w:lang w:val="en-US" w:eastAsia="zh-CN"/>
              </w:rPr>
            </w:pPr>
            <w:r>
              <w:rPr>
                <w:rFonts w:ascii="仿宋" w:eastAsia="仿宋" w:hAnsi="仿宋" w:cs="仿宋" w:hint="eastAsia"/>
                <w:bCs/>
                <w:color w:val="auto"/>
                <w:sz w:val="24"/>
                <w:szCs w:val="24"/>
                <w:u w:val="none"/>
                <w:lang w:val="en-US" w:eastAsia="zh-CN"/>
              </w:rPr>
              <w:t>支持通讯功能</w:t>
            </w:r>
          </w:p>
        </w:tc>
      </w:tr>
      <w:tr>
        <w:tblPrEx>
          <w:tblW w:w="8023" w:type="dxa"/>
          <w:jc w:val="center"/>
          <w:tblLayout w:type="fixed"/>
          <w:tblCellMar>
            <w:top w:w="0" w:type="dxa"/>
            <w:left w:w="0" w:type="dxa"/>
            <w:bottom w:w="0" w:type="dxa"/>
            <w:right w:w="0" w:type="dxa"/>
          </w:tblCellMar>
        </w:tblPrEx>
        <w:trPr>
          <w:trHeight w:val="312"/>
          <w:jc w:val="center"/>
        </w:trPr>
        <w:tc>
          <w:tcPr>
            <w:tcW w:w="925"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lang w:val="en-US" w:eastAsia="zh-CN"/>
              </w:rPr>
            </w:pPr>
            <w:r>
              <w:rPr>
                <w:rFonts w:ascii="仿宋" w:eastAsia="仿宋" w:hAnsi="仿宋" w:cs="仿宋" w:hint="eastAsia"/>
                <w:bCs/>
                <w:color w:val="auto"/>
                <w:sz w:val="24"/>
                <w:szCs w:val="24"/>
                <w:u w:val="none"/>
                <w:lang w:val="en-US" w:eastAsia="zh-CN"/>
              </w:rPr>
              <w:t>5</w:t>
            </w:r>
          </w:p>
        </w:tc>
        <w:tc>
          <w:tcPr>
            <w:tcW w:w="293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rPr>
            </w:pPr>
            <w:r>
              <w:rPr>
                <w:rFonts w:ascii="仿宋" w:eastAsia="仿宋" w:hAnsi="仿宋" w:cs="仿宋" w:hint="eastAsia"/>
                <w:bCs/>
                <w:color w:val="auto"/>
                <w:sz w:val="24"/>
                <w:szCs w:val="24"/>
                <w:u w:val="none"/>
              </w:rPr>
              <w:t>工作环境</w:t>
            </w:r>
          </w:p>
        </w:tc>
        <w:tc>
          <w:tcPr>
            <w:tcW w:w="4166"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rPr>
            </w:pPr>
            <w:r>
              <w:rPr>
                <w:rFonts w:ascii="仿宋" w:eastAsia="仿宋" w:hAnsi="仿宋" w:cs="仿宋" w:hint="eastAsia"/>
                <w:bCs/>
                <w:color w:val="auto"/>
                <w:sz w:val="24"/>
                <w:szCs w:val="24"/>
                <w:u w:val="none"/>
              </w:rPr>
              <w:t>10～55℃</w:t>
            </w:r>
          </w:p>
        </w:tc>
      </w:tr>
      <w:tr>
        <w:tblPrEx>
          <w:tblW w:w="8023" w:type="dxa"/>
          <w:jc w:val="center"/>
          <w:tblLayout w:type="fixed"/>
          <w:tblCellMar>
            <w:top w:w="0" w:type="dxa"/>
            <w:left w:w="0" w:type="dxa"/>
            <w:bottom w:w="0" w:type="dxa"/>
            <w:right w:w="0" w:type="dxa"/>
          </w:tblCellMar>
        </w:tblPrEx>
        <w:trPr>
          <w:trHeight w:val="312"/>
          <w:jc w:val="center"/>
        </w:trPr>
        <w:tc>
          <w:tcPr>
            <w:tcW w:w="925"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default"/>
                <w:bCs/>
                <w:color w:val="auto"/>
                <w:sz w:val="24"/>
                <w:szCs w:val="24"/>
                <w:u w:val="none"/>
                <w:lang w:val="en-US" w:eastAsia="zh-CN"/>
              </w:rPr>
            </w:pPr>
            <w:r>
              <w:rPr>
                <w:rFonts w:ascii="仿宋" w:eastAsia="仿宋" w:hAnsi="仿宋" w:cs="仿宋" w:hint="eastAsia"/>
                <w:bCs/>
                <w:color w:val="auto"/>
                <w:sz w:val="24"/>
                <w:szCs w:val="24"/>
                <w:u w:val="none"/>
                <w:lang w:val="en-US" w:eastAsia="zh-CN"/>
              </w:rPr>
              <w:t>6</w:t>
            </w:r>
          </w:p>
        </w:tc>
        <w:tc>
          <w:tcPr>
            <w:tcW w:w="293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default"/>
                <w:bCs/>
                <w:color w:val="auto"/>
                <w:sz w:val="24"/>
                <w:szCs w:val="24"/>
                <w:u w:val="none"/>
                <w:lang w:val="en-US" w:eastAsia="zh-CN"/>
              </w:rPr>
            </w:pPr>
            <w:r>
              <w:rPr>
                <w:rFonts w:ascii="仿宋" w:eastAsia="仿宋" w:hAnsi="仿宋" w:cs="仿宋" w:hint="eastAsia"/>
                <w:color w:val="auto"/>
                <w:kern w:val="0"/>
                <w:sz w:val="24"/>
                <w:szCs w:val="24"/>
                <w:u w:val="none"/>
                <w:lang w:val="en-US" w:eastAsia="zh-CN" w:bidi="ar"/>
              </w:rPr>
              <w:t>#</w:t>
            </w:r>
            <w:r>
              <w:rPr>
                <w:rFonts w:ascii="仿宋" w:eastAsia="仿宋" w:hAnsi="仿宋" w:cs="仿宋" w:hint="eastAsia"/>
                <w:bCs/>
                <w:color w:val="auto"/>
                <w:sz w:val="24"/>
                <w:szCs w:val="24"/>
                <w:u w:val="none"/>
                <w:lang w:val="en-US" w:eastAsia="zh-CN"/>
              </w:rPr>
              <w:t>支持内置泵</w:t>
            </w:r>
          </w:p>
        </w:tc>
        <w:tc>
          <w:tcPr>
            <w:tcW w:w="4166"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rPr>
            </w:pPr>
          </w:p>
        </w:tc>
      </w:tr>
      <w:tr>
        <w:tblPrEx>
          <w:tblW w:w="8023" w:type="dxa"/>
          <w:jc w:val="center"/>
          <w:tblLayout w:type="fixed"/>
          <w:tblCellMar>
            <w:top w:w="0" w:type="dxa"/>
            <w:left w:w="0" w:type="dxa"/>
            <w:bottom w:w="0" w:type="dxa"/>
            <w:right w:w="0" w:type="dxa"/>
          </w:tblCellMar>
        </w:tblPrEx>
        <w:trPr>
          <w:trHeight w:val="312"/>
          <w:jc w:val="center"/>
        </w:trPr>
        <w:tc>
          <w:tcPr>
            <w:tcW w:w="925"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default"/>
                <w:bCs/>
                <w:color w:val="auto"/>
                <w:sz w:val="24"/>
                <w:szCs w:val="24"/>
                <w:u w:val="none"/>
                <w:lang w:val="en-US" w:eastAsia="zh-CN"/>
              </w:rPr>
            </w:pPr>
            <w:r>
              <w:rPr>
                <w:rFonts w:ascii="仿宋" w:eastAsia="仿宋" w:hAnsi="仿宋" w:cs="仿宋" w:hint="eastAsia"/>
                <w:bCs/>
                <w:color w:val="auto"/>
                <w:sz w:val="24"/>
                <w:szCs w:val="24"/>
                <w:u w:val="none"/>
                <w:lang w:val="en-US" w:eastAsia="zh-CN"/>
              </w:rPr>
              <w:t>7</w:t>
            </w:r>
          </w:p>
        </w:tc>
        <w:tc>
          <w:tcPr>
            <w:tcW w:w="293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default"/>
                <w:bCs/>
                <w:color w:val="auto"/>
                <w:sz w:val="24"/>
                <w:szCs w:val="24"/>
                <w:u w:val="none"/>
                <w:lang w:val="en-US" w:eastAsia="zh-CN"/>
              </w:rPr>
            </w:pPr>
            <w:r>
              <w:rPr>
                <w:rFonts w:ascii="仿宋" w:eastAsia="仿宋" w:hAnsi="仿宋" w:cs="仿宋" w:hint="eastAsia"/>
                <w:bCs/>
                <w:color w:val="auto"/>
                <w:sz w:val="24"/>
                <w:szCs w:val="24"/>
                <w:u w:val="none"/>
                <w:lang w:val="en-US" w:eastAsia="zh-CN"/>
              </w:rPr>
              <w:t>#设备要求</w:t>
            </w:r>
          </w:p>
        </w:tc>
        <w:tc>
          <w:tcPr>
            <w:tcW w:w="4166"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rPr>
            </w:pPr>
            <w:r>
              <w:rPr>
                <w:rFonts w:ascii="仿宋" w:eastAsia="仿宋" w:hAnsi="仿宋" w:cs="仿宋" w:hint="eastAsia"/>
                <w:bCs/>
                <w:color w:val="auto"/>
                <w:sz w:val="24"/>
                <w:szCs w:val="24"/>
                <w:u w:val="none"/>
                <w:lang w:val="en-US" w:eastAsia="zh-CN"/>
              </w:rPr>
              <w:t>需与承载箱配套使用</w:t>
            </w:r>
          </w:p>
        </w:tc>
      </w:tr>
    </w:tbl>
    <w:p>
      <w:pPr>
        <w:spacing w:line="360" w:lineRule="auto"/>
        <w:ind w:firstLine="420" w:firstLineChars="200"/>
        <w:rPr>
          <w:rFonts w:ascii="宋体" w:hAnsi="宋体" w:hint="eastAsia"/>
          <w:color w:val="auto"/>
          <w:szCs w:val="21"/>
          <w:u w:val="none"/>
        </w:rPr>
      </w:pPr>
    </w:p>
    <w:p>
      <w:pPr>
        <w:spacing w:line="360" w:lineRule="auto"/>
        <w:ind w:firstLine="420" w:firstLineChars="200"/>
        <w:rPr>
          <w:rFonts w:ascii="宋体" w:hAnsi="宋体" w:hint="eastAsia"/>
          <w:color w:val="auto"/>
          <w:szCs w:val="21"/>
          <w:u w:val="none"/>
        </w:rPr>
      </w:pPr>
      <w:r>
        <w:rPr>
          <w:rFonts w:ascii="宋体" w:hAnsi="宋体" w:hint="eastAsia"/>
          <w:color w:val="auto"/>
          <w:szCs w:val="21"/>
          <w:u w:val="none"/>
          <w:lang w:val="en-US" w:eastAsia="zh-CN"/>
        </w:rPr>
        <w:t>3</w:t>
      </w:r>
      <w:r>
        <w:rPr>
          <w:rFonts w:ascii="宋体" w:hAnsi="宋体" w:hint="eastAsia"/>
          <w:color w:val="auto"/>
          <w:szCs w:val="21"/>
          <w:u w:val="none"/>
        </w:rPr>
        <w:t>.2</w:t>
      </w:r>
      <w:r>
        <w:rPr>
          <w:rFonts w:ascii="宋体" w:hAnsi="宋体" w:hint="eastAsia"/>
          <w:color w:val="auto"/>
          <w:szCs w:val="21"/>
          <w:u w:val="none"/>
          <w:lang w:val="en-US" w:eastAsia="zh-CN"/>
        </w:rPr>
        <w:t>气压环境密封箱技术性能指标</w:t>
      </w:r>
    </w:p>
    <w:tbl>
      <w:tblPr>
        <w:tblStyle w:val="TableNormal"/>
        <w:tblW w:w="81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925"/>
        <w:gridCol w:w="2932"/>
        <w:gridCol w:w="4292"/>
      </w:tblGrid>
      <w:tr>
        <w:tblPrEx>
          <w:tblW w:w="81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Ex>
        <w:trPr>
          <w:trHeight w:val="311"/>
          <w:jc w:val="center"/>
        </w:trPr>
        <w:tc>
          <w:tcPr>
            <w:tcW w:w="925"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
                <w:bCs w:val="0"/>
                <w:color w:val="auto"/>
                <w:sz w:val="24"/>
                <w:szCs w:val="24"/>
                <w:u w:val="none"/>
              </w:rPr>
            </w:pPr>
            <w:r>
              <w:rPr>
                <w:rFonts w:ascii="仿宋" w:eastAsia="仿宋" w:hAnsi="仿宋" w:cs="仿宋" w:hint="eastAsia"/>
                <w:b/>
                <w:bCs w:val="0"/>
                <w:color w:val="auto"/>
                <w:w w:val="95"/>
                <w:sz w:val="24"/>
                <w:szCs w:val="24"/>
                <w:u w:val="none"/>
              </w:rPr>
              <w:t>序号</w:t>
            </w:r>
          </w:p>
        </w:tc>
        <w:tc>
          <w:tcPr>
            <w:tcW w:w="293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
                <w:bCs w:val="0"/>
                <w:color w:val="auto"/>
                <w:sz w:val="24"/>
                <w:szCs w:val="24"/>
                <w:u w:val="none"/>
              </w:rPr>
            </w:pPr>
            <w:r>
              <w:rPr>
                <w:rFonts w:ascii="仿宋" w:eastAsia="仿宋" w:hAnsi="仿宋" w:cs="仿宋" w:hint="eastAsia"/>
                <w:b/>
                <w:bCs w:val="0"/>
                <w:color w:val="auto"/>
                <w:w w:val="95"/>
                <w:sz w:val="24"/>
                <w:szCs w:val="24"/>
                <w:u w:val="none"/>
              </w:rPr>
              <w:t>参数</w:t>
            </w:r>
          </w:p>
        </w:tc>
        <w:tc>
          <w:tcPr>
            <w:tcW w:w="429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
                <w:bCs w:val="0"/>
                <w:color w:val="auto"/>
                <w:sz w:val="24"/>
                <w:szCs w:val="24"/>
                <w:u w:val="none"/>
              </w:rPr>
            </w:pPr>
            <w:r>
              <w:rPr>
                <w:rFonts w:ascii="仿宋" w:eastAsia="仿宋" w:hAnsi="仿宋" w:cs="仿宋" w:hint="eastAsia"/>
                <w:b/>
                <w:bCs w:val="0"/>
                <w:color w:val="auto"/>
                <w:sz w:val="24"/>
                <w:szCs w:val="24"/>
                <w:u w:val="none"/>
              </w:rPr>
              <w:t>技术指标</w:t>
            </w:r>
          </w:p>
        </w:tc>
      </w:tr>
      <w:tr>
        <w:tblPrEx>
          <w:tblW w:w="8149" w:type="dxa"/>
          <w:jc w:val="center"/>
          <w:tblLayout w:type="fixed"/>
          <w:tblCellMar>
            <w:top w:w="0" w:type="dxa"/>
            <w:left w:w="0" w:type="dxa"/>
            <w:bottom w:w="0" w:type="dxa"/>
            <w:right w:w="0" w:type="dxa"/>
          </w:tblCellMar>
        </w:tblPrEx>
        <w:trPr>
          <w:trHeight w:val="320"/>
          <w:jc w:val="center"/>
        </w:trPr>
        <w:tc>
          <w:tcPr>
            <w:tcW w:w="925"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rPr>
            </w:pPr>
            <w:r>
              <w:rPr>
                <w:rFonts w:ascii="仿宋" w:eastAsia="仿宋" w:hAnsi="仿宋" w:cs="仿宋" w:hint="eastAsia"/>
                <w:bCs/>
                <w:color w:val="auto"/>
                <w:sz w:val="24"/>
                <w:szCs w:val="24"/>
                <w:u w:val="none"/>
              </w:rPr>
              <w:t>1</w:t>
            </w:r>
          </w:p>
        </w:tc>
        <w:tc>
          <w:tcPr>
            <w:tcW w:w="293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rPr>
            </w:pPr>
            <w:r>
              <w:rPr>
                <w:rFonts w:ascii="仿宋" w:eastAsia="仿宋" w:hAnsi="仿宋" w:cs="仿宋" w:hint="eastAsia"/>
                <w:bCs/>
                <w:color w:val="auto"/>
                <w:sz w:val="24"/>
                <w:szCs w:val="24"/>
                <w:u w:val="none"/>
                <w:lang w:val="en-US" w:eastAsia="zh-CN"/>
              </w:rPr>
              <w:t>#</w:t>
            </w:r>
            <w:r>
              <w:rPr>
                <w:rFonts w:ascii="仿宋" w:eastAsia="仿宋" w:hAnsi="仿宋" w:cs="仿宋" w:hint="eastAsia"/>
                <w:bCs/>
                <w:color w:val="auto"/>
                <w:sz w:val="24"/>
                <w:szCs w:val="24"/>
                <w:u w:val="none"/>
              </w:rPr>
              <w:t>压力范围</w:t>
            </w:r>
          </w:p>
        </w:tc>
        <w:tc>
          <w:tcPr>
            <w:tcW w:w="429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lang w:eastAsia="zh-CN"/>
              </w:rPr>
            </w:pPr>
            <w:r>
              <w:rPr>
                <w:rFonts w:ascii="仿宋" w:eastAsia="仿宋" w:hAnsi="仿宋" w:cs="仿宋" w:hint="eastAsia"/>
                <w:bCs/>
                <w:color w:val="auto"/>
                <w:sz w:val="24"/>
                <w:szCs w:val="24"/>
                <w:u w:val="none"/>
                <w:lang w:eastAsia="zh-CN"/>
              </w:rPr>
              <w:t>100～1100hPa 绝压</w:t>
            </w:r>
          </w:p>
        </w:tc>
      </w:tr>
      <w:tr>
        <w:tblPrEx>
          <w:tblW w:w="8149" w:type="dxa"/>
          <w:jc w:val="center"/>
          <w:tblLayout w:type="fixed"/>
          <w:tblCellMar>
            <w:top w:w="0" w:type="dxa"/>
            <w:left w:w="0" w:type="dxa"/>
            <w:bottom w:w="0" w:type="dxa"/>
            <w:right w:w="0" w:type="dxa"/>
          </w:tblCellMar>
        </w:tblPrEx>
        <w:trPr>
          <w:trHeight w:val="320"/>
          <w:jc w:val="center"/>
        </w:trPr>
        <w:tc>
          <w:tcPr>
            <w:tcW w:w="925"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lang w:val="en-US" w:eastAsia="zh-CN"/>
              </w:rPr>
            </w:pPr>
            <w:r>
              <w:rPr>
                <w:rFonts w:ascii="仿宋" w:eastAsia="仿宋" w:hAnsi="仿宋" w:cs="仿宋" w:hint="eastAsia"/>
                <w:bCs/>
                <w:color w:val="auto"/>
                <w:sz w:val="24"/>
                <w:szCs w:val="24"/>
                <w:u w:val="none"/>
                <w:lang w:val="en-US" w:eastAsia="zh-CN"/>
              </w:rPr>
              <w:t>2</w:t>
            </w:r>
          </w:p>
        </w:tc>
        <w:tc>
          <w:tcPr>
            <w:tcW w:w="293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rPr>
            </w:pPr>
            <w:r>
              <w:rPr>
                <w:rFonts w:ascii="仿宋" w:eastAsia="仿宋" w:hAnsi="仿宋" w:cs="仿宋" w:hint="eastAsia"/>
                <w:bCs/>
                <w:color w:val="auto"/>
                <w:sz w:val="24"/>
                <w:szCs w:val="24"/>
                <w:u w:val="none"/>
                <w:lang w:val="en-US" w:eastAsia="zh-CN"/>
              </w:rPr>
              <w:t>#</w:t>
            </w:r>
            <w:r>
              <w:rPr>
                <w:rFonts w:ascii="仿宋" w:eastAsia="仿宋" w:hAnsi="仿宋" w:cs="仿宋" w:hint="eastAsia"/>
                <w:bCs/>
                <w:color w:val="auto"/>
                <w:sz w:val="24"/>
                <w:szCs w:val="24"/>
                <w:u w:val="none"/>
              </w:rPr>
              <w:t>泄漏率</w:t>
            </w:r>
          </w:p>
        </w:tc>
        <w:tc>
          <w:tcPr>
            <w:tcW w:w="429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lang w:eastAsia="zh-CN"/>
              </w:rPr>
            </w:pPr>
            <w:r>
              <w:rPr>
                <w:rFonts w:ascii="仿宋" w:eastAsia="仿宋" w:hAnsi="仿宋" w:cs="仿宋" w:hint="eastAsia"/>
                <w:bCs/>
                <w:color w:val="auto"/>
                <w:sz w:val="24"/>
                <w:szCs w:val="24"/>
                <w:highlight w:val="none"/>
                <w:u w:val="none"/>
                <w:lang w:eastAsia="zh-CN"/>
              </w:rPr>
              <w:t>当前压力0.0</w:t>
            </w:r>
            <w:r>
              <w:rPr>
                <w:rFonts w:ascii="仿宋" w:eastAsia="仿宋" w:hAnsi="仿宋" w:cs="仿宋" w:hint="eastAsia"/>
                <w:bCs/>
                <w:color w:val="auto"/>
                <w:sz w:val="24"/>
                <w:szCs w:val="24"/>
                <w:u w:val="none"/>
                <w:lang w:eastAsia="zh-CN"/>
              </w:rPr>
              <w:t>1%</w:t>
            </w:r>
          </w:p>
        </w:tc>
      </w:tr>
      <w:tr>
        <w:tblPrEx>
          <w:tblW w:w="8149" w:type="dxa"/>
          <w:jc w:val="center"/>
          <w:tblLayout w:type="fixed"/>
          <w:tblCellMar>
            <w:top w:w="0" w:type="dxa"/>
            <w:left w:w="0" w:type="dxa"/>
            <w:bottom w:w="0" w:type="dxa"/>
            <w:right w:w="0" w:type="dxa"/>
          </w:tblCellMar>
        </w:tblPrEx>
        <w:trPr>
          <w:trHeight w:val="320"/>
          <w:jc w:val="center"/>
        </w:trPr>
        <w:tc>
          <w:tcPr>
            <w:tcW w:w="925"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lang w:val="en-US" w:eastAsia="zh-CN"/>
              </w:rPr>
            </w:pPr>
            <w:r>
              <w:rPr>
                <w:rFonts w:ascii="仿宋" w:eastAsia="仿宋" w:hAnsi="仿宋" w:cs="仿宋" w:hint="eastAsia"/>
                <w:bCs/>
                <w:color w:val="auto"/>
                <w:sz w:val="24"/>
                <w:szCs w:val="24"/>
                <w:u w:val="none"/>
                <w:lang w:val="en-US" w:eastAsia="zh-CN"/>
              </w:rPr>
              <w:t>3</w:t>
            </w:r>
          </w:p>
        </w:tc>
        <w:tc>
          <w:tcPr>
            <w:tcW w:w="293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rPr>
            </w:pPr>
            <w:r>
              <w:rPr>
                <w:rFonts w:ascii="仿宋" w:eastAsia="仿宋" w:hAnsi="仿宋" w:cs="仿宋" w:hint="eastAsia"/>
                <w:bCs/>
                <w:color w:val="auto"/>
                <w:sz w:val="24"/>
                <w:szCs w:val="24"/>
                <w:u w:val="none"/>
              </w:rPr>
              <w:t>测试路数</w:t>
            </w:r>
          </w:p>
        </w:tc>
        <w:tc>
          <w:tcPr>
            <w:tcW w:w="429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lang w:eastAsia="zh-CN"/>
              </w:rPr>
            </w:pPr>
            <w:r>
              <w:rPr>
                <w:rFonts w:ascii="仿宋" w:eastAsia="仿宋" w:hAnsi="仿宋" w:cs="仿宋" w:hint="eastAsia"/>
                <w:bCs/>
                <w:color w:val="auto"/>
                <w:sz w:val="24"/>
                <w:szCs w:val="24"/>
                <w:u w:val="none"/>
                <w:lang w:eastAsia="zh-CN"/>
              </w:rPr>
              <w:t>6路</w:t>
            </w:r>
          </w:p>
        </w:tc>
      </w:tr>
      <w:tr>
        <w:tblPrEx>
          <w:tblW w:w="8149" w:type="dxa"/>
          <w:jc w:val="center"/>
          <w:tblLayout w:type="fixed"/>
          <w:tblCellMar>
            <w:top w:w="0" w:type="dxa"/>
            <w:left w:w="0" w:type="dxa"/>
            <w:bottom w:w="0" w:type="dxa"/>
            <w:right w:w="0" w:type="dxa"/>
          </w:tblCellMar>
        </w:tblPrEx>
        <w:trPr>
          <w:trHeight w:val="320"/>
          <w:jc w:val="center"/>
        </w:trPr>
        <w:tc>
          <w:tcPr>
            <w:tcW w:w="925"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lang w:val="en-US" w:eastAsia="zh-CN"/>
              </w:rPr>
            </w:pPr>
            <w:r>
              <w:rPr>
                <w:rFonts w:ascii="仿宋" w:eastAsia="仿宋" w:hAnsi="仿宋" w:cs="仿宋" w:hint="eastAsia"/>
                <w:bCs/>
                <w:color w:val="auto"/>
                <w:sz w:val="24"/>
                <w:szCs w:val="24"/>
                <w:u w:val="none"/>
                <w:lang w:val="en-US" w:eastAsia="zh-CN"/>
              </w:rPr>
              <w:t>4</w:t>
            </w:r>
          </w:p>
        </w:tc>
        <w:tc>
          <w:tcPr>
            <w:tcW w:w="293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highlight w:val="none"/>
                <w:u w:val="none"/>
                <w:lang w:val="en-US" w:eastAsia="zh-CN"/>
              </w:rPr>
            </w:pPr>
            <w:r>
              <w:rPr>
                <w:rFonts w:ascii="仿宋" w:eastAsia="仿宋" w:hAnsi="仿宋" w:cs="仿宋" w:hint="eastAsia"/>
                <w:bCs/>
                <w:color w:val="auto"/>
                <w:sz w:val="24"/>
                <w:szCs w:val="24"/>
                <w:highlight w:val="none"/>
                <w:u w:val="none"/>
                <w:lang w:val="en-US" w:eastAsia="zh-CN"/>
              </w:rPr>
              <w:t>内部气容设计</w:t>
            </w:r>
          </w:p>
        </w:tc>
        <w:tc>
          <w:tcPr>
            <w:tcW w:w="429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lang w:val="en-US" w:eastAsia="zh-CN"/>
              </w:rPr>
            </w:pPr>
            <w:r>
              <w:rPr>
                <w:rFonts w:ascii="仿宋" w:eastAsia="仿宋" w:hAnsi="仿宋" w:cs="仿宋" w:hint="eastAsia"/>
                <w:bCs/>
                <w:color w:val="0D0D0D" w:themeColor="text1" w:themeTint="F2"/>
                <w:sz w:val="24"/>
                <w:szCs w:val="24"/>
                <w:u w:val="none"/>
                <w:lang w:val="en-US" w:eastAsia="zh-CN"/>
              </w:rPr>
              <w:t>气容空间较小，减少抽真空时间</w:t>
            </w:r>
          </w:p>
        </w:tc>
      </w:tr>
      <w:tr>
        <w:tblPrEx>
          <w:tblW w:w="8149" w:type="dxa"/>
          <w:jc w:val="center"/>
          <w:tblLayout w:type="fixed"/>
          <w:tblCellMar>
            <w:top w:w="0" w:type="dxa"/>
            <w:left w:w="0" w:type="dxa"/>
            <w:bottom w:w="0" w:type="dxa"/>
            <w:right w:w="0" w:type="dxa"/>
          </w:tblCellMar>
        </w:tblPrEx>
        <w:trPr>
          <w:trHeight w:val="320"/>
          <w:jc w:val="center"/>
        </w:trPr>
        <w:tc>
          <w:tcPr>
            <w:tcW w:w="925"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lang w:val="en-US" w:eastAsia="zh-CN"/>
              </w:rPr>
            </w:pPr>
            <w:r>
              <w:rPr>
                <w:rFonts w:ascii="仿宋" w:eastAsia="仿宋" w:hAnsi="仿宋" w:cs="仿宋" w:hint="eastAsia"/>
                <w:bCs/>
                <w:color w:val="auto"/>
                <w:sz w:val="24"/>
                <w:szCs w:val="24"/>
                <w:u w:val="none"/>
                <w:lang w:val="en-US" w:eastAsia="zh-CN"/>
              </w:rPr>
              <w:t>5</w:t>
            </w:r>
          </w:p>
        </w:tc>
        <w:tc>
          <w:tcPr>
            <w:tcW w:w="293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highlight w:val="none"/>
                <w:u w:val="none"/>
                <w:lang w:val="en-US" w:eastAsia="zh-CN"/>
              </w:rPr>
            </w:pPr>
            <w:r>
              <w:rPr>
                <w:rFonts w:ascii="仿宋" w:eastAsia="仿宋" w:hAnsi="仿宋" w:cs="仿宋" w:hint="eastAsia"/>
                <w:bCs/>
                <w:color w:val="auto"/>
                <w:sz w:val="24"/>
                <w:szCs w:val="24"/>
                <w:highlight w:val="none"/>
                <w:u w:val="none"/>
                <w:lang w:val="en-US" w:eastAsia="zh-CN"/>
              </w:rPr>
              <w:t>#密封方式</w:t>
            </w:r>
          </w:p>
        </w:tc>
        <w:tc>
          <w:tcPr>
            <w:tcW w:w="429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lang w:val="en-US" w:eastAsia="zh-CN"/>
              </w:rPr>
            </w:pPr>
            <w:r>
              <w:rPr>
                <w:rFonts w:ascii="仿宋" w:eastAsia="仿宋" w:hAnsi="仿宋" w:cs="仿宋" w:hint="eastAsia"/>
                <w:bCs/>
                <w:color w:val="auto"/>
                <w:sz w:val="24"/>
                <w:szCs w:val="24"/>
                <w:u w:val="none"/>
                <w:lang w:val="en-US" w:eastAsia="zh-CN"/>
              </w:rPr>
              <w:t>抽屉易拉方式，实现快速密封</w:t>
            </w:r>
          </w:p>
        </w:tc>
      </w:tr>
      <w:tr>
        <w:tblPrEx>
          <w:tblW w:w="8149" w:type="dxa"/>
          <w:jc w:val="center"/>
          <w:tblLayout w:type="fixed"/>
          <w:tblCellMar>
            <w:top w:w="0" w:type="dxa"/>
            <w:left w:w="0" w:type="dxa"/>
            <w:bottom w:w="0" w:type="dxa"/>
            <w:right w:w="0" w:type="dxa"/>
          </w:tblCellMar>
        </w:tblPrEx>
        <w:trPr>
          <w:trHeight w:val="320"/>
          <w:jc w:val="center"/>
        </w:trPr>
        <w:tc>
          <w:tcPr>
            <w:tcW w:w="925"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lang w:val="en-US" w:eastAsia="zh-CN"/>
              </w:rPr>
            </w:pPr>
            <w:r>
              <w:rPr>
                <w:rFonts w:ascii="仿宋" w:eastAsia="仿宋" w:hAnsi="仿宋" w:cs="仿宋" w:hint="eastAsia"/>
                <w:bCs/>
                <w:color w:val="auto"/>
                <w:sz w:val="24"/>
                <w:szCs w:val="24"/>
                <w:u w:val="none"/>
                <w:lang w:val="en-US" w:eastAsia="zh-CN"/>
              </w:rPr>
              <w:t>6</w:t>
            </w:r>
          </w:p>
        </w:tc>
        <w:tc>
          <w:tcPr>
            <w:tcW w:w="293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highlight w:val="none"/>
                <w:u w:val="none"/>
                <w:lang w:val="en-US" w:eastAsia="zh-CN"/>
              </w:rPr>
            </w:pPr>
            <w:r>
              <w:rPr>
                <w:rFonts w:ascii="仿宋" w:eastAsia="仿宋" w:hAnsi="仿宋" w:cs="仿宋" w:hint="eastAsia"/>
                <w:bCs/>
                <w:color w:val="auto"/>
                <w:sz w:val="24"/>
                <w:szCs w:val="24"/>
                <w:highlight w:val="none"/>
                <w:u w:val="none"/>
                <w:lang w:val="en-US" w:eastAsia="zh-CN"/>
              </w:rPr>
              <w:t>#材质</w:t>
            </w:r>
          </w:p>
        </w:tc>
        <w:tc>
          <w:tcPr>
            <w:tcW w:w="429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lang w:val="en-US" w:eastAsia="zh-CN"/>
              </w:rPr>
            </w:pPr>
            <w:r>
              <w:rPr>
                <w:rFonts w:ascii="仿宋" w:eastAsia="仿宋" w:hAnsi="仿宋" w:cs="仿宋" w:hint="eastAsia"/>
                <w:bCs/>
                <w:color w:val="auto"/>
                <w:sz w:val="24"/>
                <w:szCs w:val="24"/>
                <w:u w:val="none"/>
                <w:lang w:val="en-US" w:eastAsia="zh-CN"/>
              </w:rPr>
              <w:t>透明材料及铝合金框架</w:t>
            </w:r>
          </w:p>
        </w:tc>
      </w:tr>
      <w:tr>
        <w:tblPrEx>
          <w:tblW w:w="8149" w:type="dxa"/>
          <w:jc w:val="center"/>
          <w:tblLayout w:type="fixed"/>
          <w:tblCellMar>
            <w:top w:w="0" w:type="dxa"/>
            <w:left w:w="0" w:type="dxa"/>
            <w:bottom w:w="0" w:type="dxa"/>
            <w:right w:w="0" w:type="dxa"/>
          </w:tblCellMar>
        </w:tblPrEx>
        <w:trPr>
          <w:trHeight w:val="320"/>
          <w:jc w:val="center"/>
        </w:trPr>
        <w:tc>
          <w:tcPr>
            <w:tcW w:w="925"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lang w:val="en-US" w:eastAsia="zh-CN"/>
              </w:rPr>
            </w:pPr>
            <w:r>
              <w:rPr>
                <w:rFonts w:ascii="仿宋" w:eastAsia="仿宋" w:hAnsi="仿宋" w:cs="仿宋" w:hint="eastAsia"/>
                <w:bCs/>
                <w:color w:val="auto"/>
                <w:sz w:val="24"/>
                <w:szCs w:val="24"/>
                <w:u w:val="none"/>
                <w:lang w:val="en-US" w:eastAsia="zh-CN"/>
              </w:rPr>
              <w:t>7</w:t>
            </w:r>
          </w:p>
        </w:tc>
        <w:tc>
          <w:tcPr>
            <w:tcW w:w="293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highlight w:val="none"/>
                <w:u w:val="none"/>
                <w:lang w:val="en-US" w:eastAsia="zh-CN"/>
              </w:rPr>
            </w:pPr>
            <w:r>
              <w:rPr>
                <w:rFonts w:ascii="仿宋" w:eastAsia="仿宋" w:hAnsi="仿宋" w:cs="仿宋" w:hint="eastAsia"/>
                <w:bCs/>
                <w:color w:val="auto"/>
                <w:sz w:val="24"/>
                <w:szCs w:val="24"/>
                <w:highlight w:val="none"/>
                <w:u w:val="none"/>
                <w:lang w:val="en-US" w:eastAsia="zh-CN"/>
              </w:rPr>
              <w:t>照明功能</w:t>
            </w:r>
          </w:p>
        </w:tc>
        <w:tc>
          <w:tcPr>
            <w:tcW w:w="429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lang w:val="en-US" w:eastAsia="zh-CN"/>
              </w:rPr>
            </w:pPr>
            <w:r>
              <w:rPr>
                <w:rFonts w:ascii="仿宋" w:eastAsia="仿宋" w:hAnsi="仿宋" w:cs="仿宋" w:hint="eastAsia"/>
                <w:bCs/>
                <w:color w:val="auto"/>
                <w:sz w:val="24"/>
                <w:szCs w:val="24"/>
                <w:u w:val="none"/>
                <w:lang w:val="en-US" w:eastAsia="zh-CN"/>
              </w:rPr>
              <w:t>可清晰查看被检表信息</w:t>
            </w:r>
          </w:p>
        </w:tc>
      </w:tr>
      <w:tr>
        <w:tblPrEx>
          <w:tblW w:w="8149" w:type="dxa"/>
          <w:jc w:val="center"/>
          <w:tblLayout w:type="fixed"/>
          <w:tblCellMar>
            <w:top w:w="0" w:type="dxa"/>
            <w:left w:w="0" w:type="dxa"/>
            <w:bottom w:w="0" w:type="dxa"/>
            <w:right w:w="0" w:type="dxa"/>
          </w:tblCellMar>
        </w:tblPrEx>
        <w:trPr>
          <w:trHeight w:val="320"/>
          <w:jc w:val="center"/>
        </w:trPr>
        <w:tc>
          <w:tcPr>
            <w:tcW w:w="925"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lang w:val="en-US" w:eastAsia="zh-CN"/>
              </w:rPr>
            </w:pPr>
            <w:r>
              <w:rPr>
                <w:rFonts w:ascii="仿宋" w:eastAsia="仿宋" w:hAnsi="仿宋" w:cs="仿宋" w:hint="eastAsia"/>
                <w:bCs/>
                <w:color w:val="auto"/>
                <w:sz w:val="24"/>
                <w:szCs w:val="24"/>
                <w:u w:val="none"/>
                <w:lang w:val="en-US" w:eastAsia="zh-CN"/>
              </w:rPr>
              <w:t>8</w:t>
            </w:r>
          </w:p>
        </w:tc>
        <w:tc>
          <w:tcPr>
            <w:tcW w:w="293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highlight w:val="none"/>
                <w:u w:val="none"/>
                <w:lang w:val="en-US" w:eastAsia="zh-CN"/>
              </w:rPr>
            </w:pPr>
            <w:r>
              <w:rPr>
                <w:rFonts w:ascii="仿宋" w:eastAsia="仿宋" w:hAnsi="仿宋" w:cs="仿宋" w:hint="eastAsia"/>
                <w:bCs/>
                <w:color w:val="auto"/>
                <w:sz w:val="24"/>
                <w:szCs w:val="24"/>
                <w:highlight w:val="none"/>
                <w:u w:val="none"/>
                <w:lang w:val="en-US" w:eastAsia="zh-CN"/>
              </w:rPr>
              <w:t>供电功能</w:t>
            </w:r>
          </w:p>
        </w:tc>
        <w:tc>
          <w:tcPr>
            <w:tcW w:w="429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lang w:val="en-US" w:eastAsia="zh-CN"/>
              </w:rPr>
            </w:pPr>
            <w:r>
              <w:rPr>
                <w:rFonts w:ascii="仿宋" w:eastAsia="仿宋" w:hAnsi="仿宋" w:cs="仿宋" w:hint="eastAsia"/>
                <w:bCs/>
                <w:color w:val="auto"/>
                <w:sz w:val="24"/>
                <w:szCs w:val="24"/>
                <w:u w:val="none"/>
                <w:lang w:val="en-US" w:eastAsia="zh-CN"/>
              </w:rPr>
              <w:t>支持供电</w:t>
            </w:r>
          </w:p>
        </w:tc>
      </w:tr>
      <w:tr>
        <w:tblPrEx>
          <w:tblW w:w="8149" w:type="dxa"/>
          <w:jc w:val="center"/>
          <w:tblLayout w:type="fixed"/>
          <w:tblCellMar>
            <w:top w:w="0" w:type="dxa"/>
            <w:left w:w="0" w:type="dxa"/>
            <w:bottom w:w="0" w:type="dxa"/>
            <w:right w:w="0" w:type="dxa"/>
          </w:tblCellMar>
        </w:tblPrEx>
        <w:trPr>
          <w:trHeight w:val="320"/>
          <w:jc w:val="center"/>
        </w:trPr>
        <w:tc>
          <w:tcPr>
            <w:tcW w:w="925"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lang w:val="en-US" w:eastAsia="zh-CN"/>
              </w:rPr>
            </w:pPr>
            <w:r>
              <w:rPr>
                <w:rFonts w:ascii="仿宋" w:eastAsia="仿宋" w:hAnsi="仿宋" w:cs="仿宋" w:hint="eastAsia"/>
                <w:bCs/>
                <w:color w:val="auto"/>
                <w:sz w:val="24"/>
                <w:szCs w:val="24"/>
                <w:u w:val="none"/>
                <w:lang w:val="en-US" w:eastAsia="zh-CN"/>
              </w:rPr>
              <w:t>9</w:t>
            </w:r>
          </w:p>
        </w:tc>
        <w:tc>
          <w:tcPr>
            <w:tcW w:w="293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highlight w:val="none"/>
                <w:u w:val="none"/>
                <w:lang w:val="en-US" w:eastAsia="zh-CN"/>
              </w:rPr>
            </w:pPr>
            <w:r>
              <w:rPr>
                <w:rFonts w:ascii="仿宋" w:eastAsia="仿宋" w:hAnsi="仿宋" w:cs="仿宋" w:hint="eastAsia"/>
                <w:bCs/>
                <w:color w:val="auto"/>
                <w:sz w:val="24"/>
                <w:szCs w:val="24"/>
                <w:highlight w:val="none"/>
                <w:u w:val="none"/>
                <w:lang w:val="en-US" w:eastAsia="zh-CN"/>
              </w:rPr>
              <w:t>#震动功能</w:t>
            </w:r>
          </w:p>
        </w:tc>
        <w:tc>
          <w:tcPr>
            <w:tcW w:w="429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lang w:val="en-US" w:eastAsia="zh-CN"/>
              </w:rPr>
            </w:pPr>
            <w:r>
              <w:rPr>
                <w:rFonts w:ascii="仿宋" w:eastAsia="仿宋" w:hAnsi="仿宋" w:cs="仿宋" w:hint="eastAsia"/>
                <w:bCs/>
                <w:color w:val="auto"/>
                <w:sz w:val="24"/>
                <w:szCs w:val="24"/>
                <w:u w:val="none"/>
                <w:lang w:val="en-US" w:eastAsia="zh-CN"/>
              </w:rPr>
              <w:t>根据空盒检测规程标准实现自动震动</w:t>
            </w:r>
          </w:p>
        </w:tc>
      </w:tr>
      <w:tr>
        <w:tblPrEx>
          <w:tblW w:w="8149" w:type="dxa"/>
          <w:jc w:val="center"/>
          <w:tblLayout w:type="fixed"/>
          <w:tblCellMar>
            <w:top w:w="0" w:type="dxa"/>
            <w:left w:w="0" w:type="dxa"/>
            <w:bottom w:w="0" w:type="dxa"/>
            <w:right w:w="0" w:type="dxa"/>
          </w:tblCellMar>
        </w:tblPrEx>
        <w:trPr>
          <w:trHeight w:val="320"/>
          <w:jc w:val="center"/>
        </w:trPr>
        <w:tc>
          <w:tcPr>
            <w:tcW w:w="925"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lang w:val="en-US" w:eastAsia="zh-CN"/>
              </w:rPr>
            </w:pPr>
            <w:r>
              <w:rPr>
                <w:rFonts w:ascii="仿宋" w:eastAsia="仿宋" w:hAnsi="仿宋" w:cs="仿宋" w:hint="eastAsia"/>
                <w:bCs/>
                <w:color w:val="auto"/>
                <w:sz w:val="24"/>
                <w:szCs w:val="24"/>
                <w:u w:val="none"/>
                <w:lang w:val="en-US" w:eastAsia="zh-CN"/>
              </w:rPr>
              <w:t>10</w:t>
            </w:r>
          </w:p>
        </w:tc>
        <w:tc>
          <w:tcPr>
            <w:tcW w:w="293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highlight w:val="none"/>
                <w:u w:val="none"/>
                <w:lang w:val="en-US" w:eastAsia="zh-CN"/>
              </w:rPr>
            </w:pPr>
            <w:r>
              <w:rPr>
                <w:rFonts w:ascii="仿宋" w:eastAsia="仿宋" w:hAnsi="仿宋" w:cs="仿宋" w:hint="eastAsia"/>
                <w:bCs/>
                <w:color w:val="auto"/>
                <w:sz w:val="24"/>
                <w:szCs w:val="24"/>
                <w:highlight w:val="none"/>
                <w:u w:val="none"/>
                <w:lang w:val="en-US" w:eastAsia="zh-CN"/>
              </w:rPr>
              <w:t>震动保护功能</w:t>
            </w:r>
          </w:p>
        </w:tc>
        <w:tc>
          <w:tcPr>
            <w:tcW w:w="429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lang w:val="en-US" w:eastAsia="zh-CN"/>
              </w:rPr>
            </w:pPr>
            <w:r>
              <w:rPr>
                <w:rFonts w:ascii="仿宋" w:eastAsia="仿宋" w:hAnsi="仿宋" w:cs="仿宋" w:hint="eastAsia"/>
                <w:bCs/>
                <w:color w:val="auto"/>
                <w:sz w:val="24"/>
                <w:szCs w:val="24"/>
                <w:u w:val="none"/>
                <w:lang w:val="en-US" w:eastAsia="zh-CN"/>
              </w:rPr>
              <w:t>避免损坏被检器</w:t>
            </w:r>
          </w:p>
        </w:tc>
      </w:tr>
      <w:tr>
        <w:tblPrEx>
          <w:tblW w:w="8149" w:type="dxa"/>
          <w:jc w:val="center"/>
          <w:tblLayout w:type="fixed"/>
          <w:tblCellMar>
            <w:top w:w="0" w:type="dxa"/>
            <w:left w:w="0" w:type="dxa"/>
            <w:bottom w:w="0" w:type="dxa"/>
            <w:right w:w="0" w:type="dxa"/>
          </w:tblCellMar>
        </w:tblPrEx>
        <w:trPr>
          <w:trHeight w:val="320"/>
          <w:jc w:val="center"/>
        </w:trPr>
        <w:tc>
          <w:tcPr>
            <w:tcW w:w="925"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lang w:val="en-US" w:eastAsia="zh-CN"/>
              </w:rPr>
            </w:pPr>
            <w:r>
              <w:rPr>
                <w:rFonts w:ascii="仿宋" w:eastAsia="仿宋" w:hAnsi="仿宋" w:cs="仿宋" w:hint="eastAsia"/>
                <w:bCs/>
                <w:color w:val="auto"/>
                <w:sz w:val="24"/>
                <w:szCs w:val="24"/>
                <w:u w:val="none"/>
                <w:lang w:val="en-US" w:eastAsia="zh-CN"/>
              </w:rPr>
              <w:t>11</w:t>
            </w:r>
          </w:p>
        </w:tc>
        <w:tc>
          <w:tcPr>
            <w:tcW w:w="293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highlight w:val="none"/>
                <w:u w:val="none"/>
                <w:lang w:val="en-US" w:eastAsia="zh-CN"/>
              </w:rPr>
            </w:pPr>
            <w:r>
              <w:rPr>
                <w:rFonts w:ascii="仿宋" w:eastAsia="仿宋" w:hAnsi="仿宋" w:cs="仿宋" w:hint="eastAsia"/>
                <w:bCs/>
                <w:color w:val="auto"/>
                <w:sz w:val="24"/>
                <w:szCs w:val="24"/>
                <w:highlight w:val="none"/>
                <w:u w:val="none"/>
                <w:lang w:val="en-US" w:eastAsia="zh-CN"/>
              </w:rPr>
              <w:t>通讯功能</w:t>
            </w:r>
          </w:p>
        </w:tc>
        <w:tc>
          <w:tcPr>
            <w:tcW w:w="429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lang w:val="en-US" w:eastAsia="zh-CN"/>
              </w:rPr>
            </w:pPr>
            <w:r>
              <w:rPr>
                <w:rFonts w:ascii="仿宋" w:eastAsia="仿宋" w:hAnsi="仿宋" w:cs="仿宋" w:hint="eastAsia"/>
                <w:bCs/>
                <w:color w:val="auto"/>
                <w:sz w:val="24"/>
                <w:szCs w:val="24"/>
                <w:u w:val="none"/>
                <w:lang w:val="en-US" w:eastAsia="zh-CN"/>
              </w:rPr>
              <w:t>支持通讯</w:t>
            </w:r>
          </w:p>
        </w:tc>
      </w:tr>
      <w:tr>
        <w:tblPrEx>
          <w:tblW w:w="8149" w:type="dxa"/>
          <w:jc w:val="center"/>
          <w:tblLayout w:type="fixed"/>
          <w:tblCellMar>
            <w:top w:w="0" w:type="dxa"/>
            <w:left w:w="0" w:type="dxa"/>
            <w:bottom w:w="0" w:type="dxa"/>
            <w:right w:w="0" w:type="dxa"/>
          </w:tblCellMar>
        </w:tblPrEx>
        <w:trPr>
          <w:trHeight w:val="320"/>
          <w:jc w:val="center"/>
        </w:trPr>
        <w:tc>
          <w:tcPr>
            <w:tcW w:w="925"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lang w:val="en-US" w:eastAsia="zh-CN"/>
              </w:rPr>
            </w:pPr>
            <w:r>
              <w:rPr>
                <w:rFonts w:ascii="仿宋" w:eastAsia="仿宋" w:hAnsi="仿宋" w:cs="仿宋" w:hint="eastAsia"/>
                <w:bCs/>
                <w:color w:val="auto"/>
                <w:sz w:val="24"/>
                <w:szCs w:val="24"/>
                <w:u w:val="none"/>
                <w:lang w:val="en-US" w:eastAsia="zh-CN"/>
              </w:rPr>
              <w:t>12</w:t>
            </w:r>
          </w:p>
        </w:tc>
        <w:tc>
          <w:tcPr>
            <w:tcW w:w="293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highlight w:val="none"/>
                <w:u w:val="none"/>
                <w:lang w:val="en-US" w:eastAsia="zh-CN"/>
              </w:rPr>
            </w:pPr>
            <w:r>
              <w:rPr>
                <w:rFonts w:ascii="仿宋" w:eastAsia="仿宋" w:hAnsi="仿宋" w:cs="仿宋" w:hint="eastAsia"/>
                <w:bCs/>
                <w:color w:val="auto"/>
                <w:sz w:val="24"/>
                <w:szCs w:val="24"/>
                <w:highlight w:val="none"/>
                <w:u w:val="none"/>
                <w:lang w:val="en-US" w:eastAsia="zh-CN"/>
              </w:rPr>
              <w:t>其他功能</w:t>
            </w:r>
          </w:p>
        </w:tc>
        <w:tc>
          <w:tcPr>
            <w:tcW w:w="429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lang w:val="en-US" w:eastAsia="zh-CN"/>
              </w:rPr>
            </w:pPr>
            <w:r>
              <w:rPr>
                <w:rFonts w:ascii="仿宋" w:eastAsia="仿宋" w:hAnsi="仿宋" w:cs="仿宋" w:hint="eastAsia"/>
                <w:bCs/>
                <w:color w:val="auto"/>
                <w:sz w:val="24"/>
                <w:szCs w:val="24"/>
                <w:u w:val="none"/>
                <w:lang w:val="en-US" w:eastAsia="zh-CN"/>
              </w:rPr>
              <w:t>被检表固定支架</w:t>
            </w:r>
          </w:p>
        </w:tc>
      </w:tr>
      <w:tr>
        <w:tblPrEx>
          <w:tblW w:w="8149" w:type="dxa"/>
          <w:jc w:val="center"/>
          <w:tblLayout w:type="fixed"/>
          <w:tblCellMar>
            <w:top w:w="0" w:type="dxa"/>
            <w:left w:w="0" w:type="dxa"/>
            <w:bottom w:w="0" w:type="dxa"/>
            <w:right w:w="0" w:type="dxa"/>
          </w:tblCellMar>
        </w:tblPrEx>
        <w:trPr>
          <w:trHeight w:val="90"/>
          <w:jc w:val="center"/>
        </w:trPr>
        <w:tc>
          <w:tcPr>
            <w:tcW w:w="925"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default"/>
                <w:bCs/>
                <w:color w:val="auto"/>
                <w:sz w:val="24"/>
                <w:szCs w:val="24"/>
                <w:u w:val="none"/>
                <w:lang w:val="en-US" w:eastAsia="zh-CN"/>
              </w:rPr>
            </w:pPr>
            <w:r>
              <w:rPr>
                <w:rFonts w:ascii="仿宋" w:eastAsia="仿宋" w:hAnsi="仿宋" w:cs="仿宋" w:hint="eastAsia"/>
                <w:bCs/>
                <w:color w:val="auto"/>
                <w:sz w:val="24"/>
                <w:szCs w:val="24"/>
                <w:u w:val="none"/>
                <w:lang w:val="en-US" w:eastAsia="zh-CN"/>
              </w:rPr>
              <w:t>13</w:t>
            </w:r>
          </w:p>
        </w:tc>
        <w:tc>
          <w:tcPr>
            <w:tcW w:w="293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eastAsia"/>
                <w:bCs/>
                <w:color w:val="auto"/>
                <w:sz w:val="24"/>
                <w:szCs w:val="24"/>
                <w:u w:val="none"/>
                <w:lang w:val="en-US" w:eastAsia="zh-CN"/>
              </w:rPr>
            </w:pPr>
            <w:r>
              <w:rPr>
                <w:rFonts w:ascii="仿宋" w:eastAsia="仿宋" w:hAnsi="仿宋" w:cs="仿宋" w:hint="eastAsia"/>
                <w:bCs/>
                <w:color w:val="auto"/>
                <w:kern w:val="0"/>
                <w:sz w:val="24"/>
                <w:szCs w:val="24"/>
                <w:u w:val="none"/>
                <w:lang w:val="en-US" w:eastAsia="zh-CN" w:bidi="ar"/>
              </w:rPr>
              <w:t>#</w:t>
            </w:r>
            <w:r>
              <w:rPr>
                <w:rFonts w:ascii="仿宋" w:eastAsia="仿宋" w:hAnsi="仿宋" w:cs="仿宋" w:hint="eastAsia"/>
                <w:bCs/>
                <w:color w:val="auto"/>
                <w:sz w:val="24"/>
                <w:szCs w:val="24"/>
                <w:u w:val="none"/>
                <w:lang w:val="en-US" w:eastAsia="zh-CN"/>
              </w:rPr>
              <w:t>水平调节功能</w:t>
            </w:r>
          </w:p>
        </w:tc>
        <w:tc>
          <w:tcPr>
            <w:tcW w:w="4292" w:type="dxa"/>
            <w:noWrap w:val="0"/>
            <w:vAlign w:val="center"/>
          </w:tcPr>
          <w:p>
            <w:pPr>
              <w:pStyle w:val="TableParagraph"/>
              <w:keepNext w:val="0"/>
              <w:keepLines w:val="0"/>
              <w:pageBreakBefore w:val="0"/>
              <w:widowControl w:val="0"/>
              <w:kinsoku/>
              <w:wordWrap/>
              <w:overflowPunct/>
              <w:topLinePunct w:val="0"/>
              <w:autoSpaceDE w:val="0"/>
              <w:autoSpaceDN w:val="0"/>
              <w:bidi w:val="0"/>
              <w:adjustRightInd w:val="0"/>
              <w:snapToGrid w:val="0"/>
              <w:ind w:left="0" w:right="0"/>
              <w:jc w:val="center"/>
              <w:textAlignment w:val="auto"/>
              <w:rPr>
                <w:rFonts w:ascii="仿宋" w:eastAsia="仿宋" w:hAnsi="仿宋" w:cs="仿宋" w:hint="default"/>
                <w:bCs/>
                <w:color w:val="auto"/>
                <w:sz w:val="24"/>
                <w:szCs w:val="24"/>
                <w:u w:val="none"/>
                <w:lang w:val="en-US" w:eastAsia="zh-CN"/>
              </w:rPr>
            </w:pPr>
            <w:r>
              <w:rPr>
                <w:rFonts w:ascii="仿宋" w:eastAsia="仿宋" w:hAnsi="仿宋" w:cs="仿宋" w:hint="eastAsia"/>
                <w:bCs/>
                <w:color w:val="auto"/>
                <w:sz w:val="24"/>
                <w:szCs w:val="24"/>
                <w:u w:val="none"/>
                <w:lang w:val="en-US" w:eastAsia="zh-CN"/>
              </w:rPr>
              <w:t>设备支持水平调节</w:t>
            </w:r>
          </w:p>
        </w:tc>
      </w:tr>
    </w:tbl>
    <w:p>
      <w:pPr>
        <w:spacing w:line="360" w:lineRule="auto"/>
        <w:ind w:firstLine="420" w:firstLineChars="200"/>
        <w:rPr>
          <w:rFonts w:ascii="宋体" w:hAnsi="宋体" w:hint="eastAsia"/>
          <w:szCs w:val="21"/>
        </w:rPr>
      </w:pPr>
    </w:p>
    <w:p>
      <w:pPr>
        <w:spacing w:line="360" w:lineRule="auto"/>
        <w:ind w:firstLine="420" w:firstLineChars="200"/>
        <w:rPr>
          <w:rFonts w:ascii="宋体" w:hAnsi="宋体" w:hint="eastAsia"/>
          <w:szCs w:val="21"/>
        </w:rPr>
      </w:pPr>
      <w:r>
        <w:rPr>
          <w:rFonts w:ascii="宋体" w:hAnsi="宋体" w:hint="eastAsia"/>
          <w:szCs w:val="21"/>
        </w:rPr>
        <w:t>四、检验考核要求</w:t>
      </w:r>
    </w:p>
    <w:p>
      <w:pPr>
        <w:spacing w:line="360" w:lineRule="auto"/>
        <w:ind w:firstLine="420" w:firstLineChars="200"/>
        <w:rPr>
          <w:rFonts w:ascii="宋体" w:hAnsi="宋体" w:hint="eastAsia"/>
          <w:szCs w:val="21"/>
        </w:rPr>
      </w:pPr>
      <w:r>
        <w:rPr>
          <w:rFonts w:ascii="宋体" w:hAnsi="宋体" w:hint="eastAsia"/>
          <w:szCs w:val="21"/>
        </w:rPr>
        <w:t>设备出厂、包装运输、安装调试、设备验收方面还应满足以下要求：</w:t>
      </w:r>
    </w:p>
    <w:p>
      <w:pPr>
        <w:spacing w:line="360" w:lineRule="auto"/>
        <w:ind w:firstLine="420" w:firstLineChars="200"/>
        <w:rPr>
          <w:rFonts w:ascii="宋体" w:hAnsi="宋体" w:hint="eastAsia"/>
          <w:szCs w:val="21"/>
        </w:rPr>
      </w:pPr>
      <w:r>
        <w:rPr>
          <w:rFonts w:ascii="宋体" w:hAnsi="宋体" w:hint="eastAsia"/>
          <w:szCs w:val="21"/>
          <w:lang w:val="en-US" w:eastAsia="zh-CN"/>
        </w:rPr>
        <w:t>1.</w:t>
      </w:r>
      <w:r>
        <w:rPr>
          <w:rFonts w:ascii="宋体" w:hAnsi="宋体" w:hint="eastAsia"/>
          <w:szCs w:val="21"/>
        </w:rPr>
        <w:t>设备出厂</w:t>
      </w:r>
    </w:p>
    <w:p>
      <w:pPr>
        <w:spacing w:line="360" w:lineRule="auto"/>
        <w:ind w:firstLine="420" w:firstLineChars="200"/>
        <w:rPr>
          <w:rFonts w:ascii="宋体" w:hAnsi="宋体" w:hint="eastAsia"/>
          <w:szCs w:val="21"/>
        </w:rPr>
      </w:pPr>
      <w:r>
        <w:rPr>
          <w:rFonts w:ascii="宋体" w:hAnsi="宋体" w:hint="eastAsia"/>
          <w:szCs w:val="21"/>
        </w:rPr>
        <w:t>保证所提供产品的数量、质量</w:t>
      </w:r>
      <w:r>
        <w:rPr>
          <w:rFonts w:ascii="宋体" w:hAnsi="宋体" w:hint="eastAsia"/>
          <w:szCs w:val="21"/>
          <w:lang w:eastAsia="zh-CN"/>
        </w:rPr>
        <w:t>，</w:t>
      </w:r>
      <w:r>
        <w:rPr>
          <w:rFonts w:ascii="宋体" w:hAnsi="宋体" w:hint="eastAsia"/>
          <w:szCs w:val="21"/>
          <w:lang w:val="en-US" w:eastAsia="zh-CN"/>
        </w:rPr>
        <w:t>并提供设备出厂检测报告。</w:t>
      </w:r>
    </w:p>
    <w:p>
      <w:pPr>
        <w:spacing w:line="360" w:lineRule="auto"/>
        <w:ind w:firstLine="420" w:firstLineChars="200"/>
        <w:rPr>
          <w:rFonts w:ascii="宋体" w:hAnsi="宋体" w:hint="eastAsia"/>
          <w:szCs w:val="21"/>
        </w:rPr>
      </w:pPr>
      <w:r>
        <w:rPr>
          <w:rFonts w:ascii="宋体" w:hAnsi="宋体" w:hint="eastAsia"/>
          <w:szCs w:val="21"/>
          <w:lang w:val="en-US" w:eastAsia="zh-CN"/>
        </w:rPr>
        <w:t>若投标产品为计量标准器及配套设备，须提供由第三方检测机构出具的检定或校准证书</w:t>
      </w:r>
      <w:r>
        <w:rPr>
          <w:rFonts w:ascii="宋体" w:hAnsi="宋体" w:hint="eastAsia"/>
          <w:szCs w:val="21"/>
        </w:rPr>
        <w:t>。</w:t>
      </w:r>
    </w:p>
    <w:p>
      <w:pPr>
        <w:spacing w:line="360" w:lineRule="auto"/>
        <w:ind w:firstLine="420" w:firstLineChars="200"/>
        <w:rPr>
          <w:rFonts w:ascii="宋体" w:hAnsi="宋体" w:hint="eastAsia"/>
          <w:szCs w:val="21"/>
        </w:rPr>
      </w:pPr>
      <w:r>
        <w:rPr>
          <w:rFonts w:ascii="宋体" w:hAnsi="宋体" w:hint="eastAsia"/>
          <w:szCs w:val="21"/>
        </w:rPr>
        <w:t>2</w:t>
      </w:r>
      <w:r>
        <w:rPr>
          <w:rFonts w:ascii="宋体" w:hAnsi="宋体" w:hint="eastAsia"/>
          <w:szCs w:val="21"/>
          <w:lang w:eastAsia="zh-CN"/>
        </w:rPr>
        <w:t>.</w:t>
      </w:r>
      <w:r>
        <w:rPr>
          <w:rFonts w:ascii="宋体" w:hAnsi="宋体" w:hint="eastAsia"/>
          <w:szCs w:val="21"/>
        </w:rPr>
        <w:t>包装和运输要求</w:t>
      </w:r>
    </w:p>
    <w:p>
      <w:pPr>
        <w:spacing w:line="360" w:lineRule="auto"/>
        <w:ind w:firstLine="420" w:firstLineChars="200"/>
        <w:rPr>
          <w:rFonts w:ascii="宋体" w:hAnsi="宋体" w:hint="eastAsia"/>
          <w:szCs w:val="21"/>
        </w:rPr>
      </w:pPr>
      <w:r>
        <w:rPr>
          <w:rFonts w:ascii="宋体" w:hAnsi="宋体" w:hint="eastAsia"/>
          <w:szCs w:val="21"/>
        </w:rPr>
        <w:t>（1）中标人须在合同签定后按约定时间将设备运到招标人指定的地点，运费由中标人承担。</w:t>
      </w:r>
    </w:p>
    <w:p>
      <w:pPr>
        <w:spacing w:line="360" w:lineRule="auto"/>
        <w:ind w:firstLine="420" w:firstLineChars="200"/>
        <w:rPr>
          <w:rFonts w:ascii="宋体" w:hAnsi="宋体" w:hint="eastAsia"/>
          <w:szCs w:val="21"/>
        </w:rPr>
      </w:pPr>
      <w:r>
        <w:rPr>
          <w:rFonts w:ascii="宋体" w:hAnsi="宋体" w:hint="eastAsia"/>
          <w:szCs w:val="21"/>
        </w:rPr>
        <w:t>（2）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pPr>
        <w:spacing w:line="360" w:lineRule="auto"/>
        <w:ind w:firstLine="420" w:firstLineChars="200"/>
        <w:rPr>
          <w:rFonts w:ascii="宋体" w:hAnsi="宋体" w:hint="eastAsia"/>
          <w:szCs w:val="21"/>
        </w:rPr>
      </w:pPr>
      <w:r>
        <w:rPr>
          <w:rFonts w:ascii="宋体" w:hAnsi="宋体" w:hint="eastAsia"/>
          <w:szCs w:val="21"/>
          <w:lang w:val="en-US" w:eastAsia="zh-CN"/>
        </w:rPr>
        <w:t>3.</w:t>
      </w:r>
      <w:r>
        <w:rPr>
          <w:rFonts w:ascii="宋体" w:hAnsi="宋体" w:hint="eastAsia"/>
          <w:szCs w:val="21"/>
        </w:rPr>
        <w:t>安装、调试</w:t>
      </w:r>
    </w:p>
    <w:p>
      <w:pPr>
        <w:spacing w:line="360" w:lineRule="auto"/>
        <w:ind w:firstLine="420" w:firstLineChars="200"/>
        <w:rPr>
          <w:rFonts w:ascii="宋体" w:hAnsi="宋体" w:hint="eastAsia"/>
          <w:szCs w:val="21"/>
        </w:rPr>
      </w:pPr>
      <w:r>
        <w:rPr>
          <w:rFonts w:ascii="宋体" w:hAnsi="宋体" w:hint="eastAsia"/>
          <w:szCs w:val="21"/>
        </w:rPr>
        <w:t>（1）设备安装由中标人负责</w:t>
      </w:r>
      <w:r>
        <w:rPr>
          <w:rFonts w:ascii="宋体" w:hAnsi="宋体" w:hint="eastAsia"/>
          <w:szCs w:val="21"/>
          <w:lang w:eastAsia="zh-CN"/>
        </w:rPr>
        <w:t>，</w:t>
      </w:r>
      <w:r>
        <w:rPr>
          <w:rFonts w:ascii="宋体" w:hAnsi="宋体" w:hint="eastAsia"/>
          <w:szCs w:val="21"/>
        </w:rPr>
        <w:t>安装调试费等相关费用均包含在报价中。</w:t>
      </w:r>
    </w:p>
    <w:p>
      <w:pPr>
        <w:spacing w:line="360" w:lineRule="auto"/>
        <w:ind w:firstLine="420" w:firstLineChars="200"/>
        <w:rPr>
          <w:rFonts w:ascii="宋体" w:hAnsi="宋体" w:hint="eastAsia"/>
          <w:szCs w:val="21"/>
        </w:rPr>
      </w:pPr>
      <w:r>
        <w:rPr>
          <w:rFonts w:ascii="宋体" w:hAnsi="宋体" w:hint="eastAsia"/>
          <w:szCs w:val="21"/>
        </w:rPr>
        <w:t>（</w:t>
      </w:r>
      <w:r>
        <w:rPr>
          <w:rFonts w:ascii="宋体" w:hAnsi="宋体" w:hint="eastAsia"/>
          <w:szCs w:val="21"/>
          <w:lang w:val="en-US" w:eastAsia="zh-CN"/>
        </w:rPr>
        <w:t>2</w:t>
      </w:r>
      <w:r>
        <w:rPr>
          <w:rFonts w:ascii="宋体" w:hAnsi="宋体" w:hint="eastAsia"/>
          <w:szCs w:val="21"/>
        </w:rPr>
        <w:t>）设备安装调试过程中，中标人应作详细检验记录。安装调试结果应该符合有关标准的要求。检验记录应提供给采购人。</w:t>
      </w:r>
    </w:p>
    <w:p>
      <w:pPr>
        <w:spacing w:line="360" w:lineRule="auto"/>
        <w:ind w:firstLine="420" w:firstLineChars="200"/>
        <w:rPr>
          <w:rFonts w:ascii="宋体" w:hAnsi="宋体" w:hint="eastAsia"/>
          <w:szCs w:val="21"/>
        </w:rPr>
      </w:pPr>
      <w:r>
        <w:rPr>
          <w:rFonts w:ascii="宋体" w:hAnsi="宋体" w:hint="eastAsia"/>
          <w:szCs w:val="21"/>
        </w:rPr>
        <w:t>（</w:t>
      </w:r>
      <w:r>
        <w:rPr>
          <w:rFonts w:ascii="宋体" w:hAnsi="宋体" w:hint="eastAsia"/>
          <w:szCs w:val="21"/>
          <w:lang w:val="en-US" w:eastAsia="zh-CN"/>
        </w:rPr>
        <w:t>3</w:t>
      </w:r>
      <w:r>
        <w:rPr>
          <w:rFonts w:ascii="宋体" w:hAnsi="宋体" w:hint="eastAsia"/>
          <w:szCs w:val="21"/>
        </w:rPr>
        <w:t>）中标人需要充分考虑系统运行中所需要的软硬件配套设备。在系统设备安装和调试期间，采购人有权派出技术人员参加，中标人有义务对其进行指导。</w:t>
      </w:r>
    </w:p>
    <w:p>
      <w:pPr>
        <w:spacing w:line="360" w:lineRule="auto"/>
        <w:ind w:firstLine="420" w:firstLineChars="200"/>
        <w:rPr>
          <w:rFonts w:ascii="宋体" w:hAnsi="宋体" w:hint="eastAsia"/>
          <w:szCs w:val="21"/>
        </w:rPr>
      </w:pPr>
      <w:r>
        <w:rPr>
          <w:rFonts w:ascii="宋体" w:hAnsi="宋体" w:hint="eastAsia"/>
          <w:szCs w:val="21"/>
        </w:rPr>
        <w:t>（</w:t>
      </w:r>
      <w:r>
        <w:rPr>
          <w:rFonts w:ascii="宋体" w:hAnsi="宋体" w:hint="eastAsia"/>
          <w:szCs w:val="21"/>
          <w:lang w:val="en-US" w:eastAsia="zh-CN"/>
        </w:rPr>
        <w:t>4</w:t>
      </w:r>
      <w:r>
        <w:rPr>
          <w:rFonts w:ascii="宋体" w:hAnsi="宋体" w:hint="eastAsia"/>
          <w:szCs w:val="21"/>
        </w:rPr>
        <w:t>）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spacing w:line="360" w:lineRule="auto"/>
        <w:ind w:firstLine="420" w:firstLineChars="200"/>
        <w:rPr>
          <w:rFonts w:ascii="宋体" w:hAnsi="宋体" w:hint="eastAsia"/>
          <w:szCs w:val="21"/>
        </w:rPr>
      </w:pPr>
      <w:r>
        <w:rPr>
          <w:rFonts w:ascii="宋体" w:hAnsi="宋体" w:hint="eastAsia"/>
          <w:szCs w:val="21"/>
          <w:lang w:val="en-US" w:eastAsia="zh-CN"/>
        </w:rPr>
        <w:t>4.</w:t>
      </w:r>
      <w:r>
        <w:rPr>
          <w:rFonts w:ascii="宋体" w:hAnsi="宋体" w:hint="eastAsia"/>
          <w:szCs w:val="21"/>
        </w:rPr>
        <w:t>设备验收</w:t>
      </w:r>
    </w:p>
    <w:p>
      <w:pPr>
        <w:spacing w:line="360" w:lineRule="auto"/>
        <w:ind w:firstLine="420" w:firstLineChars="200"/>
        <w:rPr>
          <w:rFonts w:ascii="宋体" w:hAnsi="宋体" w:hint="eastAsia"/>
          <w:szCs w:val="21"/>
        </w:rPr>
      </w:pPr>
      <w:r>
        <w:rPr>
          <w:rFonts w:ascii="宋体" w:hAnsi="宋体" w:hint="eastAsia"/>
          <w:szCs w:val="21"/>
        </w:rPr>
        <w:t>设备安装、调试达到</w:t>
      </w:r>
      <w:r>
        <w:rPr>
          <w:rFonts w:ascii="宋体" w:hAnsi="宋体" w:hint="eastAsia"/>
          <w:szCs w:val="21"/>
          <w:lang w:val="en-US" w:eastAsia="zh-CN"/>
        </w:rPr>
        <w:t>采购合同要求</w:t>
      </w:r>
      <w:r>
        <w:rPr>
          <w:rFonts w:ascii="宋体" w:hAnsi="宋体" w:hint="eastAsia"/>
          <w:szCs w:val="21"/>
        </w:rPr>
        <w:t>的指标后，可进行验收。验收规范(包括项目、方式和测试仪器等)应由中标人在前一个月提交给采购人。采购人可根据合同</w:t>
      </w:r>
      <w:r>
        <w:rPr>
          <w:rFonts w:ascii="宋体" w:hAnsi="宋体" w:hint="eastAsia"/>
          <w:szCs w:val="21"/>
          <w:lang w:val="en-US" w:eastAsia="zh-CN"/>
        </w:rPr>
        <w:t>和</w:t>
      </w:r>
      <w:r>
        <w:rPr>
          <w:rFonts w:ascii="宋体" w:hAnsi="宋体" w:hint="eastAsia"/>
          <w:szCs w:val="21"/>
        </w:rPr>
        <w:t>采购人的有关规定进行修改和补充，经双方确认后形成验收文件作为验收依据。验收测试合格后，双方签署</w:t>
      </w:r>
      <w:r>
        <w:rPr>
          <w:rFonts w:ascii="宋体" w:hAnsi="宋体" w:hint="eastAsia"/>
          <w:szCs w:val="21"/>
          <w:lang w:val="en-US" w:eastAsia="zh-CN"/>
        </w:rPr>
        <w:t>验收</w:t>
      </w:r>
      <w:r>
        <w:rPr>
          <w:rFonts w:ascii="宋体" w:hAnsi="宋体" w:hint="eastAsia"/>
          <w:szCs w:val="21"/>
        </w:rPr>
        <w:t>合格协议。当满足以下条件时，采购人确认验收合格签署验收合格：</w:t>
      </w:r>
    </w:p>
    <w:p>
      <w:pPr>
        <w:spacing w:line="360" w:lineRule="auto"/>
        <w:ind w:firstLine="420" w:firstLineChars="200"/>
        <w:rPr>
          <w:rFonts w:ascii="宋体" w:hAnsi="宋体" w:hint="eastAsia"/>
          <w:szCs w:val="21"/>
        </w:rPr>
      </w:pPr>
      <w:r>
        <w:rPr>
          <w:rFonts w:ascii="宋体" w:hAnsi="宋体" w:hint="eastAsia"/>
          <w:szCs w:val="21"/>
        </w:rPr>
        <w:t>中标人已提供合同中签署的全部货物及完整技术资料；</w:t>
      </w:r>
    </w:p>
    <w:p>
      <w:pPr>
        <w:spacing w:line="360" w:lineRule="auto"/>
        <w:ind w:firstLine="420" w:firstLineChars="200"/>
        <w:rPr>
          <w:rFonts w:ascii="宋体" w:hAnsi="宋体" w:hint="eastAsia"/>
          <w:szCs w:val="21"/>
        </w:rPr>
      </w:pPr>
      <w:r>
        <w:rPr>
          <w:rFonts w:ascii="宋体" w:hAnsi="宋体" w:hint="eastAsia"/>
          <w:szCs w:val="21"/>
        </w:rPr>
        <w:t>货物符合技术规格，性能满足要求；</w:t>
      </w:r>
    </w:p>
    <w:p>
      <w:pPr>
        <w:spacing w:line="360" w:lineRule="auto"/>
        <w:ind w:firstLine="420" w:firstLineChars="200"/>
        <w:rPr>
          <w:rFonts w:ascii="仿宋" w:eastAsia="仿宋" w:hAnsi="仿宋" w:cs="仿宋"/>
          <w:sz w:val="28"/>
          <w:szCs w:val="20"/>
        </w:rPr>
      </w:pPr>
      <w:r>
        <w:rPr>
          <w:rFonts w:ascii="宋体" w:hAnsi="宋体" w:hint="eastAsia"/>
          <w:szCs w:val="21"/>
        </w:rPr>
        <w:t>安装工程符合技术要求，系统性能满足要求，设备正常运行。</w:t>
      </w:r>
    </w:p>
    <w:p>
      <w:pPr>
        <w:numPr>
          <w:ilvl w:val="0"/>
          <w:numId w:val="4"/>
        </w:numPr>
        <w:spacing w:line="360" w:lineRule="auto"/>
        <w:ind w:firstLine="420" w:firstLineChars="200"/>
        <w:rPr>
          <w:rFonts w:ascii="宋体" w:hAnsi="宋体" w:hint="eastAsia"/>
          <w:szCs w:val="21"/>
        </w:rPr>
      </w:pPr>
      <w:r>
        <w:rPr>
          <w:rFonts w:ascii="宋体" w:hAnsi="宋体" w:hint="eastAsia"/>
          <w:szCs w:val="21"/>
        </w:rPr>
        <w:t>技术服务和质保期服务要求</w:t>
      </w:r>
    </w:p>
    <w:p>
      <w:pPr>
        <w:numPr>
          <w:ilvl w:val="0"/>
          <w:numId w:val="0"/>
        </w:numPr>
        <w:spacing w:line="360" w:lineRule="auto"/>
        <w:ind w:firstLine="420" w:firstLineChars="200"/>
        <w:rPr>
          <w:rFonts w:ascii="宋体" w:hAnsi="宋体" w:hint="eastAsia"/>
          <w:szCs w:val="21"/>
        </w:rPr>
      </w:pPr>
      <w:r>
        <w:rPr>
          <w:rFonts w:ascii="宋体" w:hAnsi="宋体" w:hint="eastAsia"/>
          <w:szCs w:val="21"/>
        </w:rPr>
        <w:t>质保期服务内容要求：</w:t>
      </w:r>
    </w:p>
    <w:p>
      <w:pPr>
        <w:numPr>
          <w:ilvl w:val="0"/>
          <w:numId w:val="0"/>
        </w:numPr>
        <w:spacing w:line="360" w:lineRule="auto"/>
        <w:ind w:firstLine="420" w:firstLineChars="200"/>
        <w:rPr>
          <w:rFonts w:ascii="宋体" w:hAnsi="宋体" w:hint="eastAsia"/>
          <w:szCs w:val="21"/>
        </w:rPr>
      </w:pPr>
      <w:r>
        <w:rPr>
          <w:rFonts w:ascii="宋体" w:hAnsi="宋体" w:hint="eastAsia"/>
          <w:szCs w:val="21"/>
          <w:lang w:eastAsia="zh-CN"/>
        </w:rPr>
        <w:t>（</w:t>
      </w:r>
      <w:r>
        <w:rPr>
          <w:rFonts w:ascii="宋体" w:hAnsi="宋体" w:hint="eastAsia"/>
          <w:szCs w:val="21"/>
          <w:lang w:val="en-US" w:eastAsia="zh-CN"/>
        </w:rPr>
        <w:t>1</w:t>
      </w:r>
      <w:r>
        <w:rPr>
          <w:rFonts w:ascii="宋体" w:hAnsi="宋体" w:hint="eastAsia"/>
          <w:szCs w:val="21"/>
          <w:lang w:eastAsia="zh-CN"/>
        </w:rPr>
        <w:t>）</w:t>
      </w:r>
      <w:r>
        <w:rPr>
          <w:rFonts w:ascii="宋体" w:hAnsi="宋体" w:hint="eastAsia"/>
          <w:szCs w:val="21"/>
        </w:rPr>
        <w:t xml:space="preserve">保修期内因设备设计、质量出现问题，均由设备供应商即时无偿解决（包括更换器件）；设备安装后遇设备故障或数据明显异常、性能不达标等，中标人负责48小时内到站对故障设备进行测试和更换，确保设备正常投入业务运行。 </w:t>
      </w:r>
    </w:p>
    <w:p>
      <w:pPr>
        <w:numPr>
          <w:ilvl w:val="0"/>
          <w:numId w:val="0"/>
        </w:numPr>
        <w:spacing w:line="360" w:lineRule="auto"/>
        <w:ind w:left="210" w:leftChars="0"/>
        <w:rPr>
          <w:rFonts w:ascii="宋体" w:hAnsi="宋体" w:hint="eastAsia"/>
          <w:szCs w:val="21"/>
        </w:rPr>
      </w:pPr>
      <w:r>
        <w:rPr>
          <w:rFonts w:ascii="宋体" w:hAnsi="宋体" w:hint="eastAsia"/>
          <w:szCs w:val="21"/>
          <w:lang w:eastAsia="zh-CN"/>
        </w:rPr>
        <w:t>（</w:t>
      </w:r>
      <w:r>
        <w:rPr>
          <w:rFonts w:ascii="宋体" w:hAnsi="宋体" w:hint="eastAsia"/>
          <w:szCs w:val="21"/>
          <w:lang w:val="en-US" w:eastAsia="zh-CN"/>
        </w:rPr>
        <w:t>2</w:t>
      </w:r>
      <w:r>
        <w:rPr>
          <w:rFonts w:ascii="宋体" w:hAnsi="宋体" w:hint="eastAsia"/>
          <w:szCs w:val="21"/>
          <w:lang w:eastAsia="zh-CN"/>
        </w:rPr>
        <w:t>）</w:t>
      </w:r>
      <w:r>
        <w:rPr>
          <w:rFonts w:ascii="宋体" w:hAnsi="宋体" w:hint="eastAsia"/>
          <w:szCs w:val="21"/>
        </w:rPr>
        <w:t>在质保期内，设备供应商应提供详细的售后服务计划，内容包括售后服务方式、人员配置、服务期限、故障响应及维修时间、零配件供应方式等情况。设备供应商服务时间应为7×24小时。质保期过后，设备供应商仍有义务提供技术服务（包括提供设备维护、备件等）。</w:t>
      </w:r>
    </w:p>
    <w:p>
      <w:pPr>
        <w:numPr>
          <w:ilvl w:val="0"/>
          <w:numId w:val="0"/>
        </w:numPr>
        <w:spacing w:line="360" w:lineRule="auto"/>
        <w:ind w:left="210" w:leftChars="0"/>
        <w:rPr>
          <w:rFonts w:ascii="宋体" w:hAnsi="宋体" w:hint="eastAsia"/>
          <w:szCs w:val="21"/>
        </w:rPr>
      </w:pPr>
      <w:r>
        <w:rPr>
          <w:rFonts w:ascii="宋体" w:hAnsi="宋体" w:hint="eastAsia"/>
          <w:szCs w:val="21"/>
          <w:lang w:eastAsia="zh-CN"/>
        </w:rPr>
        <w:t>（</w:t>
      </w:r>
      <w:r>
        <w:rPr>
          <w:rFonts w:ascii="宋体" w:hAnsi="宋体" w:hint="eastAsia"/>
          <w:szCs w:val="21"/>
          <w:lang w:val="en-US" w:eastAsia="zh-CN"/>
        </w:rPr>
        <w:t>3</w:t>
      </w:r>
      <w:r>
        <w:rPr>
          <w:rFonts w:ascii="宋体" w:hAnsi="宋体" w:hint="eastAsia"/>
          <w:szCs w:val="21"/>
          <w:lang w:eastAsia="zh-CN"/>
        </w:rPr>
        <w:t>）</w:t>
      </w:r>
      <w:r>
        <w:rPr>
          <w:rFonts w:ascii="宋体" w:hAnsi="宋体" w:hint="eastAsia"/>
          <w:szCs w:val="21"/>
        </w:rPr>
        <w:t>质保期满后，仍有义务提供远程技术服务等支持。</w:t>
      </w:r>
    </w:p>
    <w:p>
      <w:pPr>
        <w:numPr>
          <w:ilvl w:val="0"/>
          <w:numId w:val="0"/>
        </w:numPr>
        <w:spacing w:line="360" w:lineRule="auto"/>
        <w:ind w:firstLine="420" w:firstLineChars="200"/>
        <w:rPr>
          <w:rFonts w:ascii="宋体" w:hAnsi="宋体" w:hint="eastAsia"/>
          <w:szCs w:val="21"/>
        </w:rPr>
      </w:pPr>
      <w:r>
        <w:rPr>
          <w:rFonts w:ascii="宋体" w:hAnsi="宋体" w:hint="eastAsia"/>
          <w:szCs w:val="21"/>
          <w:lang w:val="en-US" w:eastAsia="zh-CN"/>
        </w:rPr>
        <w:t>六、</w:t>
      </w:r>
      <w:r>
        <w:rPr>
          <w:rFonts w:ascii="宋体" w:hAnsi="宋体" w:hint="eastAsia"/>
          <w:szCs w:val="21"/>
        </w:rPr>
        <w:t>售后服务要求</w:t>
      </w:r>
    </w:p>
    <w:p>
      <w:pPr>
        <w:numPr>
          <w:ilvl w:val="0"/>
          <w:numId w:val="0"/>
        </w:numPr>
        <w:spacing w:line="360" w:lineRule="auto"/>
        <w:ind w:firstLine="420" w:firstLineChars="200"/>
        <w:rPr>
          <w:rFonts w:ascii="宋体" w:hAnsi="宋体" w:hint="eastAsia"/>
          <w:szCs w:val="21"/>
        </w:rPr>
      </w:pPr>
      <w:r>
        <w:rPr>
          <w:rFonts w:ascii="宋体" w:hAnsi="宋体" w:hint="eastAsia"/>
          <w:szCs w:val="21"/>
        </w:rPr>
        <w:t>设备供应商需提供详细售后服务方案，包括设备售后服务组织机构、人员组成、技术支</w:t>
      </w:r>
      <w:r>
        <w:rPr>
          <w:rFonts w:ascii="宋体" w:hAnsi="宋体" w:hint="eastAsia"/>
          <w:szCs w:val="21"/>
        </w:rPr>
        <w:t>持文档等。其中，售后服务组织机构设置合理，人员技术能力强，技术文档内容全面。</w:t>
      </w:r>
    </w:p>
    <w:p>
      <w:pPr>
        <w:numPr>
          <w:ilvl w:val="0"/>
          <w:numId w:val="0"/>
        </w:numPr>
        <w:spacing w:line="360" w:lineRule="auto"/>
        <w:ind w:left="420" w:leftChars="200"/>
        <w:rPr>
          <w:rFonts w:ascii="宋体" w:hAnsi="宋体" w:hint="eastAsia"/>
          <w:szCs w:val="21"/>
        </w:rPr>
      </w:pPr>
      <w:r>
        <w:rPr>
          <w:rFonts w:ascii="宋体" w:hAnsi="宋体" w:hint="eastAsia"/>
          <w:szCs w:val="21"/>
          <w:lang w:val="en-US" w:eastAsia="zh-CN"/>
        </w:rPr>
        <w:t>七、培训要求</w:t>
      </w:r>
    </w:p>
    <w:p>
      <w:pPr>
        <w:numPr>
          <w:ilvl w:val="0"/>
          <w:numId w:val="0"/>
        </w:numPr>
        <w:spacing w:line="360" w:lineRule="auto"/>
        <w:ind w:firstLine="420" w:firstLineChars="200"/>
        <w:rPr>
          <w:rFonts w:ascii="宋体" w:hAnsi="宋体" w:hint="eastAsia"/>
          <w:szCs w:val="21"/>
        </w:rPr>
      </w:pPr>
      <w:r>
        <w:rPr>
          <w:rFonts w:ascii="宋体" w:hAnsi="宋体" w:hint="eastAsia"/>
          <w:szCs w:val="21"/>
          <w:lang w:val="en-US" w:eastAsia="zh-CN"/>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设备供应商对每套投标产品提供至少2次技术培训，培训课时不少于8个课时，培训人数不少于6人。培训内容包括设备安装、使用、日常维护、观测原理及产品应用，培训时间及地点双方协商确定。</w:t>
      </w:r>
    </w:p>
    <w:p>
      <w:pPr>
        <w:numPr>
          <w:ilvl w:val="0"/>
          <w:numId w:val="0"/>
        </w:numPr>
        <w:spacing w:line="360" w:lineRule="auto"/>
        <w:ind w:firstLine="420" w:firstLineChars="200"/>
        <w:rPr>
          <w:rFonts w:ascii="宋体" w:hAnsi="宋体" w:hint="eastAsia"/>
          <w:szCs w:val="21"/>
        </w:rPr>
      </w:pPr>
      <w:r>
        <w:rPr>
          <w:rFonts w:ascii="宋体" w:hAnsi="宋体" w:hint="eastAsia"/>
          <w:szCs w:val="21"/>
          <w:lang w:val="en-US" w:eastAsia="zh-CN"/>
        </w:rPr>
        <w:t>八、交货要求及履约地点</w:t>
      </w:r>
    </w:p>
    <w:p>
      <w:pPr>
        <w:numPr>
          <w:ilvl w:val="0"/>
          <w:numId w:val="0"/>
        </w:numPr>
        <w:spacing w:line="360" w:lineRule="auto"/>
        <w:ind w:firstLine="420" w:firstLineChars="200"/>
        <w:rPr>
          <w:rFonts w:ascii="宋体" w:hAnsi="宋体" w:hint="eastAsia"/>
          <w:szCs w:val="21"/>
        </w:rPr>
      </w:pPr>
      <w:r>
        <w:rPr>
          <w:rFonts w:ascii="宋体" w:hAnsi="宋体" w:hint="eastAsia"/>
          <w:szCs w:val="21"/>
          <w:lang w:val="en-US" w:eastAsia="zh-CN"/>
        </w:rPr>
        <w:t>中标供应商将所有设备运送至重庆、海南、内蒙古兴安盟（运输相关费用由供应商负责），并负责安装调试。</w:t>
      </w:r>
    </w:p>
    <w:p>
      <w:pPr>
        <w:numPr>
          <w:ilvl w:val="0"/>
          <w:numId w:val="0"/>
        </w:numPr>
        <w:spacing w:line="360" w:lineRule="auto"/>
        <w:ind w:left="420" w:firstLine="0" w:leftChars="200" w:firstLineChars="0"/>
        <w:rPr>
          <w:rFonts w:ascii="宋体" w:hAnsi="宋体" w:hint="eastAsia"/>
          <w:szCs w:val="21"/>
        </w:rPr>
      </w:pPr>
      <w:r>
        <w:rPr>
          <w:rFonts w:ascii="宋体" w:hAnsi="宋体" w:hint="eastAsia"/>
          <w:szCs w:val="21"/>
          <w:lang w:val="en-US" w:eastAsia="zh-CN"/>
        </w:rPr>
        <w:t>合同签订后120天内完成供货、安装调试并具备验收条件。</w:t>
      </w:r>
      <w:r>
        <w:rPr>
          <w:rFonts w:ascii="宋体" w:hAnsi="宋体" w:hint="eastAsia"/>
          <w:szCs w:val="21"/>
          <w:lang w:val="en-US" w:eastAsia="zh-CN"/>
        </w:rPr>
        <w:br/>
      </w:r>
      <w:r>
        <w:rPr>
          <w:rFonts w:ascii="宋体" w:hAnsi="宋体" w:hint="eastAsia"/>
          <w:szCs w:val="21"/>
          <w:lang w:val="en-US" w:eastAsia="zh-CN"/>
        </w:rPr>
        <w:t>九、服务团队要求</w:t>
      </w:r>
    </w:p>
    <w:p>
      <w:pPr>
        <w:numPr>
          <w:ilvl w:val="0"/>
          <w:numId w:val="0"/>
        </w:numPr>
        <w:spacing w:line="360" w:lineRule="auto"/>
        <w:ind w:firstLine="420" w:firstLineChars="200"/>
        <w:rPr>
          <w:rFonts w:ascii="宋体" w:hAnsi="宋体" w:hint="eastAsia"/>
          <w:szCs w:val="21"/>
        </w:rPr>
      </w:pPr>
      <w:r>
        <w:rPr>
          <w:rFonts w:ascii="宋体" w:hAnsi="宋体" w:hint="eastAsia"/>
          <w:szCs w:val="21"/>
          <w:lang w:val="en-US" w:eastAsia="zh-CN"/>
        </w:rPr>
        <w:t>服务团队应有一名项目经理，以及若干技术人员。须提供团队人员名单。</w:t>
      </w:r>
    </w:p>
    <w:p>
      <w:pPr>
        <w:numPr>
          <w:ilvl w:val="0"/>
          <w:numId w:val="0"/>
        </w:numPr>
        <w:spacing w:line="360" w:lineRule="auto"/>
        <w:ind w:firstLine="420" w:firstLineChars="200"/>
        <w:rPr>
          <w:rFonts w:ascii="宋体" w:hAnsi="宋体" w:hint="eastAsia"/>
          <w:szCs w:val="21"/>
        </w:rPr>
      </w:pPr>
      <w:r>
        <w:rPr>
          <w:rFonts w:ascii="宋体" w:hAnsi="宋体" w:hint="eastAsia"/>
          <w:szCs w:val="21"/>
          <w:lang w:val="en-US" w:eastAsia="zh-CN"/>
        </w:rPr>
        <w:t>十、投标产品软件兼容性要求</w:t>
      </w:r>
    </w:p>
    <w:p>
      <w:pPr>
        <w:numPr>
          <w:ilvl w:val="0"/>
          <w:numId w:val="0"/>
        </w:numPr>
        <w:spacing w:line="360" w:lineRule="auto"/>
        <w:ind w:firstLine="420" w:firstLineChars="200"/>
        <w:rPr>
          <w:rFonts w:ascii="宋体" w:hAnsi="宋体" w:hint="eastAsia"/>
          <w:szCs w:val="21"/>
        </w:rPr>
      </w:pPr>
      <w:r>
        <w:rPr>
          <w:rFonts w:ascii="宋体" w:hAnsi="宋体" w:hint="eastAsia"/>
          <w:szCs w:val="21"/>
          <w:lang w:val="en-US" w:eastAsia="zh-CN"/>
        </w:rPr>
        <w:t>设备完全符合甲方相关要求和规范，保证其系统的兼容性和功能的完整性。</w:t>
      </w:r>
    </w:p>
    <w:p>
      <w:pPr>
        <w:numPr>
          <w:ilvl w:val="0"/>
          <w:numId w:val="0"/>
        </w:numPr>
        <w:spacing w:line="360" w:lineRule="auto"/>
        <w:ind w:firstLine="420" w:firstLineChars="200"/>
        <w:rPr>
          <w:rFonts w:ascii="宋体" w:hAnsi="宋体" w:hint="eastAsia"/>
          <w:szCs w:val="21"/>
        </w:rPr>
      </w:pPr>
      <w:r>
        <w:rPr>
          <w:rFonts w:ascii="宋体" w:hAnsi="宋体" w:hint="eastAsia"/>
          <w:szCs w:val="21"/>
          <w:lang w:val="en-US" w:eastAsia="zh-CN"/>
        </w:rPr>
        <w:t>十一、其他</w:t>
      </w:r>
    </w:p>
    <w:p>
      <w:pPr>
        <w:numPr>
          <w:ilvl w:val="0"/>
          <w:numId w:val="0"/>
        </w:numPr>
        <w:spacing w:line="360" w:lineRule="auto"/>
        <w:ind w:firstLine="420" w:firstLineChars="200"/>
        <w:rPr>
          <w:rFonts w:ascii="宋体" w:hAnsi="宋体" w:hint="eastAsia"/>
          <w:szCs w:val="21"/>
        </w:rPr>
      </w:pPr>
      <w:r>
        <w:rPr>
          <w:rFonts w:ascii="宋体" w:hAnsi="宋体" w:hint="eastAsia"/>
          <w:szCs w:val="21"/>
          <w:lang w:val="en-US" w:eastAsia="zh-CN"/>
        </w:rPr>
        <w:t>供应商为本项目设立专业团队，负责项目中全部设备的安装、调试、故障排除和质保期内的其他相关工作。其中供应商应确保团队的稳定性和专业性，项目经理应具有必要的项目管理经验。</w:t>
      </w:r>
    </w:p>
    <w:p>
      <w:pPr>
        <w:numPr>
          <w:ilvl w:val="0"/>
          <w:numId w:val="0"/>
        </w:numPr>
        <w:spacing w:line="360" w:lineRule="auto"/>
        <w:ind w:firstLine="420" w:firstLineChars="200"/>
        <w:rPr>
          <w:rFonts w:ascii="宋体" w:hAnsi="宋体" w:hint="eastAsia"/>
          <w:szCs w:val="21"/>
        </w:rPr>
      </w:pPr>
      <w:r>
        <w:rPr>
          <w:rFonts w:ascii="宋体" w:hAnsi="宋体" w:hint="eastAsia"/>
          <w:szCs w:val="21"/>
          <w:lang w:val="en-US" w:eastAsia="zh-CN"/>
        </w:rPr>
        <w:t>供应商提供完善的售后服务方案，服务方案包含不限于现场服务方案和远程技术指导方案等。</w:t>
      </w:r>
    </w:p>
    <w:p>
      <w:pPr>
        <w:numPr>
          <w:ilvl w:val="0"/>
          <w:numId w:val="0"/>
        </w:numPr>
        <w:spacing w:line="360" w:lineRule="auto"/>
        <w:ind w:firstLine="420" w:firstLineChars="200"/>
        <w:rPr>
          <w:rFonts w:ascii="宋体" w:hAnsi="宋体" w:hint="eastAsia"/>
          <w:szCs w:val="21"/>
        </w:rPr>
      </w:pPr>
      <w:r>
        <w:rPr>
          <w:rFonts w:ascii="宋体" w:hAnsi="宋体" w:hint="eastAsia"/>
          <w:szCs w:val="21"/>
          <w:lang w:val="en-US" w:eastAsia="zh-CN"/>
        </w:rPr>
        <w:t>供应商向采购单位提供整套设备技术资料和用于维护使用的维护手册，含性能指标、系统构成等详细的维修内容。</w:t>
      </w:r>
    </w:p>
    <w:p>
      <w:pPr>
        <w:numPr>
          <w:ilvl w:val="0"/>
          <w:numId w:val="0"/>
        </w:numPr>
        <w:spacing w:line="360" w:lineRule="auto"/>
        <w:ind w:firstLine="420" w:firstLineChars="200"/>
        <w:rPr>
          <w:rFonts w:ascii="宋体" w:hAnsi="宋体" w:hint="eastAsia"/>
          <w:szCs w:val="21"/>
        </w:rPr>
      </w:pPr>
      <w:r>
        <w:rPr>
          <w:rFonts w:ascii="宋体" w:hAnsi="宋体" w:hint="eastAsia"/>
          <w:szCs w:val="21"/>
          <w:lang w:val="en-US" w:eastAsia="zh-CN"/>
        </w:rPr>
        <w:t>质保期：2年。供应商需对质保期（保内、保外）政策进行阐述或承诺，列明有偿服务和无偿服务内容。</w:t>
      </w:r>
    </w:p>
    <w:p>
      <w:pPr>
        <w:numPr>
          <w:ilvl w:val="0"/>
          <w:numId w:val="0"/>
        </w:numPr>
        <w:spacing w:line="360" w:lineRule="auto"/>
        <w:ind w:firstLine="420" w:firstLineChars="200"/>
        <w:rPr>
          <w:rFonts w:ascii="宋体" w:hAnsi="宋体" w:hint="default"/>
          <w:szCs w:val="21"/>
        </w:rPr>
      </w:pPr>
    </w:p>
    <w:p>
      <w:pPr>
        <w:numPr>
          <w:ilvl w:val="0"/>
          <w:numId w:val="0"/>
        </w:numPr>
        <w:spacing w:line="360" w:lineRule="auto"/>
        <w:ind w:left="420" w:leftChars="200"/>
        <w:rPr>
          <w:rFonts w:ascii="宋体" w:hAnsi="宋体" w:hint="eastAsia"/>
          <w:szCs w:val="21"/>
        </w:rPr>
      </w:pPr>
    </w:p>
    <w:p>
      <w:pPr>
        <w:numPr>
          <w:ilvl w:val="0"/>
          <w:numId w:val="0"/>
        </w:numPr>
        <w:spacing w:line="360" w:lineRule="auto"/>
        <w:ind w:left="420" w:leftChars="200"/>
        <w:rPr>
          <w:rFonts w:ascii="宋体" w:hAnsi="宋体" w:hint="eastAsia"/>
          <w:szCs w:val="21"/>
        </w:rPr>
      </w:pPr>
    </w:p>
    <w:p>
      <w:pPr>
        <w:numPr>
          <w:ilvl w:val="0"/>
          <w:numId w:val="0"/>
        </w:numPr>
        <w:spacing w:line="360" w:lineRule="auto"/>
        <w:ind w:firstLine="420" w:firstLineChars="200"/>
        <w:rPr>
          <w:rFonts w:ascii="宋体" w:hAnsi="宋体" w:hint="eastAsia"/>
          <w:szCs w:val="21"/>
        </w:rPr>
      </w:pPr>
    </w:p>
    <w:p>
      <w:pPr>
        <w:numPr>
          <w:ilvl w:val="0"/>
          <w:numId w:val="0"/>
        </w:numPr>
        <w:spacing w:line="360" w:lineRule="auto"/>
        <w:rPr>
          <w:rFonts w:ascii="宋体" w:hAnsi="宋体" w:hint="eastAsia"/>
          <w:szCs w:val="21"/>
        </w:rPr>
      </w:pPr>
    </w:p>
    <w:p>
      <w:pPr>
        <w:spacing w:line="360" w:lineRule="auto"/>
        <w:ind w:firstLine="420" w:firstLineChars="200"/>
        <w:rPr>
          <w:rFonts w:ascii="宋体" w:hAnsi="宋体" w:hint="eastAsia"/>
          <w:szCs w:val="21"/>
        </w:rPr>
      </w:pPr>
    </w:p>
    <w:p>
      <w:pPr>
        <w:spacing w:line="360" w:lineRule="auto"/>
        <w:ind w:firstLine="420" w:firstLineChars="200"/>
        <w:rPr>
          <w:rFonts w:ascii="宋体" w:eastAsia="宋体" w:hAnsi="宋体" w:cs="Times New Roman"/>
          <w:szCs w:val="21"/>
        </w:rPr>
      </w:pPr>
    </w:p>
    <w:p>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44"/>
        <w:gridCol w:w="1154"/>
        <w:gridCol w:w="728"/>
        <w:gridCol w:w="1012"/>
        <w:gridCol w:w="1154"/>
        <w:gridCol w:w="3640"/>
        <w:gridCol w:w="429"/>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压力控制器</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420,000.00</w:t>
            </w:r>
          </w:p>
        </w:tc>
        <w:tc>
          <w:tcPr/>
          <w:p>
            <w:pPr>
              <w:autoSpaceDE w:val="0"/>
              <w:jc w:val="center"/>
              <w:rPr>
                <w:rFonts w:asciiTheme="minorEastAsia" w:hAnsiTheme="minorEastAsia" w:cstheme="minorEastAsia" w:hint="eastAsia"/>
                <w:kern w:val="0"/>
                <w:szCs w:val="21"/>
              </w:rPr>
            </w:pPr>
            <w:r>
              <w:t>合同签订后120天内完成供货、安装调试并具备验收条件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r>
              <w:t>无</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气压环境密封箱</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160,000.00</w:t>
            </w:r>
          </w:p>
        </w:tc>
        <w:tc>
          <w:tcPr/>
          <w:p>
            <w:pPr>
              <w:autoSpaceDE w:val="0"/>
              <w:jc w:val="center"/>
              <w:rPr>
                <w:rFonts w:asciiTheme="minorEastAsia" w:hAnsiTheme="minorEastAsia" w:cstheme="minorEastAsia" w:hint="eastAsia"/>
                <w:kern w:val="0"/>
                <w:szCs w:val="21"/>
              </w:rPr>
            </w:pPr>
            <w:r>
              <w:t>合同签订后120天内完成供货、安装调试并具备验收条件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r>
              <w:t>无</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580,000.00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61"/>
        <w:gridCol w:w="1566"/>
        <w:gridCol w:w="1198"/>
        <w:gridCol w:w="461"/>
        <w:gridCol w:w="1050"/>
        <w:gridCol w:w="800"/>
        <w:gridCol w:w="756"/>
        <w:gridCol w:w="223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探测中心(001050018)</w:t>
            </w:r>
          </w:p>
        </w:tc>
        <w:tc>
          <w:tcPr/>
          <w:p>
            <w:r>
              <w:t>压力控制器</w:t>
            </w:r>
          </w:p>
        </w:tc>
        <w:tc>
          <w:tcPr/>
          <w:p>
            <w:r>
              <w:t>1</w:t>
            </w:r>
          </w:p>
        </w:tc>
        <w:tc>
          <w:tcPr/>
          <w:p>
            <w:r>
              <w:t>210000.00</w:t>
            </w:r>
          </w:p>
        </w:tc>
        <w:tc>
          <w:tcPr>
            <w:vMerge w:val="restart"/>
          </w:tcPr>
          <w:p>
            <w:r>
              <w:t xml:space="preserve">370000.00  </w:t>
            </w:r>
          </w:p>
        </w:tc>
        <w:tc>
          <w:tcPr/>
          <w:p>
            <w:r>
              <w:t>海南</w:t>
            </w:r>
          </w:p>
        </w:tc>
        <w:tc>
          <w:tcPr/>
          <w:p>
            <w:r>
              <w:t>海南省气象探测中心 陈亮 13710602604</w:t>
            </w:r>
          </w:p>
        </w:tc>
      </w:tr>
      <w:tr>
        <w:tblPrEx>
          <w:tblW w:w="5000" w:type="pct"/>
          <w:tblCellMar>
            <w:left w:w="108" w:type="dxa"/>
            <w:right w:w="108" w:type="dxa"/>
          </w:tblCellMar>
        </w:tblPrEx>
        <w:tc>
          <w:tcPr/>
          <w:p>
            <w:r>
              <w:t>2</w:t>
            </w:r>
          </w:p>
        </w:tc>
        <w:tc>
          <w:tcPr>
            <w:vMerge/>
          </w:tcPr>
          <w:p>
            <w:r>
              <w:t>探测中心(001050018)</w:t>
            </w:r>
          </w:p>
        </w:tc>
        <w:tc>
          <w:tcPr/>
          <w:p>
            <w:r>
              <w:t>气压环境密封箱</w:t>
            </w:r>
          </w:p>
        </w:tc>
        <w:tc>
          <w:tcPr/>
          <w:p>
            <w:r>
              <w:t>1</w:t>
            </w:r>
          </w:p>
        </w:tc>
        <w:tc>
          <w:tcPr/>
          <w:p>
            <w:r>
              <w:t>160000.00</w:t>
            </w:r>
          </w:p>
        </w:tc>
        <w:tc>
          <w:tcPr>
            <w:vMerge/>
          </w:tcPr>
          <w:p>
            <w:r>
              <w:t xml:space="preserve">370000.00  </w:t>
            </w:r>
          </w:p>
        </w:tc>
        <w:tc>
          <w:tcPr/>
          <w:p>
            <w:r>
              <w:t>海南</w:t>
            </w:r>
          </w:p>
        </w:tc>
        <w:tc>
          <w:tcPr/>
          <w:p>
            <w:r>
              <w:t>海南省气象探测中心 陈亮 13710602604</w:t>
            </w:r>
          </w:p>
        </w:tc>
      </w:tr>
      <w:tr>
        <w:tblPrEx>
          <w:tblW w:w="5000" w:type="pct"/>
          <w:tblCellMar>
            <w:left w:w="108" w:type="dxa"/>
            <w:right w:w="108" w:type="dxa"/>
          </w:tblCellMar>
        </w:tblPrEx>
        <w:tc>
          <w:tcPr/>
          <w:p>
            <w:r>
              <w:t>3</w:t>
            </w:r>
          </w:p>
        </w:tc>
        <w:tc>
          <w:tcPr/>
          <w:p>
            <w:r>
              <w:t>信息中心(001051012)</w:t>
            </w:r>
          </w:p>
        </w:tc>
        <w:tc>
          <w:tcPr/>
          <w:p>
            <w:r>
              <w:t>压力控制器</w:t>
            </w:r>
          </w:p>
        </w:tc>
        <w:tc>
          <w:tcPr/>
          <w:p>
            <w:r>
              <w:t>1</w:t>
            </w:r>
          </w:p>
        </w:tc>
        <w:tc>
          <w:tcPr/>
          <w:p>
            <w:r>
              <w:t>210000.00</w:t>
            </w:r>
          </w:p>
        </w:tc>
        <w:tc>
          <w:tcPr/>
          <w:p>
            <w:r>
              <w:t xml:space="preserve">210000.00 </w:t>
            </w:r>
          </w:p>
        </w:tc>
        <w:tc>
          <w:tcPr/>
          <w:p>
            <w:r>
              <w:t>重庆</w:t>
            </w:r>
          </w:p>
        </w:tc>
        <w:tc>
          <w:tcPr/>
          <w:p>
            <w:r>
              <w:t>重庆市气象信息与技术保障中心 屈波 17783199936</w:t>
            </w: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8"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rPr>
                <w:rFonts w:cs="微软雅黑" w:hint="eastAsia"/>
                <w:b/>
                <w:color w:val="0000FF"/>
                <w:kern w:val="0"/>
                <w:sz w:val="18"/>
                <w:szCs w:val="18"/>
                <w:highlight w:val="none"/>
              </w:rPr>
            </w:pPr>
            <w:r>
              <w:rPr>
                <w:rFonts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ind w:firstLine="420"/>
        <w:rPr>
          <w:highlight w:val="none"/>
        </w:rPr>
      </w:pPr>
      <w:r>
        <w:rPr>
          <w:rFonts w:ascii="宋体" w:hAnsi="宋体" w:hint="eastAsia"/>
          <w:szCs w:val="21"/>
          <w:highlight w:val="none"/>
        </w:rPr>
        <w:t>注：根据项目具体情况，</w:t>
      </w:r>
      <w:r>
        <w:rPr>
          <w:rFonts w:ascii="宋体" w:hAnsi="宋体" w:hint="eastAsia"/>
          <w:szCs w:val="21"/>
          <w:highlight w:val="none"/>
        </w:rPr>
        <w:t>对投标人有具体要求，且投标人必须遵守的，逐条列出</w:t>
      </w:r>
      <w:r>
        <w:rPr>
          <w:rFonts w:ascii="宋体" w:hAnsi="宋体" w:hint="eastAsia"/>
          <w:szCs w:val="21"/>
          <w:highlight w:val="none"/>
        </w:rPr>
        <w:t>。</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69" w:name="采购公告合同部分_ZBGGHT"/>
      <w:r>
        <w:rPr>
          <w:rFonts w:hint="eastAsia"/>
          <w:b/>
          <w:bCs/>
          <w:szCs w:val="21"/>
          <w:highlight w:val="none"/>
        </w:rPr>
        <w:t xml:space="preserve"> 采购合同</w:t>
      </w:r>
    </w:p>
    <w:p>
      <w:pPr>
        <w:numPr>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0"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0"/>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1"/>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2" w:name="_Toc27624"/>
      <w:r>
        <w:rPr>
          <w:rFonts w:ascii="黑体" w:hAnsi="黑体" w:hint="eastAsia"/>
          <w:b w:val="0"/>
          <w:bCs w:val="0"/>
          <w:sz w:val="28"/>
          <w:szCs w:val="28"/>
          <w:highlight w:val="none"/>
        </w:rPr>
        <w:t>第二节 政府采购合同通用条款</w:t>
      </w:r>
      <w:bookmarkEnd w:id="72"/>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3"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3"/>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4"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69"/>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方正仿宋_GBK"/>
    <w:panose1 w:val="00000000000000000000"/>
    <w:charset w:val="86"/>
    <w:family w:val="script"/>
    <w:pitch w:val="default"/>
    <w:sig w:usb0="00000000" w:usb1="0000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ED09F0D5"/>
    <w:multiLevelType w:val="singleLevel"/>
    <w:tmpl w:val="ED09F0D5"/>
    <w:lvl w:ilvl="0">
      <w:start w:val="5"/>
      <w:numFmt w:val="chineseCounting"/>
      <w:suff w:val="nothing"/>
      <w:lvlText w:val="%1、"/>
      <w:lvlJc w:val="left"/>
      <w:rPr>
        <w:rFonts w:hint="eastAsia"/>
      </w:rPr>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5"/>
  </w:num>
  <w:num w:numId="5">
    <w:abstractNumId w:val="12"/>
  </w:num>
  <w:num w:numId="6">
    <w:abstractNumId w:val="13"/>
  </w:num>
  <w:num w:numId="7">
    <w:abstractNumId w:val="1"/>
  </w:num>
  <w:num w:numId="8">
    <w:abstractNumId w:val="6"/>
  </w:num>
  <w:num w:numId="9">
    <w:abstractNumId w:val="3"/>
  </w:num>
  <w:num w:numId="10">
    <w:abstractNumId w:val="2"/>
  </w:num>
  <w:num w:numId="11">
    <w:abstractNumId w:val="11"/>
  </w:num>
  <w:num w:numId="12">
    <w:abstractNumId w:val="0"/>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TableParagraph">
    <w:name w:val="Table Paragraph"/>
    <w:basedOn w:val="Normal"/>
    <w:uiPriority w:val="1"/>
    <w:qFormat/>
    <w:pPr>
      <w:jc w:val="left"/>
    </w:pPr>
    <w:rPr>
      <w:rFonts w:ascii="Calibri" w:eastAsia="Calibri" w:hAnsi="Calibri" w:cs="宋体"/>
      <w:kern w:val="0"/>
      <w:sz w:val="22"/>
      <w:szCs w:val="22"/>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