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2025年森火工程黑龙江省林草热源点红外监测仪的采购项目（黑龙江省大兴安岭地区气象局等6家单位）</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ZQCD-25478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黑龙江省大兴安岭地区气象局、漠河市气象局、黑龙江省呼中区气象局、呼玛县气象局、黑龙江省塔河县气象局、黑龙江省新林区气象局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2025年森火工程黑龙江省林草热源点红外监测仪的采购项目（黑龙江省大兴安岭地区气象局等6家单位）</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ZQCD-25478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黑龙江省大兴安岭地区加格达奇区</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2025年12月12日 00:00:00</w:t>
      </w:r>
      <w:bookmarkEnd w:id="26"/>
      <w:r>
        <w:rPr>
          <w:rFonts w:ascii="宋体" w:hint="eastAsia"/>
          <w:szCs w:val="21"/>
          <w:highlight w:val="none"/>
        </w:rPr>
        <w:t>至</w:t>
      </w:r>
      <w:bookmarkStart w:id="27" w:name="项目公告_signUpLastTime"/>
      <w:r>
        <w:rPr>
          <w:rFonts w:ascii="宋体" w:hint="eastAsia"/>
          <w:szCs w:val="21"/>
          <w:highlight w:val="none"/>
        </w:rPr>
        <w:t>2025年12月19日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2026年01月08日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黑龙江省大兴安岭地区气象局、漠河市气象局、黑龙江省呼中区气象局、呼玛县气象局、黑龙江省塔河县气象局、黑龙江省新林区气象局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张金勇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0457-2731667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黑龙江省大兴安岭地区加格达奇区景观大道</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黑龙江省大兴安岭地区气象局、漠河市气象局、黑龙江省呼中区气象局、呼玛县气象局、黑龙江省塔河县气象局、黑龙江省新林区气象局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不允许（仅针对以下产品：林草热源点红外监测仪不允许代理商投标）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设有，核心产品为林草热源点红外监测仪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（1）标的：2025年森火工程林草热源点红外监测仪的采购项目（黑龙江省）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是，中标服务费：12.3万元。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3,153.500000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3,153.500000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销售合同必须包括地面气象环境监测类或森林草原防火监测类相关设备，每提供1份合同得1分，最多得5分。否则不得分。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针对本项目采购的林草热源点红外监测仪，承诺每提前10天交货的得1分，最多得1分。否则不得分。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针对地面气象环境监测类或森林草原防火监测类相关设备，每提供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2、除项目经理外至少5人具有2年及以上相关工作经验的，得2分；为本项目派出的技术人员至少3人具有1年及以上相关工作经验的，得1分；其他不得分。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针对林草热源点红外监测仪，测试报告应涵盖低温、 高温、 恒定湿热等内容，每包含一项得1分，最多得3分。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（一）系统组成</w:t>
      </w:r>
    </w:p>
    <w:p>
      <w:pPr>
        <w:spacing w:line="560" w:lineRule="exact"/>
        <w:ind w:firstLine="560" w:firstLineChars="200"/>
        <w:jc w:val="left"/>
        <w:rPr>
          <w:rFonts w:ascii="仿宋" w:eastAsia="仿宋" w:hAnsi="仿宋" w:cs="仿宋" w:hint="eastAsia"/>
          <w:color w:val="000000"/>
          <w:sz w:val="28"/>
          <w:szCs w:val="28"/>
        </w:rPr>
      </w:pPr>
      <w:r>
        <w:rPr>
          <w:rFonts w:ascii="仿宋" w:eastAsia="仿宋" w:hAnsi="仿宋" w:cs="仿宋" w:hint="eastAsia"/>
          <w:color w:val="000000"/>
          <w:sz w:val="28"/>
          <w:szCs w:val="28"/>
        </w:rPr>
        <w:t>林草热源点红外监测仪主要由红外探测单元、视频观测单元、主控单元、通信单元、供电单元和外围组件等组成，如图1所示。红外探测单元实现监测数据的采集、处理。主控单元主要负责系统的管理控制、数据的处理、算法实现和标准格式报文的生产及存储。通信单元能通过加密链路与中心站通讯。</w:t>
      </w:r>
    </w:p>
    <w:p>
      <w:pPr>
        <w:spacing w:line="360" w:lineRule="auto"/>
        <w:ind w:firstLine="420" w:firstLineChars="200"/>
        <w:jc w:val="center"/>
        <w:rPr>
          <w:rFonts w:ascii="仿宋" w:eastAsia="仿宋" w:hAnsi="仿宋" w:cs="仿宋" w:hint="eastAsia"/>
          <w:color w:val="000000"/>
        </w:rPr>
      </w:pPr>
      <w:r>
        <w:rPr>
          <w:rFonts w:ascii="Times New Roman" w:eastAsia="宋体" w:hAnsi="Times New Roman" w:cs="Times New Roman"/>
          <w:szCs w:val="21"/>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4" o:spid="_x0000_i1026" type="#_x0000_t75" style="width:415.1pt;height:187.35pt" o:oleicon="f" o:ole="" o:preferrelative="t" filled="f" stroked="f">
            <v:imagedata r:id="rId6" o:title=""/>
            <v:path o:extrusionok="f"/>
            <o:lock v:ext="edit" aspectratio="f"/>
          </v:shape>
          <o:OLEObject Type="Embed" ProgID="Visio.Drawing.15" ShapeID="Object 4" DrawAspect="Content" ObjectID="_1234567890" r:id="rId7"/>
        </w:object>
      </w:r>
      <w:r>
        <w:rPr>
          <w:rFonts w:ascii="仿宋" w:eastAsia="仿宋" w:hAnsi="仿宋" w:cs="仿宋" w:hint="eastAsia"/>
          <w:color w:val="000000"/>
          <w:sz w:val="24"/>
        </w:rPr>
        <w:t>图1 林草热源点红外监测仪组成示意图</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(二) 技术性能要求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#1.热源点识别能力</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在不同识别半径条件下，监测仪对热源点的最小可监测面积应符合表1中的要求。</w:t>
      </w:r>
    </w:p>
    <w:p>
      <w:pPr>
        <w:spacing w:line="560" w:lineRule="exact"/>
        <w:ind w:firstLine="480" w:firstLineChars="200"/>
        <w:jc w:val="center"/>
        <w:rPr>
          <w:rFonts w:ascii="仿宋" w:eastAsia="仿宋" w:hAnsi="仿宋" w:cs="仿宋" w:hint="eastAsia"/>
        </w:rPr>
      </w:pPr>
      <w:r>
        <w:rPr>
          <w:rFonts w:ascii="仿宋" w:eastAsia="仿宋" w:hAnsi="仿宋" w:cs="仿宋" w:hint="eastAsia"/>
          <w:sz w:val="24"/>
        </w:rPr>
        <w:t>表 1识别半径与最小识别监控热源点面积</w:t>
      </w:r>
    </w:p>
    <w:tbl>
      <w:tblPr>
        <w:tblStyle w:val="TableNormal"/>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09"/>
        <w:gridCol w:w="3600"/>
        <w:gridCol w:w="3417"/>
      </w:tblGrid>
      <w:tr>
        <w:tblPrEx>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31"/>
        </w:trPr>
        <w:tc>
          <w:tcPr>
            <w:tcW w:w="1509" w:type="dxa"/>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仿宋" w:eastAsia="仿宋" w:hAnsi="仿宋" w:cs="仿宋" w:hint="eastAsia"/>
                <w:kern w:val="0"/>
              </w:rPr>
            </w:pPr>
            <w:r>
              <w:rPr>
                <w:rFonts w:ascii="仿宋" w:eastAsia="仿宋" w:hAnsi="仿宋" w:cs="仿宋" w:hint="eastAsia"/>
                <w:kern w:val="0"/>
                <w:sz w:val="24"/>
              </w:rPr>
              <w:t>序号</w:t>
            </w:r>
          </w:p>
        </w:tc>
        <w:tc>
          <w:tcPr>
            <w:tcW w:w="3600" w:type="dxa"/>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仿宋" w:eastAsia="仿宋" w:hAnsi="仿宋" w:cs="仿宋" w:hint="eastAsia"/>
                <w:kern w:val="0"/>
              </w:rPr>
            </w:pPr>
            <w:r>
              <w:rPr>
                <w:rFonts w:ascii="仿宋" w:eastAsia="仿宋" w:hAnsi="仿宋" w:cs="仿宋" w:hint="eastAsia"/>
                <w:kern w:val="0"/>
                <w:sz w:val="24"/>
              </w:rPr>
              <w:t>识别半径</w:t>
            </w:r>
          </w:p>
        </w:tc>
        <w:tc>
          <w:tcPr>
            <w:tcW w:w="3417" w:type="dxa"/>
            <w:tcBorders>
              <w:top w:val="single" w:sz="4" w:space="0" w:color="auto"/>
              <w:left w:val="single" w:sz="4" w:space="0" w:color="auto"/>
              <w:bottom w:val="single" w:sz="4" w:space="0" w:color="auto"/>
              <w:right w:val="single" w:sz="4" w:space="0" w:color="auto"/>
            </w:tcBorders>
            <w:vAlign w:val="center"/>
          </w:tcPr>
          <w:p>
            <w:pPr>
              <w:spacing w:line="360" w:lineRule="auto"/>
              <w:jc w:val="center"/>
              <w:rPr>
                <w:rFonts w:ascii="仿宋" w:eastAsia="仿宋" w:hAnsi="仿宋" w:cs="仿宋" w:hint="eastAsia"/>
                <w:kern w:val="0"/>
              </w:rPr>
            </w:pPr>
            <w:r>
              <w:rPr>
                <w:rFonts w:ascii="仿宋" w:eastAsia="仿宋" w:hAnsi="仿宋" w:cs="仿宋" w:hint="eastAsia"/>
                <w:kern w:val="0"/>
                <w:sz w:val="24"/>
              </w:rPr>
              <w:t>最小识别监控热源点面积</w:t>
            </w:r>
          </w:p>
        </w:tc>
      </w:tr>
      <w:tr>
        <w:tblPrEx>
          <w:tblW w:w="8526" w:type="dxa"/>
          <w:tblCellMar>
            <w:top w:w="0" w:type="dxa"/>
            <w:left w:w="108" w:type="dxa"/>
            <w:bottom w:w="0" w:type="dxa"/>
            <w:right w:w="108" w:type="dxa"/>
          </w:tblCellMar>
          <w:tblLook w:val="0000"/>
        </w:tblPrEx>
        <w:tc>
          <w:tcPr>
            <w:tcW w:w="1509" w:type="dxa"/>
            <w:tcBorders>
              <w:top w:val="single" w:sz="4" w:space="0" w:color="auto"/>
              <w:left w:val="single" w:sz="4" w:space="0" w:color="auto"/>
              <w:bottom w:val="single" w:sz="4" w:space="0" w:color="auto"/>
              <w:right w:val="single" w:sz="4" w:space="0" w:color="auto"/>
            </w:tcBorders>
            <w:vAlign w:val="center"/>
          </w:tcPr>
          <w:p>
            <w:pPr>
              <w:numPr>
                <w:ilvl w:val="0"/>
                <w:numId w:val="4"/>
              </w:numPr>
              <w:jc w:val="center"/>
              <w:rPr>
                <w:rFonts w:ascii="仿宋" w:eastAsia="仿宋" w:hAnsi="仿宋" w:cs="仿宋" w:hint="eastAsia"/>
                <w:kern w:val="0"/>
              </w:rPr>
            </w:pPr>
          </w:p>
        </w:tc>
        <w:tc>
          <w:tcPr>
            <w:tcW w:w="36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1km</w:t>
            </w:r>
          </w:p>
        </w:tc>
        <w:tc>
          <w:tcPr>
            <w:tcW w:w="341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0.1㎡</w:t>
            </w:r>
          </w:p>
        </w:tc>
      </w:tr>
      <w:tr>
        <w:tblPrEx>
          <w:tblW w:w="8526" w:type="dxa"/>
          <w:tblCellMar>
            <w:top w:w="0" w:type="dxa"/>
            <w:left w:w="108" w:type="dxa"/>
            <w:bottom w:w="0" w:type="dxa"/>
            <w:right w:w="108" w:type="dxa"/>
          </w:tblCellMar>
          <w:tblLook w:val="0000"/>
        </w:tblPrEx>
        <w:tc>
          <w:tcPr>
            <w:tcW w:w="1509" w:type="dxa"/>
            <w:tcBorders>
              <w:top w:val="single" w:sz="4" w:space="0" w:color="auto"/>
              <w:left w:val="single" w:sz="4" w:space="0" w:color="auto"/>
              <w:bottom w:val="single" w:sz="4" w:space="0" w:color="auto"/>
              <w:right w:val="single" w:sz="4" w:space="0" w:color="auto"/>
            </w:tcBorders>
            <w:vAlign w:val="center"/>
          </w:tcPr>
          <w:p>
            <w:pPr>
              <w:numPr>
                <w:ilvl w:val="0"/>
                <w:numId w:val="4"/>
              </w:numPr>
              <w:jc w:val="center"/>
              <w:rPr>
                <w:rFonts w:ascii="仿宋" w:eastAsia="仿宋" w:hAnsi="仿宋" w:cs="仿宋" w:hint="eastAsia"/>
                <w:kern w:val="0"/>
              </w:rPr>
            </w:pPr>
          </w:p>
        </w:tc>
        <w:tc>
          <w:tcPr>
            <w:tcW w:w="36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5km</w:t>
            </w:r>
          </w:p>
        </w:tc>
        <w:tc>
          <w:tcPr>
            <w:tcW w:w="341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2.5㎡</w:t>
            </w:r>
          </w:p>
        </w:tc>
      </w:tr>
      <w:tr>
        <w:tblPrEx>
          <w:tblW w:w="8526" w:type="dxa"/>
          <w:tblCellMar>
            <w:top w:w="0" w:type="dxa"/>
            <w:left w:w="108" w:type="dxa"/>
            <w:bottom w:w="0" w:type="dxa"/>
            <w:right w:w="108" w:type="dxa"/>
          </w:tblCellMar>
          <w:tblLook w:val="0000"/>
        </w:tblPrEx>
        <w:tc>
          <w:tcPr>
            <w:tcW w:w="1509" w:type="dxa"/>
            <w:tcBorders>
              <w:top w:val="single" w:sz="4" w:space="0" w:color="auto"/>
              <w:left w:val="single" w:sz="4" w:space="0" w:color="auto"/>
              <w:bottom w:val="single" w:sz="4" w:space="0" w:color="auto"/>
              <w:right w:val="single" w:sz="4" w:space="0" w:color="auto"/>
            </w:tcBorders>
            <w:vAlign w:val="center"/>
          </w:tcPr>
          <w:p>
            <w:pPr>
              <w:numPr>
                <w:ilvl w:val="0"/>
                <w:numId w:val="4"/>
              </w:numPr>
              <w:jc w:val="center"/>
              <w:rPr>
                <w:rFonts w:ascii="仿宋" w:eastAsia="仿宋" w:hAnsi="仿宋" w:cs="仿宋" w:hint="eastAsia"/>
                <w:kern w:val="0"/>
              </w:rPr>
            </w:pPr>
          </w:p>
        </w:tc>
        <w:tc>
          <w:tcPr>
            <w:tcW w:w="36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10km</w:t>
            </w:r>
          </w:p>
        </w:tc>
        <w:tc>
          <w:tcPr>
            <w:tcW w:w="341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w:t>
            </w:r>
          </w:p>
        </w:tc>
      </w:tr>
      <w:tr>
        <w:tblPrEx>
          <w:tblW w:w="8526" w:type="dxa"/>
          <w:tblCellMar>
            <w:top w:w="0" w:type="dxa"/>
            <w:left w:w="108" w:type="dxa"/>
            <w:bottom w:w="0" w:type="dxa"/>
            <w:right w:w="108" w:type="dxa"/>
          </w:tblCellMar>
          <w:tblLook w:val="0000"/>
        </w:tblPrEx>
        <w:tc>
          <w:tcPr>
            <w:tcW w:w="1509" w:type="dxa"/>
            <w:tcBorders>
              <w:top w:val="single" w:sz="4" w:space="0" w:color="auto"/>
              <w:left w:val="single" w:sz="4" w:space="0" w:color="auto"/>
              <w:bottom w:val="single" w:sz="4" w:space="0" w:color="auto"/>
              <w:right w:val="single" w:sz="4" w:space="0" w:color="auto"/>
            </w:tcBorders>
            <w:vAlign w:val="center"/>
          </w:tcPr>
          <w:p>
            <w:pPr>
              <w:numPr>
                <w:ilvl w:val="0"/>
                <w:numId w:val="4"/>
              </w:numPr>
              <w:jc w:val="center"/>
              <w:rPr>
                <w:rFonts w:ascii="仿宋" w:eastAsia="仿宋" w:hAnsi="仿宋" w:cs="仿宋" w:hint="eastAsia"/>
                <w:kern w:val="0"/>
              </w:rPr>
            </w:pPr>
          </w:p>
        </w:tc>
        <w:tc>
          <w:tcPr>
            <w:tcW w:w="36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15km</w:t>
            </w:r>
          </w:p>
        </w:tc>
        <w:tc>
          <w:tcPr>
            <w:tcW w:w="341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25㎡</w:t>
            </w:r>
          </w:p>
        </w:tc>
      </w:tr>
      <w:tr>
        <w:tblPrEx>
          <w:tblW w:w="8526" w:type="dxa"/>
          <w:tblCellMar>
            <w:top w:w="0" w:type="dxa"/>
            <w:left w:w="108" w:type="dxa"/>
            <w:bottom w:w="0" w:type="dxa"/>
            <w:right w:w="108" w:type="dxa"/>
          </w:tblCellMar>
          <w:tblLook w:val="0000"/>
        </w:tblPrEx>
        <w:tc>
          <w:tcPr>
            <w:tcW w:w="1509" w:type="dxa"/>
            <w:tcBorders>
              <w:top w:val="single" w:sz="4" w:space="0" w:color="auto"/>
              <w:left w:val="single" w:sz="4" w:space="0" w:color="auto"/>
              <w:bottom w:val="single" w:sz="4" w:space="0" w:color="auto"/>
              <w:right w:val="single" w:sz="4" w:space="0" w:color="auto"/>
            </w:tcBorders>
            <w:vAlign w:val="center"/>
          </w:tcPr>
          <w:p>
            <w:pPr>
              <w:numPr>
                <w:ilvl w:val="0"/>
                <w:numId w:val="4"/>
              </w:numPr>
              <w:jc w:val="center"/>
              <w:rPr>
                <w:rFonts w:ascii="仿宋" w:eastAsia="仿宋" w:hAnsi="仿宋" w:cs="仿宋" w:hint="eastAsia"/>
                <w:kern w:val="0"/>
              </w:rPr>
            </w:pPr>
          </w:p>
        </w:tc>
        <w:tc>
          <w:tcPr>
            <w:tcW w:w="36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30km</w:t>
            </w:r>
          </w:p>
        </w:tc>
        <w:tc>
          <w:tcPr>
            <w:tcW w:w="341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w:t>
            </w:r>
            <w:r>
              <w:rPr>
                <w:rFonts w:ascii="仿宋" w:eastAsia="仿宋" w:hAnsi="仿宋" w:cs="仿宋" w:hint="eastAsia"/>
                <w:kern w:val="0"/>
                <w:sz w:val="24"/>
              </w:rPr>
              <w:t>100㎡</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#2.热源点识别率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识别准确率不低于85%。</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#3.热源点探测定位精度</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在不同识别半径条件下，系统对热源点的识别定位误差应符合表2中的要求。</w:t>
      </w:r>
    </w:p>
    <w:p>
      <w:pPr>
        <w:spacing w:line="560" w:lineRule="exact"/>
        <w:ind w:firstLine="480" w:firstLineChars="200"/>
        <w:jc w:val="center"/>
        <w:rPr>
          <w:rFonts w:ascii="仿宋" w:eastAsia="仿宋" w:hAnsi="仿宋" w:cs="仿宋" w:hint="eastAsia"/>
        </w:rPr>
      </w:pPr>
      <w:r>
        <w:rPr>
          <w:rFonts w:ascii="仿宋" w:eastAsia="仿宋" w:hAnsi="仿宋" w:cs="仿宋" w:hint="eastAsia"/>
          <w:sz w:val="24"/>
        </w:rPr>
        <w:t>表 2识别半径与识别热源点定位误差</w:t>
      </w:r>
    </w:p>
    <w:tbl>
      <w:tblPr>
        <w:tblStyle w:val="TableNormal"/>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00"/>
        <w:gridCol w:w="3609"/>
        <w:gridCol w:w="3417"/>
      </w:tblGrid>
      <w:tr>
        <w:tblPrEx>
          <w:tblW w:w="8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431"/>
        </w:trPr>
        <w:tc>
          <w:tcPr>
            <w:tcW w:w="1500"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bookmarkStart w:id="61" w:name="OLE_LINK2" w:colFirst="0" w:colLast="66"/>
            <w:bookmarkStart w:id="62" w:name="OLE_LINK1" w:colFirst="0" w:colLast="66"/>
            <w:bookmarkStart w:id="63" w:name="_Hlk214200518"/>
            <w:r>
              <w:rPr>
                <w:rFonts w:ascii="仿宋" w:eastAsia="仿宋" w:hAnsi="仿宋" w:cs="仿宋" w:hint="eastAsia"/>
                <w:kern w:val="0"/>
                <w:sz w:val="24"/>
              </w:rPr>
              <w:t>序号</w:t>
            </w:r>
          </w:p>
        </w:tc>
        <w:tc>
          <w:tcPr>
            <w:tcW w:w="3609"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识别半径</w:t>
            </w:r>
          </w:p>
        </w:tc>
        <w:tc>
          <w:tcPr>
            <w:tcW w:w="3417" w:type="dxa"/>
            <w:tcBorders>
              <w:top w:val="single" w:sz="4" w:space="0" w:color="auto"/>
              <w:left w:val="single" w:sz="4" w:space="0" w:color="auto"/>
              <w:bottom w:val="single" w:sz="4" w:space="0" w:color="auto"/>
              <w:right w:val="single" w:sz="4" w:space="0" w:color="auto"/>
            </w:tcBorders>
            <w:vAlign w:val="center"/>
          </w:tcPr>
          <w:p>
            <w:pPr>
              <w:jc w:val="center"/>
              <w:rPr>
                <w:rFonts w:ascii="仿宋" w:eastAsia="仿宋" w:hAnsi="仿宋" w:cs="仿宋" w:hint="eastAsia"/>
                <w:kern w:val="0"/>
              </w:rPr>
            </w:pPr>
            <w:r>
              <w:rPr>
                <w:rFonts w:ascii="仿宋" w:eastAsia="仿宋" w:hAnsi="仿宋" w:cs="仿宋" w:hint="eastAsia"/>
                <w:kern w:val="0"/>
                <w:sz w:val="24"/>
              </w:rPr>
              <w:t>识别热源点定位误差</w:t>
            </w:r>
          </w:p>
        </w:tc>
      </w:tr>
      <w:tr>
        <w:tblPrEx>
          <w:tblW w:w="8526" w:type="dxa"/>
          <w:tblCellMar>
            <w:top w:w="0" w:type="dxa"/>
            <w:left w:w="108" w:type="dxa"/>
            <w:bottom w:w="0" w:type="dxa"/>
            <w:right w:w="108" w:type="dxa"/>
          </w:tblCellMar>
          <w:tblLook w:val="0000"/>
        </w:tblPrEx>
        <w:tc>
          <w:tcPr>
            <w:tcW w:w="1500" w:type="dxa"/>
            <w:tcBorders>
              <w:top w:val="single" w:sz="4" w:space="0" w:color="auto"/>
              <w:left w:val="single" w:sz="4" w:space="0" w:color="auto"/>
              <w:bottom w:val="single" w:sz="4" w:space="0" w:color="auto"/>
              <w:right w:val="single" w:sz="4" w:space="0" w:color="auto"/>
            </w:tcBorders>
          </w:tcPr>
          <w:p>
            <w:pPr>
              <w:numPr>
                <w:ilvl w:val="0"/>
                <w:numId w:val="5"/>
              </w:numPr>
              <w:jc w:val="center"/>
              <w:rPr>
                <w:rFonts w:ascii="仿宋" w:eastAsia="仿宋" w:hAnsi="仿宋" w:cs="仿宋" w:hint="eastAsia"/>
                <w:kern w:val="0"/>
              </w:rPr>
            </w:pPr>
          </w:p>
        </w:tc>
        <w:tc>
          <w:tcPr>
            <w:tcW w:w="3609"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1km</w:t>
            </w:r>
          </w:p>
        </w:tc>
        <w:tc>
          <w:tcPr>
            <w:tcW w:w="3417" w:type="dxa"/>
            <w:tcBorders>
              <w:top w:val="single" w:sz="4" w:space="0" w:color="auto"/>
              <w:left w:val="single" w:sz="4" w:space="0" w:color="auto"/>
              <w:bottom w:val="single" w:sz="4" w:space="0" w:color="auto"/>
              <w:right w:val="single" w:sz="4" w:space="0" w:color="auto"/>
            </w:tcBorders>
          </w:tcPr>
          <w:p>
            <w:pPr>
              <w:topLinePunct/>
              <w:jc w:val="center"/>
              <w:rPr>
                <w:rFonts w:ascii="仿宋" w:eastAsia="仿宋" w:hAnsi="仿宋" w:cs="仿宋" w:hint="eastAsia"/>
                <w:kern w:val="0"/>
              </w:rPr>
            </w:pPr>
            <w:r>
              <w:rPr>
                <w:rFonts w:ascii="仿宋" w:eastAsia="仿宋" w:hAnsi="仿宋" w:cs="仿宋" w:hint="eastAsia"/>
                <w:kern w:val="0"/>
                <w:sz w:val="24"/>
              </w:rPr>
              <w:t>50m</w:t>
            </w:r>
          </w:p>
        </w:tc>
      </w:tr>
      <w:tr>
        <w:tblPrEx>
          <w:tblW w:w="8526" w:type="dxa"/>
          <w:tblCellMar>
            <w:top w:w="0" w:type="dxa"/>
            <w:left w:w="108" w:type="dxa"/>
            <w:bottom w:w="0" w:type="dxa"/>
            <w:right w:w="108" w:type="dxa"/>
          </w:tblCellMar>
          <w:tblLook w:val="0000"/>
        </w:tblPrEx>
        <w:tc>
          <w:tcPr>
            <w:tcW w:w="1500" w:type="dxa"/>
            <w:tcBorders>
              <w:top w:val="single" w:sz="4" w:space="0" w:color="auto"/>
              <w:left w:val="single" w:sz="4" w:space="0" w:color="auto"/>
              <w:bottom w:val="single" w:sz="4" w:space="0" w:color="auto"/>
              <w:right w:val="single" w:sz="4" w:space="0" w:color="auto"/>
            </w:tcBorders>
          </w:tcPr>
          <w:p>
            <w:pPr>
              <w:numPr>
                <w:ilvl w:val="0"/>
                <w:numId w:val="5"/>
              </w:numPr>
              <w:jc w:val="center"/>
              <w:rPr>
                <w:rFonts w:ascii="仿宋" w:eastAsia="仿宋" w:hAnsi="仿宋" w:cs="仿宋" w:hint="eastAsia"/>
                <w:kern w:val="0"/>
              </w:rPr>
            </w:pPr>
          </w:p>
        </w:tc>
        <w:tc>
          <w:tcPr>
            <w:tcW w:w="3609"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5km</w:t>
            </w:r>
          </w:p>
        </w:tc>
        <w:tc>
          <w:tcPr>
            <w:tcW w:w="3417"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200m</w:t>
            </w:r>
          </w:p>
        </w:tc>
      </w:tr>
      <w:tr>
        <w:tblPrEx>
          <w:tblW w:w="8526" w:type="dxa"/>
          <w:tblCellMar>
            <w:top w:w="0" w:type="dxa"/>
            <w:left w:w="108" w:type="dxa"/>
            <w:bottom w:w="0" w:type="dxa"/>
            <w:right w:w="108" w:type="dxa"/>
          </w:tblCellMar>
          <w:tblLook w:val="0000"/>
        </w:tblPrEx>
        <w:trPr>
          <w:trHeight w:val="296"/>
        </w:trPr>
        <w:tc>
          <w:tcPr>
            <w:tcW w:w="1500" w:type="dxa"/>
            <w:tcBorders>
              <w:top w:val="single" w:sz="4" w:space="0" w:color="auto"/>
              <w:left w:val="single" w:sz="4" w:space="0" w:color="auto"/>
              <w:bottom w:val="single" w:sz="4" w:space="0" w:color="auto"/>
              <w:right w:val="single" w:sz="4" w:space="0" w:color="auto"/>
            </w:tcBorders>
          </w:tcPr>
          <w:p>
            <w:pPr>
              <w:numPr>
                <w:ilvl w:val="0"/>
                <w:numId w:val="5"/>
              </w:numPr>
              <w:jc w:val="center"/>
              <w:rPr>
                <w:rFonts w:ascii="仿宋" w:eastAsia="仿宋" w:hAnsi="仿宋" w:cs="仿宋" w:hint="eastAsia"/>
                <w:kern w:val="0"/>
              </w:rPr>
            </w:pPr>
          </w:p>
        </w:tc>
        <w:tc>
          <w:tcPr>
            <w:tcW w:w="3609"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10km</w:t>
            </w:r>
          </w:p>
        </w:tc>
        <w:tc>
          <w:tcPr>
            <w:tcW w:w="3417"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500m</w:t>
            </w:r>
          </w:p>
        </w:tc>
      </w:tr>
      <w:bookmarkEnd w:id="61"/>
      <w:bookmarkEnd w:id="62"/>
      <w:bookmarkEnd w:id="63"/>
      <w:tr>
        <w:tblPrEx>
          <w:tblW w:w="8526" w:type="dxa"/>
          <w:tblCellMar>
            <w:top w:w="0" w:type="dxa"/>
            <w:left w:w="108" w:type="dxa"/>
            <w:bottom w:w="0" w:type="dxa"/>
            <w:right w:w="108" w:type="dxa"/>
          </w:tblCellMar>
          <w:tblLook w:val="0000"/>
        </w:tblPrEx>
        <w:trPr>
          <w:trHeight w:val="296"/>
        </w:trPr>
        <w:tc>
          <w:tcPr>
            <w:tcW w:w="1500" w:type="dxa"/>
            <w:tcBorders>
              <w:top w:val="single" w:sz="4" w:space="0" w:color="auto"/>
              <w:left w:val="single" w:sz="4" w:space="0" w:color="auto"/>
              <w:bottom w:val="single" w:sz="4" w:space="0" w:color="auto"/>
              <w:right w:val="single" w:sz="4" w:space="0" w:color="auto"/>
            </w:tcBorders>
          </w:tcPr>
          <w:p>
            <w:pPr>
              <w:numPr>
                <w:ilvl w:val="0"/>
                <w:numId w:val="5"/>
              </w:numPr>
              <w:jc w:val="center"/>
              <w:rPr>
                <w:rFonts w:ascii="仿宋" w:eastAsia="仿宋" w:hAnsi="仿宋" w:cs="仿宋" w:hint="eastAsia"/>
                <w:kern w:val="0"/>
              </w:rPr>
            </w:pPr>
          </w:p>
        </w:tc>
        <w:tc>
          <w:tcPr>
            <w:tcW w:w="3609"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15km</w:t>
            </w:r>
          </w:p>
        </w:tc>
        <w:tc>
          <w:tcPr>
            <w:tcW w:w="3417"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1000m</w:t>
            </w:r>
          </w:p>
        </w:tc>
      </w:tr>
      <w:tr>
        <w:tblPrEx>
          <w:tblW w:w="8526" w:type="dxa"/>
          <w:tblCellMar>
            <w:top w:w="0" w:type="dxa"/>
            <w:left w:w="108" w:type="dxa"/>
            <w:bottom w:w="0" w:type="dxa"/>
            <w:right w:w="108" w:type="dxa"/>
          </w:tblCellMar>
          <w:tblLook w:val="0000"/>
        </w:tblPrEx>
        <w:tc>
          <w:tcPr>
            <w:tcW w:w="1500" w:type="dxa"/>
            <w:tcBorders>
              <w:top w:val="single" w:sz="4" w:space="0" w:color="auto"/>
              <w:left w:val="single" w:sz="4" w:space="0" w:color="auto"/>
              <w:bottom w:val="single" w:sz="4" w:space="0" w:color="auto"/>
              <w:right w:val="single" w:sz="4" w:space="0" w:color="auto"/>
            </w:tcBorders>
          </w:tcPr>
          <w:p>
            <w:pPr>
              <w:numPr>
                <w:ilvl w:val="0"/>
                <w:numId w:val="5"/>
              </w:numPr>
              <w:jc w:val="center"/>
              <w:rPr>
                <w:rFonts w:ascii="仿宋" w:eastAsia="仿宋" w:hAnsi="仿宋" w:cs="仿宋" w:hint="eastAsia"/>
                <w:kern w:val="0"/>
              </w:rPr>
            </w:pPr>
          </w:p>
        </w:tc>
        <w:tc>
          <w:tcPr>
            <w:tcW w:w="3609"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30km</w:t>
            </w:r>
          </w:p>
        </w:tc>
        <w:tc>
          <w:tcPr>
            <w:tcW w:w="3417" w:type="dxa"/>
            <w:tcBorders>
              <w:top w:val="single" w:sz="4" w:space="0" w:color="auto"/>
              <w:left w:val="single" w:sz="4" w:space="0" w:color="auto"/>
              <w:bottom w:val="single" w:sz="4" w:space="0" w:color="auto"/>
              <w:right w:val="single" w:sz="4" w:space="0" w:color="auto"/>
            </w:tcBorders>
          </w:tcPr>
          <w:p>
            <w:pPr>
              <w:jc w:val="center"/>
              <w:rPr>
                <w:rFonts w:ascii="仿宋" w:eastAsia="仿宋" w:hAnsi="仿宋" w:cs="仿宋" w:hint="eastAsia"/>
                <w:kern w:val="0"/>
              </w:rPr>
            </w:pPr>
            <w:r>
              <w:rPr>
                <w:rFonts w:ascii="仿宋" w:eastAsia="仿宋" w:hAnsi="仿宋" w:cs="仿宋" w:hint="eastAsia"/>
                <w:kern w:val="0"/>
                <w:sz w:val="24"/>
              </w:rPr>
              <w:t>2500m</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#4.水平旋转角度为0～360</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，上下运动夹角和不小于90</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highlight w:val="yellow"/>
        </w:rPr>
        <w:t>#5.探测光谱范围：3</w:t>
      </w:r>
      <w:r>
        <w:rPr>
          <w:rFonts w:ascii="仿宋" w:eastAsia="仿宋" w:hAnsi="仿宋" w:cs="仿宋" w:hint="eastAsia"/>
          <w:sz w:val="28"/>
          <w:szCs w:val="20"/>
          <w:highlight w:val="yellow"/>
        </w:rPr>
        <w:t>μ</w:t>
      </w:r>
      <w:r>
        <w:rPr>
          <w:rFonts w:ascii="仿宋" w:eastAsia="仿宋" w:hAnsi="仿宋" w:cs="仿宋" w:hint="eastAsia"/>
          <w:sz w:val="28"/>
          <w:szCs w:val="20"/>
          <w:highlight w:val="yellow"/>
        </w:rPr>
        <w:t>m～5</w:t>
      </w:r>
      <w:r>
        <w:rPr>
          <w:rFonts w:ascii="仿宋" w:eastAsia="仿宋" w:hAnsi="仿宋" w:cs="仿宋" w:hint="eastAsia"/>
          <w:sz w:val="28"/>
          <w:szCs w:val="20"/>
          <w:highlight w:val="yellow"/>
        </w:rPr>
        <w:t>μ</w:t>
      </w:r>
      <w:r>
        <w:rPr>
          <w:rFonts w:ascii="仿宋" w:eastAsia="仿宋" w:hAnsi="仿宋" w:cs="仿宋" w:hint="eastAsia"/>
          <w:sz w:val="28"/>
          <w:szCs w:val="20"/>
          <w:highlight w:val="yellow"/>
        </w:rPr>
        <w:t>m。</w:t>
      </w:r>
    </w:p>
    <w:p>
      <w:pPr>
        <w:ind w:firstLine="560" w:firstLineChars="200"/>
        <w:textAlignment w:val="center"/>
        <w:rPr>
          <w:rFonts w:ascii="仿宋" w:eastAsia="仿宋" w:hAnsi="仿宋" w:cs="仿宋"/>
          <w:sz w:val="28"/>
          <w:szCs w:val="20"/>
        </w:rPr>
      </w:pPr>
      <w:r>
        <w:rPr>
          <w:rFonts w:ascii="仿宋" w:eastAsia="仿宋" w:hAnsi="仿宋" w:cs="仿宋" w:hint="eastAsia"/>
          <w:sz w:val="28"/>
          <w:szCs w:val="20"/>
          <w:highlight w:val="yellow"/>
        </w:rPr>
        <w:t>#6.归一化</w:t>
      </w:r>
      <w:r>
        <w:rPr>
          <w:rFonts w:ascii="仿宋" w:eastAsia="仿宋" w:hAnsi="仿宋" w:cs="仿宋" w:hint="eastAsia"/>
          <w:color w:val="000000"/>
          <w:sz w:val="28"/>
          <w:szCs w:val="20"/>
          <w:highlight w:val="yellow"/>
        </w:rPr>
        <w:t>探测率</w:t>
      </w:r>
      <w:r>
        <w:rPr>
          <w:rFonts w:ascii="Times New Roman" w:eastAsia="宋体" w:hAnsi="Times New Roman" w:cs="Times New Roman" w:hint="eastAsia"/>
          <w:color w:val="000000"/>
          <w:szCs w:val="21"/>
          <w:highlight w:val="yellow"/>
        </w:rPr>
        <w:t>：</w:t>
      </w:r>
      <w:r>
        <w:rPr>
          <w:rFonts w:ascii="宋体" w:eastAsia="宋体" w:hAnsi="宋体" w:cs="宋体"/>
          <w:sz w:val="21"/>
          <w:szCs w:val="21"/>
          <w:highlight w:val="yellow"/>
        </w:rPr>
        <w:pict>
          <v:shape id="图片 5" o:spid="_x0000_i1027" type="#_x0000_t75" style="width:16.75pt;height:23.34pt"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7&quot;/&gt;&lt;w:characterSpacingControl w:val=&quot;DontCompress&quot;/&gt;&lt;w:documentProtection w:enforcement=&quot;off&quot;/&gt;&lt;w:embedTrueTypeFonts/&gt;&lt;w:doNotEmbedSystemFonts/&gt;&lt;w:saveSubsetFonts/&gt;&lt;w:defaultTabStop w:val=&quot;420&quot;/&gt;&lt;w:displayHorizontalDrawingGridEvery w:val=&quot;1&quot;/&gt;&lt;w:displayVerticalDrawingGridEvery w:val=&quot;1&quot;/&gt;&lt;w:evenAndOddHeaders w:val=&quot;1&quot;/&gt;&lt;w:compat&gt;&lt;w:doNotExpandShiftReturn/&gt;&lt;w:breakWrappedTables/&gt;&lt;w:dontGrowAutofit/&gt;&lt;w:useFELayout/&gt;&lt;/w:compat&gt;&lt;/w:docPr&gt;&lt;w:body&gt;&lt;wx:sect&gt;&lt;w:p&gt;&lt;m:oMathPara&gt;&lt;m:oMath&gt;&lt;m:sSup&gt;&lt;m:sSupPr&gt;&lt;m:ctrlPr&gt;&lt;w:rPr&gt;&lt;w:rFonts w:ascii=&quot;Cambria Math&quot; w:h-ansi=&quot;Cambria Math&quot; w:cs=&quot;Times New Roman&quot; w:hint=&quot;default&quot;/&gt;&lt;w:i/&gt;&lt;w:color w:val=&quot;000000&quot;/&gt;&lt;w:sz-cs w:val=&quot;21&quot;/&gt;&lt;w:lang w:val=&quot;EN-US&quot;/&gt;&lt;/w:rPr&gt;&lt;/m:ctrlPr&gt;&lt;/m:sSupPr&gt;&lt;m:e&gt;&lt;m:r&gt;&lt;m:rPr&gt;&lt;m:scr m:val=&quot;roman&quot;/&gt;&lt;/m:rPr&gt;&lt;w:rPr&gt;&lt;w:rFonts w:ascii=&quot;Cambria Math&quot; w:h-ansi=&quot;Cambria Math&quot; w:cs=&quot;Times New Roman&quot; w:hint=&quot;default&quot;/&gt;&lt;w:color w:val=&quot;000000&quot;/&gt;&lt;w:sz-cs w:val=&quot;21&quot;/&gt;&lt;w:lang w:val=&quot;EN-US&quot; w:fareast=&quot;ZH-CN&quot;/&gt;&lt;/w:rPr&gt;&lt;m:t&gt;D&lt;/m:t&gt;&lt;/m:r&gt;&lt;m:ctrlPr&gt;&lt;w:rPr&gt;&lt;w:rFonts w:ascii=&quot;Cambria Math&quot; w:h-ansi=&quot;Cambria Math&quot; w:cs=&quot;Times New Roman&quot; w:hint=&quot;default&quot;/&gt;&lt;w:i/&gt;&lt;w:color w:val=&quot;000000&quot;/&gt;&lt;w:sz-cs w:val=&quot;21&quot;/&gt;&lt;w:lang w:val=&quot;EN-US&quot;/&gt;&lt;/w:rPr&gt;&lt;/m:ctrlPr&gt;&lt;/m:e&gt;&lt;m:sup&gt;&lt;m:r&gt;&lt;m:rPr&gt;&lt;m:scr m:val=&quot;roman&quot;/&gt;&lt;/m:rPr&gt;&lt;w:rPr&gt;&lt;w:rFonts w:ascii=&quot;Cambria Math&quot; w:h-ansi=&quot;Cambria Math&quot; w:cs=&quot;Times New Roman&quot; w:hint=&quot;default&quot;/&gt;&lt;w:color w:val=&quot;000000&quot;/&gt;&lt;w:sz-cs w:val=&quot;21&quot;/&gt;&lt;w:lang w:val=&quot;EN-US&quot; w:fareast=&quot;ZH-CN&quot;/&gt;&lt;/w:rPr&gt;&lt;m:t&gt;∗&lt;/m:t&gt;&lt;/m:r&gt;&lt;m:ctrlPr&gt;&lt;w:rPr&gt;&lt;w:rFonts w:ascii=&quot;Cambria Math&quot; w:h-ansi=&quot;Cambria Math&quot; w:cs=&quot;Times New Roman&quot; w:hint=&quot;default&quot;/&gt;&lt;w:i/&gt;&lt;w:color w:val=&quot;000000&quot;/&gt;&lt;w:sz-cs w:val=&quot;21&quot;/&gt;&lt;w:lang w:val=&quot;EN-US&quot;/&gt;&lt;/w:rPr&gt;&lt;/m:ctrlPr&gt;&lt;/m:sup&gt;&lt;/m:sSup&gt;&lt;/m:oMath&gt;&lt;/m:oMathPara&gt;&lt;/w:p&gt;&lt;/wx:sect&gt;&lt;/w:body&gt;&lt;/w:wordDocument" o:preferrelative="t" filled="f" stroked="f">
            <v:imagedata r:id="rId8" o:title=""/>
            <v:path o:extrusionok="f"/>
            <o:lock v:ext="edit" aspectratio="f"/>
          </v:shape>
        </w:pict>
      </w:r>
      <w:r>
        <w:rPr>
          <w:rFonts w:ascii="宋体" w:eastAsia="宋体" w:hAnsi="宋体" w:cs="宋体"/>
          <w:sz w:val="21"/>
          <w:szCs w:val="21"/>
          <w:highlight w:val="yellow"/>
        </w:rPr>
        <w:t>≥</w:t>
      </w:r>
      <w:r>
        <w:rPr>
          <w:rFonts w:ascii="仿宋" w:eastAsia="仿宋" w:hAnsi="仿宋" w:cs="仿宋" w:hint="eastAsia"/>
          <w:sz w:val="28"/>
          <w:szCs w:val="20"/>
          <w:highlight w:val="yellow"/>
        </w:rPr>
        <w:pict>
          <v:shape id="图片 6" o:spid="_x0000_i1028" type="#_x0000_t75" style="width:111.43pt;height:25.24pt"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7&quot;/&gt;&lt;w:characterSpacingControl w:val=&quot;DontCompress&quot;/&gt;&lt;w:documentProtection w:enforcement=&quot;off&quot;/&gt;&lt;w:embedTrueTypeFonts/&gt;&lt;w:doNotEmbedSystemFonts/&gt;&lt;w:saveSubsetFonts/&gt;&lt;w:defaultTabStop w:val=&quot;420&quot;/&gt;&lt;w:displayHorizontalDrawingGridEvery w:val=&quot;1&quot;/&gt;&lt;w:displayVerticalDrawingGridEvery w:val=&quot;1&quot;/&gt;&lt;w:evenAndOddHeaders w:val=&quot;1&quot;/&gt;&lt;w:compat&gt;&lt;w:doNotExpandShiftReturn/&gt;&lt;w:breakWrappedTables/&gt;&lt;w:dontGrowAutofit/&gt;&lt;w:useFELayout/&gt;&lt;/w:compat&gt;&lt;/w:docPr&gt;&lt;w:body&gt;&lt;wx:sect&gt;&lt;w:p&gt;&lt;m:oMathPara&gt;&lt;m:oMath&gt;&lt;m:sSup&gt;&lt;m:sSupPr&gt;&lt;m:ctrlPr&gt;&lt;w:rPr&gt;&lt;w:rFonts w:ascii=&quot;Cambria Math&quot; w:h-ansi=&quot;Cambria Math&quot; w:cs=&quot;宋体&quot; w:hint=&quot;default&quot;/&gt;&lt;w:i/&gt;&lt;w:sz w:val=&quot;21&quot;/&gt;&lt;w:sz-cs w:val=&quot;21&quot;/&gt;&lt;/w:rPr&gt;&lt;/m:ctrlPr&gt;&lt;/m:sSupPr&gt;&lt;m:e&gt;&lt;m:r&gt;&lt;m:rPr&gt;&lt;m:scr m:val=&quot;roman&quot;/&gt;&lt;/m:rPr&gt;&lt;w:rPr&gt;&lt;w:rFonts w:ascii=&quot;Cambria Math&quot; w:h-ansi=&quot;Cambria Math&quot; w:cs=&quot;宋体&quot; w:hint=&quot;default&quot;/&gt;&lt;w:sz w:val=&quot;21&quot;/&gt;&lt;w:sz-cs w:val=&quot;21&quot;/&gt;&lt;w:lang w:val=&quot;EN-US&quot; w:fareast=&quot;ZH-CN&quot;/&gt;&lt;/w:rPr&gt;&lt;m:t&gt;3&lt;/m:t&gt;&lt;/m:r&gt;&lt;m:r&gt;&lt;m:rPr&gt;&lt;m:scr m:val=&quot;roman&quot;/&gt;&lt;/m:rPr&gt;&lt;w:rPr&gt;&lt;w:rFonts w:ascii=&quot;Cambria Math&quot; w:h-ansi=&quot;Cambria Math&quot; w:cs=&quot;宋体&quot; w:hint=&quot;default&quot;/&gt;&lt;w:sz w:val=&quot;21&quot;/&gt;&lt;w:sz-cs w:val=&quot;21&quot;/&gt;&lt;w:lang w:val=&quot;EN-US&quot;/&gt;&lt;/w:rPr&gt;&lt;m:t&gt;×&lt;/m:t&gt;&lt;/m:r&gt;&lt;m:r&gt;&lt;m:rPr&gt;&lt;m:scr m:val=&quot;roman&quot;/&gt;&lt;/m:rPr&gt;&lt;w:rPr&gt;&lt;w:rFonts w:ascii=&quot;Cambria Math&quot; w:h-ansi=&quot;Cambria Math&quot; w:cs=&quot;宋体&quot; w:hint=&quot;default&quot;/&gt;&lt;w:sz w:val=&quot;21&quot;/&gt;&lt;w:sz-cs w:val=&quot;21&quot;/&gt;&lt;w:lang w:val=&quot;EN-US&quot; w:fareast=&quot;ZH-CN&quot;/&gt;&lt;/w:rPr&gt;&lt;m:t&gt;10&lt;/m:t&gt;&lt;/m:r&gt;&lt;m:ctrlPr&gt;&lt;w:rPr&gt;&lt;w:rFonts w:ascii=&quot;Cambria Math&quot; w:h-ansi=&quot;Cambria Math&quot; w:cs=&quot;宋体&quot; w:hint=&quot;default&quot;/&gt;&lt;w:i/&gt;&lt;w:sz w:val=&quot;21&quot;/&gt;&lt;w:sz-cs w:val=&quot;21&quot;/&gt;&lt;/w:rPr&gt;&lt;/m:ctrlPr&gt;&lt;/m:e&gt;&lt;m:sup&gt;&lt;m:r&gt;&lt;m:rPr&gt;&lt;m:scr m:val=&quot;roman&quot;/&gt;&lt;/m:rPr&gt;&lt;w:rPr&gt;&lt;w:rFonts w:ascii=&quot;Cambria Math&quot; w:h-ansi=&quot;Cambria Math&quot; w:cs=&quot;宋体&quot; w:hint=&quot;default&quot;/&gt;&lt;w:sz w:val=&quot;21&quot;/&gt;&lt;w:sz-cs w:val=&quot;21&quot;/&gt;&lt;w:lang w:val=&quot;EN-US&quot; w:fareast=&quot;ZH-CN&quot;/&gt;&lt;/w:rPr&gt;&lt;m:t&gt;11&lt;/m:t&gt;&lt;/m:r&gt;&lt;m:ctrlPr&gt;&lt;w:rPr&gt;&lt;w:rFonts w:ascii=&quot;Cambria Math&quot; w:h-ansi=&quot;Cambria Math&quot; w:cs=&quot;宋体&quot; w:hint=&quot;default&quot;/&gt;&lt;w:i/&gt;&lt;w:sz w:val=&quot;21&quot;/&gt;&lt;w:sz-cs w:val=&quot;21&quot;/&gt;&lt;/w:rPr&gt;&lt;/m:ctrlPr&gt;&lt;/m:sup&gt;&lt;/m:sSup&gt;&lt;m:r&gt;&lt;m:rPr&gt;&lt;m:scr m:val=&quot;roman&quot;/&gt;&lt;/m:rPr&gt;&lt;w:rPr&gt;&lt;w:rFonts w:ascii=&quot;Cambria Math&quot; w:h-ansi=&quot;Cambria Math&quot; w:cs=&quot;宋体&quot; w:hint=&quot;default&quot;/&gt;&lt;w:sz w:val=&quot;21&quot;/&gt;&lt;w:sz-cs w:val=&quot;21&quot;/&gt;&lt;w:lang w:val=&quot;EN-US&quot; w:fareast=&quot;ZH-CN&quot;/&gt;&lt;/w:rPr&gt;&lt;m:t&gt;cm&lt;/m:t&gt;&lt;/m:r&gt;&lt;m:r&gt;&lt;m:rPr&gt;&lt;m:scr m:val=&quot;roman&quot;/&gt;&lt;/m:rPr&gt;&lt;w:rPr&gt;&lt;w:rFonts w:ascii=&quot;Cambria Math&quot; w:h-ansi=&quot;Cambria Math&quot; w:cs=&quot;Cambria Math&quot; w:hint=&quot;default&quot;/&gt;&lt;w:sz w:val=&quot;21&quot;/&gt;&lt;w:sz-cs w:val=&quot;21&quot;/&gt;&lt;w:lang w:val=&quot;EN-US&quot; w:fareast=&quot;ZH-CN&quot;/&gt;&lt;/w:rPr&gt;&lt;m:t&gt;∙&lt;/m:t&gt;&lt;/m:r&gt;&lt;m:r&gt;&lt;m:rPr&gt;&lt;m:scr m:val=&quot;roman&quot;/&gt;&lt;/m:rPr&gt;&lt;w:rPr&gt;&lt;w:rFonts w:ascii=&quot;Cambria Math&quot; w:h-ansi=&quot;Cambria Math&quot; w:cs=&quot;宋体&quot; w:hint=&quot;default&quot;/&gt;&lt;w:sz w:val=&quot;21&quot;/&gt;&lt;w:sz-cs w:val=&quot;21&quot;/&gt;&lt;w:lang w:val=&quot;EN-US&quot; w:fareast=&quot;ZH-CN&quot;/&gt;&lt;/w:rPr&gt;&lt;m:t&gt;H&lt;/m:t&gt;&lt;/m:r&gt;&lt;m:sSup&gt;&lt;m:sSupPr&gt;&lt;m:ctrlPr&gt;&lt;w:rPr&gt;&lt;w:rFonts w:ascii=&quot;Cambria Math&quot; w:h-ansi=&quot;Cambria Math&quot; w:cs=&quot;宋体&quot; w:hint=&quot;default&quot;/&gt;&lt;w:i/&gt;&lt;w:sz w:val=&quot;21&quot;/&gt;&lt;w:sz-cs w:val=&quot;21&quot;/&gt;&lt;w:lang w:val=&quot;EN-US&quot; w:fareast=&quot;ZH-CN&quot;/&gt;&lt;/w:rPr&gt;&lt;/m:ctrlPr&gt;&lt;/m:sSupPr&gt;&lt;m:e&gt;&lt;m:r&gt;&lt;m:rPr&gt;&lt;m:scr m:val=&quot;roman&quot;/&gt;&lt;/m:rPr&gt;&lt;w:rPr&gt;&lt;w:rFonts w:ascii=&quot;Cambria Math&quot; w:h-ansi=&quot;Cambria Math&quot; w:cs=&quot;宋体&quot; w:hint=&quot;default&quot;/&gt;&lt;w:sz w:val=&quot;21&quot;/&gt;&lt;w:sz-cs w:val=&quot;21&quot;/&gt;&lt;w:lang w:val=&quot;EN-US&quot; w:fareast=&quot;ZH-CN&quot;/&gt;&lt;/w:rPr&gt;&lt;m:t&gt;z&lt;/m:t&gt;&lt;/m:r&gt;&lt;m:ctrlPr&gt;&lt;w:rPr&gt;&lt;w:rFonts w:ascii=&quot;Cambria Math&quot; w:h-ansi=&quot;Cambria Math&quot; w:cs=&quot;宋体&quot; w:hint=&quot;default&quot;/&gt;&lt;w:i/&gt;&lt;w:sz w:val=&quot;21&quot;/&gt;&lt;w:sz-cs w:val=&quot;21&quot;/&gt;&lt;w:lang w:val=&quot;EN-US&quot; w:fareast=&quot;ZH-CN&quot;/&gt;&lt;/w:rPr&gt;&lt;/m:ctrlPr&gt;&lt;/m:e&gt;&lt;m:sup&gt;&lt;m:r&gt;&lt;m:rPr&gt;&lt;m:scr m:val=&quot;roman&quot;/&gt;&lt;/m:rPr&gt;&lt;w:rPr&gt;&lt;w:rFonts w:ascii=&quot;Cambria Math&quot; w:h-ansi=&quot;Cambria Math&quot; w:cs=&quot;宋体&quot; w:hint=&quot;default&quot;/&gt;&lt;w:sz w:val=&quot;21&quot;/&gt;&lt;w:sz-cs w:val=&quot;21&quot;/&gt;&lt;w:lang w:val=&quot;EN-US&quot; w:fareast=&quot;ZH-CN&quot;/&gt;&lt;/w:rPr&gt;&lt;m:t&gt;1/2&lt;/m:t&gt;&lt;/m:r&gt;&lt;m:ctrlPr&gt;&lt;w:rPr&gt;&lt;w:rFonts w:ascii=&quot;Cambria Math&quot; w:h-ansi=&quot;Cambria Math&quot; w:cs=&quot;宋体&quot; w:hint=&quot;default&quot;/&gt;&lt;w:i/&gt;&lt;w:sz w:val=&quot;21&quot;/&gt;&lt;w:sz-cs w:val=&quot;21&quot;/&gt;&lt;w:lang w:val=&quot;EN-US&quot; w:fareast=&quot;ZH-CN&quot;/&gt;&lt;/w:rPr&gt;&lt;/m:ctrlPr&gt;&lt;/m:sup&gt;&lt;/m:sSup&gt;&lt;m:r&gt;&lt;m:rPr&gt;&lt;m:scr m:val=&quot;roman&quot;/&gt;&lt;/m:rPr&gt;&lt;w:rPr&gt;&lt;w:rFonts w:ascii=&quot;Cambria Math&quot; w:h-ansi=&quot;Cambria Math&quot; w:cs=&quot;Cambria Math&quot; w:hint=&quot;default&quot;/&gt;&lt;w:sz w:val=&quot;21&quot;/&gt;&lt;w:sz-cs w:val=&quot;21&quot;/&gt;&lt;w:lang w:val=&quot;EN-US&quot; w:fareast=&quot;ZH-CN&quot;/&gt;&lt;/w:rPr&gt;&lt;m:t&gt;∙&lt;/m:t&gt;&lt;/m:r&gt;&lt;m:sSup&gt;&lt;m:sSupPr&gt;&lt;m:ctrlPr&gt;&lt;w:rPr&gt;&lt;w:rFonts w:ascii=&quot;Cambria Math&quot; w:h-ansi=&quot;Cambria Math&quot; w:cs=&quot;Cambria Math&quot; w:hint=&quot;default&quot;/&gt;&lt;w:i/&gt;&lt;w:sz w:val=&quot;21&quot;/&gt;&lt;w:sz-cs w:val=&quot;21&quot;/&gt;&lt;w:lang w:val=&quot;EN-US&quot; w:fareast=&quot;ZH-CN&quot;/&gt;&lt;/w:rPr&gt;&lt;/m:ctrlPr&gt;&lt;/m:sSupPr&gt;&lt;m:e&gt;&lt;m:r&gt;&lt;m:rPr&gt;&lt;m:scr m:val=&quot;roman&quot;/&gt;&lt;/m:rPr&gt;&lt;w:rPr&gt;&lt;w:rFonts w:ascii=&quot;Cambria Math&quot; w:h-ansi=&quot;Cambria Math&quot; w:cs=&quot;Cambria Math&quot; w:hint=&quot;default&quot;/&gt;&lt;w:sz w:val=&quot;21&quot;/&gt;&lt;w:sz-cs w:val=&quot;21&quot;/&gt;&lt;w:lang w:val=&quot;EN-US&quot; w:fareast=&quot;ZH-CN&quot;/&gt;&lt;/w:rPr&gt;&lt;m:t&gt;W&lt;/m:t&gt;&lt;/m:r&gt;&lt;m:ctrlPr&gt;&lt;w:rPr&gt;&lt;w:rFonts w:ascii=&quot;Cambria Math&quot; w:h-ansi=&quot;Cambria Math&quot; w:cs=&quot;Cambria Math&quot; w:hint=&quot;default&quot;/&gt;&lt;w:i/&gt;&lt;w:sz w:val=&quot;21&quot;/&gt;&lt;w:sz-cs w:val=&quot;21&quot;/&gt;&lt;w:lang w:val=&quot;EN-US&quot; w:fareast=&quot;ZH-CN&quot;/&gt;&lt;/w:rPr&gt;&lt;/m:ctrlPr&gt;&lt;/m:e&gt;&lt;m:sup&gt;&lt;m:r&gt;&lt;m:rPr&gt;&lt;m:scr m:val=&quot;roman&quot;/&gt;&lt;/m:rPr&gt;&lt;w:rPr&gt;&lt;w:rFonts w:ascii=&quot;Cambria Math&quot; w:h-ansi=&quot;Cambria Math&quot; w:cs=&quot;Cambria Math&quot; w:hint=&quot;default&quot;/&gt;&lt;w:sz w:val=&quot;21&quot;/&gt;&lt;w:sz-cs w:val=&quot;21&quot;/&gt;&lt;w:lang w:val=&quot;EN-US&quot; w:fareast=&quot;ZH-CN&quot;/&gt;&lt;/w:rPr&gt;&lt;m:t&gt;−1&lt;/m:t&gt;&lt;/m:r&gt;&lt;m:ctrlPr&gt;&lt;w:rPr&gt;&lt;w:rFonts w:ascii=&quot;Cambria Math&quot; w:h-ansi=&quot;Cambria Math&quot; w:cs=&quot;Cambria Math&quot; w:hint=&quot;default&quot;/&gt;&lt;w:i/&gt;&lt;w:sz w:val=&quot;21&quot;/&gt;&lt;w:sz-cs w:val=&quot;21&quot;/&gt;&lt;w:lang w:val=&quot;EN-US&quot; w:fareast=&quot;ZH-CN&quot;/&gt;&lt;/w:rPr&gt;&lt;/m:ctrlPr&gt;&lt;/m:sup&gt;&lt;/m:sSup&gt;&lt;/m:oMath&gt;&lt;/m:oMathPara&gt;&lt;/w:p&gt;&lt;/wx:sect&gt;&lt;/w:body&gt;&lt;/w:wordDocument" o:preferrelative="t" filled="f" stroked="f">
            <v:imagedata r:id="rId9" o:title=""/>
            <v:path o:extrusionok="f"/>
            <o:lock v:ext="edit" aspectratio="f"/>
          </v:shape>
        </w:pic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#7.光谱响应曲线：峰值位于3</w:t>
      </w:r>
      <w:r>
        <w:rPr>
          <w:rFonts w:ascii="仿宋" w:eastAsia="仿宋" w:hAnsi="仿宋" w:cs="仿宋" w:hint="eastAsia"/>
          <w:sz w:val="28"/>
          <w:szCs w:val="20"/>
          <w:highlight w:val="yellow"/>
        </w:rPr>
        <w:t>μ</w:t>
      </w:r>
      <w:r>
        <w:rPr>
          <w:rFonts w:ascii="仿宋" w:eastAsia="仿宋" w:hAnsi="仿宋" w:cs="仿宋" w:hint="eastAsia"/>
          <w:sz w:val="28"/>
          <w:szCs w:val="20"/>
          <w:highlight w:val="yellow"/>
        </w:rPr>
        <w:t>m～5</w:t>
      </w:r>
      <w:r>
        <w:rPr>
          <w:rFonts w:ascii="仿宋" w:eastAsia="仿宋" w:hAnsi="仿宋" w:cs="仿宋" w:hint="eastAsia"/>
          <w:sz w:val="28"/>
          <w:szCs w:val="20"/>
          <w:highlight w:val="yellow"/>
        </w:rPr>
        <w:t>μ</w:t>
      </w:r>
      <w:r>
        <w:rPr>
          <w:rFonts w:ascii="仿宋" w:eastAsia="仿宋" w:hAnsi="仿宋" w:cs="仿宋" w:hint="eastAsia"/>
          <w:sz w:val="28"/>
          <w:szCs w:val="20"/>
          <w:highlight w:val="yellow"/>
        </w:rPr>
        <w:t>m之间，且峰值相对响应不低于0.8。</w:t>
      </w:r>
    </w:p>
    <w:p>
      <w:pPr>
        <w:spacing w:line="560" w:lineRule="exact"/>
        <w:ind w:firstLine="560" w:firstLineChars="200"/>
        <w:rPr>
          <w:rFonts w:ascii="仿宋" w:eastAsia="仿宋" w:hAnsi="仿宋" w:cs="仿宋" w:hint="eastAsia"/>
          <w:sz w:val="28"/>
          <w:szCs w:val="20"/>
          <w:highlight w:val="yellow"/>
        </w:rPr>
      </w:pPr>
      <w:r>
        <w:rPr>
          <w:rFonts w:ascii="仿宋" w:eastAsia="仿宋" w:hAnsi="仿宋" w:cs="仿宋" w:hint="eastAsia"/>
          <w:sz w:val="28"/>
          <w:szCs w:val="20"/>
          <w:highlight w:val="yellow"/>
        </w:rPr>
        <w:t>#8.探测灵敏度：焦平面噪声等效温差（</w:t>
      </w:r>
      <w:r>
        <w:rPr>
          <w:rFonts w:ascii="仿宋" w:eastAsia="仿宋" w:hAnsi="仿宋" w:cs="仿宋"/>
          <w:sz w:val="28"/>
          <w:szCs w:val="20"/>
          <w:highlight w:val="yellow"/>
        </w:rPr>
        <w:t>NETD</w:t>
      </w:r>
      <w:r>
        <w:rPr>
          <w:rFonts w:ascii="仿宋" w:eastAsia="仿宋" w:hAnsi="仿宋" w:cs="仿宋" w:hint="eastAsia"/>
          <w:sz w:val="28"/>
          <w:szCs w:val="20"/>
          <w:highlight w:val="yellow"/>
        </w:rPr>
        <w:t>）</w:t>
      </w:r>
      <w:r>
        <w:rPr>
          <w:rFonts w:ascii="仿宋" w:eastAsia="仿宋" w:hAnsi="仿宋" w:cs="仿宋"/>
          <w:sz w:val="28"/>
          <w:szCs w:val="20"/>
          <w:highlight w:val="yellow"/>
        </w:rPr>
        <w:t>≤20mK</w:t>
      </w:r>
      <w:r>
        <w:rPr>
          <w:rFonts w:ascii="仿宋" w:eastAsia="仿宋" w:hAnsi="仿宋" w:cs="仿宋" w:hint="eastAsia"/>
          <w:sz w:val="28"/>
          <w:szCs w:val="20"/>
          <w:highlight w:val="yellow"/>
        </w:rPr>
        <w:t>（常温</w:t>
      </w:r>
      <w:r>
        <w:rPr>
          <w:rFonts w:ascii="仿宋" w:eastAsia="仿宋" w:hAnsi="仿宋" w:cs="仿宋"/>
          <w:sz w:val="28"/>
          <w:szCs w:val="20"/>
          <w:highlight w:val="yellow"/>
        </w:rPr>
        <w:t>25℃</w:t>
      </w:r>
      <w:r>
        <w:rPr>
          <w:rFonts w:ascii="仿宋" w:eastAsia="仿宋" w:hAnsi="仿宋" w:cs="仿宋" w:hint="eastAsia"/>
          <w:sz w:val="28"/>
          <w:szCs w:val="20"/>
          <w:highlight w:val="yellow"/>
        </w:rPr>
        <w:t>）或单传感器噪声等效功率（</w:t>
      </w:r>
      <w:r>
        <w:rPr>
          <w:rFonts w:ascii="仿宋" w:eastAsia="仿宋" w:hAnsi="仿宋" w:cs="仿宋"/>
          <w:sz w:val="28"/>
          <w:szCs w:val="20"/>
          <w:highlight w:val="yellow"/>
        </w:rPr>
        <w:t>NEP</w:t>
      </w:r>
      <w:r>
        <w:rPr>
          <w:rFonts w:ascii="仿宋" w:eastAsia="仿宋" w:hAnsi="仿宋" w:cs="仿宋" w:hint="eastAsia"/>
          <w:sz w:val="28"/>
          <w:szCs w:val="20"/>
          <w:highlight w:val="yellow"/>
        </w:rPr>
        <w:t>）</w:t>
      </w:r>
      <w:r>
        <w:rPr>
          <w:rFonts w:ascii="仿宋" w:eastAsia="仿宋" w:hAnsi="仿宋" w:cs="仿宋"/>
          <w:sz w:val="28"/>
          <w:szCs w:val="20"/>
          <w:highlight w:val="yellow"/>
        </w:rPr>
        <w:t>≤1×10</w:t>
      </w:r>
      <w:r>
        <w:rPr>
          <w:rFonts w:ascii="Cambria Math" w:eastAsia="仿宋" w:hAnsi="Cambria Math" w:cs="Cambria Math"/>
          <w:sz w:val="28"/>
          <w:szCs w:val="20"/>
          <w:highlight w:val="yellow"/>
        </w:rPr>
        <w:t>⁻¹⁰</w:t>
      </w:r>
      <w:r>
        <w:rPr>
          <w:rFonts w:ascii="仿宋" w:eastAsia="仿宋" w:hAnsi="仿宋" w:cs="仿宋"/>
          <w:sz w:val="28"/>
          <w:szCs w:val="20"/>
          <w:highlight w:val="yellow"/>
        </w:rPr>
        <w:t xml:space="preserve"> W</w:t>
      </w:r>
      <w:r>
        <w:rPr>
          <w:rFonts w:ascii="仿宋" w:eastAsia="仿宋" w:hAnsi="仿宋" w:cs="仿宋" w:hint="eastAsia"/>
          <w:sz w:val="28"/>
          <w:szCs w:val="20"/>
          <w:highlight w:val="yellow"/>
        </w:rPr>
        <w:t>。</w:t>
      </w:r>
    </w:p>
    <w:p>
      <w:pPr>
        <w:adjustRightInd w:val="0"/>
        <w:snapToGrid w:val="0"/>
        <w:spacing w:line="560" w:lineRule="exact"/>
        <w:ind w:firstLine="560" w:firstLineChars="200"/>
        <w:jc w:val="left"/>
        <w:rPr>
          <w:rFonts w:ascii="仿宋" w:eastAsia="仿宋" w:hAnsi="仿宋" w:cs="仿宋" w:hint="eastAsia"/>
          <w:sz w:val="28"/>
          <w:szCs w:val="20"/>
          <w:highlight w:val="yellow"/>
        </w:rPr>
      </w:pPr>
      <w:r>
        <w:rPr>
          <w:rFonts w:ascii="仿宋" w:eastAsia="仿宋" w:hAnsi="仿宋" w:cs="仿宋" w:hint="eastAsia"/>
          <w:sz w:val="28"/>
          <w:szCs w:val="20"/>
          <w:highlight w:val="yellow"/>
        </w:rPr>
        <w:t>#9.可见光像素：</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400万。</w:t>
      </w:r>
    </w:p>
    <w:p>
      <w:pPr>
        <w:adjustRightInd w:val="0"/>
        <w:snapToGrid w:val="0"/>
        <w:spacing w:line="560" w:lineRule="exact"/>
        <w:ind w:firstLine="560" w:firstLineChars="200"/>
        <w:jc w:val="left"/>
        <w:rPr>
          <w:rFonts w:ascii="仿宋" w:eastAsia="仿宋" w:hAnsi="仿宋" w:cs="仿宋"/>
          <w:sz w:val="28"/>
          <w:szCs w:val="20"/>
        </w:rPr>
      </w:pPr>
      <w:r>
        <w:rPr>
          <w:rFonts w:ascii="仿宋" w:eastAsia="仿宋" w:hAnsi="仿宋" w:cs="仿宋" w:hint="eastAsia"/>
          <w:sz w:val="28"/>
          <w:szCs w:val="20"/>
          <w:highlight w:val="yellow"/>
        </w:rPr>
        <w:t xml:space="preserve">#10.全面探测时间 </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7min。</w:t>
      </w:r>
    </w:p>
    <w:p>
      <w:pPr>
        <w:adjustRightInd w:val="0"/>
        <w:snapToGrid w:val="0"/>
        <w:spacing w:line="560" w:lineRule="exact"/>
        <w:ind w:firstLine="560" w:firstLineChars="200"/>
        <w:jc w:val="left"/>
        <w:rPr>
          <w:rFonts w:ascii="仿宋" w:eastAsia="仿宋" w:hAnsi="仿宋" w:cs="仿宋"/>
          <w:b/>
          <w:bCs/>
          <w:sz w:val="28"/>
          <w:szCs w:val="20"/>
        </w:rPr>
      </w:pPr>
      <w:r>
        <w:rPr>
          <w:rFonts w:ascii="仿宋" w:eastAsia="仿宋" w:hAnsi="仿宋" w:cs="仿宋" w:hint="eastAsia"/>
          <w:b/>
          <w:bCs/>
          <w:sz w:val="28"/>
          <w:szCs w:val="20"/>
        </w:rPr>
        <w:t>(三) 数据要求</w:t>
      </w:r>
    </w:p>
    <w:p>
      <w:pPr>
        <w:adjustRightInd w:val="0"/>
        <w:snapToGrid w:val="0"/>
        <w:spacing w:line="560" w:lineRule="exact"/>
        <w:ind w:firstLine="560" w:firstLineChars="200"/>
        <w:jc w:val="left"/>
        <w:rPr>
          <w:rFonts w:ascii="仿宋" w:eastAsia="仿宋" w:hAnsi="仿宋" w:cs="仿宋" w:hint="eastAsia"/>
          <w:sz w:val="28"/>
          <w:szCs w:val="20"/>
        </w:rPr>
      </w:pPr>
      <w:r>
        <w:rPr>
          <w:rFonts w:ascii="仿宋" w:eastAsia="仿宋" w:hAnsi="仿宋" w:cs="仿宋" w:hint="eastAsia"/>
          <w:sz w:val="28"/>
          <w:szCs w:val="20"/>
        </w:rPr>
        <w:t>供应商提供的林草热源点红外监测仪应能够按照设备功能规格需求书要求完成林草热源点报警数据的识别和上传以及支持对现场视频流的实时监控推流和查看，</w:t>
      </w:r>
      <w:r>
        <w:rPr>
          <w:rFonts w:ascii="仿宋" w:eastAsia="仿宋" w:hAnsi="仿宋" w:cs="仿宋"/>
          <w:sz w:val="28"/>
          <w:szCs w:val="20"/>
        </w:rPr>
        <w:t>视频查看功能与文件传输过程需相互独立，互不干扰</w:t>
      </w:r>
      <w:r>
        <w:rPr>
          <w:rFonts w:ascii="仿宋" w:eastAsia="仿宋" w:hAnsi="仿宋" w:cs="仿宋" w:hint="eastAsia"/>
          <w:sz w:val="28"/>
          <w:szCs w:val="20"/>
        </w:rPr>
        <w:t>。供应商提供的林草热源点红外监测仪需要配置足够空间的存储器（存储空间不少于128G），能够存储不少于90天的热源点识别数据、视频、图片数据等。存储具有掉电保存能力，采用循环存储结构，允许最新的数据覆盖旧数据。同时，设备应支持有线或无线网络传输方式，实现与中心站的数据通信功能。在没有网络信号覆盖的地区，设备可支持扩展连接网桥或微波通信，实现无地面网络覆盖下的数据传输。</w:t>
      </w:r>
    </w:p>
    <w:p>
      <w:pPr>
        <w:numPr>
          <w:ilvl w:val="0"/>
          <w:numId w:val="6"/>
        </w:num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质保服务要求</w:t>
      </w:r>
    </w:p>
    <w:p>
      <w:pPr>
        <w:autoSpaceDE w:val="0"/>
        <w:adjustRightInd w:val="0"/>
        <w:snapToGrid w:val="0"/>
        <w:spacing w:line="560" w:lineRule="exact"/>
        <w:ind w:firstLine="560" w:firstLineChars="200"/>
        <w:jc w:val="left"/>
        <w:rPr>
          <w:rFonts w:ascii="仿宋" w:eastAsia="仿宋" w:hAnsi="仿宋" w:cs="仿宋" w:hint="eastAsia"/>
          <w:sz w:val="28"/>
          <w:szCs w:val="20"/>
        </w:rPr>
      </w:pPr>
      <w:r>
        <w:rPr>
          <w:rFonts w:ascii="仿宋" w:eastAsia="仿宋" w:hAnsi="仿宋" w:cs="Times New Roman" w:hint="eastAsia"/>
          <w:sz w:val="28"/>
          <w:szCs w:val="28"/>
        </w:rPr>
        <w:t>供应商按照业务运行规范要求执行，确保设备可稳定运行，主要包括巡检、巡查工作，以及关键器件及系统故障的维修等。故障维修和巡检巡查等需按照《</w:t>
      </w:r>
      <w:r>
        <w:rPr>
          <w:rFonts w:ascii="仿宋" w:eastAsia="仿宋" w:hAnsi="仿宋" w:cs="Times New Roman" w:hint="eastAsia"/>
          <w:sz w:val="28"/>
          <w:szCs w:val="28"/>
        </w:rPr>
        <w:t>“</w:t>
      </w:r>
      <w:r>
        <w:rPr>
          <w:rFonts w:ascii="仿宋" w:eastAsia="仿宋" w:hAnsi="仿宋" w:cs="Times New Roman" w:hint="eastAsia"/>
          <w:sz w:val="28"/>
          <w:szCs w:val="28"/>
        </w:rPr>
        <w:t>十四五</w:t>
      </w:r>
      <w:r>
        <w:rPr>
          <w:rFonts w:ascii="仿宋" w:eastAsia="仿宋" w:hAnsi="仿宋" w:cs="Times New Roman" w:hint="eastAsia"/>
          <w:sz w:val="28"/>
          <w:szCs w:val="28"/>
        </w:rPr>
        <w:t>”</w:t>
      </w:r>
      <w:r>
        <w:rPr>
          <w:rFonts w:ascii="仿宋" w:eastAsia="仿宋" w:hAnsi="仿宋" w:cs="Times New Roman" w:hint="eastAsia"/>
          <w:sz w:val="28"/>
          <w:szCs w:val="28"/>
        </w:rPr>
        <w:t>期间综合观测类工程项目新上设备建设及质保指导意见》中</w:t>
      </w:r>
      <w:r>
        <w:rPr>
          <w:rFonts w:ascii="仿宋" w:eastAsia="仿宋" w:hAnsi="仿宋" w:cs="Times New Roman" w:hint="eastAsia"/>
          <w:sz w:val="28"/>
          <w:szCs w:val="28"/>
        </w:rPr>
        <w:t>“</w:t>
      </w:r>
      <w:r>
        <w:rPr>
          <w:rFonts w:ascii="仿宋" w:eastAsia="仿宋" w:hAnsi="仿宋" w:cs="Times New Roman" w:hint="eastAsia"/>
          <w:sz w:val="28"/>
          <w:szCs w:val="28"/>
        </w:rPr>
        <w:t>森林火险气象自动观测系统</w:t>
      </w:r>
      <w:r>
        <w:rPr>
          <w:rFonts w:ascii="仿宋" w:eastAsia="仿宋" w:hAnsi="仿宋" w:cs="Times New Roman" w:hint="eastAsia"/>
          <w:sz w:val="28"/>
          <w:szCs w:val="28"/>
        </w:rPr>
        <w:t>”</w:t>
      </w:r>
      <w:r>
        <w:rPr>
          <w:rFonts w:ascii="仿宋" w:eastAsia="仿宋" w:hAnsi="仿宋" w:cs="Times New Roman" w:hint="eastAsia"/>
          <w:sz w:val="28"/>
          <w:szCs w:val="28"/>
        </w:rPr>
        <w:t>采购要求中相关要求执行，并提供相关承诺函。</w:t>
      </w:r>
    </w:p>
    <w:p>
      <w:pPr>
        <w:numPr>
          <w:ilvl w:val="0"/>
          <w:numId w:val="7"/>
        </w:num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供应商将所有设备运送到招标人指定地点（运输相关费用由供应商负责），并负责安装调试。</w:t>
      </w:r>
    </w:p>
    <w:p>
      <w:pPr>
        <w:numPr>
          <w:ilvl w:val="0"/>
          <w:numId w:val="7"/>
        </w:numPr>
        <w:spacing w:line="560" w:lineRule="exact"/>
        <w:ind w:firstLine="560" w:firstLineChars="200"/>
        <w:rPr>
          <w:rFonts w:ascii="仿宋" w:eastAsia="仿宋" w:hAnsi="仿宋" w:cs="仿宋"/>
          <w:sz w:val="28"/>
          <w:szCs w:val="28"/>
        </w:rPr>
      </w:pPr>
      <w:r>
        <w:rPr>
          <w:rFonts w:ascii="仿宋" w:eastAsia="仿宋" w:hAnsi="仿宋" w:cs="仿宋" w:hint="eastAsia"/>
          <w:sz w:val="28"/>
          <w:szCs w:val="20"/>
          <w:highlight w:val="yellow"/>
        </w:rPr>
        <w:t>*</w:t>
      </w:r>
      <w:r>
        <w:rPr>
          <w:rFonts w:ascii="仿宋" w:eastAsia="仿宋" w:hAnsi="仿宋" w:cs="仿宋"/>
          <w:sz w:val="28"/>
          <w:szCs w:val="20"/>
          <w:highlight w:val="yellow"/>
        </w:rPr>
        <w:t>质保期：8年</w:t>
      </w:r>
      <w:r>
        <w:rPr>
          <w:rFonts w:ascii="仿宋" w:eastAsia="仿宋" w:hAnsi="仿宋" w:cs="仿宋"/>
          <w:sz w:val="28"/>
          <w:szCs w:val="20"/>
        </w:rPr>
        <w:t>，供应商需对质保期（保内、保外）政策进行阐述或承诺，列明有偿服务和无偿服务内容</w:t>
      </w:r>
      <w:r>
        <w:rPr>
          <w:rFonts w:ascii="仿宋" w:eastAsia="仿宋" w:hAnsi="仿宋" w:cs="仿宋" w:hint="eastAsia"/>
          <w:sz w:val="28"/>
          <w:szCs w:val="28"/>
        </w:rPr>
        <w:t>。</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（3）在质保期内， 设备供应商服务时间应为7×24小时，当投标产品或软件遭到损坏或出现故障时，要在用户报修之时起48小时内做出响应，开展维修维护工作，视情况双方协商设备恢复正常运行时限。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（4）质保期过后，供应商仍有义务提供技术服务（包括提供设备维护、备件等）。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五、技术培训</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hint="eastAsia"/>
          <w:sz w:val="28"/>
          <w:szCs w:val="28"/>
        </w:rPr>
        <w:t>中标人应免费向采购人提供培训，培训次数不少于5次，培训人次不少于20人次</w:t>
      </w:r>
      <w:r>
        <w:rPr>
          <w:rFonts w:ascii="仿宋" w:eastAsia="仿宋" w:hAnsi="仿宋" w:cs="仿宋" w:hint="eastAsia"/>
          <w:sz w:val="28"/>
          <w:szCs w:val="20"/>
        </w:rPr>
        <w:t>（达到熟练操作），免费向用户提供设备安装、调试以及日常维护培训。</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8"/>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（3）技术培训内容包括：设备工作原理、使用方法、日常维护及一般常见故障的诊断及排除等。</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（4）培训时免费提供完整的培训资料，其中包括使用说明、工作原理、技术图纸、注意事项、安装调试方法和维修指南等。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5）中标人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六、验收要求（检验考核要求等）</w:t>
      </w:r>
    </w:p>
    <w:p>
      <w:pPr>
        <w:ind w:firstLine="560" w:firstLineChars="200"/>
        <w:rPr>
          <w:rFonts w:ascii="Times New Roman" w:eastAsia="仿宋" w:hAnsi="Times New Roman" w:cs="Times New Roman"/>
          <w:sz w:val="28"/>
          <w:szCs w:val="20"/>
        </w:rPr>
      </w:pPr>
      <w:r>
        <w:rPr>
          <w:rFonts w:ascii="Times New Roman" w:eastAsia="仿宋" w:hAnsi="Times New Roman" w:cs="Times New Roman"/>
          <w:sz w:val="28"/>
          <w:szCs w:val="20"/>
        </w:rPr>
        <w:t>参照功能规格需求书、测试大纲，以及中国气象局最新业务管理规定等有关文件要求开展检验考核。</w:t>
      </w:r>
    </w:p>
    <w:p>
      <w:pPr>
        <w:numPr>
          <w:ilvl w:val="0"/>
          <w:numId w:val="8"/>
        </w:numPr>
        <w:ind w:firstLine="560" w:firstLineChars="200"/>
        <w:rPr>
          <w:rFonts w:ascii="仿宋" w:eastAsia="仿宋" w:hAnsi="仿宋" w:cs="仿宋"/>
          <w:sz w:val="28"/>
          <w:szCs w:val="20"/>
          <w:highlight w:val="yellow"/>
        </w:rPr>
      </w:pPr>
      <w:r>
        <w:rPr>
          <w:rFonts w:ascii="Times New Roman" w:eastAsia="仿宋" w:hAnsi="Times New Roman" w:cs="Times New Roman" w:hint="eastAsia"/>
          <w:sz w:val="28"/>
          <w:szCs w:val="20"/>
          <w:highlight w:val="yellow"/>
        </w:rPr>
        <w:t>提供的</w:t>
      </w:r>
      <w:r>
        <w:rPr>
          <w:rFonts w:ascii="仿宋" w:eastAsia="仿宋" w:hAnsi="仿宋" w:cs="仿宋" w:hint="eastAsia"/>
          <w:sz w:val="28"/>
          <w:szCs w:val="28"/>
          <w:highlight w:val="yellow"/>
        </w:rPr>
        <w:t>林草热源点红外监测仪</w:t>
      </w:r>
      <w:r>
        <w:rPr>
          <w:rFonts w:ascii="Times New Roman" w:eastAsia="仿宋" w:hAnsi="Times New Roman" w:cs="Times New Roman" w:hint="eastAsia"/>
          <w:sz w:val="28"/>
          <w:szCs w:val="20"/>
          <w:highlight w:val="yellow"/>
        </w:rPr>
        <w:t>需具备装备许可，否则验收为不合格，追究中标方的责任。</w:t>
      </w:r>
    </w:p>
    <w:p>
      <w:pPr>
        <w:numPr>
          <w:ilvl w:val="0"/>
          <w:numId w:val="8"/>
        </w:numPr>
        <w:ind w:firstLine="560" w:firstLineChars="200"/>
        <w:rPr>
          <w:rFonts w:ascii="Times New Roman" w:eastAsia="仿宋" w:hAnsi="Times New Roman" w:cs="Times New Roman"/>
          <w:sz w:val="28"/>
          <w:szCs w:val="20"/>
        </w:rPr>
      </w:pPr>
      <w:r>
        <w:rPr>
          <w:rFonts w:ascii="Times New Roman" w:eastAsia="仿宋" w:hAnsi="Times New Roman" w:cs="Times New Roman"/>
          <w:sz w:val="28"/>
          <w:szCs w:val="20"/>
        </w:rPr>
        <w:t>设备出厂前，采购人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numPr>
          <w:ilvl w:val="0"/>
          <w:numId w:val="8"/>
        </w:numPr>
        <w:ind w:firstLine="560" w:firstLineChars="200"/>
        <w:rPr>
          <w:rFonts w:ascii="Times New Roman" w:eastAsia="仿宋" w:hAnsi="Times New Roman" w:cs="Times New Roman"/>
          <w:sz w:val="28"/>
          <w:szCs w:val="20"/>
        </w:rPr>
      </w:pPr>
      <w:r>
        <w:rPr>
          <w:rFonts w:ascii="Times New Roman" w:eastAsia="仿宋" w:hAnsi="Times New Roman" w:cs="Times New Roman" w:hint="eastAsia"/>
          <w:sz w:val="28"/>
          <w:szCs w:val="20"/>
        </w:rPr>
        <w:t>设备安装、调试达到功能规格需求书规定的指标后，可根据验收规范进行初步验收。验收规范(包括项目、方式和测试仪器等)应由中标人提前1个月提交给采购人，采购人可根据合同及功能规格需求书和以及采购人的有关规定进行修改和补充，经双方确认后形成验收规范文件作为验收依据。初步验收测试合格后，双方签署初验合格协议，设备进入试运行期。</w:t>
      </w:r>
    </w:p>
    <w:p>
      <w:pPr>
        <w:numPr>
          <w:ilvl w:val="0"/>
          <w:numId w:val="8"/>
        </w:numPr>
        <w:ind w:firstLine="560" w:firstLineChars="200"/>
        <w:rPr>
          <w:rFonts w:ascii="Times New Roman" w:eastAsia="仿宋" w:hAnsi="Times New Roman" w:cs="Times New Roman" w:hint="eastAsia"/>
          <w:sz w:val="28"/>
          <w:szCs w:val="20"/>
        </w:rPr>
      </w:pPr>
      <w:r>
        <w:rPr>
          <w:rFonts w:ascii="Times New Roman" w:eastAsia="仿宋" w:hAnsi="Times New Roman" w:cs="Times New Roman" w:hint="eastAsia"/>
          <w:sz w:val="28"/>
          <w:szCs w:val="20"/>
        </w:rPr>
        <w:t>设备经过1个月试运行期，达到功能规格需求书的要求时，可进行最终验收。在试运行期间，由于设备质量等造成某些指标达不到要求，允许中标人更换或进行修复。</w:t>
      </w:r>
    </w:p>
    <w:p>
      <w:pPr>
        <w:numPr>
          <w:ilvl w:val="0"/>
          <w:numId w:val="8"/>
        </w:numPr>
        <w:ind w:firstLine="560" w:firstLineChars="200"/>
        <w:rPr>
          <w:rFonts w:ascii="Times New Roman" w:eastAsia="仿宋" w:hAnsi="Times New Roman" w:cs="Times New Roman"/>
          <w:sz w:val="28"/>
          <w:szCs w:val="20"/>
        </w:rPr>
      </w:pPr>
      <w:r>
        <w:rPr>
          <w:rFonts w:ascii="Times New Roman" w:eastAsia="仿宋" w:hAnsi="Times New Roman" w:cs="Times New Roman" w:hint="eastAsia"/>
          <w:sz w:val="28"/>
          <w:szCs w:val="20"/>
        </w:rPr>
        <w:t>设备安装调试和试运行结束后，采购人组织最终验收。当满足以下条件时，采购人确认验收合格签署验收合格证：</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1)供应商已提供合同中签署的全部货物及完整技术资料；</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hint="eastAsia"/>
          <w:sz w:val="28"/>
          <w:szCs w:val="20"/>
        </w:rPr>
        <w:t>2)货物符合技术规格，性能满足要求；</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hint="eastAsia"/>
          <w:sz w:val="28"/>
          <w:szCs w:val="20"/>
        </w:rPr>
        <w:t>3)安装工程符合技术要求，系统性能满足要求，设备正常运行。</w:t>
      </w:r>
    </w:p>
    <w:p>
      <w:pPr>
        <w:spacing w:line="560" w:lineRule="exact"/>
        <w:ind w:firstLine="560" w:firstLineChars="200"/>
        <w:rPr>
          <w:rFonts w:ascii="仿宋" w:eastAsia="仿宋" w:hAnsi="仿宋" w:cs="仿宋" w:hint="eastAsia"/>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4)供应商提供</w:t>
      </w:r>
      <w:r>
        <w:rPr>
          <w:rFonts w:ascii="仿宋" w:eastAsia="仿宋" w:hAnsi="仿宋" w:cs="仿宋"/>
          <w:sz w:val="28"/>
          <w:szCs w:val="20"/>
        </w:rPr>
        <w:t>1</w:t>
      </w:r>
      <w:r>
        <w:rPr>
          <w:rFonts w:ascii="仿宋" w:eastAsia="仿宋" w:hAnsi="仿宋" w:cs="仿宋" w:hint="eastAsia"/>
          <w:sz w:val="28"/>
          <w:szCs w:val="20"/>
        </w:rPr>
        <w:t>个月试运行报告。</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七、其他要求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outlineLvl w:val="1"/>
        <w:rPr>
          <w:rFonts w:hint="eastAsia"/>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25"/>
        <w:gridCol w:w="2227"/>
        <w:gridCol w:w="1026"/>
        <w:gridCol w:w="1426"/>
        <w:gridCol w:w="1626"/>
        <w:gridCol w:w="1026"/>
        <w:gridCol w:w="60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林草热源点红外监测仪</w:t>
            </w:r>
          </w:p>
        </w:tc>
        <w:tc>
          <w:tcPr/>
          <w:p>
            <w:pPr>
              <w:autoSpaceDE w:val="0"/>
              <w:jc w:val="center"/>
              <w:rPr>
                <w:rFonts w:asciiTheme="minorEastAsia" w:hAnsiTheme="minorEastAsia" w:cstheme="minorEastAsia"/>
                <w:kern w:val="0"/>
                <w:szCs w:val="21"/>
              </w:rPr>
            </w:pPr>
            <w:r>
              <w:t>53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31,535,000.00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31,535,000.00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58"/>
        <w:gridCol w:w="1792"/>
        <w:gridCol w:w="1276"/>
        <w:gridCol w:w="358"/>
        <w:gridCol w:w="817"/>
        <w:gridCol w:w="681"/>
        <w:gridCol w:w="1620"/>
        <w:gridCol w:w="162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大兴安岭地区气象局(001038036)</w:t>
            </w:r>
          </w:p>
        </w:tc>
        <w:tc>
          <w:tcPr/>
          <w:p>
            <w:r>
              <w:t>林草热源点红外监测仪</w:t>
            </w:r>
          </w:p>
        </w:tc>
        <w:tc>
          <w:tcPr/>
          <w:p>
            <w:r>
              <w:t>9</w:t>
            </w:r>
          </w:p>
        </w:tc>
        <w:tc>
          <w:tcPr/>
          <w:p>
            <w:r>
              <w:t>5355000.00</w:t>
            </w:r>
          </w:p>
        </w:tc>
        <w:tc>
          <w:tcPr>
            <w:vMerge w:val="restart"/>
          </w:tcPr>
          <w:p>
            <w:r>
              <w:t xml:space="preserve">5355000.00  </w:t>
            </w:r>
          </w:p>
        </w:tc>
        <w:tc>
          <w:tcPr/>
          <w:p>
            <w:r>
              <w:t>黑龙江省大兴安岭地区气象局</w:t>
            </w:r>
          </w:p>
        </w:tc>
        <w:tc>
          <w:tcPr/>
          <w:p>
            <w:r>
              <w:t>黑龙江省大兴安岭地区气象局-张金勇13845741341</w:t>
            </w:r>
          </w:p>
        </w:tc>
      </w:tr>
      <w:tr>
        <w:tblPrEx>
          <w:tblW w:w="5000" w:type="pct"/>
          <w:tblCellMar>
            <w:left w:w="108" w:type="dxa"/>
            <w:right w:w="108" w:type="dxa"/>
          </w:tblCellMar>
        </w:tblPrEx>
        <w:tc>
          <w:tcPr/>
          <w:p>
            <w:r>
              <w:t>2</w:t>
            </w:r>
          </w:p>
        </w:tc>
        <w:tc>
          <w:tcPr>
            <w:vMerge w:val="restart"/>
          </w:tcPr>
          <w:p>
            <w:r>
              <w:t>漠河市气象局(001038036014)</w:t>
            </w:r>
          </w:p>
        </w:tc>
        <w:tc>
          <w:tcPr/>
          <w:p>
            <w:r>
              <w:t>林草热源点红外监测仪</w:t>
            </w:r>
          </w:p>
        </w:tc>
        <w:tc>
          <w:tcPr/>
          <w:p>
            <w:r>
              <w:t>10</w:t>
            </w:r>
          </w:p>
        </w:tc>
        <w:tc>
          <w:tcPr/>
          <w:p>
            <w:r>
              <w:t>5950000.00</w:t>
            </w:r>
          </w:p>
        </w:tc>
        <w:tc>
          <w:tcPr>
            <w:vMerge w:val="restart"/>
          </w:tcPr>
          <w:p>
            <w:r>
              <w:t xml:space="preserve">5950000.00 </w:t>
            </w:r>
          </w:p>
        </w:tc>
        <w:tc>
          <w:tcPr/>
          <w:p>
            <w:r>
              <w:t>漠河市气象局</w:t>
            </w:r>
          </w:p>
        </w:tc>
        <w:tc>
          <w:tcPr/>
          <w:p>
            <w:r>
              <w:t>漠河市气象局-陈友山15945700090</w:t>
            </w:r>
          </w:p>
        </w:tc>
      </w:tr>
      <w:tr>
        <w:tblPrEx>
          <w:tblW w:w="5000" w:type="pct"/>
          <w:tblCellMar>
            <w:left w:w="108" w:type="dxa"/>
            <w:right w:w="108" w:type="dxa"/>
          </w:tblCellMar>
        </w:tblPrEx>
        <w:tc>
          <w:tcPr/>
          <w:p>
            <w:r>
              <w:t>3</w:t>
            </w:r>
          </w:p>
        </w:tc>
        <w:tc>
          <w:tcPr/>
          <w:p>
            <w:r>
              <w:t>塔河县气象局(001038036015)</w:t>
            </w:r>
          </w:p>
        </w:tc>
        <w:tc>
          <w:tcPr/>
          <w:p>
            <w:r>
              <w:t>林草热源点红外监测仪</w:t>
            </w:r>
          </w:p>
        </w:tc>
        <w:tc>
          <w:tcPr/>
          <w:p>
            <w:r>
              <w:t>8</w:t>
            </w:r>
          </w:p>
        </w:tc>
        <w:tc>
          <w:tcPr/>
          <w:p>
            <w:r>
              <w:t>4760000.00</w:t>
            </w:r>
          </w:p>
        </w:tc>
        <w:tc>
          <w:tcPr/>
          <w:p>
            <w:r>
              <w:t xml:space="preserve">4760000.00  </w:t>
            </w:r>
          </w:p>
        </w:tc>
        <w:tc>
          <w:tcPr/>
          <w:p>
            <w:r>
              <w:t>黑龙江省塔河县气象局</w:t>
            </w:r>
          </w:p>
        </w:tc>
        <w:tc>
          <w:tcPr/>
          <w:p>
            <w:r>
              <w:t>黑龙江省塔河县气象局-刘磊-13845743418</w:t>
            </w:r>
          </w:p>
        </w:tc>
      </w:tr>
      <w:tr>
        <w:tblPrEx>
          <w:tblW w:w="5000" w:type="pct"/>
          <w:tblCellMar>
            <w:left w:w="108" w:type="dxa"/>
            <w:right w:w="108" w:type="dxa"/>
          </w:tblCellMar>
        </w:tblPrEx>
        <w:tc>
          <w:tcPr/>
          <w:p>
            <w:r>
              <w:t>4</w:t>
            </w:r>
          </w:p>
        </w:tc>
        <w:tc>
          <w:tcPr/>
          <w:p>
            <w:r>
              <w:t>呼玛县气象局(001038036016)</w:t>
            </w:r>
          </w:p>
        </w:tc>
        <w:tc>
          <w:tcPr/>
          <w:p>
            <w:r>
              <w:t>林草热源点红外监测仪</w:t>
            </w:r>
          </w:p>
        </w:tc>
        <w:tc>
          <w:tcPr/>
          <w:p>
            <w:r>
              <w:t>8</w:t>
            </w:r>
          </w:p>
        </w:tc>
        <w:tc>
          <w:tcPr/>
          <w:p>
            <w:r>
              <w:t>4760000.00</w:t>
            </w:r>
          </w:p>
        </w:tc>
        <w:tc>
          <w:tcPr/>
          <w:p>
            <w:r>
              <w:t xml:space="preserve">4760000.00 </w:t>
            </w:r>
          </w:p>
        </w:tc>
        <w:tc>
          <w:tcPr/>
          <w:p>
            <w:r>
              <w:t>呼玛县气象局</w:t>
            </w:r>
          </w:p>
        </w:tc>
        <w:tc>
          <w:tcPr/>
          <w:p>
            <w:r>
              <w:t>呼玛县气象局-侯方13555077534</w:t>
            </w:r>
          </w:p>
        </w:tc>
      </w:tr>
      <w:tr>
        <w:tblPrEx>
          <w:tblW w:w="5000" w:type="pct"/>
          <w:tblCellMar>
            <w:left w:w="108" w:type="dxa"/>
            <w:right w:w="108" w:type="dxa"/>
          </w:tblCellMar>
        </w:tblPrEx>
        <w:tc>
          <w:tcPr/>
          <w:p>
            <w:r>
              <w:t>5</w:t>
            </w:r>
          </w:p>
        </w:tc>
        <w:tc>
          <w:tcPr/>
          <w:p>
            <w:r>
              <w:t>呼中区气象局(001038036017)</w:t>
            </w:r>
          </w:p>
        </w:tc>
        <w:tc>
          <w:tcPr/>
          <w:p>
            <w:r>
              <w:t>林草热源点红外监测仪</w:t>
            </w:r>
          </w:p>
        </w:tc>
        <w:tc>
          <w:tcPr/>
          <w:p>
            <w:r>
              <w:t>10</w:t>
            </w:r>
          </w:p>
        </w:tc>
        <w:tc>
          <w:tcPr/>
          <w:p>
            <w:r>
              <w:t>5950000.00</w:t>
            </w:r>
          </w:p>
        </w:tc>
        <w:tc>
          <w:tcPr/>
          <w:p>
            <w:r>
              <w:t xml:space="preserve">5950000.00  </w:t>
            </w:r>
          </w:p>
        </w:tc>
        <w:tc>
          <w:tcPr/>
          <w:p>
            <w:r>
              <w:t>黑龙江省呼中区气象局</w:t>
            </w:r>
          </w:p>
        </w:tc>
        <w:tc>
          <w:tcPr/>
          <w:p>
            <w:r>
              <w:t>黑龙江省呼中区气象局-齐振洋13846571982</w:t>
            </w:r>
          </w:p>
        </w:tc>
      </w:tr>
      <w:tr>
        <w:tblPrEx>
          <w:tblW w:w="5000" w:type="pct"/>
          <w:tblCellMar>
            <w:left w:w="108" w:type="dxa"/>
            <w:right w:w="108" w:type="dxa"/>
          </w:tblCellMar>
        </w:tblPrEx>
        <w:tc>
          <w:tcPr/>
          <w:p>
            <w:r>
              <w:t>6</w:t>
            </w:r>
          </w:p>
        </w:tc>
        <w:tc>
          <w:tcPr/>
          <w:p>
            <w:r>
              <w:t>新林区气象局(001038036018)</w:t>
            </w:r>
          </w:p>
        </w:tc>
        <w:tc>
          <w:tcPr/>
          <w:p>
            <w:r>
              <w:t>林草热源点红外监测仪</w:t>
            </w:r>
          </w:p>
        </w:tc>
        <w:tc>
          <w:tcPr/>
          <w:p>
            <w:r>
              <w:t>8</w:t>
            </w:r>
          </w:p>
        </w:tc>
        <w:tc>
          <w:tcPr/>
          <w:p>
            <w:r>
              <w:t>4760000.00</w:t>
            </w:r>
          </w:p>
        </w:tc>
        <w:tc>
          <w:tcPr/>
          <w:p>
            <w:r>
              <w:t xml:space="preserve">4760000.00 </w:t>
            </w:r>
          </w:p>
        </w:tc>
        <w:tc>
          <w:tcPr/>
          <w:p>
            <w:r>
              <w:t>黑龙江省新林区气象局</w:t>
            </w:r>
          </w:p>
        </w:tc>
        <w:tc>
          <w:tcPr/>
          <w:p>
            <w:r>
              <w:t>黑龙江省新林区气象局-吴微13845755330</w:t>
            </w: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keepNext w:val="0"/>
        <w:keepLines w:val="0"/>
        <w:pageBreakBefore w:val="0"/>
        <w:widowControl w:val="0"/>
        <w:kinsoku/>
        <w:wordWrap/>
        <w:overflowPunct/>
        <w:topLinePunct w:val="0"/>
        <w:autoSpaceDE/>
        <w:autoSpaceDN/>
        <w:bidi w:val="0"/>
        <w:adjustRightInd/>
        <w:snapToGrid/>
        <w:spacing w:after="120" w:line="360" w:lineRule="auto"/>
        <w:ind w:firstLine="480" w:firstLineChars="200"/>
        <w:jc w:val="left"/>
        <w:textAlignment w:val="auto"/>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sz w:val="24"/>
          <w:szCs w:val="28"/>
          <w:highlight w:val="none"/>
          <w:u w:val="none"/>
        </w:rPr>
        <w:t>为深入贯彻落实习近平总书记关于气象工作的重要指示精神，着力推进观测站网、运行保障、观测产品等高质量发展，进一步强化气象监测预警能力。依据《综合气象观测业务发展“十四五”规划》《2025年黑龙江省大兴安岭地区森林火险气象自动观测系统建设项目可行性研究报告》</w:t>
      </w:r>
      <w:r>
        <w:rPr>
          <w:rFonts w:ascii="宋体" w:eastAsia="宋体" w:hAnsi="宋体" w:cs="宋体" w:hint="eastAsia"/>
          <w:b w:val="0"/>
          <w:i w:val="0"/>
          <w:strike w:val="0"/>
          <w:color w:val="auto"/>
          <w:sz w:val="24"/>
          <w:szCs w:val="28"/>
          <w:highlight w:val="none"/>
          <w:u w:val="none"/>
          <w:lang w:val="en-US" w:eastAsia="zh-CN"/>
        </w:rPr>
        <w:t>等文件</w:t>
      </w:r>
      <w:r>
        <w:rPr>
          <w:rFonts w:ascii="宋体" w:eastAsia="宋体" w:hAnsi="宋体" w:cs="宋体" w:hint="eastAsia"/>
          <w:b w:val="0"/>
          <w:i w:val="0"/>
          <w:strike w:val="0"/>
          <w:color w:val="auto"/>
          <w:sz w:val="24"/>
          <w:szCs w:val="28"/>
          <w:highlight w:val="none"/>
          <w:u w:val="none"/>
        </w:rPr>
        <w:t>，在黑龙江省</w:t>
      </w:r>
      <w:r>
        <w:rPr>
          <w:rFonts w:ascii="宋体" w:eastAsia="宋体" w:hAnsi="宋体" w:cs="宋体" w:hint="eastAsia"/>
          <w:b w:val="0"/>
          <w:i w:val="0"/>
          <w:strike w:val="0"/>
          <w:color w:val="auto"/>
          <w:sz w:val="24"/>
          <w:szCs w:val="28"/>
          <w:highlight w:val="none"/>
          <w:u w:val="none"/>
          <w:lang w:val="en-US" w:eastAsia="zh-CN"/>
        </w:rPr>
        <w:t>大兴安岭地区加格达奇区、漠河市、塔河县、呼玛县、呼中区和新林区共</w:t>
      </w:r>
      <w:r>
        <w:rPr>
          <w:rFonts w:ascii="宋体" w:eastAsia="宋体" w:hAnsi="宋体" w:cs="宋体" w:hint="eastAsia"/>
          <w:b w:val="0"/>
          <w:i w:val="0"/>
          <w:strike w:val="0"/>
          <w:color w:val="auto"/>
          <w:sz w:val="24"/>
          <w:szCs w:val="28"/>
          <w:highlight w:val="none"/>
          <w:u w:val="none"/>
        </w:rPr>
        <w:t>建设</w:t>
      </w:r>
      <w:r>
        <w:rPr>
          <w:rFonts w:ascii="宋体" w:eastAsia="宋体" w:hAnsi="宋体" w:cs="宋体" w:hint="eastAsia"/>
          <w:b w:val="0"/>
          <w:i w:val="0"/>
          <w:strike w:val="0"/>
          <w:color w:val="auto"/>
          <w:sz w:val="24"/>
          <w:szCs w:val="28"/>
          <w:highlight w:val="none"/>
          <w:u w:val="none"/>
          <w:lang w:val="en-US" w:eastAsia="zh-CN"/>
        </w:rPr>
        <w:t>53</w:t>
      </w:r>
      <w:r>
        <w:rPr>
          <w:rFonts w:ascii="宋体" w:eastAsia="宋体" w:hAnsi="宋体" w:cs="宋体" w:hint="eastAsia"/>
          <w:b w:val="0"/>
          <w:i w:val="0"/>
          <w:strike w:val="0"/>
          <w:color w:val="auto"/>
          <w:sz w:val="24"/>
          <w:szCs w:val="28"/>
          <w:highlight w:val="none"/>
          <w:u w:val="none"/>
        </w:rPr>
        <w:t>套林草热源点红外监测仪，黑龙江省</w:t>
      </w:r>
      <w:r>
        <w:rPr>
          <w:rFonts w:ascii="宋体" w:eastAsia="宋体" w:hAnsi="宋体" w:cs="宋体" w:hint="eastAsia"/>
          <w:b w:val="0"/>
          <w:i w:val="0"/>
          <w:strike w:val="0"/>
          <w:color w:val="auto"/>
          <w:sz w:val="24"/>
          <w:szCs w:val="28"/>
          <w:highlight w:val="none"/>
          <w:u w:val="none"/>
          <w:lang w:val="en-US" w:eastAsia="zh-CN"/>
        </w:rPr>
        <w:t>大兴安岭地区</w:t>
      </w:r>
      <w:r>
        <w:rPr>
          <w:rFonts w:ascii="宋体" w:eastAsia="宋体" w:hAnsi="宋体" w:cs="宋体" w:hint="eastAsia"/>
          <w:b w:val="0"/>
          <w:i w:val="0"/>
          <w:strike w:val="0"/>
          <w:color w:val="auto"/>
          <w:sz w:val="24"/>
          <w:szCs w:val="28"/>
          <w:highlight w:val="none"/>
          <w:u w:val="none"/>
        </w:rPr>
        <w:t>林草热源站点空白区得以有效弥补，</w:t>
      </w:r>
      <w:r>
        <w:rPr>
          <w:rFonts w:ascii="宋体" w:eastAsia="宋体" w:hAnsi="宋体" w:cs="宋体" w:hint="eastAsia"/>
          <w:b w:val="0"/>
          <w:i w:val="0"/>
          <w:strike w:val="0"/>
          <w:color w:val="auto"/>
          <w:sz w:val="24"/>
          <w:szCs w:val="28"/>
          <w:highlight w:val="none"/>
          <w:u w:val="none"/>
          <w:lang w:val="en-US" w:eastAsia="zh-CN"/>
        </w:rPr>
        <w:t>林草热源点红外监测仪</w:t>
      </w:r>
      <w:r>
        <w:rPr>
          <w:rFonts w:ascii="宋体" w:eastAsia="宋体" w:hAnsi="宋体" w:cs="宋体" w:hint="eastAsia"/>
          <w:b w:val="0"/>
          <w:i w:val="0"/>
          <w:strike w:val="0"/>
          <w:color w:val="auto"/>
          <w:sz w:val="24"/>
          <w:szCs w:val="28"/>
          <w:highlight w:val="none"/>
          <w:u w:val="none"/>
        </w:rPr>
        <w:t>能实时监测，及时发现火灾隐患，为防范重大火灾提供有力支持；及时防控火灾，保护生态系统的完整性和稳定性，为生物提供良好的生存环境，维护生物的多样性；能够降低火灾发生的可能性，减少因火灾带来的经济损失，保障经济的稳定发展。</w:t>
      </w:r>
    </w:p>
    <w:p>
      <w:pPr>
        <w:ind w:firstLine="560" w:firstLineChars="200"/>
        <w:rPr>
          <w:rFonts w:ascii="仿宋" w:eastAsia="仿宋" w:hAnsi="仿宋" w:cs="仿宋" w:hint="eastAsia"/>
          <w:b/>
          <w:bCs/>
          <w:sz w:val="28"/>
          <w:szCs w:val="20"/>
        </w:rPr>
      </w:pPr>
      <w:r>
        <w:rPr>
          <w:rFonts w:ascii="仿宋" w:eastAsia="仿宋" w:hAnsi="仿宋" w:cs="仿宋" w:hint="eastAsia"/>
          <w:b/>
          <w:bCs/>
          <w:sz w:val="28"/>
          <w:szCs w:val="20"/>
        </w:rPr>
        <w:t>二、售后服务要求</w:t>
      </w:r>
      <w:r>
        <w:rPr>
          <w:rFonts w:ascii="仿宋" w:eastAsia="仿宋" w:hAnsi="仿宋" w:cs="仿宋" w:hint="eastAsia"/>
          <w:b/>
          <w:bCs/>
          <w:sz w:val="28"/>
          <w:szCs w:val="20"/>
          <w:lang w:eastAsia="zh-CN"/>
        </w:rPr>
        <w:t>（</w:t>
      </w:r>
      <w:r>
        <w:rPr>
          <w:rFonts w:ascii="仿宋" w:eastAsia="仿宋" w:hAnsi="仿宋" w:cs="仿宋" w:hint="eastAsia"/>
          <w:b/>
          <w:bCs/>
          <w:sz w:val="28"/>
          <w:szCs w:val="20"/>
          <w:lang w:val="en-US" w:eastAsia="zh-CN"/>
        </w:rPr>
        <w:t>以此为准</w:t>
      </w:r>
      <w:r>
        <w:rPr>
          <w:rFonts w:ascii="仿宋" w:eastAsia="仿宋" w:hAnsi="仿宋" w:cs="仿宋" w:hint="eastAsia"/>
          <w:b/>
          <w:bCs/>
          <w:sz w:val="28"/>
          <w:szCs w:val="20"/>
          <w:lang w:eastAsia="zh-CN"/>
        </w:rPr>
        <w:t>）</w:t>
      </w:r>
    </w:p>
    <w:p>
      <w:pPr>
        <w:keepNext w:val="0"/>
        <w:keepLines w:val="0"/>
        <w:pageBreakBefore w:val="0"/>
        <w:widowControl w:val="0"/>
        <w:kinsoku/>
        <w:wordWrap/>
        <w:overflowPunct/>
        <w:topLinePunct w:val="0"/>
        <w:autoSpaceDE/>
        <w:autoSpaceDN/>
        <w:bidi w:val="0"/>
        <w:adjustRightInd/>
        <w:snapToGrid/>
        <w:spacing w:after="120" w:line="360" w:lineRule="auto"/>
        <w:ind w:firstLine="480" w:firstLineChars="200"/>
        <w:jc w:val="left"/>
        <w:textAlignment w:val="auto"/>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kern w:val="2"/>
          <w:sz w:val="24"/>
          <w:szCs w:val="28"/>
          <w:highlight w:val="none"/>
          <w:u w:val="none"/>
          <w:lang w:val="en-US" w:eastAsia="zh-CN" w:bidi="ar-SA"/>
        </w:rPr>
        <w:t>供应商按照业务运行规范要求执行，确保设备可稳定运行至少8年，主要包括安装场地（观测塔要与附近建筑留出40米安全距离。观测塔观测平台应高于监控区域内最高的树冠或遮挡物5 m以上。）使用、通讯、供电、巡检、巡查等工作，以及关键器件及系统故障的维修等。故障维修和巡检巡查等需按照《“十四五”期间综合观测类工程项目新上设备建设及质保指导意见》中“森林火险气象自动观测系统”采购要求中相关要求执行，并提供相关承诺函。</w:t>
      </w:r>
    </w:p>
    <w:p>
      <w:pPr>
        <w:keepNext w:val="0"/>
        <w:keepLines w:val="0"/>
        <w:pageBreakBefore w:val="0"/>
        <w:widowControl w:val="0"/>
        <w:kinsoku/>
        <w:wordWrap/>
        <w:overflowPunct/>
        <w:topLinePunct w:val="0"/>
        <w:autoSpaceDE/>
        <w:autoSpaceDN/>
        <w:bidi w:val="0"/>
        <w:adjustRightInd/>
        <w:snapToGrid/>
        <w:spacing w:after="120" w:line="360" w:lineRule="auto"/>
        <w:ind w:firstLine="480" w:firstLineChars="200"/>
        <w:jc w:val="left"/>
        <w:textAlignment w:val="auto"/>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kern w:val="2"/>
          <w:sz w:val="24"/>
          <w:szCs w:val="28"/>
          <w:highlight w:val="none"/>
          <w:u w:val="none"/>
          <w:lang w:val="en-US" w:eastAsia="zh-CN" w:bidi="ar-SA"/>
        </w:rPr>
        <w:t>（1）供应商将所有设备运送到招标人指定地点（运输相关费用由供应商负责），并负责安装调试；用户方协助联系安装场地、供电及通讯，设备安装调试、验收等相关工作，相关费用由供应商负责。</w:t>
      </w:r>
    </w:p>
    <w:p>
      <w:pPr>
        <w:keepNext w:val="0"/>
        <w:keepLines w:val="0"/>
        <w:pageBreakBefore w:val="0"/>
        <w:widowControl w:val="0"/>
        <w:kinsoku/>
        <w:wordWrap/>
        <w:overflowPunct/>
        <w:topLinePunct w:val="0"/>
        <w:autoSpaceDE/>
        <w:autoSpaceDN/>
        <w:bidi w:val="0"/>
        <w:adjustRightInd/>
        <w:snapToGrid/>
        <w:spacing w:after="120" w:line="360" w:lineRule="auto"/>
        <w:ind w:firstLine="480" w:firstLineChars="200"/>
        <w:jc w:val="left"/>
        <w:textAlignment w:val="auto"/>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kern w:val="2"/>
          <w:sz w:val="24"/>
          <w:szCs w:val="28"/>
          <w:highlight w:val="none"/>
          <w:u w:val="none"/>
          <w:lang w:val="en-US" w:eastAsia="zh-CN" w:bidi="ar-SA"/>
        </w:rPr>
        <w:t>（2）运行和质量保障期：8年，设备供应商对所有设备提供自验收合格后8年的运行保障和质量保障服务，免费维护维修服务，并提供相关承诺函，且满足《“十四五”期间综合观测类工程项目新上设备建设及质保指导意见》对设备与8年质保服务费、工程建设其他费用、备品备件、故障维修、巡检巡查的所有要求。运行期保障费以实际为准【包括但不限于安装场地（观测塔要与附近建筑留出40米安全距离，观测塔观测平台应高于监控区域内最高的树冠或遮挡物5 m以上）使用、通讯、供电等相关费用】；质保费用原则上不低于应标价的20%，中标单位按照甲</w:t>
      </w:r>
      <w:r>
        <w:rPr>
          <w:rFonts w:ascii="宋体" w:eastAsia="宋体" w:hAnsi="宋体" w:cs="宋体" w:hint="eastAsia"/>
          <w:b w:val="0"/>
          <w:i w:val="0"/>
          <w:strike w:val="0"/>
          <w:color w:val="auto"/>
          <w:kern w:val="2"/>
          <w:sz w:val="24"/>
          <w:szCs w:val="28"/>
          <w:highlight w:val="none"/>
          <w:u w:val="none"/>
          <w:lang w:val="en-US" w:eastAsia="zh-CN" w:bidi="ar-SA"/>
        </w:rPr>
        <w:t>乙双方合同约定事宜完成任务。按照业务运行规范要求执行，确保设备可稳定运行。供应商需对运行和质保期（保内、保外）政策进行阐述或承诺，列明有偿服务和无偿服务内容。</w:t>
      </w:r>
    </w:p>
    <w:p>
      <w:pPr>
        <w:keepNext w:val="0"/>
        <w:keepLines w:val="0"/>
        <w:pageBreakBefore w:val="0"/>
        <w:widowControl w:val="0"/>
        <w:kinsoku/>
        <w:wordWrap/>
        <w:overflowPunct/>
        <w:topLinePunct w:val="0"/>
        <w:autoSpaceDE/>
        <w:autoSpaceDN/>
        <w:bidi w:val="0"/>
        <w:adjustRightInd/>
        <w:snapToGrid/>
        <w:spacing w:after="120" w:line="360" w:lineRule="auto"/>
        <w:ind w:firstLine="480" w:firstLineChars="200"/>
        <w:jc w:val="left"/>
        <w:textAlignment w:val="auto"/>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kern w:val="2"/>
          <w:sz w:val="24"/>
          <w:szCs w:val="28"/>
          <w:highlight w:val="none"/>
          <w:u w:val="none"/>
          <w:lang w:val="en-US" w:eastAsia="zh-CN" w:bidi="ar-SA"/>
        </w:rPr>
        <w:t>（3）在运行和质量保障期内， 设备供应商服务时间应为7×24小时，当投标产品或软件遭到损坏或出现故障时，要在用户报修之时起48小时内做出响应，开展维修维护工作，视情况双方协商设备恢复正常运行时限。</w:t>
      </w:r>
    </w:p>
    <w:p>
      <w:pPr>
        <w:keepNext w:val="0"/>
        <w:keepLines w:val="0"/>
        <w:pageBreakBefore w:val="0"/>
        <w:widowControl w:val="0"/>
        <w:kinsoku/>
        <w:wordWrap/>
        <w:overflowPunct/>
        <w:topLinePunct w:val="0"/>
        <w:autoSpaceDE/>
        <w:autoSpaceDN/>
        <w:bidi w:val="0"/>
        <w:adjustRightInd/>
        <w:snapToGrid/>
        <w:spacing w:after="120" w:line="360" w:lineRule="auto"/>
        <w:ind w:firstLine="480" w:firstLineChars="200"/>
        <w:jc w:val="left"/>
        <w:textAlignment w:val="auto"/>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kern w:val="2"/>
          <w:sz w:val="24"/>
          <w:szCs w:val="28"/>
          <w:highlight w:val="none"/>
          <w:u w:val="none"/>
          <w:lang w:val="en-US" w:eastAsia="zh-CN" w:bidi="ar-SA"/>
        </w:rPr>
        <w:t>（4）运行和质量保障期过后，供应商仍有义务提供技术服务（包括提供设备维护、备件等）。</w:t>
      </w:r>
    </w:p>
    <w:p>
      <w:pPr>
        <w:keepNext w:val="0"/>
        <w:keepLines w:val="0"/>
        <w:pageBreakBefore w:val="0"/>
        <w:widowControl w:val="0"/>
        <w:kinsoku/>
        <w:wordWrap/>
        <w:overflowPunct/>
        <w:topLinePunct w:val="0"/>
        <w:autoSpaceDE/>
        <w:autoSpaceDN/>
        <w:bidi w:val="0"/>
        <w:adjustRightInd/>
        <w:snapToGrid/>
        <w:spacing w:after="120" w:line="360" w:lineRule="auto"/>
        <w:ind w:firstLine="560" w:firstLineChars="200"/>
        <w:jc w:val="left"/>
        <w:textAlignment w:val="auto"/>
        <w:rPr>
          <w:rFonts w:ascii="仿宋" w:eastAsia="仿宋" w:hAnsi="仿宋" w:cs="仿宋"/>
          <w:b/>
          <w:bCs/>
          <w:sz w:val="28"/>
          <w:szCs w:val="20"/>
        </w:rPr>
      </w:pPr>
      <w:r>
        <w:rPr>
          <w:rFonts w:ascii="仿宋" w:eastAsia="仿宋" w:hAnsi="仿宋" w:cs="仿宋" w:hint="eastAsia"/>
          <w:b/>
          <w:bCs/>
          <w:sz w:val="28"/>
          <w:szCs w:val="20"/>
        </w:rPr>
        <w:t>三、培训要求</w:t>
      </w:r>
    </w:p>
    <w:p>
      <w:pPr>
        <w:keepNext w:val="0"/>
        <w:keepLines w:val="0"/>
        <w:pageBreakBefore w:val="0"/>
        <w:widowControl w:val="0"/>
        <w:kinsoku/>
        <w:wordWrap/>
        <w:overflowPunct/>
        <w:topLinePunct w:val="0"/>
        <w:autoSpaceDE/>
        <w:autoSpaceDN/>
        <w:bidi w:val="0"/>
        <w:adjustRightInd/>
        <w:snapToGrid/>
        <w:spacing w:after="120" w:line="360" w:lineRule="auto"/>
        <w:ind w:firstLine="480" w:firstLineChars="200"/>
        <w:jc w:val="left"/>
        <w:textAlignment w:val="auto"/>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kern w:val="2"/>
          <w:sz w:val="24"/>
          <w:szCs w:val="28"/>
          <w:highlight w:val="none"/>
          <w:u w:val="none"/>
          <w:lang w:val="en-US" w:eastAsia="zh-CN" w:bidi="ar-SA"/>
        </w:rPr>
        <w:t>（1）中标人应免费向采购人提供培训，培训次数不少于5次，培训人次不少于20人次（达到熟练操作），免费向用户提供设备安装、调试以及日常维护培训。</w:t>
      </w:r>
    </w:p>
    <w:p>
      <w:pPr>
        <w:keepNext w:val="0"/>
        <w:keepLines w:val="0"/>
        <w:pageBreakBefore w:val="0"/>
        <w:widowControl w:val="0"/>
        <w:kinsoku/>
        <w:wordWrap/>
        <w:overflowPunct/>
        <w:topLinePunct w:val="0"/>
        <w:autoSpaceDE/>
        <w:autoSpaceDN/>
        <w:bidi w:val="0"/>
        <w:adjustRightInd/>
        <w:snapToGrid/>
        <w:spacing w:after="120" w:line="360" w:lineRule="auto"/>
        <w:ind w:left="0" w:firstLine="480" w:leftChars="0" w:firstLineChars="0"/>
        <w:jc w:val="left"/>
        <w:textAlignment w:val="auto"/>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kern w:val="2"/>
          <w:sz w:val="24"/>
          <w:szCs w:val="28"/>
          <w:highlight w:val="none"/>
          <w:u w:val="none"/>
          <w:lang w:val="en-US" w:eastAsia="zh-CN" w:bidi="ar-SA"/>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480" w:firstLineChars="200"/>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kern w:val="2"/>
          <w:sz w:val="24"/>
          <w:szCs w:val="28"/>
          <w:highlight w:val="none"/>
          <w:u w:val="none"/>
          <w:lang w:val="en-US" w:eastAsia="zh-CN" w:bidi="ar-SA"/>
        </w:rPr>
        <w:t>（3）技术培训内容包括：设备工作原理、使用方法、日常维护及一般常见故障的诊断及排除等。</w:t>
      </w:r>
    </w:p>
    <w:p>
      <w:pPr>
        <w:keepNext w:val="0"/>
        <w:keepLines w:val="0"/>
        <w:pageBreakBefore w:val="0"/>
        <w:widowControl w:val="0"/>
        <w:kinsoku/>
        <w:wordWrap/>
        <w:overflowPunct/>
        <w:topLinePunct w:val="0"/>
        <w:autoSpaceDE/>
        <w:autoSpaceDN/>
        <w:bidi w:val="0"/>
        <w:adjustRightInd/>
        <w:snapToGrid/>
        <w:spacing w:after="120" w:line="360" w:lineRule="auto"/>
        <w:ind w:left="0" w:firstLine="480" w:leftChars="0" w:firstLineChars="0"/>
        <w:jc w:val="left"/>
        <w:textAlignment w:val="auto"/>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kern w:val="2"/>
          <w:sz w:val="24"/>
          <w:szCs w:val="28"/>
          <w:highlight w:val="none"/>
          <w:u w:val="none"/>
          <w:lang w:val="en-US" w:eastAsia="zh-CN" w:bidi="ar-SA"/>
        </w:rPr>
        <w:t>（4）培训时免费提供完整的培训资料，其中包括使用说明、工作原理、技术图纸、注意事项、安装调试方法和维修指南等。</w:t>
      </w:r>
    </w:p>
    <w:p>
      <w:pPr>
        <w:keepNext w:val="0"/>
        <w:keepLines w:val="0"/>
        <w:pageBreakBefore w:val="0"/>
        <w:widowControl w:val="0"/>
        <w:kinsoku/>
        <w:wordWrap/>
        <w:overflowPunct/>
        <w:topLinePunct w:val="0"/>
        <w:autoSpaceDE/>
        <w:autoSpaceDN/>
        <w:bidi w:val="0"/>
        <w:adjustRightInd/>
        <w:snapToGrid/>
        <w:spacing w:after="120" w:line="360" w:lineRule="auto"/>
        <w:ind w:left="0" w:firstLine="480" w:leftChars="0" w:firstLineChars="0"/>
        <w:jc w:val="left"/>
        <w:textAlignment w:val="auto"/>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kern w:val="2"/>
          <w:sz w:val="24"/>
          <w:szCs w:val="28"/>
          <w:highlight w:val="none"/>
          <w:u w:val="none"/>
          <w:lang w:val="en-US" w:eastAsia="zh-CN" w:bidi="ar-SA"/>
        </w:rPr>
        <w:t>（5）中标人提供的授课人员需具有设备的相关研发经验，能够从软硬件原理、安装调试、系统基本维护、常见问题解决办法以及数据处理分析应用等方面进行，保证用户培训人员能够掌握装备的安装、调试、操作和维护等。</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keepNext w:val="0"/>
        <w:keepLines w:val="0"/>
        <w:pageBreakBefore w:val="0"/>
        <w:widowControl w:val="0"/>
        <w:kinsoku/>
        <w:wordWrap/>
        <w:overflowPunct/>
        <w:topLinePunct w:val="0"/>
        <w:autoSpaceDE/>
        <w:autoSpaceDN/>
        <w:bidi w:val="0"/>
        <w:adjustRightInd/>
        <w:snapToGrid/>
        <w:spacing w:after="120" w:line="360" w:lineRule="auto"/>
        <w:ind w:firstLine="480" w:firstLineChars="200"/>
        <w:jc w:val="left"/>
        <w:textAlignment w:val="auto"/>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kern w:val="2"/>
          <w:sz w:val="24"/>
          <w:szCs w:val="28"/>
          <w:highlight w:val="none"/>
          <w:u w:val="none"/>
          <w:lang w:val="en-US" w:eastAsia="zh-CN" w:bidi="ar-SA"/>
        </w:rPr>
        <w:t>中标供应商将所有设备运送至黑龙江省大兴安岭地区等甲方约定地点（运输相关费用由供应商负责），并负责安装调试。</w:t>
      </w:r>
    </w:p>
    <w:p>
      <w:pPr>
        <w:keepNext w:val="0"/>
        <w:keepLines w:val="0"/>
        <w:pageBreakBefore w:val="0"/>
        <w:widowControl w:val="0"/>
        <w:kinsoku/>
        <w:wordWrap/>
        <w:overflowPunct/>
        <w:topLinePunct w:val="0"/>
        <w:autoSpaceDE/>
        <w:autoSpaceDN/>
        <w:bidi w:val="0"/>
        <w:adjustRightInd/>
        <w:snapToGrid/>
        <w:spacing w:after="120" w:line="360" w:lineRule="auto"/>
        <w:ind w:firstLine="480" w:firstLineChars="200"/>
        <w:jc w:val="left"/>
        <w:textAlignment w:val="auto"/>
        <w:rPr>
          <w:rFonts w:ascii="仿宋" w:eastAsia="仿宋" w:hAnsi="仿宋" w:cs="仿宋"/>
          <w:b/>
          <w:bCs/>
          <w:sz w:val="28"/>
          <w:szCs w:val="20"/>
        </w:rPr>
      </w:pPr>
      <w:r>
        <w:rPr>
          <w:rFonts w:ascii="宋体" w:eastAsia="宋体" w:hAnsi="宋体" w:cs="宋体" w:hint="eastAsia"/>
          <w:b w:val="0"/>
          <w:i w:val="0"/>
          <w:strike w:val="0"/>
          <w:color w:val="auto"/>
          <w:kern w:val="2"/>
          <w:sz w:val="24"/>
          <w:szCs w:val="28"/>
          <w:highlight w:val="none"/>
          <w:u w:val="none"/>
          <w:lang w:val="en-US" w:eastAsia="zh-CN" w:bidi="ar-SA"/>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keepNext w:val="0"/>
        <w:keepLines w:val="0"/>
        <w:pageBreakBefore w:val="0"/>
        <w:widowControl w:val="0"/>
        <w:kinsoku/>
        <w:wordWrap/>
        <w:overflowPunct/>
        <w:topLinePunct w:val="0"/>
        <w:autoSpaceDE/>
        <w:autoSpaceDN/>
        <w:bidi w:val="0"/>
        <w:adjustRightInd/>
        <w:snapToGrid/>
        <w:spacing w:after="120" w:line="360" w:lineRule="auto"/>
        <w:ind w:firstLine="480" w:firstLineChars="200"/>
        <w:jc w:val="left"/>
        <w:textAlignment w:val="auto"/>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kern w:val="2"/>
          <w:sz w:val="24"/>
          <w:szCs w:val="28"/>
          <w:highlight w:val="none"/>
          <w:u w:val="none"/>
          <w:lang w:val="en-US" w:eastAsia="zh-CN" w:bidi="ar-SA"/>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keepNext w:val="0"/>
        <w:keepLines w:val="0"/>
        <w:pageBreakBefore w:val="0"/>
        <w:widowControl w:val="0"/>
        <w:kinsoku/>
        <w:wordWrap/>
        <w:overflowPunct/>
        <w:topLinePunct w:val="0"/>
        <w:autoSpaceDE/>
        <w:autoSpaceDN/>
        <w:bidi w:val="0"/>
        <w:adjustRightInd/>
        <w:snapToGrid/>
        <w:spacing w:after="120" w:line="360" w:lineRule="auto"/>
        <w:ind w:firstLine="480" w:firstLineChars="200"/>
        <w:jc w:val="left"/>
        <w:textAlignment w:val="auto"/>
        <w:rPr>
          <w:rFonts w:ascii="宋体" w:eastAsia="宋体" w:hAnsi="宋体" w:cs="宋体" w:hint="eastAsia"/>
          <w:b w:val="0"/>
          <w:i w:val="0"/>
          <w:strike w:val="0"/>
          <w:color w:val="auto"/>
          <w:szCs w:val="28"/>
          <w:highlight w:val="none"/>
          <w:u w:val="none"/>
        </w:rPr>
      </w:pPr>
      <w:r>
        <w:rPr>
          <w:rFonts w:ascii="宋体" w:eastAsia="宋体" w:hAnsi="宋体" w:cs="宋体" w:hint="eastAsia"/>
          <w:b w:val="0"/>
          <w:i w:val="0"/>
          <w:strike w:val="0"/>
          <w:color w:val="auto"/>
          <w:kern w:val="2"/>
          <w:sz w:val="24"/>
          <w:szCs w:val="28"/>
          <w:highlight w:val="none"/>
          <w:u w:val="none"/>
          <w:lang w:val="en-US" w:eastAsia="zh-CN" w:bidi="ar-SA"/>
        </w:rPr>
        <w:t>设备可无缝接入气象数据平台，完全符合甲方相关要求和规范，保证其系统的兼容性和功能的完整性。</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72"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8"/>
              </w:numPr>
              <w:rPr>
                <w:rFonts w:ascii="宋体" w:hAnsi="宋体"/>
                <w:sz w:val="18"/>
                <w:szCs w:val="18"/>
              </w:rPr>
            </w:pPr>
          </w:p>
        </w:tc>
        <w:tc>
          <w:tcPr>
            <w:tcW w:w="898" w:type="dxa"/>
            <w:vAlign w:val="center"/>
          </w:tcPr>
          <w:p>
            <w:pPr>
              <w:jc w:val="center"/>
              <w:rPr>
                <w:rFonts w:ascii="宋体" w:hAnsi="宋体"/>
                <w:sz w:val="18"/>
                <w:szCs w:val="18"/>
              </w:rPr>
            </w:pPr>
          </w:p>
        </w:tc>
        <w:tc>
          <w:tcPr>
            <w:tcW w:w="7347" w:type="dxa"/>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8"/>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四、质保服务要求</w:t>
            </w: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（2）</w:t>
            </w:r>
            <w:r>
              <w:rPr>
                <w:rFonts w:ascii="宋体" w:hAnsi="宋体" w:cs="微软雅黑" w:hint="eastAsia"/>
                <w:b/>
                <w:color w:val="0000FF"/>
                <w:kern w:val="0"/>
                <w:sz w:val="18"/>
                <w:szCs w:val="18"/>
                <w:lang w:val="en-US" w:eastAsia="zh-CN"/>
              </w:rPr>
              <w:t>运行和质量保障</w:t>
            </w:r>
            <w:r>
              <w:rPr>
                <w:rFonts w:ascii="宋体" w:hAnsi="宋体" w:cs="微软雅黑" w:hint="eastAsia"/>
                <w:b/>
                <w:color w:val="0000FF"/>
                <w:kern w:val="0"/>
                <w:sz w:val="18"/>
                <w:szCs w:val="18"/>
              </w:rPr>
              <w:t>期：8年</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10"/>
          <w:footerReference w:type="default" r:id="rId11"/>
          <w:pgSz w:w="11906" w:h="16838"/>
          <w:pgMar w:top="1440" w:right="1800" w:bottom="1440" w:left="1800" w:header="851" w:footer="992" w:gutter="0"/>
          <w:cols w:space="708"/>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9"/>
        </w:numPr>
        <w:spacing w:line="360" w:lineRule="auto"/>
        <w:ind w:firstLine="3066" w:firstLineChars="1460"/>
        <w:jc w:val="left"/>
        <w:rPr>
          <w:rFonts w:hint="eastAsia"/>
          <w:b/>
          <w:bCs/>
          <w:szCs w:val="21"/>
          <w:highlight w:val="none"/>
        </w:rPr>
      </w:pPr>
      <w:bookmarkStart w:id="73"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rPr>
          <w:rFonts w:hint="eastAsia"/>
        </w:rPr>
      </w:pP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4"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4"/>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5"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5"/>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10"/>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1"/>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10"/>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合同生效后付款:双方签署合同后10个工作日内，甲方向乙方支付合同总金额的90%,即人民币</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元 (大写):￥ </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元(小写)。</w:t>
      </w:r>
    </w:p>
    <w:p>
      <w:pPr>
        <w:adjustRightInd w:val="0"/>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rPr>
        <w:t>到货、检验后付款:双方签署验收报告后 10个工作日内，甲方向乙方支付合同总金额的10%,即人民币</w:t>
      </w:r>
      <w:r>
        <w:rPr>
          <w:rFonts w:ascii="宋体" w:hAnsi="宋体" w:hint="eastAsia"/>
          <w:szCs w:val="21"/>
          <w:highlight w:val="none"/>
          <w:u w:val="single"/>
          <w:lang w:val="en-US" w:eastAsia="zh-CN"/>
        </w:rPr>
        <w:t xml:space="preserve">                       </w:t>
      </w:r>
      <w:r>
        <w:rPr>
          <w:rFonts w:ascii="宋体" w:hAnsi="宋体" w:hint="eastAsia"/>
          <w:szCs w:val="21"/>
          <w:highlight w:val="none"/>
          <w:u w:val="single"/>
        </w:rPr>
        <w:t>元 (大写):￥</w:t>
      </w:r>
      <w:r>
        <w:rPr>
          <w:rFonts w:ascii="宋体" w:hAnsi="宋体" w:hint="eastAsia"/>
          <w:szCs w:val="21"/>
          <w:highlight w:val="none"/>
          <w:u w:val="single"/>
          <w:lang w:val="en-US" w:eastAsia="zh-CN"/>
        </w:rPr>
        <w:t xml:space="preserve">                  </w:t>
      </w:r>
      <w:r>
        <w:rPr>
          <w:rFonts w:ascii="宋体" w:hAnsi="宋体" w:hint="eastAsia"/>
          <w:szCs w:val="21"/>
          <w:highlight w:val="none"/>
          <w:u w:val="single"/>
        </w:rPr>
        <w:t xml:space="preserve">元(小写)。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10"/>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10"/>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2"/>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10"/>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10"/>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10"/>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6" w:name="_Toc27624"/>
      <w:r>
        <w:rPr>
          <w:rFonts w:ascii="黑体" w:hAnsi="黑体" w:hint="eastAsia"/>
          <w:b w:val="0"/>
          <w:bCs w:val="0"/>
          <w:sz w:val="28"/>
          <w:szCs w:val="28"/>
          <w:highlight w:val="none"/>
        </w:rPr>
        <w:t>第二节 政府采购合同通用条款</w:t>
      </w:r>
      <w:bookmarkEnd w:id="76"/>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3"/>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4"/>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w:t>
      </w:r>
      <w:r>
        <w:rPr>
          <w:rFonts w:ascii="宋体" w:hAnsi="宋体" w:hint="eastAsia"/>
          <w:szCs w:val="21"/>
          <w:highlight w:val="none"/>
          <w:lang w:val="en-US" w:eastAsia="zh-CN"/>
        </w:rPr>
        <w:t>运行和</w:t>
      </w:r>
      <w:r>
        <w:rPr>
          <w:rFonts w:ascii="宋体" w:hAnsi="宋体" w:hint="eastAsia"/>
          <w:szCs w:val="21"/>
          <w:highlight w:val="none"/>
        </w:rPr>
        <w:t>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w:t>
      </w:r>
      <w:r>
        <w:rPr>
          <w:rFonts w:ascii="宋体" w:hAnsi="宋体" w:hint="eastAsia"/>
          <w:szCs w:val="21"/>
          <w:highlight w:val="none"/>
          <w:lang w:val="en-US" w:eastAsia="zh-CN"/>
        </w:rPr>
        <w:t>运行和</w:t>
      </w:r>
      <w:r>
        <w:rPr>
          <w:rFonts w:ascii="宋体" w:hAnsi="宋体" w:hint="eastAsia"/>
          <w:szCs w:val="21"/>
          <w:highlight w:val="none"/>
        </w:rPr>
        <w:t>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w:t>
      </w:r>
      <w:r>
        <w:rPr>
          <w:rFonts w:ascii="宋体" w:hAnsi="宋体" w:hint="eastAsia"/>
          <w:szCs w:val="21"/>
          <w:highlight w:val="none"/>
          <w:lang w:val="en-US" w:eastAsia="zh-CN"/>
        </w:rPr>
        <w:t>运行和</w:t>
      </w:r>
      <w:r>
        <w:rPr>
          <w:rFonts w:ascii="宋体" w:hAnsi="宋体" w:hint="eastAsia"/>
          <w:szCs w:val="21"/>
          <w:highlight w:val="none"/>
        </w:rPr>
        <w:t>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w:t>
      </w:r>
      <w:r>
        <w:rPr>
          <w:rFonts w:ascii="宋体" w:hAnsi="宋体" w:hint="eastAsia"/>
          <w:szCs w:val="21"/>
          <w:highlight w:val="none"/>
          <w:lang w:val="en-US" w:eastAsia="zh-CN"/>
        </w:rPr>
        <w:t>运行和</w:t>
      </w:r>
      <w:r>
        <w:rPr>
          <w:rFonts w:ascii="宋体" w:hAnsi="宋体" w:hint="eastAsia"/>
          <w:szCs w:val="21"/>
          <w:highlight w:val="none"/>
        </w:rPr>
        <w:t>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7"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5"/>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w:t>
      </w:r>
      <w:r>
        <w:rPr>
          <w:rFonts w:ascii="宋体" w:hAnsi="宋体" w:hint="eastAsia"/>
          <w:szCs w:val="21"/>
          <w:highlight w:val="none"/>
          <w:lang w:eastAsia="zh-CN"/>
        </w:rPr>
        <w:t>运行和</w:t>
      </w:r>
      <w:r>
        <w:rPr>
          <w:rFonts w:ascii="宋体" w:hAnsi="宋体" w:hint="eastAsia"/>
          <w:szCs w:val="21"/>
          <w:highlight w:val="none"/>
        </w:rPr>
        <w:t>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6"/>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7"/>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8"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9"/>
        </w:numPr>
        <w:spacing w:line="360" w:lineRule="auto"/>
        <w:ind w:firstLine="3066" w:firstLineChars="1460"/>
        <w:jc w:val="left"/>
        <w:rPr>
          <w:rFonts w:hint="eastAsia"/>
          <w:b/>
          <w:bCs/>
          <w:szCs w:val="21"/>
          <w:highlight w:val="none"/>
        </w:rPr>
      </w:pPr>
      <w:bookmarkEnd w:id="73"/>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mbria Math">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EFF0EB14"/>
    <w:multiLevelType w:val="singleLevel"/>
    <w:tmpl w:val="EFF0EB14"/>
    <w:lvl w:ilvl="0">
      <w:start w:val="1"/>
      <w:numFmt w:val="decimal"/>
      <w:suff w:val="nothing"/>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73D3221"/>
    <w:multiLevelType w:val="singleLevel"/>
    <w:tmpl w:val="373D3221"/>
    <w:lvl w:ilvl="0">
      <w:start w:val="1"/>
      <w:numFmt w:val="decimal"/>
      <w:suff w:val="nothing"/>
      <w:lvlText w:val="（%1）"/>
      <w:lvlJc w:val="left"/>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4E0846E6"/>
    <w:multiLevelType w:val="multilevel"/>
    <w:tmpl w:val="4E0846E6"/>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5C156407"/>
    <w:multiLevelType w:val="multilevel"/>
    <w:tmpl w:val="5C156407"/>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7A0F6431"/>
    <w:multiLevelType w:val="singleLevel"/>
    <w:tmpl w:val="7A0F6431"/>
    <w:lvl w:ilvl="0">
      <w:start w:val="1"/>
      <w:numFmt w:val="decimal"/>
      <w:suff w:val="space"/>
      <w:lvlText w:val="%1."/>
      <w:lvlJc w:val="left"/>
    </w:lvl>
  </w:abstractNum>
  <w:abstractNum w:abstractNumId="17">
    <w:nsid w:val="7F9DA140"/>
    <w:multiLevelType w:val="singleLevel"/>
    <w:tmpl w:val="7F9DA140"/>
    <w:lvl w:ilvl="0">
      <w:start w:val="4"/>
      <w:numFmt w:val="chineseCounting"/>
      <w:suff w:val="nothing"/>
      <w:lvlText w:val="%1、"/>
      <w:lvlJc w:val="left"/>
      <w:rPr>
        <w:rFonts w:hint="eastAsia"/>
      </w:rPr>
    </w:lvl>
  </w:abstractNum>
  <w:num w:numId="1">
    <w:abstractNumId w:val="8"/>
  </w:num>
  <w:num w:numId="2">
    <w:abstractNumId w:val="7"/>
  </w:num>
  <w:num w:numId="3">
    <w:abstractNumId w:val="9"/>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1"/>
  </w:num>
  <w:num w:numId="8">
    <w:abstractNumId w:val="5"/>
  </w:num>
  <w:num w:numId="9">
    <w:abstractNumId w:val="14"/>
  </w:num>
  <w:num w:numId="10">
    <w:abstractNumId w:val="16"/>
  </w:num>
  <w:num w:numId="11">
    <w:abstractNumId w:val="1"/>
  </w:num>
  <w:num w:numId="12">
    <w:abstractNumId w:val="6"/>
  </w:num>
  <w:num w:numId="13">
    <w:abstractNumId w:val="3"/>
  </w:num>
  <w:num w:numId="14">
    <w:abstractNumId w:val="2"/>
  </w:num>
  <w:num w:numId="15">
    <w:abstractNumId w:val="12"/>
  </w:num>
  <w:num w:numId="16">
    <w:abstractNumId w:val="0"/>
  </w:num>
  <w:num w:numId="17">
    <w:abstractNumId w:val="4"/>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2A2"/>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0DBC"/>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2.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bin" /><Relationship Id="rId8" Type="http://schemas.openxmlformats.org/officeDocument/2006/relationships/image" Target="media/image2.png" /><Relationship Id="rId9" Type="http://schemas.openxmlformats.org/officeDocument/2006/relationships/image" Target="media/image3.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