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盐城市强对流灾害防御监测站网建设-强对流监测气象自动站采购项目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响水县气象局；滨海县气象局；阜宁县气象局；射阳县气象局；建湖县气象局；盐城市盐都区气象局；盐城市大丰区气象局；东台市气象局；盐城市亭湖区气象局；江苏省盐南高新技术产业开发区社会事务管理局；盐城经济技术开发区住房保障和建设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盐城市强对流灾害防御监测站网建设-强对流监测气象自动站采购项目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ZQCD-26053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40个日历天内完成315套，剩余115套根据甲方要求按期完成（2026年11月底前完成）</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由采购人指定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2026年04月24日 00:00:00</w:t>
      </w:r>
      <w:bookmarkEnd w:id="26"/>
      <w:r>
        <w:rPr>
          <w:rFonts w:ascii="宋体" w:hint="eastAsia"/>
          <w:szCs w:val="21"/>
          <w:highlight w:val="none"/>
        </w:rPr>
        <w:t>至</w:t>
      </w:r>
      <w:bookmarkStart w:id="27" w:name="项目公告_signUpLastTime"/>
      <w:r>
        <w:rPr>
          <w:rFonts w:ascii="宋体" w:hint="eastAsia"/>
          <w:szCs w:val="21"/>
          <w:highlight w:val="none"/>
        </w:rPr>
        <w:t>2026年05月06日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响水县气象局；滨海县气象局；阜宁县气象局；射阳县气象局；建湖县气象局；盐城市盐都区气象局；盐城市大丰区气象局；东台市气象局；盐城市亭湖区气象局；江苏省盐南高新技术产业开发区社会事务管理局；盐城经济技术开发区住房保障和建设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张玉龙</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0515-88419416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江苏省盐城市亭湖区东亭路1号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响水县气象局；滨海县气象局；阜宁县气象局；射阳县气象局；建湖县气象局；盐城市盐都区气象局；盐城市大丰区气象局；东台市气象局；盐城市亭湖区气象局；江苏省盐南高新技术产业开发区社会事务管理局；盐城经济技术开发区住房保障和建设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不允许（仅针对以下产品：强对流监测气象自动站不允许代理商投标）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设有，核心产品为自动气象站</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必须，以下产品需要提供至投标截止日仍有效的《气象专用技术装备使用许可证》：1、智能气温测量仪 2、智能湿度测量仪 3、智能风测量仪 4、智能翻斗式雨量测量仪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（1）标的：盐城市强对流灾害防御监测站网建设-强对流监测气象自动站采购 ，属于 工行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是，中标服务费：15.2万元。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4,300.000000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4,300.000000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c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cr/>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每提供一份合同得1分，最多得5分。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(1)</w:t>
            </w:r>
          </w:p>
        </w:tc>
        <w:tc>
          <w:tcPr/>
          <w:p>
            <w:r>
              <w:t>评审标准：</w:t>
            </w:r>
          </w:p>
          <w:p>
            <w:r>
              <w:t xml:space="preserve">一档0分 </w:t>
              <w:cr/>
              <w:t xml:space="preserve">二档0.25分 </w:t>
              <w:cr/>
              <w:t xml:space="preserve">三档0.5分 </w:t>
              <w:cr/>
              <w:t>四档1分</w:t>
              <w:cr/>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针对本项目采购的自动气象站，承诺每提前5天交货的得0.5分，最多得1分。否则不得分。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针对自动气象站设备，每提供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2、除项目经理外至少6人具有2年及以上相关工作经验的，得2分；为本项目派出的技术人员至少6人具有1年及以上相关工作经验的，得1分；其他不得分。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标注#的重要指标共9项，每满足1项（如有多个下级指标，则每个下级指标均应满足）得4分，满分36分。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针对自动气象站设备中的智能气温测量仪、智能湿度测量仪、智能风测量仪、智能翻斗式雨量测量仪，测试报告应涵盖低温试验、高温试验等内容，每包含一项得1.5分，最多得3分。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(3)</w:t>
            </w:r>
          </w:p>
        </w:tc>
        <w:tc>
          <w:tcPr/>
          <w:p>
            <w:r>
              <w:t>评审标准：</w:t>
            </w:r>
          </w:p>
          <w:p>
            <w:r>
              <w:t>投标产品软件兼容性强，观测数据能接入采购人现有气象数据平台得3分。否则不得分。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9C63D4">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9C63D4">
      <w:pPr>
        <w:spacing w:line="360" w:lineRule="auto"/>
        <w:ind w:firstLine="420" w:firstLineChars="200"/>
        <w:rPr>
          <w:rFonts w:ascii="宋体" w:hAnsi="宋体"/>
          <w:b/>
          <w:szCs w:val="21"/>
        </w:rPr>
      </w:pPr>
      <w:r>
        <w:rPr>
          <w:rFonts w:ascii="宋体" w:hAnsi="宋体" w:hint="eastAsia"/>
          <w:b/>
          <w:szCs w:val="21"/>
        </w:rPr>
        <w:t>一、项目概况及总体要求</w:t>
      </w:r>
    </w:p>
    <w:p w:rsidR="009C63D4">
      <w:pPr>
        <w:ind w:firstLine="420" w:firstLineChars="200"/>
        <w:rPr>
          <w:rFonts w:asciiTheme="minorEastAsia" w:hAnsiTheme="minorEastAsia" w:cs="Times New Roman"/>
          <w:szCs w:val="20"/>
        </w:rPr>
      </w:pPr>
      <w:r>
        <w:rPr>
          <w:rFonts w:asciiTheme="minorEastAsia" w:hAnsiTheme="minorEastAsia" w:cs="Times New Roman" w:hint="eastAsia"/>
          <w:szCs w:val="20"/>
        </w:rPr>
        <w:t>1.1项目建设背景：为全面贯彻国务院《气象高质量发展纲要（2022—2035年）》，推进落实盐城市政府与江苏省气象局签订的《共同推进气象高质量发展合作协议》，结合江苏省、盐城市关于气象工作的部署要求，针对强对流灾害防御中突出的短板弱项，进一步加密盐城市气象监测站点，</w:t>
      </w:r>
      <w:r>
        <w:rPr>
          <w:rFonts w:asciiTheme="minorEastAsia" w:hAnsiTheme="minorEastAsia" w:cs="Times New Roman" w:hint="eastAsia"/>
          <w:szCs w:val="20"/>
        </w:rPr>
        <w:t>完善强</w:t>
      </w:r>
      <w:r>
        <w:rPr>
          <w:rFonts w:asciiTheme="minorEastAsia" w:hAnsiTheme="minorEastAsia" w:cs="Times New Roman" w:hint="eastAsia"/>
          <w:szCs w:val="20"/>
        </w:rPr>
        <w:t>对流气象防灾减灾体系，提升气象灾害防御能力，确保城市运行、交通、农业、生态等多领域安全。</w:t>
      </w:r>
    </w:p>
    <w:p w:rsidR="009C63D4">
      <w:pPr>
        <w:ind w:firstLine="420" w:firstLineChars="200"/>
        <w:rPr>
          <w:rFonts w:asciiTheme="minorEastAsia" w:hAnsiTheme="minorEastAsia" w:cs="Times New Roman"/>
          <w:szCs w:val="20"/>
        </w:rPr>
      </w:pPr>
      <w:r>
        <w:rPr>
          <w:rFonts w:asciiTheme="minorEastAsia" w:hAnsiTheme="minorEastAsia" w:cs="Times New Roman" w:hint="eastAsia"/>
          <w:szCs w:val="20"/>
        </w:rPr>
        <w:t>1.2目建设数量：为了进一步强化气象灾害重点防御区域及监测盲区的气象监测能力，盐城市加密建设气象自动站，全市自动气象站密度 按“5×5公里/站”建设，龙卷等强对流易发区域及盐城主城区等重点区域按“3×3公里/站”建设。建设数量为430套五要素自动气象站（含基础、围栏等相关伴随服务），以满足完善地面气象监测、补齐监测短板、强化预报预警业务建设、提升预警信息发布能力建设的需求。</w:t>
      </w:r>
    </w:p>
    <w:p w:rsidR="009C63D4">
      <w:pPr>
        <w:ind w:firstLine="420" w:firstLineChars="200"/>
        <w:rPr>
          <w:rFonts w:asciiTheme="minorEastAsia" w:hAnsiTheme="minorEastAsia" w:cs="Times New Roman"/>
          <w:szCs w:val="20"/>
        </w:rPr>
      </w:pPr>
      <w:r>
        <w:rPr>
          <w:rFonts w:asciiTheme="minorEastAsia" w:hAnsiTheme="minorEastAsia" w:cs="Times New Roman" w:hint="eastAsia"/>
          <w:szCs w:val="20"/>
        </w:rPr>
        <w:t>1.3采购预算：4300.00万元。</w:t>
      </w:r>
    </w:p>
    <w:p w:rsidR="009C63D4">
      <w:pPr>
        <w:ind w:firstLine="420" w:firstLineChars="200"/>
        <w:rPr>
          <w:rFonts w:asciiTheme="minorEastAsia" w:hAnsiTheme="minorEastAsia" w:cs="Times New Roman"/>
          <w:b/>
          <w:szCs w:val="20"/>
        </w:rPr>
      </w:pPr>
      <w:r>
        <w:rPr>
          <w:rFonts w:asciiTheme="minorEastAsia" w:hAnsiTheme="minorEastAsia" w:cs="Times New Roman" w:hint="eastAsia"/>
          <w:b/>
          <w:szCs w:val="20"/>
        </w:rPr>
        <w:t>二、项目需求</w:t>
      </w:r>
    </w:p>
    <w:p w:rsidR="009C63D4">
      <w:pPr>
        <w:rPr>
          <w:rFonts w:asciiTheme="minorEastAsia" w:hAnsiTheme="minorEastAsia" w:cs="Times New Roman"/>
          <w:szCs w:val="20"/>
        </w:rPr>
      </w:pPr>
      <w:r>
        <w:rPr>
          <w:rFonts w:asciiTheme="minorEastAsia" w:hAnsiTheme="minorEastAsia" w:cs="Times New Roman" w:hint="eastAsia"/>
          <w:szCs w:val="20"/>
        </w:rPr>
        <w:t xml:space="preserve">    2.1本项目按盐城市政府要求，采取“统招分签”的方式进行采购，由盐城市气象局牵头统一招标，具体采购合同及实施由拟建辖区内的气象部门或其他部门（</w:t>
      </w:r>
      <w:r>
        <w:rPr>
          <w:rFonts w:asciiTheme="minorEastAsia" w:hAnsiTheme="minorEastAsia" w:cs="Times New Roman" w:hint="eastAsia"/>
          <w:szCs w:val="20"/>
        </w:rPr>
        <w:t>江苏省盐南高新技术产业开发区</w:t>
      </w:r>
      <w:r>
        <w:rPr>
          <w:rFonts w:asciiTheme="minorEastAsia" w:hAnsiTheme="minorEastAsia" w:cs="Times New Roman" w:hint="eastAsia"/>
          <w:szCs w:val="20"/>
        </w:rPr>
        <w:t>社会事务管理局和盐城经济技术开发区住房保障和建设局委托盐城市气象局招标与代建）分别签署与建设。</w:t>
      </w:r>
    </w:p>
    <w:p w:rsidR="009C63D4">
      <w:pPr>
        <w:ind w:firstLine="420" w:firstLineChars="200"/>
        <w:rPr>
          <w:rFonts w:asciiTheme="minorEastAsia" w:hAnsiTheme="minorEastAsia" w:cs="Times New Roman"/>
          <w:szCs w:val="20"/>
        </w:rPr>
      </w:pPr>
      <w:r>
        <w:rPr>
          <w:rFonts w:asciiTheme="minorEastAsia" w:hAnsiTheme="minorEastAsia" w:cs="Times New Roman" w:hint="eastAsia"/>
          <w:szCs w:val="20"/>
        </w:rPr>
        <w:t>2.2 建设地点和</w:t>
      </w:r>
      <w:r>
        <w:rPr>
          <w:rFonts w:asciiTheme="minorEastAsia" w:hAnsiTheme="minorEastAsia" w:cs="Times New Roman" w:hint="eastAsia"/>
          <w:szCs w:val="20"/>
        </w:rPr>
        <w:t>拟建设</w:t>
      </w:r>
      <w:r>
        <w:rPr>
          <w:rFonts w:asciiTheme="minorEastAsia" w:hAnsiTheme="minorEastAsia" w:cs="Times New Roman" w:hint="eastAsia"/>
          <w:szCs w:val="20"/>
        </w:rPr>
        <w:t>数量见下表：</w:t>
      </w:r>
    </w:p>
    <w:tbl>
      <w:tblPr>
        <w:tblStyle w:val="TableNormal"/>
        <w:tblW w:w="7501" w:type="dxa"/>
        <w:jc w:val="center"/>
        <w:tblLayout w:type="fixed"/>
        <w:tblLook w:val="04A0"/>
      </w:tblPr>
      <w:tblGrid>
        <w:gridCol w:w="1908"/>
        <w:gridCol w:w="2268"/>
        <w:gridCol w:w="1919"/>
        <w:gridCol w:w="1406"/>
      </w:tblGrid>
      <w:tr>
        <w:tblPrEx>
          <w:tblW w:w="7501" w:type="dxa"/>
          <w:jc w:val="center"/>
          <w:tblLayout w:type="fixed"/>
          <w:tblLook w:val="04A0"/>
        </w:tblPrEx>
        <w:trPr>
          <w:trHeight w:hRule="exact" w:val="674"/>
          <w:jc w:val="center"/>
        </w:trPr>
        <w:tc>
          <w:tcPr>
            <w:tcW w:w="1908" w:type="dxa"/>
            <w:tcBorders>
              <w:top w:val="single" w:sz="8" w:space="0" w:color="000000"/>
              <w:left w:val="single" w:sz="8" w:space="0" w:color="000000"/>
              <w:bottom w:val="single" w:sz="8" w:space="0" w:color="000000"/>
              <w:right w:val="single" w:sz="8" w:space="0" w:color="000000"/>
            </w:tcBorders>
            <w:vAlign w:val="center"/>
          </w:tcPr>
          <w:p w:rsidR="009C63D4">
            <w:pPr>
              <w:widowControl/>
              <w:spacing w:line="260" w:lineRule="exact"/>
              <w:jc w:val="center"/>
              <w:rPr>
                <w:rFonts w:ascii="宋体" w:eastAsia="宋体" w:hAnsi="宋体" w:cs="Times New Roman"/>
                <w:b/>
                <w:bCs/>
                <w:szCs w:val="21"/>
              </w:rPr>
            </w:pPr>
            <w:bookmarkStart w:id="60" w:name="_Hlk222842491"/>
            <w:r>
              <w:rPr>
                <w:rFonts w:ascii="宋体" w:eastAsia="宋体" w:hAnsi="宋体" w:cs="Times New Roman" w:hint="eastAsia"/>
                <w:b/>
                <w:bCs/>
                <w:szCs w:val="21"/>
              </w:rPr>
              <w:t>辖区</w:t>
            </w:r>
          </w:p>
        </w:tc>
        <w:tc>
          <w:tcPr>
            <w:tcW w:w="2268" w:type="dxa"/>
            <w:tcBorders>
              <w:top w:val="single" w:sz="8" w:space="0" w:color="000000"/>
              <w:left w:val="nil"/>
              <w:bottom w:val="single" w:sz="8" w:space="0" w:color="000000"/>
              <w:right w:val="single" w:sz="8" w:space="0" w:color="000000"/>
            </w:tcBorders>
            <w:vAlign w:val="center"/>
          </w:tcPr>
          <w:p w:rsidR="009C63D4">
            <w:pPr>
              <w:widowControl/>
              <w:spacing w:line="260" w:lineRule="exact"/>
              <w:jc w:val="center"/>
              <w:rPr>
                <w:rFonts w:ascii="宋体" w:eastAsia="宋体" w:hAnsi="宋体" w:cs="Times New Roman"/>
                <w:b/>
                <w:bCs/>
                <w:szCs w:val="21"/>
              </w:rPr>
            </w:pPr>
            <w:r>
              <w:rPr>
                <w:rFonts w:ascii="宋体" w:eastAsia="宋体" w:hAnsi="宋体" w:cs="Times New Roman"/>
                <w:b/>
                <w:bCs/>
                <w:szCs w:val="21"/>
              </w:rPr>
              <w:t>5公里间距需增</w:t>
            </w:r>
          </w:p>
          <w:p w:rsidR="009C63D4">
            <w:pPr>
              <w:widowControl/>
              <w:spacing w:line="260" w:lineRule="exact"/>
              <w:jc w:val="center"/>
              <w:rPr>
                <w:rFonts w:ascii="宋体" w:eastAsia="宋体" w:hAnsi="宋体" w:cs="Times New Roman"/>
                <w:b/>
                <w:bCs/>
                <w:szCs w:val="21"/>
              </w:rPr>
            </w:pPr>
            <w:r>
              <w:rPr>
                <w:rFonts w:ascii="宋体" w:eastAsia="宋体" w:hAnsi="宋体" w:cs="Times New Roman" w:hint="eastAsia"/>
                <w:b/>
                <w:bCs/>
                <w:szCs w:val="21"/>
              </w:rPr>
              <w:t>加站数</w:t>
            </w:r>
          </w:p>
        </w:tc>
        <w:tc>
          <w:tcPr>
            <w:tcW w:w="1919" w:type="dxa"/>
            <w:tcBorders>
              <w:top w:val="single" w:sz="8" w:space="0" w:color="000000"/>
              <w:left w:val="nil"/>
              <w:bottom w:val="single" w:sz="8" w:space="0" w:color="000000"/>
              <w:right w:val="single" w:sz="8" w:space="0" w:color="000000"/>
            </w:tcBorders>
            <w:vAlign w:val="center"/>
          </w:tcPr>
          <w:p w:rsidR="009C63D4">
            <w:pPr>
              <w:widowControl/>
              <w:spacing w:line="260" w:lineRule="exact"/>
              <w:jc w:val="center"/>
              <w:rPr>
                <w:rFonts w:ascii="宋体" w:eastAsia="宋体" w:hAnsi="宋体" w:cs="Times New Roman"/>
                <w:b/>
                <w:bCs/>
                <w:szCs w:val="21"/>
              </w:rPr>
            </w:pPr>
            <w:r>
              <w:rPr>
                <w:rFonts w:ascii="宋体" w:eastAsia="宋体" w:hAnsi="宋体" w:cs="Times New Roman"/>
                <w:b/>
                <w:bCs/>
                <w:szCs w:val="21"/>
              </w:rPr>
              <w:t>3公里间距需增</w:t>
            </w:r>
          </w:p>
          <w:p w:rsidR="009C63D4">
            <w:pPr>
              <w:widowControl/>
              <w:spacing w:line="260" w:lineRule="exact"/>
              <w:jc w:val="center"/>
              <w:rPr>
                <w:rFonts w:ascii="宋体" w:eastAsia="宋体" w:hAnsi="宋体" w:cs="Times New Roman"/>
                <w:b/>
                <w:bCs/>
                <w:szCs w:val="21"/>
              </w:rPr>
            </w:pPr>
            <w:r>
              <w:rPr>
                <w:rFonts w:ascii="宋体" w:eastAsia="宋体" w:hAnsi="宋体" w:cs="Times New Roman" w:hint="eastAsia"/>
                <w:b/>
                <w:bCs/>
                <w:szCs w:val="21"/>
              </w:rPr>
              <w:t>加站数</w:t>
            </w:r>
          </w:p>
        </w:tc>
        <w:tc>
          <w:tcPr>
            <w:tcW w:w="1406" w:type="dxa"/>
            <w:tcBorders>
              <w:top w:val="single" w:sz="8" w:space="0" w:color="000000"/>
              <w:left w:val="nil"/>
              <w:bottom w:val="single" w:sz="8" w:space="0" w:color="000000"/>
              <w:right w:val="single" w:sz="8" w:space="0" w:color="000000"/>
            </w:tcBorders>
            <w:vAlign w:val="center"/>
          </w:tcPr>
          <w:p w:rsidR="009C63D4">
            <w:pPr>
              <w:widowControl/>
              <w:spacing w:line="260" w:lineRule="exact"/>
              <w:jc w:val="center"/>
              <w:rPr>
                <w:rFonts w:ascii="宋体" w:eastAsia="宋体" w:hAnsi="宋体" w:cs="Times New Roman"/>
                <w:b/>
                <w:bCs/>
                <w:szCs w:val="21"/>
              </w:rPr>
            </w:pPr>
            <w:r>
              <w:rPr>
                <w:rFonts w:ascii="宋体" w:eastAsia="宋体" w:hAnsi="宋体" w:cs="Times New Roman" w:hint="eastAsia"/>
                <w:b/>
                <w:bCs/>
                <w:szCs w:val="21"/>
              </w:rPr>
              <w:t>小计（套）</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东台市</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65</w:t>
            </w:r>
          </w:p>
        </w:tc>
        <w:tc>
          <w:tcPr>
            <w:tcW w:w="1919"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bookmarkStart w:id="61" w:name="OLE_LINK27"/>
            <w:r>
              <w:rPr>
                <w:rFonts w:ascii="宋体" w:eastAsia="宋体" w:hAnsi="宋体" w:cs="Times New Roman"/>
                <w:b/>
                <w:bCs/>
                <w:szCs w:val="21"/>
              </w:rPr>
              <w:t>/</w:t>
            </w:r>
            <w:bookmarkEnd w:id="61"/>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65</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盐城市大丰区</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56</w:t>
            </w:r>
          </w:p>
        </w:tc>
        <w:tc>
          <w:tcPr>
            <w:tcW w:w="1919" w:type="dxa"/>
            <w:tcBorders>
              <w:top w:val="nil"/>
              <w:left w:val="nil"/>
              <w:bottom w:val="single" w:sz="8" w:space="0" w:color="000000"/>
              <w:right w:val="single" w:sz="8" w:space="0" w:color="000000"/>
            </w:tcBorders>
          </w:tcPr>
          <w:p w:rsidR="009C63D4">
            <w:pPr>
              <w:jc w:val="center"/>
              <w:rPr>
                <w:rFonts w:ascii="Times New Roman" w:eastAsia="宋体" w:hAnsi="Times New Roman" w:cs="Times New Roman"/>
                <w:szCs w:val="21"/>
              </w:rPr>
            </w:pPr>
            <w:r>
              <w:rPr>
                <w:rFonts w:ascii="宋体" w:eastAsia="宋体" w:hAnsi="宋体" w:cs="Times New Roman"/>
                <w:b/>
                <w:bCs/>
                <w:szCs w:val="21"/>
              </w:rPr>
              <w:t>/</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56</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建湖县</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22</w:t>
            </w:r>
          </w:p>
        </w:tc>
        <w:tc>
          <w:tcPr>
            <w:tcW w:w="1919" w:type="dxa"/>
            <w:tcBorders>
              <w:top w:val="nil"/>
              <w:left w:val="nil"/>
              <w:bottom w:val="single" w:sz="8" w:space="0" w:color="000000"/>
              <w:right w:val="single" w:sz="8" w:space="0" w:color="000000"/>
            </w:tcBorders>
          </w:tcPr>
          <w:p w:rsidR="009C63D4">
            <w:pPr>
              <w:jc w:val="center"/>
              <w:rPr>
                <w:rFonts w:ascii="Times New Roman" w:eastAsia="宋体" w:hAnsi="Times New Roman" w:cs="Times New Roman"/>
                <w:szCs w:val="21"/>
              </w:rPr>
            </w:pPr>
            <w:r>
              <w:rPr>
                <w:rFonts w:ascii="宋体" w:eastAsia="宋体" w:hAnsi="宋体" w:cs="Times New Roman"/>
                <w:b/>
                <w:bCs/>
                <w:szCs w:val="21"/>
              </w:rPr>
              <w:t>/</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22</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射阳县</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57</w:t>
            </w:r>
          </w:p>
        </w:tc>
        <w:tc>
          <w:tcPr>
            <w:tcW w:w="1919" w:type="dxa"/>
            <w:tcBorders>
              <w:top w:val="nil"/>
              <w:left w:val="nil"/>
              <w:bottom w:val="single" w:sz="8" w:space="0" w:color="000000"/>
              <w:right w:val="single" w:sz="8" w:space="0" w:color="000000"/>
            </w:tcBorders>
          </w:tcPr>
          <w:p w:rsidR="009C63D4">
            <w:pPr>
              <w:jc w:val="center"/>
              <w:rPr>
                <w:rFonts w:ascii="Times New Roman" w:eastAsia="宋体" w:hAnsi="Times New Roman" w:cs="Times New Roman"/>
                <w:szCs w:val="21"/>
              </w:rPr>
            </w:pPr>
            <w:r>
              <w:rPr>
                <w:rFonts w:ascii="宋体" w:eastAsia="宋体" w:hAnsi="宋体" w:cs="Times New Roman"/>
                <w:b/>
                <w:bCs/>
                <w:szCs w:val="21"/>
              </w:rPr>
              <w:t>/</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57</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阜宁县</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15</w:t>
            </w:r>
          </w:p>
        </w:tc>
        <w:tc>
          <w:tcPr>
            <w:tcW w:w="1919"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69（龙卷多发区）</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84</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滨海县</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39</w:t>
            </w:r>
          </w:p>
        </w:tc>
        <w:tc>
          <w:tcPr>
            <w:tcW w:w="1919" w:type="dxa"/>
            <w:tcBorders>
              <w:top w:val="nil"/>
              <w:left w:val="nil"/>
              <w:bottom w:val="single" w:sz="8" w:space="0" w:color="000000"/>
              <w:right w:val="single" w:sz="8" w:space="0" w:color="000000"/>
            </w:tcBorders>
          </w:tcPr>
          <w:p w:rsidR="009C63D4">
            <w:pPr>
              <w:jc w:val="center"/>
              <w:rPr>
                <w:rFonts w:ascii="Times New Roman" w:eastAsia="宋体" w:hAnsi="Times New Roman" w:cs="Times New Roman"/>
                <w:szCs w:val="21"/>
              </w:rPr>
            </w:pPr>
            <w:r>
              <w:rPr>
                <w:rFonts w:ascii="宋体" w:eastAsia="宋体" w:hAnsi="宋体" w:cs="Times New Roman"/>
                <w:b/>
                <w:bCs/>
                <w:szCs w:val="21"/>
              </w:rPr>
              <w:t>/</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39</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响水县</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20</w:t>
            </w:r>
          </w:p>
        </w:tc>
        <w:tc>
          <w:tcPr>
            <w:tcW w:w="1919" w:type="dxa"/>
            <w:tcBorders>
              <w:top w:val="nil"/>
              <w:left w:val="nil"/>
              <w:bottom w:val="single" w:sz="8" w:space="0" w:color="000000"/>
              <w:right w:val="single" w:sz="8" w:space="0" w:color="000000"/>
            </w:tcBorders>
          </w:tcPr>
          <w:p w:rsidR="009C63D4">
            <w:pPr>
              <w:jc w:val="center"/>
              <w:rPr>
                <w:rFonts w:ascii="Times New Roman" w:eastAsia="宋体" w:hAnsi="Times New Roman" w:cs="Times New Roman"/>
                <w:szCs w:val="21"/>
              </w:rPr>
            </w:pPr>
            <w:r>
              <w:rPr>
                <w:rFonts w:ascii="宋体" w:eastAsia="宋体" w:hAnsi="宋体" w:cs="Times New Roman"/>
                <w:b/>
                <w:bCs/>
                <w:szCs w:val="21"/>
              </w:rPr>
              <w:t>/</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20</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盐城市盐都区</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11</w:t>
            </w:r>
          </w:p>
        </w:tc>
        <w:tc>
          <w:tcPr>
            <w:tcW w:w="1919"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12(主城区)</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23</w:t>
            </w:r>
          </w:p>
        </w:tc>
      </w:tr>
      <w:tr>
        <w:tblPrEx>
          <w:tblW w:w="7501" w:type="dxa"/>
          <w:jc w:val="center"/>
          <w:tblLayout w:type="fixed"/>
          <w:tblLook w:val="04A0"/>
        </w:tblPrEx>
        <w:trPr>
          <w:trHeight w:hRule="exact" w:val="51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szCs w:val="21"/>
              </w:rPr>
            </w:pPr>
            <w:r>
              <w:rPr>
                <w:rFonts w:ascii="宋体" w:eastAsia="宋体" w:hAnsi="宋体" w:cs="Times New Roman" w:hint="eastAsia"/>
                <w:szCs w:val="21"/>
              </w:rPr>
              <w:t>盐城市亭湖区</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23</w:t>
            </w:r>
          </w:p>
        </w:tc>
        <w:tc>
          <w:tcPr>
            <w:tcW w:w="1919"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12(主城区)</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35</w:t>
            </w:r>
          </w:p>
        </w:tc>
      </w:tr>
      <w:tr>
        <w:tblPrEx>
          <w:tblW w:w="7501" w:type="dxa"/>
          <w:jc w:val="center"/>
          <w:tblLayout w:type="fixed"/>
          <w:tblLook w:val="04A0"/>
        </w:tblPrEx>
        <w:trPr>
          <w:trHeight w:hRule="exact" w:val="750"/>
          <w:jc w:val="center"/>
        </w:trPr>
        <w:tc>
          <w:tcPr>
            <w:tcW w:w="1908" w:type="dxa"/>
            <w:tcBorders>
              <w:top w:val="nil"/>
              <w:left w:val="single" w:sz="8" w:space="0" w:color="000000"/>
              <w:bottom w:val="single" w:sz="8" w:space="0" w:color="000000"/>
              <w:right w:val="single" w:sz="8" w:space="0" w:color="000000"/>
            </w:tcBorders>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江苏省盐南高新技术产业开发区</w:t>
            </w:r>
          </w:p>
        </w:tc>
        <w:tc>
          <w:tcPr>
            <w:tcW w:w="2268"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3</w:t>
            </w:r>
          </w:p>
        </w:tc>
        <w:tc>
          <w:tcPr>
            <w:tcW w:w="1919"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7</w:t>
            </w:r>
          </w:p>
        </w:tc>
        <w:tc>
          <w:tcPr>
            <w:tcW w:w="1406" w:type="dxa"/>
            <w:tcBorders>
              <w:top w:val="nil"/>
              <w:left w:val="nil"/>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10</w:t>
            </w:r>
          </w:p>
        </w:tc>
      </w:tr>
      <w:tr>
        <w:tblPrEx>
          <w:tblW w:w="7501" w:type="dxa"/>
          <w:jc w:val="center"/>
          <w:tblLayout w:type="fixed"/>
          <w:tblLook w:val="04A0"/>
        </w:tblPrEx>
        <w:trPr>
          <w:trHeight w:hRule="exact" w:val="704"/>
          <w:jc w:val="center"/>
        </w:trPr>
        <w:tc>
          <w:tcPr>
            <w:tcW w:w="1908" w:type="dxa"/>
            <w:tcBorders>
              <w:top w:val="single" w:sz="8" w:space="0" w:color="000000"/>
              <w:left w:val="single" w:sz="8" w:space="0" w:color="000000"/>
              <w:bottom w:val="single" w:sz="8" w:space="0" w:color="000000"/>
              <w:right w:val="single" w:sz="8" w:space="0" w:color="000000"/>
            </w:tcBorders>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盐城经济技术开发区</w:t>
            </w:r>
          </w:p>
        </w:tc>
        <w:tc>
          <w:tcPr>
            <w:tcW w:w="2268" w:type="dxa"/>
            <w:tcBorders>
              <w:top w:val="single" w:sz="8" w:space="0" w:color="000000"/>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4</w:t>
            </w:r>
          </w:p>
        </w:tc>
        <w:tc>
          <w:tcPr>
            <w:tcW w:w="1919" w:type="dxa"/>
            <w:tcBorders>
              <w:top w:val="single" w:sz="8" w:space="0" w:color="000000"/>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15</w:t>
            </w:r>
          </w:p>
        </w:tc>
        <w:tc>
          <w:tcPr>
            <w:tcW w:w="1406" w:type="dxa"/>
            <w:tcBorders>
              <w:top w:val="single" w:sz="8" w:space="0" w:color="000000"/>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19</w:t>
            </w:r>
          </w:p>
        </w:tc>
      </w:tr>
      <w:tr>
        <w:tblPrEx>
          <w:tblW w:w="7501" w:type="dxa"/>
          <w:jc w:val="center"/>
          <w:tblLayout w:type="fixed"/>
          <w:tblLook w:val="04A0"/>
        </w:tblPrEx>
        <w:trPr>
          <w:trHeight w:hRule="exact" w:val="510"/>
          <w:jc w:val="center"/>
        </w:trPr>
        <w:tc>
          <w:tcPr>
            <w:tcW w:w="6095" w:type="dxa"/>
            <w:gridSpan w:val="3"/>
            <w:tcBorders>
              <w:top w:val="single" w:sz="8" w:space="0" w:color="000000"/>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hint="eastAsia"/>
                <w:spacing w:val="-16"/>
                <w:szCs w:val="21"/>
              </w:rPr>
              <w:t>合计（套）</w:t>
            </w:r>
          </w:p>
        </w:tc>
        <w:tc>
          <w:tcPr>
            <w:tcW w:w="1406" w:type="dxa"/>
            <w:tcBorders>
              <w:top w:val="single" w:sz="8" w:space="0" w:color="000000"/>
              <w:left w:val="single" w:sz="8" w:space="0" w:color="000000"/>
              <w:bottom w:val="single" w:sz="8" w:space="0" w:color="000000"/>
              <w:right w:val="single" w:sz="8" w:space="0" w:color="000000"/>
            </w:tcBorders>
            <w:vAlign w:val="center"/>
          </w:tcPr>
          <w:p w:rsidR="009C63D4">
            <w:pPr>
              <w:widowControl/>
              <w:spacing w:line="320" w:lineRule="exact"/>
              <w:jc w:val="center"/>
              <w:rPr>
                <w:rFonts w:ascii="宋体" w:eastAsia="宋体" w:hAnsi="宋体" w:cs="Times New Roman"/>
                <w:b/>
                <w:bCs/>
                <w:szCs w:val="21"/>
              </w:rPr>
            </w:pPr>
            <w:r>
              <w:rPr>
                <w:rFonts w:ascii="宋体" w:eastAsia="宋体" w:hAnsi="宋体" w:cs="Times New Roman"/>
                <w:b/>
                <w:bCs/>
                <w:szCs w:val="21"/>
              </w:rPr>
              <w:t>430</w:t>
            </w:r>
          </w:p>
        </w:tc>
      </w:tr>
    </w:tbl>
    <w:bookmarkEnd w:id="60"/>
    <w:p w:rsidR="009C63D4">
      <w:pPr>
        <w:autoSpaceDE w:val="0"/>
        <w:autoSpaceDN w:val="0"/>
        <w:adjustRightInd w:val="0"/>
        <w:spacing w:line="360" w:lineRule="auto"/>
        <w:ind w:firstLine="415"/>
        <w:jc w:val="left"/>
        <w:rPr>
          <w:rFonts w:ascii="宋体" w:eastAsia="宋体" w:hAnsi="宋体" w:cs="宋体"/>
          <w:b/>
          <w:bCs/>
          <w:szCs w:val="21"/>
        </w:rPr>
      </w:pPr>
      <w:r>
        <w:rPr>
          <w:rFonts w:ascii="宋体" w:eastAsia="宋体" w:hAnsi="宋体" w:cs="宋体"/>
          <w:szCs w:val="21"/>
        </w:rPr>
        <w:t>2.</w:t>
      </w:r>
      <w:r>
        <w:rPr>
          <w:rFonts w:ascii="宋体" w:eastAsia="宋体" w:hAnsi="宋体" w:cs="宋体" w:hint="eastAsia"/>
          <w:szCs w:val="21"/>
        </w:rPr>
        <w:t xml:space="preserve">3 </w:t>
      </w:r>
      <w:r>
        <w:rPr>
          <w:rFonts w:ascii="宋体" w:eastAsia="宋体" w:hAnsi="宋体" w:cs="宋体" w:hint="eastAsia"/>
          <w:b/>
          <w:bCs/>
          <w:szCs w:val="21"/>
        </w:rPr>
        <w:t>本次采购中标单位需分别与相关辖区气象部门或相关单位明确最终采购气象自动站数量，并签订采购合同，气象自动站单价以本次中标单价为准。</w:t>
      </w:r>
    </w:p>
    <w:p w:rsidR="009C63D4">
      <w:pPr>
        <w:autoSpaceDE w:val="0"/>
        <w:autoSpaceDN w:val="0"/>
        <w:adjustRightInd w:val="0"/>
        <w:spacing w:line="440" w:lineRule="exact"/>
        <w:ind w:firstLine="240"/>
        <w:rPr>
          <w:rFonts w:ascii="宋体" w:eastAsia="宋体" w:hAnsi="宋体" w:cs="宋体"/>
          <w:b/>
          <w:szCs w:val="21"/>
        </w:rPr>
      </w:pPr>
      <w:r>
        <w:rPr>
          <w:rFonts w:ascii="宋体" w:eastAsia="宋体" w:hAnsi="宋体" w:cs="宋体" w:hint="eastAsia"/>
          <w:b/>
          <w:szCs w:val="21"/>
        </w:rPr>
        <w:t>三、技术性能指标</w:t>
      </w:r>
    </w:p>
    <w:tbl>
      <w:tblPr>
        <w:tblStyle w:val="TableNormal"/>
        <w:tblW w:w="8662" w:type="dxa"/>
        <w:jc w:val="center"/>
        <w:tblLook w:val="04A0"/>
      </w:tblPr>
      <w:tblGrid>
        <w:gridCol w:w="1020"/>
        <w:gridCol w:w="1560"/>
        <w:gridCol w:w="6082"/>
      </w:tblGrid>
      <w:tr>
        <w:tblPrEx>
          <w:tblW w:w="8662" w:type="dxa"/>
          <w:jc w:val="center"/>
          <w:tblLook w:val="04A0"/>
        </w:tblPrEx>
        <w:trPr>
          <w:trHeight w:val="507"/>
          <w:jc w:val="center"/>
        </w:trPr>
        <w:tc>
          <w:tcPr>
            <w:tcW w:w="1020" w:type="dxa"/>
            <w:tcBorders>
              <w:top w:val="single" w:sz="4" w:space="0" w:color="auto"/>
              <w:left w:val="single" w:sz="4" w:space="0" w:color="auto"/>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bookmarkStart w:id="62" w:name="RANGE!A1"/>
            <w:r>
              <w:rPr>
                <w:rFonts w:ascii="宋体" w:eastAsia="宋体" w:hAnsi="宋体" w:cs="宋体" w:hint="eastAsia"/>
                <w:kern w:val="0"/>
                <w:szCs w:val="21"/>
              </w:rPr>
              <w:t>类别</w:t>
            </w:r>
            <w:bookmarkEnd w:id="62"/>
          </w:p>
        </w:tc>
        <w:tc>
          <w:tcPr>
            <w:tcW w:w="1560" w:type="dxa"/>
            <w:tcBorders>
              <w:top w:val="single" w:sz="4" w:space="0" w:color="auto"/>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指标名称</w:t>
            </w:r>
          </w:p>
        </w:tc>
        <w:tc>
          <w:tcPr>
            <w:tcW w:w="6082" w:type="dxa"/>
            <w:tcBorders>
              <w:top w:val="single" w:sz="4" w:space="0" w:color="auto"/>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描述</w:t>
            </w:r>
          </w:p>
        </w:tc>
      </w:tr>
      <w:tr>
        <w:tblPrEx>
          <w:tblW w:w="8662" w:type="dxa"/>
          <w:jc w:val="center"/>
          <w:tblLook w:val="04A0"/>
        </w:tblPrEx>
        <w:trPr>
          <w:trHeight w:val="288"/>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传感器</w:t>
            </w: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气温</w:t>
            </w:r>
          </w:p>
        </w:tc>
        <w:tc>
          <w:tcPr>
            <w:tcW w:w="6082" w:type="dxa"/>
            <w:tcBorders>
              <w:top w:val="nil"/>
              <w:left w:val="nil"/>
              <w:bottom w:val="single" w:sz="4" w:space="0" w:color="auto"/>
              <w:right w:val="single" w:sz="4" w:space="0" w:color="auto"/>
            </w:tcBorders>
            <w:shd w:val="clear" w:color="000000" w:fill="FFFFFF"/>
            <w:vAlign w:val="center"/>
          </w:tcPr>
          <w:p w:rsidR="009C63D4">
            <w:pPr>
              <w:rPr>
                <w:rFonts w:ascii="Times New Roman" w:eastAsia="宋体" w:hAnsi="Times New Roman" w:cs="Times New Roman"/>
                <w:szCs w:val="20"/>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最大允许误差：±</w:t>
            </w:r>
            <w:r>
              <w:rPr>
                <w:rFonts w:ascii="Times New Roman" w:eastAsia="宋体" w:hAnsi="Times New Roman" w:cs="Times New Roman"/>
                <w:szCs w:val="20"/>
              </w:rPr>
              <w:t>0.1</w:t>
            </w:r>
            <w:r>
              <w:rPr>
                <w:rFonts w:ascii="Times New Roman" w:eastAsia="宋体" w:hAnsi="Times New Roman" w:cs="Times New Roman" w:hint="eastAsia"/>
                <w:szCs w:val="20"/>
              </w:rPr>
              <w:t>℃</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湿度</w:t>
            </w:r>
          </w:p>
        </w:tc>
        <w:tc>
          <w:tcPr>
            <w:tcW w:w="6082" w:type="dxa"/>
            <w:tcBorders>
              <w:top w:val="nil"/>
              <w:left w:val="nil"/>
              <w:bottom w:val="single" w:sz="4" w:space="0" w:color="auto"/>
              <w:right w:val="single" w:sz="4" w:space="0" w:color="auto"/>
            </w:tcBorders>
            <w:shd w:val="clear" w:color="000000" w:fill="FFFFFF"/>
            <w:vAlign w:val="center"/>
          </w:tcPr>
          <w:p w:rsidR="009C63D4">
            <w:pPr>
              <w:rPr>
                <w:rFonts w:ascii="Times New Roman" w:eastAsia="宋体" w:hAnsi="Times New Roman" w:cs="Times New Roman"/>
                <w:szCs w:val="20"/>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测量范围：</w:t>
            </w:r>
            <w:r>
              <w:rPr>
                <w:rFonts w:ascii="Times New Roman" w:eastAsia="宋体" w:hAnsi="Times New Roman" w:cs="Times New Roman"/>
                <w:szCs w:val="20"/>
              </w:rPr>
              <w:t>5%</w:t>
            </w:r>
            <w:r>
              <w:rPr>
                <w:rFonts w:ascii="Times New Roman" w:eastAsia="宋体" w:hAnsi="Times New Roman" w:cs="Times New Roman" w:hint="eastAsia"/>
                <w:szCs w:val="20"/>
              </w:rPr>
              <w:t>～</w:t>
            </w:r>
            <w:r>
              <w:rPr>
                <w:rFonts w:ascii="Times New Roman" w:eastAsia="宋体" w:hAnsi="Times New Roman" w:cs="Times New Roman"/>
                <w:szCs w:val="20"/>
              </w:rPr>
              <w:t>100%</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6082" w:type="dxa"/>
            <w:tcBorders>
              <w:top w:val="nil"/>
              <w:left w:val="nil"/>
              <w:bottom w:val="single" w:sz="4" w:space="0" w:color="auto"/>
              <w:right w:val="single" w:sz="4" w:space="0" w:color="auto"/>
            </w:tcBorders>
            <w:shd w:val="clear" w:color="000000" w:fill="FFFFFF"/>
            <w:vAlign w:val="center"/>
          </w:tcPr>
          <w:p w:rsidR="009C63D4">
            <w:pPr>
              <w:rPr>
                <w:rFonts w:ascii="Times New Roman" w:eastAsia="宋体" w:hAnsi="Times New Roman" w:cs="Times New Roman"/>
                <w:szCs w:val="20"/>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最大允许误差：±</w:t>
            </w:r>
            <w:r>
              <w:rPr>
                <w:rFonts w:ascii="Times New Roman" w:eastAsia="宋体" w:hAnsi="Times New Roman" w:cs="Times New Roman"/>
                <w:szCs w:val="20"/>
              </w:rPr>
              <w:t>2%RH</w:t>
            </w:r>
            <w:r>
              <w:rPr>
                <w:rFonts w:ascii="Times New Roman" w:eastAsia="宋体" w:hAnsi="Times New Roman" w:cs="Times New Roman" w:hint="eastAsia"/>
                <w:szCs w:val="20"/>
              </w:rPr>
              <w:t>（≤</w:t>
            </w:r>
            <w:r>
              <w:rPr>
                <w:rFonts w:ascii="Times New Roman" w:eastAsia="宋体" w:hAnsi="Times New Roman" w:cs="Times New Roman"/>
                <w:szCs w:val="20"/>
              </w:rPr>
              <w:t>80%RH</w:t>
            </w:r>
            <w:r>
              <w:rPr>
                <w:rFonts w:ascii="Times New Roman" w:eastAsia="宋体" w:hAnsi="Times New Roman" w:cs="Times New Roman" w:hint="eastAsia"/>
                <w:szCs w:val="20"/>
              </w:rPr>
              <w:t>）</w:t>
            </w:r>
          </w:p>
          <w:p w:rsidR="009C63D4">
            <w:pPr>
              <w:rPr>
                <w:rFonts w:ascii="Times New Roman" w:eastAsia="宋体" w:hAnsi="Times New Roman" w:cs="Times New Roman"/>
                <w:szCs w:val="20"/>
              </w:rPr>
            </w:pPr>
            <w:r>
              <w:rPr>
                <w:rFonts w:ascii="Times New Roman" w:eastAsia="宋体" w:hAnsi="Times New Roman" w:cs="Times New Roman" w:hint="eastAsia"/>
                <w:szCs w:val="20"/>
              </w:rPr>
              <w:t>±</w:t>
            </w:r>
            <w:r>
              <w:rPr>
                <w:rFonts w:ascii="Times New Roman" w:eastAsia="宋体" w:hAnsi="Times New Roman" w:cs="Times New Roman"/>
                <w:szCs w:val="20"/>
              </w:rPr>
              <w:t>3%RH</w:t>
            </w:r>
            <w:r>
              <w:rPr>
                <w:rFonts w:ascii="Times New Roman" w:eastAsia="宋体" w:hAnsi="Times New Roman" w:cs="Times New Roman" w:hint="eastAsia"/>
                <w:szCs w:val="20"/>
              </w:rPr>
              <w:t>（＞</w:t>
            </w:r>
            <w:r>
              <w:rPr>
                <w:rFonts w:ascii="Times New Roman" w:eastAsia="宋体" w:hAnsi="Times New Roman" w:cs="Times New Roman"/>
                <w:szCs w:val="20"/>
              </w:rPr>
              <w:t>80%RH</w:t>
            </w:r>
            <w:r>
              <w:rPr>
                <w:rFonts w:ascii="Times New Roman" w:eastAsia="宋体" w:hAnsi="Times New Roman" w:cs="Times New Roman" w:hint="eastAsia"/>
                <w:szCs w:val="20"/>
              </w:rPr>
              <w:t>）</w:t>
            </w:r>
          </w:p>
        </w:tc>
      </w:tr>
      <w:tr w:rsidTr="00A02C49">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3D2C07">
            <w:pPr>
              <w:widowControl/>
              <w:jc w:val="left"/>
              <w:rPr>
                <w:rFonts w:ascii="宋体" w:eastAsia="宋体" w:hAnsi="宋体" w:cs="宋体"/>
                <w:kern w:val="0"/>
                <w:szCs w:val="21"/>
              </w:rPr>
            </w:pPr>
          </w:p>
        </w:tc>
        <w:tc>
          <w:tcPr>
            <w:tcW w:w="1560" w:type="dxa"/>
            <w:vMerge w:val="restart"/>
            <w:tcBorders>
              <w:top w:val="nil"/>
              <w:left w:val="single" w:sz="4" w:space="0" w:color="auto"/>
              <w:right w:val="single" w:sz="4" w:space="0" w:color="auto"/>
            </w:tcBorders>
            <w:vAlign w:val="center"/>
          </w:tcPr>
          <w:p w:rsidR="003D2C07" w:rsidP="00A02C49">
            <w:pPr>
              <w:jc w:val="center"/>
              <w:rPr>
                <w:rFonts w:ascii="宋体" w:eastAsia="宋体" w:hAnsi="宋体" w:cs="宋体"/>
                <w:kern w:val="0"/>
                <w:szCs w:val="21"/>
              </w:rPr>
            </w:pPr>
            <w:r>
              <w:rPr>
                <w:rFonts w:ascii="宋体" w:eastAsia="宋体" w:hAnsi="宋体" w:cs="宋体" w:hint="eastAsia"/>
                <w:kern w:val="0"/>
                <w:szCs w:val="21"/>
              </w:rPr>
              <w:t>风向</w:t>
            </w:r>
          </w:p>
        </w:tc>
        <w:tc>
          <w:tcPr>
            <w:tcW w:w="6082" w:type="dxa"/>
            <w:tcBorders>
              <w:top w:val="nil"/>
              <w:left w:val="nil"/>
              <w:bottom w:val="single" w:sz="4" w:space="0" w:color="auto"/>
              <w:right w:val="single" w:sz="4" w:space="0" w:color="auto"/>
            </w:tcBorders>
            <w:shd w:val="clear" w:color="000000" w:fill="FFFFFF"/>
            <w:vAlign w:val="center"/>
          </w:tcPr>
          <w:p w:rsidR="003D2C07">
            <w:pPr>
              <w:rPr>
                <w:rFonts w:ascii="Times New Roman" w:eastAsia="宋体" w:hAnsi="Times New Roman" w:cs="Times New Roman"/>
                <w:szCs w:val="20"/>
                <w:highlight w:val="yellow"/>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测量范围：</w:t>
            </w:r>
            <w:r>
              <w:rPr>
                <w:rFonts w:ascii="Times New Roman" w:eastAsia="宋体" w:hAnsi="Times New Roman" w:cs="Times New Roman"/>
                <w:szCs w:val="20"/>
              </w:rPr>
              <w:t>0</w:t>
            </w:r>
            <w:r>
              <w:rPr>
                <w:rFonts w:ascii="Times New Roman" w:eastAsia="宋体" w:hAnsi="Times New Roman" w:cs="Times New Roman" w:hint="eastAsia"/>
                <w:szCs w:val="20"/>
              </w:rPr>
              <w:t>°～</w:t>
            </w:r>
            <w:r>
              <w:rPr>
                <w:rFonts w:ascii="Times New Roman" w:eastAsia="宋体" w:hAnsi="Times New Roman" w:cs="Times New Roman"/>
                <w:szCs w:val="20"/>
              </w:rPr>
              <w:t>360</w:t>
            </w:r>
            <w:r>
              <w:rPr>
                <w:rFonts w:ascii="Times New Roman" w:eastAsia="宋体" w:hAnsi="Times New Roman" w:cs="Times New Roman" w:hint="eastAsia"/>
                <w:szCs w:val="20"/>
              </w:rPr>
              <w:t>°</w:t>
            </w:r>
          </w:p>
        </w:tc>
      </w:tr>
      <w:tr w:rsidTr="003D2C07">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3D2C07">
            <w:pPr>
              <w:widowControl/>
              <w:jc w:val="left"/>
              <w:rPr>
                <w:rFonts w:ascii="宋体" w:eastAsia="宋体" w:hAnsi="宋体" w:cs="宋体"/>
                <w:kern w:val="0"/>
                <w:szCs w:val="21"/>
              </w:rPr>
            </w:pPr>
          </w:p>
        </w:tc>
        <w:tc>
          <w:tcPr>
            <w:tcW w:w="1560" w:type="dxa"/>
            <w:vMerge/>
            <w:tcBorders>
              <w:left w:val="single" w:sz="4" w:space="0" w:color="auto"/>
              <w:bottom w:val="single" w:sz="4" w:space="0" w:color="auto"/>
              <w:right w:val="single" w:sz="4" w:space="0" w:color="auto"/>
            </w:tcBorders>
            <w:shd w:val="clear" w:color="000000" w:fill="FFFFFF"/>
            <w:vAlign w:val="center"/>
          </w:tcPr>
          <w:p w:rsidR="003D2C07">
            <w:pPr>
              <w:widowControl/>
              <w:jc w:val="center"/>
              <w:rPr>
                <w:rFonts w:ascii="宋体" w:eastAsia="宋体" w:hAnsi="宋体" w:cs="宋体"/>
                <w:kern w:val="0"/>
                <w:szCs w:val="21"/>
              </w:rPr>
            </w:pPr>
          </w:p>
        </w:tc>
        <w:tc>
          <w:tcPr>
            <w:tcW w:w="6082" w:type="dxa"/>
            <w:tcBorders>
              <w:top w:val="nil"/>
              <w:left w:val="nil"/>
              <w:bottom w:val="single" w:sz="4" w:space="0" w:color="auto"/>
              <w:right w:val="single" w:sz="4" w:space="0" w:color="auto"/>
            </w:tcBorders>
            <w:shd w:val="clear" w:color="000000" w:fill="FFFFFF"/>
            <w:vAlign w:val="center"/>
          </w:tcPr>
          <w:p w:rsidR="003D2C07">
            <w:pPr>
              <w:rPr>
                <w:rFonts w:ascii="Times New Roman" w:eastAsia="宋体" w:hAnsi="Times New Roman" w:cs="Times New Roman"/>
                <w:szCs w:val="20"/>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最大允许误差：±</w:t>
            </w:r>
            <w:r>
              <w:rPr>
                <w:rFonts w:ascii="Times New Roman" w:eastAsia="宋体" w:hAnsi="Times New Roman" w:cs="Times New Roman"/>
                <w:szCs w:val="20"/>
              </w:rPr>
              <w:t>5</w:t>
            </w:r>
            <w:r>
              <w:rPr>
                <w:rFonts w:ascii="Times New Roman" w:eastAsia="宋体" w:hAnsi="Times New Roman" w:cs="Times New Roman" w:hint="eastAsia"/>
                <w:szCs w:val="20"/>
              </w:rPr>
              <w:t>°</w:t>
            </w:r>
          </w:p>
        </w:tc>
      </w:tr>
      <w:tr w:rsidTr="003D2C07">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3D2C07">
            <w:pPr>
              <w:widowControl/>
              <w:jc w:val="left"/>
              <w:rPr>
                <w:rFonts w:ascii="宋体" w:eastAsia="宋体" w:hAnsi="宋体" w:cs="宋体"/>
                <w:kern w:val="0"/>
                <w:szCs w:val="21"/>
              </w:rPr>
            </w:pPr>
          </w:p>
        </w:tc>
        <w:tc>
          <w:tcPr>
            <w:tcW w:w="1560" w:type="dxa"/>
            <w:vMerge w:val="restart"/>
            <w:tcBorders>
              <w:top w:val="single" w:sz="4" w:space="0" w:color="auto"/>
              <w:left w:val="single" w:sz="4" w:space="0" w:color="auto"/>
              <w:right w:val="single" w:sz="4" w:space="0" w:color="auto"/>
            </w:tcBorders>
            <w:vAlign w:val="center"/>
          </w:tcPr>
          <w:p w:rsidR="003D2C07" w:rsidP="005838CB">
            <w:pPr>
              <w:jc w:val="center"/>
              <w:rPr>
                <w:rFonts w:ascii="宋体" w:eastAsia="宋体" w:hAnsi="宋体" w:cs="宋体"/>
                <w:kern w:val="0"/>
                <w:szCs w:val="21"/>
              </w:rPr>
            </w:pPr>
            <w:r>
              <w:rPr>
                <w:rFonts w:ascii="宋体" w:eastAsia="宋体" w:hAnsi="宋体" w:cs="宋体" w:hint="eastAsia"/>
                <w:kern w:val="0"/>
                <w:szCs w:val="21"/>
              </w:rPr>
              <w:t>风速</w:t>
            </w:r>
          </w:p>
        </w:tc>
        <w:tc>
          <w:tcPr>
            <w:tcW w:w="6082" w:type="dxa"/>
            <w:tcBorders>
              <w:top w:val="nil"/>
              <w:left w:val="nil"/>
              <w:bottom w:val="single" w:sz="4" w:space="0" w:color="auto"/>
              <w:right w:val="single" w:sz="4" w:space="0" w:color="auto"/>
            </w:tcBorders>
            <w:shd w:val="clear" w:color="000000" w:fill="FFFFFF"/>
            <w:vAlign w:val="center"/>
          </w:tcPr>
          <w:p w:rsidR="003D2C07">
            <w:pPr>
              <w:rPr>
                <w:rFonts w:ascii="Times New Roman" w:eastAsia="宋体" w:hAnsi="Times New Roman" w:cs="Times New Roman"/>
                <w:szCs w:val="20"/>
                <w:highlight w:val="yellow"/>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测量范围：</w:t>
            </w:r>
            <w:r>
              <w:rPr>
                <w:rFonts w:ascii="Times New Roman" w:eastAsia="宋体" w:hAnsi="Times New Roman" w:cs="Times New Roman"/>
                <w:szCs w:val="20"/>
              </w:rPr>
              <w:t>0</w:t>
            </w:r>
            <w:r>
              <w:rPr>
                <w:rFonts w:ascii="Times New Roman" w:eastAsia="宋体" w:hAnsi="Times New Roman" w:cs="Times New Roman" w:hint="eastAsia"/>
                <w:szCs w:val="20"/>
              </w:rPr>
              <w:t>～</w:t>
            </w:r>
            <w:r>
              <w:rPr>
                <w:rFonts w:ascii="Times New Roman" w:eastAsia="宋体" w:hAnsi="Times New Roman" w:cs="Times New Roman"/>
                <w:szCs w:val="20"/>
              </w:rPr>
              <w:t>60m/s</w:t>
            </w:r>
          </w:p>
        </w:tc>
      </w:tr>
      <w:tr w:rsidTr="001935AC">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3D2C07">
            <w:pPr>
              <w:widowControl/>
              <w:jc w:val="left"/>
              <w:rPr>
                <w:rFonts w:ascii="宋体" w:eastAsia="宋体" w:hAnsi="宋体" w:cs="宋体"/>
                <w:kern w:val="0"/>
                <w:szCs w:val="21"/>
              </w:rPr>
            </w:pPr>
          </w:p>
        </w:tc>
        <w:tc>
          <w:tcPr>
            <w:tcW w:w="1560" w:type="dxa"/>
            <w:vMerge/>
            <w:tcBorders>
              <w:left w:val="single" w:sz="4" w:space="0" w:color="auto"/>
              <w:bottom w:val="single" w:sz="4" w:space="0" w:color="auto"/>
              <w:right w:val="single" w:sz="4" w:space="0" w:color="auto"/>
            </w:tcBorders>
            <w:shd w:val="clear" w:color="000000" w:fill="FFFFFF"/>
            <w:vAlign w:val="center"/>
          </w:tcPr>
          <w:p w:rsidR="003D2C07">
            <w:pPr>
              <w:widowControl/>
              <w:jc w:val="center"/>
              <w:rPr>
                <w:rFonts w:ascii="宋体" w:eastAsia="宋体" w:hAnsi="宋体" w:cs="宋体"/>
                <w:kern w:val="0"/>
                <w:szCs w:val="21"/>
              </w:rPr>
            </w:pPr>
          </w:p>
        </w:tc>
        <w:tc>
          <w:tcPr>
            <w:tcW w:w="6082" w:type="dxa"/>
            <w:tcBorders>
              <w:top w:val="nil"/>
              <w:left w:val="nil"/>
              <w:bottom w:val="single" w:sz="4" w:space="0" w:color="auto"/>
              <w:right w:val="single" w:sz="4" w:space="0" w:color="auto"/>
            </w:tcBorders>
            <w:shd w:val="clear" w:color="000000" w:fill="FFFFFF"/>
            <w:vAlign w:val="center"/>
          </w:tcPr>
          <w:p w:rsidR="003D2C07">
            <w:pPr>
              <w:rPr>
                <w:rFonts w:ascii="Times New Roman" w:eastAsia="宋体" w:hAnsi="Times New Roman" w:cs="Times New Roman"/>
                <w:szCs w:val="20"/>
              </w:rPr>
            </w:pPr>
            <w:bookmarkStart w:id="63" w:name="OLE_LINK28"/>
            <w:r>
              <w:rPr>
                <w:rFonts w:ascii="Times New Roman" w:eastAsia="宋体" w:hAnsi="Times New Roman" w:cs="Times New Roman"/>
                <w:szCs w:val="20"/>
                <w:highlight w:val="yellow"/>
              </w:rPr>
              <w:t>#</w:t>
            </w:r>
            <w:bookmarkEnd w:id="63"/>
            <w:r>
              <w:rPr>
                <w:rFonts w:ascii="Times New Roman" w:eastAsia="宋体" w:hAnsi="Times New Roman" w:cs="Times New Roman" w:hint="eastAsia"/>
                <w:szCs w:val="20"/>
              </w:rPr>
              <w:t>最大允许误差：±</w:t>
            </w:r>
            <w:r>
              <w:rPr>
                <w:rFonts w:ascii="Times New Roman" w:eastAsia="宋体" w:hAnsi="Times New Roman" w:cs="Times New Roman"/>
                <w:szCs w:val="20"/>
              </w:rPr>
              <w:t>0.5m/s(</w:t>
            </w:r>
            <w:r>
              <w:rPr>
                <w:rFonts w:ascii="Times New Roman" w:eastAsia="宋体" w:hAnsi="Times New Roman" w:cs="Times New Roman" w:hint="eastAsia"/>
                <w:szCs w:val="20"/>
              </w:rPr>
              <w:t>≤</w:t>
            </w:r>
            <w:r>
              <w:rPr>
                <w:rFonts w:ascii="Times New Roman" w:eastAsia="宋体" w:hAnsi="Times New Roman" w:cs="Times New Roman"/>
                <w:szCs w:val="20"/>
              </w:rPr>
              <w:t>5m/s)</w:t>
            </w:r>
          </w:p>
          <w:p w:rsidR="003D2C07">
            <w:pPr>
              <w:rPr>
                <w:rFonts w:ascii="Times New Roman" w:eastAsia="宋体" w:hAnsi="Times New Roman" w:cs="Times New Roman"/>
                <w:szCs w:val="20"/>
              </w:rPr>
            </w:pPr>
            <w:r>
              <w:rPr>
                <w:rFonts w:ascii="Times New Roman" w:eastAsia="宋体" w:hAnsi="Times New Roman" w:cs="Times New Roman" w:hint="eastAsia"/>
                <w:szCs w:val="20"/>
              </w:rPr>
              <w:t>±</w:t>
            </w:r>
            <w:r>
              <w:rPr>
                <w:rFonts w:ascii="Times New Roman" w:eastAsia="宋体" w:hAnsi="Times New Roman" w:cs="Times New Roman"/>
                <w:szCs w:val="20"/>
              </w:rPr>
              <w:t>10%</w:t>
            </w:r>
            <w:r>
              <w:rPr>
                <w:rFonts w:ascii="Times New Roman" w:eastAsia="宋体" w:hAnsi="Times New Roman" w:cs="Times New Roman" w:hint="eastAsia"/>
                <w:szCs w:val="20"/>
              </w:rPr>
              <w:t>（＞</w:t>
            </w:r>
            <w:r>
              <w:rPr>
                <w:rFonts w:ascii="Times New Roman" w:eastAsia="宋体" w:hAnsi="Times New Roman" w:cs="Times New Roman"/>
                <w:szCs w:val="20"/>
              </w:rPr>
              <w:t>5m/s</w:t>
            </w:r>
            <w:r>
              <w:rPr>
                <w:rFonts w:ascii="Times New Roman" w:eastAsia="宋体" w:hAnsi="Times New Roman" w:cs="Times New Roman" w:hint="eastAsia"/>
                <w:szCs w:val="20"/>
              </w:rPr>
              <w:t>）</w:t>
            </w:r>
          </w:p>
        </w:tc>
      </w:tr>
      <w:tr w:rsidTr="001935AC">
        <w:tblPrEx>
          <w:tblW w:w="8662" w:type="dxa"/>
          <w:jc w:val="center"/>
          <w:tblLook w:val="04A0"/>
        </w:tblPrEx>
        <w:trPr>
          <w:trHeight w:val="553"/>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雨量</w:t>
            </w:r>
          </w:p>
        </w:tc>
        <w:tc>
          <w:tcPr>
            <w:tcW w:w="6082" w:type="dxa"/>
            <w:tcBorders>
              <w:top w:val="single" w:sz="4" w:space="0" w:color="auto"/>
              <w:left w:val="nil"/>
              <w:bottom w:val="single" w:sz="4" w:space="0" w:color="auto"/>
              <w:right w:val="single" w:sz="4" w:space="0" w:color="auto"/>
            </w:tcBorders>
            <w:shd w:val="clear" w:color="000000" w:fill="FFFFFF"/>
            <w:vAlign w:val="center"/>
          </w:tcPr>
          <w:p w:rsidR="009C63D4">
            <w:pPr>
              <w:rPr>
                <w:rFonts w:ascii="Times New Roman" w:eastAsia="宋体" w:hAnsi="Times New Roman" w:cs="Times New Roman"/>
                <w:szCs w:val="20"/>
              </w:rPr>
            </w:pPr>
            <w:r>
              <w:rPr>
                <w:rFonts w:ascii="Times New Roman" w:eastAsia="宋体" w:hAnsi="Times New Roman" w:cs="Times New Roman"/>
                <w:szCs w:val="20"/>
                <w:highlight w:val="yellow"/>
              </w:rPr>
              <w:t>#</w:t>
            </w:r>
            <w:r>
              <w:rPr>
                <w:rFonts w:ascii="Times New Roman" w:eastAsia="宋体" w:hAnsi="Times New Roman" w:cs="Times New Roman" w:hint="eastAsia"/>
                <w:szCs w:val="20"/>
              </w:rPr>
              <w:t>最大允许误差：±</w:t>
            </w:r>
            <w:r>
              <w:rPr>
                <w:rFonts w:ascii="Times New Roman" w:eastAsia="宋体" w:hAnsi="Times New Roman" w:cs="Times New Roman"/>
                <w:szCs w:val="20"/>
              </w:rPr>
              <w:t>0.4mm</w:t>
            </w:r>
            <w:r>
              <w:rPr>
                <w:rFonts w:ascii="Times New Roman" w:eastAsia="宋体" w:hAnsi="Times New Roman" w:cs="Times New Roman" w:hint="eastAsia"/>
                <w:szCs w:val="20"/>
              </w:rPr>
              <w:t>（≤</w:t>
            </w:r>
            <w:r>
              <w:rPr>
                <w:rFonts w:ascii="Times New Roman" w:eastAsia="宋体" w:hAnsi="Times New Roman" w:cs="Times New Roman"/>
                <w:szCs w:val="20"/>
              </w:rPr>
              <w:t>10mm</w:t>
            </w:r>
            <w:r>
              <w:rPr>
                <w:rFonts w:ascii="Times New Roman" w:eastAsia="宋体" w:hAnsi="Times New Roman" w:cs="Times New Roman" w:hint="eastAsia"/>
                <w:szCs w:val="20"/>
              </w:rPr>
              <w:t>）±</w:t>
            </w:r>
            <w:r>
              <w:rPr>
                <w:rFonts w:ascii="Times New Roman" w:eastAsia="宋体" w:hAnsi="Times New Roman" w:cs="Times New Roman"/>
                <w:szCs w:val="20"/>
              </w:rPr>
              <w:t>4%</w:t>
            </w:r>
            <w:r>
              <w:rPr>
                <w:rFonts w:ascii="Times New Roman" w:eastAsia="宋体" w:hAnsi="Times New Roman" w:cs="Times New Roman" w:hint="eastAsia"/>
                <w:szCs w:val="20"/>
              </w:rPr>
              <w:t>（＞</w:t>
            </w:r>
            <w:r>
              <w:rPr>
                <w:rFonts w:ascii="Times New Roman" w:eastAsia="宋体" w:hAnsi="Times New Roman" w:cs="Times New Roman"/>
                <w:szCs w:val="20"/>
              </w:rPr>
              <w:t>10mm</w:t>
            </w:r>
            <w:r>
              <w:rPr>
                <w:rFonts w:ascii="Times New Roman" w:eastAsia="宋体" w:hAnsi="Times New Roman" w:cs="Times New Roman" w:hint="eastAsia"/>
                <w:szCs w:val="20"/>
              </w:rPr>
              <w:t>）</w:t>
            </w:r>
          </w:p>
        </w:tc>
      </w:tr>
      <w:tr>
        <w:tblPrEx>
          <w:tblW w:w="8662" w:type="dxa"/>
          <w:jc w:val="center"/>
          <w:tblLook w:val="04A0"/>
        </w:tblPrEx>
        <w:trPr>
          <w:trHeight w:val="288"/>
          <w:jc w:val="center"/>
        </w:trPr>
        <w:tc>
          <w:tcPr>
            <w:tcW w:w="1020" w:type="dxa"/>
            <w:vMerge w:val="restart"/>
            <w:tcBorders>
              <w:top w:val="nil"/>
              <w:left w:val="single" w:sz="4" w:space="0" w:color="auto"/>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集成处理器</w:t>
            </w: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远程管理</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宋体" w:eastAsia="宋体" w:hAnsi="宋体" w:cs="宋体"/>
                <w:kern w:val="0"/>
                <w:szCs w:val="21"/>
              </w:rPr>
            </w:pPr>
            <w:r>
              <w:rPr>
                <w:rFonts w:ascii="宋体" w:eastAsia="宋体" w:hAnsi="宋体" w:cs="宋体" w:hint="eastAsia"/>
                <w:kern w:val="0"/>
                <w:szCs w:val="21"/>
              </w:rPr>
              <w:t>具备自动远程升级能力</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管理辅助设备</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宋体" w:eastAsia="宋体" w:hAnsi="宋体" w:cs="宋体"/>
                <w:kern w:val="0"/>
                <w:szCs w:val="21"/>
              </w:rPr>
            </w:pPr>
            <w:r>
              <w:rPr>
                <w:rFonts w:ascii="宋体" w:eastAsia="宋体" w:hAnsi="宋体" w:cs="宋体" w:hint="eastAsia"/>
                <w:kern w:val="0"/>
                <w:szCs w:val="21"/>
              </w:rPr>
              <w:t>管理如定位等其他辅助设备</w:t>
            </w:r>
          </w:p>
        </w:tc>
      </w:tr>
      <w:tr>
        <w:tblPrEx>
          <w:tblW w:w="8662" w:type="dxa"/>
          <w:jc w:val="center"/>
          <w:tblLook w:val="04A0"/>
        </w:tblPrEx>
        <w:trPr>
          <w:trHeight w:val="288"/>
          <w:jc w:val="center"/>
        </w:trPr>
        <w:tc>
          <w:tcPr>
            <w:tcW w:w="1020" w:type="dxa"/>
            <w:vMerge w:val="restart"/>
            <w:tcBorders>
              <w:top w:val="nil"/>
              <w:left w:val="single" w:sz="4" w:space="0" w:color="auto"/>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功能指标</w:t>
            </w: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传输方式</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Times New Roman" w:eastAsia="宋体" w:hAnsi="Times New Roman" w:cs="Times New Roman"/>
                <w:kern w:val="0"/>
                <w:szCs w:val="21"/>
              </w:rPr>
            </w:pPr>
            <w:r>
              <w:rPr>
                <w:rFonts w:ascii="Times New Roman" w:eastAsia="宋体" w:hAnsi="Times New Roman" w:cs="Times New Roman"/>
                <w:kern w:val="0"/>
                <w:szCs w:val="21"/>
              </w:rPr>
              <w:t>4G</w:t>
            </w:r>
            <w:r>
              <w:rPr>
                <w:rFonts w:ascii="宋体" w:eastAsia="宋体" w:hAnsi="宋体" w:cs="Times New Roman" w:hint="eastAsia"/>
                <w:kern w:val="0"/>
                <w:szCs w:val="21"/>
              </w:rPr>
              <w:t>通讯</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状态数据</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宋体" w:eastAsia="宋体" w:hAnsi="宋体" w:cs="宋体"/>
                <w:kern w:val="0"/>
                <w:szCs w:val="21"/>
              </w:rPr>
            </w:pPr>
            <w:r>
              <w:rPr>
                <w:rFonts w:ascii="宋体" w:eastAsia="宋体" w:hAnsi="宋体" w:cs="宋体" w:hint="eastAsia"/>
                <w:kern w:val="0"/>
                <w:szCs w:val="21"/>
              </w:rPr>
              <w:t>有</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站内设备扩展性</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宋体" w:eastAsia="宋体" w:hAnsi="宋体" w:cs="宋体"/>
                <w:kern w:val="0"/>
                <w:szCs w:val="21"/>
              </w:rPr>
            </w:pPr>
            <w:r>
              <w:rPr>
                <w:rFonts w:ascii="宋体" w:eastAsia="宋体" w:hAnsi="宋体" w:cs="宋体" w:hint="eastAsia"/>
                <w:kern w:val="0"/>
                <w:szCs w:val="21"/>
              </w:rPr>
              <w:t>灵活添加删除设备</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nil"/>
              <w:left w:val="nil"/>
              <w:bottom w:val="single" w:sz="4" w:space="0" w:color="auto"/>
              <w:right w:val="single" w:sz="4" w:space="0" w:color="auto"/>
            </w:tcBorders>
            <w:shd w:val="clear" w:color="000000" w:fill="FFFFFF"/>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标准化</w:t>
            </w:r>
          </w:p>
        </w:tc>
        <w:tc>
          <w:tcPr>
            <w:tcW w:w="6082" w:type="dxa"/>
            <w:tcBorders>
              <w:top w:val="nil"/>
              <w:left w:val="nil"/>
              <w:bottom w:val="single" w:sz="4" w:space="0" w:color="auto"/>
              <w:right w:val="single" w:sz="4" w:space="0" w:color="auto"/>
            </w:tcBorders>
            <w:shd w:val="clear" w:color="000000" w:fill="FFFFFF"/>
            <w:vAlign w:val="center"/>
          </w:tcPr>
          <w:p w:rsidR="009C63D4">
            <w:pPr>
              <w:widowControl/>
              <w:rPr>
                <w:rFonts w:ascii="宋体" w:eastAsia="宋体" w:hAnsi="宋体" w:cs="宋体"/>
                <w:kern w:val="0"/>
                <w:szCs w:val="21"/>
              </w:rPr>
            </w:pPr>
            <w:r>
              <w:rPr>
                <w:rFonts w:ascii="宋体" w:eastAsia="宋体" w:hAnsi="宋体" w:cs="宋体" w:hint="eastAsia"/>
                <w:kern w:val="0"/>
                <w:szCs w:val="21"/>
              </w:rPr>
              <w:t>观测装备可相互替换</w:t>
            </w:r>
          </w:p>
        </w:tc>
      </w:tr>
      <w:tr>
        <w:tblPrEx>
          <w:tblW w:w="8662" w:type="dxa"/>
          <w:jc w:val="center"/>
          <w:tblLook w:val="04A0"/>
        </w:tblPrEx>
        <w:trPr>
          <w:trHeight w:val="288"/>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组网方式</w:t>
            </w:r>
          </w:p>
        </w:tc>
        <w:tc>
          <w:tcPr>
            <w:tcW w:w="1560" w:type="dxa"/>
            <w:tcBorders>
              <w:top w:val="nil"/>
              <w:left w:val="nil"/>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模式</w:t>
            </w:r>
          </w:p>
        </w:tc>
        <w:tc>
          <w:tcPr>
            <w:tcW w:w="6082" w:type="dxa"/>
            <w:tcBorders>
              <w:top w:val="nil"/>
              <w:left w:val="nil"/>
              <w:bottom w:val="single" w:sz="4" w:space="0" w:color="auto"/>
              <w:right w:val="single" w:sz="4" w:space="0" w:color="auto"/>
            </w:tcBorders>
            <w:shd w:val="clear" w:color="auto" w:fill="auto"/>
            <w:vAlign w:val="center"/>
          </w:tcPr>
          <w:p w:rsidR="009C63D4">
            <w:pPr>
              <w:widowControl/>
              <w:rPr>
                <w:rFonts w:ascii="宋体" w:eastAsia="宋体" w:hAnsi="宋体" w:cs="宋体"/>
                <w:kern w:val="0"/>
                <w:szCs w:val="21"/>
              </w:rPr>
            </w:pPr>
            <w:r>
              <w:rPr>
                <w:rFonts w:ascii="宋体" w:eastAsia="宋体" w:hAnsi="宋体" w:cs="宋体" w:hint="eastAsia"/>
                <w:kern w:val="0"/>
                <w:szCs w:val="21"/>
              </w:rPr>
              <w:t>云</w:t>
            </w:r>
            <w:r>
              <w:rPr>
                <w:rFonts w:ascii="Times New Roman" w:eastAsia="宋体" w:hAnsi="Times New Roman" w:cs="Times New Roman"/>
                <w:kern w:val="0"/>
                <w:szCs w:val="21"/>
              </w:rPr>
              <w:t>+</w:t>
            </w:r>
            <w:r>
              <w:rPr>
                <w:rFonts w:ascii="宋体" w:eastAsia="宋体" w:hAnsi="宋体" w:cs="宋体" w:hint="eastAsia"/>
                <w:kern w:val="0"/>
                <w:szCs w:val="21"/>
              </w:rPr>
              <w:t>端（扁平结构）</w:t>
            </w:r>
          </w:p>
        </w:tc>
      </w:tr>
      <w:tr>
        <w:tblPrEx>
          <w:tblW w:w="8662" w:type="dxa"/>
          <w:jc w:val="center"/>
          <w:tblLook w:val="04A0"/>
        </w:tblPrEx>
        <w:trPr>
          <w:trHeight w:val="288"/>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供电系统</w:t>
            </w:r>
          </w:p>
        </w:tc>
        <w:tc>
          <w:tcPr>
            <w:tcW w:w="1560" w:type="dxa"/>
            <w:tcBorders>
              <w:top w:val="nil"/>
              <w:left w:val="nil"/>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储能器件</w:t>
            </w:r>
          </w:p>
        </w:tc>
        <w:tc>
          <w:tcPr>
            <w:tcW w:w="6082" w:type="dxa"/>
            <w:tcBorders>
              <w:top w:val="nil"/>
              <w:left w:val="nil"/>
              <w:bottom w:val="single" w:sz="4" w:space="0" w:color="auto"/>
              <w:right w:val="single" w:sz="4" w:space="0" w:color="auto"/>
            </w:tcBorders>
            <w:shd w:val="clear" w:color="auto" w:fill="auto"/>
            <w:vAlign w:val="center"/>
          </w:tcPr>
          <w:p w:rsidR="009C63D4">
            <w:pPr>
              <w:widowControl/>
              <w:rPr>
                <w:rFonts w:ascii="宋体" w:eastAsia="宋体" w:hAnsi="宋体" w:cs="宋体"/>
                <w:kern w:val="0"/>
                <w:szCs w:val="21"/>
              </w:rPr>
            </w:pPr>
            <w:r>
              <w:rPr>
                <w:rFonts w:ascii="宋体" w:eastAsia="宋体" w:hAnsi="宋体" w:cs="宋体" w:hint="eastAsia"/>
                <w:kern w:val="0"/>
                <w:szCs w:val="21"/>
              </w:rPr>
              <w:t>铅晶电池</w:t>
            </w:r>
          </w:p>
        </w:tc>
      </w:tr>
      <w:tr>
        <w:tblPrEx>
          <w:tblW w:w="8662" w:type="dxa"/>
          <w:jc w:val="center"/>
          <w:tblLook w:val="04A0"/>
        </w:tblPrEx>
        <w:trPr>
          <w:trHeight w:val="288"/>
          <w:jc w:val="center"/>
        </w:trPr>
        <w:tc>
          <w:tcPr>
            <w:tcW w:w="1020" w:type="dxa"/>
            <w:vMerge/>
            <w:tcBorders>
              <w:top w:val="nil"/>
              <w:left w:val="single" w:sz="4" w:space="0" w:color="auto"/>
              <w:bottom w:val="single" w:sz="4" w:space="0" w:color="auto"/>
              <w:right w:val="single" w:sz="4" w:space="0" w:color="auto"/>
            </w:tcBorders>
            <w:vAlign w:val="center"/>
          </w:tcPr>
          <w:p w:rsidR="009C63D4">
            <w:pPr>
              <w:widowControl/>
              <w:jc w:val="left"/>
              <w:rPr>
                <w:rFonts w:ascii="宋体" w:eastAsia="宋体" w:hAnsi="宋体" w:cs="宋体"/>
                <w:kern w:val="0"/>
                <w:szCs w:val="21"/>
              </w:rPr>
            </w:pPr>
          </w:p>
        </w:tc>
        <w:tc>
          <w:tcPr>
            <w:tcW w:w="1560" w:type="dxa"/>
            <w:tcBorders>
              <w:top w:val="nil"/>
              <w:left w:val="nil"/>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控制器</w:t>
            </w:r>
          </w:p>
        </w:tc>
        <w:tc>
          <w:tcPr>
            <w:tcW w:w="6082" w:type="dxa"/>
            <w:tcBorders>
              <w:top w:val="nil"/>
              <w:left w:val="nil"/>
              <w:bottom w:val="single" w:sz="4" w:space="0" w:color="auto"/>
              <w:right w:val="single" w:sz="4" w:space="0" w:color="auto"/>
            </w:tcBorders>
            <w:shd w:val="clear" w:color="auto" w:fill="auto"/>
            <w:vAlign w:val="center"/>
          </w:tcPr>
          <w:p w:rsidR="009C63D4">
            <w:pPr>
              <w:widowControl/>
              <w:rPr>
                <w:rFonts w:ascii="宋体" w:eastAsia="宋体" w:hAnsi="宋体" w:cs="宋体"/>
                <w:kern w:val="0"/>
                <w:szCs w:val="21"/>
              </w:rPr>
            </w:pPr>
            <w:r>
              <w:rPr>
                <w:rFonts w:ascii="宋体" w:eastAsia="宋体" w:hAnsi="宋体" w:cs="宋体" w:hint="eastAsia"/>
                <w:kern w:val="0"/>
                <w:szCs w:val="21"/>
              </w:rPr>
              <w:t>供电信息</w:t>
            </w:r>
          </w:p>
        </w:tc>
      </w:tr>
      <w:tr>
        <w:tblPrEx>
          <w:tblW w:w="8662" w:type="dxa"/>
          <w:jc w:val="center"/>
          <w:tblLook w:val="04A0"/>
        </w:tblPrEx>
        <w:trPr>
          <w:trHeight w:val="553"/>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可靠性</w:t>
            </w:r>
          </w:p>
        </w:tc>
        <w:tc>
          <w:tcPr>
            <w:tcW w:w="1560" w:type="dxa"/>
            <w:tcBorders>
              <w:top w:val="nil"/>
              <w:left w:val="nil"/>
              <w:bottom w:val="single" w:sz="4" w:space="0" w:color="auto"/>
              <w:right w:val="single" w:sz="4" w:space="0" w:color="auto"/>
            </w:tcBorders>
            <w:shd w:val="clear" w:color="auto" w:fill="auto"/>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测量仪和集成处理器</w:t>
            </w:r>
          </w:p>
        </w:tc>
        <w:tc>
          <w:tcPr>
            <w:tcW w:w="6082" w:type="dxa"/>
            <w:tcBorders>
              <w:top w:val="nil"/>
              <w:left w:val="nil"/>
              <w:bottom w:val="single" w:sz="4" w:space="0" w:color="auto"/>
              <w:right w:val="single" w:sz="4" w:space="0" w:color="auto"/>
            </w:tcBorders>
            <w:shd w:val="clear" w:color="auto" w:fill="auto"/>
            <w:vAlign w:val="center"/>
          </w:tcPr>
          <w:p w:rsidR="009C63D4">
            <w:pPr>
              <w:widowControl/>
              <w:rPr>
                <w:rFonts w:ascii="Times New Roman" w:eastAsia="宋体" w:hAnsi="Times New Roman" w:cs="Times New Roman"/>
                <w:kern w:val="0"/>
                <w:szCs w:val="21"/>
              </w:rPr>
            </w:pPr>
            <w:r>
              <w:rPr>
                <w:rFonts w:ascii="Times New Roman" w:eastAsia="宋体" w:hAnsi="Times New Roman" w:cs="Times New Roman"/>
                <w:szCs w:val="20"/>
                <w:highlight w:val="yellow"/>
              </w:rPr>
              <w:t>#</w:t>
            </w:r>
            <w:r>
              <w:rPr>
                <w:rFonts w:ascii="宋体" w:eastAsia="宋体" w:hAnsi="宋体" w:cs="Times New Roman" w:hint="eastAsia"/>
                <w:kern w:val="0"/>
                <w:szCs w:val="21"/>
              </w:rPr>
              <w:t>具备第三方环境适应性测试报告，具备超过</w:t>
            </w:r>
            <w:r>
              <w:rPr>
                <w:rFonts w:ascii="Times New Roman" w:eastAsia="宋体" w:hAnsi="Times New Roman" w:cs="Times New Roman"/>
                <w:kern w:val="0"/>
                <w:szCs w:val="21"/>
              </w:rPr>
              <w:t xml:space="preserve"> 2000 </w:t>
            </w:r>
            <w:r>
              <w:rPr>
                <w:rFonts w:ascii="宋体" w:eastAsia="宋体" w:hAnsi="宋体" w:cs="Times New Roman" w:hint="eastAsia"/>
                <w:kern w:val="0"/>
                <w:szCs w:val="21"/>
              </w:rPr>
              <w:t>小时的不间断可靠工作报告</w:t>
            </w:r>
          </w:p>
        </w:tc>
      </w:tr>
      <w:tr>
        <w:tblPrEx>
          <w:tblW w:w="8662" w:type="dxa"/>
          <w:jc w:val="center"/>
          <w:tblLook w:val="04A0"/>
        </w:tblPrEx>
        <w:trPr>
          <w:trHeight w:val="288"/>
          <w:jc w:val="center"/>
        </w:trPr>
        <w:tc>
          <w:tcPr>
            <w:tcW w:w="8662" w:type="dxa"/>
            <w:gridSpan w:val="3"/>
            <w:tcBorders>
              <w:top w:val="single" w:sz="4" w:space="0" w:color="auto"/>
              <w:left w:val="single" w:sz="4" w:space="0" w:color="auto"/>
              <w:bottom w:val="nil"/>
              <w:right w:val="single" w:sz="4" w:space="0" w:color="000000"/>
            </w:tcBorders>
            <w:shd w:val="clear" w:color="auto" w:fill="auto"/>
            <w:vAlign w:val="center"/>
          </w:tcPr>
          <w:p w:rsidR="009C63D4">
            <w:pPr>
              <w:widowControl/>
              <w:rPr>
                <w:rFonts w:ascii="宋体" w:eastAsia="宋体" w:hAnsi="宋体" w:cs="宋体"/>
                <w:kern w:val="0"/>
                <w:szCs w:val="21"/>
              </w:rPr>
            </w:pPr>
            <w:r>
              <w:rPr>
                <w:rFonts w:ascii="宋体" w:eastAsia="宋体" w:hAnsi="宋体" w:cs="宋体" w:hint="eastAsia"/>
                <w:kern w:val="0"/>
                <w:szCs w:val="21"/>
              </w:rPr>
              <w:t>（</w:t>
            </w:r>
            <w:r>
              <w:rPr>
                <w:rFonts w:ascii="Times New Roman" w:eastAsia="宋体" w:hAnsi="Times New Roman" w:cs="Times New Roman"/>
                <w:kern w:val="0"/>
                <w:szCs w:val="21"/>
              </w:rPr>
              <w:t>1</w:t>
            </w:r>
            <w:r>
              <w:rPr>
                <w:rFonts w:ascii="宋体" w:eastAsia="宋体" w:hAnsi="宋体" w:cs="宋体" w:hint="eastAsia"/>
                <w:kern w:val="0"/>
                <w:szCs w:val="21"/>
              </w:rPr>
              <w:t>）质保期：</w:t>
            </w:r>
            <w:r>
              <w:rPr>
                <w:rFonts w:ascii="Times New Roman" w:eastAsia="宋体" w:hAnsi="Times New Roman" w:cs="Times New Roman" w:hint="eastAsia"/>
                <w:kern w:val="0"/>
                <w:szCs w:val="21"/>
              </w:rPr>
              <w:t>8</w:t>
            </w:r>
            <w:r>
              <w:rPr>
                <w:rFonts w:ascii="宋体" w:eastAsia="宋体" w:hAnsi="宋体" w:cs="宋体" w:hint="eastAsia"/>
                <w:kern w:val="0"/>
                <w:szCs w:val="21"/>
              </w:rPr>
              <w:t>年；</w:t>
            </w:r>
          </w:p>
        </w:tc>
      </w:tr>
      <w:tr>
        <w:tblPrEx>
          <w:tblW w:w="8662" w:type="dxa"/>
          <w:jc w:val="center"/>
          <w:tblLook w:val="04A0"/>
        </w:tblPrEx>
        <w:trPr>
          <w:trHeight w:val="611"/>
          <w:jc w:val="center"/>
        </w:trPr>
        <w:tc>
          <w:tcPr>
            <w:tcW w:w="8662" w:type="dxa"/>
            <w:gridSpan w:val="3"/>
            <w:tcBorders>
              <w:top w:val="nil"/>
              <w:left w:val="single" w:sz="4" w:space="0" w:color="auto"/>
              <w:bottom w:val="single" w:sz="4" w:space="0" w:color="auto"/>
              <w:right w:val="single" w:sz="4" w:space="0" w:color="000000"/>
            </w:tcBorders>
            <w:shd w:val="clear" w:color="auto" w:fill="auto"/>
            <w:vAlign w:val="center"/>
          </w:tcPr>
          <w:p w:rsidR="009C63D4">
            <w:pPr>
              <w:widowControl/>
              <w:rPr>
                <w:rFonts w:ascii="宋体" w:eastAsia="宋体" w:hAnsi="宋体" w:cs="宋体"/>
                <w:kern w:val="0"/>
                <w:szCs w:val="21"/>
              </w:rPr>
            </w:pPr>
            <w:r>
              <w:rPr>
                <w:rFonts w:ascii="宋体" w:eastAsia="宋体" w:hAnsi="宋体" w:cs="宋体" w:hint="eastAsia"/>
                <w:kern w:val="0"/>
                <w:szCs w:val="21"/>
              </w:rPr>
              <w:t>（</w:t>
            </w:r>
            <w:r>
              <w:rPr>
                <w:rFonts w:ascii="Times New Roman" w:eastAsia="宋体" w:hAnsi="Times New Roman" w:cs="Times New Roman"/>
                <w:kern w:val="0"/>
                <w:szCs w:val="21"/>
              </w:rPr>
              <w:t>2</w:t>
            </w:r>
            <w:r>
              <w:rPr>
                <w:rFonts w:ascii="宋体" w:eastAsia="宋体" w:hAnsi="宋体" w:cs="宋体" w:hint="eastAsia"/>
                <w:kern w:val="0"/>
                <w:szCs w:val="21"/>
              </w:rPr>
              <w:t>）智能气温测量仪、智能湿度测量仪、智能风测量仪、智能翻斗式雨量</w:t>
            </w:r>
            <w:r>
              <w:rPr>
                <w:rFonts w:ascii="宋体" w:eastAsia="宋体" w:hAnsi="宋体" w:cs="宋体" w:hint="eastAsia"/>
                <w:kern w:val="0"/>
                <w:szCs w:val="21"/>
              </w:rPr>
              <w:t>测量仪须具有</w:t>
            </w:r>
            <w:r>
              <w:rPr>
                <w:rFonts w:ascii="宋体" w:eastAsia="宋体" w:hAnsi="宋体" w:cs="宋体" w:hint="eastAsia"/>
                <w:kern w:val="0"/>
                <w:szCs w:val="21"/>
              </w:rPr>
              <w:t>气象专用技术装备使用许可证。</w:t>
            </w:r>
          </w:p>
        </w:tc>
      </w:tr>
    </w:tbl>
    <w:p w:rsidR="009C63D4">
      <w:pPr>
        <w:rPr>
          <w:rFonts w:ascii="Times New Roman" w:eastAsia="宋体" w:hAnsi="Times New Roman" w:cs="Times New Roman"/>
          <w:szCs w:val="20"/>
        </w:rPr>
      </w:pPr>
    </w:p>
    <w:p w:rsidR="009C63D4">
      <w:pPr>
        <w:rPr>
          <w:rFonts w:ascii="Times New Roman" w:eastAsia="宋体" w:hAnsi="Times New Roman" w:cs="Times New Roman"/>
          <w:b/>
          <w:szCs w:val="20"/>
        </w:rPr>
      </w:pPr>
      <w:r>
        <w:rPr>
          <w:rFonts w:ascii="Times New Roman" w:eastAsia="宋体" w:hAnsi="Times New Roman" w:cs="Times New Roman" w:hint="eastAsia"/>
          <w:b/>
          <w:szCs w:val="20"/>
        </w:rPr>
        <w:t>四、单套设备配置清单</w:t>
      </w:r>
    </w:p>
    <w:tbl>
      <w:tblPr>
        <w:tblStyle w:val="TableNormal"/>
        <w:tblW w:w="8747" w:type="dxa"/>
        <w:jc w:val="center"/>
        <w:tblLook w:val="04A0"/>
      </w:tblPr>
      <w:tblGrid>
        <w:gridCol w:w="1020"/>
        <w:gridCol w:w="4665"/>
        <w:gridCol w:w="3062"/>
      </w:tblGrid>
      <w:tr>
        <w:tblPrEx>
          <w:tblW w:w="8747" w:type="dxa"/>
          <w:jc w:val="center"/>
          <w:tblLook w:val="04A0"/>
        </w:tblPrEx>
        <w:trPr>
          <w:trHeight w:val="311"/>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序号</w:t>
            </w:r>
          </w:p>
        </w:tc>
        <w:tc>
          <w:tcPr>
            <w:tcW w:w="4665" w:type="dxa"/>
            <w:tcBorders>
              <w:top w:val="single" w:sz="4" w:space="0" w:color="auto"/>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项目</w:t>
            </w:r>
          </w:p>
        </w:tc>
        <w:tc>
          <w:tcPr>
            <w:tcW w:w="3062" w:type="dxa"/>
            <w:tcBorders>
              <w:top w:val="single" w:sz="4" w:space="0" w:color="auto"/>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数量</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一</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主控制系统</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　</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数据采集系统</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2</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szCs w:val="21"/>
              </w:rPr>
            </w:pPr>
            <w:r>
              <w:rPr>
                <w:rFonts w:ascii="宋体" w:eastAsia="宋体" w:hAnsi="宋体" w:cs="宋体" w:hint="eastAsia"/>
                <w:kern w:val="0"/>
                <w:szCs w:val="21"/>
              </w:rPr>
              <w:t>4G通信模块</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二</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传感器</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　</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智能气温测量仪</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2</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智能湿度测量仪</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3</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智能风测量仪</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4</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智能翻斗雨量测量仪</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三</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供电及附件</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 xml:space="preserve"> </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太阳能供电系统</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2</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通讯、信号和供电电缆</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3</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风横臂</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4</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百叶箱</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5</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温湿度支架</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6</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风杆</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四</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服务及工程</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b/>
                <w:bCs/>
                <w:kern w:val="0"/>
              </w:rPr>
            </w:pPr>
            <w:r>
              <w:rPr>
                <w:rFonts w:ascii="宋体" w:eastAsia="宋体" w:hAnsi="宋体" w:cs="宋体" w:hint="eastAsia"/>
                <w:b/>
                <w:bCs/>
                <w:kern w:val="0"/>
                <w:sz w:val="24"/>
                <w:szCs w:val="24"/>
              </w:rPr>
              <w:t>　</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包装、运输及保险费</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2</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安装调试费</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3</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基础安装</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r>
        <w:tblPrEx>
          <w:tblW w:w="8747" w:type="dxa"/>
          <w:jc w:val="center"/>
          <w:tblLook w:val="04A0"/>
        </w:tblPrEx>
        <w:trPr>
          <w:trHeight w:val="311"/>
          <w:jc w:val="center"/>
        </w:trPr>
        <w:tc>
          <w:tcPr>
            <w:tcW w:w="1020" w:type="dxa"/>
            <w:tcBorders>
              <w:top w:val="nil"/>
              <w:left w:val="single" w:sz="4" w:space="0" w:color="auto"/>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4</w:t>
            </w:r>
          </w:p>
        </w:tc>
        <w:tc>
          <w:tcPr>
            <w:tcW w:w="4665"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围栏</w:t>
            </w:r>
          </w:p>
        </w:tc>
        <w:tc>
          <w:tcPr>
            <w:tcW w:w="3062" w:type="dxa"/>
            <w:tcBorders>
              <w:top w:val="nil"/>
              <w:left w:val="nil"/>
              <w:bottom w:val="single" w:sz="4" w:space="0" w:color="auto"/>
              <w:right w:val="single" w:sz="4" w:space="0" w:color="auto"/>
            </w:tcBorders>
            <w:shd w:val="clear" w:color="auto" w:fill="auto"/>
            <w:noWrap/>
            <w:vAlign w:val="center"/>
          </w:tcPr>
          <w:p w:rsidR="009C63D4">
            <w:pPr>
              <w:widowControl/>
              <w:jc w:val="center"/>
              <w:rPr>
                <w:rFonts w:ascii="宋体" w:eastAsia="宋体" w:hAnsi="宋体" w:cs="宋体"/>
                <w:kern w:val="0"/>
              </w:rPr>
            </w:pPr>
            <w:r>
              <w:rPr>
                <w:rFonts w:ascii="宋体" w:eastAsia="宋体" w:hAnsi="宋体" w:cs="宋体" w:hint="eastAsia"/>
                <w:kern w:val="0"/>
                <w:sz w:val="24"/>
                <w:szCs w:val="24"/>
              </w:rPr>
              <w:t>1</w:t>
            </w:r>
          </w:p>
        </w:tc>
      </w:tr>
    </w:tbl>
    <w:p w:rsidR="009C63D4">
      <w:pPr>
        <w:rPr>
          <w:rFonts w:ascii="Times New Roman" w:eastAsia="宋体" w:hAnsi="Times New Roman" w:cs="Times New Roman"/>
          <w:szCs w:val="20"/>
        </w:rPr>
      </w:pPr>
    </w:p>
    <w:p w:rsidR="009C63D4">
      <w:pPr>
        <w:spacing w:line="560" w:lineRule="exact"/>
        <w:outlineLvl w:val="2"/>
        <w:rPr>
          <w:rFonts w:ascii="Times New Roman" w:eastAsia="宋体" w:hAnsi="Times New Roman" w:cs="Times New Roman"/>
          <w:b/>
          <w:szCs w:val="21"/>
        </w:rPr>
      </w:pPr>
      <w:r>
        <w:rPr>
          <w:rFonts w:ascii="Times New Roman" w:eastAsia="宋体" w:hAnsi="Times New Roman" w:cs="Times New Roman" w:hint="eastAsia"/>
          <w:b/>
          <w:szCs w:val="21"/>
        </w:rPr>
        <w:t>五、项目组织管理和技术培训方案</w:t>
      </w:r>
    </w:p>
    <w:p w:rsidR="009C63D4">
      <w:pPr>
        <w:keepNext/>
        <w:keepLines/>
        <w:spacing w:line="560" w:lineRule="exact"/>
        <w:ind w:firstLine="422" w:firstLineChars="201"/>
        <w:outlineLvl w:val="4"/>
        <w:rPr>
          <w:rFonts w:ascii="宋体" w:eastAsia="宋体" w:hAnsi="宋体" w:cs="Times New Roman"/>
          <w:b/>
          <w:bCs/>
          <w:szCs w:val="21"/>
        </w:rPr>
      </w:pPr>
      <w:r>
        <w:rPr>
          <w:rFonts w:ascii="宋体" w:eastAsia="宋体" w:hAnsi="宋体" w:cs="Times New Roman"/>
          <w:b/>
          <w:bCs/>
          <w:szCs w:val="21"/>
        </w:rPr>
        <w:t>5.1设备出厂</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1）保证所提供产品的数量、质量。</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2）出厂前要经</w:t>
      </w:r>
      <w:r>
        <w:rPr>
          <w:rFonts w:ascii="宋体" w:eastAsia="宋体" w:hAnsi="宋体" w:cs="宋体" w:hint="eastAsia"/>
          <w:szCs w:val="21"/>
        </w:rPr>
        <w:t>招标人严格测试和检查，确保设备长期稳定、可靠地运行。</w:t>
      </w:r>
    </w:p>
    <w:p w:rsidR="009C63D4">
      <w:pPr>
        <w:keepNext/>
        <w:keepLines/>
        <w:spacing w:line="560" w:lineRule="exact"/>
        <w:ind w:firstLine="422" w:firstLineChars="201"/>
        <w:outlineLvl w:val="4"/>
        <w:rPr>
          <w:rFonts w:ascii="宋体" w:eastAsia="宋体" w:hAnsi="宋体" w:cs="Times New Roman"/>
          <w:b/>
          <w:bCs/>
          <w:szCs w:val="21"/>
        </w:rPr>
      </w:pPr>
      <w:r>
        <w:rPr>
          <w:rFonts w:ascii="宋体" w:eastAsia="宋体" w:hAnsi="宋体" w:cs="Times New Roman"/>
          <w:b/>
          <w:bCs/>
          <w:szCs w:val="21"/>
        </w:rPr>
        <w:t>5.2包装和运输要求</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1）中标人须在合同签</w:t>
      </w:r>
      <w:r>
        <w:rPr>
          <w:rFonts w:ascii="宋体" w:eastAsia="宋体" w:hAnsi="宋体" w:cs="宋体" w:hint="eastAsia"/>
          <w:szCs w:val="21"/>
        </w:rPr>
        <w:t>订后按约定时间将设备运到招标人指定的地点，运费由中标人承担。</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2）设备的精密部件要用木箱包装，箱内应有填充物，以防振动。箱外要有防水、朝上标记或“小心轻放”字样。一般不易损坏的零部件可用纸箱或其它方式包装。如因</w:t>
      </w:r>
      <w:r>
        <w:rPr>
          <w:rFonts w:ascii="宋体" w:eastAsia="宋体" w:hAnsi="宋体" w:cs="宋体" w:hint="eastAsia"/>
          <w:szCs w:val="21"/>
        </w:rPr>
        <w:t>中标人包装不当等原因造成损坏和丢失，应由</w:t>
      </w:r>
      <w:bookmarkStart w:id="64" w:name="OLE_LINK21"/>
      <w:bookmarkStart w:id="65" w:name="OLE_LINK22"/>
      <w:r>
        <w:rPr>
          <w:rFonts w:ascii="宋体" w:eastAsia="宋体" w:hAnsi="宋体" w:cs="宋体" w:hint="eastAsia"/>
          <w:szCs w:val="21"/>
        </w:rPr>
        <w:t>中标人</w:t>
      </w:r>
      <w:bookmarkEnd w:id="64"/>
      <w:bookmarkEnd w:id="65"/>
      <w:r>
        <w:rPr>
          <w:rFonts w:ascii="宋体" w:eastAsia="宋体" w:hAnsi="宋体" w:cs="宋体" w:hint="eastAsia"/>
          <w:szCs w:val="21"/>
        </w:rPr>
        <w:t>负责免费修复或补缺，因此而拖延的工期，按照延迟发货对待。</w:t>
      </w:r>
    </w:p>
    <w:p w:rsidR="009C63D4">
      <w:pPr>
        <w:keepNext/>
        <w:keepLines/>
        <w:spacing w:line="560" w:lineRule="exact"/>
        <w:ind w:firstLine="422" w:firstLineChars="201"/>
        <w:outlineLvl w:val="4"/>
        <w:rPr>
          <w:rFonts w:ascii="宋体" w:eastAsia="宋体" w:hAnsi="宋体" w:cs="Times New Roman"/>
          <w:b/>
          <w:bCs/>
          <w:szCs w:val="21"/>
        </w:rPr>
      </w:pPr>
      <w:r>
        <w:rPr>
          <w:rFonts w:ascii="宋体" w:eastAsia="宋体" w:hAnsi="宋体" w:cs="Times New Roman"/>
          <w:b/>
          <w:bCs/>
          <w:szCs w:val="21"/>
        </w:rPr>
        <w:t>5.3安装、调试</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1）设备安装由中标人负责。</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2）设备的基础建设（包括预埋件、防雷等基础建设）和设备安装由中标人负责。基</w:t>
      </w:r>
      <w:r>
        <w:rPr>
          <w:rFonts w:ascii="宋体" w:eastAsia="宋体" w:hAnsi="宋体" w:cs="宋体" w:hint="eastAsia"/>
          <w:szCs w:val="21"/>
        </w:rPr>
        <w:t>础建设和安装调试费等相关费用均包含在报价中。</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3）设备安装调试过程中，中标人应作详细检验记录。安装调试结果应该符合有关标</w:t>
      </w:r>
      <w:r>
        <w:rPr>
          <w:rFonts w:ascii="宋体" w:eastAsia="宋体" w:hAnsi="宋体" w:cs="宋体"/>
          <w:szCs w:val="21"/>
        </w:rPr>
        <w:t>准的要求。检验记录应提供给</w:t>
      </w:r>
      <w:r>
        <w:rPr>
          <w:rFonts w:ascii="宋体" w:eastAsia="宋体" w:hAnsi="宋体" w:cs="宋体" w:hint="eastAsia"/>
          <w:szCs w:val="21"/>
        </w:rPr>
        <w:t>招标人。</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4）在系统设备安装和调试期间，</w:t>
      </w:r>
      <w:r>
        <w:rPr>
          <w:rFonts w:ascii="宋体" w:eastAsia="宋体" w:hAnsi="宋体" w:cs="宋体" w:hint="eastAsia"/>
          <w:szCs w:val="21"/>
        </w:rPr>
        <w:t>招标人有权派出技术人员参加，中标人有义务对其进行指导。</w:t>
      </w:r>
    </w:p>
    <w:p w:rsidR="009C63D4">
      <w:pPr>
        <w:snapToGrid w:val="0"/>
        <w:spacing w:line="56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5）中标人提出设备调试的内容、项目、指标和方法，提供全部安装、调试过程中所需的特殊工具和易损件，并自带专用仪器仪表设备。中标人有责任对</w:t>
      </w:r>
      <w:r>
        <w:rPr>
          <w:rFonts w:ascii="宋体" w:eastAsia="宋体" w:hAnsi="宋体" w:cs="宋体" w:hint="eastAsia"/>
          <w:szCs w:val="21"/>
        </w:rPr>
        <w:t>招标人的技术人员提出的问题</w:t>
      </w:r>
      <w:r>
        <w:rPr>
          <w:rFonts w:ascii="宋体" w:eastAsia="宋体" w:hAnsi="宋体" w:cs="宋体" w:hint="eastAsia"/>
          <w:szCs w:val="21"/>
        </w:rPr>
        <w:t>作出</w:t>
      </w:r>
      <w:r>
        <w:rPr>
          <w:rFonts w:ascii="宋体" w:eastAsia="宋体" w:hAnsi="宋体" w:cs="宋体" w:hint="eastAsia"/>
          <w:szCs w:val="21"/>
        </w:rPr>
        <w:t>解答。调试应进行详细记录，系统调试结束后，由中标</w:t>
      </w:r>
      <w:r>
        <w:rPr>
          <w:rFonts w:ascii="宋体" w:eastAsia="宋体" w:hAnsi="宋体" w:cs="宋体" w:hint="eastAsia"/>
          <w:szCs w:val="21"/>
        </w:rPr>
        <w:t>人设备</w:t>
      </w:r>
      <w:r>
        <w:rPr>
          <w:rFonts w:ascii="宋体" w:eastAsia="宋体" w:hAnsi="宋体" w:cs="宋体" w:hint="eastAsia"/>
          <w:szCs w:val="21"/>
        </w:rPr>
        <w:t>安装调试技术人员签字后交给招标人验收。</w:t>
      </w:r>
    </w:p>
    <w:p w:rsidR="009C63D4">
      <w:pPr>
        <w:keepNext/>
        <w:keepLines/>
        <w:spacing w:line="360" w:lineRule="auto"/>
        <w:ind w:firstLine="422" w:firstLineChars="201"/>
        <w:outlineLvl w:val="4"/>
        <w:rPr>
          <w:rFonts w:ascii="宋体" w:eastAsia="宋体" w:hAnsi="宋体" w:cs="宋体"/>
          <w:szCs w:val="21"/>
        </w:rPr>
      </w:pPr>
      <w:r>
        <w:rPr>
          <w:rFonts w:ascii="宋体" w:eastAsia="宋体" w:hAnsi="宋体" w:cs="宋体" w:hint="eastAsia"/>
          <w:szCs w:val="21"/>
        </w:rPr>
        <w:t>（</w:t>
      </w:r>
      <w:r>
        <w:rPr>
          <w:rFonts w:ascii="宋体" w:eastAsia="宋体" w:hAnsi="宋体" w:cs="宋体"/>
          <w:szCs w:val="21"/>
        </w:rPr>
        <w:t>6）安装地点如下</w:t>
      </w:r>
    </w:p>
    <w:p w:rsidR="009C63D4">
      <w:pPr>
        <w:keepNext/>
        <w:keepLines/>
        <w:spacing w:line="560" w:lineRule="exact"/>
        <w:ind w:firstLine="422" w:firstLineChars="201"/>
        <w:outlineLvl w:val="4"/>
        <w:rPr>
          <w:rFonts w:ascii="宋体" w:eastAsia="宋体" w:hAnsi="宋体" w:cs="Times New Roman"/>
          <w:szCs w:val="21"/>
        </w:rPr>
      </w:pPr>
      <w:r>
        <w:rPr>
          <w:rFonts w:ascii="宋体" w:eastAsia="宋体" w:hAnsi="宋体" w:cs="Times New Roman" w:hint="eastAsia"/>
          <w:szCs w:val="21"/>
        </w:rPr>
        <w:t>本项目所涉及的全部安装费用（包括但不限于基础施工、设备安装、现场调试等相关开支）均已包含在投标报价内，无需针对安装费用单独列出分项报价。若需获取各站点的精确建设位置（经纬度），</w:t>
      </w:r>
      <w:r>
        <w:rPr>
          <w:rFonts w:ascii="宋体" w:eastAsia="宋体" w:hAnsi="宋体" w:cs="Times New Roman" w:hint="eastAsia"/>
          <w:szCs w:val="21"/>
        </w:rPr>
        <w:t>需前往</w:t>
      </w:r>
      <w:r>
        <w:rPr>
          <w:rFonts w:ascii="宋体" w:eastAsia="宋体" w:hAnsi="宋体" w:cs="Times New Roman" w:hint="eastAsia"/>
          <w:szCs w:val="21"/>
        </w:rPr>
        <w:t>采购人处获取详细信息。</w:t>
      </w:r>
    </w:p>
    <w:p w:rsidR="009C63D4">
      <w:pPr>
        <w:keepNext/>
        <w:keepLines/>
        <w:spacing w:line="560" w:lineRule="exact"/>
        <w:ind w:firstLine="420" w:firstLineChars="200"/>
        <w:outlineLvl w:val="4"/>
        <w:rPr>
          <w:rFonts w:ascii="宋体" w:eastAsia="宋体" w:hAnsi="宋体" w:cs="Times New Roman"/>
          <w:b/>
          <w:bCs/>
          <w:szCs w:val="21"/>
        </w:rPr>
      </w:pPr>
      <w:r>
        <w:rPr>
          <w:rFonts w:ascii="宋体" w:eastAsia="宋体" w:hAnsi="宋体" w:cs="Times New Roman"/>
          <w:b/>
          <w:bCs/>
          <w:szCs w:val="21"/>
        </w:rPr>
        <w:t>5.4设备验收</w:t>
      </w:r>
    </w:p>
    <w:p w:rsidR="009C63D4">
      <w:pPr>
        <w:snapToGrid w:val="0"/>
        <w:spacing w:line="560" w:lineRule="exact"/>
        <w:ind w:firstLine="420" w:firstLineChars="200"/>
        <w:rPr>
          <w:rFonts w:ascii="Times New Roman" w:eastAsia="宋体" w:hAnsi="Times New Roman" w:cs="Times New Roman"/>
          <w:szCs w:val="21"/>
        </w:rPr>
      </w:pPr>
      <w:r>
        <w:rPr>
          <w:rFonts w:ascii="宋体" w:eastAsia="宋体" w:hAnsi="宋体" w:cs="宋体" w:hint="eastAsia"/>
          <w:szCs w:val="21"/>
        </w:rPr>
        <w:t>（</w:t>
      </w:r>
      <w:r>
        <w:rPr>
          <w:rFonts w:ascii="宋体" w:eastAsia="宋体" w:hAnsi="宋体" w:cs="宋体"/>
          <w:szCs w:val="21"/>
        </w:rPr>
        <w:t>1）设备出厂前，</w:t>
      </w:r>
      <w:r>
        <w:rPr>
          <w:rFonts w:ascii="宋体" w:eastAsia="宋体" w:hAnsi="宋体" w:cs="宋体" w:hint="eastAsia"/>
          <w:szCs w:val="21"/>
        </w:rPr>
        <w:t>招标人有权派人到工厂进行检验，中标人应在设备出厂前提供出厂检验项目指标测试程序和检验方法，供招标人参考，招标人可根据需要进行补充和修改。招标人委托</w:t>
      </w:r>
      <w:r>
        <w:rPr>
          <w:rFonts w:ascii="Times New Roman" w:eastAsia="宋体" w:hAnsi="Times New Roman" w:cs="Times New Roman" w:hint="eastAsia"/>
          <w:szCs w:val="21"/>
        </w:rPr>
        <w:t>有关部门</w:t>
      </w:r>
      <w:r>
        <w:rPr>
          <w:rFonts w:ascii="Times New Roman" w:eastAsia="宋体" w:hAnsi="Times New Roman" w:cs="Times New Roman" w:hint="eastAsia"/>
          <w:szCs w:val="21"/>
        </w:rPr>
        <w:t>赴生产</w:t>
      </w:r>
      <w:r>
        <w:rPr>
          <w:rFonts w:ascii="Times New Roman" w:eastAsia="宋体" w:hAnsi="Times New Roman" w:cs="Times New Roman" w:hint="eastAsia"/>
          <w:szCs w:val="21"/>
        </w:rPr>
        <w:t>厂家按验收规程做出厂抽检验收，这种验收不能降低中标人的责任。所有的测试设备应满足测试要求并在计量检定有效期内。</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2</w:t>
      </w:r>
      <w:r>
        <w:rPr>
          <w:rFonts w:ascii="Times New Roman" w:eastAsia="宋体" w:hAnsi="Times New Roman" w:cs="Times New Roman" w:hint="eastAsia"/>
          <w:szCs w:val="21"/>
        </w:rPr>
        <w:t>）设备安装、调试达到功能规格需求书规定的指标后，可进行初步验收。验收规范</w:t>
      </w:r>
      <w:r>
        <w:rPr>
          <w:rFonts w:ascii="Times New Roman" w:eastAsia="宋体" w:hAnsi="Times New Roman" w:cs="Times New Roman"/>
          <w:szCs w:val="21"/>
        </w:rPr>
        <w:t>(</w:t>
      </w:r>
      <w:r>
        <w:rPr>
          <w:rFonts w:ascii="Times New Roman" w:eastAsia="宋体" w:hAnsi="Times New Roman" w:cs="Times New Roman" w:hint="eastAsia"/>
          <w:szCs w:val="21"/>
        </w:rPr>
        <w:t>包括项目、指标、方式和测试仪器等</w:t>
      </w:r>
      <w:r>
        <w:rPr>
          <w:rFonts w:ascii="Times New Roman" w:eastAsia="宋体" w:hAnsi="Times New Roman" w:cs="Times New Roman"/>
          <w:szCs w:val="21"/>
        </w:rPr>
        <w:t>)</w:t>
      </w:r>
      <w:r>
        <w:rPr>
          <w:rFonts w:ascii="Times New Roman" w:eastAsia="宋体" w:hAnsi="Times New Roman" w:cs="Times New Roman" w:hint="eastAsia"/>
          <w:szCs w:val="21"/>
        </w:rPr>
        <w:t>应由中标人在前一个月提交给招标人。招标人可根据合同及功能规格需求书和以及招标人的有关规定进行修改和补充，经双方确认后形成验收文件作为验收依据。验收测试合格后，双方签署初验合格协议，设备进入试运行期。</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3</w:t>
      </w:r>
      <w:r>
        <w:rPr>
          <w:rFonts w:ascii="Times New Roman" w:eastAsia="宋体" w:hAnsi="Times New Roman" w:cs="Times New Roman" w:hint="eastAsia"/>
          <w:szCs w:val="21"/>
        </w:rPr>
        <w:t>）设备经过试运行期，达到功能规格需求书的要求时，可进行最终验收。在试运行期间，由于设备质量等造成某些指标达不到要求，允许中标人更换或进行修复，但试运行期按要求延长。</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）设备安装调试和试运行结束后，招标人组织最终验收。当满足以下条件时，招标人确认验收合格签署验收合格证：</w:t>
      </w:r>
    </w:p>
    <w:p w:rsidR="009C63D4">
      <w:pPr>
        <w:numPr>
          <w:ilvl w:val="0"/>
          <w:numId w:val="4"/>
        </w:numPr>
        <w:spacing w:line="560" w:lineRule="exact"/>
        <w:rPr>
          <w:rFonts w:ascii="Times New Roman" w:eastAsia="宋体" w:hAnsi="Times New Roman" w:cs="Times New Roman"/>
          <w:szCs w:val="21"/>
        </w:rPr>
      </w:pPr>
      <w:r>
        <w:rPr>
          <w:rFonts w:ascii="Times New Roman" w:eastAsia="宋体" w:hAnsi="Times New Roman" w:cs="Times New Roman" w:hint="eastAsia"/>
          <w:szCs w:val="21"/>
        </w:rPr>
        <w:t>中标人已提供合同中签署的全部货物及</w:t>
      </w:r>
      <w:r>
        <w:rPr>
          <w:rFonts w:ascii="Times New Roman" w:eastAsia="宋体" w:hAnsi="Times New Roman" w:cs="Times New Roman" w:hint="eastAsia"/>
          <w:szCs w:val="21"/>
        </w:rPr>
        <w:t>完整技术</w:t>
      </w:r>
      <w:r>
        <w:rPr>
          <w:rFonts w:ascii="Times New Roman" w:eastAsia="宋体" w:hAnsi="Times New Roman" w:cs="Times New Roman" w:hint="eastAsia"/>
          <w:szCs w:val="21"/>
        </w:rPr>
        <w:t>资料；</w:t>
      </w:r>
    </w:p>
    <w:p w:rsidR="009C63D4">
      <w:pPr>
        <w:numPr>
          <w:ilvl w:val="0"/>
          <w:numId w:val="4"/>
        </w:numPr>
        <w:spacing w:line="560" w:lineRule="exact"/>
        <w:rPr>
          <w:rFonts w:ascii="Times New Roman" w:eastAsia="宋体" w:hAnsi="Times New Roman" w:cs="Times New Roman"/>
          <w:szCs w:val="21"/>
        </w:rPr>
      </w:pPr>
      <w:r>
        <w:rPr>
          <w:rFonts w:ascii="Times New Roman" w:eastAsia="宋体" w:hAnsi="Times New Roman" w:cs="Times New Roman" w:hint="eastAsia"/>
          <w:szCs w:val="21"/>
        </w:rPr>
        <w:t>货物符合技术规格，性能满足要求；</w:t>
      </w:r>
    </w:p>
    <w:p w:rsidR="009C63D4">
      <w:pPr>
        <w:numPr>
          <w:ilvl w:val="0"/>
          <w:numId w:val="4"/>
        </w:numPr>
        <w:spacing w:line="560" w:lineRule="exact"/>
        <w:rPr>
          <w:rFonts w:ascii="Times New Roman" w:eastAsia="宋体" w:hAnsi="Times New Roman" w:cs="Times New Roman"/>
          <w:szCs w:val="21"/>
        </w:rPr>
      </w:pPr>
      <w:r>
        <w:rPr>
          <w:rFonts w:ascii="Times New Roman" w:eastAsia="宋体" w:hAnsi="Times New Roman" w:cs="Times New Roman" w:hint="eastAsia"/>
          <w:szCs w:val="21"/>
        </w:rPr>
        <w:t>安装工程符合技术要求，系统性能满足要求，设备正常运行。</w:t>
      </w:r>
    </w:p>
    <w:p w:rsidR="009C63D4">
      <w:pPr>
        <w:keepNext/>
        <w:keepLines/>
        <w:spacing w:line="560" w:lineRule="exact"/>
        <w:ind w:firstLine="422" w:firstLineChars="201"/>
        <w:outlineLvl w:val="4"/>
        <w:rPr>
          <w:rFonts w:ascii="宋体" w:eastAsia="宋体" w:hAnsi="宋体" w:cs="Times New Roman"/>
          <w:b/>
          <w:bCs/>
          <w:szCs w:val="21"/>
        </w:rPr>
      </w:pPr>
      <w:r>
        <w:rPr>
          <w:rFonts w:ascii="宋体" w:eastAsia="宋体" w:hAnsi="宋体" w:cs="Times New Roman"/>
          <w:b/>
          <w:bCs/>
          <w:szCs w:val="21"/>
        </w:rPr>
        <w:t>5.5售后服务</w:t>
      </w:r>
    </w:p>
    <w:p w:rsidR="009C63D4">
      <w:pPr>
        <w:spacing w:line="560" w:lineRule="exact"/>
        <w:ind w:firstLine="630" w:firstLineChars="300"/>
        <w:rPr>
          <w:rFonts w:ascii="Times New Roman" w:eastAsia="宋体" w:hAnsi="Times New Roman" w:cs="Times New Roman"/>
          <w:szCs w:val="21"/>
        </w:rPr>
      </w:pPr>
      <w:bookmarkStart w:id="66" w:name="OLE_LINK1"/>
      <w:bookmarkStart w:id="67" w:name="OLE_LINK6"/>
      <w:r>
        <w:rPr>
          <w:rFonts w:ascii="宋体" w:eastAsia="宋体" w:hAnsi="宋体" w:cs="宋体" w:hint="eastAsia"/>
          <w:szCs w:val="21"/>
        </w:rPr>
        <w:t xml:space="preserve">*  </w:t>
      </w:r>
      <w:r>
        <w:rPr>
          <w:rFonts w:ascii="Times New Roman" w:eastAsia="宋体" w:hAnsi="Times New Roman" w:cs="Times New Roman" w:hint="eastAsia"/>
          <w:szCs w:val="21"/>
        </w:rPr>
        <w:t>本项目</w:t>
      </w:r>
      <w:bookmarkStart w:id="68" w:name="OLE_LINK40"/>
      <w:bookmarkStart w:id="69" w:name="OLE_LINK39"/>
      <w:r>
        <w:rPr>
          <w:rFonts w:ascii="Times New Roman" w:eastAsia="宋体" w:hAnsi="Times New Roman" w:cs="Times New Roman" w:hint="eastAsia"/>
          <w:szCs w:val="21"/>
        </w:rPr>
        <w:t>质保期限</w:t>
      </w:r>
      <w:r>
        <w:rPr>
          <w:rFonts w:ascii="Times New Roman" w:eastAsia="宋体" w:hAnsi="Times New Roman" w:cs="Times New Roman" w:hint="eastAsia"/>
          <w:szCs w:val="21"/>
        </w:rPr>
        <w:t>8</w:t>
      </w:r>
      <w:r>
        <w:rPr>
          <w:rFonts w:ascii="Times New Roman" w:eastAsia="宋体" w:hAnsi="Times New Roman" w:cs="Times New Roman" w:hint="eastAsia"/>
          <w:szCs w:val="21"/>
        </w:rPr>
        <w:t>年</w:t>
      </w:r>
      <w:r>
        <w:rPr>
          <w:rFonts w:ascii="Times New Roman" w:eastAsia="宋体" w:hAnsi="Times New Roman" w:cs="Times New Roman" w:hint="eastAsia"/>
          <w:szCs w:val="21"/>
        </w:rPr>
        <w:t>。</w:t>
      </w:r>
      <w:bookmarkEnd w:id="68"/>
      <w:bookmarkEnd w:id="69"/>
    </w:p>
    <w:bookmarkEnd w:id="66"/>
    <w:bookmarkEnd w:id="67"/>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）质保期内因设备设计、质量出现问题，均由中标人即时无偿解决（包括更换器件）。</w:t>
      </w:r>
      <w:r>
        <w:rPr>
          <w:rFonts w:ascii="Times New Roman" w:eastAsia="宋体" w:hAnsi="Times New Roman" w:cs="Times New Roman"/>
          <w:szCs w:val="21"/>
        </w:rPr>
        <w:t xml:space="preserve"> </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）合同签订后，中标人指定负责本工程的项目经理，负责协调中标人在项目全过程的各项工作，如工程进度、设备定制及设备供应、软件定制开发、图纸文件、包装运输、现场安装、调试验收等。</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3</w:t>
      </w:r>
      <w:r>
        <w:rPr>
          <w:rFonts w:ascii="Times New Roman" w:eastAsia="宋体" w:hAnsi="Times New Roman" w:cs="Times New Roman" w:hint="eastAsia"/>
          <w:szCs w:val="21"/>
        </w:rPr>
        <w:t>）在售后服务期内，中标人应提供详细的售后服务计划，内容包括售后服务方式、人员配置、服务期限、故障响应及维修时间、零配件供应方式等情况。中标人服务时间应为</w:t>
      </w:r>
      <w:r>
        <w:rPr>
          <w:rFonts w:ascii="Times New Roman" w:eastAsia="宋体" w:hAnsi="Times New Roman" w:cs="Times New Roman"/>
          <w:szCs w:val="21"/>
        </w:rPr>
        <w:t>7×24</w:t>
      </w:r>
      <w:r>
        <w:rPr>
          <w:rFonts w:ascii="Times New Roman" w:eastAsia="宋体" w:hAnsi="Times New Roman" w:cs="Times New Roman" w:hint="eastAsia"/>
          <w:szCs w:val="21"/>
        </w:rPr>
        <w:t>小时。</w:t>
      </w:r>
    </w:p>
    <w:p w:rsidR="009C63D4">
      <w:pPr>
        <w:spacing w:line="560" w:lineRule="exact"/>
        <w:ind w:firstLine="420" w:firstLineChars="200"/>
        <w:rPr>
          <w:rFonts w:ascii="宋体" w:eastAsia="宋体" w:hAnsi="宋体" w:cs="宋体"/>
          <w:szCs w:val="21"/>
        </w:rPr>
      </w:pPr>
      <w:r>
        <w:rPr>
          <w:rFonts w:ascii="宋体" w:eastAsia="宋体" w:hAnsi="宋体" w:cs="宋体" w:hint="eastAsia"/>
          <w:szCs w:val="21"/>
        </w:rPr>
        <w:t>（4）该项目包含因售后服务产生的所有费用均有中标人自行承担。</w:t>
      </w:r>
    </w:p>
    <w:p w:rsidR="009C63D4">
      <w:pPr>
        <w:keepNext/>
        <w:keepLines/>
        <w:spacing w:line="560" w:lineRule="exact"/>
        <w:ind w:firstLine="422" w:firstLineChars="201"/>
        <w:outlineLvl w:val="4"/>
        <w:rPr>
          <w:rFonts w:ascii="Times New Roman" w:eastAsia="宋体" w:hAnsi="Times New Roman" w:cs="Times New Roman"/>
          <w:szCs w:val="21"/>
        </w:rPr>
      </w:pPr>
      <w:r>
        <w:rPr>
          <w:rFonts w:ascii="宋体" w:eastAsia="宋体" w:hAnsi="宋体" w:cs="Times New Roman"/>
          <w:b/>
          <w:bCs/>
          <w:szCs w:val="21"/>
        </w:rPr>
        <w:t>5.6技术培训</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中标人应免费提供每个用户单位</w:t>
      </w:r>
      <w:r>
        <w:rPr>
          <w:rFonts w:ascii="Times New Roman" w:eastAsia="宋体" w:hAnsi="Times New Roman" w:cs="Times New Roman"/>
          <w:szCs w:val="21"/>
        </w:rPr>
        <w:t>2</w:t>
      </w:r>
      <w:r>
        <w:rPr>
          <w:rFonts w:ascii="Times New Roman" w:eastAsia="宋体" w:hAnsi="Times New Roman" w:cs="Times New Roman" w:hint="eastAsia"/>
          <w:szCs w:val="21"/>
        </w:rPr>
        <w:t>人次培训（达到熟练操作），免费向采购人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rsidR="009C63D4">
      <w:pPr>
        <w:keepNext/>
        <w:keepLines/>
        <w:spacing w:line="560" w:lineRule="exact"/>
        <w:ind w:firstLine="422" w:firstLineChars="201"/>
        <w:outlineLvl w:val="4"/>
        <w:rPr>
          <w:rFonts w:ascii="宋体" w:eastAsia="宋体" w:hAnsi="宋体" w:cs="Times New Roman"/>
          <w:b/>
          <w:bCs/>
          <w:szCs w:val="21"/>
        </w:rPr>
      </w:pPr>
      <w:r>
        <w:rPr>
          <w:rFonts w:ascii="宋体" w:eastAsia="宋体" w:hAnsi="宋体" w:cs="Times New Roman"/>
          <w:b/>
          <w:bCs/>
          <w:szCs w:val="21"/>
        </w:rPr>
        <w:t>5.7</w:t>
      </w:r>
      <w:r>
        <w:rPr>
          <w:rFonts w:ascii="宋体" w:eastAsia="宋体" w:hAnsi="宋体" w:cs="Times New Roman" w:hint="eastAsia"/>
          <w:b/>
          <w:bCs/>
          <w:szCs w:val="21"/>
        </w:rPr>
        <w:t>供货进度</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1</w:t>
      </w:r>
      <w:r>
        <w:rPr>
          <w:rFonts w:ascii="Times New Roman" w:eastAsia="宋体" w:hAnsi="Times New Roman" w:cs="Times New Roman" w:hint="eastAsia"/>
          <w:szCs w:val="21"/>
        </w:rPr>
        <w:t>）合同签订后根据招标人的要求安排发货。</w:t>
      </w:r>
    </w:p>
    <w:p w:rsidR="009C63D4">
      <w:pPr>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2</w:t>
      </w:r>
      <w:r>
        <w:rPr>
          <w:rFonts w:ascii="Times New Roman" w:eastAsia="宋体" w:hAnsi="Times New Roman" w:cs="Times New Roman" w:hint="eastAsia"/>
          <w:szCs w:val="21"/>
        </w:rPr>
        <w:t>）设备到达安装现场后，收到招标人通知五日内到达现场，完成设备的安装、调测以及供电系统的联调工作。</w:t>
      </w:r>
    </w:p>
    <w:p w:rsidR="009C63D4">
      <w:pPr>
        <w:widowControl/>
        <w:spacing w:line="560" w:lineRule="exact"/>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3</w:t>
      </w:r>
      <w:r>
        <w:rPr>
          <w:rFonts w:ascii="Times New Roman" w:eastAsia="宋体" w:hAnsi="Times New Roman" w:cs="Times New Roman" w:hint="eastAsia"/>
          <w:szCs w:val="21"/>
        </w:rPr>
        <w:t>）中标人应根据招标人的供货进度要求，提出具体的进度安排。中标人应提交本项目的项目计划进度表。该计划进度表首先对本项目的工作内容进行分解，针对不同的工作内容提出相应的实施进度表，并提供相应的阶段性工作成果以及验收标准的建议。</w:t>
      </w:r>
    </w:p>
    <w:p w:rsidR="009C63D4">
      <w:pPr>
        <w:ind w:firstLine="420" w:firstLineChars="200"/>
        <w:rPr>
          <w:rFonts w:ascii="Times New Roman" w:eastAsia="宋体" w:hAnsi="Times New Roman" w:cs="Times New Roman"/>
          <w:szCs w:val="20"/>
        </w:rPr>
      </w:pPr>
      <w:r>
        <w:rPr>
          <w:rFonts w:ascii="Times New Roman" w:eastAsia="宋体" w:hAnsi="Times New Roman" w:cs="Times New Roman" w:hint="eastAsia"/>
          <w:b/>
          <w:szCs w:val="20"/>
        </w:rPr>
        <w:t>六、</w:t>
      </w:r>
      <w:bookmarkStart w:id="70" w:name="OLE_LINK13"/>
      <w:bookmarkStart w:id="71" w:name="OLE_LINK12"/>
      <w:r>
        <w:rPr>
          <w:rFonts w:ascii="Times New Roman" w:eastAsia="宋体" w:hAnsi="Times New Roman" w:cs="Times New Roman" w:hint="eastAsia"/>
          <w:szCs w:val="21"/>
        </w:rPr>
        <w:t>合同履行期限：</w:t>
      </w:r>
      <w:r w:rsidR="000A5F5C">
        <w:rPr>
          <w:rFonts w:ascii="Times New Roman" w:eastAsia="宋体" w:hAnsi="Times New Roman" w:cs="Times New Roman" w:hint="eastAsia"/>
          <w:szCs w:val="21"/>
        </w:rPr>
        <w:t>4</w:t>
      </w:r>
      <w:r w:rsidR="008902EE">
        <w:rPr>
          <w:rFonts w:ascii="Times New Roman" w:eastAsia="宋体" w:hAnsi="Times New Roman" w:cs="Times New Roman" w:hint="eastAsia"/>
          <w:szCs w:val="21"/>
        </w:rPr>
        <w:t>0</w:t>
      </w:r>
      <w:r>
        <w:rPr>
          <w:rFonts w:ascii="Times New Roman" w:eastAsia="宋体" w:hAnsi="Times New Roman" w:cs="Times New Roman" w:hint="eastAsia"/>
          <w:szCs w:val="21"/>
        </w:rPr>
        <w:t>个</w:t>
      </w:r>
      <w:r>
        <w:rPr>
          <w:rFonts w:ascii="Times New Roman" w:eastAsia="宋体" w:hAnsi="Times New Roman" w:cs="Times New Roman" w:hint="eastAsia"/>
          <w:szCs w:val="21"/>
        </w:rPr>
        <w:t>日历天</w:t>
      </w:r>
      <w:r>
        <w:rPr>
          <w:rFonts w:ascii="Times New Roman" w:eastAsia="宋体" w:hAnsi="Times New Roman" w:cs="Times New Roman" w:hint="eastAsia"/>
          <w:szCs w:val="21"/>
        </w:rPr>
        <w:t>内完成</w:t>
      </w:r>
      <w:r>
        <w:rPr>
          <w:rFonts w:ascii="Times New Roman" w:eastAsia="宋体" w:hAnsi="Times New Roman" w:cs="Times New Roman" w:hint="eastAsia"/>
          <w:szCs w:val="21"/>
        </w:rPr>
        <w:t>315</w:t>
      </w:r>
      <w:r>
        <w:rPr>
          <w:rFonts w:ascii="Times New Roman" w:eastAsia="宋体" w:hAnsi="Times New Roman" w:cs="Times New Roman" w:hint="eastAsia"/>
          <w:szCs w:val="21"/>
        </w:rPr>
        <w:t>套，剩余</w:t>
      </w:r>
      <w:r>
        <w:rPr>
          <w:rFonts w:ascii="Times New Roman" w:eastAsia="宋体" w:hAnsi="Times New Roman" w:cs="Times New Roman" w:hint="eastAsia"/>
          <w:szCs w:val="21"/>
        </w:rPr>
        <w:t>115</w:t>
      </w:r>
      <w:r>
        <w:rPr>
          <w:rFonts w:ascii="Times New Roman" w:eastAsia="宋体" w:hAnsi="Times New Roman" w:cs="Times New Roman" w:hint="eastAsia"/>
          <w:szCs w:val="21"/>
        </w:rPr>
        <w:t>套根据甲方要求按期完成（</w:t>
      </w:r>
      <w:r>
        <w:rPr>
          <w:rFonts w:ascii="Times New Roman" w:eastAsia="宋体" w:hAnsi="Times New Roman" w:cs="Times New Roman" w:hint="eastAsia"/>
          <w:szCs w:val="21"/>
        </w:rPr>
        <w:t>2026</w:t>
      </w:r>
      <w:r>
        <w:rPr>
          <w:rFonts w:ascii="Times New Roman" w:eastAsia="宋体" w:hAnsi="Times New Roman" w:cs="Times New Roman" w:hint="eastAsia"/>
          <w:szCs w:val="21"/>
        </w:rPr>
        <w:t>年</w:t>
      </w:r>
      <w:r>
        <w:rPr>
          <w:rFonts w:ascii="Times New Roman" w:eastAsia="宋体" w:hAnsi="Times New Roman" w:cs="Times New Roman" w:hint="eastAsia"/>
          <w:szCs w:val="21"/>
        </w:rPr>
        <w:t>11</w:t>
      </w:r>
      <w:r>
        <w:rPr>
          <w:rFonts w:ascii="Times New Roman" w:eastAsia="宋体" w:hAnsi="Times New Roman" w:cs="Times New Roman" w:hint="eastAsia"/>
          <w:szCs w:val="21"/>
        </w:rPr>
        <w:t>月底前完成）。</w:t>
      </w:r>
      <w:bookmarkEnd w:id="70"/>
      <w:bookmarkEnd w:id="71"/>
    </w:p>
    <w:p w:rsidR="009C63D4">
      <w:pPr>
        <w:spacing w:line="560" w:lineRule="exact"/>
        <w:ind w:firstLine="420" w:firstLineChars="200"/>
        <w:outlineLvl w:val="2"/>
        <w:rPr>
          <w:rFonts w:ascii="Times New Roman" w:eastAsia="宋体" w:hAnsi="Times New Roman" w:cs="Times New Roman"/>
          <w:b/>
          <w:szCs w:val="21"/>
        </w:rPr>
      </w:pPr>
      <w:r>
        <w:rPr>
          <w:rFonts w:ascii="Times New Roman" w:eastAsia="宋体" w:hAnsi="Times New Roman" w:cs="Times New Roman" w:hint="eastAsia"/>
          <w:b/>
          <w:szCs w:val="21"/>
        </w:rPr>
        <w:t>七、付款方式</w:t>
      </w:r>
    </w:p>
    <w:p w:rsidR="009C63D4">
      <w:pPr>
        <w:widowControl/>
        <w:spacing w:line="560" w:lineRule="exact"/>
        <w:ind w:firstLine="420" w:firstLineChars="200"/>
        <w:outlineLvl w:val="2"/>
        <w:rPr>
          <w:rFonts w:ascii="宋体" w:eastAsia="宋体" w:hAnsi="宋体" w:cs="宋体"/>
          <w:szCs w:val="21"/>
        </w:rPr>
      </w:pPr>
      <w:bookmarkStart w:id="72" w:name="OLE_LINK42"/>
      <w:bookmarkStart w:id="73" w:name="OLE_LINK41"/>
      <w:r>
        <w:rPr>
          <w:rFonts w:ascii="宋体" w:eastAsia="宋体" w:hAnsi="宋体" w:cs="宋体" w:hint="eastAsia"/>
          <w:szCs w:val="21"/>
        </w:rPr>
        <w:t>7</w:t>
      </w:r>
      <w:r>
        <w:rPr>
          <w:rFonts w:ascii="宋体" w:eastAsia="宋体" w:hAnsi="宋体" w:cs="宋体"/>
          <w:szCs w:val="21"/>
        </w:rPr>
        <w:t>.1</w:t>
      </w:r>
      <w:bookmarkStart w:id="74" w:name="OLE_LINK23"/>
      <w:bookmarkStart w:id="75" w:name="OLE_LINK18"/>
      <w:r>
        <w:rPr>
          <w:rFonts w:ascii="宋体" w:eastAsia="宋体" w:hAnsi="宋体" w:cs="宋体"/>
          <w:szCs w:val="21"/>
        </w:rPr>
        <w:t>签订合同后</w:t>
      </w:r>
      <w:r>
        <w:rPr>
          <w:rFonts w:ascii="宋体" w:eastAsia="宋体" w:hAnsi="宋体" w:cs="宋体" w:hint="eastAsia"/>
          <w:szCs w:val="21"/>
        </w:rPr>
        <w:t>20天内</w:t>
      </w:r>
      <w:bookmarkStart w:id="76" w:name="OLE_LINK17"/>
      <w:bookmarkStart w:id="77" w:name="OLE_LINK16"/>
      <w:r>
        <w:rPr>
          <w:rFonts w:ascii="宋体" w:eastAsia="宋体" w:hAnsi="宋体" w:cs="宋体" w:hint="eastAsia"/>
          <w:szCs w:val="21"/>
        </w:rPr>
        <w:t>支付</w:t>
      </w:r>
      <w:bookmarkEnd w:id="76"/>
      <w:bookmarkEnd w:id="77"/>
      <w:r>
        <w:rPr>
          <w:rFonts w:ascii="宋体" w:eastAsia="宋体" w:hAnsi="宋体" w:cs="宋体" w:hint="eastAsia"/>
          <w:szCs w:val="21"/>
        </w:rPr>
        <w:t>合同总价的30%作为预付款；设备安装、调试、正常运行，验收合格，经甲方验收合格后，甲方30天内向乙方支付合同总价的70%。（注：各分签单位根据属地财政预算资金下达情况，自行调整付款进度）</w:t>
      </w:r>
    </w:p>
    <w:bookmarkEnd w:id="74"/>
    <w:bookmarkEnd w:id="75"/>
    <w:p w:rsidR="009C63D4">
      <w:pPr>
        <w:widowControl/>
        <w:spacing w:line="560" w:lineRule="exact"/>
        <w:ind w:firstLine="420" w:firstLineChars="200"/>
        <w:outlineLvl w:val="2"/>
        <w:rPr>
          <w:rFonts w:ascii="Times New Roman" w:eastAsia="宋体" w:hAnsi="Times New Roman" w:cs="Times New Roman"/>
          <w:b/>
          <w:szCs w:val="21"/>
        </w:rPr>
      </w:pPr>
      <w:r>
        <w:rPr>
          <w:rFonts w:ascii="宋体" w:eastAsia="宋体" w:hAnsi="宋体" w:cs="宋体" w:hint="eastAsia"/>
          <w:szCs w:val="21"/>
        </w:rPr>
        <w:t>7</w:t>
      </w:r>
      <w:r>
        <w:rPr>
          <w:rFonts w:ascii="宋体" w:eastAsia="宋体" w:hAnsi="宋体" w:cs="宋体"/>
          <w:szCs w:val="21"/>
        </w:rPr>
        <w:t>.2</w:t>
      </w:r>
      <w:r>
        <w:rPr>
          <w:rFonts w:ascii="宋体" w:eastAsia="宋体" w:hAnsi="宋体" w:cs="宋体" w:hint="eastAsia"/>
          <w:szCs w:val="21"/>
        </w:rPr>
        <w:t>中标人提供合法合</w:t>
      </w:r>
      <w:r>
        <w:rPr>
          <w:rFonts w:ascii="宋体" w:eastAsia="宋体" w:hAnsi="宋体" w:cs="宋体" w:hint="eastAsia"/>
          <w:szCs w:val="21"/>
        </w:rPr>
        <w:t>规</w:t>
      </w:r>
      <w:r>
        <w:rPr>
          <w:rFonts w:ascii="宋体" w:eastAsia="宋体" w:hAnsi="宋体" w:cs="宋体" w:hint="eastAsia"/>
          <w:szCs w:val="21"/>
        </w:rPr>
        <w:t>票据。</w:t>
      </w:r>
      <w:bookmarkEnd w:id="72"/>
      <w:bookmarkEnd w:id="73"/>
    </w:p>
    <w:p w:rsidR="009C63D4">
      <w:pPr>
        <w:widowControl/>
        <w:spacing w:line="560" w:lineRule="exact"/>
        <w:ind w:firstLine="420" w:firstLineChars="200"/>
        <w:outlineLvl w:val="2"/>
        <w:rPr>
          <w:rFonts w:ascii="Times New Roman" w:hAnsi="Times New Roman" w:cs="Times New Roman"/>
          <w:b/>
          <w:szCs w:val="21"/>
        </w:rPr>
      </w:pPr>
    </w:p>
    <w:p w:rsidR="009C63D4">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28"/>
        <w:gridCol w:w="1588"/>
        <w:gridCol w:w="538"/>
        <w:gridCol w:w="748"/>
        <w:gridCol w:w="853"/>
        <w:gridCol w:w="2193"/>
        <w:gridCol w:w="231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8" w:name="货物一览表_index"/>
            <w:r>
              <w:rPr>
                <w:rFonts w:asciiTheme="minorEastAsia" w:eastAsiaTheme="minorEastAsia" w:hAnsiTheme="minorEastAsia" w:cstheme="minorEastAsia" w:hint="eastAsia"/>
                <w:kern w:val="0"/>
                <w:szCs w:val="21"/>
              </w:rPr>
              <w:t>序号</w:t>
            </w:r>
            <w:bookmarkEnd w:id="78"/>
          </w:p>
        </w:tc>
        <w:tc>
          <w:tcPr>
            <w:tcW w:w="1135" w:type="dxa"/>
          </w:tcPr>
          <w:p>
            <w:pPr>
              <w:autoSpaceDE w:val="0"/>
              <w:jc w:val="center"/>
              <w:rPr>
                <w:rFonts w:asciiTheme="minorEastAsia" w:hAnsiTheme="minorEastAsia" w:cstheme="minorEastAsia"/>
                <w:kern w:val="0"/>
                <w:szCs w:val="21"/>
              </w:rPr>
            </w:pPr>
            <w:bookmarkStart w:id="79" w:name="货物一览表_goodsName"/>
            <w:r>
              <w:rPr>
                <w:rFonts w:asciiTheme="minorEastAsia" w:eastAsiaTheme="minorEastAsia" w:hAnsiTheme="minorEastAsia" w:cstheme="minorEastAsia" w:hint="eastAsia"/>
                <w:kern w:val="0"/>
                <w:szCs w:val="21"/>
              </w:rPr>
              <w:t>设备名称</w:t>
            </w:r>
            <w:bookmarkEnd w:id="79"/>
          </w:p>
        </w:tc>
        <w:tc>
          <w:tcPr>
            <w:tcW w:w="965" w:type="dxa"/>
          </w:tcPr>
          <w:p>
            <w:pPr>
              <w:autoSpaceDE w:val="0"/>
              <w:jc w:val="center"/>
              <w:rPr>
                <w:rFonts w:asciiTheme="minorEastAsia" w:hAnsiTheme="minorEastAsia" w:cstheme="minorEastAsia"/>
                <w:kern w:val="0"/>
                <w:szCs w:val="21"/>
              </w:rPr>
            </w:pPr>
            <w:bookmarkStart w:id="80" w:name="货物一览表_nums"/>
            <w:r>
              <w:rPr>
                <w:rFonts w:asciiTheme="minorEastAsia" w:eastAsiaTheme="minorEastAsia" w:hAnsiTheme="minorEastAsia" w:cstheme="minorEastAsia" w:hint="eastAsia"/>
                <w:kern w:val="0"/>
                <w:szCs w:val="21"/>
              </w:rPr>
              <w:t>采购数量</w:t>
            </w:r>
            <w:bookmarkEnd w:id="80"/>
          </w:p>
        </w:tc>
        <w:tc>
          <w:tcPr>
            <w:tcW w:w="1062" w:type="dxa"/>
          </w:tcPr>
          <w:p>
            <w:pPr>
              <w:autoSpaceDE w:val="0"/>
              <w:jc w:val="center"/>
              <w:rPr>
                <w:rFonts w:asciiTheme="minorEastAsia" w:hAnsiTheme="minorEastAsia" w:cstheme="minorEastAsia"/>
                <w:kern w:val="0"/>
                <w:szCs w:val="21"/>
              </w:rPr>
            </w:pPr>
            <w:bookmarkStart w:id="81" w:name="货物一览表_units"/>
            <w:r>
              <w:rPr>
                <w:rFonts w:asciiTheme="minorEastAsia" w:eastAsiaTheme="minorEastAsia" w:hAnsiTheme="minorEastAsia" w:cstheme="minorEastAsia" w:hint="eastAsia"/>
                <w:kern w:val="0"/>
                <w:szCs w:val="21"/>
              </w:rPr>
              <w:t>计量单位</w:t>
            </w:r>
            <w:bookmarkEnd w:id="81"/>
          </w:p>
        </w:tc>
        <w:tc>
          <w:tcPr>
            <w:tcW w:w="1220" w:type="dxa"/>
          </w:tcPr>
          <w:p>
            <w:pPr>
              <w:autoSpaceDE w:val="0"/>
              <w:jc w:val="center"/>
              <w:rPr>
                <w:rFonts w:asciiTheme="minorEastAsia" w:hAnsiTheme="minorEastAsia" w:cstheme="minorEastAsia"/>
                <w:kern w:val="0"/>
                <w:szCs w:val="21"/>
              </w:rPr>
            </w:pPr>
            <w:bookmarkStart w:id="82" w:name="货物一览表_procurementBudget"/>
            <w:r>
              <w:rPr>
                <w:rFonts w:asciiTheme="minorEastAsia" w:eastAsiaTheme="minorEastAsia" w:hAnsiTheme="minorEastAsia" w:cstheme="minorEastAsia" w:hint="eastAsia"/>
                <w:kern w:val="0"/>
                <w:szCs w:val="21"/>
              </w:rPr>
              <w:t>采购预算（元）</w:t>
            </w:r>
            <w:bookmarkEnd w:id="82"/>
          </w:p>
        </w:tc>
        <w:tc>
          <w:tcPr>
            <w:tcW w:w="1329" w:type="dxa"/>
          </w:tcPr>
          <w:p>
            <w:pPr>
              <w:autoSpaceDE w:val="0"/>
              <w:jc w:val="center"/>
              <w:rPr>
                <w:rFonts w:asciiTheme="minorEastAsia" w:hAnsiTheme="minorEastAsia" w:cstheme="minorEastAsia" w:hint="eastAsia"/>
                <w:kern w:val="0"/>
                <w:szCs w:val="21"/>
              </w:rPr>
            </w:pPr>
            <w:bookmarkStart w:id="83"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3"/>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4" w:name="货物一览表_remark"/>
            <w:r>
              <w:rPr>
                <w:rFonts w:asciiTheme="minorEastAsia" w:eastAsiaTheme="minorEastAsia" w:hAnsiTheme="minorEastAsia" w:cstheme="minorEastAsia" w:hint="eastAsia"/>
                <w:kern w:val="0"/>
                <w:szCs w:val="21"/>
              </w:rPr>
              <w:t>备注</w:t>
            </w:r>
            <w:bookmarkEnd w:id="84"/>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56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5,600,000.00</w:t>
            </w:r>
          </w:p>
        </w:tc>
        <w:tc>
          <w:tcPr/>
          <w:p>
            <w:pPr>
              <w:autoSpaceDE w:val="0"/>
              <w:jc w:val="center"/>
              <w:rPr>
                <w:rFonts w:asciiTheme="minorEastAsia" w:hAnsiTheme="minorEastAsia" w:cstheme="minorEastAsia" w:hint="eastAsia"/>
                <w:kern w:val="0"/>
                <w:szCs w:val="21"/>
              </w:rPr>
            </w:pPr>
            <w:r>
              <w:t>40天内完成56套</w:t>
            </w:r>
          </w:p>
        </w:tc>
        <w:tc>
          <w:tcPr/>
          <w:p>
            <w:pPr>
              <w:autoSpaceDE w:val="0"/>
              <w:autoSpaceDN w:val="0"/>
              <w:adjustRightInd w:val="0"/>
              <w:spacing w:before="48"/>
              <w:ind w:right="-20"/>
              <w:jc w:val="center"/>
              <w:rPr>
                <w:rFonts w:asciiTheme="minorEastAsia" w:hAnsiTheme="minorEastAsia" w:cstheme="minorEastAsia"/>
                <w:kern w:val="0"/>
                <w:szCs w:val="21"/>
              </w:rPr>
            </w:pPr>
            <w:r>
              <w:t>盐城市大丰区气象局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22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2,200,000.00</w:t>
            </w:r>
          </w:p>
        </w:tc>
        <w:tc>
          <w:tcPr/>
          <w:p>
            <w:pPr>
              <w:autoSpaceDE w:val="0"/>
              <w:jc w:val="center"/>
              <w:rPr>
                <w:rFonts w:asciiTheme="minorEastAsia" w:hAnsiTheme="minorEastAsia" w:cstheme="minorEastAsia" w:hint="eastAsia"/>
                <w:kern w:val="0"/>
                <w:szCs w:val="21"/>
              </w:rPr>
            </w:pPr>
            <w:r>
              <w:t>40天内完成22套</w:t>
            </w:r>
          </w:p>
        </w:tc>
        <w:tc>
          <w:tcPr/>
          <w:p>
            <w:pPr>
              <w:autoSpaceDE w:val="0"/>
              <w:autoSpaceDN w:val="0"/>
              <w:adjustRightInd w:val="0"/>
              <w:spacing w:before="48"/>
              <w:ind w:right="-20"/>
              <w:jc w:val="center"/>
              <w:rPr>
                <w:rFonts w:asciiTheme="minorEastAsia" w:hAnsiTheme="minorEastAsia" w:cstheme="minorEastAsia"/>
                <w:kern w:val="0"/>
                <w:szCs w:val="21"/>
              </w:rPr>
            </w:pPr>
            <w:r>
              <w:t>建湖县气象局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57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5,700,000.00</w:t>
            </w:r>
          </w:p>
        </w:tc>
        <w:tc>
          <w:tcPr/>
          <w:p>
            <w:pPr>
              <w:autoSpaceDE w:val="0"/>
              <w:jc w:val="center"/>
              <w:rPr>
                <w:rFonts w:asciiTheme="minorEastAsia" w:hAnsiTheme="minorEastAsia" w:cstheme="minorEastAsia" w:hint="eastAsia"/>
                <w:kern w:val="0"/>
                <w:szCs w:val="21"/>
              </w:rPr>
            </w:pPr>
            <w:r>
              <w:t>40天内完成57套</w:t>
            </w:r>
          </w:p>
        </w:tc>
        <w:tc>
          <w:tcPr/>
          <w:p>
            <w:pPr>
              <w:autoSpaceDE w:val="0"/>
              <w:autoSpaceDN w:val="0"/>
              <w:adjustRightInd w:val="0"/>
              <w:spacing w:before="48"/>
              <w:ind w:right="-20"/>
              <w:jc w:val="center"/>
              <w:rPr>
                <w:rFonts w:asciiTheme="minorEastAsia" w:hAnsiTheme="minorEastAsia" w:cstheme="minorEastAsia"/>
                <w:kern w:val="0"/>
                <w:szCs w:val="21"/>
              </w:rPr>
            </w:pPr>
            <w:r>
              <w:t>射阳县气象局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84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8,400,000.00</w:t>
            </w:r>
          </w:p>
        </w:tc>
        <w:tc>
          <w:tcPr/>
          <w:p>
            <w:pPr>
              <w:autoSpaceDE w:val="0"/>
              <w:jc w:val="center"/>
              <w:rPr>
                <w:rFonts w:asciiTheme="minorEastAsia" w:hAnsiTheme="minorEastAsia" w:cstheme="minorEastAsia" w:hint="eastAsia"/>
                <w:kern w:val="0"/>
                <w:szCs w:val="21"/>
              </w:rPr>
            </w:pPr>
            <w:r>
              <w:t>40天内完成15套，剩余69套根据甲方要求按期完成（2026年11月底前完成）</w:t>
            </w:r>
          </w:p>
        </w:tc>
        <w:tc>
          <w:tcPr/>
          <w:p>
            <w:pPr>
              <w:autoSpaceDE w:val="0"/>
              <w:autoSpaceDN w:val="0"/>
              <w:adjustRightInd w:val="0"/>
              <w:spacing w:before="48"/>
              <w:ind w:right="-20"/>
              <w:jc w:val="center"/>
              <w:rPr>
                <w:rFonts w:asciiTheme="minorEastAsia" w:hAnsiTheme="minorEastAsia" w:cstheme="minorEastAsia"/>
                <w:kern w:val="0"/>
                <w:szCs w:val="21"/>
              </w:rPr>
            </w:pPr>
            <w:r>
              <w:t>阜宁县气象局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39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3,900,000.00</w:t>
            </w:r>
          </w:p>
        </w:tc>
        <w:tc>
          <w:tcPr/>
          <w:p>
            <w:pPr>
              <w:autoSpaceDE w:val="0"/>
              <w:jc w:val="center"/>
              <w:rPr>
                <w:rFonts w:asciiTheme="minorEastAsia" w:hAnsiTheme="minorEastAsia" w:cstheme="minorEastAsia" w:hint="eastAsia"/>
                <w:kern w:val="0"/>
                <w:szCs w:val="21"/>
              </w:rPr>
            </w:pPr>
            <w:r>
              <w:t>40天内完成39套</w:t>
            </w:r>
          </w:p>
        </w:tc>
        <w:tc>
          <w:tcPr/>
          <w:p>
            <w:pPr>
              <w:autoSpaceDE w:val="0"/>
              <w:autoSpaceDN w:val="0"/>
              <w:adjustRightInd w:val="0"/>
              <w:spacing w:before="48"/>
              <w:ind w:right="-20"/>
              <w:jc w:val="center"/>
              <w:rPr>
                <w:rFonts w:asciiTheme="minorEastAsia" w:hAnsiTheme="minorEastAsia" w:cstheme="minorEastAsia"/>
                <w:kern w:val="0"/>
                <w:szCs w:val="21"/>
              </w:rPr>
            </w:pPr>
            <w:r>
              <w:t>滨海县气象局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20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40天内完成20套</w:t>
            </w:r>
          </w:p>
        </w:tc>
        <w:tc>
          <w:tcPr/>
          <w:p>
            <w:pPr>
              <w:autoSpaceDE w:val="0"/>
              <w:autoSpaceDN w:val="0"/>
              <w:adjustRightInd w:val="0"/>
              <w:spacing w:before="48"/>
              <w:ind w:right="-20"/>
              <w:jc w:val="center"/>
              <w:rPr>
                <w:rFonts w:asciiTheme="minorEastAsia" w:hAnsiTheme="minorEastAsia" w:cstheme="minorEastAsia"/>
                <w:kern w:val="0"/>
                <w:szCs w:val="21"/>
              </w:rPr>
            </w:pPr>
            <w:r>
              <w:t>响水县气象局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23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2,300,000.00</w:t>
            </w:r>
          </w:p>
        </w:tc>
        <w:tc>
          <w:tcPr/>
          <w:p>
            <w:pPr>
              <w:autoSpaceDE w:val="0"/>
              <w:jc w:val="center"/>
              <w:rPr>
                <w:rFonts w:asciiTheme="minorEastAsia" w:hAnsiTheme="minorEastAsia" w:cstheme="minorEastAsia" w:hint="eastAsia"/>
                <w:kern w:val="0"/>
                <w:szCs w:val="21"/>
              </w:rPr>
            </w:pPr>
            <w:r>
              <w:t>40天内完成11套，剩余12套根据甲方要求按期完成（2026年11月底前完成）</w:t>
            </w:r>
          </w:p>
        </w:tc>
        <w:tc>
          <w:tcPr/>
          <w:p>
            <w:pPr>
              <w:autoSpaceDE w:val="0"/>
              <w:autoSpaceDN w:val="0"/>
              <w:adjustRightInd w:val="0"/>
              <w:spacing w:before="48"/>
              <w:ind w:right="-20"/>
              <w:jc w:val="center"/>
              <w:rPr>
                <w:rFonts w:asciiTheme="minorEastAsia" w:hAnsiTheme="minorEastAsia" w:cstheme="minorEastAsia"/>
                <w:kern w:val="0"/>
                <w:szCs w:val="21"/>
              </w:rPr>
            </w:pPr>
            <w:r>
              <w:t>盐城市盐都区气象局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35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3,500,000.00</w:t>
            </w:r>
          </w:p>
        </w:tc>
        <w:tc>
          <w:tcPr/>
          <w:p>
            <w:pPr>
              <w:autoSpaceDE w:val="0"/>
              <w:jc w:val="center"/>
              <w:rPr>
                <w:rFonts w:asciiTheme="minorEastAsia" w:hAnsiTheme="minorEastAsia" w:cstheme="minorEastAsia" w:hint="eastAsia"/>
                <w:kern w:val="0"/>
                <w:szCs w:val="21"/>
              </w:rPr>
            </w:pPr>
            <w:r>
              <w:t>40天内完成23套，剩余12套根据甲方要求按期完成（2026年11月底前完成）</w:t>
            </w:r>
          </w:p>
        </w:tc>
        <w:tc>
          <w:tcPr/>
          <w:p>
            <w:pPr>
              <w:autoSpaceDE w:val="0"/>
              <w:autoSpaceDN w:val="0"/>
              <w:adjustRightInd w:val="0"/>
              <w:spacing w:before="48"/>
              <w:ind w:right="-20"/>
              <w:jc w:val="center"/>
              <w:rPr>
                <w:rFonts w:asciiTheme="minorEastAsia" w:hAnsiTheme="minorEastAsia" w:cstheme="minorEastAsia"/>
                <w:kern w:val="0"/>
                <w:szCs w:val="21"/>
              </w:rPr>
            </w:pPr>
            <w:r>
              <w:t>盐城市亭湖区气象局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w:t>
            </w:r>
          </w:p>
        </w:tc>
        <w:tc>
          <w:tcPr/>
          <w:p>
            <w:pPr>
              <w:autoSpaceDE w:val="0"/>
              <w:jc w:val="center"/>
              <w:rPr>
                <w:rFonts w:asciiTheme="minorEastAsia" w:hAnsiTheme="minorEastAsia" w:cstheme="minorEastAsia" w:hint="eastAsia"/>
                <w:kern w:val="0"/>
                <w:szCs w:val="21"/>
              </w:rPr>
            </w:pPr>
            <w:r>
              <w:t>40天内完成3套，剩余7套根据甲方要求按期完成（2026年11月底前完成）</w:t>
            </w:r>
          </w:p>
        </w:tc>
        <w:tc>
          <w:tcPr/>
          <w:p>
            <w:pPr>
              <w:autoSpaceDE w:val="0"/>
              <w:autoSpaceDN w:val="0"/>
              <w:adjustRightInd w:val="0"/>
              <w:spacing w:before="48"/>
              <w:ind w:right="-20"/>
              <w:jc w:val="center"/>
              <w:rPr>
                <w:rFonts w:asciiTheme="minorEastAsia" w:hAnsiTheme="minorEastAsia" w:cstheme="minorEastAsia"/>
                <w:kern w:val="0"/>
                <w:szCs w:val="21"/>
              </w:rPr>
            </w:pPr>
            <w:r>
              <w:t>江苏省盐南高新技术产业开发区社会事务管理局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19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1,900,000.00</w:t>
            </w:r>
          </w:p>
        </w:tc>
        <w:tc>
          <w:tcPr/>
          <w:p>
            <w:pPr>
              <w:autoSpaceDE w:val="0"/>
              <w:jc w:val="center"/>
              <w:rPr>
                <w:rFonts w:asciiTheme="minorEastAsia" w:hAnsiTheme="minorEastAsia" w:cstheme="minorEastAsia" w:hint="eastAsia"/>
                <w:kern w:val="0"/>
                <w:szCs w:val="21"/>
              </w:rPr>
            </w:pPr>
            <w:r>
              <w:t>40天内完成4套，剩余15套根据甲方要求按期完成（2026年11月底前完成）</w:t>
            </w:r>
          </w:p>
        </w:tc>
        <w:tc>
          <w:tcPr/>
          <w:p>
            <w:pPr>
              <w:autoSpaceDE w:val="0"/>
              <w:autoSpaceDN w:val="0"/>
              <w:adjustRightInd w:val="0"/>
              <w:spacing w:before="48"/>
              <w:ind w:right="-20"/>
              <w:jc w:val="center"/>
              <w:rPr>
                <w:rFonts w:asciiTheme="minorEastAsia" w:hAnsiTheme="minorEastAsia" w:cstheme="minorEastAsia"/>
                <w:kern w:val="0"/>
                <w:szCs w:val="21"/>
              </w:rPr>
            </w:pPr>
            <w:r>
              <w:t>盐城经济技术开发区住房保障和建设局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65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6,500,000.00</w:t>
            </w:r>
          </w:p>
        </w:tc>
        <w:tc>
          <w:tcPr/>
          <w:p>
            <w:pPr>
              <w:autoSpaceDE w:val="0"/>
              <w:jc w:val="center"/>
              <w:rPr>
                <w:rFonts w:asciiTheme="minorEastAsia" w:hAnsiTheme="minorEastAsia" w:cstheme="minorEastAsia" w:hint="eastAsia"/>
                <w:kern w:val="0"/>
                <w:szCs w:val="21"/>
              </w:rPr>
            </w:pPr>
            <w:r>
              <w:t>40天内完成65套</w:t>
            </w:r>
          </w:p>
        </w:tc>
        <w:tc>
          <w:tcPr/>
          <w:p>
            <w:pPr>
              <w:autoSpaceDE w:val="0"/>
              <w:autoSpaceDN w:val="0"/>
              <w:adjustRightInd w:val="0"/>
              <w:spacing w:before="48"/>
              <w:ind w:right="-20"/>
              <w:jc w:val="center"/>
              <w:rPr>
                <w:rFonts w:asciiTheme="minorEastAsia" w:hAnsiTheme="minorEastAsia" w:cstheme="minorEastAsia"/>
                <w:kern w:val="0"/>
                <w:szCs w:val="21"/>
              </w:rPr>
            </w:pPr>
            <w:r>
              <w:t>东台市气象局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43,000,000.00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4"/>
        <w:gridCol w:w="1713"/>
        <w:gridCol w:w="2052"/>
        <w:gridCol w:w="424"/>
        <w:gridCol w:w="967"/>
        <w:gridCol w:w="806"/>
        <w:gridCol w:w="831"/>
        <w:gridCol w:w="13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5"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盐城市气象局(001040029)</w:t>
            </w:r>
          </w:p>
        </w:tc>
        <w:tc>
          <w:tcPr/>
          <w:p>
            <w:r>
              <w:t>自动气象站（含备件及区域站）</w:t>
            </w:r>
          </w:p>
        </w:tc>
        <w:tc>
          <w:tcPr/>
          <w:p>
            <w:r>
              <w:t>19</w:t>
            </w:r>
          </w:p>
        </w:tc>
        <w:tc>
          <w:tcPr/>
          <w:p>
            <w:r>
              <w:t>1900000.00</w:t>
            </w:r>
          </w:p>
        </w:tc>
        <w:tc>
          <w:tcPr>
            <w:vMerge w:val="restart"/>
          </w:tcPr>
          <w:p>
            <w:r>
              <w:t xml:space="preserve">2900000.00  </w:t>
            </w:r>
          </w:p>
        </w:tc>
        <w:tc>
          <w:tcPr/>
          <w:p>
            <w:r>
              <w:t>采购人指定</w:t>
            </w:r>
          </w:p>
        </w:tc>
        <w:tc>
          <w:tcPr/>
          <w:p>
            <w:r>
              <w:t>丁晔18961993661</w:t>
            </w:r>
          </w:p>
        </w:tc>
      </w:tr>
      <w:tr>
        <w:tblPrEx>
          <w:tblW w:w="5000" w:type="pct"/>
          <w:tblCellMar>
            <w:left w:w="108" w:type="dxa"/>
            <w:right w:w="108" w:type="dxa"/>
          </w:tblCellMar>
        </w:tblPrEx>
        <w:tc>
          <w:tcPr/>
          <w:p>
            <w:r>
              <w:t>2</w:t>
            </w:r>
          </w:p>
        </w:tc>
        <w:tc>
          <w:tcPr>
            <w:vMerge/>
          </w:tcPr>
          <w:p>
            <w:r>
              <w:t>盐城市气象局(001040029)</w:t>
            </w:r>
          </w:p>
        </w:tc>
        <w:tc>
          <w:tcPr/>
          <w:p>
            <w:r>
              <w:t>自动气象站（含备件及区域站）</w:t>
            </w:r>
          </w:p>
        </w:tc>
        <w:tc>
          <w:tcPr/>
          <w:p>
            <w:r>
              <w:t>10</w:t>
            </w:r>
          </w:p>
        </w:tc>
        <w:tc>
          <w:tcPr/>
          <w:p>
            <w:r>
              <w:t>1000000.00</w:t>
            </w:r>
          </w:p>
        </w:tc>
        <w:tc>
          <w:tcPr>
            <w:vMerge/>
          </w:tcPr>
          <w:p>
            <w:r>
              <w:t xml:space="preserve">2900000.00  </w:t>
            </w:r>
          </w:p>
        </w:tc>
        <w:tc>
          <w:tcPr/>
          <w:p>
            <w:r>
              <w:t>采购人指定</w:t>
            </w:r>
          </w:p>
        </w:tc>
        <w:tc>
          <w:tcPr/>
          <w:p>
            <w:r>
              <w:t>周琳18921895287</w:t>
            </w:r>
          </w:p>
        </w:tc>
      </w:tr>
      <w:tr>
        <w:tblPrEx>
          <w:tblW w:w="5000" w:type="pct"/>
          <w:tblCellMar>
            <w:left w:w="108" w:type="dxa"/>
            <w:right w:w="108" w:type="dxa"/>
          </w:tblCellMar>
        </w:tblPrEx>
        <w:tc>
          <w:tcPr/>
          <w:p>
            <w:r>
              <w:t>3</w:t>
            </w:r>
          </w:p>
        </w:tc>
        <w:tc>
          <w:tcPr>
            <w:vMerge w:val="restart"/>
          </w:tcPr>
          <w:p>
            <w:r>
              <w:t>东台市局(001040029009)</w:t>
            </w:r>
          </w:p>
        </w:tc>
        <w:tc>
          <w:tcPr/>
          <w:p>
            <w:r>
              <w:t>自动气象站（含备件及区域站）</w:t>
            </w:r>
          </w:p>
        </w:tc>
        <w:tc>
          <w:tcPr/>
          <w:p>
            <w:r>
              <w:t>65</w:t>
            </w:r>
          </w:p>
        </w:tc>
        <w:tc>
          <w:tcPr/>
          <w:p>
            <w:r>
              <w:t>6500000.00</w:t>
            </w:r>
          </w:p>
        </w:tc>
        <w:tc>
          <w:tcPr>
            <w:vMerge w:val="restart"/>
          </w:tcPr>
          <w:p>
            <w:r>
              <w:t xml:space="preserve">6500000.00 </w:t>
            </w:r>
          </w:p>
        </w:tc>
        <w:tc>
          <w:tcPr/>
          <w:p>
            <w:r>
              <w:t>采购人指定</w:t>
            </w:r>
          </w:p>
        </w:tc>
        <w:tc>
          <w:tcPr/>
          <w:p>
            <w:r>
              <w:t>姚萍18921867601</w:t>
            </w:r>
          </w:p>
        </w:tc>
      </w:tr>
      <w:tr>
        <w:tblPrEx>
          <w:tblW w:w="5000" w:type="pct"/>
          <w:tblCellMar>
            <w:left w:w="108" w:type="dxa"/>
            <w:right w:w="108" w:type="dxa"/>
          </w:tblCellMar>
        </w:tblPrEx>
        <w:tc>
          <w:tcPr/>
          <w:p>
            <w:r>
              <w:t>4</w:t>
            </w:r>
          </w:p>
        </w:tc>
        <w:tc>
          <w:tcPr>
            <w:vMerge w:val="restart"/>
          </w:tcPr>
          <w:p>
            <w:r>
              <w:t>大丰区局(001040029010)</w:t>
            </w:r>
          </w:p>
        </w:tc>
        <w:tc>
          <w:tcPr/>
          <w:p>
            <w:r>
              <w:t>自动气象站（含备件及区域站）</w:t>
            </w:r>
          </w:p>
        </w:tc>
        <w:tc>
          <w:tcPr/>
          <w:p>
            <w:r>
              <w:t>56</w:t>
            </w:r>
          </w:p>
        </w:tc>
        <w:tc>
          <w:tcPr/>
          <w:p>
            <w:r>
              <w:t>5600000.00</w:t>
            </w:r>
          </w:p>
        </w:tc>
        <w:tc>
          <w:tcPr>
            <w:vMerge w:val="restart"/>
          </w:tcPr>
          <w:p>
            <w:r>
              <w:t xml:space="preserve">5600000.00  </w:t>
            </w:r>
          </w:p>
        </w:tc>
        <w:tc>
          <w:tcPr/>
          <w:p>
            <w:r>
              <w:t>采购人指定</w:t>
            </w:r>
          </w:p>
        </w:tc>
        <w:tc>
          <w:tcPr/>
          <w:p>
            <w:r>
              <w:t>杨国峰18921898852</w:t>
            </w:r>
          </w:p>
        </w:tc>
      </w:tr>
      <w:tr>
        <w:tblPrEx>
          <w:tblW w:w="5000" w:type="pct"/>
          <w:tblCellMar>
            <w:left w:w="108" w:type="dxa"/>
            <w:right w:w="108" w:type="dxa"/>
          </w:tblCellMar>
        </w:tblPrEx>
        <w:tc>
          <w:tcPr/>
          <w:p>
            <w:r>
              <w:t>5</w:t>
            </w:r>
          </w:p>
        </w:tc>
        <w:tc>
          <w:tcPr>
            <w:vMerge w:val="restart"/>
          </w:tcPr>
          <w:p>
            <w:r>
              <w:t>盐都区局(001040029011)</w:t>
            </w:r>
          </w:p>
        </w:tc>
        <w:tc>
          <w:tcPr/>
          <w:p>
            <w:r>
              <w:t>自动气象站（含备件及区域站）</w:t>
            </w:r>
          </w:p>
        </w:tc>
        <w:tc>
          <w:tcPr/>
          <w:p>
            <w:r>
              <w:t>23</w:t>
            </w:r>
          </w:p>
        </w:tc>
        <w:tc>
          <w:tcPr/>
          <w:p>
            <w:r>
              <w:t>2300000.00</w:t>
            </w:r>
          </w:p>
        </w:tc>
        <w:tc>
          <w:tcPr>
            <w:vMerge w:val="restart"/>
          </w:tcPr>
          <w:p>
            <w:r>
              <w:t xml:space="preserve">2300000.00 </w:t>
            </w:r>
          </w:p>
        </w:tc>
        <w:tc>
          <w:tcPr/>
          <w:p>
            <w:r>
              <w:t>采购人指定</w:t>
            </w:r>
          </w:p>
        </w:tc>
        <w:tc>
          <w:tcPr/>
          <w:p>
            <w:r>
              <w:t>孙天仪18068866616</w:t>
            </w:r>
          </w:p>
        </w:tc>
      </w:tr>
      <w:tr>
        <w:tblPrEx>
          <w:tblW w:w="5000" w:type="pct"/>
          <w:tblCellMar>
            <w:left w:w="108" w:type="dxa"/>
            <w:right w:w="108" w:type="dxa"/>
          </w:tblCellMar>
        </w:tblPrEx>
        <w:tc>
          <w:tcPr/>
          <w:p>
            <w:r>
              <w:t>6</w:t>
            </w:r>
          </w:p>
        </w:tc>
        <w:tc>
          <w:tcPr>
            <w:vMerge w:val="restart"/>
          </w:tcPr>
          <w:p>
            <w:r>
              <w:t>建湖县局(001040029012)</w:t>
            </w:r>
          </w:p>
        </w:tc>
        <w:tc>
          <w:tcPr/>
          <w:p>
            <w:r>
              <w:t>自动气象站（含备件及区域站）</w:t>
            </w:r>
          </w:p>
        </w:tc>
        <w:tc>
          <w:tcPr/>
          <w:p>
            <w:r>
              <w:t>22</w:t>
            </w:r>
          </w:p>
        </w:tc>
        <w:tc>
          <w:tcPr/>
          <w:p>
            <w:r>
              <w:t>2200000.00</w:t>
            </w:r>
          </w:p>
        </w:tc>
        <w:tc>
          <w:tcPr>
            <w:vMerge w:val="restart"/>
          </w:tcPr>
          <w:p>
            <w:r>
              <w:t xml:space="preserve">2200000.00  </w:t>
            </w:r>
          </w:p>
        </w:tc>
        <w:tc>
          <w:tcPr/>
          <w:p>
            <w:r>
              <w:t>采购人指定</w:t>
            </w:r>
          </w:p>
        </w:tc>
        <w:tc>
          <w:tcPr/>
          <w:p>
            <w:r>
              <w:t>胡青18921800860</w:t>
            </w:r>
          </w:p>
        </w:tc>
      </w:tr>
      <w:tr>
        <w:tblPrEx>
          <w:tblW w:w="5000" w:type="pct"/>
          <w:tblCellMar>
            <w:left w:w="108" w:type="dxa"/>
            <w:right w:w="108" w:type="dxa"/>
          </w:tblCellMar>
        </w:tblPrEx>
        <w:tc>
          <w:tcPr/>
          <w:p>
            <w:r>
              <w:t>7</w:t>
            </w:r>
          </w:p>
        </w:tc>
        <w:tc>
          <w:tcPr/>
          <w:p>
            <w:r>
              <w:t>射阳县局(001040029013)</w:t>
            </w:r>
          </w:p>
        </w:tc>
        <w:tc>
          <w:tcPr/>
          <w:p>
            <w:r>
              <w:t>自动气象站（含备件及区域站）</w:t>
            </w:r>
          </w:p>
        </w:tc>
        <w:tc>
          <w:tcPr/>
          <w:p>
            <w:r>
              <w:t>57</w:t>
            </w:r>
          </w:p>
        </w:tc>
        <w:tc>
          <w:tcPr/>
          <w:p>
            <w:r>
              <w:t>5700000.00</w:t>
            </w:r>
          </w:p>
        </w:tc>
        <w:tc>
          <w:tcPr/>
          <w:p>
            <w:r>
              <w:t xml:space="preserve">5700000.00 </w:t>
            </w:r>
          </w:p>
        </w:tc>
        <w:tc>
          <w:tcPr/>
          <w:p>
            <w:r>
              <w:t>采购人指定</w:t>
            </w:r>
          </w:p>
        </w:tc>
        <w:tc>
          <w:tcPr/>
          <w:p>
            <w:r>
              <w:t>张宇18921813779</w:t>
            </w:r>
          </w:p>
        </w:tc>
      </w:tr>
      <w:tr>
        <w:tblPrEx>
          <w:tblW w:w="5000" w:type="pct"/>
          <w:tblCellMar>
            <w:left w:w="108" w:type="dxa"/>
            <w:right w:w="108" w:type="dxa"/>
          </w:tblCellMar>
        </w:tblPrEx>
        <w:tc>
          <w:tcPr/>
          <w:p>
            <w:r>
              <w:t>8</w:t>
            </w:r>
          </w:p>
        </w:tc>
        <w:tc>
          <w:tcPr/>
          <w:p>
            <w:r>
              <w:t>阜宁县局(001040029014)</w:t>
            </w:r>
          </w:p>
        </w:tc>
        <w:tc>
          <w:tcPr/>
          <w:p>
            <w:r>
              <w:t>自动气象站（含备件及区域站）</w:t>
            </w:r>
          </w:p>
        </w:tc>
        <w:tc>
          <w:tcPr/>
          <w:p>
            <w:r>
              <w:t>84</w:t>
            </w:r>
          </w:p>
        </w:tc>
        <w:tc>
          <w:tcPr/>
          <w:p>
            <w:r>
              <w:t>8400000.00</w:t>
            </w:r>
          </w:p>
        </w:tc>
        <w:tc>
          <w:tcPr/>
          <w:p>
            <w:r>
              <w:t xml:space="preserve">8400000.00  </w:t>
            </w:r>
          </w:p>
        </w:tc>
        <w:tc>
          <w:tcPr/>
          <w:p>
            <w:r>
              <w:t>采购人指定</w:t>
            </w:r>
          </w:p>
        </w:tc>
        <w:tc>
          <w:tcPr/>
          <w:p>
            <w:r>
              <w:t>耿健18921898851</w:t>
            </w:r>
          </w:p>
        </w:tc>
      </w:tr>
      <w:tr>
        <w:tblPrEx>
          <w:tblW w:w="5000" w:type="pct"/>
          <w:tblCellMar>
            <w:left w:w="108" w:type="dxa"/>
            <w:right w:w="108" w:type="dxa"/>
          </w:tblCellMar>
        </w:tblPrEx>
        <w:tc>
          <w:tcPr/>
          <w:p>
            <w:r>
              <w:t>9</w:t>
            </w:r>
          </w:p>
        </w:tc>
        <w:tc>
          <w:tcPr/>
          <w:p>
            <w:r>
              <w:t>滨海县局(001040029015)</w:t>
            </w:r>
          </w:p>
        </w:tc>
        <w:tc>
          <w:tcPr/>
          <w:p>
            <w:r>
              <w:t>自动气象站（含备件及区域站）</w:t>
            </w:r>
          </w:p>
        </w:tc>
        <w:tc>
          <w:tcPr/>
          <w:p>
            <w:r>
              <w:t>39</w:t>
            </w:r>
          </w:p>
        </w:tc>
        <w:tc>
          <w:tcPr/>
          <w:p>
            <w:r>
              <w:t>3900000.00</w:t>
            </w:r>
          </w:p>
        </w:tc>
        <w:tc>
          <w:tcPr/>
          <w:p>
            <w:r>
              <w:t xml:space="preserve">3900000.00 </w:t>
            </w:r>
          </w:p>
        </w:tc>
        <w:tc>
          <w:tcPr/>
          <w:p>
            <w:r>
              <w:t>采购人指定</w:t>
            </w:r>
          </w:p>
        </w:tc>
        <w:tc>
          <w:tcPr/>
          <w:p>
            <w:r>
              <w:t>王雄18921898759</w:t>
            </w:r>
          </w:p>
        </w:tc>
      </w:tr>
      <w:tr>
        <w:tblPrEx>
          <w:tblW w:w="5000" w:type="pct"/>
          <w:tblCellMar>
            <w:left w:w="108" w:type="dxa"/>
            <w:right w:w="108" w:type="dxa"/>
          </w:tblCellMar>
        </w:tblPrEx>
        <w:tc>
          <w:tcPr/>
          <w:p>
            <w:r>
              <w:t>10</w:t>
            </w:r>
          </w:p>
        </w:tc>
        <w:tc>
          <w:tcPr/>
          <w:p>
            <w:r>
              <w:t>响水县局(001040029016)</w:t>
            </w:r>
          </w:p>
        </w:tc>
        <w:tc>
          <w:tcPr/>
          <w:p>
            <w:r>
              <w:t>自动气象站（含备件及区域站）</w:t>
            </w:r>
          </w:p>
        </w:tc>
        <w:tc>
          <w:tcPr/>
          <w:p>
            <w:r>
              <w:t>20</w:t>
            </w:r>
          </w:p>
        </w:tc>
        <w:tc>
          <w:tcPr/>
          <w:p>
            <w:r>
              <w:t>2000000.00</w:t>
            </w:r>
          </w:p>
        </w:tc>
        <w:tc>
          <w:tcPr/>
          <w:p>
            <w:r>
              <w:t xml:space="preserve">2000000.00  </w:t>
            </w:r>
          </w:p>
        </w:tc>
        <w:tc>
          <w:tcPr/>
          <w:p>
            <w:r>
              <w:t>采购人指定</w:t>
            </w:r>
          </w:p>
        </w:tc>
        <w:tc>
          <w:tcPr/>
          <w:p>
            <w:r>
              <w:t>李柏18912566070</w:t>
            </w:r>
          </w:p>
        </w:tc>
      </w:tr>
      <w:tr>
        <w:tblPrEx>
          <w:tblW w:w="5000" w:type="pct"/>
          <w:tblCellMar>
            <w:left w:w="108" w:type="dxa"/>
            <w:right w:w="108" w:type="dxa"/>
          </w:tblCellMar>
        </w:tblPrEx>
        <w:tc>
          <w:tcPr/>
          <w:p>
            <w:r>
              <w:t>11</w:t>
            </w:r>
          </w:p>
        </w:tc>
        <w:tc>
          <w:tcPr/>
          <w:p>
            <w:r>
              <w:t>亭湖区局(001040029017)</w:t>
            </w:r>
          </w:p>
        </w:tc>
        <w:tc>
          <w:tcPr/>
          <w:p>
            <w:r>
              <w:t>自动气象站（含备件及区域站）</w:t>
            </w:r>
          </w:p>
        </w:tc>
        <w:tc>
          <w:tcPr/>
          <w:p>
            <w:r>
              <w:t>35</w:t>
            </w:r>
          </w:p>
        </w:tc>
        <w:tc>
          <w:tcPr/>
          <w:p>
            <w:r>
              <w:t>3500000.00</w:t>
            </w:r>
          </w:p>
        </w:tc>
        <w:tc>
          <w:tcPr/>
          <w:p>
            <w:r>
              <w:t xml:space="preserve">3500000.00 </w:t>
            </w:r>
          </w:p>
        </w:tc>
        <w:tc>
          <w:tcPr/>
          <w:p>
            <w:r>
              <w:t>采购人指定</w:t>
            </w:r>
          </w:p>
        </w:tc>
        <w:tc>
          <w:tcPr/>
          <w:p>
            <w:r>
              <w:t>蔺芳芳13961936891</w:t>
            </w:r>
          </w:p>
        </w:tc>
      </w:tr>
    </w:tbl>
    <w:p w:rsidR="00A77B3E"/>
    <w:p>
      <w:pPr>
        <w:spacing w:line="360" w:lineRule="auto"/>
        <w:rPr>
          <w:rFonts w:ascii="宋体" w:hAnsi="宋体"/>
          <w:szCs w:val="21"/>
        </w:rPr>
      </w:pPr>
      <w:bookmarkEnd w:id="85"/>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64CCC" w:rsidRPr="008E7A68" w:rsidP="00664CCC">
      <w:pPr>
        <w:tabs>
          <w:tab w:val="left" w:pos="1573"/>
        </w:tabs>
        <w:adjustRightInd w:val="0"/>
        <w:snapToGrid w:val="0"/>
        <w:spacing w:line="360" w:lineRule="auto"/>
        <w:jc w:val="center"/>
        <w:outlineLvl w:val="1"/>
        <w:rPr>
          <w:b/>
          <w:bCs/>
          <w:sz w:val="30"/>
          <w:szCs w:val="30"/>
        </w:rPr>
      </w:pPr>
      <w:bookmarkStart w:id="86" w:name="投标被拒绝条款专用部分_JJTK"/>
      <w:r w:rsidRPr="008E7A68">
        <w:rPr>
          <w:rFonts w:hint="eastAsia"/>
          <w:b/>
          <w:sz w:val="30"/>
          <w:szCs w:val="30"/>
        </w:rPr>
        <w:t>第八章</w:t>
      </w:r>
      <w:r w:rsidRPr="008E7A68">
        <w:rPr>
          <w:rFonts w:hint="eastAsia"/>
          <w:b/>
          <w:sz w:val="30"/>
          <w:szCs w:val="30"/>
        </w:rPr>
        <w:t xml:space="preserve">  </w:t>
      </w:r>
      <w:r w:rsidRPr="008E7A68">
        <w:rPr>
          <w:rFonts w:hint="eastAsia"/>
          <w:b/>
          <w:sz w:val="30"/>
          <w:szCs w:val="30"/>
        </w:rPr>
        <w:t>投标被拒绝条款专用部分</w:t>
      </w:r>
    </w:p>
    <w:p w:rsidR="00664CCC" w:rsidRPr="008E7A68" w:rsidP="00664CCC">
      <w:pPr>
        <w:adjustRightInd w:val="0"/>
        <w:snapToGrid w:val="0"/>
        <w:spacing w:before="156" w:beforeLines="50" w:line="360" w:lineRule="auto"/>
        <w:ind w:firstLine="420"/>
        <w:rPr>
          <w:rFonts w:ascii="宋体" w:hAnsi="宋体"/>
          <w:szCs w:val="21"/>
        </w:rPr>
      </w:pPr>
      <w:r w:rsidRPr="008E7A68">
        <w:rPr>
          <w:rFonts w:ascii="宋体" w:hAnsi="宋体" w:hint="eastAsia"/>
          <w:szCs w:val="21"/>
        </w:rPr>
        <w:t>本项目投标被拒绝专用条款详见下表。除下表及</w:t>
      </w:r>
      <w:r w:rsidRPr="008E7A68">
        <w:rPr>
          <w:rFonts w:ascii="黑体" w:eastAsia="黑体" w:hAnsi="黑体" w:hint="eastAsia"/>
          <w:b/>
          <w:bCs/>
          <w:szCs w:val="21"/>
        </w:rPr>
        <w:t>第三章投标被拒绝条款通用部分</w:t>
      </w:r>
      <w:r w:rsidRPr="008E7A68">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403F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tcBorders>
              <w:top w:val="single" w:sz="4" w:space="0" w:color="auto"/>
              <w:left w:val="single" w:sz="4" w:space="0" w:color="auto"/>
              <w:bottom w:val="single" w:sz="4" w:space="0" w:color="auto"/>
              <w:right w:val="single" w:sz="4" w:space="0" w:color="auto"/>
            </w:tcBorders>
            <w:vAlign w:val="center"/>
          </w:tcPr>
          <w:p w:rsidR="00664CCC" w:rsidRPr="008E7A68" w:rsidP="004403F5">
            <w:pPr>
              <w:rPr>
                <w:sz w:val="18"/>
                <w:szCs w:val="18"/>
                <w:lang w:eastAsia="en-US"/>
              </w:rPr>
            </w:pPr>
            <w:r w:rsidRPr="008E7A68">
              <w:rPr>
                <w:rFonts w:hint="eastAsia"/>
                <w:sz w:val="18"/>
                <w:szCs w:val="18"/>
                <w:lang w:eastAsia="en-US"/>
              </w:rPr>
              <w:t>序号</w:t>
            </w:r>
          </w:p>
        </w:tc>
        <w:tc>
          <w:tcPr>
            <w:tcW w:w="898" w:type="dxa"/>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sz w:val="18"/>
                <w:szCs w:val="18"/>
                <w:lang w:eastAsia="en-US"/>
              </w:rPr>
            </w:pPr>
            <w:r w:rsidRPr="008E7A68">
              <w:rPr>
                <w:rFonts w:hint="eastAsia"/>
                <w:sz w:val="18"/>
                <w:szCs w:val="18"/>
                <w:lang w:eastAsia="en-US"/>
              </w:rPr>
              <w:t>对应</w:t>
            </w:r>
          </w:p>
          <w:p w:rsidR="00664CCC" w:rsidRPr="008E7A68" w:rsidP="004403F5">
            <w:pPr>
              <w:jc w:val="center"/>
              <w:rPr>
                <w:sz w:val="18"/>
                <w:szCs w:val="18"/>
                <w:lang w:eastAsia="en-US"/>
              </w:rPr>
            </w:pPr>
            <w:r w:rsidRPr="008E7A68">
              <w:rPr>
                <w:rFonts w:hint="eastAsia"/>
                <w:sz w:val="18"/>
                <w:szCs w:val="18"/>
                <w:lang w:eastAsia="en-US"/>
              </w:rPr>
              <w:t>条款号</w:t>
            </w:r>
          </w:p>
        </w:tc>
        <w:tc>
          <w:tcPr>
            <w:tcW w:w="7347" w:type="dxa"/>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sz w:val="18"/>
                <w:szCs w:val="18"/>
                <w:lang w:eastAsia="en-US"/>
              </w:rPr>
            </w:pPr>
            <w:r w:rsidRPr="008E7A68">
              <w:rPr>
                <w:rFonts w:hint="eastAsia"/>
                <w:sz w:val="18"/>
                <w:szCs w:val="18"/>
                <w:lang w:eastAsia="en-US"/>
              </w:rPr>
              <w:t>内</w:t>
            </w:r>
            <w:r w:rsidRPr="008E7A68">
              <w:rPr>
                <w:sz w:val="18"/>
                <w:szCs w:val="18"/>
                <w:lang w:eastAsia="en-US"/>
              </w:rPr>
              <w:t xml:space="preserve"> </w:t>
            </w:r>
            <w:r w:rsidRPr="008E7A68">
              <w:rPr>
                <w:rFonts w:hint="eastAsia"/>
                <w:sz w:val="18"/>
                <w:szCs w:val="18"/>
                <w:lang w:eastAsia="en-US"/>
              </w:rPr>
              <w:t>容</w:t>
            </w:r>
          </w:p>
        </w:tc>
      </w:tr>
      <w:tr w:rsidTr="004403F5">
        <w:tblPrEx>
          <w:tblW w:w="8789"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b/>
                <w:sz w:val="18"/>
                <w:szCs w:val="18"/>
              </w:rPr>
            </w:pPr>
            <w:r w:rsidRPr="008E7A68">
              <w:rPr>
                <w:rFonts w:hint="eastAsia"/>
                <w:b/>
                <w:sz w:val="18"/>
                <w:szCs w:val="18"/>
              </w:rPr>
              <w:t>第五章</w:t>
            </w:r>
            <w:r w:rsidRPr="008E7A68">
              <w:rPr>
                <w:b/>
                <w:sz w:val="18"/>
                <w:szCs w:val="18"/>
              </w:rPr>
              <w:t xml:space="preserve"> </w:t>
            </w:r>
            <w:r w:rsidRPr="008E7A68">
              <w:rPr>
                <w:rFonts w:hint="eastAsia"/>
                <w:b/>
                <w:sz w:val="18"/>
                <w:szCs w:val="18"/>
              </w:rPr>
              <w:t>投标人须知专用部分</w:t>
            </w:r>
          </w:p>
        </w:tc>
      </w:tr>
      <w:tr w:rsidTr="004403F5">
        <w:tblPrEx>
          <w:tblW w:w="8789" w:type="dxa"/>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664CCC" w:rsidRPr="008E7A68" w:rsidP="00664CCC">
            <w:pPr>
              <w:numPr>
                <w:ilvl w:val="0"/>
                <w:numId w:val="14"/>
              </w:numPr>
              <w:rPr>
                <w:rFonts w:ascii="宋体" w:hAnsi="宋体"/>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rFonts w:ascii="宋体" w:hAnsi="宋体"/>
                <w:sz w:val="18"/>
                <w:szCs w:val="18"/>
              </w:rPr>
            </w:pPr>
            <w:r w:rsidRPr="008E7A68">
              <w:rPr>
                <w:rFonts w:ascii="宋体" w:hAnsi="宋体" w:hint="eastAsia"/>
                <w:sz w:val="18"/>
                <w:szCs w:val="18"/>
              </w:rPr>
              <w:t>5.7</w:t>
            </w:r>
          </w:p>
        </w:tc>
        <w:tc>
          <w:tcPr>
            <w:tcW w:w="7347" w:type="dxa"/>
            <w:tcBorders>
              <w:top w:val="single" w:sz="4" w:space="0" w:color="auto"/>
              <w:left w:val="single" w:sz="4" w:space="0" w:color="auto"/>
              <w:bottom w:val="single" w:sz="4" w:space="0" w:color="auto"/>
              <w:right w:val="single" w:sz="4" w:space="0" w:color="auto"/>
            </w:tcBorders>
          </w:tcPr>
          <w:p w:rsidR="00664CCC" w:rsidRPr="008E7A68" w:rsidP="004403F5">
            <w:pPr>
              <w:tabs>
                <w:tab w:val="left" w:pos="709"/>
              </w:tabs>
              <w:spacing w:line="360" w:lineRule="auto"/>
              <w:jc w:val="left"/>
              <w:rPr>
                <w:rFonts w:ascii="宋体" w:hAnsi="宋体" w:cs="微软雅黑"/>
                <w:b/>
                <w:kern w:val="0"/>
                <w:sz w:val="18"/>
                <w:szCs w:val="18"/>
              </w:rPr>
            </w:pPr>
            <w:r w:rsidRPr="008E7A68">
              <w:rPr>
                <w:rFonts w:ascii="宋体" w:hAnsi="宋体" w:cs="微软雅黑" w:hint="eastAsia"/>
                <w:b/>
                <w:kern w:val="0"/>
                <w:sz w:val="18"/>
                <w:szCs w:val="18"/>
              </w:rPr>
              <w:t>需要提供至投标截止日仍有效的《气象专用技术装备使用许可证》：智能气温测量仪许可证、智能湿度测量仪许可证、智能风测量仪许可证、智能翻斗式雨量测量仪许可证。</w:t>
            </w:r>
          </w:p>
        </w:tc>
      </w:tr>
      <w:tr w:rsidTr="004403F5">
        <w:tblPrEx>
          <w:tblW w:w="8789"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sz w:val="18"/>
                <w:szCs w:val="18"/>
                <w:lang w:eastAsia="en-US"/>
              </w:rPr>
            </w:pPr>
            <w:r w:rsidRPr="008E7A68">
              <w:rPr>
                <w:rFonts w:hint="eastAsia"/>
                <w:b/>
                <w:sz w:val="18"/>
                <w:szCs w:val="18"/>
                <w:lang w:eastAsia="en-US"/>
              </w:rPr>
              <w:t>第七章</w:t>
            </w:r>
            <w:r w:rsidRPr="008E7A68">
              <w:rPr>
                <w:b/>
                <w:sz w:val="18"/>
                <w:szCs w:val="18"/>
                <w:lang w:eastAsia="en-US"/>
              </w:rPr>
              <w:t xml:space="preserve">  </w:t>
            </w:r>
            <w:r w:rsidRPr="008E7A68">
              <w:rPr>
                <w:rFonts w:hint="eastAsia"/>
                <w:b/>
                <w:sz w:val="18"/>
                <w:szCs w:val="18"/>
                <w:lang w:eastAsia="en-US"/>
              </w:rPr>
              <w:t>采购需求</w:t>
            </w:r>
          </w:p>
        </w:tc>
      </w:tr>
      <w:tr w:rsidTr="004403F5">
        <w:tblPrEx>
          <w:tblW w:w="8789" w:type="dxa"/>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664CCC" w:rsidRPr="008E7A68" w:rsidP="00664CCC">
            <w:pPr>
              <w:numPr>
                <w:ilvl w:val="0"/>
                <w:numId w:val="14"/>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tcPr>
          <w:p w:rsidR="00664CCC" w:rsidRPr="008E7A68" w:rsidP="004403F5">
            <w:pPr>
              <w:jc w:val="center"/>
              <w:rPr>
                <w:rFonts w:ascii="宋体" w:hAnsi="宋体"/>
                <w:sz w:val="18"/>
                <w:szCs w:val="18"/>
                <w:lang w:eastAsia="en-US"/>
              </w:rPr>
            </w:pPr>
            <w:r w:rsidRPr="008E7A68">
              <w:rPr>
                <w:rFonts w:ascii="宋体" w:hAnsi="宋体" w:hint="eastAsia"/>
                <w:sz w:val="18"/>
                <w:szCs w:val="18"/>
                <w:lang w:eastAsia="en-US"/>
              </w:rPr>
              <w:t>7.7</w:t>
            </w:r>
          </w:p>
        </w:tc>
        <w:tc>
          <w:tcPr>
            <w:tcW w:w="7347" w:type="dxa"/>
            <w:tcBorders>
              <w:top w:val="single" w:sz="4" w:space="0" w:color="auto"/>
              <w:left w:val="single" w:sz="4" w:space="0" w:color="auto"/>
              <w:bottom w:val="single" w:sz="4" w:space="0" w:color="auto"/>
              <w:right w:val="single" w:sz="4" w:space="0" w:color="auto"/>
            </w:tcBorders>
            <w:vAlign w:val="center"/>
          </w:tcPr>
          <w:p w:rsidR="00664CCC" w:rsidRPr="008E7A68" w:rsidP="0026086C">
            <w:pPr>
              <w:tabs>
                <w:tab w:val="left" w:pos="709"/>
              </w:tabs>
              <w:spacing w:line="360" w:lineRule="auto"/>
              <w:jc w:val="left"/>
              <w:rPr>
                <w:rFonts w:ascii="宋体" w:hAnsi="宋体"/>
                <w:sz w:val="18"/>
                <w:szCs w:val="18"/>
              </w:rPr>
            </w:pPr>
            <w:bookmarkStart w:id="87" w:name="OLE_LINK20"/>
            <w:r w:rsidRPr="008E7A68">
              <w:rPr>
                <w:rFonts w:ascii="宋体" w:hAnsi="宋体" w:hint="eastAsia"/>
                <w:sz w:val="18"/>
                <w:szCs w:val="18"/>
              </w:rPr>
              <w:t>本项目质保期限</w:t>
            </w:r>
            <w:r w:rsidR="0026086C">
              <w:rPr>
                <w:rFonts w:ascii="宋体" w:hAnsi="宋体" w:hint="eastAsia"/>
                <w:sz w:val="18"/>
                <w:szCs w:val="18"/>
              </w:rPr>
              <w:t>8</w:t>
            </w:r>
            <w:r w:rsidRPr="008E7A68">
              <w:rPr>
                <w:rFonts w:ascii="宋体" w:hAnsi="宋体" w:hint="eastAsia"/>
                <w:sz w:val="18"/>
                <w:szCs w:val="18"/>
              </w:rPr>
              <w:t>年，需提供承诺函并加盖投标人公章。</w:t>
            </w:r>
            <w:bookmarkEnd w:id="87"/>
          </w:p>
        </w:tc>
      </w:tr>
    </w:tbl>
    <w:p w:rsidR="00664CCC" w:rsidRPr="008E7A68" w:rsidP="00664CCC">
      <w:pPr>
        <w:spacing w:before="156" w:beforeLines="50" w:line="360" w:lineRule="auto"/>
        <w:ind w:firstLine="420"/>
      </w:pPr>
      <w:r w:rsidRPr="008E7A68">
        <w:rPr>
          <w:rFonts w:ascii="宋体" w:hAnsi="宋体" w:hint="eastAsia"/>
          <w:szCs w:val="21"/>
        </w:rPr>
        <w:t>注：根据项目具体情况，对投标人有具体要求，且投标人必须遵守的，逐条列出。</w:t>
      </w:r>
    </w:p>
    <w:p w:rsidR="00BB2AAB" w:rsidRPr="008E7A68"/>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67898">
      <w:pPr>
        <w:spacing w:line="360" w:lineRule="auto"/>
        <w:jc w:val="center"/>
        <w:outlineLvl w:val="0"/>
        <w:rPr>
          <w:b/>
          <w:sz w:val="48"/>
          <w:szCs w:val="36"/>
        </w:rPr>
      </w:pPr>
      <w:bookmarkStart w:id="88" w:name="采购公告合同部分_ZBGGHT"/>
      <w:r>
        <w:rPr>
          <w:rFonts w:hint="eastAsia"/>
          <w:b/>
          <w:sz w:val="48"/>
          <w:szCs w:val="36"/>
        </w:rPr>
        <w:t>采购合同</w:t>
      </w:r>
    </w:p>
    <w:p w:rsidR="00E67898">
      <w:pPr>
        <w:spacing w:line="360" w:lineRule="auto"/>
        <w:rPr>
          <w:b/>
          <w:bCs/>
          <w:sz w:val="28"/>
          <w:szCs w:val="28"/>
        </w:rPr>
      </w:pPr>
    </w:p>
    <w:p w:rsidR="00E67898">
      <w:pPr>
        <w:numPr>
          <w:ilvl w:val="0"/>
          <w:numId w:val="5"/>
        </w:numPr>
        <w:spacing w:line="360" w:lineRule="auto"/>
        <w:ind w:firstLine="3066" w:firstLineChars="1460"/>
        <w:jc w:val="left"/>
        <w:rPr>
          <w:b/>
          <w:bCs/>
          <w:szCs w:val="21"/>
        </w:rPr>
      </w:pPr>
      <w:bookmarkStart w:id="89" w:name="采购公告合同部分_ZBGGHT_0"/>
      <w:r>
        <w:rPr>
          <w:rFonts w:hint="eastAsia"/>
          <w:b/>
          <w:bCs/>
          <w:szCs w:val="21"/>
        </w:rPr>
        <w:t xml:space="preserve"> </w:t>
      </w:r>
      <w:r>
        <w:rPr>
          <w:rFonts w:hint="eastAsia"/>
          <w:b/>
          <w:bCs/>
          <w:szCs w:val="21"/>
        </w:rPr>
        <w:t>采购合同</w:t>
      </w:r>
    </w:p>
    <w:p w:rsidR="00E67898">
      <w:pPr>
        <w:spacing w:line="360" w:lineRule="auto"/>
        <w:ind w:left="1680" w:firstLine="420"/>
        <w:jc w:val="left"/>
        <w:rPr>
          <w:b/>
          <w:bCs/>
          <w:szCs w:val="21"/>
        </w:rPr>
      </w:pPr>
      <w:r>
        <w:rPr>
          <w:rFonts w:hint="eastAsia"/>
          <w:b/>
          <w:bCs/>
          <w:szCs w:val="21"/>
        </w:rPr>
        <w:t>必须明确合同金额支付条件及支付比例</w:t>
      </w:r>
    </w:p>
    <w:p w:rsidR="00E67898">
      <w:pPr>
        <w:pStyle w:val="BodyText"/>
        <w:spacing w:after="0"/>
        <w:jc w:val="center"/>
        <w:rPr>
          <w:rFonts w:ascii="宋体" w:hAnsi="宋体" w:cs="宋体"/>
          <w:b/>
          <w:bCs/>
          <w:color w:val="auto"/>
          <w:spacing w:val="-20"/>
          <w:kern w:val="44"/>
          <w:sz w:val="48"/>
          <w:szCs w:val="48"/>
        </w:rPr>
      </w:pPr>
      <w:r>
        <w:rPr>
          <w:b/>
          <w:bCs/>
          <w:color w:val="auto"/>
          <w:szCs w:val="21"/>
        </w:rPr>
        <w:br w:type="page"/>
      </w:r>
      <w:bookmarkStart w:id="90" w:name="_Toc3995"/>
    </w:p>
    <w:p w:rsidR="00E67898">
      <w:pPr>
        <w:pStyle w:val="BodyText"/>
        <w:spacing w:after="0"/>
        <w:jc w:val="center"/>
        <w:rPr>
          <w:rFonts w:ascii="宋体" w:hAnsi="宋体" w:cs="宋体"/>
          <w:b/>
          <w:bCs/>
          <w:color w:val="auto"/>
          <w:spacing w:val="-20"/>
          <w:kern w:val="44"/>
          <w:sz w:val="48"/>
          <w:szCs w:val="48"/>
        </w:rPr>
      </w:pPr>
    </w:p>
    <w:p w:rsidR="00E67898">
      <w:pPr>
        <w:pStyle w:val="BodyText"/>
        <w:spacing w:after="0"/>
        <w:jc w:val="center"/>
        <w:rPr>
          <w:rFonts w:ascii="宋体" w:hAnsi="宋体" w:cs="宋体"/>
          <w:b/>
          <w:bCs/>
          <w:color w:val="auto"/>
          <w:spacing w:val="-20"/>
          <w:kern w:val="44"/>
          <w:sz w:val="48"/>
          <w:szCs w:val="48"/>
        </w:rPr>
      </w:pPr>
    </w:p>
    <w:p w:rsidR="00E67898">
      <w:pPr>
        <w:pStyle w:val="BodyText"/>
        <w:spacing w:after="0"/>
        <w:jc w:val="center"/>
        <w:rPr>
          <w:rFonts w:ascii="宋体" w:hAnsi="宋体" w:cs="宋体"/>
          <w:b/>
          <w:bCs/>
          <w:color w:val="auto"/>
          <w:spacing w:val="-20"/>
          <w:kern w:val="44"/>
          <w:sz w:val="48"/>
          <w:szCs w:val="48"/>
        </w:rPr>
      </w:pPr>
    </w:p>
    <w:p w:rsidR="00E67898">
      <w:pPr>
        <w:pStyle w:val="BodyText"/>
        <w:spacing w:after="0"/>
        <w:jc w:val="center"/>
        <w:rPr>
          <w:rFonts w:ascii="宋体" w:hAnsi="宋体" w:cs="宋体"/>
          <w:b/>
          <w:bCs/>
          <w:color w:val="auto"/>
          <w:spacing w:val="-20"/>
          <w:kern w:val="44"/>
          <w:sz w:val="48"/>
          <w:szCs w:val="48"/>
        </w:rPr>
      </w:pPr>
    </w:p>
    <w:p w:rsidR="00E67898">
      <w:pPr>
        <w:pStyle w:val="BodyText"/>
        <w:spacing w:after="0"/>
        <w:jc w:val="center"/>
        <w:rPr>
          <w:rFonts w:ascii="宋体" w:hAnsi="宋体" w:cs="宋体"/>
          <w:b/>
          <w:bCs/>
          <w:color w:val="auto"/>
          <w:spacing w:val="-20"/>
          <w:kern w:val="44"/>
          <w:sz w:val="48"/>
          <w:szCs w:val="48"/>
        </w:rPr>
      </w:pPr>
      <w:r>
        <w:rPr>
          <w:rFonts w:ascii="宋体" w:hAnsi="宋体" w:cs="宋体" w:hint="eastAsia"/>
          <w:b/>
          <w:bCs/>
          <w:color w:val="auto"/>
          <w:spacing w:val="-20"/>
          <w:kern w:val="44"/>
          <w:sz w:val="48"/>
          <w:szCs w:val="48"/>
        </w:rPr>
        <w:t>政府采购货物买卖合同</w:t>
      </w:r>
    </w:p>
    <w:p w:rsidR="00E67898">
      <w:pPr>
        <w:pStyle w:val="BodyText"/>
        <w:spacing w:after="0"/>
        <w:jc w:val="center"/>
        <w:rPr>
          <w:rFonts w:ascii="宋体" w:hAnsi="宋体" w:cs="宋体"/>
          <w:b/>
          <w:bCs/>
          <w:color w:val="auto"/>
          <w:spacing w:val="-20"/>
          <w:kern w:val="44"/>
          <w:sz w:val="48"/>
          <w:szCs w:val="48"/>
        </w:rPr>
      </w:pPr>
      <w:r>
        <w:rPr>
          <w:rFonts w:ascii="宋体" w:hAnsi="宋体" w:cs="宋体" w:hint="eastAsia"/>
          <w:b/>
          <w:bCs/>
          <w:color w:val="auto"/>
          <w:spacing w:val="-20"/>
          <w:kern w:val="44"/>
          <w:sz w:val="48"/>
          <w:szCs w:val="48"/>
        </w:rPr>
        <w:t>（试行）</w:t>
      </w:r>
    </w:p>
    <w:p w:rsidR="00E67898">
      <w:pPr>
        <w:rPr>
          <w:rFonts w:ascii="宋体" w:hAnsi="宋体" w:cs="宋体"/>
          <w:b/>
          <w:bCs/>
          <w:spacing w:val="-20"/>
          <w:kern w:val="44"/>
          <w:sz w:val="40"/>
          <w:szCs w:val="40"/>
        </w:rPr>
      </w:pPr>
    </w:p>
    <w:p w:rsidR="00E67898">
      <w:pPr>
        <w:rPr>
          <w:rFonts w:ascii="宋体" w:hAnsi="宋体" w:cs="宋体"/>
          <w:b/>
          <w:bCs/>
          <w:spacing w:val="-20"/>
          <w:kern w:val="44"/>
          <w:sz w:val="40"/>
          <w:szCs w:val="40"/>
        </w:rPr>
      </w:pPr>
    </w:p>
    <w:p w:rsidR="00E67898">
      <w:pPr>
        <w:rPr>
          <w:rFonts w:ascii="宋体" w:hAnsi="宋体" w:cs="宋体"/>
          <w:b/>
          <w:bCs/>
          <w:spacing w:val="-20"/>
          <w:kern w:val="44"/>
          <w:sz w:val="40"/>
          <w:szCs w:val="40"/>
        </w:rPr>
      </w:pPr>
    </w:p>
    <w:p w:rsidR="00E6789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r>
        <w:rPr>
          <w:rFonts w:hint="eastAsia"/>
          <w:sz w:val="32"/>
          <w:szCs w:val="32"/>
          <w:u w:val="single"/>
        </w:rPr>
        <w:t>盐城市强对流灾害防御监测站网建设</w:t>
      </w:r>
      <w:r>
        <w:rPr>
          <w:rFonts w:hint="eastAsia"/>
          <w:sz w:val="32"/>
          <w:szCs w:val="32"/>
          <w:u w:val="single"/>
        </w:rPr>
        <w:t>-</w:t>
      </w:r>
      <w:r>
        <w:rPr>
          <w:rFonts w:hint="eastAsia"/>
          <w:sz w:val="32"/>
          <w:szCs w:val="32"/>
          <w:u w:val="single"/>
        </w:rPr>
        <w:t>强对流监测气象自动站采购</w:t>
      </w:r>
      <w:r>
        <w:rPr>
          <w:rFonts w:hint="eastAsia"/>
          <w:sz w:val="32"/>
          <w:szCs w:val="32"/>
          <w:u w:val="single"/>
        </w:rPr>
        <w:t xml:space="preserve"> </w:t>
      </w:r>
    </w:p>
    <w:p w:rsidR="00E6789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E6789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6789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E6789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67898"/>
    <w:p w:rsidR="00E67898">
      <w:pPr>
        <w:rPr>
          <w:rFonts w:eastAsia="黑体"/>
          <w:sz w:val="44"/>
          <w:szCs w:val="44"/>
        </w:rPr>
      </w:pPr>
      <w:r>
        <w:rPr>
          <w:rFonts w:eastAsia="黑体"/>
          <w:sz w:val="44"/>
          <w:szCs w:val="44"/>
        </w:rPr>
        <w:br w:type="page"/>
      </w:r>
    </w:p>
    <w:p w:rsidR="00E67898">
      <w:pPr>
        <w:rPr>
          <w:rFonts w:eastAsia="黑体"/>
          <w:sz w:val="44"/>
          <w:szCs w:val="44"/>
        </w:rPr>
      </w:pPr>
    </w:p>
    <w:p w:rsidR="00E67898">
      <w:pPr>
        <w:rPr>
          <w:rFonts w:eastAsia="黑体"/>
          <w:sz w:val="44"/>
          <w:szCs w:val="44"/>
        </w:rPr>
      </w:pPr>
    </w:p>
    <w:p w:rsidR="00E6789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E67898">
      <w:pPr>
        <w:ind w:firstLine="640" w:firstLineChars="200"/>
        <w:rPr>
          <w:rFonts w:ascii="仿宋_GB2312" w:eastAsia="仿宋_GB2312" w:hAnsi="仿宋_GB2312" w:cs="仿宋_GB2312"/>
          <w:sz w:val="32"/>
          <w:szCs w:val="32"/>
        </w:rPr>
      </w:pPr>
    </w:p>
    <w:p w:rsidR="00E6789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E6789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E6789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E67898">
      <w:pPr>
        <w:rPr>
          <w:rFonts w:eastAsia="黑体"/>
          <w:sz w:val="44"/>
          <w:szCs w:val="44"/>
        </w:rPr>
        <w:sectPr>
          <w:pgSz w:w="11906" w:h="16838"/>
          <w:pgMar w:top="1440" w:right="1800" w:bottom="1440" w:left="1800" w:header="851" w:footer="992" w:gutter="0"/>
          <w:cols w:space="425"/>
          <w:docGrid w:type="lines" w:linePitch="312"/>
        </w:sectPr>
      </w:pPr>
    </w:p>
    <w:p w:rsidR="00E67898">
      <w:pPr>
        <w:pStyle w:val="Heading2"/>
        <w:numPr>
          <w:ilvl w:val="0"/>
          <w:numId w:val="0"/>
        </w:numPr>
        <w:adjustRightInd w:val="0"/>
        <w:snapToGrid w:val="0"/>
        <w:spacing w:line="400" w:lineRule="exact"/>
        <w:jc w:val="center"/>
        <w:rPr>
          <w:rFonts w:ascii="黑体" w:hAnsi="华文中宋"/>
          <w:b w:val="0"/>
          <w:bCs w:val="0"/>
          <w:sz w:val="28"/>
          <w:szCs w:val="28"/>
        </w:rPr>
      </w:pPr>
      <w:bookmarkStart w:id="91" w:name="_Toc22209"/>
      <w:bookmarkStart w:id="92" w:name="OLE_LINK9"/>
      <w:bookmarkEnd w:id="9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91"/>
    </w:p>
    <w:p w:rsidR="00E6789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E67898">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E67898">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             </w:t>
      </w:r>
      <w:r>
        <w:rPr>
          <w:rFonts w:ascii="宋体" w:hAnsi="宋体" w:hint="eastAsia"/>
          <w:szCs w:val="21"/>
        </w:rPr>
        <w:t>（联合体成员供应商或其他合同主体）（如有）</w:t>
      </w:r>
    </w:p>
    <w:p w:rsidR="00E6789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                </w:t>
      </w:r>
      <w:r>
        <w:rPr>
          <w:rFonts w:ascii="宋体" w:hAnsi="宋体" w:hint="eastAsia"/>
          <w:szCs w:val="21"/>
        </w:rPr>
        <w:t>（联合体成员供应商或其他合同主体）（如有）</w:t>
      </w:r>
    </w:p>
    <w:p w:rsidR="00E6789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E678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E67898">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r>
        <w:rPr>
          <w:rFonts w:ascii="宋体" w:hAnsi="宋体" w:hint="eastAsia"/>
          <w:szCs w:val="21"/>
          <w:u w:val="single"/>
        </w:rPr>
        <w:t>盐城市强对流灾害防御监测站网建设-强对流监测气象自动站采购</w:t>
      </w:r>
    </w:p>
    <w:p w:rsidR="00E6789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E6789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E6789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E6789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E6789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E6789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E6789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E6789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67898">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E678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E678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E678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678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FE"/>
      </w:r>
      <w:r>
        <w:rPr>
          <w:rFonts w:ascii="宋体" w:eastAsia="宋体" w:hAnsi="宋体" w:cs="宋体" w:hint="eastAsia"/>
          <w:sz w:val="21"/>
        </w:rPr>
        <w:t>否</w:t>
      </w:r>
    </w:p>
    <w:p w:rsidR="00E678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FE"/>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E6789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FE"/>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E6789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bookmarkStart w:id="93" w:name="OLE_LINK15"/>
      <w:r>
        <w:rPr>
          <w:rFonts w:ascii="Wingdings" w:eastAsia="宋体" w:hAnsi="Wingdings" w:cs="宋体"/>
          <w:sz w:val="21"/>
        </w:rPr>
        <w:sym w:font="Wingdings" w:char="F0A8"/>
      </w:r>
      <w:bookmarkEnd w:id="93"/>
      <w:r>
        <w:rPr>
          <w:rFonts w:ascii="宋体" w:eastAsia="宋体" w:hAnsi="宋体" w:cs="宋体" w:hint="eastAsia"/>
          <w:sz w:val="21"/>
        </w:rPr>
        <w:t>其他：</w:t>
      </w:r>
      <w:r>
        <w:rPr>
          <w:rFonts w:ascii="宋体" w:eastAsia="宋体" w:hAnsi="宋体" w:cs="宋体" w:hint="eastAsia"/>
          <w:sz w:val="21"/>
          <w:u w:val="single"/>
        </w:rPr>
        <w:t xml:space="preserve">      /    </w:t>
      </w:r>
    </w:p>
    <w:p w:rsidR="00E6789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E6789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hAnsi="Wingdings"/>
        </w:rPr>
        <w:sym w:font="Wingdings" w:char="F0FE"/>
      </w:r>
      <w:r>
        <w:rPr>
          <w:rFonts w:ascii="宋体" w:eastAsia="宋体" w:hAnsi="宋体" w:cs="Times New Roman" w:hint="eastAsia"/>
          <w:kern w:val="2"/>
          <w:sz w:val="21"/>
        </w:rPr>
        <w:t xml:space="preserve">是      </w:t>
      </w:r>
      <w:r>
        <w:rPr>
          <w:rFonts w:ascii="Wingdings" w:hAnsi="Wingdings" w:cs="宋体"/>
        </w:rPr>
        <w:sym w:font="Wingdings" w:char="F0A8"/>
      </w:r>
      <w:r>
        <w:rPr>
          <w:rFonts w:ascii="宋体" w:eastAsia="宋体" w:hAnsi="宋体" w:cs="Times New Roman" w:hint="eastAsia"/>
          <w:kern w:val="2"/>
          <w:sz w:val="21"/>
        </w:rPr>
        <w:t>否</w:t>
      </w:r>
    </w:p>
    <w:p w:rsidR="00E67898">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FE"/>
      </w:r>
      <w:r>
        <w:rPr>
          <w:rFonts w:ascii="宋体" w:hAnsi="宋体" w:hint="eastAsia"/>
          <w:iCs/>
          <w:szCs w:val="21"/>
        </w:rPr>
        <w:t xml:space="preserve">是    </w:t>
      </w:r>
      <w:bookmarkStart w:id="94" w:name="OLE_LINK64"/>
      <w:bookmarkStart w:id="95" w:name="OLE_LINK65"/>
      <w:r>
        <w:rPr>
          <w:rFonts w:ascii="Wingdings" w:hAnsi="Wingdings"/>
          <w:iCs/>
          <w:szCs w:val="21"/>
        </w:rPr>
        <w:sym w:font="Wingdings" w:char="F0A8"/>
      </w:r>
      <w:bookmarkEnd w:id="94"/>
      <w:bookmarkEnd w:id="95"/>
      <w:r>
        <w:rPr>
          <w:rFonts w:ascii="宋体" w:hAnsi="宋体" w:hint="eastAsia"/>
          <w:iCs/>
          <w:szCs w:val="21"/>
        </w:rPr>
        <w:t>否</w:t>
      </w:r>
    </w:p>
    <w:p w:rsidR="00E67898">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FE"/>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6789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bookmarkStart w:id="96" w:name="OLE_LINK26"/>
      <w:r>
        <w:rPr>
          <w:rFonts w:ascii="Wingdings" w:hAnsi="Wingdings"/>
          <w:iCs/>
          <w:szCs w:val="21"/>
        </w:rPr>
        <w:sym w:font="Wingdings" w:char="F0A8"/>
      </w:r>
      <w:bookmarkEnd w:id="96"/>
      <w:r>
        <w:rPr>
          <w:rFonts w:ascii="宋体" w:hAnsi="宋体" w:hint="eastAsia"/>
          <w:iCs/>
          <w:szCs w:val="21"/>
        </w:rPr>
        <w:t xml:space="preserve">是   </w:t>
      </w:r>
      <w:r>
        <w:rPr>
          <w:rFonts w:ascii="Wingdings" w:hAnsi="Wingdings"/>
          <w:iCs/>
          <w:szCs w:val="21"/>
        </w:rPr>
        <w:sym w:font="Wingdings" w:char="F0FE"/>
      </w:r>
      <w:r>
        <w:rPr>
          <w:rFonts w:ascii="宋体" w:hAnsi="宋体" w:hint="eastAsia"/>
          <w:iCs/>
          <w:szCs w:val="21"/>
        </w:rPr>
        <w:t>否</w:t>
      </w:r>
    </w:p>
    <w:p w:rsidR="00E6789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FE"/>
      </w:r>
      <w:r>
        <w:rPr>
          <w:rFonts w:ascii="宋体" w:hAnsi="宋体" w:hint="eastAsia"/>
          <w:iCs/>
          <w:szCs w:val="21"/>
        </w:rPr>
        <w:t>否</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FE"/>
      </w:r>
      <w:r>
        <w:rPr>
          <w:rFonts w:ascii="宋体" w:hAnsi="宋体" w:hint="eastAsia"/>
          <w:iCs/>
          <w:szCs w:val="21"/>
        </w:rPr>
        <w:t>否</w:t>
      </w:r>
    </w:p>
    <w:p w:rsidR="00E6789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                       </w:t>
      </w:r>
    </w:p>
    <w:p w:rsidR="00E6789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E6789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                             </w:t>
      </w:r>
    </w:p>
    <w:p w:rsidR="00E6789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E6789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E6789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E6789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FE"/>
      </w:r>
      <w:r>
        <w:rPr>
          <w:rFonts w:ascii="宋体" w:hAnsi="宋体" w:cs="宋体" w:hint="eastAsia"/>
          <w:iCs/>
          <w:szCs w:val="21"/>
        </w:rPr>
        <w:t>否</w:t>
      </w:r>
    </w:p>
    <w:p w:rsidR="00E6789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E6789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E6789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E6789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E6789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FE"/>
      </w:r>
      <w:r>
        <w:rPr>
          <w:rFonts w:ascii="宋体" w:hAnsi="宋体" w:hint="eastAsia"/>
          <w:szCs w:val="21"/>
        </w:rPr>
        <w:t>否</w:t>
      </w:r>
    </w:p>
    <w:p w:rsidR="00E67898">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E6789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678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6789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67898">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E6789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678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6789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6789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E6789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E678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6789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67898">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E6789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FE"/>
      </w:r>
      <w:r>
        <w:rPr>
          <w:rFonts w:ascii="宋体" w:hAnsi="宋体" w:hint="eastAsia"/>
          <w:szCs w:val="21"/>
        </w:rPr>
        <w:t>不涉及</w:t>
      </w:r>
    </w:p>
    <w:p w:rsidR="00E678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E6789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E67898">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E6789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E67898">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E67898">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E6789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FE"/>
      </w:r>
      <w:r>
        <w:rPr>
          <w:rFonts w:ascii="宋体" w:hAnsi="宋体" w:hint="eastAsia"/>
          <w:iCs/>
          <w:szCs w:val="21"/>
        </w:rPr>
        <w:t xml:space="preserve">固定总价 </w:t>
      </w:r>
      <w:r>
        <w:rPr>
          <w:rFonts w:ascii="Wingdings" w:hAnsi="Wingdings"/>
          <w:szCs w:val="21"/>
        </w:rPr>
        <w:sym w:font="Wingdings" w:char="F0A8"/>
      </w:r>
      <w:r>
        <w:rPr>
          <w:rFonts w:ascii="宋体" w:hAnsi="宋体" w:hint="eastAsia"/>
          <w:iCs/>
          <w:szCs w:val="21"/>
        </w:rPr>
        <w:t xml:space="preserve">固定单价 </w:t>
      </w:r>
      <w:bookmarkStart w:id="97" w:name="OLE_LINK2"/>
      <w:r>
        <w:rPr>
          <w:rFonts w:ascii="Wingdings" w:hAnsi="Wingdings"/>
          <w:iCs/>
          <w:szCs w:val="21"/>
        </w:rPr>
        <w:sym w:font="Wingdings" w:char="F0A8"/>
      </w:r>
      <w:bookmarkEnd w:id="97"/>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bookmarkStart w:id="98" w:name="OLE_LINK3"/>
      <w:r>
        <w:rPr>
          <w:rFonts w:ascii="Wingdings" w:hAnsi="Wingdings"/>
          <w:iCs/>
          <w:szCs w:val="21"/>
        </w:rPr>
        <w:sym w:font="Wingdings" w:char="F0A8"/>
      </w:r>
      <w:bookmarkEnd w:id="98"/>
      <w:r>
        <w:rPr>
          <w:rFonts w:ascii="宋体" w:hAnsi="宋体" w:hint="eastAsia"/>
          <w:iCs/>
          <w:szCs w:val="21"/>
        </w:rPr>
        <w:t>其他</w:t>
      </w:r>
      <w:r>
        <w:rPr>
          <w:rFonts w:ascii="宋体" w:hAnsi="宋体" w:hint="eastAsia"/>
          <w:szCs w:val="21"/>
          <w:u w:val="single"/>
        </w:rPr>
        <w:t xml:space="preserve">       </w:t>
      </w:r>
    </w:p>
    <w:p w:rsidR="00E67898">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E67898">
      <w:pPr>
        <w:adjustRightInd w:val="0"/>
        <w:snapToGrid w:val="0"/>
        <w:spacing w:line="400" w:lineRule="exact"/>
        <w:ind w:firstLine="630" w:firstLineChars="300"/>
        <w:rPr>
          <w:rFonts w:ascii="宋体" w:hAnsi="宋体"/>
          <w:szCs w:val="21"/>
          <w:u w:val="single"/>
        </w:rPr>
      </w:pPr>
      <w:bookmarkStart w:id="99" w:name="OLE_LINK5"/>
      <w:bookmarkStart w:id="100" w:name="OLE_LINK4"/>
      <w:r>
        <w:rPr>
          <w:rFonts w:ascii="Wingdings" w:hAnsi="Wingdings"/>
          <w:szCs w:val="21"/>
        </w:rPr>
        <w:sym w:font="Wingdings" w:char="F0A8"/>
      </w:r>
      <w:bookmarkEnd w:id="99"/>
      <w:bookmarkEnd w:id="100"/>
      <w:r>
        <w:rPr>
          <w:rFonts w:ascii="宋体" w:hAnsi="宋体" w:hint="eastAsia"/>
          <w:szCs w:val="21"/>
        </w:rPr>
        <w:t>全额付款：</w:t>
      </w:r>
      <w:r>
        <w:rPr>
          <w:rFonts w:ascii="宋体" w:hAnsi="宋体" w:hint="eastAsia"/>
          <w:szCs w:val="21"/>
          <w:u w:val="single"/>
        </w:rPr>
        <w:t xml:space="preserve">     （应明确一次性支付合同款项的条件）                    </w:t>
      </w:r>
    </w:p>
    <w:p w:rsidR="00E6789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bookmarkStart w:id="101" w:name="OLE_LINK6_0"/>
      <w:r>
        <w:rPr>
          <w:rFonts w:ascii="宋体" w:hAnsi="宋体" w:hint="eastAsia"/>
          <w:szCs w:val="21"/>
          <w:u w:val="single"/>
        </w:rPr>
        <w:t>签订合同后20天内支付合同总价的30%作为预付款；设备安装、调试、正常运行，经甲方</w:t>
      </w:r>
      <w:bookmarkStart w:id="102" w:name="OLE_LINK1_0"/>
      <w:r>
        <w:rPr>
          <w:rFonts w:ascii="宋体" w:hAnsi="宋体" w:hint="eastAsia"/>
          <w:szCs w:val="21"/>
          <w:u w:val="single"/>
        </w:rPr>
        <w:t>验收合格</w:t>
      </w:r>
      <w:bookmarkEnd w:id="102"/>
      <w:r>
        <w:rPr>
          <w:rFonts w:ascii="宋体" w:hAnsi="宋体" w:hint="eastAsia"/>
          <w:szCs w:val="21"/>
          <w:u w:val="single"/>
        </w:rPr>
        <w:t>后，甲方30天内向乙方支付合同总价的70%。</w:t>
      </w:r>
      <w:bookmarkEnd w:id="101"/>
      <w:r>
        <w:rPr>
          <w:rFonts w:ascii="宋体" w:hAnsi="宋体" w:hint="eastAsia"/>
          <w:szCs w:val="21"/>
          <w:u w:val="single"/>
        </w:rPr>
        <w:t xml:space="preserve">（注：各分签单位根据属地财政预算资金下达情况，自行调整付款进度） </w:t>
      </w:r>
    </w:p>
    <w:p w:rsidR="00E6789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E6789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E6789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E67898">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E6789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E6789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bookmarkStart w:id="103" w:name="OLE_LINK44"/>
      <w:r>
        <w:rPr>
          <w:rFonts w:ascii="Wingdings" w:hAnsi="Wingdings" w:cs="宋体"/>
          <w:szCs w:val="21"/>
        </w:rPr>
        <w:sym w:font="Wingdings" w:char="F0FE"/>
      </w:r>
      <w:bookmarkEnd w:id="103"/>
      <w:r>
        <w:rPr>
          <w:rFonts w:ascii="宋体" w:hAnsi="宋体" w:cs="宋体" w:hint="eastAsia"/>
          <w:szCs w:val="21"/>
        </w:rPr>
        <w:t>否</w:t>
      </w:r>
    </w:p>
    <w:p w:rsidR="00E6789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                </w:t>
      </w:r>
    </w:p>
    <w:p w:rsidR="00E67898">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                </w:t>
      </w:r>
    </w:p>
    <w:p w:rsidR="00E67898">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                  </w:t>
      </w:r>
    </w:p>
    <w:p w:rsidR="00E6789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                                        </w:t>
      </w:r>
    </w:p>
    <w:p w:rsidR="00E6789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szCs w:val="21"/>
          <w:u w:val="single"/>
        </w:rPr>
        <w:t xml:space="preserve">             /                                                  </w:t>
      </w:r>
    </w:p>
    <w:p w:rsidR="00E678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E67898">
      <w:pPr>
        <w:numPr>
          <w:ilvl w:val="0"/>
          <w:numId w:val="8"/>
        </w:numPr>
        <w:adjustRightInd w:val="0"/>
        <w:snapToGrid w:val="0"/>
        <w:spacing w:line="400" w:lineRule="exact"/>
        <w:ind w:firstLine="420"/>
        <w:rPr>
          <w:rFonts w:ascii="宋体" w:hAnsi="宋体"/>
          <w:bCs/>
          <w:szCs w:val="21"/>
        </w:rPr>
      </w:pPr>
      <w:r>
        <w:rPr>
          <w:rFonts w:ascii="宋体" w:hAnsi="宋体" w:hint="eastAsia"/>
          <w:bCs/>
          <w:szCs w:val="21"/>
        </w:rPr>
        <w:t>验收组织方式：</w:t>
      </w:r>
      <w:r>
        <w:rPr>
          <w:rFonts w:ascii="Wingdings" w:hAnsi="Wingdings" w:cs="宋体"/>
          <w:szCs w:val="21"/>
        </w:rPr>
        <w:sym w:font="Wingdings" w:char="F0FE"/>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E67898">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E67898">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E6789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rsidR="00E6789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     </w:t>
      </w:r>
    </w:p>
    <w:p w:rsidR="00E678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20 日内组织验收） </w:t>
      </w:r>
    </w:p>
    <w:p w:rsidR="00E67898">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E6789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E67898">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E678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E678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E67898">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E6789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E678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E67898">
      <w:pPr>
        <w:adjustRightInd w:val="0"/>
        <w:snapToGrid w:val="0"/>
        <w:spacing w:line="400" w:lineRule="exact"/>
        <w:ind w:firstLine="420" w:firstLineChars="200"/>
        <w:rPr>
          <w:rFonts w:ascii="宋体" w:hAnsi="宋体"/>
          <w:szCs w:val="21"/>
        </w:rPr>
      </w:pPr>
      <w:bookmarkStart w:id="104" w:name="OLE_LINK37"/>
      <w:bookmarkStart w:id="105" w:name="OLE_LINK36"/>
      <w:r>
        <w:rPr>
          <w:rFonts w:ascii="宋体" w:hAnsi="宋体" w:hint="eastAsia"/>
          <w:szCs w:val="21"/>
        </w:rPr>
        <w:t>（1）</w:t>
      </w:r>
      <w:bookmarkEnd w:id="104"/>
      <w:bookmarkEnd w:id="105"/>
      <w:r>
        <w:rPr>
          <w:rFonts w:ascii="宋体" w:hAnsi="宋体" w:hint="eastAsia"/>
          <w:szCs w:val="21"/>
        </w:rPr>
        <w:t>政府采购合同协议书及其变更、补充协议</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E67898">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kern w:val="2"/>
          <w:sz w:val="21"/>
        </w:rPr>
        <w:t>国家法律、行政法规和规章制度规定或合同约定的作为合同组成部分的其他文件</w:t>
      </w:r>
    </w:p>
    <w:p w:rsidR="00E67898">
      <w:pPr>
        <w:pStyle w:val="AONormal"/>
        <w:ind w:firstLine="422"/>
        <w:rPr>
          <w:rFonts w:ascii="宋体" w:eastAsia="宋体" w:hAnsi="宋体" w:cs="宋体"/>
          <w:b/>
          <w:kern w:val="2"/>
          <w:sz w:val="21"/>
        </w:rPr>
      </w:pPr>
      <w:r>
        <w:rPr>
          <w:rFonts w:ascii="宋体" w:eastAsia="宋体" w:hAnsi="宋体" w:cs="宋体" w:hint="eastAsia"/>
          <w:b/>
          <w:kern w:val="2"/>
          <w:sz w:val="21"/>
        </w:rPr>
        <w:t>6.安全生产</w:t>
      </w:r>
    </w:p>
    <w:p w:rsidR="00E67898">
      <w:pPr>
        <w:pStyle w:val="AONormal"/>
        <w:ind w:firstLine="420"/>
        <w:rPr>
          <w:rFonts w:ascii="宋体" w:eastAsia="宋体" w:hAnsi="宋体" w:cs="宋体"/>
          <w:kern w:val="2"/>
          <w:sz w:val="21"/>
        </w:rPr>
      </w:pPr>
      <w:r>
        <w:rPr>
          <w:rFonts w:ascii="宋体" w:eastAsia="宋体" w:hAnsi="宋体" w:cs="宋体" w:hint="eastAsia"/>
          <w:kern w:val="2"/>
          <w:sz w:val="21"/>
        </w:rPr>
        <w:t>乙方在履约过程中必须确保安全，如造成各种人身伤害、财产损失或其他事故，均由乙方负责处理和经济赔偿，甲方不承担任何责任。乙方在履约过程未按照标准、规范、要求引起的事故如造成各种人身伤害、财产损失或其他事故，均由乙方负责处理和经济赔偿，甲方不承担任何责任。</w:t>
      </w:r>
    </w:p>
    <w:p w:rsidR="00E67898">
      <w:pPr>
        <w:pStyle w:val="AONormal"/>
        <w:ind w:firstLine="422"/>
        <w:rPr>
          <w:rFonts w:ascii="宋体" w:eastAsia="宋体" w:hAnsi="宋体" w:cs="宋体"/>
          <w:b/>
          <w:kern w:val="2"/>
          <w:sz w:val="21"/>
        </w:rPr>
      </w:pPr>
      <w:r>
        <w:rPr>
          <w:rFonts w:ascii="宋体" w:eastAsia="宋体" w:hAnsi="宋体" w:cs="宋体" w:hint="eastAsia"/>
          <w:b/>
          <w:kern w:val="2"/>
          <w:sz w:val="21"/>
        </w:rPr>
        <w:t>7.廉洁约定</w:t>
      </w:r>
    </w:p>
    <w:p w:rsidR="00E67898">
      <w:pPr>
        <w:pStyle w:val="AONormal"/>
        <w:ind w:firstLine="420"/>
        <w:rPr>
          <w:rFonts w:ascii="宋体" w:eastAsia="宋体" w:hAnsi="宋体" w:cs="宋体"/>
          <w:kern w:val="2"/>
          <w:sz w:val="21"/>
        </w:rPr>
      </w:pPr>
      <w:r>
        <w:rPr>
          <w:rFonts w:ascii="宋体" w:eastAsia="宋体" w:hAnsi="宋体" w:cs="宋体" w:hint="eastAsia"/>
          <w:kern w:val="2"/>
          <w:sz w:val="21"/>
        </w:rPr>
        <w:t>（1）如果出现乙方在本合同履约过程中对甲方人员的私下请吃、请喝、向甲方人员提供私人便利、行贿以及任何形式的回扣等一切非正常活动，一经查实，甲方有权解除本合同，因解除本合同给甲方造成损失的，由乙方承担赔偿责任。因乙方其他原因造成违约的，乙方仍须承担违约责任。如乙方事后主动积极向甲方陈述事实，或乙方有证据显示以上行为由甲方人员施压不得已行为，则乙方保留合同规定之相关权利和义务。</w:t>
      </w:r>
    </w:p>
    <w:p w:rsidR="00E67898">
      <w:pPr>
        <w:pStyle w:val="AONormal"/>
        <w:ind w:firstLine="420"/>
        <w:rPr>
          <w:rFonts w:ascii="宋体" w:eastAsia="宋体" w:hAnsi="宋体" w:cs="宋体"/>
          <w:kern w:val="2"/>
          <w:sz w:val="21"/>
        </w:rPr>
      </w:pPr>
      <w:r>
        <w:rPr>
          <w:rFonts w:ascii="宋体" w:eastAsia="宋体" w:hAnsi="宋体" w:cs="宋体" w:hint="eastAsia"/>
          <w:kern w:val="2"/>
          <w:sz w:val="21"/>
        </w:rPr>
        <w:t>（2）乙方在合同履行过程中，如发现甲方人员明示或暗示要求宴请、招待，或索取回扣、礼金、礼品、礼券等其他利益，可向甲方纪检监察部门进行举报。甲方将对举报信息进行及时调查处理，对举报来源严格保密。</w:t>
      </w:r>
    </w:p>
    <w:p w:rsidR="00E67898">
      <w:pPr>
        <w:adjustRightInd w:val="0"/>
        <w:snapToGrid w:val="0"/>
        <w:spacing w:line="400" w:lineRule="exact"/>
        <w:ind w:left="422"/>
        <w:rPr>
          <w:rFonts w:ascii="宋体" w:hAnsi="宋体"/>
          <w:b/>
          <w:szCs w:val="21"/>
        </w:rPr>
      </w:pPr>
      <w:r>
        <w:rPr>
          <w:rFonts w:ascii="宋体" w:hAnsi="宋体" w:hint="eastAsia"/>
          <w:b/>
          <w:szCs w:val="21"/>
        </w:rPr>
        <w:t>8.合同生效</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E67898">
      <w:pPr>
        <w:adjustRightInd w:val="0"/>
        <w:snapToGrid w:val="0"/>
        <w:spacing w:line="400" w:lineRule="exact"/>
        <w:ind w:left="422"/>
        <w:rPr>
          <w:rFonts w:ascii="宋体" w:hAnsi="宋体"/>
          <w:b/>
          <w:szCs w:val="21"/>
        </w:rPr>
      </w:pPr>
      <w:r>
        <w:rPr>
          <w:rFonts w:ascii="宋体" w:hAnsi="宋体" w:hint="eastAsia"/>
          <w:b/>
          <w:szCs w:val="21"/>
        </w:rPr>
        <w:t>9.合同份数</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u w:val="single"/>
        </w:rPr>
        <w:t>捌</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伍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u w:val="single"/>
        </w:rPr>
        <w:t>叁</w:t>
      </w:r>
      <w:r>
        <w:rPr>
          <w:rFonts w:ascii="宋体" w:hAnsi="宋体" w:hint="eastAsia"/>
          <w:szCs w:val="21"/>
          <w:u w:val="single"/>
        </w:rPr>
        <w:t xml:space="preserve">  </w:t>
      </w:r>
      <w:r>
        <w:rPr>
          <w:rFonts w:ascii="宋体" w:hAnsi="宋体" w:hint="eastAsia"/>
          <w:szCs w:val="21"/>
        </w:rPr>
        <w:t>份，均具有同等法律效力。</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E6789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盐城市亭湖区</w:t>
      </w:r>
      <w:r>
        <w:rPr>
          <w:rFonts w:ascii="宋体" w:hAnsi="宋体" w:hint="eastAsia"/>
          <w:szCs w:val="21"/>
          <w:u w:val="single"/>
        </w:rPr>
        <w:t>东亭路1号</w:t>
      </w:r>
      <w:r>
        <w:rPr>
          <w:rFonts w:ascii="宋体" w:hAnsi="宋体" w:hint="eastAsia"/>
          <w:szCs w:val="21"/>
          <w:u w:val="single"/>
        </w:rPr>
        <w:t xml:space="preserve">  </w:t>
      </w:r>
    </w:p>
    <w:p w:rsidR="00E6789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E67898">
      <w:r>
        <w:rPr>
          <w:rFonts w:hint="eastAsia"/>
        </w:rPr>
        <w:br w:type="page"/>
      </w:r>
    </w:p>
    <w:p w:rsidR="00E6789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6789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6789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法定代表人</w:t>
            </w:r>
          </w:p>
          <w:p w:rsidR="00E67898" w:rsidP="00151D2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法定代表人</w:t>
            </w:r>
          </w:p>
          <w:p w:rsidR="00E6789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6789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6789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E6789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E6789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106" w:name="_Toc27624"/>
      <w:r>
        <w:rPr>
          <w:rFonts w:ascii="黑体" w:hAnsi="黑体" w:hint="eastAsia"/>
          <w:b w:val="0"/>
          <w:bCs w:val="0"/>
          <w:sz w:val="28"/>
          <w:szCs w:val="28"/>
        </w:rPr>
        <w:t>第二节 政府采购合同通用条款</w:t>
      </w:r>
      <w:bookmarkEnd w:id="106"/>
    </w:p>
    <w:p w:rsidR="00E6789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1.1合同当事人</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szCs w:val="21"/>
        </w:rPr>
        <w:t>依法参与合同缔结或履行，享有权利、承担义务的合同当事人</w:t>
      </w:r>
      <w:r>
        <w:rPr>
          <w:rFonts w:ascii="宋体" w:hAnsi="宋体" w:hint="eastAsia"/>
          <w:szCs w:val="21"/>
        </w:rPr>
        <w:t>。</w:t>
      </w:r>
    </w:p>
    <w:p w:rsidR="00E678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szCs w:val="21"/>
        </w:rPr>
        <w:t>国家法律、行政法规和规章制度规定或合同约定的作为合同组成部分的其他文件</w:t>
      </w:r>
      <w:r>
        <w:rPr>
          <w:rFonts w:ascii="宋体" w:hAnsi="宋体" w:hint="eastAsia"/>
          <w:szCs w:val="21"/>
        </w:rPr>
        <w:t>。</w:t>
      </w:r>
    </w:p>
    <w:p w:rsidR="00E678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E678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（3）“货物”系指乙方根据本合同规定须向甲方提供的各种形态和种类的物品，包括原材料、设备、产品（包括软件）及相关的其备品备件、工具、手册及</w:t>
      </w:r>
      <w:r>
        <w:rPr>
          <w:rFonts w:ascii="宋体" w:hAnsi="宋体"/>
          <w:szCs w:val="21"/>
          <w:lang w:val="en"/>
        </w:rPr>
        <w:t>其他</w:t>
      </w:r>
      <w:r>
        <w:rPr>
          <w:rFonts w:ascii="宋体" w:hAnsi="宋体" w:hint="eastAsia"/>
          <w:szCs w:val="21"/>
        </w:rPr>
        <w:t>技术资料和材料等。</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（4）“相关服务”系指根据合同规定，乙方应提供的与货物有关的技术、管理和</w:t>
      </w:r>
      <w:r>
        <w:rPr>
          <w:rFonts w:ascii="宋体" w:hAnsi="宋体"/>
          <w:szCs w:val="21"/>
          <w:lang w:val="en"/>
        </w:rPr>
        <w:t>其他</w:t>
      </w:r>
      <w:r>
        <w:rPr>
          <w:rFonts w:ascii="宋体" w:hAnsi="宋体" w:hint="eastAsia"/>
          <w:szCs w:val="21"/>
        </w:rPr>
        <w:t>服务，包括但不限于：管理和质量保证、运输、保险、检验、现场准备、安装、集成、调试、培训、维修、废弃处置、技术支持等以及合同中规定乙方应承担的</w:t>
      </w:r>
      <w:r>
        <w:rPr>
          <w:rFonts w:ascii="宋体" w:hAnsi="宋体"/>
          <w:szCs w:val="21"/>
          <w:lang w:val="en"/>
        </w:rPr>
        <w:t>其他</w:t>
      </w:r>
      <w:r>
        <w:rPr>
          <w:rFonts w:ascii="宋体" w:hAnsi="宋体" w:hint="eastAsia"/>
          <w:szCs w:val="21"/>
        </w:rPr>
        <w:t>义务。</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（5）“分包”系指中标（成交）供应商按采购文件、投标（响应）文件的规定，根据分包意向协议，将中标（成交）项目中的部分履约内容，分给具有相应资质条件的供应</w:t>
      </w:r>
      <w:r>
        <w:rPr>
          <w:rFonts w:ascii="宋体" w:hAnsi="宋体" w:hint="eastAsia"/>
          <w:szCs w:val="21"/>
        </w:rPr>
        <w:t>商履行</w:t>
      </w:r>
      <w:r>
        <w:rPr>
          <w:rFonts w:ascii="宋体" w:hAnsi="宋体" w:hint="eastAsia"/>
          <w:szCs w:val="21"/>
        </w:rPr>
        <w:t>合同的行为。</w:t>
      </w:r>
    </w:p>
    <w:p w:rsidR="00E678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szCs w:val="21"/>
        </w:rPr>
        <w:t>政府采购合同专用条款</w:t>
      </w:r>
      <w:r>
        <w:rPr>
          <w:rFonts w:ascii="宋体" w:hAnsi="宋体" w:hint="eastAsia"/>
          <w:szCs w:val="21"/>
        </w:rPr>
        <w:t>】。</w:t>
      </w:r>
    </w:p>
    <w:p w:rsidR="00E678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（7）其他术语解释，见【</w:t>
      </w:r>
      <w:r>
        <w:rPr>
          <w:rFonts w:ascii="宋体" w:hAnsi="宋体" w:hint="eastAsia"/>
          <w:b/>
          <w:bCs/>
          <w:szCs w:val="21"/>
        </w:rPr>
        <w:t>政府采购合同专用条款</w:t>
      </w:r>
      <w:r>
        <w:rPr>
          <w:rFonts w:ascii="宋体" w:hAnsi="宋体" w:hint="eastAsia"/>
          <w:szCs w:val="21"/>
        </w:rPr>
        <w:t>】。</w:t>
      </w:r>
    </w:p>
    <w:p w:rsidR="00E67898">
      <w:pPr>
        <w:numPr>
          <w:ilvl w:val="0"/>
          <w:numId w:val="9"/>
        </w:numPr>
        <w:autoSpaceDE w:val="0"/>
        <w:autoSpaceDN w:val="0"/>
        <w:adjustRightInd w:val="0"/>
        <w:snapToGrid w:val="0"/>
        <w:spacing w:line="400" w:lineRule="exact"/>
        <w:jc w:val="left"/>
        <w:rPr>
          <w:rFonts w:ascii="宋体" w:hAnsi="宋体"/>
          <w:b/>
          <w:bCs/>
        </w:rPr>
      </w:pPr>
      <w:r>
        <w:rPr>
          <w:rFonts w:ascii="宋体" w:hAnsi="宋体" w:hint="eastAsia"/>
          <w:b/>
          <w:sz w:val="24"/>
        </w:rPr>
        <w:t>合同标的及金额</w:t>
      </w:r>
    </w:p>
    <w:p w:rsidR="00E67898">
      <w:pPr>
        <w:autoSpaceDE w:val="0"/>
        <w:autoSpaceDN w:val="0"/>
        <w:adjustRightInd w:val="0"/>
        <w:snapToGrid w:val="0"/>
        <w:spacing w:line="400" w:lineRule="exact"/>
        <w:ind w:firstLine="420" w:firstLineChars="200"/>
        <w:jc w:val="left"/>
        <w:rPr>
          <w:rFonts w:ascii="宋体" w:hAnsi="宋体"/>
          <w:b/>
          <w:bCs/>
          <w:i/>
          <w:iCs/>
          <w:szCs w:val="21"/>
        </w:rPr>
      </w:pPr>
      <w:r>
        <w:rPr>
          <w:rFonts w:ascii="宋体" w:hAnsi="宋体" w:hint="eastAsia"/>
          <w:szCs w:val="21"/>
        </w:rPr>
        <w:t>2.1 合同标的及金额应与中标（成交）结果一致。乙方为履行本合同而发生的所有费用均应包含在合同价款中，甲方不再另行支付</w:t>
      </w:r>
      <w:r>
        <w:rPr>
          <w:rFonts w:ascii="宋体" w:hAnsi="宋体"/>
          <w:szCs w:val="21"/>
          <w:lang w:val="en"/>
        </w:rPr>
        <w:t>其他</w:t>
      </w:r>
      <w:r>
        <w:rPr>
          <w:rFonts w:ascii="宋体" w:hAnsi="宋体" w:hint="eastAsia"/>
          <w:szCs w:val="21"/>
        </w:rPr>
        <w:t>任何费用。</w:t>
      </w:r>
    </w:p>
    <w:p w:rsidR="00E67898">
      <w:pPr>
        <w:adjustRightInd w:val="0"/>
        <w:snapToGrid w:val="0"/>
        <w:spacing w:line="400" w:lineRule="exact"/>
        <w:jc w:val="left"/>
        <w:rPr>
          <w:rFonts w:ascii="宋体" w:hAnsi="宋体"/>
          <w:b/>
        </w:rPr>
      </w:pPr>
      <w:r>
        <w:rPr>
          <w:rFonts w:ascii="宋体" w:hAnsi="宋体" w:hint="eastAsia"/>
          <w:b/>
          <w:sz w:val="24"/>
        </w:rPr>
        <w:t>3. 履行合同的时间、地点和方式</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3.1 </w:t>
      </w:r>
      <w:r>
        <w:rPr>
          <w:rFonts w:ascii="宋体" w:hAnsi="宋体" w:cs="宋体" w:hint="eastAsia"/>
          <w:szCs w:val="21"/>
        </w:rPr>
        <w:t>乙方应当在约定的时间、地点，按照约定方式履行合同。</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4. 甲方的权利和义务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4.1</w:t>
      </w:r>
      <w:r>
        <w:rPr>
          <w:rFonts w:ascii="宋体" w:hAnsi="宋体"/>
          <w:szCs w:val="21"/>
        </w:rPr>
        <w:t xml:space="preserve"> 签署合同后，甲方</w:t>
      </w:r>
      <w:r>
        <w:rPr>
          <w:rFonts w:ascii="宋体" w:hAnsi="宋体" w:hint="eastAsia"/>
          <w:szCs w:val="21"/>
        </w:rPr>
        <w:t>应</w:t>
      </w:r>
      <w:r>
        <w:rPr>
          <w:rFonts w:ascii="宋体" w:hAnsi="宋体"/>
          <w:szCs w:val="21"/>
        </w:rPr>
        <w:t>确定</w:t>
      </w:r>
      <w:r>
        <w:rPr>
          <w:rFonts w:ascii="宋体" w:hAnsi="宋体" w:hint="eastAsia"/>
          <w:szCs w:val="21"/>
        </w:rPr>
        <w:t>项目负责人（或项目联系人）</w:t>
      </w:r>
      <w:r>
        <w:rPr>
          <w:rFonts w:ascii="宋体" w:hAnsi="宋体"/>
          <w:szCs w:val="21"/>
        </w:rPr>
        <w:t>，负责与本合同有关的事务。</w:t>
      </w:r>
      <w:r>
        <w:rPr>
          <w:rFonts w:ascii="宋体" w:hAnsi="宋体" w:hint="eastAsia"/>
          <w:szCs w:val="21"/>
        </w:rPr>
        <w:t>甲方有权对乙方的履约行为进行检查，并</w:t>
      </w:r>
      <w:r>
        <w:rPr>
          <w:rFonts w:ascii="宋体" w:hAnsi="宋体"/>
          <w:szCs w:val="21"/>
        </w:rPr>
        <w:t>及时确认乙方提交的事项</w:t>
      </w:r>
      <w:r>
        <w:rPr>
          <w:rFonts w:ascii="宋体" w:hAnsi="宋体" w:hint="eastAsia"/>
          <w:szCs w:val="21"/>
        </w:rPr>
        <w:t>。甲方应当</w:t>
      </w:r>
      <w:r>
        <w:rPr>
          <w:rFonts w:ascii="宋体" w:hAnsi="宋体"/>
          <w:szCs w:val="21"/>
        </w:rPr>
        <w:t>配合乙方完成</w:t>
      </w:r>
      <w:r>
        <w:rPr>
          <w:rFonts w:ascii="宋体" w:hAnsi="宋体" w:hint="eastAsia"/>
          <w:szCs w:val="21"/>
        </w:rPr>
        <w:t>相关项目</w:t>
      </w:r>
      <w:r>
        <w:rPr>
          <w:rFonts w:ascii="宋体" w:hAnsi="宋体"/>
          <w:szCs w:val="21"/>
        </w:rPr>
        <w:t>实施工作。</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4.2 </w:t>
      </w:r>
      <w:r>
        <w:rPr>
          <w:rFonts w:ascii="宋体" w:hAnsi="宋体"/>
          <w:szCs w:val="21"/>
        </w:rPr>
        <w:t>甲方有权要求乙方按时提交各阶段有关</w:t>
      </w:r>
      <w:r>
        <w:rPr>
          <w:rFonts w:ascii="宋体" w:hAnsi="宋体" w:hint="eastAsia"/>
          <w:szCs w:val="21"/>
        </w:rPr>
        <w:t>安排计划</w:t>
      </w:r>
      <w:r>
        <w:rPr>
          <w:rFonts w:ascii="宋体" w:hAnsi="宋体"/>
          <w:szCs w:val="21"/>
        </w:rPr>
        <w:t>，并有权</w:t>
      </w:r>
      <w:r>
        <w:rPr>
          <w:rFonts w:ascii="宋体" w:hAnsi="宋体" w:hint="eastAsia"/>
          <w:szCs w:val="21"/>
        </w:rPr>
        <w:t>定期核对乙方提供货物数量、规格、质量等内容。甲方</w:t>
      </w:r>
      <w:r>
        <w:rPr>
          <w:rFonts w:ascii="宋体" w:hAnsi="宋体"/>
          <w:szCs w:val="21"/>
        </w:rPr>
        <w:t>有权督促乙方工作并要求乙方</w:t>
      </w:r>
      <w:r>
        <w:rPr>
          <w:rFonts w:ascii="宋体" w:hAnsi="宋体" w:hint="eastAsia"/>
          <w:szCs w:val="21"/>
        </w:rPr>
        <w:t>更</w:t>
      </w:r>
      <w:r>
        <w:rPr>
          <w:rFonts w:ascii="宋体" w:hAnsi="宋体"/>
          <w:szCs w:val="21"/>
        </w:rPr>
        <w:t>换不符合要求的</w:t>
      </w:r>
      <w:r>
        <w:rPr>
          <w:rFonts w:ascii="宋体" w:hAnsi="宋体" w:hint="eastAsia"/>
          <w:szCs w:val="21"/>
        </w:rPr>
        <w:t>货物</w:t>
      </w:r>
      <w:r>
        <w:rPr>
          <w:rFonts w:ascii="宋体" w:hAnsi="宋体"/>
          <w:szCs w:val="21"/>
        </w:rPr>
        <w:t>。</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w:t>
      </w:r>
      <w:r>
        <w:rPr>
          <w:rFonts w:ascii="宋体" w:hAnsi="宋体"/>
          <w:szCs w:val="21"/>
        </w:rPr>
        <w:t>3</w:t>
      </w:r>
      <w:r>
        <w:rPr>
          <w:rFonts w:ascii="宋体" w:hAnsi="宋体" w:hint="eastAsia"/>
          <w:szCs w:val="21"/>
        </w:rPr>
        <w:t xml:space="preserve"> </w:t>
      </w:r>
      <w:r>
        <w:rPr>
          <w:rFonts w:ascii="宋体" w:hAnsi="宋体"/>
          <w:szCs w:val="21"/>
        </w:rPr>
        <w:t>甲方</w:t>
      </w:r>
      <w:r>
        <w:rPr>
          <w:rFonts w:ascii="宋体" w:hAnsi="宋体" w:hint="eastAsia"/>
          <w:szCs w:val="21"/>
        </w:rPr>
        <w:t>有权要求乙方对缺陷部分予以修复，并按合同约定享有货物保修及其他合同约定的权利。</w:t>
      </w:r>
    </w:p>
    <w:p w:rsidR="00E67898">
      <w:pPr>
        <w:snapToGrid w:val="0"/>
        <w:spacing w:line="400" w:lineRule="exact"/>
        <w:ind w:firstLine="420" w:firstLineChars="200"/>
        <w:rPr>
          <w:rFonts w:eastAsia="华文楷体"/>
        </w:rPr>
      </w:pPr>
      <w:r>
        <w:rPr>
          <w:rFonts w:ascii="宋体" w:hAnsi="宋体"/>
          <w:szCs w:val="21"/>
        </w:rPr>
        <w:t>4.4 甲方应当按照合同约定及时对交付的货物进行验收</w:t>
      </w:r>
      <w:r>
        <w:rPr>
          <w:rFonts w:ascii="宋体" w:hAnsi="宋体" w:hint="eastAsia"/>
          <w:szCs w:val="21"/>
        </w:rPr>
        <w:t>，</w:t>
      </w:r>
      <w:r>
        <w:rPr>
          <w:rFonts w:ascii="宋体" w:hAnsi="宋体" w:cs="宋体" w:hint="eastAsia"/>
          <w:szCs w:val="21"/>
        </w:rPr>
        <w:t>未</w:t>
      </w:r>
      <w:r>
        <w:rPr>
          <w:rFonts w:ascii="宋体" w:hAnsi="宋体" w:hint="eastAsia"/>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szCs w:val="21"/>
        </w:rPr>
        <w:t>视为验收通过。</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4</w:t>
      </w:r>
      <w:r>
        <w:rPr>
          <w:rFonts w:ascii="宋体" w:hAnsi="宋体" w:hint="eastAsia"/>
          <w:szCs w:val="21"/>
        </w:rPr>
        <w:t>.</w:t>
      </w:r>
      <w:r>
        <w:rPr>
          <w:rFonts w:ascii="宋体" w:hAnsi="宋体"/>
          <w:szCs w:val="21"/>
        </w:rPr>
        <w:t xml:space="preserve">5 </w:t>
      </w:r>
      <w:r>
        <w:rPr>
          <w:rFonts w:ascii="宋体" w:hAnsi="宋体" w:hint="eastAsia"/>
          <w:szCs w:val="21"/>
        </w:rPr>
        <w:t>甲方应当根据合同约定及时向乙方支付合同价款</w:t>
      </w:r>
      <w:r>
        <w:rPr>
          <w:rFonts w:ascii="宋体" w:hAnsi="宋体"/>
          <w:szCs w:val="21"/>
        </w:rPr>
        <w:t>，不得以内部人员变更、履行内部付款流程等为由，拒绝或迟延支付。</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4.6</w:t>
      </w:r>
      <w:r>
        <w:rPr>
          <w:rFonts w:ascii="宋体" w:hAnsi="宋体"/>
          <w:szCs w:val="21"/>
        </w:rPr>
        <w:t xml:space="preserve"> </w:t>
      </w:r>
      <w:r>
        <w:rPr>
          <w:rFonts w:ascii="宋体" w:hAnsi="宋体" w:hint="eastAsia"/>
          <w:szCs w:val="21"/>
        </w:rPr>
        <w:t>国家法律法规规定及</w:t>
      </w:r>
      <w:r>
        <w:rPr>
          <w:rFonts w:ascii="宋体" w:hAnsi="宋体" w:cs="宋体" w:hint="eastAsia"/>
          <w:b/>
          <w:bCs/>
          <w:szCs w:val="21"/>
        </w:rPr>
        <w:t>【政府采购合同专用条款】</w:t>
      </w:r>
      <w:r>
        <w:rPr>
          <w:rFonts w:ascii="宋体" w:hAnsi="宋体" w:hint="eastAsia"/>
          <w:szCs w:val="21"/>
        </w:rPr>
        <w:t>约定应由甲方承担的其他义务和责任。</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5. 乙方的权利和义务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5.1 </w:t>
      </w:r>
      <w:r>
        <w:rPr>
          <w:rFonts w:ascii="宋体" w:hAnsi="宋体"/>
          <w:szCs w:val="21"/>
        </w:rPr>
        <w:t>签署合同后，乙方</w:t>
      </w:r>
      <w:r>
        <w:rPr>
          <w:rFonts w:ascii="宋体" w:hAnsi="宋体" w:hint="eastAsia"/>
          <w:szCs w:val="21"/>
        </w:rPr>
        <w:t>应</w:t>
      </w:r>
      <w:r>
        <w:rPr>
          <w:rFonts w:ascii="宋体" w:hAnsi="宋体"/>
          <w:szCs w:val="21"/>
        </w:rPr>
        <w:t>确定</w:t>
      </w:r>
      <w:r>
        <w:rPr>
          <w:rFonts w:ascii="宋体" w:hAnsi="宋体" w:hint="eastAsia"/>
          <w:szCs w:val="21"/>
        </w:rPr>
        <w:t>项目负责人（或项目联系人）</w:t>
      </w:r>
      <w:r>
        <w:rPr>
          <w:rFonts w:ascii="宋体" w:hAnsi="宋体"/>
          <w:szCs w:val="21"/>
        </w:rPr>
        <w:t>，负责与本合同有关的事务。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5.</w:t>
      </w:r>
      <w:r>
        <w:rPr>
          <w:rFonts w:ascii="宋体" w:hAnsi="宋体"/>
          <w:szCs w:val="21"/>
        </w:rPr>
        <w:t>2 乙方应按照合同要求</w:t>
      </w:r>
      <w:r>
        <w:rPr>
          <w:rFonts w:ascii="宋体" w:hAnsi="宋体" w:hint="eastAsia"/>
          <w:szCs w:val="21"/>
        </w:rPr>
        <w:t>履约</w:t>
      </w:r>
      <w:r>
        <w:rPr>
          <w:rFonts w:ascii="宋体" w:hAnsi="宋体"/>
          <w:szCs w:val="21"/>
        </w:rPr>
        <w:t>，充分合理安排，确保</w:t>
      </w:r>
      <w:r>
        <w:rPr>
          <w:rFonts w:ascii="宋体" w:hAnsi="宋体" w:hint="eastAsia"/>
          <w:szCs w:val="21"/>
        </w:rPr>
        <w:t>提供的货物及相关服务符合合同有关</w:t>
      </w:r>
      <w:r>
        <w:rPr>
          <w:rFonts w:ascii="宋体" w:hAnsi="宋体"/>
          <w:szCs w:val="21"/>
        </w:rPr>
        <w:t>要求</w:t>
      </w:r>
      <w:r>
        <w:rPr>
          <w:rFonts w:ascii="宋体" w:hAnsi="宋体" w:hint="eastAsia"/>
          <w:szCs w:val="21"/>
        </w:rPr>
        <w:t>。接受项目行业管理部门及政府有关部门的指导，配合甲方的履约检查及验收，并</w:t>
      </w:r>
      <w:r>
        <w:rPr>
          <w:rFonts w:ascii="宋体" w:hAnsi="宋体"/>
          <w:szCs w:val="21"/>
        </w:rPr>
        <w:t>负责项目实施过程中的所有协调工作。</w:t>
      </w:r>
    </w:p>
    <w:p w:rsidR="00E67898" w:rsidP="00151D23">
      <w:pPr>
        <w:pStyle w:val="BodyText"/>
        <w:spacing w:after="0" w:line="400" w:lineRule="exact"/>
        <w:ind w:firstLine="370" w:firstLineChars="176"/>
        <w:rPr>
          <w:rFonts w:ascii="宋体" w:hAnsi="宋体" w:cs="宋体"/>
          <w:color w:val="auto"/>
          <w:szCs w:val="21"/>
        </w:rPr>
      </w:pPr>
      <w:r>
        <w:rPr>
          <w:rFonts w:ascii="宋体" w:hAnsi="宋体" w:hint="eastAsia"/>
          <w:color w:val="auto"/>
          <w:szCs w:val="21"/>
        </w:rPr>
        <w:t>5.</w:t>
      </w:r>
      <w:r>
        <w:rPr>
          <w:rFonts w:ascii="宋体" w:hAnsi="宋体"/>
          <w:color w:val="auto"/>
          <w:szCs w:val="21"/>
        </w:rPr>
        <w:t>3</w:t>
      </w:r>
      <w:r>
        <w:rPr>
          <w:rFonts w:ascii="宋体" w:hAnsi="宋体" w:hint="eastAsia"/>
          <w:color w:val="auto"/>
          <w:szCs w:val="21"/>
        </w:rPr>
        <w:t>乙方有权</w:t>
      </w:r>
      <w:r>
        <w:rPr>
          <w:rFonts w:ascii="宋体" w:hAnsi="宋体" w:cs="宋体" w:hint="eastAsia"/>
          <w:color w:val="auto"/>
          <w:szCs w:val="21"/>
        </w:rPr>
        <w:t>根据合同约定向甲方收取合同价款。</w:t>
      </w:r>
    </w:p>
    <w:p w:rsidR="00E67898" w:rsidP="00151D23">
      <w:pPr>
        <w:pStyle w:val="BodyText"/>
        <w:spacing w:after="0" w:line="400" w:lineRule="exact"/>
        <w:ind w:firstLine="370" w:firstLineChars="176"/>
        <w:rPr>
          <w:rFonts w:ascii="宋体" w:hAnsi="宋体" w:cs="宋体"/>
          <w:color w:val="auto"/>
          <w:szCs w:val="21"/>
        </w:rPr>
      </w:pPr>
      <w:r>
        <w:rPr>
          <w:rFonts w:ascii="宋体" w:hAnsi="宋体" w:hint="eastAsia"/>
          <w:color w:val="auto"/>
          <w:szCs w:val="21"/>
        </w:rPr>
        <w:t>5.</w:t>
      </w:r>
      <w:r>
        <w:rPr>
          <w:rFonts w:ascii="宋体" w:hAnsi="宋体"/>
          <w:color w:val="auto"/>
          <w:szCs w:val="21"/>
        </w:rPr>
        <w:t>4</w:t>
      </w:r>
      <w:r>
        <w:rPr>
          <w:rFonts w:ascii="宋体" w:hAnsi="宋体" w:cs="宋体" w:hint="eastAsia"/>
          <w:color w:val="auto"/>
          <w:szCs w:val="21"/>
        </w:rPr>
        <w:t>国家法律法规规定</w:t>
      </w:r>
      <w:r>
        <w:rPr>
          <w:rFonts w:ascii="宋体" w:hAnsi="宋体" w:hint="eastAsia"/>
          <w:color w:val="auto"/>
          <w:szCs w:val="21"/>
        </w:rPr>
        <w:t>及</w:t>
      </w:r>
      <w:r>
        <w:rPr>
          <w:rFonts w:ascii="宋体" w:eastAsia="宋体" w:hAnsi="宋体" w:cs="宋体" w:hint="eastAsia"/>
          <w:b/>
          <w:bCs/>
          <w:color w:val="auto"/>
          <w:szCs w:val="21"/>
        </w:rPr>
        <w:t>【政府采购合同专用条款】</w:t>
      </w:r>
      <w:r>
        <w:rPr>
          <w:rFonts w:ascii="宋体" w:hAnsi="宋体" w:cs="宋体" w:hint="eastAsia"/>
          <w:color w:val="auto"/>
          <w:szCs w:val="21"/>
        </w:rPr>
        <w:t>约定应由乙方承担的其他义务和责任。</w:t>
      </w:r>
    </w:p>
    <w:p w:rsidR="00E67898">
      <w:pPr>
        <w:numPr>
          <w:ilvl w:val="0"/>
          <w:numId w:val="10"/>
        </w:numPr>
        <w:autoSpaceDE w:val="0"/>
        <w:autoSpaceDN w:val="0"/>
        <w:adjustRightInd w:val="0"/>
        <w:snapToGrid w:val="0"/>
        <w:spacing w:line="400" w:lineRule="exact"/>
        <w:jc w:val="left"/>
        <w:rPr>
          <w:rFonts w:ascii="宋体" w:hAnsi="宋体"/>
          <w:b/>
          <w:bCs/>
        </w:rPr>
      </w:pPr>
      <w:r>
        <w:rPr>
          <w:rFonts w:ascii="宋体" w:hAnsi="宋体" w:hint="eastAsia"/>
          <w:b/>
          <w:bCs/>
          <w:sz w:val="24"/>
        </w:rPr>
        <w:t>合同履行</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6.1 甲乙双方应当按照</w:t>
      </w:r>
      <w:r>
        <w:rPr>
          <w:rFonts w:ascii="宋体" w:hAnsi="宋体" w:cs="宋体" w:hint="eastAsia"/>
          <w:b/>
          <w:bCs/>
          <w:szCs w:val="21"/>
        </w:rPr>
        <w:t>【政府采购合同专用条款】</w:t>
      </w:r>
      <w:r>
        <w:rPr>
          <w:rFonts w:ascii="宋体" w:hAnsi="宋体" w:hint="eastAsia"/>
          <w:szCs w:val="21"/>
        </w:rPr>
        <w:t>约定顺序履行合同义务；如果没有先后顺序的，应当同时履行。</w:t>
      </w:r>
    </w:p>
    <w:p w:rsidR="00E67898">
      <w:pPr>
        <w:autoSpaceDE w:val="0"/>
        <w:autoSpaceDN w:val="0"/>
        <w:adjustRightInd w:val="0"/>
        <w:snapToGrid w:val="0"/>
        <w:spacing w:line="400" w:lineRule="exact"/>
        <w:ind w:firstLine="420" w:firstLineChars="200"/>
        <w:jc w:val="left"/>
      </w:pPr>
      <w:r>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E67898">
      <w:pPr>
        <w:adjustRightInd w:val="0"/>
        <w:snapToGrid w:val="0"/>
        <w:spacing w:line="400" w:lineRule="exact"/>
        <w:jc w:val="left"/>
        <w:rPr>
          <w:rFonts w:ascii="宋体" w:hAnsi="宋体"/>
          <w:b/>
          <w:bCs/>
        </w:rPr>
      </w:pPr>
      <w:r>
        <w:rPr>
          <w:rFonts w:ascii="宋体" w:hAnsi="宋体" w:hint="eastAsia"/>
          <w:b/>
          <w:bCs/>
          <w:sz w:val="24"/>
        </w:rPr>
        <w:t>7. 货物包装、运输、保险和交付要求</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7.1 本合同</w:t>
      </w:r>
      <w:r>
        <w:rPr>
          <w:rFonts w:ascii="宋体" w:hAnsi="宋体" w:hint="eastAsia"/>
          <w:bCs/>
          <w:szCs w:val="21"/>
        </w:rPr>
        <w:t>涉及商品包装、快递包装的，</w:t>
      </w:r>
      <w:r>
        <w:rPr>
          <w:rFonts w:ascii="宋体" w:hAnsi="宋体" w:hint="eastAsia"/>
          <w:szCs w:val="21"/>
        </w:rPr>
        <w:t>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包装应适应远距离运输、防潮、防震、防锈和防野蛮装卸等要求，确保货物安全无损地运抵</w:t>
      </w:r>
      <w:r>
        <w:rPr>
          <w:rFonts w:ascii="宋体" w:hAnsi="宋体" w:hint="eastAsia"/>
          <w:b/>
          <w:szCs w:val="21"/>
        </w:rPr>
        <w:t>【政府采购合同专用条款】</w:t>
      </w:r>
      <w:r>
        <w:rPr>
          <w:rFonts w:ascii="宋体" w:hAnsi="宋体" w:hint="eastAsia"/>
          <w:bCs/>
          <w:szCs w:val="21"/>
        </w:rPr>
        <w:t>约定的</w:t>
      </w:r>
      <w:r>
        <w:rPr>
          <w:rFonts w:ascii="宋体" w:hAnsi="宋体" w:hint="eastAsia"/>
          <w:szCs w:val="21"/>
        </w:rPr>
        <w:t>指定现场。</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7.2 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乙方负责办理将货物运抵本合同规定的</w:t>
      </w:r>
      <w:r>
        <w:rPr>
          <w:rFonts w:ascii="宋体" w:hAnsi="宋体" w:hint="eastAsia"/>
          <w:szCs w:val="21"/>
        </w:rPr>
        <w:t>交货地点，并装卸、交付至甲方的一切运输事项，相关费用应包含在合同价款中。</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7.3 货物保险要求按</w:t>
      </w:r>
      <w:r>
        <w:rPr>
          <w:rFonts w:ascii="宋体" w:hAnsi="宋体" w:hint="eastAsia"/>
          <w:b/>
          <w:szCs w:val="21"/>
        </w:rPr>
        <w:t>【政府采购合同专用条款】</w:t>
      </w:r>
      <w:r>
        <w:rPr>
          <w:rFonts w:ascii="宋体" w:hAnsi="宋体" w:hint="eastAsia"/>
          <w:bCs/>
          <w:szCs w:val="21"/>
        </w:rPr>
        <w:t>规定执行</w:t>
      </w:r>
      <w:r>
        <w:rPr>
          <w:rFonts w:ascii="宋体" w:hAnsi="宋体" w:hint="eastAsia"/>
          <w:szCs w:val="21"/>
        </w:rPr>
        <w:t>。</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7.5 </w:t>
      </w:r>
      <w:r>
        <w:rPr>
          <w:rFonts w:ascii="宋体" w:hAnsi="宋体" w:cs="宋体" w:hint="eastAsia"/>
          <w:szCs w:val="21"/>
        </w:rPr>
        <w:t>乙方在运输到达之前应提前通知甲方，并提示货物运输装卸的注意事项，甲方配合乙方做好货物的接收工作。</w:t>
      </w:r>
    </w:p>
    <w:p w:rsidR="00E67898">
      <w:pPr>
        <w:pStyle w:val="AONormal"/>
        <w:ind w:firstLine="420"/>
        <w:rPr>
          <w:sz w:val="21"/>
        </w:rPr>
      </w:pPr>
      <w:r>
        <w:rPr>
          <w:rFonts w:ascii="宋体" w:eastAsia="宋体" w:hAnsi="宋体" w:cs="Times New Roman" w:hint="eastAsia"/>
          <w:kern w:val="2"/>
          <w:sz w:val="21"/>
        </w:rPr>
        <w:t>7.6 如因包装、运输问题导致货物损毁、丢失或者品质下降，甲方有权要求降价、换货、拒收部分或整批货物，由此产生的费用和损失，均由乙方承担。</w:t>
      </w:r>
    </w:p>
    <w:p w:rsidR="00E67898">
      <w:pPr>
        <w:adjustRightInd w:val="0"/>
        <w:snapToGrid w:val="0"/>
        <w:spacing w:line="400" w:lineRule="exact"/>
        <w:jc w:val="left"/>
        <w:rPr>
          <w:rFonts w:ascii="宋体" w:hAnsi="宋体"/>
          <w:b/>
        </w:rPr>
      </w:pPr>
      <w:r>
        <w:rPr>
          <w:rFonts w:ascii="宋体" w:hAnsi="宋体" w:hint="eastAsia"/>
          <w:b/>
          <w:sz w:val="24"/>
        </w:rPr>
        <w:t>8. 质量标准和保证</w:t>
      </w:r>
    </w:p>
    <w:p w:rsidR="00E67898">
      <w:pPr>
        <w:pStyle w:val="PlainText"/>
        <w:adjustRightInd w:val="0"/>
        <w:snapToGrid w:val="0"/>
        <w:spacing w:line="400" w:lineRule="exact"/>
        <w:ind w:firstLine="420" w:firstLineChars="200"/>
        <w:jc w:val="left"/>
        <w:rPr>
          <w:rFonts w:hAnsi="宋体"/>
          <w:b/>
        </w:rPr>
      </w:pPr>
      <w:r>
        <w:rPr>
          <w:rFonts w:hAnsi="宋体" w:hint="eastAsia"/>
        </w:rPr>
        <w:t>8.1 质量标准</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szCs w:val="21"/>
        </w:rPr>
        <w:t>约定的品牌、规格型号、技术性能、配置、质量、数量等要求。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67898">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E6789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E67898">
      <w:pPr>
        <w:adjustRightInd w:val="0"/>
        <w:snapToGrid w:val="0"/>
        <w:spacing w:line="400" w:lineRule="exact"/>
        <w:jc w:val="left"/>
        <w:rPr>
          <w:rFonts w:ascii="宋体" w:hAnsi="宋体"/>
          <w:b/>
          <w:bCs/>
        </w:rPr>
      </w:pPr>
      <w:r>
        <w:rPr>
          <w:rFonts w:ascii="宋体" w:hAnsi="宋体" w:hint="eastAsia"/>
          <w:b/>
          <w:bCs/>
          <w:sz w:val="24"/>
        </w:rPr>
        <w:t>9. 权利瑕疵担保</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9.1 乙方保证对其出售的货物享有合法的权利。</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9.2 </w:t>
      </w:r>
      <w:r>
        <w:rPr>
          <w:rFonts w:ascii="宋体" w:hAnsi="宋体" w:cs="宋体" w:hint="eastAsia"/>
          <w:szCs w:val="15"/>
        </w:rPr>
        <w:t>乙方保证在交付的货物上不存在抵押权等担保物权。</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9.3 如甲方使用上述货物构成对第三人侵权的，则由乙方承担全部责任。</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10. 知识产权保护</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10.1 乙方对其所销售的货物应当享有知识产权或经权利人合法授权，保证没有侵犯任何第三人的知识产权等权利。</w:t>
      </w:r>
      <w:bookmarkStart w:id="10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07"/>
      <w:r>
        <w:rPr>
          <w:rFonts w:ascii="宋体" w:hAnsi="宋体" w:hint="eastAsia"/>
          <w:szCs w:val="21"/>
        </w:rPr>
        <w:t>。</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E6789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E67898">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E67898">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E67898">
      <w:pPr>
        <w:pStyle w:val="BodyText"/>
        <w:spacing w:after="0" w:line="400" w:lineRule="exact"/>
        <w:rPr>
          <w:rFonts w:ascii="宋体" w:hAnsi="宋体"/>
          <w:b/>
          <w:bCs/>
          <w:color w:val="auto"/>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6789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E6789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w:t>
      </w:r>
      <w:r>
        <w:rPr>
          <w:rFonts w:ascii="宋体" w:hAnsi="宋体" w:hint="eastAsia"/>
          <w:szCs w:val="21"/>
        </w:rPr>
        <w:t>但前提条件是该服务并不能免除乙方在质量保证期内所承担的义务；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E67898">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E67898">
      <w:pPr>
        <w:adjustRightInd w:val="0"/>
        <w:snapToGrid w:val="0"/>
        <w:spacing w:line="400" w:lineRule="exact"/>
        <w:jc w:val="left"/>
        <w:rPr>
          <w:rFonts w:ascii="宋体" w:hAnsi="宋体"/>
          <w:b/>
          <w:bCs/>
        </w:rPr>
      </w:pPr>
      <w:r>
        <w:rPr>
          <w:rFonts w:ascii="宋体" w:hAnsi="宋体" w:hint="eastAsia"/>
          <w:b/>
          <w:bCs/>
          <w:sz w:val="24"/>
        </w:rPr>
        <w:t>15. 违约责任</w:t>
      </w:r>
    </w:p>
    <w:p w:rsidR="00E6789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E6789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E67898">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E67898">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E67898">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ascii="宋体" w:hAnsi="宋体" w:hint="eastAsia"/>
          <w:szCs w:val="21"/>
        </w:rPr>
        <w:t>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E67898">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E67898">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E67898">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E6789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E6789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E67898">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E67898">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E67898">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E67898">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E67898">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E6789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E67898">
      <w:pPr>
        <w:pStyle w:val="BodyText"/>
        <w:spacing w:after="0" w:line="400" w:lineRule="exact"/>
        <w:ind w:firstLine="420" w:firstLineChars="200"/>
        <w:rPr>
          <w:color w:val="auto"/>
        </w:rPr>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E67898">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E67898">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E67898">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E67898">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E67898">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E67898">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E67898">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E67898">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E6789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E6789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108" w:name="_Toc20313"/>
    </w:p>
    <w:p w:rsidR="00E6789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E6789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10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w:t>
            </w:r>
          </w:p>
        </w:tc>
      </w:tr>
      <w:tr>
        <w:tblPrEx>
          <w:tblW w:w="8519" w:type="dxa"/>
          <w:tblInd w:w="108" w:type="dxa"/>
          <w:tblLayout w:type="fixed"/>
          <w:tblLook w:val="04A0"/>
        </w:tblPrEx>
        <w:trPr>
          <w:trHeight w:val="604"/>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同合同</w:t>
            </w:r>
            <w:r>
              <w:rPr>
                <w:rFonts w:ascii="宋体" w:hAnsi="宋体" w:hint="eastAsia"/>
                <w:szCs w:val="21"/>
              </w:rPr>
              <w:t>通用条款</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E67898" w:rsidP="000A3C87">
            <w:pPr>
              <w:adjustRightInd w:val="0"/>
              <w:snapToGrid w:val="0"/>
              <w:jc w:val="left"/>
              <w:rPr>
                <w:rFonts w:ascii="宋体" w:hAnsi="宋体"/>
                <w:szCs w:val="21"/>
              </w:rPr>
            </w:pPr>
            <w:r>
              <w:rPr>
                <w:rFonts w:ascii="宋体" w:hAnsi="宋体" w:hint="eastAsia"/>
                <w:szCs w:val="21"/>
              </w:rPr>
              <w:t>自合同签订之日起</w:t>
            </w:r>
            <w:r w:rsidR="000A3C87">
              <w:rPr>
                <w:rFonts w:ascii="宋体" w:hAnsi="宋体" w:hint="eastAsia"/>
                <w:szCs w:val="21"/>
              </w:rPr>
              <w:t>4</w:t>
            </w:r>
            <w:r w:rsidR="00151D23">
              <w:rPr>
                <w:rFonts w:ascii="宋体" w:hAnsi="宋体" w:hint="eastAsia"/>
                <w:szCs w:val="21"/>
              </w:rPr>
              <w:t>0</w:t>
            </w:r>
            <w:r>
              <w:rPr>
                <w:rFonts w:ascii="宋体" w:hAnsi="宋体" w:hint="eastAsia"/>
                <w:szCs w:val="21"/>
              </w:rPr>
              <w:t>个</w:t>
            </w:r>
            <w:r>
              <w:rPr>
                <w:rFonts w:ascii="宋体" w:hAnsi="宋体" w:hint="eastAsia"/>
                <w:szCs w:val="21"/>
              </w:rPr>
              <w:t>日历天</w:t>
            </w:r>
            <w:r>
              <w:rPr>
                <w:rFonts w:ascii="宋体" w:hAnsi="宋体" w:hint="eastAsia"/>
                <w:szCs w:val="21"/>
              </w:rPr>
              <w:t>内完成315套，剩余115套根据甲方要求按期完成（2026年11月底前完成）。</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E67898">
            <w:pPr>
              <w:adjustRightInd w:val="0"/>
              <w:snapToGrid w:val="0"/>
              <w:jc w:val="left"/>
              <w:rPr>
                <w:rFonts w:ascii="宋体" w:hAnsi="宋体"/>
                <w:sz w:val="20"/>
              </w:rPr>
            </w:pPr>
            <w:r>
              <w:rPr>
                <w:rFonts w:ascii="宋体" w:hAnsi="宋体" w:cs="宋体" w:hint="eastAsia"/>
                <w:sz w:val="22"/>
                <w:szCs w:val="18"/>
              </w:rPr>
              <w:t>同合同</w:t>
            </w:r>
            <w:r>
              <w:rPr>
                <w:rFonts w:ascii="宋体" w:hAnsi="宋体" w:cs="宋体" w:hint="eastAsia"/>
                <w:sz w:val="22"/>
                <w:szCs w:val="18"/>
              </w:rPr>
              <w:t>通用条款</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snapToGrid w:val="0"/>
              <w:jc w:val="center"/>
            </w:pPr>
            <w:r>
              <w:rPr>
                <w:rFonts w:ascii="宋体" w:hAnsi="宋体" w:hint="eastAsia"/>
                <w:szCs w:val="21"/>
              </w:rPr>
              <w:t>第5.4款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E67898">
            <w:pPr>
              <w:adjustRightInd w:val="0"/>
              <w:snapToGrid w:val="0"/>
              <w:jc w:val="left"/>
              <w:rPr>
                <w:rFonts w:ascii="宋体" w:hAnsi="宋体"/>
                <w:sz w:val="20"/>
              </w:rPr>
            </w:pPr>
            <w:r>
              <w:rPr>
                <w:rFonts w:ascii="宋体" w:hAnsi="宋体" w:cs="宋体" w:hint="eastAsia"/>
                <w:sz w:val="22"/>
                <w:szCs w:val="18"/>
              </w:rPr>
              <w:t>同合同</w:t>
            </w:r>
            <w:r>
              <w:rPr>
                <w:rFonts w:ascii="宋体" w:hAnsi="宋体" w:cs="宋体" w:hint="eastAsia"/>
                <w:sz w:val="22"/>
                <w:szCs w:val="18"/>
              </w:rPr>
              <w:t>通用条款</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snapToGrid w:val="0"/>
              <w:jc w:val="center"/>
              <w:rPr>
                <w:rFonts w:ascii="宋体" w:hAnsi="宋体"/>
                <w:szCs w:val="21"/>
              </w:rPr>
            </w:pPr>
            <w:r>
              <w:rPr>
                <w:rFonts w:ascii="宋体" w:hAnsi="宋体" w:hint="eastAsia"/>
                <w:szCs w:val="21"/>
              </w:rPr>
              <w:t>第6.1款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E67898">
            <w:pPr>
              <w:adjustRightInd w:val="0"/>
              <w:snapToGrid w:val="0"/>
              <w:jc w:val="left"/>
              <w:rPr>
                <w:rFonts w:ascii="宋体" w:hAnsi="宋体"/>
                <w:szCs w:val="21"/>
              </w:rPr>
            </w:pPr>
            <w:r>
              <w:rPr>
                <w:rFonts w:ascii="宋体" w:hAnsi="宋体" w:cs="宋体" w:hint="eastAsia"/>
                <w:sz w:val="22"/>
                <w:szCs w:val="18"/>
              </w:rPr>
              <w:t>同协议书</w:t>
            </w:r>
          </w:p>
        </w:tc>
      </w:tr>
      <w:tr>
        <w:tblPrEx>
          <w:tblW w:w="8519" w:type="dxa"/>
          <w:tblInd w:w="108" w:type="dxa"/>
          <w:tblLayout w:type="fixed"/>
          <w:tblLook w:val="04A0"/>
        </w:tblPrEx>
        <w:trPr>
          <w:trHeight w:val="667"/>
        </w:trPr>
        <w:tc>
          <w:tcPr>
            <w:tcW w:w="1607" w:type="dxa"/>
            <w:vMerge w:val="restart"/>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E67898">
            <w:r>
              <w:rPr>
                <w:rFonts w:hint="eastAsia"/>
              </w:rPr>
              <w:t>本项目中涉及商品包装和快递包装的，金属件</w:t>
            </w:r>
            <w:r>
              <w:rPr>
                <w:rFonts w:hint="eastAsia"/>
              </w:rPr>
              <w:t>:</w:t>
            </w:r>
            <w:r>
              <w:rPr>
                <w:rFonts w:hint="eastAsia"/>
              </w:rPr>
              <w:t>使用泡泡纸覆盖包装</w:t>
            </w:r>
            <w:r>
              <w:rPr>
                <w:rFonts w:hint="eastAsia"/>
              </w:rPr>
              <w:t xml:space="preserve"> </w:t>
            </w:r>
            <w:r>
              <w:rPr>
                <w:rFonts w:hint="eastAsia"/>
              </w:rPr>
              <w:t>防止碰撞；板式件</w:t>
            </w:r>
            <w:r>
              <w:rPr>
                <w:rFonts w:hint="eastAsia"/>
              </w:rPr>
              <w:t xml:space="preserve">: </w:t>
            </w:r>
            <w:r>
              <w:rPr>
                <w:rFonts w:hint="eastAsia"/>
              </w:rPr>
              <w:t>不同板件用捆扎带分类打包，边角处用瓦楞纸覆盖，防止损坏；塑料件和五金件</w:t>
            </w:r>
            <w:r>
              <w:rPr>
                <w:rFonts w:hint="eastAsia"/>
              </w:rPr>
              <w:t xml:space="preserve">: </w:t>
            </w:r>
            <w:r>
              <w:rPr>
                <w:rFonts w:hint="eastAsia"/>
              </w:rPr>
              <w:t>使用瓦楞纸箱包装。使用包装材料应达参考</w:t>
            </w:r>
            <w:r>
              <w:rPr>
                <w:rFonts w:hint="eastAsia"/>
              </w:rPr>
              <w:t>《</w:t>
            </w:r>
            <w:r>
              <w:rPr>
                <w:rFonts w:hint="eastAsia"/>
              </w:rPr>
              <w:t>财政部办公厅关于印发</w:t>
            </w:r>
            <w:r>
              <w:rPr>
                <w:rFonts w:hint="eastAsia"/>
              </w:rPr>
              <w:t>《</w:t>
            </w:r>
            <w:r>
              <w:rPr>
                <w:rFonts w:hint="eastAsia"/>
              </w:rPr>
              <w:t>商品包装政府采购需求标准（试行）</w:t>
            </w:r>
            <w:r>
              <w:rPr>
                <w:rFonts w:hint="eastAsia"/>
              </w:rPr>
              <w:t>》</w:t>
            </w:r>
            <w:r>
              <w:rPr>
                <w:rFonts w:hint="eastAsia"/>
              </w:rPr>
              <w:t>、《快递包装政府采购需求标准（试行）》的通知</w:t>
            </w:r>
            <w:r>
              <w:rPr>
                <w:rFonts w:hint="eastAsia"/>
              </w:rPr>
              <w:t>》</w:t>
            </w:r>
            <w:r>
              <w:rPr>
                <w:rFonts w:hint="eastAsia"/>
              </w:rPr>
              <w:t>（财办库〔</w:t>
            </w:r>
            <w:r>
              <w:rPr>
                <w:rFonts w:hint="eastAsia"/>
              </w:rPr>
              <w:t>2020</w:t>
            </w:r>
            <w:r>
              <w:rPr>
                <w:rFonts w:hint="eastAsia"/>
              </w:rPr>
              <w:t>〕</w:t>
            </w:r>
            <w:r>
              <w:rPr>
                <w:rFonts w:hint="eastAsia"/>
              </w:rPr>
              <w:t>123</w:t>
            </w:r>
            <w:r>
              <w:rPr>
                <w:rFonts w:hint="eastAsia"/>
              </w:rPr>
              <w:t>号）规定的包装需求标准，现场包装物有供应商负责清理，做到：</w:t>
            </w:r>
          </w:p>
          <w:p w:rsidR="00E67898">
            <w:r>
              <w:rPr>
                <w:rFonts w:hint="eastAsia"/>
              </w:rPr>
              <w:t>1.</w:t>
            </w:r>
            <w:r>
              <w:rPr>
                <w:rFonts w:hint="eastAsia"/>
              </w:rPr>
              <w:t>商品包装层数不得超过</w:t>
            </w:r>
            <w:r>
              <w:rPr>
                <w:rFonts w:hint="eastAsia"/>
              </w:rPr>
              <w:t xml:space="preserve">3 </w:t>
            </w:r>
            <w:r>
              <w:rPr>
                <w:rFonts w:hint="eastAsia"/>
              </w:rPr>
              <w:t>层，空隙率不大于</w:t>
            </w:r>
            <w:r w:rsidR="00151D23">
              <w:rPr>
                <w:rFonts w:hint="eastAsia"/>
              </w:rPr>
              <w:t>50</w:t>
            </w:r>
            <w:r>
              <w:rPr>
                <w:rFonts w:hint="eastAsia"/>
              </w:rPr>
              <w:t>%</w:t>
            </w:r>
            <w:r>
              <w:rPr>
                <w:rFonts w:hint="eastAsia"/>
              </w:rPr>
              <w:t>；</w:t>
            </w:r>
          </w:p>
          <w:p w:rsidR="00E67898">
            <w:r>
              <w:rPr>
                <w:rFonts w:hint="eastAsia"/>
              </w:rPr>
              <w:t>2.</w:t>
            </w:r>
            <w:r>
              <w:rPr>
                <w:rFonts w:hint="eastAsia"/>
              </w:rPr>
              <w:t>商品包装尽可能使用单一材质的包装材料，如因功能需求必需使用不同材质，不同材质间应便于分离；</w:t>
            </w:r>
          </w:p>
          <w:p w:rsidR="00E67898">
            <w:r>
              <w:rPr>
                <w:rFonts w:hint="eastAsia"/>
              </w:rPr>
              <w:t>3.</w:t>
            </w:r>
            <w:r>
              <w:rPr>
                <w:rFonts w:hint="eastAsia"/>
              </w:rPr>
              <w:t>商品包装中铅、汞、镉、六价铬的总含量应不大于</w:t>
            </w:r>
            <w:r>
              <w:rPr>
                <w:rFonts w:hint="eastAsia"/>
              </w:rPr>
              <w:t>100mg/kg</w:t>
            </w:r>
            <w:r>
              <w:rPr>
                <w:rFonts w:hint="eastAsia"/>
              </w:rPr>
              <w:t>；</w:t>
            </w:r>
          </w:p>
          <w:p w:rsidR="00E67898">
            <w:r>
              <w:rPr>
                <w:rFonts w:hint="eastAsia"/>
              </w:rPr>
              <w:t>4.</w:t>
            </w:r>
            <w:r>
              <w:rPr>
                <w:rFonts w:hint="eastAsia"/>
              </w:rPr>
              <w:t>商品包装印刷使用的油墨中挥发性有机化合物</w:t>
            </w:r>
            <w:r>
              <w:rPr>
                <w:rFonts w:hint="eastAsia"/>
              </w:rPr>
              <w:t>(VOCs)</w:t>
            </w:r>
            <w:r>
              <w:rPr>
                <w:rFonts w:hint="eastAsia"/>
              </w:rPr>
              <w:t>含量应不大于</w:t>
            </w:r>
            <w:r>
              <w:rPr>
                <w:rFonts w:hint="eastAsia"/>
              </w:rPr>
              <w:t>5%</w:t>
            </w:r>
            <w:r>
              <w:rPr>
                <w:rFonts w:hint="eastAsia"/>
              </w:rPr>
              <w:t>（以重量计）；</w:t>
            </w:r>
          </w:p>
          <w:p w:rsidR="00E67898">
            <w:r>
              <w:rPr>
                <w:rFonts w:hint="eastAsia"/>
              </w:rPr>
              <w:t>5.</w:t>
            </w:r>
            <w:r>
              <w:rPr>
                <w:rFonts w:hint="eastAsia"/>
              </w:rPr>
              <w:t>塑料材质商品包装上呈现的印刷颜色不得超过</w:t>
            </w:r>
            <w:r>
              <w:rPr>
                <w:rFonts w:hint="eastAsia"/>
              </w:rPr>
              <w:t>6</w:t>
            </w:r>
            <w:r>
              <w:rPr>
                <w:rFonts w:hint="eastAsia"/>
              </w:rPr>
              <w:t>色；</w:t>
            </w:r>
          </w:p>
          <w:p w:rsidR="00E67898">
            <w:r>
              <w:rPr>
                <w:rFonts w:hint="eastAsia"/>
              </w:rPr>
              <w:t>6.</w:t>
            </w:r>
            <w:r>
              <w:rPr>
                <w:rFonts w:hint="eastAsia"/>
              </w:rPr>
              <w:t>纸质商品包装应使用</w:t>
            </w:r>
            <w:r>
              <w:rPr>
                <w:rFonts w:hint="eastAsia"/>
              </w:rPr>
              <w:t>75%</w:t>
            </w:r>
            <w:r>
              <w:rPr>
                <w:rFonts w:hint="eastAsia"/>
              </w:rPr>
              <w:t>以上的可再生纤维原料生产；</w:t>
            </w:r>
          </w:p>
          <w:p w:rsidR="00E67898">
            <w:r>
              <w:rPr>
                <w:rFonts w:hint="eastAsia"/>
              </w:rPr>
              <w:t>7.</w:t>
            </w:r>
            <w:r>
              <w:rPr>
                <w:rFonts w:hint="eastAsia"/>
              </w:rPr>
              <w:t>木质商品包装的原料应来源于可持续性森林。</w:t>
            </w:r>
          </w:p>
          <w:p w:rsidR="00E67898">
            <w:r>
              <w:rPr>
                <w:rFonts w:hint="eastAsia"/>
              </w:rPr>
              <w:t>8.</w:t>
            </w:r>
            <w:r>
              <w:rPr>
                <w:rFonts w:hint="eastAsia"/>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rsidR="00E67898">
            <w:r>
              <w:rPr>
                <w:rFonts w:hint="eastAsia"/>
              </w:rPr>
              <w:t>9.</w:t>
            </w:r>
            <w:r>
              <w:rPr>
                <w:rFonts w:hint="eastAsia"/>
              </w:rPr>
              <w:t>每件包装箱内应附一份详细装箱单和质量合格凭证。</w:t>
            </w:r>
          </w:p>
        </w:tc>
      </w:tr>
      <w:tr>
        <w:tblPrEx>
          <w:tblW w:w="8519" w:type="dxa"/>
          <w:tblInd w:w="108" w:type="dxa"/>
          <w:tblLayout w:type="fixed"/>
          <w:tblLook w:val="04A0"/>
        </w:tblPrEx>
        <w:trPr>
          <w:trHeight w:val="667"/>
        </w:trPr>
        <w:tc>
          <w:tcPr>
            <w:tcW w:w="1607" w:type="dxa"/>
            <w:vMerge/>
            <w:vAlign w:val="center"/>
          </w:tcPr>
          <w:p w:rsidR="00E67898">
            <w:pPr>
              <w:adjustRightInd w:val="0"/>
              <w:snapToGrid w:val="0"/>
              <w:jc w:val="center"/>
              <w:rPr>
                <w:rFonts w:ascii="宋体" w:hAnsi="宋体"/>
                <w:szCs w:val="21"/>
              </w:rPr>
            </w:pPr>
          </w:p>
        </w:tc>
        <w:tc>
          <w:tcPr>
            <w:tcW w:w="1742" w:type="dxa"/>
            <w:vAlign w:val="center"/>
          </w:tcPr>
          <w:p w:rsidR="00E6789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E67898">
            <w:r>
              <w:rPr>
                <w:rFonts w:hint="eastAsia"/>
              </w:rPr>
              <w:t>同协议书</w:t>
            </w:r>
          </w:p>
        </w:tc>
      </w:tr>
      <w:tr>
        <w:tblPrEx>
          <w:tblW w:w="8519" w:type="dxa"/>
          <w:tblInd w:w="108" w:type="dxa"/>
          <w:tblLayout w:type="fixed"/>
          <w:tblLook w:val="04A0"/>
        </w:tblPrEx>
        <w:trPr>
          <w:trHeight w:val="772"/>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E67898">
            <w:r>
              <w:rPr>
                <w:rFonts w:hint="eastAsia"/>
              </w:rPr>
              <w:t>1.</w:t>
            </w:r>
            <w:r>
              <w:rPr>
                <w:rFonts w:hint="eastAsia"/>
              </w:rPr>
              <w:t>货物验收合格、交付使用并提供所需单据的日期视为交货日期。</w:t>
            </w:r>
          </w:p>
          <w:p w:rsidR="00E67898">
            <w:r>
              <w:rPr>
                <w:rFonts w:hint="eastAsia"/>
              </w:rPr>
              <w:t>2.</w:t>
            </w:r>
            <w:r>
              <w:rPr>
                <w:rFonts w:hint="eastAsia"/>
              </w:rPr>
              <w:t>乙方在货物发运手续办理完毕后</w:t>
            </w:r>
            <w:r>
              <w:rPr>
                <w:rFonts w:hint="eastAsia"/>
              </w:rPr>
              <w:t>24</w:t>
            </w:r>
            <w:r>
              <w:rPr>
                <w:rFonts w:hint="eastAsia"/>
              </w:rPr>
              <w:t>小时内或货到</w:t>
            </w:r>
            <w:r>
              <w:rPr>
                <w:rFonts w:hint="eastAsia"/>
              </w:rPr>
              <w:t>48</w:t>
            </w:r>
            <w:r>
              <w:rPr>
                <w:rFonts w:hint="eastAsia"/>
              </w:rPr>
              <w:t>小时前通知甲方，以准备接货。</w:t>
            </w:r>
          </w:p>
          <w:p w:rsidR="00E67898">
            <w:r>
              <w:rPr>
                <w:rFonts w:hint="eastAsia"/>
              </w:rPr>
              <w:t>3.</w:t>
            </w:r>
            <w:r>
              <w:rPr>
                <w:rFonts w:hint="eastAsia"/>
              </w:rPr>
              <w:t>乙方装运的货物不应超过合同规定的数量或重量。乙方应对超交数量或超重而产生的一切后果负责。</w:t>
            </w:r>
          </w:p>
          <w:p w:rsidR="00E67898">
            <w:r>
              <w:rPr>
                <w:rFonts w:hint="eastAsia"/>
              </w:rPr>
              <w:t>4.</w:t>
            </w:r>
            <w:r>
              <w:rPr>
                <w:rFonts w:hint="eastAsia"/>
              </w:rPr>
              <w:t>货物在交付甲方前发生的风险均由乙方负责。</w:t>
            </w:r>
          </w:p>
        </w:tc>
      </w:tr>
      <w:tr>
        <w:tblPrEx>
          <w:tblW w:w="8519" w:type="dxa"/>
          <w:tblInd w:w="108" w:type="dxa"/>
          <w:tblLayout w:type="fixed"/>
          <w:tblLook w:val="04A0"/>
        </w:tblPrEx>
        <w:trPr>
          <w:trHeight w:val="667"/>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E67898">
            <w:r>
              <w:rPr>
                <w:rFonts w:hint="eastAsia"/>
              </w:rPr>
              <w:t>货物交货前由乙方承担保险义务</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E67898">
            <w:pPr>
              <w:spacing w:line="560" w:lineRule="exact"/>
              <w:rPr>
                <w:szCs w:val="21"/>
              </w:rPr>
            </w:pPr>
            <w:r>
              <w:rPr>
                <w:rFonts w:hint="eastAsia"/>
                <w:szCs w:val="21"/>
              </w:rPr>
              <w:t>本项目质保期限</w:t>
            </w:r>
            <w:r>
              <w:rPr>
                <w:rFonts w:hint="eastAsia"/>
                <w:szCs w:val="21"/>
              </w:rPr>
              <w:t>8</w:t>
            </w:r>
            <w:r>
              <w:rPr>
                <w:rFonts w:hint="eastAsia"/>
                <w:szCs w:val="21"/>
              </w:rPr>
              <w:t>年</w:t>
            </w:r>
            <w:r>
              <w:rPr>
                <w:rFonts w:hint="eastAsia"/>
                <w:szCs w:val="21"/>
              </w:rPr>
              <w:t>。</w:t>
            </w:r>
          </w:p>
          <w:p w:rsidR="00E6789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货物质量缺陷</w:t>
            </w:r>
          </w:p>
          <w:p w:rsidR="00E6789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如在使用过程中发生质量问题，乙方在接到甲方通知后在</w:t>
            </w:r>
            <w:r>
              <w:rPr>
                <w:rFonts w:ascii="宋体" w:hAnsi="宋体" w:hint="eastAsia"/>
                <w:szCs w:val="21"/>
                <w:u w:val="single"/>
              </w:rPr>
              <w:t xml:space="preserve"> 48  </w:t>
            </w:r>
            <w:r>
              <w:rPr>
                <w:rFonts w:ascii="宋体" w:hAnsi="宋体" w:hint="eastAsia"/>
                <w:szCs w:val="21"/>
              </w:rPr>
              <w:t>小时内到达甲方现场。</w:t>
            </w:r>
          </w:p>
        </w:tc>
      </w:tr>
      <w:tr>
        <w:tblPrEx>
          <w:tblW w:w="8519" w:type="dxa"/>
          <w:tblInd w:w="108" w:type="dxa"/>
          <w:tblLayout w:type="fixed"/>
          <w:tblLook w:val="04A0"/>
        </w:tblPrEx>
        <w:trPr>
          <w:trHeight w:val="736"/>
        </w:trPr>
        <w:tc>
          <w:tcPr>
            <w:tcW w:w="1607" w:type="dxa"/>
            <w:vAlign w:val="center"/>
          </w:tcPr>
          <w:p w:rsidR="00E67898">
            <w:pPr>
              <w:snapToGrid w:val="0"/>
              <w:jc w:val="center"/>
              <w:rPr>
                <w:rFonts w:ascii="宋体" w:hAnsi="宋体" w:cs="宋体"/>
                <w:szCs w:val="21"/>
              </w:rPr>
            </w:pPr>
            <w:r>
              <w:rPr>
                <w:rFonts w:ascii="宋体" w:hAnsi="宋体" w:cs="宋体" w:hint="eastAsia"/>
                <w:szCs w:val="21"/>
              </w:rPr>
              <w:t>第二节</w:t>
            </w:r>
          </w:p>
          <w:p w:rsidR="00E67898">
            <w:pPr>
              <w:pStyle w:val="AONormal"/>
              <w:ind w:firstLine="0" w:firstLineChars="0"/>
              <w:jc w:val="center"/>
            </w:pPr>
            <w:r>
              <w:rPr>
                <w:rFonts w:ascii="宋体" w:eastAsia="宋体" w:hAnsi="宋体" w:cs="宋体" w:hint="eastAsia"/>
              </w:rPr>
              <w:t>第11.1款</w:t>
            </w:r>
          </w:p>
        </w:tc>
        <w:tc>
          <w:tcPr>
            <w:tcW w:w="1742" w:type="dxa"/>
            <w:vAlign w:val="center"/>
          </w:tcPr>
          <w:p w:rsidR="00E6789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w:t>
            </w:r>
          </w:p>
        </w:tc>
      </w:tr>
      <w:tr>
        <w:tblPrEx>
          <w:tblW w:w="8519" w:type="dxa"/>
          <w:tblInd w:w="108" w:type="dxa"/>
          <w:tblLayout w:type="fixed"/>
          <w:tblLook w:val="04A0"/>
        </w:tblPrEx>
        <w:trPr>
          <w:trHeight w:val="697"/>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E67898">
            <w:pPr>
              <w:adjustRightInd w:val="0"/>
              <w:snapToGrid w:val="0"/>
              <w:jc w:val="left"/>
              <w:rPr>
                <w:rFonts w:ascii="宋体" w:hAnsi="宋体"/>
                <w:szCs w:val="21"/>
              </w:rPr>
            </w:pPr>
            <w:r w:rsidRPr="007B2D6D">
              <w:rPr>
                <w:rFonts w:ascii="宋体" w:hAnsi="宋体" w:hint="eastAsia"/>
                <w:szCs w:val="21"/>
              </w:rPr>
              <w:t>签订合同后20天内支付合同总价的30%作为预付款；设备安装、调试、正常运行，经甲方验收合格后，甲方30天内向乙方支付合同总价的70%。</w:t>
            </w:r>
            <w:r w:rsidR="001B1754">
              <w:rPr>
                <w:rFonts w:ascii="宋体" w:hAnsi="宋体" w:hint="eastAsia"/>
                <w:szCs w:val="21"/>
              </w:rPr>
              <w:t>（注：各分签单位根据属地财政预算资金下达情况，自行调整付款进度）</w:t>
            </w:r>
          </w:p>
          <w:p w:rsidR="00E67898">
            <w:pPr>
              <w:adjustRightInd w:val="0"/>
              <w:snapToGrid w:val="0"/>
              <w:jc w:val="left"/>
              <w:rPr>
                <w:rFonts w:ascii="宋体" w:hAnsi="宋体"/>
                <w:szCs w:val="21"/>
              </w:rPr>
            </w:pPr>
            <w:r>
              <w:rPr>
                <w:rFonts w:ascii="宋体" w:hAnsi="宋体" w:hint="eastAsia"/>
                <w:szCs w:val="21"/>
              </w:rPr>
              <w:t>付款前乙方提供符合甲方要求的合</w:t>
            </w:r>
            <w:r>
              <w:rPr>
                <w:rFonts w:ascii="宋体" w:hAnsi="宋体" w:hint="eastAsia"/>
                <w:szCs w:val="21"/>
              </w:rPr>
              <w:t>规</w:t>
            </w:r>
            <w:r>
              <w:rPr>
                <w:rFonts w:ascii="宋体" w:hAnsi="宋体" w:hint="eastAsia"/>
                <w:szCs w:val="21"/>
              </w:rPr>
              <w:t>发票。</w:t>
            </w:r>
          </w:p>
        </w:tc>
      </w:tr>
      <w:tr>
        <w:tblPrEx>
          <w:tblW w:w="8519" w:type="dxa"/>
          <w:tblInd w:w="108" w:type="dxa"/>
          <w:tblLayout w:type="fixed"/>
          <w:tblLook w:val="04A0"/>
        </w:tblPrEx>
        <w:trPr>
          <w:trHeight w:val="697"/>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除不可抗力情况外，投标人出现下列情形之一的，其履约保证金，招标人将视情节决定不予退还或部分不予退还。</w:t>
            </w:r>
          </w:p>
          <w:p w:rsidR="00E67898">
            <w:pPr>
              <w:adjustRightInd w:val="0"/>
              <w:snapToGrid w:val="0"/>
              <w:jc w:val="left"/>
              <w:rPr>
                <w:rFonts w:ascii="宋体" w:hAnsi="宋体"/>
                <w:szCs w:val="21"/>
              </w:rPr>
            </w:pPr>
            <w:r>
              <w:rPr>
                <w:rFonts w:ascii="宋体" w:hAnsi="宋体" w:hint="eastAsia"/>
                <w:szCs w:val="21"/>
              </w:rPr>
              <w:t>（1）中标人无正当理由拒绝签订合同的，或者在签订合同时向采购人提出附加条件或者更改合同实质性内容要求的；</w:t>
            </w:r>
          </w:p>
          <w:p w:rsidR="00E67898">
            <w:pPr>
              <w:adjustRightInd w:val="0"/>
              <w:snapToGrid w:val="0"/>
              <w:jc w:val="left"/>
              <w:rPr>
                <w:rFonts w:ascii="宋体" w:hAnsi="宋体"/>
                <w:szCs w:val="21"/>
              </w:rPr>
            </w:pPr>
            <w:r>
              <w:rPr>
                <w:rFonts w:ascii="宋体" w:hAnsi="宋体" w:hint="eastAsia"/>
                <w:szCs w:val="21"/>
              </w:rPr>
              <w:t>（2）中标人不履行与采购人订立的合同的；</w:t>
            </w:r>
          </w:p>
          <w:p w:rsidR="00E67898">
            <w:pPr>
              <w:adjustRightInd w:val="0"/>
              <w:snapToGrid w:val="0"/>
              <w:jc w:val="left"/>
              <w:rPr>
                <w:rFonts w:ascii="宋体" w:hAnsi="宋体"/>
                <w:szCs w:val="21"/>
              </w:rPr>
            </w:pPr>
            <w:r>
              <w:rPr>
                <w:rFonts w:ascii="宋体" w:hAnsi="宋体" w:hint="eastAsia"/>
                <w:szCs w:val="21"/>
              </w:rPr>
              <w:t>（3）中标人所供货物或服务不符合招标文件规定要求的；</w:t>
            </w:r>
          </w:p>
          <w:p w:rsidR="00E67898">
            <w:pPr>
              <w:adjustRightInd w:val="0"/>
              <w:snapToGrid w:val="0"/>
              <w:jc w:val="left"/>
              <w:rPr>
                <w:rFonts w:ascii="宋体" w:hAnsi="宋体"/>
                <w:szCs w:val="21"/>
              </w:rPr>
            </w:pPr>
            <w:r>
              <w:rPr>
                <w:rFonts w:ascii="宋体" w:hAnsi="宋体" w:hint="eastAsia"/>
                <w:szCs w:val="21"/>
              </w:rPr>
              <w:t>（4）中标人采取欺骗、弄虚作假方式投标的或与其它投标人串通投标的；</w:t>
            </w:r>
          </w:p>
          <w:p w:rsidR="00E67898">
            <w:pPr>
              <w:adjustRightInd w:val="0"/>
              <w:snapToGrid w:val="0"/>
              <w:jc w:val="left"/>
              <w:rPr>
                <w:rFonts w:ascii="宋体" w:hAnsi="宋体"/>
                <w:szCs w:val="21"/>
              </w:rPr>
            </w:pPr>
            <w:r>
              <w:rPr>
                <w:rFonts w:ascii="宋体" w:hAnsi="宋体" w:hint="eastAsia"/>
                <w:szCs w:val="21"/>
              </w:rPr>
              <w:t>（5）中标人将合同内容转包、违法分包的；</w:t>
            </w:r>
          </w:p>
          <w:p w:rsidR="00E67898">
            <w:pPr>
              <w:adjustRightInd w:val="0"/>
              <w:snapToGrid w:val="0"/>
              <w:jc w:val="left"/>
              <w:rPr>
                <w:rFonts w:ascii="宋体" w:hAnsi="宋体"/>
                <w:szCs w:val="21"/>
              </w:rPr>
            </w:pPr>
            <w:r>
              <w:rPr>
                <w:rFonts w:ascii="宋体" w:hAnsi="宋体" w:hint="eastAsia"/>
                <w:szCs w:val="21"/>
              </w:rPr>
              <w:t>（6）中标人故意捏造事实或伪造证明材料，进行虚假恶意投诉或反映的。</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1、合同履行结束后，甲方应及时退还交纳的履约保证金。</w:t>
            </w:r>
          </w:p>
          <w:p w:rsidR="00E67898">
            <w:pPr>
              <w:adjustRightInd w:val="0"/>
              <w:snapToGrid w:val="0"/>
              <w:jc w:val="left"/>
              <w:rPr>
                <w:rFonts w:ascii="宋体" w:hAnsi="宋体"/>
                <w:szCs w:val="21"/>
              </w:rPr>
            </w:pPr>
            <w:r>
              <w:rPr>
                <w:rFonts w:ascii="宋体" w:hAnsi="宋体" w:hint="eastAsia"/>
                <w:szCs w:val="21"/>
              </w:rPr>
              <w:t>2、退还方式：无息退还至投标人缴纳履约保证金的账户。如为保函，在到期时自行失效。</w:t>
            </w:r>
          </w:p>
          <w:p w:rsidR="00E67898">
            <w:pPr>
              <w:adjustRightInd w:val="0"/>
              <w:snapToGrid w:val="0"/>
              <w:jc w:val="left"/>
              <w:rPr>
                <w:rFonts w:ascii="宋体" w:hAnsi="宋体"/>
                <w:szCs w:val="21"/>
              </w:rPr>
            </w:pPr>
            <w:r>
              <w:rPr>
                <w:rFonts w:ascii="宋体" w:hAnsi="宋体" w:hint="eastAsia"/>
                <w:szCs w:val="21"/>
              </w:rPr>
              <w:t>3、退还时间：验收合格且甲方收到发票后30日内。</w:t>
            </w:r>
          </w:p>
          <w:p w:rsidR="00E67898">
            <w:pPr>
              <w:adjustRightInd w:val="0"/>
              <w:snapToGrid w:val="0"/>
              <w:jc w:val="left"/>
              <w:rPr>
                <w:rFonts w:ascii="宋体" w:hAnsi="宋体"/>
                <w:szCs w:val="21"/>
              </w:rPr>
            </w:pPr>
            <w:r>
              <w:rPr>
                <w:rFonts w:ascii="宋体" w:hAnsi="宋体" w:hint="eastAsia"/>
                <w:szCs w:val="21"/>
              </w:rPr>
              <w:t>4、退还条件：按合同要求全部履约完成并经采购人验收合格，且采购人收到中标人出具的发票。</w:t>
            </w:r>
          </w:p>
          <w:p w:rsidR="00E67898">
            <w:pPr>
              <w:adjustRightInd w:val="0"/>
              <w:snapToGrid w:val="0"/>
              <w:jc w:val="left"/>
              <w:rPr>
                <w:rFonts w:ascii="宋体" w:hAnsi="宋体"/>
                <w:szCs w:val="21"/>
              </w:rPr>
            </w:pPr>
            <w:r>
              <w:rPr>
                <w:rFonts w:ascii="宋体" w:hAnsi="宋体" w:hint="eastAsia"/>
                <w:szCs w:val="21"/>
              </w:rPr>
              <w:t>5、逾期退还的违约责任：采购人逾期无故未退还履约保证金的，按中国人民银行同期贷款基准利率上浮20%后的利率支付超期资金占用费，但因供应商自身原因导致无法及时退还的除外。</w:t>
            </w:r>
          </w:p>
        </w:tc>
      </w:tr>
      <w:tr>
        <w:tblPrEx>
          <w:tblW w:w="8519" w:type="dxa"/>
          <w:tblInd w:w="108" w:type="dxa"/>
          <w:tblLayout w:type="fixed"/>
          <w:tblLook w:val="04A0"/>
        </w:tblPrEx>
        <w:trPr>
          <w:trHeight w:val="784"/>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本项目质保期限8年。</w:t>
            </w:r>
          </w:p>
          <w:p w:rsidR="00E67898">
            <w:pPr>
              <w:adjustRightInd w:val="0"/>
              <w:snapToGrid w:val="0"/>
              <w:jc w:val="left"/>
              <w:rPr>
                <w:rFonts w:ascii="宋体" w:hAnsi="宋体"/>
                <w:szCs w:val="21"/>
              </w:rPr>
            </w:pPr>
            <w:r>
              <w:rPr>
                <w:rFonts w:ascii="宋体" w:hAnsi="宋体" w:hint="eastAsia"/>
                <w:szCs w:val="21"/>
              </w:rPr>
              <w:t xml:space="preserve">（1）质保期内因设备设计、质量出现问题，均由中标人即时无偿解决（包括更换器件）。 </w:t>
            </w:r>
          </w:p>
          <w:p w:rsidR="00E67898">
            <w:pPr>
              <w:adjustRightInd w:val="0"/>
              <w:snapToGrid w:val="0"/>
              <w:jc w:val="left"/>
              <w:rPr>
                <w:rFonts w:ascii="宋体" w:hAnsi="宋体"/>
                <w:szCs w:val="21"/>
              </w:rPr>
            </w:pPr>
            <w:r>
              <w:rPr>
                <w:rFonts w:ascii="宋体" w:hAnsi="宋体" w:hint="eastAsia"/>
                <w:szCs w:val="21"/>
              </w:rPr>
              <w:t>（2）合同签订后，中标人指定负责本工程的项目经理，负责协调中标人在项目全过程的各项工作，如工程进度、设备定制及设备供应、软件定制开发、图纸文件、包装运输、现场安装、调试验收等。</w:t>
            </w:r>
          </w:p>
          <w:p w:rsidR="00E67898">
            <w:pPr>
              <w:adjustRightInd w:val="0"/>
              <w:snapToGrid w:val="0"/>
              <w:jc w:val="left"/>
              <w:rPr>
                <w:rFonts w:ascii="宋体" w:hAnsi="宋体"/>
                <w:szCs w:val="21"/>
              </w:rPr>
            </w:pPr>
            <w:r>
              <w:rPr>
                <w:rFonts w:ascii="宋体" w:hAnsi="宋体" w:hint="eastAsia"/>
                <w:szCs w:val="21"/>
              </w:rPr>
              <w:t>（3）在售后服务期内，中标人应提供详细的售后服务计划，内容包括售后服务方式、人员配置、服务期限、故障响应及维修时间、零配件供应方式等情况。中标人服务时间应为7×24小时。</w:t>
            </w:r>
          </w:p>
          <w:p w:rsidR="00E67898">
            <w:pPr>
              <w:adjustRightInd w:val="0"/>
              <w:snapToGrid w:val="0"/>
              <w:jc w:val="left"/>
              <w:rPr>
                <w:rFonts w:ascii="宋体" w:hAnsi="宋体"/>
                <w:szCs w:val="21"/>
              </w:rPr>
            </w:pPr>
            <w:r>
              <w:rPr>
                <w:rFonts w:ascii="宋体" w:hAnsi="宋体" w:hint="eastAsia"/>
                <w:szCs w:val="21"/>
              </w:rPr>
              <w:t>（4）该项目包含因售后服务产生的所有费用均有中标人自行承担</w:t>
            </w:r>
          </w:p>
        </w:tc>
      </w:tr>
      <w:tr>
        <w:tblPrEx>
          <w:tblW w:w="8519" w:type="dxa"/>
          <w:tblInd w:w="108" w:type="dxa"/>
          <w:tblLayout w:type="fixed"/>
          <w:tblLook w:val="04A0"/>
        </w:tblPrEx>
        <w:trPr>
          <w:trHeight w:val="784"/>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超过保修期的货物，终生维修，维修时只收部件成本费。</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详见合同通用条款8.2条款、合同专用条款第二节第8款补充条款及合同专用条款中索赔条款。</w:t>
            </w:r>
          </w:p>
          <w:p w:rsidR="00E67898">
            <w:pPr>
              <w:adjustRightInd w:val="0"/>
              <w:snapToGrid w:val="0"/>
              <w:jc w:val="left"/>
              <w:rPr>
                <w:rFonts w:ascii="宋体" w:hAnsi="宋体"/>
                <w:szCs w:val="21"/>
              </w:rPr>
            </w:pPr>
            <w:r>
              <w:rPr>
                <w:rFonts w:ascii="宋体" w:hAnsi="宋体" w:hint="eastAsia"/>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1.乙方应按照承诺交货和提供服务，并交付甲方验收使用。</w:t>
            </w:r>
          </w:p>
          <w:p w:rsidR="00E67898">
            <w:pPr>
              <w:adjustRightInd w:val="0"/>
              <w:snapToGrid w:val="0"/>
              <w:jc w:val="left"/>
              <w:rPr>
                <w:rFonts w:ascii="宋体" w:hAnsi="宋体"/>
                <w:szCs w:val="21"/>
              </w:rPr>
            </w:pPr>
            <w:r>
              <w:rPr>
                <w:rFonts w:ascii="宋体" w:hAnsi="宋体" w:hint="eastAsia"/>
                <w:szCs w:val="21"/>
              </w:rPr>
              <w:t>2.如果乙方无正当理由拖延交货，将受到以下制裁：加收误期赔偿或终止合同。</w:t>
            </w:r>
          </w:p>
          <w:p w:rsidR="00E67898">
            <w:pPr>
              <w:adjustRightInd w:val="0"/>
              <w:snapToGrid w:val="0"/>
              <w:jc w:val="left"/>
              <w:rPr>
                <w:rFonts w:ascii="宋体" w:hAnsi="宋体"/>
                <w:szCs w:val="21"/>
              </w:rPr>
            </w:pPr>
            <w:r>
              <w:rPr>
                <w:rFonts w:ascii="宋体" w:hAnsi="宋体" w:hint="eastAsia"/>
                <w:szCs w:val="21"/>
              </w:rPr>
              <w:t xml:space="preserve">3. 乙方逾期交付货物的，乙方应按逾期交货总额每日6‰ 向甲方支付违约金，由甲方从待付货款中扣除。逾期超过约定日期 10 </w:t>
            </w:r>
            <w:r>
              <w:rPr>
                <w:rFonts w:ascii="宋体" w:hAnsi="宋体" w:hint="eastAsia"/>
                <w:szCs w:val="21"/>
              </w:rPr>
              <w:t>个</w:t>
            </w:r>
            <w:r>
              <w:rPr>
                <w:rFonts w:ascii="宋体" w:hAnsi="宋体" w:hint="eastAsia"/>
                <w:szCs w:val="21"/>
              </w:rPr>
              <w:t xml:space="preserve">工作日不能交货的，甲方可解除本合同。乙方因逾期交货或因其他违约行为导致甲方解除合同的，乙方应向甲方支付合同总值5% 的违约金，如造成甲方损失超过违约金的，超出部分由乙方继续承担赔偿责任。 </w:t>
            </w:r>
          </w:p>
          <w:p w:rsidR="00E67898">
            <w:pPr>
              <w:adjustRightInd w:val="0"/>
              <w:snapToGrid w:val="0"/>
              <w:jc w:val="left"/>
              <w:rPr>
                <w:rFonts w:ascii="宋体" w:hAnsi="宋体"/>
                <w:szCs w:val="21"/>
                <w:u w:val="single"/>
              </w:rPr>
            </w:pPr>
            <w:r>
              <w:rPr>
                <w:rFonts w:ascii="宋体" w:hAnsi="宋体" w:hint="eastAsia"/>
                <w:szCs w:val="21"/>
              </w:rPr>
              <w:t>4.如乙方不能交付货物，或者有违法转包他人情形，乙方应向甲方支付合同总价 5% 的滞纳金。</w:t>
            </w:r>
          </w:p>
        </w:tc>
      </w:tr>
      <w:tr>
        <w:tblPrEx>
          <w:tblW w:w="8519" w:type="dxa"/>
          <w:tblInd w:w="108" w:type="dxa"/>
          <w:tblLayout w:type="fixed"/>
          <w:tblLook w:val="04A0"/>
        </w:tblPrEx>
        <w:trPr>
          <w:trHeight w:val="736"/>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E6789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1.甲方无正当理由拒收货物的，甲方向乙方偿付拒收货款总值5%的违约金。</w:t>
            </w:r>
          </w:p>
          <w:p w:rsidR="00E67898">
            <w:pPr>
              <w:adjustRightInd w:val="0"/>
              <w:snapToGrid w:val="0"/>
              <w:jc w:val="left"/>
              <w:rPr>
                <w:rFonts w:ascii="宋体" w:hAnsi="宋体"/>
                <w:szCs w:val="21"/>
                <w:u w:val="single"/>
              </w:rPr>
            </w:pPr>
            <w:r>
              <w:rPr>
                <w:rFonts w:ascii="宋体" w:hAnsi="宋体" w:hint="eastAsia"/>
                <w:szCs w:val="21"/>
              </w:rPr>
              <w:t>2.甲方无故逾期验收和办理货款支付手续的,甲方应按逾期付款总额每日5‰向乙方支付违约金。</w:t>
            </w: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E6789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E67898">
            <w:pPr>
              <w:adjustRightInd w:val="0"/>
              <w:snapToGrid w:val="0"/>
              <w:jc w:val="left"/>
              <w:rPr>
                <w:rFonts w:ascii="宋体" w:hAnsi="宋体"/>
                <w:szCs w:val="21"/>
                <w:u w:val="single"/>
              </w:rPr>
            </w:pPr>
            <w:r>
              <w:rPr>
                <w:rFonts w:ascii="宋体" w:hAnsi="宋体" w:hint="eastAsia"/>
                <w:szCs w:val="21"/>
              </w:rPr>
              <w:t>乙方交付合同标的</w:t>
            </w:r>
            <w:r>
              <w:rPr>
                <w:rFonts w:ascii="宋体" w:hAnsi="宋体" w:hint="eastAsia"/>
                <w:szCs w:val="21"/>
              </w:rPr>
              <w:t>的</w:t>
            </w:r>
            <w:r>
              <w:rPr>
                <w:rFonts w:ascii="宋体" w:hAnsi="宋体" w:hint="eastAsia"/>
                <w:szCs w:val="21"/>
              </w:rPr>
              <w:t>标准不符合合同规定及招标文件规定标准的，甲方有权拒绝接受合同标的，并可单方面解除合同。</w:t>
            </w: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E6789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E67898">
            <w:pPr>
              <w:adjustRightInd w:val="0"/>
              <w:snapToGrid w:val="0"/>
              <w:jc w:val="left"/>
              <w:rPr>
                <w:rFonts w:ascii="宋体" w:hAnsi="宋体" w:cs="宋体"/>
                <w:iCs/>
                <w:szCs w:val="21"/>
              </w:rPr>
            </w:pPr>
            <w:r>
              <w:rPr>
                <w:rFonts w:ascii="宋体" w:hAnsi="宋体" w:cs="宋体" w:hint="eastAsia"/>
                <w:iCs/>
                <w:szCs w:val="21"/>
              </w:rPr>
              <w:t>1.因本合同及合同有关事项发生的争议，由双方协商解决，协商不成时，按下列第 2 种方式解决：</w:t>
            </w:r>
          </w:p>
          <w:p w:rsidR="00E67898">
            <w:pPr>
              <w:adjustRightInd w:val="0"/>
              <w:snapToGrid w:val="0"/>
              <w:jc w:val="left"/>
              <w:rPr>
                <w:rFonts w:ascii="宋体" w:hAnsi="宋体" w:cs="宋体"/>
                <w:iCs/>
                <w:szCs w:val="21"/>
              </w:rPr>
            </w:pPr>
            <w:r>
              <w:rPr>
                <w:rFonts w:ascii="宋体" w:hAnsi="宋体" w:cs="宋体" w:hint="eastAsia"/>
                <w:iCs/>
                <w:szCs w:val="21"/>
              </w:rPr>
              <w:t>（1）向仲裁委员会申请仲裁，仲裁地点为盐城市；</w:t>
            </w:r>
          </w:p>
          <w:p w:rsidR="00E67898">
            <w:pPr>
              <w:adjustRightInd w:val="0"/>
              <w:snapToGrid w:val="0"/>
              <w:jc w:val="left"/>
              <w:rPr>
                <w:rFonts w:ascii="宋体" w:hAnsi="宋体" w:cs="宋体"/>
                <w:iCs/>
                <w:szCs w:val="21"/>
              </w:rPr>
            </w:pPr>
            <w:r>
              <w:rPr>
                <w:rFonts w:ascii="宋体" w:hAnsi="宋体" w:cs="宋体" w:hint="eastAsia"/>
                <w:iCs/>
                <w:szCs w:val="21"/>
              </w:rPr>
              <w:t>（2）向甲方所在地人民法院起诉。</w:t>
            </w:r>
          </w:p>
          <w:p w:rsidR="00E67898">
            <w:pPr>
              <w:adjustRightInd w:val="0"/>
              <w:snapToGrid w:val="0"/>
              <w:jc w:val="left"/>
              <w:rPr>
                <w:rFonts w:ascii="宋体" w:hAnsi="宋体" w:cs="宋体"/>
                <w:iCs/>
                <w:szCs w:val="21"/>
              </w:rPr>
            </w:pPr>
            <w:r>
              <w:rPr>
                <w:rFonts w:ascii="宋体" w:hAnsi="宋体" w:cs="宋体" w:hint="eastAsia"/>
                <w:iCs/>
                <w:szCs w:val="21"/>
              </w:rPr>
              <w:t>2. 纠纷解决办法</w:t>
            </w:r>
          </w:p>
          <w:p w:rsidR="00E67898">
            <w:pPr>
              <w:adjustRightInd w:val="0"/>
              <w:snapToGrid w:val="0"/>
              <w:jc w:val="left"/>
              <w:rPr>
                <w:rFonts w:ascii="宋体" w:hAnsi="宋体"/>
                <w:szCs w:val="21"/>
                <w:u w:val="single"/>
              </w:rPr>
            </w:pPr>
            <w:r>
              <w:rPr>
                <w:rFonts w:ascii="宋体" w:hAnsi="宋体" w:cs="宋体" w:hint="eastAsia"/>
                <w:iCs/>
                <w:szCs w:val="21"/>
              </w:rPr>
              <w:t>2.1因货物的质量问题发生争议的，应当邀请国家认可的质量检测机构对货物质量进行鉴定。货物符合标准的，鉴定费由甲方承担；货物不符合质量标准的，鉴定费由乙方承担，并更换问题货物。。</w:t>
            </w:r>
          </w:p>
        </w:tc>
      </w:tr>
      <w:tr>
        <w:tblPrEx>
          <w:tblW w:w="8519" w:type="dxa"/>
          <w:tblInd w:w="108" w:type="dxa"/>
          <w:tblLayout w:type="fixed"/>
          <w:tblLook w:val="04A0"/>
        </w:tblPrEx>
        <w:trPr>
          <w:trHeight w:val="770"/>
        </w:trPr>
        <w:tc>
          <w:tcPr>
            <w:tcW w:w="1607" w:type="dxa"/>
            <w:vAlign w:val="center"/>
          </w:tcPr>
          <w:p w:rsidR="00E67898">
            <w:pPr>
              <w:adjustRightInd w:val="0"/>
              <w:snapToGrid w:val="0"/>
              <w:jc w:val="center"/>
              <w:rPr>
                <w:rFonts w:ascii="宋体" w:hAnsi="宋体"/>
                <w:szCs w:val="21"/>
              </w:rPr>
            </w:pPr>
            <w:r>
              <w:rPr>
                <w:rFonts w:ascii="宋体" w:hAnsi="宋体" w:hint="eastAsia"/>
                <w:szCs w:val="21"/>
              </w:rPr>
              <w:t>第二节</w:t>
            </w:r>
          </w:p>
          <w:p w:rsidR="00E67898">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E6789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E67898">
            <w:pPr>
              <w:adjustRightInd w:val="0"/>
              <w:snapToGrid w:val="0"/>
              <w:jc w:val="left"/>
              <w:rPr>
                <w:rFonts w:ascii="宋体" w:hAnsi="宋体"/>
                <w:szCs w:val="21"/>
              </w:rPr>
            </w:pPr>
            <w:r>
              <w:rPr>
                <w:rFonts w:ascii="宋体" w:hAnsi="宋体" w:hint="eastAsia"/>
                <w:szCs w:val="21"/>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rsidR="00E67898">
            <w:pPr>
              <w:adjustRightInd w:val="0"/>
              <w:snapToGrid w:val="0"/>
              <w:jc w:val="left"/>
              <w:rPr>
                <w:rFonts w:ascii="宋体" w:hAnsi="宋体"/>
                <w:szCs w:val="21"/>
              </w:rPr>
            </w:pPr>
            <w:r>
              <w:rPr>
                <w:rFonts w:ascii="宋体" w:hAnsi="宋体" w:hint="eastAsia"/>
                <w:szCs w:val="21"/>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rsidR="00E67898">
            <w:pPr>
              <w:adjustRightInd w:val="0"/>
              <w:snapToGrid w:val="0"/>
              <w:jc w:val="left"/>
              <w:rPr>
                <w:rFonts w:ascii="宋体" w:hAnsi="宋体"/>
                <w:szCs w:val="21"/>
              </w:rPr>
            </w:pPr>
            <w:r>
              <w:rPr>
                <w:rFonts w:ascii="宋体" w:hAnsi="宋体" w:hint="eastAsia"/>
                <w:szCs w:val="21"/>
              </w:rPr>
              <w:t>3.验收不合格的货物，乙方应在三个工作日内予以更换，逾期按交货延误予以处罚。乙方所交付的货物品种、型号、规格不符合合同规定的，甲方有权拒收。甲方拒收的，乙方向甲方支付货款总额 5 %的违约金。在乙方承诺的或国家规定的质量保证期内，若经乙方维修或更换，货物仍不能达到合同约定的质量标准，甲方有权退货，乙方应退回全部货款，同时，乙方还须赔偿甲方因此遭受的损失。</w:t>
            </w:r>
          </w:p>
          <w:p w:rsidR="00E67898">
            <w:pPr>
              <w:adjustRightInd w:val="0"/>
              <w:snapToGrid w:val="0"/>
              <w:jc w:val="left"/>
              <w:rPr>
                <w:rFonts w:ascii="宋体" w:hAnsi="宋体"/>
                <w:szCs w:val="21"/>
              </w:rPr>
            </w:pPr>
            <w:r>
              <w:rPr>
                <w:rFonts w:ascii="宋体" w:hAnsi="宋体" w:hint="eastAsia"/>
                <w:szCs w:val="21"/>
              </w:rPr>
              <w:t>4.货物验收要求</w:t>
            </w:r>
          </w:p>
          <w:p w:rsidR="00E67898">
            <w:pPr>
              <w:adjustRightInd w:val="0"/>
              <w:snapToGrid w:val="0"/>
              <w:jc w:val="left"/>
              <w:rPr>
                <w:rFonts w:ascii="宋体" w:hAnsi="宋体"/>
                <w:szCs w:val="21"/>
              </w:rPr>
            </w:pPr>
            <w:r>
              <w:rPr>
                <w:rFonts w:ascii="宋体" w:hAnsi="宋体" w:hint="eastAsia"/>
                <w:szCs w:val="21"/>
              </w:rPr>
              <w:t>（1）依照招标文件要求对全部货物、型号、规格、数量、外型、外观、包装及资料、文件（如装箱单、保修单、随箱介质等）进行验收。</w:t>
            </w:r>
          </w:p>
          <w:p w:rsidR="00E67898">
            <w:pPr>
              <w:adjustRightInd w:val="0"/>
              <w:snapToGrid w:val="0"/>
              <w:jc w:val="left"/>
              <w:rPr>
                <w:rFonts w:ascii="宋体" w:hAnsi="宋体"/>
                <w:szCs w:val="21"/>
              </w:rPr>
            </w:pPr>
            <w:r>
              <w:rPr>
                <w:rFonts w:ascii="宋体" w:hAnsi="宋体" w:hint="eastAsia"/>
                <w:szCs w:val="21"/>
              </w:rPr>
              <w:t>（2）甲方与乙方对货物到货后共同进行开箱检查，出现损坏、数量不全或产品不对等问题时，由乙方负责解决。</w:t>
            </w:r>
          </w:p>
          <w:p w:rsidR="00E67898">
            <w:pPr>
              <w:adjustRightInd w:val="0"/>
              <w:snapToGrid w:val="0"/>
              <w:jc w:val="left"/>
              <w:rPr>
                <w:rFonts w:ascii="宋体" w:hAnsi="宋体"/>
                <w:szCs w:val="21"/>
              </w:rPr>
            </w:pPr>
            <w:r>
              <w:rPr>
                <w:rFonts w:ascii="宋体" w:hAnsi="宋体" w:hint="eastAsia"/>
                <w:szCs w:val="21"/>
              </w:rPr>
              <w:t>（3）甲方有权从乙方所送货物中任意抽出不同型号的产品送采购人所在地的质检部门检验，如果检验合格，检验费由甲方负担；如果检验不合格，则检验费由乙方负担。</w:t>
            </w:r>
          </w:p>
          <w:p w:rsidR="00E67898">
            <w:pPr>
              <w:adjustRightInd w:val="0"/>
              <w:snapToGrid w:val="0"/>
              <w:jc w:val="left"/>
              <w:rPr>
                <w:rFonts w:ascii="宋体" w:hAnsi="宋体"/>
                <w:szCs w:val="21"/>
              </w:rPr>
            </w:pPr>
            <w:r>
              <w:rPr>
                <w:rFonts w:ascii="宋体" w:hAnsi="宋体" w:hint="eastAsia"/>
                <w:szCs w:val="21"/>
              </w:rPr>
              <w:t>（4）乙方应按照本合同规定的时间、地点和方式向乙方交付货物。</w:t>
            </w:r>
          </w:p>
          <w:p w:rsidR="00E67898">
            <w:pPr>
              <w:adjustRightInd w:val="0"/>
              <w:snapToGrid w:val="0"/>
              <w:jc w:val="left"/>
              <w:rPr>
                <w:rFonts w:ascii="宋体" w:hAnsi="宋体"/>
                <w:szCs w:val="21"/>
              </w:rPr>
            </w:pPr>
            <w:r>
              <w:rPr>
                <w:rFonts w:ascii="宋体" w:hAnsi="宋体" w:hint="eastAsia"/>
                <w:szCs w:val="21"/>
              </w:rPr>
              <w:t>交货时间：</w:t>
            </w:r>
            <w:r w:rsidR="000A3C87">
              <w:rPr>
                <w:rFonts w:ascii="宋体" w:hAnsi="宋体" w:hint="eastAsia"/>
                <w:szCs w:val="21"/>
              </w:rPr>
              <w:t>4</w:t>
            </w:r>
            <w:r w:rsidR="00151D23">
              <w:rPr>
                <w:rFonts w:ascii="宋体" w:hAnsi="宋体" w:hint="eastAsia"/>
                <w:szCs w:val="21"/>
              </w:rPr>
              <w:t>0</w:t>
            </w:r>
            <w:r>
              <w:rPr>
                <w:rFonts w:ascii="宋体" w:hAnsi="宋体" w:hint="eastAsia"/>
                <w:szCs w:val="21"/>
              </w:rPr>
              <w:t>个日历天内完成315套，剩余115套根据甲方要求按期完成（2026年11月底前完成）。</w:t>
            </w:r>
          </w:p>
          <w:p w:rsidR="00E67898">
            <w:pPr>
              <w:adjustRightInd w:val="0"/>
              <w:snapToGrid w:val="0"/>
              <w:jc w:val="left"/>
              <w:rPr>
                <w:rFonts w:ascii="宋体" w:hAnsi="宋体"/>
                <w:szCs w:val="21"/>
              </w:rPr>
            </w:pPr>
            <w:r>
              <w:rPr>
                <w:rFonts w:ascii="宋体" w:hAnsi="宋体" w:hint="eastAsia"/>
                <w:szCs w:val="21"/>
              </w:rPr>
              <w:t>交货地点：盐城</w:t>
            </w:r>
            <w:r w:rsidR="00CD4171">
              <w:rPr>
                <w:rFonts w:ascii="宋体" w:hAnsi="宋体" w:hint="eastAsia"/>
                <w:szCs w:val="21"/>
              </w:rPr>
              <w:t>市</w:t>
            </w:r>
            <w:r>
              <w:rPr>
                <w:rFonts w:ascii="宋体" w:hAnsi="宋体" w:hint="eastAsia"/>
                <w:szCs w:val="21"/>
              </w:rPr>
              <w:t>境内</w:t>
            </w:r>
            <w:r w:rsidR="0051754F">
              <w:rPr>
                <w:rFonts w:ascii="宋体" w:hAnsi="宋体" w:hint="eastAsia"/>
                <w:szCs w:val="21"/>
              </w:rPr>
              <w:t>，采购人指定</w:t>
            </w:r>
            <w:r>
              <w:rPr>
                <w:rFonts w:ascii="宋体" w:hAnsi="宋体" w:hint="eastAsia"/>
                <w:szCs w:val="21"/>
              </w:rPr>
              <w:t>。</w:t>
            </w:r>
          </w:p>
          <w:p w:rsidR="00E67898">
            <w:pPr>
              <w:adjustRightInd w:val="0"/>
              <w:snapToGrid w:val="0"/>
              <w:jc w:val="left"/>
              <w:rPr>
                <w:rFonts w:ascii="宋体" w:hAnsi="宋体"/>
                <w:szCs w:val="21"/>
              </w:rPr>
            </w:pPr>
            <w:r>
              <w:rPr>
                <w:rFonts w:ascii="宋体" w:hAnsi="宋体" w:hint="eastAsia"/>
                <w:szCs w:val="21"/>
              </w:rPr>
              <w:t>（5）甲方应在全部货物到货安装完毕后的五个工作日内进行验收，验收包括：型号、规格、数量、外观是否完好，是否合格等。验收合格后甲方应在验收报告上签字盖章，初步验收合格且项目运行满一个月后，甲方组织对货物的质量及使用状况等进行最终验收。</w:t>
            </w:r>
          </w:p>
          <w:p w:rsidR="00E67898">
            <w:pPr>
              <w:adjustRightInd w:val="0"/>
              <w:snapToGrid w:val="0"/>
              <w:jc w:val="left"/>
              <w:rPr>
                <w:rFonts w:ascii="宋体" w:hAnsi="宋体"/>
                <w:szCs w:val="21"/>
              </w:rPr>
            </w:pPr>
            <w:r>
              <w:rPr>
                <w:rFonts w:ascii="宋体" w:hAnsi="宋体" w:hint="eastAsia"/>
                <w:szCs w:val="21"/>
              </w:rPr>
              <w:t>（6）货到现场后，甲方人员根据招标要求，对包装物进行视检和抽检，如包装物不符合招标要求，甲方有权将包装物送至市级及以上检测机构送检。因检测不合格延误了交付进度，乙方应承担相应的违约责任。</w:t>
            </w:r>
          </w:p>
        </w:tc>
      </w:tr>
      <w:bookmarkEnd w:id="89"/>
      <w:bookmarkEnd w:id="92"/>
    </w:tbl>
    <w:p w:rsidR="00E67898"/>
    <w:p w:rsidR="00A77B3E"/>
    <w:p>
      <w:pPr>
        <w:spacing w:line="360" w:lineRule="auto"/>
        <w:ind w:firstLine="3066" w:firstLineChars="1460"/>
        <w:jc w:val="left"/>
        <w:rPr>
          <w:b/>
          <w:bCs/>
          <w:szCs w:val="21"/>
          <w:highlight w:val="none"/>
        </w:rPr>
      </w:pPr>
      <w:bookmarkEnd w:id="88"/>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3C87"/>
    <w:rsid w:val="000A402C"/>
    <w:rsid w:val="000A46E6"/>
    <w:rsid w:val="000A4D7D"/>
    <w:rsid w:val="000A4DE5"/>
    <w:rsid w:val="000A5194"/>
    <w:rsid w:val="000A565D"/>
    <w:rsid w:val="000A571B"/>
    <w:rsid w:val="000A5F5C"/>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1D23"/>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1754"/>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086C"/>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2C07"/>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03F5"/>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54F"/>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8CB"/>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4CCC"/>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2D6D"/>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2EE"/>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E7A68"/>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D4"/>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2C49"/>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2AAB"/>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4171"/>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898"/>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