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综合气象观测运行信息化平台建设采购项目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ZQCD-25163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中国气象局气象探测中心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综合气象观测运行信息化平台建设采购项目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ZQCD-25163</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合同签订后12个月内完成安装调试并具备验收条件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2025年08月08日 00:00:00</w:t>
      </w:r>
      <w:bookmarkEnd w:id="27"/>
      <w:r>
        <w:rPr>
          <w:rFonts w:ascii="宋体" w:hint="eastAsia"/>
          <w:szCs w:val="21"/>
          <w:highlight w:val="none"/>
        </w:rPr>
        <w:t>至</w:t>
      </w:r>
      <w:bookmarkStart w:id="28" w:name="项目公告_signUpLastTime"/>
      <w:r>
        <w:rPr>
          <w:rFonts w:ascii="宋体" w:hint="eastAsia"/>
          <w:szCs w:val="21"/>
          <w:highlight w:val="none"/>
        </w:rPr>
        <w:t>2025年08月15日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2025年09月16日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北京市海淀区中关村南大街46号中国气象局北区7号楼2层小会议室（科技大楼前草坪西侧），届时请投标人的法定代表人或其授权的投标人授权代表准时到场参加。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陈小超</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中国气象局气象探测中心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石锐</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010-58991513</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北京市海淀区中关村南大街46号北区27号楼</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中国气象局气象探测中心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（1）标的：完善综合气象观测运行信息化平台建设    ，属于  软件和信息技术服务业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是，代理服务费：3.4万元。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336.000000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336.000000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90"/>
        <w:gridCol w:w="311"/>
        <w:gridCol w:w="676"/>
        <w:gridCol w:w="311"/>
        <w:gridCol w:w="75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价格分（客观分）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cr/>
            </w:r>
          </w:p>
          <w:p/>
        </w:tc>
      </w:tr>
      <w:tr>
        <w:tblPrEx>
          <w:tblW w:w="5000" w:type="pct"/>
          <w:tblCellMar>
            <w:left w:w="108" w:type="dxa"/>
            <w:right w:w="108" w:type="dxa"/>
          </w:tblCellMar>
        </w:tblPrEx>
        <w:tc>
          <w:tcPr/>
          <w:p>
            <w:r>
              <w:t>2</w:t>
            </w:r>
          </w:p>
        </w:tc>
        <w:tc>
          <w:tcPr>
            <w:vMerge w:val="restart"/>
          </w:tcPr>
          <w:p>
            <w:r>
              <w:t>商务部分</w:t>
            </w:r>
          </w:p>
        </w:tc>
        <w:tc>
          <w:tcPr/>
          <w:p>
            <w:r>
              <w:t>投标人非强制资质要求</w:t>
            </w:r>
          </w:p>
        </w:tc>
        <w:tc>
          <w:tcPr/>
          <w:p>
            <w:r>
              <w:t>勾选打分</w:t>
            </w:r>
            <w:r>
              <w:t>(8)</w:t>
            </w:r>
          </w:p>
        </w:tc>
        <w:tc>
          <w:tcPr/>
          <w:p>
            <w:r>
              <w:t>评审标准：</w:t>
            </w:r>
          </w:p>
          <w:p>
            <w:r>
              <w:t>提供ISO9001质量管理体系认证或同等质量管理体系认证证书；</w:t>
              <w:cr/>
              <w:t>提供ISO27001信息安全管理体系认证证书或同等信息安全管理体系认证证书；</w:t>
              <w:cr/>
              <w:t>提供ISO20000信息技术服务管理体系认证证书或同等信息技术服务管理体系认证证书；</w:t>
              <w:cr/>
              <w:t>提供ISO45001职业健康安全管理体系或同等职业健康安全管理体系认证证书；</w:t>
              <w:cr/>
              <w:t>每提供一份证书得2分，最多得8分；不提供得0分。</w:t>
              <w:cr/>
              <w:cr/>
              <w:cr/>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cr/>
            </w:r>
          </w:p>
          <w:p/>
        </w:tc>
      </w:tr>
      <w:tr>
        <w:tblPrEx>
          <w:tblW w:w="5000" w:type="pct"/>
          <w:tblCellMar>
            <w:left w:w="108" w:type="dxa"/>
            <w:right w:w="108" w:type="dxa"/>
          </w:tblCellMar>
        </w:tblPrEx>
        <w:tc>
          <w:tcPr/>
          <w:p>
            <w:r>
              <w:t>4</w:t>
            </w:r>
          </w:p>
        </w:tc>
        <w:tc>
          <w:tcPr>
            <w:vMerge/>
          </w:tcPr>
          <w:p>
            <w:r>
              <w:t>商务部分</w:t>
            </w:r>
          </w:p>
        </w:tc>
        <w:tc>
          <w:tcPr/>
          <w:p>
            <w:r>
              <w:t>用户满意度证明</w:t>
            </w:r>
          </w:p>
        </w:tc>
        <w:tc>
          <w:tcPr/>
          <w:p>
            <w:r>
              <w:t>勾选打分</w:t>
            </w:r>
            <w:r>
              <w:t>(8)</w:t>
            </w:r>
          </w:p>
        </w:tc>
        <w:tc>
          <w:tcPr/>
          <w:p>
            <w:r>
              <w:t>评审标准：</w:t>
            </w:r>
          </w:p>
          <w:p>
            <w:r>
              <w:t>每提供 1份用户满意度证明得2分，最多得8分。</w:t>
              <w:cr/>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w:t>
            </w:r>
          </w:p>
        </w:tc>
        <w:tc>
          <w:tcPr/>
          <w:p>
            <w:r>
              <w:t>勾选打分</w:t>
            </w:r>
            <w:r>
              <w:t>(8)</w:t>
            </w:r>
          </w:p>
        </w:tc>
        <w:tc>
          <w:tcPr/>
          <w:p>
            <w:r>
              <w:t>评审标准：</w:t>
            </w:r>
          </w:p>
          <w:p>
            <w:r>
              <w:t>每提供1份软件著作权证书得2分，最多得 8分。</w:t>
              <w:cr/>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技术团队实力</w:t>
            </w:r>
          </w:p>
        </w:tc>
        <w:tc>
          <w:tcPr/>
          <w:p>
            <w:r>
              <w:t>勾选打分</w:t>
            </w:r>
            <w:r>
              <w:t>(16)</w:t>
            </w:r>
          </w:p>
        </w:tc>
        <w:tc>
          <w:tcPr/>
          <w:p>
            <w:r>
              <w:t>评审标准：</w:t>
            </w:r>
          </w:p>
          <w:p>
            <w:r>
              <w:t xml:space="preserve">1、团队人数至少8人，其中驻场人员至少5人，驻场人员中至少3人具有至少1年以上软件开发的经验。完全满足得4分，否则不得分； </w:t>
              <w:cr/>
              <w:t>2、项目团队中，项目经理至少具有5年以上相关软件开发经验或技术负责的工作经历，得4分，否则不得分；</w:t>
              <w:cr/>
              <w:t xml:space="preserve"> 3、项目团队中，有1人及以上具有高级工程师或高级信息系统项目管理师技术资格，提供相应的证书复印件。满足得4分，否则不得分； </w:t>
              <w:cr/>
              <w:t>4、软件开发过程中，项目团队成员（不含项目经理）至少有2名及以上应具有气象类或电子类或计算机类相关专业知识背景，得4分，否则不得分。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w:t>
            </w:r>
          </w:p>
        </w:tc>
        <w:tc>
          <w:tcPr/>
          <w:p>
            <w:r>
              <w:t>勾选打分</w:t>
            </w:r>
            <w:r>
              <w:t>(6)</w:t>
            </w:r>
          </w:p>
        </w:tc>
        <w:tc>
          <w:tcPr/>
          <w:p>
            <w:r>
              <w:t>评审标准：</w:t>
            </w:r>
          </w:p>
          <w:p>
            <w:r>
              <w:t>提供书面承诺得6分。</w:t>
              <w:cr/>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w:t>
            </w:r>
          </w:p>
        </w:tc>
        <w:tc>
          <w:tcPr/>
          <w:p>
            <w:r>
              <w:t>勾选打分</w:t>
            </w:r>
            <w:r>
              <w:t>(1)</w:t>
            </w:r>
          </w:p>
        </w:tc>
        <w:tc>
          <w:tcPr/>
          <w:p>
            <w:r>
              <w:t>评审标准：</w:t>
            </w:r>
          </w:p>
          <w:p>
            <w:r>
              <w:t>一档（0分）</w:t>
              <w:cr/>
              <w:t>二档（0.5分）</w:t>
              <w:cr/>
              <w:t>三档（1分）</w:t>
            </w:r>
          </w:p>
          <w:p>
            <w:r>
              <w:t>评审标准说明：</w:t>
            </w:r>
          </w:p>
          <w:p>
            <w:r>
              <w:t>投标人应提供该项评审标准中要求的培训课时承诺，以及培训方案。承诺的培训课时达不到要求，或者培训课时与培训方案中课表的课时不符，视同未承诺。具体标准评分如下：</w:t>
              <w:cr/>
              <w:t>一档：未同时提供承诺和培训方案；</w:t>
              <w:cr/>
              <w:t>二档：同时提供承诺和培训方案，培训方案完整，但课程设计重点不突出或针对性不强，基本满足采购文件需求；</w:t>
              <w:cr/>
              <w:t>三档：同时提供承诺和培训方案，培训方案完整，课程设计重点突出、针对性强，完全满足采购文件需求。</w:t>
              <w:cr/>
            </w:r>
          </w:p>
          <w:p/>
        </w:tc>
      </w:tr>
      <w:tr>
        <w:tblPrEx>
          <w:tblW w:w="5000" w:type="pct"/>
          <w:tblCellMar>
            <w:left w:w="108" w:type="dxa"/>
            <w:right w:w="108" w:type="dxa"/>
          </w:tblCellMar>
        </w:tblPrEx>
        <w:tc>
          <w:tcPr/>
          <w:p>
            <w:r>
              <w:t>9</w:t>
            </w:r>
          </w:p>
        </w:tc>
        <w:tc>
          <w:tcPr>
            <w:vMerge/>
          </w:tcPr>
          <w:p>
            <w:r>
              <w:t>服务部分</w:t>
            </w:r>
          </w:p>
        </w:tc>
        <w:tc>
          <w:tcPr/>
          <w:p>
            <w:r>
              <w:t>售后服务方案</w:t>
            </w:r>
          </w:p>
        </w:tc>
        <w:tc>
          <w:tcPr/>
          <w:p>
            <w:r>
              <w:t>勾选打分</w:t>
            </w:r>
            <w:r>
              <w:t>(1)</w:t>
            </w:r>
          </w:p>
        </w:tc>
        <w:tc>
          <w:tcPr/>
          <w:p>
            <w:r>
              <w:t>评审标准：</w:t>
            </w:r>
          </w:p>
          <w:p>
            <w:r>
              <w:t>一档（0分）</w:t>
              <w:cr/>
              <w:t xml:space="preserve"> 二档（0.5分）</w:t>
              <w:cr/>
              <w:t>三档（1分）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二档：售后服务方案完整，但针对性一般，没有建立合理的技术支持机构或技术支持小组，技术支持内容不明确；或者未提供质保期内的7×24小时电话技术支持和保修的承诺。</w:t>
              <w:cr/>
              <w:t>三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r>
        <w:tblPrEx>
          <w:tblW w:w="5000" w:type="pct"/>
          <w:tblCellMar>
            <w:left w:w="108" w:type="dxa"/>
            <w:right w:w="108" w:type="dxa"/>
          </w:tblCellMar>
        </w:tblPrEx>
        <w:tc>
          <w:tcPr/>
          <w:p>
            <w:r>
              <w:t>10</w:t>
            </w:r>
          </w:p>
        </w:tc>
        <w:tc>
          <w:tcPr>
            <w:vMerge/>
          </w:tcPr>
          <w:p>
            <w:r>
              <w:t>服务部分</w:t>
            </w:r>
          </w:p>
        </w:tc>
        <w:tc>
          <w:tcPr/>
          <w:p>
            <w:r>
              <w:t>质量保障与实施方案</w:t>
            </w:r>
          </w:p>
        </w:tc>
        <w:tc>
          <w:tcPr/>
          <w:p>
            <w:r>
              <w:t>勾选打分</w:t>
            </w:r>
            <w:r>
              <w:t>(1)</w:t>
            </w:r>
          </w:p>
        </w:tc>
        <w:tc>
          <w:tcPr/>
          <w:p>
            <w:r>
              <w:t>评审标准：</w:t>
            </w:r>
          </w:p>
          <w:p>
            <w:r>
              <w:cr/>
              <w:t>一档（0分）</w:t>
              <w:cr/>
              <w:t>二档（0.5分）</w:t>
              <w:cr/>
              <w:t>三档（1分）</w:t>
              <w:cr/>
            </w:r>
          </w:p>
          <w:p>
            <w:r>
              <w:t>评审标准说明：</w:t>
            </w:r>
          </w:p>
          <w:p>
            <w:r>
              <w:t>提供质量保障与实施方案，提出合理的项目全过程质量保证措施，过程检查有明确依据，质量保证工作量化。</w:t>
              <w:cr/>
              <w:t>一档：未提供质量保障与实施方案。</w:t>
              <w:cr/>
              <w:t>二档：方案内容较完整、详细，进度控制保证措施有一定的针对性、可行性。</w:t>
              <w:cr/>
              <w:t>三档：方案内容完整、详细，项目组织机构清晰，进度控制保证措施有力，针对性强，切实可行。</w:t>
              <w:cr/>
            </w:r>
          </w:p>
          <w:p/>
        </w:tc>
      </w:tr>
      <w:tr>
        <w:tblPrEx>
          <w:tblW w:w="5000" w:type="pct"/>
          <w:tblCellMar>
            <w:left w:w="108" w:type="dxa"/>
            <w:right w:w="108" w:type="dxa"/>
          </w:tblCellMar>
        </w:tblPrEx>
        <w:tc>
          <w:tcPr/>
          <w:p>
            <w:r>
              <w:t>11</w:t>
            </w:r>
          </w:p>
        </w:tc>
        <w:tc>
          <w:tcPr>
            <w:vMerge/>
          </w:tcPr>
          <w:p>
            <w:r>
              <w:t>服务部分</w:t>
            </w:r>
          </w:p>
        </w:tc>
        <w:tc>
          <w:tcPr/>
          <w:p>
            <w:r>
              <w:t>软件开发计划</w:t>
            </w:r>
          </w:p>
        </w:tc>
        <w:tc>
          <w:tcPr/>
          <w:p>
            <w:r>
              <w:t>勾选打分</w:t>
            </w:r>
            <w:r>
              <w:t>(1)</w:t>
            </w:r>
          </w:p>
        </w:tc>
        <w:tc>
          <w:tcPr/>
          <w:p>
            <w:r>
              <w:t>评审标准：</w:t>
            </w:r>
          </w:p>
          <w:p>
            <w:r>
              <w:t>一档（0分）</w:t>
              <w:cr/>
              <w:t>二档（0.5分）</w:t>
              <w:cr/>
              <w:t>三档（1分）</w:t>
              <w:cr/>
            </w:r>
          </w:p>
          <w:p>
            <w:r>
              <w:t>评审标准说明：</w:t>
            </w:r>
          </w:p>
          <w:p>
            <w:r>
              <w:t>提供软件开发计划。具体评分标准如下：</w:t>
              <w:cr/>
              <w:t>一档：未提供软件开发计划。</w:t>
              <w:cr/>
              <w:t>二档：软件开发计划较完整，有一定针对性，软件开发工作分解与人员安排合理，里程碑设计一般；</w:t>
              <w:cr/>
              <w:t>三档：软件开发计划完整可行，针对性强，软件开发工作分解与人员安排合理，里程碑设计合理。</w:t>
              <w:cr/>
              <w:cr/>
            </w:r>
          </w:p>
          <w:p/>
        </w:tc>
      </w:tr>
      <w:tr>
        <w:tblPrEx>
          <w:tblW w:w="5000" w:type="pct"/>
          <w:tblCellMar>
            <w:left w:w="108" w:type="dxa"/>
            <w:right w:w="108" w:type="dxa"/>
          </w:tblCellMar>
        </w:tblPrEx>
        <w:tc>
          <w:tcPr/>
          <w:p>
            <w:r>
              <w:t>12</w:t>
            </w:r>
          </w:p>
        </w:tc>
        <w:tc>
          <w:tcPr>
            <w:vMerge w:val="restart"/>
          </w:tcPr>
          <w:p>
            <w:r>
              <w:t>技术部分</w:t>
            </w:r>
          </w:p>
        </w:tc>
        <w:tc>
          <w:tcPr/>
          <w:p>
            <w:r>
              <w:t>软件功能开发需求分析</w:t>
            </w:r>
          </w:p>
        </w:tc>
        <w:tc>
          <w:tcPr/>
          <w:p>
            <w:r>
              <w:t>勾选打分</w:t>
            </w:r>
            <w:r>
              <w:t>(3)</w:t>
            </w:r>
          </w:p>
        </w:tc>
        <w:tc>
          <w:tcPr/>
          <w:p>
            <w:r>
              <w:t>评审标准：</w:t>
            </w:r>
          </w:p>
          <w:p>
            <w:r>
              <w:cr/>
              <w:t>一档0分</w:t>
              <w:cr/>
              <w:t>二档1分</w:t>
              <w:cr/>
              <w:t>三档2分</w:t>
              <w:cr/>
              <w:t>四档3分</w:t>
              <w:cr/>
              <w:cr/>
              <w:cr/>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cr/>
            </w:r>
          </w:p>
          <w:p/>
        </w:tc>
      </w:tr>
      <w:tr>
        <w:tblPrEx>
          <w:tblW w:w="5000" w:type="pct"/>
          <w:tblCellMar>
            <w:left w:w="108" w:type="dxa"/>
            <w:right w:w="108" w:type="dxa"/>
          </w:tblCellMar>
        </w:tblPrEx>
        <w:tc>
          <w:tcPr/>
          <w:p>
            <w:r>
              <w:t>13</w:t>
            </w:r>
          </w:p>
        </w:tc>
        <w:tc>
          <w:tcPr>
            <w:vMerge/>
          </w:tcPr>
          <w:p>
            <w:r>
              <w:t>技术部分</w:t>
            </w:r>
          </w:p>
        </w:tc>
        <w:tc>
          <w:tcPr/>
          <w:p>
            <w:r>
              <w:t>软件非功能需求分析</w:t>
            </w:r>
          </w:p>
        </w:tc>
        <w:tc>
          <w:tcPr/>
          <w:p>
            <w:r>
              <w:t>勾选打分</w:t>
            </w:r>
            <w:r>
              <w:t>(3)</w:t>
            </w:r>
          </w:p>
        </w:tc>
        <w:tc>
          <w:tcPr/>
          <w:p>
            <w:r>
              <w:t>评审标准：</w:t>
            </w:r>
          </w:p>
          <w:p>
            <w:r>
              <w:t>一档0分</w:t>
              <w:cr/>
              <w:t>二档1分</w:t>
              <w:cr/>
              <w:t>三档2分</w:t>
              <w:cr/>
              <w:t>四档3分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cr/>
            </w:r>
          </w:p>
          <w:p/>
        </w:tc>
      </w:tr>
      <w:tr>
        <w:tblPrEx>
          <w:tblW w:w="5000" w:type="pct"/>
          <w:tblCellMar>
            <w:left w:w="108" w:type="dxa"/>
            <w:right w:w="108" w:type="dxa"/>
          </w:tblCellMar>
        </w:tblPrEx>
        <w:tc>
          <w:tcPr/>
          <w:p>
            <w:r>
              <w:t>14</w:t>
            </w:r>
          </w:p>
        </w:tc>
        <w:tc>
          <w:tcPr>
            <w:vMerge/>
          </w:tcPr>
          <w:p>
            <w:r>
              <w:t>技术部分</w:t>
            </w:r>
          </w:p>
        </w:tc>
        <w:tc>
          <w:tcPr/>
          <w:p>
            <w:r>
              <w:t>软件数据需求分析</w:t>
            </w:r>
          </w:p>
        </w:tc>
        <w:tc>
          <w:tcPr/>
          <w:p>
            <w:r>
              <w:t>勾选打分</w:t>
            </w:r>
            <w:r>
              <w:t>(3)</w:t>
            </w:r>
          </w:p>
        </w:tc>
        <w:tc>
          <w:tcPr/>
          <w:p>
            <w:r>
              <w:t>评审标准：</w:t>
            </w:r>
          </w:p>
          <w:p>
            <w:r>
              <w:t>一档0分</w:t>
              <w:cr/>
              <w:t>二档1分</w:t>
              <w:cr/>
              <w:t>三档2分</w:t>
              <w:cr/>
              <w:t>四档3分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cr/>
            </w:r>
          </w:p>
          <w:p/>
        </w:tc>
      </w:tr>
      <w:tr>
        <w:tblPrEx>
          <w:tblW w:w="5000" w:type="pct"/>
          <w:tblCellMar>
            <w:left w:w="108" w:type="dxa"/>
            <w:right w:w="108" w:type="dxa"/>
          </w:tblCellMar>
        </w:tblPrEx>
        <w:tc>
          <w:tcPr/>
          <w:p>
            <w:r>
              <w:t>15</w:t>
            </w:r>
          </w:p>
        </w:tc>
        <w:tc>
          <w:tcPr>
            <w:vMerge/>
          </w:tcPr>
          <w:p>
            <w:r>
              <w:t>技术部分</w:t>
            </w:r>
          </w:p>
        </w:tc>
        <w:tc>
          <w:tcPr/>
          <w:p>
            <w:r>
              <w:t>软件关键技术识别</w:t>
            </w:r>
          </w:p>
        </w:tc>
        <w:tc>
          <w:tcPr/>
          <w:p>
            <w:r>
              <w:t>勾选打分</w:t>
            </w:r>
            <w:r>
              <w:t>(3)</w:t>
            </w:r>
          </w:p>
        </w:tc>
        <w:tc>
          <w:tcPr/>
          <w:p>
            <w:r>
              <w:t>评审标准：</w:t>
            </w:r>
          </w:p>
          <w:p>
            <w:r>
              <w:t>一档0分</w:t>
              <w:cr/>
              <w:t>二档1分</w:t>
              <w:cr/>
              <w:t>三档2分</w:t>
              <w:cr/>
              <w:t>四档3分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cr/>
            </w:r>
          </w:p>
          <w:p/>
        </w:tc>
      </w:tr>
      <w:tr>
        <w:tblPrEx>
          <w:tblW w:w="5000" w:type="pct"/>
          <w:tblCellMar>
            <w:left w:w="108" w:type="dxa"/>
            <w:right w:w="108" w:type="dxa"/>
          </w:tblCellMar>
        </w:tblPrEx>
        <w:tc>
          <w:tcPr/>
          <w:p>
            <w:r>
              <w:t>16</w:t>
            </w:r>
          </w:p>
        </w:tc>
        <w:tc>
          <w:tcPr>
            <w:vMerge/>
          </w:tcPr>
          <w:p>
            <w:r>
              <w:t>技术部分</w:t>
            </w:r>
          </w:p>
        </w:tc>
        <w:tc>
          <w:tcPr/>
          <w:p>
            <w:r>
              <w:t>系统整体架构技术方案</w:t>
            </w:r>
          </w:p>
        </w:tc>
        <w:tc>
          <w:tcPr/>
          <w:p>
            <w:r>
              <w:t>勾选打分</w:t>
            </w:r>
            <w:r>
              <w:t>(2)</w:t>
            </w:r>
          </w:p>
        </w:tc>
        <w:tc>
          <w:tcPr/>
          <w:p>
            <w:r>
              <w:t>评审标准：</w:t>
            </w:r>
          </w:p>
          <w:p>
            <w:r>
              <w:t>一档（0分）</w:t>
              <w:cr/>
              <w:t>二档（1分）</w:t>
              <w:cr/>
              <w:t>三档（2分）</w:t>
              <w:cr/>
            </w:r>
          </w:p>
          <w:p>
            <w:r>
              <w:t>评审标准说明：</w:t>
            </w:r>
          </w:p>
          <w:p>
            <w:r>
              <w:t>根据提交的系统整体架构设计技术方案评分：</w:t>
              <w:cr/>
              <w:t>一档：未提供；</w:t>
              <w:cr/>
              <w:t>二档：系统整体架构设计基本合理可行，有一定针对性，功能完整；</w:t>
              <w:cr/>
              <w:t>三档：系统整体架构设计合理可行，技术先进，功能完整，针对性强。</w:t>
              <w:cr/>
              <w:cr/>
            </w:r>
          </w:p>
          <w:p/>
        </w:tc>
      </w:tr>
      <w:tr>
        <w:tblPrEx>
          <w:tblW w:w="5000" w:type="pct"/>
          <w:tblCellMar>
            <w:left w:w="108" w:type="dxa"/>
            <w:right w:w="108" w:type="dxa"/>
          </w:tblCellMar>
        </w:tblPrEx>
        <w:tc>
          <w:tcPr/>
          <w:p>
            <w:r>
              <w:t>17</w:t>
            </w:r>
          </w:p>
        </w:tc>
        <w:tc>
          <w:tcPr>
            <w:vMerge/>
          </w:tcPr>
          <w:p>
            <w:r>
              <w:t>技术部分</w:t>
            </w:r>
          </w:p>
        </w:tc>
        <w:tc>
          <w:tcPr/>
          <w:p>
            <w:r>
              <w:t>系统接口设计技术方案</w:t>
            </w:r>
          </w:p>
        </w:tc>
        <w:tc>
          <w:tcPr/>
          <w:p>
            <w:r>
              <w:t>勾选打分</w:t>
            </w:r>
            <w:r>
              <w:t>(2)</w:t>
            </w:r>
          </w:p>
        </w:tc>
        <w:tc>
          <w:tcPr/>
          <w:p>
            <w:r>
              <w:t>评审标准：</w:t>
            </w:r>
          </w:p>
          <w:p>
            <w:r>
              <w:t>一档（0分）</w:t>
              <w:cr/>
              <w:t>二档（1分）</w:t>
              <w:cr/>
              <w:t>三档（2分）</w:t>
              <w:cr/>
            </w:r>
          </w:p>
          <w:p>
            <w:r>
              <w:t>评审标准说明：</w:t>
            </w:r>
          </w:p>
          <w:p>
            <w:r>
              <w:t>根据提交的系统接口设计技术方案评分：</w:t>
              <w:cr/>
              <w:t>一档：未提供。</w:t>
              <w:cr/>
              <w:t>二档：系统接口设计基本合理可行，有一定针对性，功能完整；</w:t>
              <w:cr/>
              <w:t>三档：系统接口设计合理可行，技术先进，功能完整，针对性强。</w:t>
              <w:cr/>
              <w:cr/>
            </w:r>
          </w:p>
          <w:p/>
        </w:tc>
      </w:tr>
      <w:tr>
        <w:tblPrEx>
          <w:tblW w:w="5000" w:type="pct"/>
          <w:tblCellMar>
            <w:left w:w="108" w:type="dxa"/>
            <w:right w:w="108" w:type="dxa"/>
          </w:tblCellMar>
        </w:tblPrEx>
        <w:tc>
          <w:tcPr/>
          <w:p>
            <w:r>
              <w:t>18</w:t>
            </w:r>
          </w:p>
        </w:tc>
        <w:tc>
          <w:tcPr>
            <w:vMerge/>
          </w:tcPr>
          <w:p>
            <w:r>
              <w:t>技术部分</w:t>
            </w:r>
          </w:p>
        </w:tc>
        <w:tc>
          <w:tcPr/>
          <w:p>
            <w:r>
              <w:t>模块设计技术方案</w:t>
            </w:r>
          </w:p>
        </w:tc>
        <w:tc>
          <w:tcPr/>
          <w:p>
            <w:r>
              <w:t>区间打分</w:t>
            </w:r>
            <w:r>
              <w:t>(15)</w:t>
            </w:r>
          </w:p>
        </w:tc>
        <w:tc>
          <w:tcPr/>
          <w:p>
            <w:r>
              <w:t>评审标准：</w:t>
            </w:r>
          </w:p>
          <w:p>
            <w:r>
              <w:t>1、提供合理可行的系统整体架构设计，充分体现基于并结合气象大数据云平台架构形成本系统的端级架构，描述云平台提供的能力与本系统架构需独自建设的能力清单，提供清晰的建设架构图等内容。</w:t>
              <w:cr/>
              <w:t xml:space="preserve"> 2、提供合理可行的流程接口设计，充分体现基于质控业务体系的质控标识码全覆盖系统、融合元数据信息的综合质控系统、完善数据质量精细化监视与异常反馈系统、元数据融合分析评估方法建设系统、省级本地化数据质量控制系统等功能需求的实现并做出明确设计说明。 </w:t>
              <w:cr/>
              <w:t xml:space="preserve">3、提供合理完善标准的质量体系设计，实现基于质控业务体系的质控标识码全覆盖系统等5个系统等功能设计说明。 </w:t>
              <w:cr/>
              <w:t>4、提供基于质控业务体系的质控标识码全覆盖系统建设，包括垂直观测质控标识码全覆盖子系统、天气雷达质控标识码全覆盖子系统共2个子系统功能模块的功能需求的实现做出明确设计说明。</w:t>
              <w:cr/>
              <w:t xml:space="preserve"> 5、提供融合元数据信息的综合质控系统建设，包括地面综合质控子系统、综合质控分类分级子系统共2个子系统功能模块的功能需求的实现做出明确设计说明。 </w:t>
              <w:cr/>
              <w:t>6、提供完善数据质量精细化监视与异常反馈系统，包括完善数据质量精细化监视子系统、完善异常反馈子系统共2个子系统功能模块的功能需求的实现做出明确设计说明。</w:t>
              <w:cr/>
              <w:t xml:space="preserve"> 7、提供元数据融合分析评估方法建设系统建设，包括训练数据筛选模块、训练数据标记模块等5个功能模块的功能需求的实现做出明确设计说明。</w:t>
              <w:cr/>
              <w:t xml:space="preserve"> 8、提供省级本地化数据质量控制系统建设，包括省级质量控制子系统、台站上传更正报自动采纳子系统等4个子系统功能模块的实现做出明确设计说明。 </w:t>
              <w:cr/>
              <w:t xml:space="preserve">9、借助于建设成熟的天衡天衍、天元系统已有的功能、业务、数据、技术架构与流程管理，技术架构与开发语言需符合已经开发完成的天擎、天衡天衍及天元系统标准，能够实现无缝衔接与数据互通。明确提出合理、可行的解决方案。 </w:t>
              <w:cr/>
              <w:t xml:space="preserve">10、系统能够适应新数据业务的接入需求，在不需要改造原软件系统能实现新功能模块的接入。满足不断增长的数据管理需求、功能类型需求等。系统具备良好的开放性，在标准接口和组件的支撑下能支持第三方用户的快速开发接入。明确提出合理、可行的解决方案。 </w:t>
              <w:cr/>
              <w:t>以上10个模块，满分15分。</w:t>
              <w:cr/>
              <w:t>一档（0分）</w:t>
              <w:cr/>
              <w:t>二档（1分）</w:t>
              <w:cr/>
              <w:t>三档（1.5分）</w:t>
              <w:cr/>
              <w:cr/>
              <w:cr/>
              <w:cr/>
              <w:cr/>
              <w:cr/>
            </w:r>
          </w:p>
          <w:p>
            <w:r>
              <w:t>评审标准说明：</w:t>
            </w:r>
          </w:p>
          <w:p>
            <w:r>
              <w:t>按模块提出技术方案，每个模块评分标准如下：</w:t>
              <w:cr/>
              <w:t>一档：未提供</w:t>
              <w:cr/>
              <w:t>二档：技术方案内容较完整，基本覆盖项目的功能和非功能需求，描述基本清楚；技术思路较合理、关建技术的分析较清晰，解决措施有一定可行性针对性，基本满足采购需求。</w:t>
              <w:cr/>
              <w:t>三档：技术方案内容完整、详实，覆盖项目的功能和非功能需求，描述清楚，逻辑性强，图文规范；技术先进，针对关建技术的分析详细，解决措施切实可行，针对性强，完全满足采购需求。</w:t>
              <w:cr/>
            </w:r>
          </w:p>
          <w:p/>
        </w:tc>
      </w:tr>
      <w:tr>
        <w:tblPrEx>
          <w:tblW w:w="5000" w:type="pct"/>
          <w:tblCellMar>
            <w:left w:w="108" w:type="dxa"/>
            <w:right w:w="108" w:type="dxa"/>
          </w:tblCellMar>
        </w:tblPrEx>
        <w:tc>
          <w:tcPr/>
          <w:p>
            <w:r>
              <w:t>19</w:t>
            </w:r>
          </w:p>
        </w:tc>
        <w:tc>
          <w:tcPr>
            <w:vMerge/>
          </w:tcPr>
          <w:p>
            <w:r>
              <w:t>技术部分</w:t>
            </w:r>
          </w:p>
        </w:tc>
        <w:tc>
          <w:tcPr/>
          <w:p>
            <w:r>
              <w:t>风险管理方案</w:t>
            </w:r>
          </w:p>
        </w:tc>
        <w:tc>
          <w:tcPr/>
          <w:p>
            <w:r>
              <w:t>勾选打分</w:t>
            </w:r>
            <w:r>
              <w:t>(1)</w:t>
            </w:r>
          </w:p>
        </w:tc>
        <w:tc>
          <w:tcPr/>
          <w:p>
            <w:r>
              <w:t>评审标准：</w:t>
            </w:r>
          </w:p>
          <w:p>
            <w:r>
              <w:cr/>
              <w:t>一档（0分）</w:t>
              <w:cr/>
              <w:t>二档（0.5分）</w:t>
              <w:cr/>
              <w:t>三档（1分）</w:t>
              <w:cr/>
            </w:r>
          </w:p>
          <w:p>
            <w:r>
              <w:t>评审标准说明：</w:t>
            </w:r>
          </w:p>
          <w:p>
            <w:r>
              <w:t>针对项目实施过程中，因国家政策、实施环境、重大技术等发生变化可能带来的项目实施风险，拟定风险管控方案。</w:t>
              <w:cr/>
              <w:t>一档：未提供方案。</w:t>
              <w:cr/>
              <w:t>二档：方案内容不全，详细程度一般，措施针对性可行性一般。</w:t>
              <w:cr/>
              <w:t>三档：方案内容全面、详细合理、措施针对性强，切实可行。</w:t>
              <w:cr/>
              <w:cr/>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rsidR="009A2E51">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rsidR="00427656" w:rsidP="00427656">
      <w:pPr>
        <w:spacing w:line="360" w:lineRule="auto"/>
        <w:ind w:firstLine="420" w:firstLineChars="200"/>
        <w:outlineLvl w:val="2"/>
      </w:pPr>
      <w:r>
        <w:rPr>
          <w:rFonts w:ascii="宋体" w:hAnsi="宋体" w:cs="宋体" w:hint="eastAsia"/>
          <w:b/>
          <w:bCs/>
          <w:color w:val="000000"/>
          <w:szCs w:val="21"/>
          <w:lang w:bidi="ar"/>
        </w:rPr>
        <w:t>一、招标内容</w:t>
      </w:r>
    </w:p>
    <w:p w:rsidR="00427656" w:rsidP="00427656">
      <w:pPr>
        <w:adjustRightInd w:val="0"/>
        <w:snapToGrid w:val="0"/>
        <w:spacing w:line="360" w:lineRule="auto"/>
        <w:ind w:firstLine="420" w:firstLineChars="200"/>
        <w:rPr>
          <w:rFonts w:cs="宋体"/>
          <w:lang w:bidi="ar"/>
        </w:rPr>
      </w:pPr>
      <w:r>
        <w:rPr>
          <w:rFonts w:cs="宋体" w:hint="eastAsia"/>
          <w:lang w:bidi="ar"/>
        </w:rPr>
        <w:t>依托气象大数据云平台，实现基于质</w:t>
      </w:r>
      <w:r>
        <w:rPr>
          <w:rFonts w:cs="宋体" w:hint="eastAsia"/>
          <w:lang w:bidi="ar"/>
        </w:rPr>
        <w:t>控业务</w:t>
      </w:r>
      <w:r>
        <w:rPr>
          <w:rFonts w:cs="宋体" w:hint="eastAsia"/>
          <w:lang w:bidi="ar"/>
        </w:rPr>
        <w:t>体系的垂直观测、天气雷达等观测质</w:t>
      </w:r>
      <w:r>
        <w:rPr>
          <w:rFonts w:cs="宋体" w:hint="eastAsia"/>
          <w:lang w:bidi="ar"/>
        </w:rPr>
        <w:t>控码全</w:t>
      </w:r>
      <w:r>
        <w:rPr>
          <w:rFonts w:cs="宋体" w:hint="eastAsia"/>
          <w:lang w:bidi="ar"/>
        </w:rPr>
        <w:t>覆盖功能建设；建立探测环境、分类标签、维护维修和计量等元数据融合分析评估方法，建设探测环境图片评估数据集</w:t>
      </w:r>
      <w:r>
        <w:rPr>
          <w:rFonts w:cs="宋体" w:hint="eastAsia"/>
          <w:lang w:bidi="ar"/>
        </w:rPr>
        <w:t>1</w:t>
      </w:r>
      <w:r>
        <w:rPr>
          <w:rFonts w:cs="宋体" w:hint="eastAsia"/>
          <w:lang w:bidi="ar"/>
        </w:rPr>
        <w:t>套，完成数据集训练，建设探测环境图片智能甄别算法；持续省级质控系统本地化建设，实现地面、土壤水分、探空等观测资料的实时质控、迭代质控、</w:t>
      </w:r>
      <w:r>
        <w:rPr>
          <w:rFonts w:cs="宋体" w:hint="eastAsia"/>
          <w:lang w:bidi="ar"/>
        </w:rPr>
        <w:t>疑</w:t>
      </w:r>
      <w:r>
        <w:rPr>
          <w:rFonts w:cs="宋体" w:hint="eastAsia"/>
          <w:lang w:bidi="ar"/>
        </w:rPr>
        <w:t>误数据处理和异常反馈等业务功能集成。主要包括基于质</w:t>
      </w:r>
      <w:r>
        <w:rPr>
          <w:rFonts w:cs="宋体" w:hint="eastAsia"/>
          <w:lang w:bidi="ar"/>
        </w:rPr>
        <w:t>控业务</w:t>
      </w:r>
      <w:r>
        <w:rPr>
          <w:rFonts w:cs="宋体" w:hint="eastAsia"/>
          <w:lang w:bidi="ar"/>
        </w:rPr>
        <w:t>体系的质控</w:t>
      </w:r>
      <w:r>
        <w:rPr>
          <w:rFonts w:cs="宋体" w:hint="eastAsia"/>
          <w:lang w:bidi="ar"/>
        </w:rPr>
        <w:t>标识码全覆盖</w:t>
      </w:r>
      <w:r>
        <w:rPr>
          <w:rFonts w:cs="宋体" w:hint="eastAsia"/>
          <w:lang w:bidi="ar"/>
        </w:rPr>
        <w:t>系统、融合元数据信息的综合质控系统、完善数据质量精细化监视与异常反馈系统、元数据融合分析评估方法建设系统、省级本地化数据质量控制系统等</w:t>
      </w:r>
      <w:r>
        <w:rPr>
          <w:rFonts w:cs="宋体" w:hint="eastAsia"/>
          <w:lang w:bidi="ar"/>
        </w:rPr>
        <w:t>5</w:t>
      </w:r>
      <w:r>
        <w:rPr>
          <w:rFonts w:cs="宋体" w:hint="eastAsia"/>
          <w:lang w:bidi="ar"/>
        </w:rPr>
        <w:t>个系统</w:t>
      </w:r>
      <w:r>
        <w:rPr>
          <w:rFonts w:cs="宋体" w:hint="eastAsia"/>
          <w:lang w:bidi="ar"/>
        </w:rPr>
        <w:t>45</w:t>
      </w:r>
      <w:r>
        <w:rPr>
          <w:rFonts w:cs="宋体" w:hint="eastAsia"/>
          <w:lang w:bidi="ar"/>
        </w:rPr>
        <w:t>个功能模块。</w:t>
      </w:r>
    </w:p>
    <w:p w:rsidR="00427656" w:rsidP="00427656">
      <w:pPr>
        <w:spacing w:line="360" w:lineRule="auto"/>
        <w:ind w:firstLine="420" w:firstLineChars="200"/>
        <w:outlineLvl w:val="2"/>
        <w:rPr>
          <w:rFonts w:ascii="宋体" w:hAnsi="宋体" w:cs="宋体"/>
          <w:b/>
          <w:bCs/>
          <w:color w:val="000000"/>
          <w:szCs w:val="21"/>
        </w:rPr>
      </w:pPr>
      <w:r>
        <w:rPr>
          <w:rFonts w:ascii="宋体" w:hAnsi="宋体" w:cs="宋体" w:hint="eastAsia"/>
          <w:b/>
          <w:bCs/>
          <w:color w:val="000000"/>
          <w:szCs w:val="21"/>
          <w:lang w:bidi="ar"/>
        </w:rPr>
        <w:t>二、技术及性能要求</w:t>
      </w:r>
    </w:p>
    <w:p w:rsidR="00427656" w:rsidP="00427656">
      <w:pPr>
        <w:pStyle w:val="-"/>
        <w:widowControl/>
        <w:ind w:firstLine="422"/>
        <w:rPr>
          <w:rFonts w:ascii="宋体" w:hAnsi="宋体" w:cs="宋体"/>
          <w:b/>
          <w:color w:val="000000"/>
          <w:sz w:val="21"/>
          <w:szCs w:val="21"/>
        </w:rPr>
      </w:pPr>
      <w:r>
        <w:rPr>
          <w:rFonts w:ascii="宋体" w:hAnsi="宋体" w:cs="宋体" w:hint="eastAsia"/>
          <w:b/>
          <w:color w:val="000000"/>
          <w:sz w:val="21"/>
          <w:szCs w:val="21"/>
        </w:rPr>
        <w:t>2.1 技术要求</w:t>
      </w:r>
    </w:p>
    <w:p w:rsidR="00427656" w:rsidP="00427656">
      <w:pPr>
        <w:snapToGrid w:val="0"/>
        <w:spacing w:line="360" w:lineRule="auto"/>
        <w:ind w:firstLine="420" w:firstLineChars="200"/>
        <w:jc w:val="left"/>
        <w:rPr>
          <w:rFonts w:cs="宋体"/>
          <w:lang w:bidi="ar"/>
        </w:rPr>
      </w:pPr>
      <w:r>
        <w:rPr>
          <w:rFonts w:ascii="宋体" w:hAnsi="宋体" w:cs="宋体" w:hint="eastAsia"/>
          <w:szCs w:val="21"/>
          <w:lang w:bidi="ar"/>
        </w:rPr>
        <w:t>基于气象大数据云平台（以下简称“天擎”）提供的基础资源，应用气象大数据云平台提供的包括虚谷数据库、</w:t>
      </w:r>
      <w:r>
        <w:rPr>
          <w:rFonts w:ascii="宋体" w:hAnsi="宋体" w:cs="宋体" w:hint="eastAsia"/>
          <w:szCs w:val="21"/>
          <w:lang w:bidi="ar"/>
        </w:rPr>
        <w:t>Gbase</w:t>
      </w:r>
      <w:r>
        <w:rPr>
          <w:rFonts w:ascii="宋体" w:hAnsi="宋体" w:cs="宋体" w:hint="eastAsia"/>
          <w:szCs w:val="21"/>
          <w:lang w:bidi="ar"/>
        </w:rPr>
        <w:t>数据库，MQ消息中间件，Redis缓存服务等，借助于探测中心信息化建设成熟的天</w:t>
      </w:r>
      <w:r>
        <w:rPr>
          <w:rFonts w:ascii="宋体" w:hAnsi="宋体" w:cs="宋体" w:hint="eastAsia"/>
          <w:szCs w:val="21"/>
          <w:lang w:bidi="ar"/>
        </w:rPr>
        <w:t>衡天衍</w:t>
      </w:r>
      <w:r>
        <w:rPr>
          <w:rFonts w:ascii="宋体" w:hAnsi="宋体" w:cs="宋体" w:hint="eastAsia"/>
          <w:szCs w:val="21"/>
          <w:lang w:bidi="ar"/>
        </w:rPr>
        <w:t>、天元系统已有的功能、业务、数据、技术架构与流程管理，</w:t>
      </w:r>
      <w:r>
        <w:rPr>
          <w:rFonts w:cs="宋体" w:hint="eastAsia"/>
          <w:lang w:bidi="ar"/>
        </w:rPr>
        <w:t>技术架构与开发语言需符合已经开发完成的天擎、天</w:t>
      </w:r>
      <w:r>
        <w:rPr>
          <w:rFonts w:cs="宋体" w:hint="eastAsia"/>
          <w:lang w:bidi="ar"/>
        </w:rPr>
        <w:t>衡天衍及</w:t>
      </w:r>
      <w:r>
        <w:rPr>
          <w:rFonts w:cs="宋体" w:hint="eastAsia"/>
          <w:lang w:bidi="ar"/>
        </w:rPr>
        <w:t>天元系统标准，能够实现无缝衔接与数据互通</w:t>
      </w:r>
      <w:r w:rsidRPr="00B72B4C">
        <w:rPr>
          <w:rFonts w:cs="宋体" w:hint="eastAsia"/>
          <w:lang w:bidi="ar"/>
        </w:rPr>
        <w:t>；按照组件化和模块化要求开展天衡、天衍、天元系统统筹集约及基于天擎版本升级改造</w:t>
      </w:r>
      <w:r>
        <w:rPr>
          <w:rFonts w:cs="宋体" w:hint="eastAsia"/>
          <w:lang w:bidi="ar"/>
        </w:rPr>
        <w:t>。</w:t>
      </w:r>
    </w:p>
    <w:p w:rsidR="00427656" w:rsidP="00427656">
      <w:pPr>
        <w:pStyle w:val="-"/>
        <w:widowControl/>
        <w:ind w:firstLine="422"/>
        <w:rPr>
          <w:rFonts w:ascii="宋体" w:hAnsi="宋体" w:cs="宋体"/>
          <w:color w:val="000000"/>
          <w:szCs w:val="21"/>
        </w:rPr>
      </w:pPr>
      <w:r>
        <w:rPr>
          <w:rFonts w:ascii="宋体" w:hAnsi="宋体" w:cs="宋体" w:hint="eastAsia"/>
          <w:b/>
          <w:color w:val="000000"/>
          <w:sz w:val="21"/>
          <w:szCs w:val="21"/>
        </w:rPr>
        <w:t>2.2 功能要求</w:t>
      </w:r>
    </w:p>
    <w:p w:rsidR="00427656" w:rsidP="00427656">
      <w:pPr>
        <w:numPr>
          <w:ilvl w:val="0"/>
          <w:numId w:val="4"/>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基于质</w:t>
      </w:r>
      <w:r>
        <w:rPr>
          <w:rFonts w:ascii="宋体" w:hAnsi="宋体" w:cs="宋体" w:hint="eastAsia"/>
          <w:b/>
          <w:bCs/>
          <w:color w:val="000000"/>
          <w:kern w:val="0"/>
          <w:szCs w:val="21"/>
        </w:rPr>
        <w:t>控业务</w:t>
      </w:r>
      <w:r>
        <w:rPr>
          <w:rFonts w:ascii="宋体" w:hAnsi="宋体" w:cs="宋体" w:hint="eastAsia"/>
          <w:b/>
          <w:bCs/>
          <w:color w:val="000000"/>
          <w:kern w:val="0"/>
          <w:szCs w:val="21"/>
        </w:rPr>
        <w:t>体系的质控</w:t>
      </w:r>
      <w:r>
        <w:rPr>
          <w:rFonts w:ascii="宋体" w:hAnsi="宋体" w:cs="宋体" w:hint="eastAsia"/>
          <w:b/>
          <w:bCs/>
          <w:color w:val="000000"/>
          <w:kern w:val="0"/>
          <w:szCs w:val="21"/>
        </w:rPr>
        <w:t>标识码全覆盖</w:t>
      </w:r>
      <w:r>
        <w:rPr>
          <w:rFonts w:ascii="宋体" w:hAnsi="宋体" w:cs="宋体" w:hint="eastAsia"/>
          <w:b/>
          <w:bCs/>
          <w:color w:val="000000"/>
          <w:kern w:val="0"/>
          <w:szCs w:val="21"/>
        </w:rPr>
        <w:t>系统建设</w:t>
      </w:r>
    </w:p>
    <w:p w:rsidR="00427656" w:rsidP="00427656">
      <w:pPr>
        <w:spacing w:line="360" w:lineRule="auto"/>
        <w:ind w:firstLine="420" w:firstLineChars="200"/>
        <w:rPr>
          <w:rFonts w:ascii="宋体" w:hAnsi="宋体" w:cs="宋体"/>
          <w:color w:val="000000"/>
          <w:kern w:val="0"/>
          <w:szCs w:val="21"/>
        </w:rPr>
      </w:pPr>
      <w:r>
        <w:rPr>
          <w:rFonts w:ascii="宋体" w:hAnsi="宋体" w:cs="宋体" w:hint="eastAsia"/>
          <w:color w:val="000000"/>
          <w:kern w:val="0"/>
          <w:szCs w:val="21"/>
        </w:rPr>
        <w:t>严格遵循质</w:t>
      </w:r>
      <w:r>
        <w:rPr>
          <w:rFonts w:ascii="宋体" w:hAnsi="宋体" w:cs="宋体" w:hint="eastAsia"/>
          <w:color w:val="000000"/>
          <w:kern w:val="0"/>
          <w:szCs w:val="21"/>
        </w:rPr>
        <w:t>控业务</w:t>
      </w:r>
      <w:r>
        <w:rPr>
          <w:rFonts w:ascii="宋体" w:hAnsi="宋体" w:cs="宋体" w:hint="eastAsia"/>
          <w:color w:val="000000"/>
          <w:kern w:val="0"/>
          <w:szCs w:val="21"/>
        </w:rPr>
        <w:t>体系标准规范要求，依据标准化的质控标识</w:t>
      </w:r>
      <w:r>
        <w:rPr>
          <w:rFonts w:ascii="宋体" w:hAnsi="宋体" w:cs="宋体" w:hint="eastAsia"/>
          <w:color w:val="000000"/>
          <w:kern w:val="0"/>
          <w:szCs w:val="21"/>
        </w:rPr>
        <w:t>码设计</w:t>
      </w:r>
      <w:r>
        <w:rPr>
          <w:rFonts w:ascii="宋体" w:hAnsi="宋体" w:cs="宋体" w:hint="eastAsia"/>
          <w:color w:val="000000"/>
          <w:kern w:val="0"/>
          <w:szCs w:val="21"/>
        </w:rPr>
        <w:t>准则，开展垂直观测与天气雷达等质控流程完善，提升数据的准确性和可靠性。同时依据标准化的质控标识</w:t>
      </w:r>
      <w:r>
        <w:rPr>
          <w:rFonts w:ascii="宋体" w:hAnsi="宋体" w:cs="宋体" w:hint="eastAsia"/>
          <w:color w:val="000000"/>
          <w:kern w:val="0"/>
          <w:szCs w:val="21"/>
        </w:rPr>
        <w:t>码设计</w:t>
      </w:r>
      <w:r>
        <w:rPr>
          <w:rFonts w:ascii="宋体" w:hAnsi="宋体" w:cs="宋体" w:hint="eastAsia"/>
          <w:color w:val="000000"/>
          <w:kern w:val="0"/>
          <w:szCs w:val="21"/>
        </w:rPr>
        <w:t>准则，对质</w:t>
      </w:r>
      <w:r>
        <w:rPr>
          <w:rFonts w:ascii="宋体" w:hAnsi="宋体" w:cs="宋体" w:hint="eastAsia"/>
          <w:color w:val="000000"/>
          <w:kern w:val="0"/>
          <w:szCs w:val="21"/>
        </w:rPr>
        <w:t>控结果</w:t>
      </w:r>
      <w:r>
        <w:rPr>
          <w:rFonts w:ascii="宋体" w:hAnsi="宋体" w:cs="宋体" w:hint="eastAsia"/>
          <w:color w:val="000000"/>
          <w:kern w:val="0"/>
          <w:szCs w:val="21"/>
        </w:rPr>
        <w:t>进行标识码输出展示。完成垂直观测质控</w:t>
      </w:r>
      <w:r>
        <w:rPr>
          <w:rFonts w:ascii="宋体" w:hAnsi="宋体" w:cs="宋体" w:hint="eastAsia"/>
          <w:color w:val="000000"/>
          <w:kern w:val="0"/>
          <w:szCs w:val="21"/>
        </w:rPr>
        <w:t>标识码全覆盖</w:t>
      </w:r>
      <w:r>
        <w:rPr>
          <w:rFonts w:ascii="宋体" w:hAnsi="宋体" w:cs="宋体" w:hint="eastAsia"/>
          <w:color w:val="000000"/>
          <w:kern w:val="0"/>
          <w:szCs w:val="21"/>
        </w:rPr>
        <w:t>子系统、天气雷达质控</w:t>
      </w:r>
      <w:r>
        <w:rPr>
          <w:rFonts w:ascii="宋体" w:hAnsi="宋体" w:cs="宋体" w:hint="eastAsia"/>
          <w:color w:val="000000"/>
          <w:kern w:val="0"/>
          <w:szCs w:val="21"/>
        </w:rPr>
        <w:t>标识码全覆盖</w:t>
      </w:r>
      <w:r>
        <w:rPr>
          <w:rFonts w:ascii="宋体" w:hAnsi="宋体" w:cs="宋体" w:hint="eastAsia"/>
          <w:color w:val="000000"/>
          <w:kern w:val="0"/>
          <w:szCs w:val="21"/>
        </w:rPr>
        <w:t>子系统等两个子系统10个功能模块建设。</w:t>
      </w:r>
    </w:p>
    <w:p w:rsidR="00427656" w:rsidP="00427656">
      <w:pPr>
        <w:numPr>
          <w:ilvl w:val="0"/>
          <w:numId w:val="5"/>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垂直观测质控</w:t>
      </w:r>
      <w:r>
        <w:rPr>
          <w:rFonts w:ascii="宋体" w:hAnsi="宋体" w:cs="宋体" w:hint="eastAsia"/>
          <w:b/>
          <w:bCs/>
          <w:color w:val="000000"/>
          <w:kern w:val="0"/>
          <w:szCs w:val="21"/>
        </w:rPr>
        <w:t>标识码全覆盖</w:t>
      </w:r>
      <w:r>
        <w:rPr>
          <w:rFonts w:ascii="宋体" w:hAnsi="宋体" w:cs="宋体" w:hint="eastAsia"/>
          <w:b/>
          <w:bCs/>
          <w:color w:val="000000"/>
          <w:kern w:val="0"/>
          <w:szCs w:val="21"/>
        </w:rPr>
        <w:t>子系统</w:t>
      </w:r>
    </w:p>
    <w:p w:rsidR="00427656" w:rsidP="00427656">
      <w:pPr>
        <w:snapToGrid w:val="0"/>
        <w:spacing w:line="360" w:lineRule="auto"/>
        <w:ind w:left="54" w:firstLine="508" w:firstLineChars="242"/>
        <w:jc w:val="left"/>
        <w:rPr>
          <w:rFonts w:ascii="宋体" w:hAnsi="宋体" w:cs="宋体"/>
          <w:b/>
          <w:bCs/>
          <w:color w:val="000000"/>
          <w:kern w:val="0"/>
          <w:szCs w:val="21"/>
        </w:rPr>
      </w:pPr>
      <w:r>
        <w:rPr>
          <w:rFonts w:ascii="宋体" w:hAnsi="宋体" w:hint="eastAsia"/>
          <w:szCs w:val="21"/>
        </w:rPr>
        <w:t>基于</w:t>
      </w:r>
      <w:r>
        <w:rPr>
          <w:rFonts w:ascii="宋体" w:hAnsi="宋体" w:cs="宋体" w:hint="eastAsia"/>
          <w:color w:val="000000"/>
          <w:kern w:val="0"/>
          <w:szCs w:val="21"/>
        </w:rPr>
        <w:t>质</w:t>
      </w:r>
      <w:r>
        <w:rPr>
          <w:rFonts w:ascii="宋体" w:hAnsi="宋体" w:cs="宋体" w:hint="eastAsia"/>
          <w:color w:val="000000"/>
          <w:kern w:val="0"/>
          <w:szCs w:val="21"/>
        </w:rPr>
        <w:t>控业务</w:t>
      </w:r>
      <w:r>
        <w:rPr>
          <w:rFonts w:ascii="宋体" w:hAnsi="宋体" w:cs="宋体" w:hint="eastAsia"/>
          <w:color w:val="000000"/>
          <w:kern w:val="0"/>
          <w:szCs w:val="21"/>
        </w:rPr>
        <w:t>体系标准规范要求与质控标识</w:t>
      </w:r>
      <w:r>
        <w:rPr>
          <w:rFonts w:ascii="宋体" w:hAnsi="宋体" w:cs="宋体" w:hint="eastAsia"/>
          <w:color w:val="000000"/>
          <w:kern w:val="0"/>
          <w:szCs w:val="21"/>
        </w:rPr>
        <w:t>码设计</w:t>
      </w:r>
      <w:r>
        <w:rPr>
          <w:rFonts w:ascii="宋体" w:hAnsi="宋体" w:cs="宋体" w:hint="eastAsia"/>
          <w:color w:val="000000"/>
          <w:kern w:val="0"/>
          <w:szCs w:val="21"/>
        </w:rPr>
        <w:t>准则，新增优化垂直观测质控标识码，</w:t>
      </w:r>
      <w:r>
        <w:rPr>
          <w:rFonts w:ascii="宋体" w:hAnsi="宋体" w:hint="eastAsia"/>
          <w:szCs w:val="21"/>
        </w:rPr>
        <w:t>开展</w:t>
      </w:r>
      <w:r>
        <w:rPr>
          <w:rFonts w:ascii="仿宋_GB2312" w:hAnsi="仿宋_GB2312" w:cs="微软雅黑" w:hint="eastAsia"/>
          <w:color w:val="000000"/>
          <w:lang w:bidi="ar"/>
        </w:rPr>
        <w:t>新增风廓线雷达质控标识码模块</w:t>
      </w:r>
      <w:r>
        <w:rPr>
          <w:rFonts w:ascii="仿宋_GB2312" w:hAnsi="仿宋_GB2312" w:cs="微软雅黑"/>
          <w:color w:val="000000"/>
          <w:lang w:bidi="ar"/>
        </w:rPr>
        <w:t>、</w:t>
      </w:r>
      <w:r>
        <w:rPr>
          <w:rFonts w:ascii="仿宋_GB2312" w:hAnsi="仿宋_GB2312" w:cs="微软雅黑" w:hint="eastAsia"/>
          <w:color w:val="000000"/>
          <w:lang w:bidi="ar"/>
        </w:rPr>
        <w:t>优化风廓线雷达质控标识展示模块</w:t>
      </w:r>
      <w:r>
        <w:rPr>
          <w:rFonts w:ascii="仿宋_GB2312" w:hAnsi="仿宋_GB2312" w:cs="微软雅黑"/>
          <w:color w:val="000000"/>
          <w:lang w:bidi="ar"/>
        </w:rPr>
        <w:t>、</w:t>
      </w:r>
      <w:r>
        <w:rPr>
          <w:rFonts w:ascii="仿宋_GB2312" w:hAnsi="仿宋_GB2312" w:cs="微软雅黑" w:hint="eastAsia"/>
          <w:color w:val="000000"/>
          <w:lang w:bidi="ar"/>
        </w:rPr>
        <w:t>新增气溶胶激光雷达质控标识码模块</w:t>
      </w:r>
      <w:r>
        <w:rPr>
          <w:rFonts w:ascii="仿宋_GB2312" w:hAnsi="仿宋_GB2312" w:cs="微软雅黑"/>
          <w:color w:val="000000"/>
          <w:lang w:bidi="ar"/>
        </w:rPr>
        <w:t>、</w:t>
      </w:r>
      <w:r>
        <w:rPr>
          <w:rFonts w:ascii="仿宋_GB2312" w:hAnsi="仿宋_GB2312" w:cs="微软雅黑" w:hint="eastAsia"/>
          <w:color w:val="000000"/>
          <w:lang w:bidi="ar"/>
        </w:rPr>
        <w:t>优化完善气溶胶激光雷达质控标识展示模块</w:t>
      </w:r>
      <w:r>
        <w:rPr>
          <w:rFonts w:ascii="仿宋_GB2312" w:hAnsi="仿宋_GB2312" w:cs="微软雅黑"/>
          <w:color w:val="000000"/>
          <w:lang w:bidi="ar"/>
        </w:rPr>
        <w:t>、</w:t>
      </w:r>
      <w:r>
        <w:rPr>
          <w:rFonts w:ascii="仿宋_GB2312" w:hAnsi="仿宋_GB2312" w:cs="微软雅黑" w:hint="eastAsia"/>
          <w:color w:val="000000"/>
          <w:lang w:bidi="ar"/>
        </w:rPr>
        <w:t>优化微波辐射计质控标识码模块</w:t>
      </w:r>
      <w:r>
        <w:rPr>
          <w:rFonts w:ascii="仿宋_GB2312" w:hAnsi="仿宋_GB2312" w:cs="微软雅黑"/>
          <w:color w:val="000000"/>
          <w:lang w:bidi="ar"/>
        </w:rPr>
        <w:t>、</w:t>
      </w:r>
      <w:r>
        <w:rPr>
          <w:rFonts w:ascii="仿宋_GB2312" w:hAnsi="仿宋_GB2312" w:cs="微软雅黑" w:hint="eastAsia"/>
          <w:color w:val="000000"/>
          <w:lang w:bidi="ar"/>
        </w:rPr>
        <w:t>优化毫米波</w:t>
      </w:r>
      <w:r>
        <w:rPr>
          <w:rFonts w:ascii="仿宋_GB2312" w:hAnsi="仿宋_GB2312" w:cs="微软雅黑" w:hint="eastAsia"/>
          <w:color w:val="000000"/>
          <w:lang w:bidi="ar"/>
        </w:rPr>
        <w:t>测云仪质</w:t>
      </w:r>
      <w:r>
        <w:rPr>
          <w:rFonts w:ascii="仿宋_GB2312" w:hAnsi="仿宋_GB2312" w:cs="微软雅黑" w:hint="eastAsia"/>
          <w:color w:val="000000"/>
          <w:lang w:bidi="ar"/>
        </w:rPr>
        <w:t>控标识码模块</w:t>
      </w:r>
      <w:r>
        <w:rPr>
          <w:rFonts w:ascii="仿宋_GB2312" w:hAnsi="仿宋_GB2312" w:cs="微软雅黑"/>
          <w:color w:val="000000"/>
          <w:lang w:bidi="ar"/>
        </w:rPr>
        <w:t>、</w:t>
      </w:r>
      <w:r>
        <w:rPr>
          <w:rFonts w:ascii="仿宋_GB2312" w:hAnsi="仿宋_GB2312" w:cs="微软雅黑" w:hint="eastAsia"/>
          <w:color w:val="000000"/>
          <w:lang w:bidi="ar"/>
        </w:rPr>
        <w:t>优化</w:t>
      </w:r>
      <w:r>
        <w:rPr>
          <w:rFonts w:ascii="仿宋_GB2312" w:hAnsi="仿宋_GB2312" w:cs="微软雅黑" w:hint="eastAsia"/>
          <w:color w:val="000000"/>
          <w:lang w:bidi="ar"/>
        </w:rPr>
        <w:t>GNSS/MET</w:t>
      </w:r>
      <w:r>
        <w:rPr>
          <w:rFonts w:ascii="仿宋_GB2312" w:hAnsi="仿宋_GB2312" w:cs="微软雅黑" w:hint="eastAsia"/>
          <w:color w:val="000000"/>
          <w:lang w:bidi="ar"/>
        </w:rPr>
        <w:t>质控标识码模块</w:t>
      </w:r>
      <w:r>
        <w:rPr>
          <w:rFonts w:ascii="宋体" w:hAnsi="宋体" w:hint="eastAsia"/>
          <w:szCs w:val="21"/>
        </w:rPr>
        <w:t>等功能建设。</w:t>
      </w:r>
    </w:p>
    <w:p w:rsidR="00427656" w:rsidP="00427656">
      <w:pPr>
        <w:numPr>
          <w:ilvl w:val="0"/>
          <w:numId w:val="5"/>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天气雷达质控</w:t>
      </w:r>
      <w:r>
        <w:rPr>
          <w:rFonts w:ascii="宋体" w:hAnsi="宋体" w:cs="宋体" w:hint="eastAsia"/>
          <w:b/>
          <w:bCs/>
          <w:color w:val="000000"/>
          <w:kern w:val="0"/>
          <w:szCs w:val="21"/>
        </w:rPr>
        <w:t>标识码全覆盖</w:t>
      </w:r>
      <w:r>
        <w:rPr>
          <w:rFonts w:ascii="宋体" w:hAnsi="宋体" w:cs="宋体" w:hint="eastAsia"/>
          <w:b/>
          <w:bCs/>
          <w:color w:val="000000"/>
          <w:kern w:val="0"/>
          <w:szCs w:val="21"/>
        </w:rPr>
        <w:t>子系统</w:t>
      </w:r>
    </w:p>
    <w:p w:rsidR="00427656" w:rsidP="00427656">
      <w:pPr>
        <w:snapToGrid w:val="0"/>
        <w:spacing w:line="360" w:lineRule="auto"/>
        <w:ind w:left="54" w:firstLine="508" w:firstLineChars="242"/>
        <w:jc w:val="left"/>
        <w:rPr>
          <w:rFonts w:ascii="宋体" w:hAnsi="宋体" w:cs="宋体"/>
          <w:b/>
          <w:bCs/>
          <w:color w:val="000000"/>
          <w:kern w:val="0"/>
          <w:szCs w:val="21"/>
        </w:rPr>
      </w:pPr>
      <w:r>
        <w:rPr>
          <w:rFonts w:ascii="宋体" w:hAnsi="宋体" w:cs="宋体" w:hint="eastAsia"/>
          <w:szCs w:val="21"/>
          <w:lang w:bidi="ar"/>
        </w:rPr>
        <w:t>基于气象大数据云平台建设标准，依据</w:t>
      </w:r>
      <w:r>
        <w:rPr>
          <w:rFonts w:ascii="宋体" w:hAnsi="宋体" w:cs="宋体" w:hint="eastAsia"/>
          <w:color w:val="000000"/>
          <w:kern w:val="0"/>
          <w:szCs w:val="21"/>
        </w:rPr>
        <w:t>质控标识</w:t>
      </w:r>
      <w:r>
        <w:rPr>
          <w:rFonts w:ascii="宋体" w:hAnsi="宋体" w:cs="宋体" w:hint="eastAsia"/>
          <w:color w:val="000000"/>
          <w:kern w:val="0"/>
          <w:szCs w:val="21"/>
        </w:rPr>
        <w:t>码设计</w:t>
      </w:r>
      <w:r>
        <w:rPr>
          <w:rFonts w:ascii="宋体" w:hAnsi="宋体" w:cs="宋体" w:hint="eastAsia"/>
          <w:color w:val="000000"/>
          <w:kern w:val="0"/>
          <w:szCs w:val="21"/>
        </w:rPr>
        <w:t>准则，开展X波段天气雷达质</w:t>
      </w:r>
      <w:r>
        <w:rPr>
          <w:rFonts w:ascii="宋体" w:hAnsi="宋体" w:cs="宋体" w:hint="eastAsia"/>
          <w:color w:val="000000"/>
          <w:kern w:val="0"/>
          <w:szCs w:val="21"/>
        </w:rPr>
        <w:t>控标识接入与完善</w:t>
      </w:r>
      <w:r>
        <w:rPr>
          <w:rFonts w:ascii="仿宋_GB2312" w:hAnsi="仿宋_GB2312" w:cs="微软雅黑" w:hint="eastAsia"/>
          <w:color w:val="000000"/>
          <w:lang w:bidi="ar"/>
        </w:rPr>
        <w:t>S/C</w:t>
      </w:r>
      <w:r>
        <w:rPr>
          <w:rFonts w:ascii="仿宋_GB2312" w:hAnsi="仿宋_GB2312" w:cs="微软雅黑" w:hint="eastAsia"/>
          <w:color w:val="000000"/>
          <w:lang w:bidi="ar"/>
        </w:rPr>
        <w:t>波段雷达质控标识展示，实现新增</w:t>
      </w:r>
      <w:r>
        <w:rPr>
          <w:rFonts w:ascii="仿宋_GB2312" w:hAnsi="仿宋_GB2312" w:cs="微软雅黑" w:hint="eastAsia"/>
          <w:color w:val="000000"/>
          <w:lang w:bidi="ar"/>
        </w:rPr>
        <w:t>X</w:t>
      </w:r>
      <w:r>
        <w:rPr>
          <w:rFonts w:ascii="仿宋_GB2312" w:hAnsi="仿宋_GB2312" w:cs="微软雅黑" w:hint="eastAsia"/>
          <w:color w:val="000000"/>
          <w:lang w:bidi="ar"/>
        </w:rPr>
        <w:t>波段雷达质控标识码模块</w:t>
      </w:r>
      <w:r>
        <w:rPr>
          <w:rFonts w:ascii="仿宋_GB2312" w:hAnsi="仿宋_GB2312" w:cs="微软雅黑"/>
          <w:color w:val="000000"/>
          <w:lang w:bidi="ar"/>
        </w:rPr>
        <w:t>、</w:t>
      </w:r>
      <w:r>
        <w:rPr>
          <w:rFonts w:ascii="仿宋_GB2312" w:hAnsi="仿宋_GB2312" w:cs="微软雅黑" w:hint="eastAsia"/>
          <w:color w:val="000000"/>
          <w:lang w:bidi="ar"/>
        </w:rPr>
        <w:t>新增</w:t>
      </w:r>
      <w:r>
        <w:rPr>
          <w:rFonts w:ascii="仿宋_GB2312" w:hAnsi="仿宋_GB2312" w:cs="微软雅黑" w:hint="eastAsia"/>
          <w:color w:val="000000"/>
          <w:lang w:bidi="ar"/>
        </w:rPr>
        <w:t>X</w:t>
      </w:r>
      <w:r>
        <w:rPr>
          <w:rFonts w:ascii="仿宋_GB2312" w:hAnsi="仿宋_GB2312" w:cs="微软雅黑" w:hint="eastAsia"/>
          <w:color w:val="000000"/>
          <w:lang w:bidi="ar"/>
        </w:rPr>
        <w:t>波段雷达质</w:t>
      </w:r>
      <w:r>
        <w:rPr>
          <w:rFonts w:ascii="仿宋_GB2312" w:hAnsi="仿宋_GB2312" w:cs="微软雅黑" w:hint="eastAsia"/>
          <w:color w:val="000000"/>
          <w:lang w:bidi="ar"/>
        </w:rPr>
        <w:t>控信息</w:t>
      </w:r>
      <w:r>
        <w:rPr>
          <w:rFonts w:ascii="仿宋_GB2312" w:hAnsi="仿宋_GB2312" w:cs="微软雅黑" w:hint="eastAsia"/>
          <w:color w:val="000000"/>
          <w:lang w:bidi="ar"/>
        </w:rPr>
        <w:t>展示模块</w:t>
      </w:r>
      <w:r>
        <w:rPr>
          <w:rFonts w:ascii="仿宋_GB2312" w:hAnsi="仿宋_GB2312" w:cs="微软雅黑"/>
          <w:color w:val="000000"/>
          <w:lang w:bidi="ar"/>
        </w:rPr>
        <w:t>、</w:t>
      </w:r>
      <w:r>
        <w:rPr>
          <w:rFonts w:ascii="仿宋_GB2312" w:hAnsi="仿宋_GB2312" w:cs="微软雅黑" w:hint="eastAsia"/>
          <w:color w:val="000000"/>
          <w:lang w:bidi="ar"/>
        </w:rPr>
        <w:t>优化</w:t>
      </w:r>
      <w:r>
        <w:rPr>
          <w:rFonts w:ascii="仿宋_GB2312" w:hAnsi="仿宋_GB2312" w:cs="微软雅黑" w:hint="eastAsia"/>
          <w:color w:val="000000"/>
          <w:lang w:bidi="ar"/>
        </w:rPr>
        <w:t>S/C</w:t>
      </w:r>
      <w:r>
        <w:rPr>
          <w:rFonts w:ascii="仿宋_GB2312" w:hAnsi="仿宋_GB2312" w:cs="微软雅黑" w:hint="eastAsia"/>
          <w:color w:val="000000"/>
          <w:lang w:bidi="ar"/>
        </w:rPr>
        <w:t>波段雷达质控标识码模块</w:t>
      </w:r>
      <w:r>
        <w:rPr>
          <w:rFonts w:ascii="宋体" w:hAnsi="宋体" w:hint="eastAsia"/>
          <w:szCs w:val="21"/>
        </w:rPr>
        <w:t>等功能建设。</w:t>
      </w:r>
    </w:p>
    <w:p w:rsidR="00427656" w:rsidP="00427656">
      <w:pPr>
        <w:numPr>
          <w:ilvl w:val="0"/>
          <w:numId w:val="4"/>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融合元数据信息的综合质控系统建设</w:t>
      </w:r>
    </w:p>
    <w:p w:rsidR="00427656" w:rsidP="00427656">
      <w:pPr>
        <w:spacing w:line="360" w:lineRule="auto"/>
        <w:ind w:firstLine="420" w:firstLineChars="200"/>
        <w:rPr>
          <w:rFonts w:ascii="宋体" w:hAnsi="宋体" w:cs="宋体"/>
          <w:color w:val="000000"/>
          <w:kern w:val="0"/>
          <w:szCs w:val="21"/>
        </w:rPr>
      </w:pPr>
      <w:r>
        <w:rPr>
          <w:rFonts w:ascii="宋体" w:hAnsi="宋体" w:cs="宋体" w:hint="eastAsia"/>
          <w:color w:val="000000"/>
          <w:kern w:val="0"/>
          <w:szCs w:val="21"/>
        </w:rPr>
        <w:t>实现对气温、风、降水等观测数据的综合评估与验证。利用多个气象观测设备的数据，融合元数据信息进行交叉比对和分析，提高数据的准确性和可靠性。完成地面综合质控子系统、综合质控分类分级子系统等两个子系统5个功能模块建设。</w:t>
      </w:r>
    </w:p>
    <w:p w:rsidR="00427656" w:rsidP="00427656">
      <w:pPr>
        <w:numPr>
          <w:ilvl w:val="0"/>
          <w:numId w:val="6"/>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地面综合质控子系统</w:t>
      </w:r>
    </w:p>
    <w:p w:rsidR="00427656" w:rsidP="00427656">
      <w:pPr>
        <w:snapToGrid w:val="0"/>
        <w:spacing w:line="360" w:lineRule="auto"/>
        <w:ind w:left="54" w:firstLine="508" w:firstLineChars="242"/>
        <w:jc w:val="left"/>
        <w:rPr>
          <w:rFonts w:ascii="宋体" w:hAnsi="宋体" w:cs="宋体"/>
          <w:b/>
          <w:bCs/>
          <w:color w:val="000000"/>
          <w:kern w:val="0"/>
          <w:szCs w:val="21"/>
        </w:rPr>
      </w:pPr>
      <w:r>
        <w:rPr>
          <w:rFonts w:ascii="仿宋_GB2312" w:hAnsi="仿宋_GB2312" w:cs="微软雅黑" w:hint="eastAsia"/>
          <w:color w:val="000000"/>
          <w:lang w:bidi="ar"/>
        </w:rPr>
        <w:t>通过机器学习算法融合元数据信息</w:t>
      </w:r>
      <w:r>
        <w:rPr>
          <w:rFonts w:ascii="仿宋_GB2312" w:hAnsi="仿宋_GB2312" w:cs="微软雅黑"/>
          <w:color w:val="000000"/>
          <w:lang w:bidi="ar"/>
        </w:rPr>
        <w:t>、</w:t>
      </w:r>
      <w:r>
        <w:rPr>
          <w:rFonts w:ascii="仿宋_GB2312" w:hAnsi="仿宋_GB2312" w:cs="微软雅黑" w:hint="eastAsia"/>
          <w:color w:val="000000"/>
          <w:lang w:bidi="ar"/>
        </w:rPr>
        <w:t>多源等数据等进行深度分析。建立深度学习模型对气温</w:t>
      </w:r>
      <w:r>
        <w:rPr>
          <w:rFonts w:ascii="仿宋_GB2312" w:hAnsi="仿宋_GB2312" w:cs="微软雅黑"/>
          <w:color w:val="000000"/>
          <w:lang w:bidi="ar"/>
        </w:rPr>
        <w:t>、风等</w:t>
      </w:r>
      <w:r>
        <w:rPr>
          <w:rFonts w:ascii="仿宋_GB2312" w:hAnsi="仿宋_GB2312" w:cs="微软雅黑" w:hint="eastAsia"/>
          <w:color w:val="000000"/>
          <w:lang w:bidi="ar"/>
        </w:rPr>
        <w:t>数据</w:t>
      </w:r>
      <w:r>
        <w:rPr>
          <w:rFonts w:ascii="仿宋_GB2312" w:hAnsi="仿宋_GB2312" w:cs="微软雅黑"/>
          <w:color w:val="000000"/>
          <w:lang w:bidi="ar"/>
        </w:rPr>
        <w:t>进行</w:t>
      </w:r>
      <w:r>
        <w:rPr>
          <w:rFonts w:ascii="仿宋_GB2312" w:hAnsi="仿宋_GB2312" w:cs="微软雅黑" w:hint="eastAsia"/>
          <w:color w:val="000000"/>
          <w:lang w:bidi="ar"/>
        </w:rPr>
        <w:t>综合检测</w:t>
      </w:r>
      <w:r>
        <w:rPr>
          <w:rFonts w:ascii="仿宋_GB2312" w:hAnsi="仿宋_GB2312" w:cs="微软雅黑"/>
          <w:color w:val="000000"/>
          <w:lang w:bidi="ar"/>
        </w:rPr>
        <w:t>，完成</w:t>
      </w:r>
      <w:r>
        <w:rPr>
          <w:rFonts w:ascii="仿宋_GB2312" w:hAnsi="仿宋_GB2312" w:cs="微软雅黑" w:hint="eastAsia"/>
          <w:color w:val="000000"/>
          <w:lang w:bidi="ar"/>
        </w:rPr>
        <w:t>升级气温综合质控模块</w:t>
      </w:r>
      <w:r>
        <w:rPr>
          <w:rFonts w:ascii="仿宋_GB2312" w:hAnsi="仿宋_GB2312" w:cs="微软雅黑"/>
          <w:color w:val="000000"/>
          <w:lang w:bidi="ar"/>
        </w:rPr>
        <w:t>、</w:t>
      </w:r>
      <w:r>
        <w:rPr>
          <w:rFonts w:ascii="仿宋_GB2312" w:hAnsi="仿宋_GB2312" w:cs="微软雅黑" w:hint="eastAsia"/>
          <w:color w:val="000000"/>
          <w:lang w:bidi="ar"/>
        </w:rPr>
        <w:t>升级</w:t>
      </w:r>
      <w:r>
        <w:rPr>
          <w:rFonts w:ascii="仿宋_GB2312" w:hAnsi="仿宋_GB2312" w:cs="微软雅黑" w:hint="eastAsia"/>
          <w:color w:val="000000"/>
          <w:lang w:bidi="ar"/>
        </w:rPr>
        <w:t>风综合质</w:t>
      </w:r>
      <w:r>
        <w:rPr>
          <w:rFonts w:ascii="仿宋_GB2312" w:hAnsi="仿宋_GB2312" w:cs="微软雅黑" w:hint="eastAsia"/>
          <w:color w:val="000000"/>
          <w:lang w:bidi="ar"/>
        </w:rPr>
        <w:t>控模块</w:t>
      </w:r>
      <w:r>
        <w:rPr>
          <w:rFonts w:ascii="仿宋_GB2312" w:hAnsi="仿宋_GB2312" w:cs="微软雅黑"/>
          <w:color w:val="000000"/>
          <w:lang w:bidi="ar"/>
        </w:rPr>
        <w:t>、</w:t>
      </w:r>
      <w:r>
        <w:rPr>
          <w:rFonts w:ascii="仿宋_GB2312" w:hAnsi="仿宋_GB2312" w:cs="微软雅黑" w:hint="eastAsia"/>
          <w:color w:val="000000"/>
          <w:lang w:bidi="ar"/>
        </w:rPr>
        <w:t>升级降水综合质控模块</w:t>
      </w:r>
      <w:r>
        <w:rPr>
          <w:rFonts w:ascii="宋体" w:hAnsi="宋体" w:hint="eastAsia"/>
          <w:szCs w:val="21"/>
        </w:rPr>
        <w:t>等功能建设。</w:t>
      </w:r>
    </w:p>
    <w:p w:rsidR="00427656" w:rsidP="00427656">
      <w:pPr>
        <w:numPr>
          <w:ilvl w:val="0"/>
          <w:numId w:val="6"/>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综合质控分类分级子系统</w:t>
      </w:r>
    </w:p>
    <w:p w:rsidR="00427656" w:rsidP="00427656">
      <w:pPr>
        <w:snapToGrid w:val="0"/>
        <w:spacing w:line="360" w:lineRule="auto"/>
        <w:ind w:left="54" w:firstLine="508" w:firstLineChars="242"/>
        <w:jc w:val="left"/>
        <w:rPr>
          <w:rFonts w:ascii="宋体" w:hAnsi="宋体" w:cs="宋体"/>
          <w:b/>
          <w:bCs/>
          <w:color w:val="000000"/>
          <w:kern w:val="0"/>
          <w:szCs w:val="21"/>
        </w:rPr>
      </w:pPr>
      <w:r>
        <w:rPr>
          <w:rFonts w:ascii="仿宋_GB2312" w:hAnsi="仿宋_GB2312" w:cs="微软雅黑" w:hint="eastAsia"/>
          <w:color w:val="000000"/>
          <w:lang w:bidi="ar"/>
        </w:rPr>
        <w:t>根据不同质控算法、算法准确性、设备类别等信息都根据其特性和用途进行明确界定，以便于</w:t>
      </w:r>
      <w:r>
        <w:rPr>
          <w:rFonts w:ascii="仿宋_GB2312" w:hAnsi="仿宋_GB2312" w:cs="微软雅黑"/>
          <w:color w:val="000000"/>
          <w:lang w:bidi="ar"/>
        </w:rPr>
        <w:t>质</w:t>
      </w:r>
      <w:r>
        <w:rPr>
          <w:rFonts w:ascii="仿宋_GB2312" w:hAnsi="仿宋_GB2312" w:cs="微软雅黑"/>
          <w:color w:val="000000"/>
          <w:lang w:bidi="ar"/>
        </w:rPr>
        <w:t>控结果</w:t>
      </w:r>
      <w:r>
        <w:rPr>
          <w:rFonts w:ascii="仿宋_GB2312" w:hAnsi="仿宋_GB2312" w:cs="微软雅黑" w:hint="eastAsia"/>
          <w:color w:val="000000"/>
          <w:lang w:bidi="ar"/>
        </w:rPr>
        <w:t>分类分级管理与应用</w:t>
      </w:r>
      <w:r>
        <w:rPr>
          <w:rFonts w:ascii="仿宋_GB2312" w:hAnsi="仿宋_GB2312" w:cs="微软雅黑"/>
          <w:color w:val="000000"/>
          <w:lang w:bidi="ar"/>
        </w:rPr>
        <w:t>展示，</w:t>
      </w:r>
      <w:r>
        <w:rPr>
          <w:rFonts w:ascii="宋体" w:hAnsi="宋体" w:hint="eastAsia"/>
          <w:szCs w:val="21"/>
        </w:rPr>
        <w:t>开展</w:t>
      </w:r>
      <w:r>
        <w:rPr>
          <w:rFonts w:ascii="仿宋_GB2312" w:hAnsi="仿宋_GB2312" w:cs="微软雅黑" w:hint="eastAsia"/>
          <w:color w:val="000000"/>
          <w:lang w:bidi="ar"/>
        </w:rPr>
        <w:t>分类分级管理模块</w:t>
      </w:r>
      <w:r>
        <w:rPr>
          <w:rFonts w:ascii="仿宋_GB2312" w:hAnsi="仿宋_GB2312" w:cs="微软雅黑"/>
          <w:color w:val="000000"/>
          <w:lang w:bidi="ar"/>
        </w:rPr>
        <w:t>、</w:t>
      </w:r>
      <w:r>
        <w:rPr>
          <w:rFonts w:ascii="仿宋_GB2312" w:hAnsi="仿宋_GB2312" w:cs="微软雅黑" w:hint="eastAsia"/>
          <w:color w:val="000000"/>
          <w:lang w:bidi="ar"/>
        </w:rPr>
        <w:t>分类分级展示模块</w:t>
      </w:r>
      <w:r>
        <w:rPr>
          <w:rFonts w:ascii="宋体" w:hAnsi="宋体" w:hint="eastAsia"/>
          <w:szCs w:val="21"/>
        </w:rPr>
        <w:t>等功能建设。</w:t>
      </w:r>
    </w:p>
    <w:p w:rsidR="00427656" w:rsidP="00427656">
      <w:pPr>
        <w:numPr>
          <w:ilvl w:val="0"/>
          <w:numId w:val="4"/>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完善数据质量精细化监视与异常反馈系统</w:t>
      </w:r>
    </w:p>
    <w:p w:rsidR="00427656" w:rsidP="00427656">
      <w:pPr>
        <w:spacing w:line="360" w:lineRule="auto"/>
        <w:ind w:firstLine="420" w:firstLineChars="200"/>
        <w:rPr>
          <w:rFonts w:ascii="宋体" w:hAnsi="宋体" w:cs="宋体"/>
          <w:color w:val="000000"/>
          <w:kern w:val="0"/>
          <w:szCs w:val="21"/>
        </w:rPr>
      </w:pPr>
      <w:r>
        <w:rPr>
          <w:rFonts w:ascii="宋体" w:hAnsi="宋体" w:cs="宋体" w:hint="eastAsia"/>
          <w:color w:val="000000"/>
          <w:kern w:val="0"/>
          <w:szCs w:val="21"/>
        </w:rPr>
        <w:t>实现通过时间、区域、要素、</w:t>
      </w:r>
      <w:r>
        <w:rPr>
          <w:rFonts w:ascii="宋体" w:hAnsi="宋体" w:cs="宋体" w:hint="eastAsia"/>
          <w:color w:val="000000"/>
          <w:kern w:val="0"/>
          <w:szCs w:val="21"/>
        </w:rPr>
        <w:t>质控码等</w:t>
      </w:r>
      <w:r>
        <w:rPr>
          <w:rFonts w:ascii="宋体" w:hAnsi="宋体" w:cs="宋体" w:hint="eastAsia"/>
          <w:color w:val="000000"/>
          <w:kern w:val="0"/>
          <w:szCs w:val="21"/>
        </w:rPr>
        <w:t>查询维度对极值进行统计查询，采用多屏对比分析方式快速定位分析极值站点数据质量情况。完善异常反馈功能，推动多源异常告警接入，提高反馈互动能力。完成完善数据质量精细化监视子系统、完善异常反馈子系统等两个子系统5个功能模块建设。</w:t>
      </w:r>
    </w:p>
    <w:p w:rsidR="00427656" w:rsidP="00427656">
      <w:pPr>
        <w:numPr>
          <w:ilvl w:val="0"/>
          <w:numId w:val="7"/>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完善数据质量精细化监视子系统</w:t>
      </w:r>
    </w:p>
    <w:p w:rsidR="00427656" w:rsidP="00427656">
      <w:pPr>
        <w:snapToGrid w:val="0"/>
        <w:spacing w:line="360" w:lineRule="auto"/>
        <w:ind w:left="54" w:firstLine="508" w:firstLineChars="242"/>
        <w:jc w:val="left"/>
        <w:rPr>
          <w:rFonts w:ascii="宋体" w:hAnsi="宋体" w:cs="宋体"/>
          <w:b/>
          <w:bCs/>
          <w:color w:val="000000"/>
          <w:kern w:val="0"/>
          <w:szCs w:val="21"/>
        </w:rPr>
      </w:pPr>
      <w:r>
        <w:rPr>
          <w:rFonts w:ascii="宋体" w:hAnsi="宋体"/>
          <w:szCs w:val="21"/>
        </w:rPr>
        <w:t>利用多维度、多手段查询分析方式，加强数据质量监视功能完善优化，</w:t>
      </w:r>
      <w:r>
        <w:rPr>
          <w:rFonts w:ascii="宋体" w:hAnsi="宋体" w:hint="eastAsia"/>
          <w:szCs w:val="21"/>
        </w:rPr>
        <w:t>实现数据质量问题</w:t>
      </w:r>
      <w:r>
        <w:rPr>
          <w:rFonts w:ascii="宋体" w:hAnsi="宋体" w:cs="宋体" w:hint="eastAsia"/>
          <w:color w:val="000000"/>
          <w:kern w:val="0"/>
          <w:szCs w:val="21"/>
        </w:rPr>
        <w:t>快速定位分析。完成</w:t>
      </w:r>
      <w:r>
        <w:rPr>
          <w:rFonts w:ascii="仿宋_GB2312" w:hAnsi="仿宋_GB2312" w:cs="微软雅黑" w:hint="eastAsia"/>
          <w:color w:val="000000"/>
          <w:lang w:bidi="ar"/>
        </w:rPr>
        <w:t>多维度极值统计查询模块</w:t>
      </w:r>
      <w:r>
        <w:rPr>
          <w:rFonts w:ascii="仿宋_GB2312" w:hAnsi="仿宋_GB2312" w:cs="微软雅黑"/>
          <w:color w:val="000000"/>
          <w:lang w:bidi="ar"/>
        </w:rPr>
        <w:t>、</w:t>
      </w:r>
      <w:r>
        <w:rPr>
          <w:rFonts w:ascii="仿宋_GB2312" w:hAnsi="仿宋_GB2312" w:cs="微软雅黑" w:hint="eastAsia"/>
          <w:color w:val="000000"/>
          <w:lang w:bidi="ar"/>
        </w:rPr>
        <w:t>多屏数据质量对比分析模块</w:t>
      </w:r>
      <w:r>
        <w:rPr>
          <w:rFonts w:ascii="仿宋_GB2312" w:hAnsi="仿宋_GB2312" w:cs="微软雅黑"/>
          <w:color w:val="000000"/>
          <w:lang w:bidi="ar"/>
        </w:rPr>
        <w:t>、</w:t>
      </w:r>
      <w:r>
        <w:rPr>
          <w:rFonts w:ascii="仿宋_GB2312" w:hAnsi="仿宋_GB2312" w:cs="微软雅黑" w:hint="eastAsia"/>
          <w:color w:val="000000"/>
          <w:lang w:bidi="ar"/>
        </w:rPr>
        <w:t>场景定制模块</w:t>
      </w:r>
      <w:r>
        <w:rPr>
          <w:rFonts w:ascii="宋体" w:hAnsi="宋体" w:hint="eastAsia"/>
          <w:szCs w:val="21"/>
        </w:rPr>
        <w:t>等功能建设。</w:t>
      </w:r>
    </w:p>
    <w:p w:rsidR="00427656" w:rsidP="00427656">
      <w:pPr>
        <w:numPr>
          <w:ilvl w:val="0"/>
          <w:numId w:val="7"/>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完善异常反馈子系统</w:t>
      </w:r>
    </w:p>
    <w:p w:rsidR="00427656" w:rsidP="00427656">
      <w:pPr>
        <w:snapToGrid w:val="0"/>
        <w:spacing w:line="360" w:lineRule="auto"/>
        <w:ind w:left="54" w:firstLine="508" w:firstLineChars="242"/>
        <w:jc w:val="left"/>
        <w:rPr>
          <w:rFonts w:ascii="宋体" w:hAnsi="宋体" w:cs="宋体"/>
          <w:b/>
          <w:bCs/>
          <w:color w:val="000000"/>
          <w:kern w:val="0"/>
          <w:szCs w:val="21"/>
        </w:rPr>
      </w:pPr>
      <w:r>
        <w:rPr>
          <w:rFonts w:ascii="仿宋_GB2312" w:hAnsi="仿宋_GB2312" w:cs="微软雅黑" w:hint="eastAsia"/>
          <w:color w:val="000000"/>
          <w:lang w:bidi="ar"/>
        </w:rPr>
        <w:t>推动</w:t>
      </w:r>
      <w:r>
        <w:rPr>
          <w:rFonts w:ascii="仿宋_GB2312" w:hAnsi="仿宋_GB2312" w:cs="微软雅黑"/>
          <w:color w:val="000000"/>
          <w:lang w:bidi="ar"/>
        </w:rPr>
        <w:t>多源异常告警信息</w:t>
      </w:r>
      <w:r>
        <w:rPr>
          <w:rFonts w:ascii="仿宋_GB2312" w:hAnsi="仿宋_GB2312" w:cs="微软雅黑" w:hint="eastAsia"/>
          <w:color w:val="000000"/>
          <w:lang w:bidi="ar"/>
        </w:rPr>
        <w:t>接入与互动</w:t>
      </w:r>
      <w:r>
        <w:rPr>
          <w:rFonts w:ascii="仿宋_GB2312" w:hAnsi="仿宋_GB2312" w:cs="微软雅黑"/>
          <w:color w:val="000000"/>
          <w:lang w:bidi="ar"/>
        </w:rPr>
        <w:t>反馈</w:t>
      </w:r>
      <w:r>
        <w:rPr>
          <w:rFonts w:ascii="仿宋_GB2312" w:hAnsi="仿宋_GB2312" w:cs="微软雅黑" w:hint="eastAsia"/>
          <w:color w:val="000000"/>
          <w:lang w:bidi="ar"/>
        </w:rPr>
        <w:t>功能建设，实现不同数据源告警反馈信息的互动</w:t>
      </w:r>
      <w:r>
        <w:rPr>
          <w:rFonts w:ascii="仿宋_GB2312" w:hAnsi="仿宋_GB2312" w:cs="微软雅黑" w:hint="eastAsia"/>
          <w:color w:val="000000"/>
          <w:lang w:bidi="ar"/>
        </w:rPr>
        <w:t>,</w:t>
      </w:r>
      <w:r>
        <w:rPr>
          <w:rFonts w:ascii="仿宋_GB2312" w:hAnsi="仿宋_GB2312" w:cs="微软雅黑" w:hint="eastAsia"/>
          <w:color w:val="000000"/>
          <w:lang w:bidi="ar"/>
        </w:rPr>
        <w:t>为不同用户提供统一处理和交互平台。完成异常反馈告警融合模块</w:t>
      </w:r>
      <w:r>
        <w:rPr>
          <w:rFonts w:ascii="仿宋_GB2312" w:hAnsi="仿宋_GB2312" w:cs="微软雅黑"/>
          <w:color w:val="000000"/>
          <w:lang w:bidi="ar"/>
        </w:rPr>
        <w:t>、</w:t>
      </w:r>
      <w:r>
        <w:rPr>
          <w:rFonts w:ascii="仿宋_GB2312" w:hAnsi="仿宋_GB2312" w:cs="微软雅黑" w:hint="eastAsia"/>
          <w:color w:val="000000"/>
          <w:lang w:bidi="ar"/>
        </w:rPr>
        <w:t>多源异常告警信息互动反馈模块</w:t>
      </w:r>
      <w:r>
        <w:rPr>
          <w:rFonts w:ascii="宋体" w:hAnsi="宋体" w:hint="eastAsia"/>
          <w:szCs w:val="21"/>
        </w:rPr>
        <w:t>等功能建设。</w:t>
      </w:r>
    </w:p>
    <w:p w:rsidR="00427656" w:rsidP="00427656">
      <w:pPr>
        <w:numPr>
          <w:ilvl w:val="0"/>
          <w:numId w:val="4"/>
        </w:numPr>
        <w:spacing w:line="360" w:lineRule="auto"/>
        <w:ind w:left="851"/>
        <w:rPr>
          <w:rFonts w:ascii="宋体" w:hAnsi="宋体" w:cs="宋体"/>
          <w:b/>
          <w:bCs/>
          <w:kern w:val="0"/>
          <w:szCs w:val="21"/>
        </w:rPr>
      </w:pPr>
      <w:r>
        <w:rPr>
          <w:rFonts w:ascii="宋体" w:hAnsi="宋体" w:cs="宋体" w:hint="eastAsia"/>
          <w:b/>
          <w:bCs/>
          <w:kern w:val="0"/>
          <w:szCs w:val="21"/>
        </w:rPr>
        <w:t>元数据融合分析评估方法建设系统建设</w:t>
      </w:r>
    </w:p>
    <w:p w:rsidR="00427656" w:rsidP="00427656">
      <w:pPr>
        <w:snapToGrid w:val="0"/>
        <w:spacing w:line="360" w:lineRule="auto"/>
        <w:ind w:left="54" w:firstLine="508" w:firstLineChars="242"/>
        <w:jc w:val="left"/>
        <w:rPr>
          <w:rFonts w:ascii="宋体" w:hAnsi="宋体"/>
          <w:szCs w:val="21"/>
        </w:rPr>
      </w:pPr>
      <w:r>
        <w:rPr>
          <w:rFonts w:ascii="宋体" w:hAnsi="宋体" w:hint="eastAsia"/>
          <w:szCs w:val="21"/>
        </w:rPr>
        <w:t>开发一套基于卷积神经网络的图像智能识别模型人工智能图片分类筛选算法，用于自动</w:t>
      </w:r>
      <w:r>
        <w:rPr>
          <w:rFonts w:ascii="宋体" w:hAnsi="宋体" w:hint="eastAsia"/>
          <w:szCs w:val="21"/>
        </w:rPr>
        <w:t>批量对</w:t>
      </w:r>
      <w:r>
        <w:rPr>
          <w:rFonts w:ascii="宋体" w:hAnsi="宋体" w:hint="eastAsia"/>
          <w:szCs w:val="21"/>
        </w:rPr>
        <w:t>气象观测台站环境图片进行分级分类标签化分组,实现元数据信息的融合分析。完成训练数据筛选模块</w:t>
      </w:r>
      <w:r>
        <w:rPr>
          <w:rFonts w:ascii="宋体" w:hAnsi="宋体"/>
          <w:szCs w:val="21"/>
        </w:rPr>
        <w:t>、</w:t>
      </w:r>
      <w:r>
        <w:rPr>
          <w:rFonts w:ascii="宋体" w:hAnsi="宋体" w:hint="eastAsia"/>
          <w:szCs w:val="21"/>
        </w:rPr>
        <w:t>训练数据标记模块</w:t>
      </w:r>
      <w:r>
        <w:rPr>
          <w:rFonts w:ascii="宋体" w:hAnsi="宋体"/>
          <w:szCs w:val="21"/>
        </w:rPr>
        <w:t>、</w:t>
      </w:r>
      <w:r>
        <w:rPr>
          <w:rFonts w:ascii="宋体" w:hAnsi="宋体" w:hint="eastAsia"/>
          <w:szCs w:val="21"/>
        </w:rPr>
        <w:t>人工智能图像识别算法训练模块</w:t>
      </w:r>
      <w:r>
        <w:rPr>
          <w:rFonts w:ascii="宋体" w:hAnsi="宋体"/>
          <w:szCs w:val="21"/>
        </w:rPr>
        <w:t>、</w:t>
      </w:r>
      <w:r>
        <w:rPr>
          <w:rFonts w:ascii="宋体" w:hAnsi="宋体" w:hint="eastAsia"/>
          <w:szCs w:val="21"/>
        </w:rPr>
        <w:t>全部台站环境图片的自动分类标记模块、基于探测环境图片的探测环境质量评价模块等5个功能模块</w:t>
      </w:r>
      <w:r>
        <w:rPr>
          <w:rFonts w:ascii="宋体" w:hAnsi="宋体" w:hint="eastAsia"/>
          <w:szCs w:val="21"/>
        </w:rPr>
        <w:t>建设。</w:t>
      </w:r>
    </w:p>
    <w:p w:rsidR="00427656" w:rsidP="00427656">
      <w:pPr>
        <w:numPr>
          <w:ilvl w:val="0"/>
          <w:numId w:val="8"/>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探测环境图片评估数据集</w:t>
      </w:r>
    </w:p>
    <w:p w:rsidR="00427656" w:rsidP="00427656">
      <w:pPr>
        <w:spacing w:line="360" w:lineRule="auto"/>
        <w:ind w:firstLine="420" w:firstLineChars="200"/>
        <w:rPr>
          <w:rFonts w:ascii="宋体" w:hAnsi="宋体" w:cs="宋体"/>
          <w:color w:val="000000"/>
          <w:kern w:val="0"/>
          <w:szCs w:val="21"/>
        </w:rPr>
      </w:pPr>
      <w:r>
        <w:rPr>
          <w:rFonts w:ascii="Times New Roman" w:hAnsi="Times New Roman" w:cs="Times New Roman" w:hint="eastAsia"/>
          <w:szCs w:val="21"/>
        </w:rPr>
        <w:t>对观测站的探测环境图片数据进行筛选，对图片中的特殊属性进行标记，作为后续模型训练的监督信息。</w:t>
      </w:r>
    </w:p>
    <w:p w:rsidR="00427656" w:rsidP="00427656">
      <w:pPr>
        <w:numPr>
          <w:ilvl w:val="0"/>
          <w:numId w:val="8"/>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探测环境图片智能甄别算法</w:t>
      </w:r>
    </w:p>
    <w:p w:rsidR="00427656" w:rsidP="00427656">
      <w:pPr>
        <w:spacing w:line="360" w:lineRule="auto"/>
        <w:ind w:left="411"/>
        <w:rPr>
          <w:rFonts w:ascii="宋体" w:hAnsi="宋体"/>
          <w:szCs w:val="21"/>
          <w:highlight w:val="yellow"/>
        </w:rPr>
      </w:pPr>
      <w:r>
        <w:rPr>
          <w:rFonts w:ascii="宋体" w:hAnsi="宋体" w:cs="宋体" w:hint="eastAsia"/>
          <w:color w:val="000000"/>
          <w:kern w:val="0"/>
          <w:szCs w:val="21"/>
        </w:rPr>
        <w:t>实现特殊属性的自动智能甄别，对台站进行分类，提供分类结果的结构化输出。</w:t>
      </w:r>
    </w:p>
    <w:p w:rsidR="00427656" w:rsidP="00427656">
      <w:pPr>
        <w:numPr>
          <w:ilvl w:val="0"/>
          <w:numId w:val="4"/>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省级本地化数据质量控制系统建设</w:t>
      </w:r>
    </w:p>
    <w:p w:rsidR="00427656" w:rsidP="00427656">
      <w:pPr>
        <w:spacing w:line="360" w:lineRule="auto"/>
        <w:ind w:firstLine="420" w:firstLineChars="200"/>
        <w:rPr>
          <w:rFonts w:ascii="宋体" w:hAnsi="宋体" w:cs="宋体"/>
          <w:color w:val="000000"/>
          <w:kern w:val="0"/>
          <w:szCs w:val="21"/>
        </w:rPr>
      </w:pPr>
      <w:r>
        <w:rPr>
          <w:rFonts w:ascii="宋体" w:hAnsi="宋体" w:cs="宋体" w:hint="eastAsia"/>
          <w:color w:val="000000"/>
          <w:kern w:val="0"/>
          <w:szCs w:val="21"/>
        </w:rPr>
        <w:t>持续推进省级本地化数据质量控制系统的开发，实现地面、土壤水分、L波段探空等观测资料的实时质量控制、迭代质量控制、多源质量控制、</w:t>
      </w:r>
      <w:r>
        <w:rPr>
          <w:rFonts w:ascii="宋体" w:hAnsi="宋体" w:cs="宋体" w:hint="eastAsia"/>
          <w:color w:val="000000"/>
          <w:kern w:val="0"/>
          <w:szCs w:val="21"/>
        </w:rPr>
        <w:t>疑</w:t>
      </w:r>
      <w:r>
        <w:rPr>
          <w:rFonts w:ascii="宋体" w:hAnsi="宋体" w:cs="宋体" w:hint="eastAsia"/>
          <w:color w:val="000000"/>
          <w:kern w:val="0"/>
          <w:szCs w:val="21"/>
        </w:rPr>
        <w:t>误数据处理、更正报自动采纳和异常反馈等业务功能。优化数据同步机制，实现国省系统观测数据、更正消息、质</w:t>
      </w:r>
      <w:r>
        <w:rPr>
          <w:rFonts w:ascii="宋体" w:hAnsi="宋体" w:cs="宋体" w:hint="eastAsia"/>
          <w:color w:val="000000"/>
          <w:kern w:val="0"/>
          <w:szCs w:val="21"/>
        </w:rPr>
        <w:t>控结果</w:t>
      </w:r>
      <w:r>
        <w:rPr>
          <w:rFonts w:ascii="宋体" w:hAnsi="宋体" w:cs="宋体" w:hint="eastAsia"/>
          <w:color w:val="000000"/>
          <w:kern w:val="0"/>
          <w:szCs w:val="21"/>
        </w:rPr>
        <w:t>的高效同步，完成省级精细化应用改造。完成省级质量控制子系统、台站上传更正报自动采纳子系统、</w:t>
      </w:r>
      <w:r>
        <w:rPr>
          <w:rFonts w:ascii="宋体" w:hAnsi="宋体" w:cs="宋体" w:hint="eastAsia"/>
          <w:color w:val="000000"/>
          <w:kern w:val="0"/>
          <w:szCs w:val="21"/>
        </w:rPr>
        <w:t>疑</w:t>
      </w:r>
      <w:r>
        <w:rPr>
          <w:rFonts w:ascii="宋体" w:hAnsi="宋体" w:cs="宋体" w:hint="eastAsia"/>
          <w:color w:val="000000"/>
          <w:kern w:val="0"/>
          <w:szCs w:val="21"/>
        </w:rPr>
        <w:t>误数据处理子系统、国省数据同步子系统等四个子系统20个功能模块建设。</w:t>
      </w:r>
    </w:p>
    <w:p w:rsidR="00427656" w:rsidP="00427656">
      <w:pPr>
        <w:numPr>
          <w:ilvl w:val="0"/>
          <w:numId w:val="9"/>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省级质量控制子系统</w:t>
      </w:r>
    </w:p>
    <w:p w:rsidR="00427656" w:rsidP="00427656">
      <w:pPr>
        <w:spacing w:line="360" w:lineRule="auto"/>
        <w:ind w:firstLine="420" w:firstLineChars="200"/>
        <w:rPr>
          <w:rFonts w:ascii="宋体" w:hAnsi="宋体" w:cs="宋体"/>
          <w:color w:val="000000"/>
          <w:kern w:val="0"/>
          <w:szCs w:val="21"/>
        </w:rPr>
      </w:pPr>
      <w:r>
        <w:rPr>
          <w:rFonts w:ascii="宋体" w:hAnsi="宋体" w:cs="宋体" w:hint="eastAsia"/>
          <w:color w:val="000000"/>
          <w:kern w:val="0"/>
          <w:szCs w:val="21"/>
        </w:rPr>
        <w:t>基于省级“天擎”地面观测实时质量控制程序框架，优化完善地面、土壤水分、L波段探空等数据基本质控和</w:t>
      </w:r>
      <w:r>
        <w:rPr>
          <w:rFonts w:ascii="宋体" w:hAnsi="宋体" w:cs="宋体" w:hint="eastAsia"/>
          <w:color w:val="000000"/>
          <w:kern w:val="0"/>
          <w:szCs w:val="21"/>
        </w:rPr>
        <w:t>多源质控</w:t>
      </w:r>
      <w:r>
        <w:rPr>
          <w:rFonts w:ascii="宋体" w:hAnsi="宋体" w:cs="宋体" w:hint="eastAsia"/>
          <w:color w:val="000000"/>
          <w:kern w:val="0"/>
          <w:szCs w:val="21"/>
        </w:rPr>
        <w:t>方法，</w:t>
      </w:r>
      <w:r>
        <w:rPr>
          <w:rFonts w:ascii="宋体" w:hAnsi="宋体" w:hint="eastAsia"/>
          <w:szCs w:val="21"/>
        </w:rPr>
        <w:t>开展</w:t>
      </w:r>
      <w:r>
        <w:rPr>
          <w:rFonts w:ascii="仿宋_GB2312" w:hAnsi="仿宋_GB2312" w:cs="微软雅黑" w:hint="eastAsia"/>
          <w:color w:val="000000"/>
          <w:lang w:bidi="ar"/>
        </w:rPr>
        <w:t>省级地面数据质量控制模块、省级土壤水分数据质量控制模块、省级探空数据质量控制模块、省级全流程质控编码编发</w:t>
      </w:r>
      <w:r>
        <w:rPr>
          <w:rFonts w:ascii="宋体" w:hAnsi="宋体" w:hint="eastAsia"/>
          <w:szCs w:val="21"/>
        </w:rPr>
        <w:t>等功能建设。</w:t>
      </w:r>
    </w:p>
    <w:p w:rsidR="00427656" w:rsidP="00427656">
      <w:pPr>
        <w:numPr>
          <w:ilvl w:val="0"/>
          <w:numId w:val="9"/>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台站上传更正报自动采纳子系统</w:t>
      </w:r>
    </w:p>
    <w:p w:rsidR="00427656" w:rsidP="00427656">
      <w:pPr>
        <w:spacing w:line="360" w:lineRule="auto"/>
        <w:ind w:firstLine="420" w:firstLineChars="200"/>
        <w:rPr>
          <w:rFonts w:ascii="宋体" w:hAnsi="宋体" w:cs="宋体"/>
          <w:color w:val="000000"/>
          <w:kern w:val="0"/>
          <w:szCs w:val="21"/>
        </w:rPr>
      </w:pPr>
      <w:r>
        <w:rPr>
          <w:rFonts w:ascii="宋体" w:hAnsi="宋体" w:cs="宋体" w:hint="eastAsia"/>
          <w:color w:val="000000"/>
          <w:kern w:val="0"/>
          <w:szCs w:val="21"/>
        </w:rPr>
        <w:t>基于省级“天擎”地面观测实时质量控制程序框架，针对入库后的台站上传更正报数据，</w:t>
      </w:r>
      <w:r>
        <w:rPr>
          <w:rFonts w:ascii="宋体" w:hAnsi="宋体" w:hint="eastAsia"/>
          <w:szCs w:val="21"/>
        </w:rPr>
        <w:t>开展</w:t>
      </w:r>
      <w:r>
        <w:rPr>
          <w:rFonts w:ascii="仿宋_GB2312" w:hAnsi="仿宋_GB2312" w:cs="微软雅黑" w:hint="eastAsia"/>
          <w:color w:val="000000"/>
          <w:lang w:bidi="ar"/>
        </w:rPr>
        <w:t>分钟数据更正报自动采纳模块、小时数据更正报自动采纳模块、</w:t>
      </w:r>
      <w:r>
        <w:rPr>
          <w:rFonts w:ascii="仿宋_GB2312" w:hAnsi="仿宋_GB2312" w:cs="微软雅黑" w:hint="eastAsia"/>
          <w:color w:val="000000"/>
          <w:lang w:bidi="ar"/>
        </w:rPr>
        <w:t>日数据</w:t>
      </w:r>
      <w:r>
        <w:rPr>
          <w:rFonts w:ascii="仿宋_GB2312" w:hAnsi="仿宋_GB2312" w:cs="微软雅黑" w:hint="eastAsia"/>
          <w:color w:val="000000"/>
          <w:lang w:bidi="ar"/>
        </w:rPr>
        <w:t>更正报自动采纳模块、日照数据更正报自动采纳模块、重要天气现象数据更正报自动采纳模块、</w:t>
      </w:r>
      <w:r>
        <w:rPr>
          <w:rFonts w:ascii="仿宋_GB2312" w:hAnsi="仿宋_GB2312" w:cs="微软雅黑" w:hint="eastAsia"/>
          <w:color w:val="000000"/>
          <w:lang w:bidi="ar"/>
        </w:rPr>
        <w:t>L</w:t>
      </w:r>
      <w:r>
        <w:rPr>
          <w:rFonts w:ascii="仿宋_GB2312" w:hAnsi="仿宋_GB2312" w:cs="微软雅黑" w:hint="eastAsia"/>
          <w:color w:val="000000"/>
          <w:lang w:bidi="ar"/>
        </w:rPr>
        <w:t>波段探空数据更正报自动采纳模块</w:t>
      </w:r>
      <w:r>
        <w:rPr>
          <w:rFonts w:ascii="宋体" w:hAnsi="宋体" w:hint="eastAsia"/>
          <w:szCs w:val="21"/>
        </w:rPr>
        <w:t>等功能建设。</w:t>
      </w:r>
    </w:p>
    <w:p w:rsidR="00427656" w:rsidP="00427656">
      <w:pPr>
        <w:numPr>
          <w:ilvl w:val="0"/>
          <w:numId w:val="9"/>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疑</w:t>
      </w:r>
      <w:r>
        <w:rPr>
          <w:rFonts w:ascii="宋体" w:hAnsi="宋体" w:cs="宋体" w:hint="eastAsia"/>
          <w:b/>
          <w:bCs/>
          <w:color w:val="000000"/>
          <w:kern w:val="0"/>
          <w:szCs w:val="21"/>
        </w:rPr>
        <w:t>误数据处理子系统</w:t>
      </w:r>
    </w:p>
    <w:p w:rsidR="00427656" w:rsidP="00427656">
      <w:pPr>
        <w:spacing w:line="360" w:lineRule="auto"/>
        <w:ind w:firstLine="420" w:firstLineChars="200"/>
        <w:rPr>
          <w:rFonts w:ascii="宋体" w:hAnsi="宋体" w:cs="宋体"/>
          <w:color w:val="000000"/>
          <w:kern w:val="0"/>
          <w:szCs w:val="21"/>
        </w:rPr>
      </w:pPr>
      <w:r>
        <w:rPr>
          <w:rFonts w:ascii="宋体" w:hAnsi="宋体" w:cs="宋体" w:hint="eastAsia"/>
          <w:color w:val="000000"/>
          <w:kern w:val="0"/>
          <w:szCs w:val="21"/>
        </w:rPr>
        <w:t>基于省级</w:t>
      </w:r>
      <w:r>
        <w:rPr>
          <w:rFonts w:ascii="宋体" w:hAnsi="宋体" w:cs="宋体" w:hint="cs"/>
          <w:color w:val="000000"/>
          <w:kern w:val="0"/>
          <w:szCs w:val="21"/>
        </w:rPr>
        <w:t>“</w:t>
      </w:r>
      <w:r>
        <w:rPr>
          <w:rFonts w:ascii="宋体" w:hAnsi="宋体" w:cs="宋体" w:hint="eastAsia"/>
          <w:color w:val="000000"/>
          <w:kern w:val="0"/>
          <w:szCs w:val="21"/>
        </w:rPr>
        <w:t>天擎</w:t>
      </w:r>
      <w:r>
        <w:rPr>
          <w:rFonts w:ascii="宋体" w:hAnsi="宋体" w:cs="宋体" w:hint="cs"/>
          <w:color w:val="000000"/>
          <w:kern w:val="0"/>
          <w:szCs w:val="21"/>
        </w:rPr>
        <w:t>”</w:t>
      </w:r>
      <w:r>
        <w:rPr>
          <w:rFonts w:ascii="宋体" w:hAnsi="宋体" w:cs="宋体" w:hint="eastAsia"/>
          <w:color w:val="000000"/>
          <w:kern w:val="0"/>
          <w:szCs w:val="21"/>
        </w:rPr>
        <w:t>本地化数据质量控制系统的</w:t>
      </w:r>
      <w:r>
        <w:rPr>
          <w:rFonts w:ascii="宋体" w:hAnsi="宋体" w:cs="宋体" w:hint="eastAsia"/>
          <w:color w:val="000000"/>
          <w:kern w:val="0"/>
          <w:szCs w:val="21"/>
        </w:rPr>
        <w:t>疑</w:t>
      </w:r>
      <w:r>
        <w:rPr>
          <w:rFonts w:ascii="宋体" w:hAnsi="宋体" w:cs="宋体" w:hint="eastAsia"/>
          <w:color w:val="000000"/>
          <w:kern w:val="0"/>
          <w:szCs w:val="21"/>
        </w:rPr>
        <w:t>误数据处理功能，优化完善地面数据</w:t>
      </w:r>
      <w:r>
        <w:rPr>
          <w:rFonts w:ascii="宋体" w:hAnsi="宋体" w:cs="宋体" w:hint="eastAsia"/>
          <w:color w:val="000000"/>
          <w:kern w:val="0"/>
          <w:szCs w:val="21"/>
        </w:rPr>
        <w:t>疑</w:t>
      </w:r>
      <w:r>
        <w:rPr>
          <w:rFonts w:ascii="宋体" w:hAnsi="宋体" w:cs="宋体" w:hint="eastAsia"/>
          <w:color w:val="000000"/>
          <w:kern w:val="0"/>
          <w:szCs w:val="21"/>
        </w:rPr>
        <w:t>误数据处理流程。</w:t>
      </w:r>
      <w:r>
        <w:rPr>
          <w:rFonts w:ascii="宋体" w:hAnsi="宋体" w:hint="eastAsia"/>
          <w:szCs w:val="21"/>
        </w:rPr>
        <w:t>开展</w:t>
      </w:r>
      <w:r>
        <w:rPr>
          <w:rFonts w:ascii="仿宋_GB2312" w:hAnsi="仿宋_GB2312" w:cs="微软雅黑" w:hint="eastAsia"/>
          <w:color w:val="000000"/>
          <w:lang w:bidi="ar"/>
        </w:rPr>
        <w:t>省级处理与查询反馈模块、台站处理与反馈模块、综合一致性分析模块、多</w:t>
      </w:r>
      <w:r>
        <w:rPr>
          <w:rFonts w:ascii="仿宋_GB2312" w:hAnsi="仿宋_GB2312" w:cs="微软雅黑" w:hint="eastAsia"/>
          <w:color w:val="000000"/>
          <w:lang w:bidi="ar"/>
        </w:rPr>
        <w:t>要素缺测模块</w:t>
      </w:r>
      <w:r>
        <w:rPr>
          <w:rFonts w:ascii="仿宋_GB2312" w:hAnsi="仿宋_GB2312" w:cs="微软雅黑" w:hint="eastAsia"/>
          <w:color w:val="000000"/>
          <w:lang w:bidi="ar"/>
        </w:rPr>
        <w:t>、观测项不一致模块、任意数据修改模块、任意数据批量修改模块、省级数据查询与质疑模块</w:t>
      </w:r>
      <w:r>
        <w:rPr>
          <w:rFonts w:ascii="宋体" w:hAnsi="宋体" w:hint="eastAsia"/>
          <w:szCs w:val="21"/>
        </w:rPr>
        <w:t>等功能建设。</w:t>
      </w:r>
    </w:p>
    <w:p w:rsidR="00427656" w:rsidP="00427656">
      <w:pPr>
        <w:numPr>
          <w:ilvl w:val="0"/>
          <w:numId w:val="9"/>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国省数据同步子系统</w:t>
      </w:r>
    </w:p>
    <w:p w:rsidR="00427656" w:rsidP="00427656">
      <w:pPr>
        <w:spacing w:line="360" w:lineRule="auto"/>
        <w:ind w:firstLine="420" w:firstLineChars="200"/>
        <w:rPr>
          <w:rFonts w:ascii="宋体" w:hAnsi="宋体" w:cs="宋体"/>
          <w:color w:val="000000"/>
          <w:kern w:val="0"/>
          <w:szCs w:val="21"/>
        </w:rPr>
      </w:pPr>
      <w:r>
        <w:rPr>
          <w:rFonts w:ascii="宋体" w:hAnsi="宋体" w:cs="宋体" w:hint="eastAsia"/>
          <w:color w:val="000000"/>
          <w:kern w:val="0"/>
          <w:szCs w:val="21"/>
        </w:rPr>
        <w:t>基于省级</w:t>
      </w:r>
      <w:r>
        <w:rPr>
          <w:rFonts w:ascii="宋体" w:hAnsi="宋体" w:cs="宋体" w:hint="cs"/>
          <w:color w:val="000000"/>
          <w:kern w:val="0"/>
          <w:szCs w:val="21"/>
        </w:rPr>
        <w:t>“</w:t>
      </w:r>
      <w:r>
        <w:rPr>
          <w:rFonts w:ascii="宋体" w:hAnsi="宋体" w:cs="宋体" w:hint="eastAsia"/>
          <w:color w:val="000000"/>
          <w:kern w:val="0"/>
          <w:szCs w:val="21"/>
        </w:rPr>
        <w:t>天擎</w:t>
      </w:r>
      <w:r>
        <w:rPr>
          <w:rFonts w:ascii="宋体" w:hAnsi="宋体" w:cs="宋体" w:hint="cs"/>
          <w:color w:val="000000"/>
          <w:kern w:val="0"/>
          <w:szCs w:val="21"/>
        </w:rPr>
        <w:t>”</w:t>
      </w:r>
      <w:r>
        <w:rPr>
          <w:rFonts w:ascii="宋体" w:hAnsi="宋体" w:cs="宋体" w:hint="eastAsia"/>
          <w:color w:val="000000"/>
          <w:kern w:val="0"/>
          <w:szCs w:val="21"/>
        </w:rPr>
        <w:t>本地化数据质量控制系统的</w:t>
      </w:r>
      <w:r>
        <w:rPr>
          <w:rFonts w:ascii="宋体" w:hAnsi="宋体" w:cs="宋体" w:hint="eastAsia"/>
          <w:color w:val="000000"/>
          <w:kern w:val="0"/>
          <w:szCs w:val="21"/>
        </w:rPr>
        <w:t>疑</w:t>
      </w:r>
      <w:r>
        <w:rPr>
          <w:rFonts w:ascii="宋体" w:hAnsi="宋体" w:cs="宋体" w:hint="eastAsia"/>
          <w:color w:val="000000"/>
          <w:kern w:val="0"/>
          <w:szCs w:val="21"/>
        </w:rPr>
        <w:t>误数据处理功能框架，优化数据同步机制，采用接口的形式，开展</w:t>
      </w:r>
      <w:r>
        <w:rPr>
          <w:rFonts w:ascii="宋体" w:hAnsi="宋体" w:cs="宋体" w:hint="eastAsia"/>
          <w:color w:val="000000"/>
          <w:kern w:val="0"/>
          <w:szCs w:val="21"/>
        </w:rPr>
        <w:t>疑</w:t>
      </w:r>
      <w:r>
        <w:rPr>
          <w:rFonts w:ascii="宋体" w:hAnsi="宋体" w:cs="宋体" w:hint="eastAsia"/>
          <w:color w:val="000000"/>
          <w:kern w:val="0"/>
          <w:szCs w:val="21"/>
        </w:rPr>
        <w:t>误数据处理结果同步模块、更正消息补发模块等功能建设</w:t>
      </w:r>
      <w:r>
        <w:rPr>
          <w:rFonts w:ascii="宋体" w:hAnsi="宋体" w:cs="宋体"/>
          <w:color w:val="000000"/>
          <w:kern w:val="0"/>
          <w:szCs w:val="21"/>
        </w:rPr>
        <w:t>。</w:t>
      </w:r>
    </w:p>
    <w:p w:rsidR="00427656" w:rsidP="00427656">
      <w:pPr>
        <w:snapToGrid w:val="0"/>
        <w:spacing w:line="360" w:lineRule="auto"/>
        <w:ind w:firstLine="420" w:firstLineChars="200"/>
        <w:jc w:val="left"/>
        <w:rPr>
          <w:b/>
          <w:szCs w:val="21"/>
        </w:rPr>
      </w:pPr>
      <w:r>
        <w:rPr>
          <w:rFonts w:ascii="宋体" w:hAnsi="宋体" w:cs="宋体"/>
          <w:b/>
          <w:color w:val="000000"/>
          <w:kern w:val="0"/>
          <w:szCs w:val="21"/>
        </w:rPr>
        <w:t>2.3</w:t>
      </w:r>
      <w:r>
        <w:rPr>
          <w:rFonts w:ascii="宋体" w:hAnsi="宋体" w:cs="宋体" w:hint="eastAsia"/>
          <w:b/>
          <w:color w:val="000000"/>
          <w:kern w:val="0"/>
          <w:szCs w:val="21"/>
        </w:rPr>
        <w:t>非功能性要求</w:t>
      </w:r>
    </w:p>
    <w:p w:rsidR="00427656" w:rsidP="00427656">
      <w:pPr>
        <w:numPr>
          <w:ilvl w:val="0"/>
          <w:numId w:val="10"/>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稳定性要求</w:t>
      </w:r>
    </w:p>
    <w:p w:rsidR="00427656" w:rsidP="00427656">
      <w:pPr>
        <w:snapToGrid w:val="0"/>
        <w:spacing w:line="360" w:lineRule="auto"/>
        <w:ind w:firstLine="420" w:firstLineChars="200"/>
        <w:rPr>
          <w:rFonts w:cs="宋体"/>
          <w:color w:val="000000"/>
          <w:szCs w:val="21"/>
          <w:lang w:bidi="ar"/>
        </w:rPr>
      </w:pPr>
      <w:r>
        <w:rPr>
          <w:rFonts w:cs="宋体" w:hint="eastAsia"/>
          <w:color w:val="000000"/>
          <w:szCs w:val="21"/>
          <w:lang w:bidi="ar"/>
        </w:rPr>
        <w:t>系统年故障总时间小于</w:t>
      </w:r>
      <w:r>
        <w:rPr>
          <w:rFonts w:cs="宋体"/>
          <w:color w:val="000000"/>
          <w:szCs w:val="21"/>
          <w:lang w:bidi="ar"/>
        </w:rPr>
        <w:t>12</w:t>
      </w:r>
      <w:r>
        <w:rPr>
          <w:rFonts w:cs="宋体" w:hint="eastAsia"/>
          <w:color w:val="000000"/>
          <w:szCs w:val="21"/>
          <w:lang w:bidi="ar"/>
        </w:rPr>
        <w:t>小时，故障恢复时间小于</w:t>
      </w:r>
      <w:r>
        <w:rPr>
          <w:rFonts w:cs="宋体"/>
          <w:color w:val="000000"/>
          <w:szCs w:val="21"/>
          <w:lang w:bidi="ar"/>
        </w:rPr>
        <w:t>1</w:t>
      </w:r>
      <w:r>
        <w:rPr>
          <w:rFonts w:cs="宋体" w:hint="eastAsia"/>
          <w:color w:val="000000"/>
          <w:szCs w:val="21"/>
          <w:lang w:bidi="ar"/>
        </w:rPr>
        <w:t>小时。</w:t>
      </w:r>
      <w:r>
        <w:rPr>
          <w:rFonts w:cs="宋体"/>
          <w:color w:val="000000"/>
          <w:szCs w:val="21"/>
          <w:lang w:bidi="ar"/>
        </w:rPr>
        <w:t>7×24</w:t>
      </w:r>
      <w:r>
        <w:rPr>
          <w:rFonts w:cs="宋体" w:hint="eastAsia"/>
          <w:color w:val="000000"/>
          <w:szCs w:val="21"/>
          <w:lang w:bidi="ar"/>
        </w:rPr>
        <w:t>小时运行期间，平均故障间隔时间不小于</w:t>
      </w:r>
      <w:r>
        <w:rPr>
          <w:rFonts w:cs="宋体"/>
          <w:color w:val="000000"/>
          <w:szCs w:val="21"/>
          <w:lang w:bidi="ar"/>
        </w:rPr>
        <w:t>1</w:t>
      </w:r>
      <w:r>
        <w:rPr>
          <w:rFonts w:cs="宋体" w:hint="eastAsia"/>
          <w:color w:val="000000"/>
          <w:szCs w:val="21"/>
          <w:lang w:bidi="ar"/>
        </w:rPr>
        <w:t>个月。</w:t>
      </w:r>
    </w:p>
    <w:p w:rsidR="00427656" w:rsidP="00427656">
      <w:pPr>
        <w:numPr>
          <w:ilvl w:val="0"/>
          <w:numId w:val="10"/>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易用性要求</w:t>
      </w:r>
    </w:p>
    <w:p w:rsidR="00427656" w:rsidP="00427656">
      <w:pPr>
        <w:snapToGrid w:val="0"/>
        <w:spacing w:line="360" w:lineRule="auto"/>
        <w:ind w:firstLine="420" w:firstLineChars="200"/>
        <w:rPr>
          <w:color w:val="000000"/>
          <w:szCs w:val="21"/>
        </w:rPr>
      </w:pPr>
      <w:r>
        <w:rPr>
          <w:rFonts w:cs="宋体" w:hint="eastAsia"/>
          <w:color w:val="000000"/>
          <w:szCs w:val="21"/>
          <w:lang w:bidi="ar"/>
        </w:rPr>
        <w:t>在日常的业务运行中，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rsidR="00427656" w:rsidP="00427656">
      <w:pPr>
        <w:snapToGrid w:val="0"/>
        <w:spacing w:line="360" w:lineRule="auto"/>
        <w:ind w:firstLine="420" w:firstLineChars="200"/>
        <w:rPr>
          <w:color w:val="000000"/>
          <w:szCs w:val="21"/>
        </w:rPr>
      </w:pPr>
      <w:r>
        <w:rPr>
          <w:rFonts w:cs="宋体" w:hint="eastAsia"/>
          <w:color w:val="000000"/>
          <w:szCs w:val="21"/>
          <w:lang w:bidi="ar"/>
        </w:rPr>
        <w:t>系统具备完备的用户操作手册，用户手册准确无误、易读易懂，能够帮助一般用户很快地了解和使用系统；备有联机帮助命令，具有检索和导引功能，能够很方便地查到系统的主要信息。</w:t>
      </w:r>
    </w:p>
    <w:p w:rsidR="00427656" w:rsidP="00427656">
      <w:pPr>
        <w:snapToGrid w:val="0"/>
        <w:spacing w:line="360" w:lineRule="auto"/>
        <w:ind w:firstLine="420" w:firstLineChars="200"/>
        <w:rPr>
          <w:color w:val="000000"/>
          <w:szCs w:val="21"/>
        </w:rPr>
      </w:pPr>
      <w:r>
        <w:rPr>
          <w:rFonts w:cs="宋体" w:hint="eastAsia"/>
          <w:color w:val="000000"/>
          <w:szCs w:val="21"/>
          <w:lang w:bidi="ar"/>
        </w:rPr>
        <w:t>操作界面是图形化的，且具有菜单和快捷键及命令行等多种方式；操作命令或菜单选择是可导引的，即可引导用户输入正确、完整的命令或完成正确的菜单选择。</w:t>
      </w:r>
    </w:p>
    <w:p w:rsidR="00427656" w:rsidP="00427656">
      <w:pPr>
        <w:numPr>
          <w:ilvl w:val="0"/>
          <w:numId w:val="10"/>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扩展性要求</w:t>
      </w:r>
    </w:p>
    <w:p w:rsidR="00427656" w:rsidP="00427656">
      <w:pPr>
        <w:snapToGrid w:val="0"/>
        <w:spacing w:line="360" w:lineRule="auto"/>
        <w:ind w:firstLine="420" w:firstLineChars="200"/>
        <w:rPr>
          <w:color w:val="000000"/>
          <w:szCs w:val="21"/>
        </w:rPr>
      </w:pPr>
      <w:r>
        <w:rPr>
          <w:rFonts w:cs="宋体" w:hint="eastAsia"/>
          <w:color w:val="000000"/>
          <w:szCs w:val="21"/>
          <w:lang w:bidi="ar"/>
        </w:rPr>
        <w:t>系统能够适应将来可能出现的新数据业务的接入需求，在接入新增业务时不需要改造原软件系统，根据预留接口和业务参数驱动，能实现新业务功能模块的接入。满足不断增长的数据管理需求、终端用户需求、功能类型需求等。系统须具备良好的开放性，在标准接口和组件的支撑下，支持第三</w:t>
      </w:r>
      <w:r>
        <w:rPr>
          <w:rFonts w:cs="宋体" w:hint="eastAsia"/>
          <w:color w:val="000000"/>
          <w:szCs w:val="21"/>
          <w:lang w:bidi="ar"/>
        </w:rPr>
        <w:t>方用户</w:t>
      </w:r>
      <w:r>
        <w:rPr>
          <w:rFonts w:cs="宋体" w:hint="eastAsia"/>
          <w:color w:val="000000"/>
          <w:szCs w:val="21"/>
          <w:lang w:bidi="ar"/>
        </w:rPr>
        <w:t>的快速开发接入。</w:t>
      </w:r>
    </w:p>
    <w:p w:rsidR="00427656" w:rsidP="00427656">
      <w:pPr>
        <w:numPr>
          <w:ilvl w:val="0"/>
          <w:numId w:val="10"/>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维护性要求</w:t>
      </w:r>
    </w:p>
    <w:p w:rsidR="00427656" w:rsidP="00427656">
      <w:pPr>
        <w:snapToGrid w:val="0"/>
        <w:spacing w:line="360" w:lineRule="auto"/>
        <w:ind w:firstLine="420" w:firstLineChars="200"/>
        <w:rPr>
          <w:color w:val="000000"/>
          <w:szCs w:val="21"/>
        </w:rPr>
      </w:pPr>
      <w:r>
        <w:rPr>
          <w:rFonts w:cs="宋体" w:hint="eastAsia"/>
          <w:color w:val="000000"/>
          <w:szCs w:val="21"/>
          <w:lang w:bidi="ar"/>
        </w:rPr>
        <w:t>提供详细的维护手册。</w:t>
      </w:r>
    </w:p>
    <w:p w:rsidR="00427656" w:rsidP="00427656">
      <w:pPr>
        <w:snapToGrid w:val="0"/>
        <w:spacing w:line="360" w:lineRule="auto"/>
        <w:ind w:firstLine="420" w:firstLineChars="200"/>
        <w:rPr>
          <w:color w:val="000000"/>
          <w:szCs w:val="21"/>
        </w:rPr>
      </w:pPr>
      <w:r>
        <w:rPr>
          <w:rFonts w:cs="宋体" w:hint="eastAsia"/>
          <w:color w:val="000000"/>
          <w:szCs w:val="21"/>
          <w:lang w:bidi="ar"/>
        </w:rPr>
        <w:t>系统能够捕获到的计算机系统故障或应用软件错误并以适当的形式记录或向操作员发送错误状态报告；处理软件的任务及其任务环境参数可从外部配置和修改，并可从数据库中自动生成。</w:t>
      </w:r>
    </w:p>
    <w:p w:rsidR="00427656" w:rsidP="00427656">
      <w:pPr>
        <w:numPr>
          <w:ilvl w:val="0"/>
          <w:numId w:val="10"/>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安全性要求</w:t>
      </w:r>
    </w:p>
    <w:p w:rsidR="00427656" w:rsidP="00427656">
      <w:pPr>
        <w:snapToGrid w:val="0"/>
        <w:spacing w:line="360" w:lineRule="auto"/>
        <w:ind w:firstLine="420" w:firstLineChars="200"/>
        <w:rPr>
          <w:color w:val="000000"/>
          <w:szCs w:val="21"/>
        </w:rPr>
      </w:pPr>
      <w:r>
        <w:rPr>
          <w:rFonts w:cs="宋体" w:hint="eastAsia"/>
          <w:color w:val="000000"/>
          <w:szCs w:val="21"/>
          <w:lang w:bidi="ar"/>
        </w:rPr>
        <w:t>系统需要具备抵御网络病毒、黑客袭击的措施与隔离攻击、快速恢复机制，具备多种、分级别的数据安全保护措施并形成有效运行机制。</w:t>
      </w:r>
    </w:p>
    <w:p w:rsidR="00427656" w:rsidP="00427656">
      <w:pPr>
        <w:numPr>
          <w:ilvl w:val="0"/>
          <w:numId w:val="10"/>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界面要求</w:t>
      </w:r>
    </w:p>
    <w:p w:rsidR="00427656" w:rsidP="00427656">
      <w:pPr>
        <w:snapToGrid w:val="0"/>
        <w:spacing w:line="360" w:lineRule="auto"/>
        <w:ind w:firstLine="420" w:firstLineChars="200"/>
        <w:rPr>
          <w:rFonts w:ascii="宋体" w:hAnsi="宋体" w:cs="宋体"/>
          <w:color w:val="000000"/>
          <w:szCs w:val="21"/>
        </w:rPr>
      </w:pPr>
      <w:r>
        <w:rPr>
          <w:rFonts w:ascii="宋体" w:hAnsi="宋体" w:cs="宋体" w:hint="eastAsia"/>
          <w:color w:val="000000"/>
          <w:szCs w:val="21"/>
          <w:lang w:bidi="ar"/>
        </w:rPr>
        <w:t>系统界面设计需要简洁、便于使用、便于理解、并能减少用户发生错误选择的可能性。系统能够保证用户在</w:t>
      </w:r>
      <w:r>
        <w:rPr>
          <w:color w:val="000000"/>
          <w:szCs w:val="21"/>
          <w:lang w:bidi="ar"/>
        </w:rPr>
        <w:t>10</w:t>
      </w:r>
      <w:r>
        <w:rPr>
          <w:rFonts w:ascii="宋体" w:hAnsi="宋体" w:cs="宋体" w:hint="eastAsia"/>
          <w:color w:val="000000"/>
          <w:szCs w:val="21"/>
          <w:lang w:bidi="ar"/>
        </w:rPr>
        <w:t>分钟内即能理解页面上的操作。</w:t>
      </w:r>
    </w:p>
    <w:p w:rsidR="00427656" w:rsidP="00427656">
      <w:pPr>
        <w:snapToGrid w:val="0"/>
        <w:spacing w:line="360" w:lineRule="auto"/>
        <w:ind w:firstLine="420" w:firstLineChars="200"/>
        <w:rPr>
          <w:rFonts w:ascii="宋体" w:hAnsi="宋体" w:cs="宋体"/>
          <w:color w:val="000000"/>
          <w:szCs w:val="21"/>
        </w:rPr>
      </w:pPr>
      <w:r>
        <w:rPr>
          <w:rFonts w:ascii="宋体" w:hAnsi="宋体" w:cs="宋体" w:hint="eastAsia"/>
          <w:color w:val="000000"/>
          <w:szCs w:val="21"/>
          <w:lang w:bidi="ar"/>
        </w:rPr>
        <w:t>系统界面要具备友好性、人性化的提示。</w:t>
      </w:r>
    </w:p>
    <w:p w:rsidR="00427656" w:rsidP="00427656">
      <w:pPr>
        <w:spacing w:line="360" w:lineRule="auto"/>
        <w:ind w:firstLine="420" w:firstLineChars="200"/>
        <w:rPr>
          <w:rFonts w:ascii="宋体" w:hAnsi="宋体" w:cs="宋体"/>
          <w:color w:val="000000"/>
          <w:szCs w:val="21"/>
        </w:rPr>
      </w:pPr>
      <w:r>
        <w:rPr>
          <w:rFonts w:ascii="宋体" w:hAnsi="宋体" w:cs="宋体" w:hint="eastAsia"/>
          <w:color w:val="000000"/>
          <w:szCs w:val="21"/>
          <w:lang w:bidi="ar"/>
        </w:rPr>
        <w:t>系统界面结构清晰且所用的术语要保持一致，风格必须与内容相一致，界面的色调字体也要保持一致。</w:t>
      </w:r>
    </w:p>
    <w:p w:rsidR="00427656" w:rsidP="00427656">
      <w:pPr>
        <w:spacing w:line="360" w:lineRule="auto"/>
        <w:ind w:firstLine="420" w:firstLineChars="200"/>
        <w:outlineLvl w:val="2"/>
        <w:rPr>
          <w:rFonts w:ascii="宋体" w:hAnsi="宋体" w:cs="宋体"/>
          <w:b/>
          <w:color w:val="000000"/>
          <w:kern w:val="0"/>
          <w:szCs w:val="21"/>
        </w:rPr>
      </w:pPr>
      <w:r>
        <w:rPr>
          <w:rFonts w:ascii="宋体" w:hAnsi="宋体" w:cs="宋体" w:hint="eastAsia"/>
          <w:b/>
          <w:color w:val="000000"/>
          <w:kern w:val="0"/>
          <w:szCs w:val="21"/>
          <w:lang w:bidi="ar"/>
        </w:rPr>
        <w:t>三、检验考核要求</w:t>
      </w:r>
    </w:p>
    <w:p w:rsidR="00427656" w:rsidP="00427656">
      <w:pPr>
        <w:snapToGrid w:val="0"/>
        <w:spacing w:line="360" w:lineRule="auto"/>
        <w:ind w:firstLine="420" w:firstLineChars="200"/>
        <w:rPr>
          <w:rFonts w:ascii="宋体" w:hAnsi="宋体" w:cs="宋体"/>
          <w:color w:val="000000"/>
          <w:szCs w:val="21"/>
        </w:rPr>
      </w:pPr>
      <w:r>
        <w:rPr>
          <w:rFonts w:cs="宋体" w:hint="eastAsia"/>
          <w:color w:val="000000"/>
          <w:szCs w:val="21"/>
          <w:lang w:bidi="ar"/>
        </w:rPr>
        <w:t>项目进入交付阶段后，中标方根据可行性研究报告、合同中涉及的相关技术指标形成验收方案。在招标方指定地点，中标方进行现场安装调试，并开展至少</w:t>
      </w:r>
      <w:r>
        <w:rPr>
          <w:color w:val="000000"/>
          <w:szCs w:val="21"/>
          <w:lang w:bidi="ar"/>
        </w:rPr>
        <w:t>1</w:t>
      </w:r>
      <w:r>
        <w:rPr>
          <w:rFonts w:ascii="宋体" w:hAnsi="宋体" w:cs="宋体" w:hint="eastAsia"/>
          <w:color w:val="000000"/>
          <w:szCs w:val="21"/>
          <w:lang w:bidi="ar"/>
        </w:rPr>
        <w:t>个月的试运行。试运行结束后，中标方提供自测试报告、使用手册等文件供招标方审查。审查通过后，在招标方代表在场的情况下，依据验收方案中相关要求和技术指标对各子项目进行测试并形成测试报告，如果未能通过测试，待中标方整改后择日重新进行测试和验收，由此增加的一切费用由中标方承担。</w:t>
      </w:r>
    </w:p>
    <w:p w:rsidR="00427656" w:rsidP="00427656">
      <w:pPr>
        <w:spacing w:line="360" w:lineRule="auto"/>
        <w:ind w:firstLine="420" w:firstLineChars="200"/>
        <w:outlineLvl w:val="2"/>
        <w:rPr>
          <w:rFonts w:ascii="宋体" w:hAnsi="宋体" w:cs="宋体"/>
          <w:b/>
          <w:color w:val="000000"/>
          <w:kern w:val="0"/>
          <w:szCs w:val="21"/>
        </w:rPr>
      </w:pPr>
      <w:r>
        <w:rPr>
          <w:rFonts w:ascii="宋体" w:hAnsi="宋体" w:cs="宋体" w:hint="eastAsia"/>
          <w:b/>
          <w:color w:val="000000"/>
          <w:kern w:val="0"/>
          <w:szCs w:val="21"/>
          <w:lang w:bidi="ar"/>
        </w:rPr>
        <w:t>四、培训</w:t>
      </w:r>
    </w:p>
    <w:p w:rsidR="00427656" w:rsidP="00427656">
      <w:pPr>
        <w:snapToGrid w:val="0"/>
        <w:spacing w:line="360" w:lineRule="auto"/>
        <w:ind w:firstLine="420" w:firstLineChars="200"/>
        <w:rPr>
          <w:color w:val="000000"/>
          <w:szCs w:val="21"/>
        </w:rPr>
      </w:pPr>
      <w:r>
        <w:rPr>
          <w:color w:val="000000"/>
          <w:szCs w:val="21"/>
          <w:lang w:bidi="ar"/>
        </w:rPr>
        <w:t>1</w:t>
      </w:r>
      <w:r>
        <w:rPr>
          <w:rFonts w:cs="宋体" w:hint="eastAsia"/>
          <w:color w:val="000000"/>
          <w:szCs w:val="21"/>
          <w:lang w:bidi="ar"/>
        </w:rPr>
        <w:t>、培训方式为现场培训。</w:t>
      </w:r>
    </w:p>
    <w:p w:rsidR="00427656" w:rsidP="00427656">
      <w:pPr>
        <w:snapToGrid w:val="0"/>
        <w:spacing w:line="360" w:lineRule="auto"/>
        <w:ind w:firstLine="420" w:firstLineChars="200"/>
        <w:rPr>
          <w:color w:val="000000"/>
          <w:szCs w:val="21"/>
        </w:rPr>
      </w:pPr>
      <w:r>
        <w:rPr>
          <w:color w:val="000000"/>
          <w:szCs w:val="21"/>
          <w:lang w:bidi="ar"/>
        </w:rPr>
        <w:t>2</w:t>
      </w:r>
      <w:r>
        <w:rPr>
          <w:rFonts w:cs="宋体" w:hint="eastAsia"/>
          <w:color w:val="000000"/>
          <w:szCs w:val="21"/>
          <w:lang w:bidi="ar"/>
        </w:rPr>
        <w:t>、培训应确保每一位系统用户能够独立、熟练地完成操作，并能够独立处理简单故障和进行功能调整。</w:t>
      </w:r>
    </w:p>
    <w:p w:rsidR="00427656" w:rsidP="00427656">
      <w:pPr>
        <w:snapToGrid w:val="0"/>
        <w:spacing w:line="360" w:lineRule="auto"/>
        <w:ind w:firstLine="420" w:firstLineChars="200"/>
        <w:rPr>
          <w:color w:val="000000"/>
          <w:szCs w:val="21"/>
        </w:rPr>
      </w:pPr>
      <w:r>
        <w:rPr>
          <w:color w:val="000000"/>
          <w:szCs w:val="21"/>
          <w:lang w:bidi="ar"/>
        </w:rPr>
        <w:t>3</w:t>
      </w:r>
      <w:r>
        <w:rPr>
          <w:rFonts w:cs="宋体" w:hint="eastAsia"/>
          <w:color w:val="000000"/>
          <w:szCs w:val="21"/>
          <w:lang w:bidi="ar"/>
        </w:rPr>
        <w:t>、培训在招标方指定地点进行；培训讲师为项目主要开发人员；培训时间不少于</w:t>
      </w:r>
      <w:r>
        <w:rPr>
          <w:color w:val="000000"/>
          <w:szCs w:val="21"/>
          <w:lang w:bidi="ar"/>
        </w:rPr>
        <w:t>1</w:t>
      </w:r>
      <w:r>
        <w:rPr>
          <w:rFonts w:cs="宋体" w:hint="eastAsia"/>
          <w:color w:val="000000"/>
          <w:szCs w:val="21"/>
          <w:lang w:bidi="ar"/>
        </w:rPr>
        <w:t>天，每天</w:t>
      </w:r>
      <w:r>
        <w:rPr>
          <w:color w:val="000000"/>
          <w:szCs w:val="21"/>
          <w:lang w:bidi="ar"/>
        </w:rPr>
        <w:t>8</w:t>
      </w:r>
      <w:r>
        <w:rPr>
          <w:rFonts w:cs="宋体" w:hint="eastAsia"/>
          <w:color w:val="000000"/>
          <w:szCs w:val="21"/>
          <w:lang w:bidi="ar"/>
        </w:rPr>
        <w:t>课时，每课时</w:t>
      </w:r>
      <w:r>
        <w:rPr>
          <w:color w:val="000000"/>
          <w:szCs w:val="21"/>
          <w:lang w:bidi="ar"/>
        </w:rPr>
        <w:t>45</w:t>
      </w:r>
      <w:r>
        <w:rPr>
          <w:rFonts w:cs="宋体" w:hint="eastAsia"/>
          <w:color w:val="000000"/>
          <w:szCs w:val="21"/>
          <w:lang w:bidi="ar"/>
        </w:rPr>
        <w:t>分钟；培训内容包括日常操作、维护、常见故障排除、紧急情况处理等；培训应采取课堂讲解和实操训练相结合的方式。</w:t>
      </w:r>
    </w:p>
    <w:p w:rsidR="00427656" w:rsidP="00427656">
      <w:pPr>
        <w:snapToGrid w:val="0"/>
        <w:spacing w:line="360" w:lineRule="auto"/>
        <w:ind w:firstLine="420" w:firstLineChars="200"/>
        <w:rPr>
          <w:color w:val="000000"/>
          <w:szCs w:val="21"/>
        </w:rPr>
      </w:pPr>
      <w:r>
        <w:rPr>
          <w:color w:val="000000"/>
          <w:szCs w:val="21"/>
          <w:lang w:bidi="ar"/>
        </w:rPr>
        <w:t>4</w:t>
      </w:r>
      <w:r>
        <w:rPr>
          <w:rFonts w:cs="宋体" w:hint="eastAsia"/>
          <w:color w:val="000000"/>
          <w:szCs w:val="21"/>
          <w:lang w:bidi="ar"/>
        </w:rPr>
        <w:t>、中标方负责搭建培训所需的环境，并提供培训教材等相关用品。</w:t>
      </w:r>
    </w:p>
    <w:p w:rsidR="00427656" w:rsidP="00427656">
      <w:pPr>
        <w:snapToGrid w:val="0"/>
        <w:spacing w:line="360" w:lineRule="auto"/>
        <w:ind w:firstLine="420" w:firstLineChars="200"/>
        <w:rPr>
          <w:color w:val="000000"/>
          <w:szCs w:val="21"/>
        </w:rPr>
      </w:pPr>
      <w:r>
        <w:rPr>
          <w:color w:val="000000"/>
          <w:szCs w:val="21"/>
          <w:lang w:bidi="ar"/>
        </w:rPr>
        <w:t>5</w:t>
      </w:r>
      <w:r>
        <w:rPr>
          <w:rFonts w:cs="宋体" w:hint="eastAsia"/>
          <w:color w:val="000000"/>
          <w:szCs w:val="21"/>
          <w:lang w:bidi="ar"/>
        </w:rPr>
        <w:t>、参加培训人员的差旅食宿费用自理，中标方承担培训产生的场地、教师、培训资料、消耗品等一切费用。</w:t>
      </w:r>
    </w:p>
    <w:p w:rsidR="00427656" w:rsidP="00427656">
      <w:pPr>
        <w:spacing w:line="360" w:lineRule="auto"/>
        <w:ind w:firstLine="420" w:firstLineChars="200"/>
        <w:outlineLvl w:val="2"/>
        <w:rPr>
          <w:b/>
          <w:color w:val="000000"/>
          <w:kern w:val="0"/>
          <w:szCs w:val="21"/>
        </w:rPr>
      </w:pPr>
      <w:r>
        <w:rPr>
          <w:rFonts w:cs="宋体" w:hint="eastAsia"/>
          <w:b/>
          <w:color w:val="000000"/>
          <w:kern w:val="0"/>
          <w:szCs w:val="21"/>
          <w:lang w:bidi="ar"/>
        </w:rPr>
        <w:t>五、售后服务</w:t>
      </w:r>
    </w:p>
    <w:p w:rsidR="00427656" w:rsidP="00427656">
      <w:pPr>
        <w:snapToGrid w:val="0"/>
        <w:spacing w:line="360" w:lineRule="auto"/>
        <w:ind w:firstLine="420" w:firstLineChars="200"/>
        <w:rPr>
          <w:color w:val="000000"/>
          <w:szCs w:val="21"/>
        </w:rPr>
      </w:pPr>
      <w:r>
        <w:rPr>
          <w:rFonts w:cs="宋体" w:hint="eastAsia"/>
          <w:color w:val="000000"/>
          <w:szCs w:val="21"/>
          <w:lang w:bidi="ar"/>
        </w:rPr>
        <w:t>通过验收之日起，中标方提供</w:t>
      </w:r>
      <w:r>
        <w:rPr>
          <w:color w:val="000000"/>
          <w:szCs w:val="21"/>
          <w:lang w:bidi="ar"/>
        </w:rPr>
        <w:t>1</w:t>
      </w:r>
      <w:r>
        <w:rPr>
          <w:rFonts w:cs="宋体" w:hint="eastAsia"/>
          <w:color w:val="000000"/>
          <w:szCs w:val="21"/>
          <w:lang w:bidi="ar"/>
        </w:rPr>
        <w:t>年技术支持服务。</w:t>
      </w:r>
    </w:p>
    <w:p w:rsidR="00427656" w:rsidP="00427656">
      <w:pPr>
        <w:snapToGrid w:val="0"/>
        <w:spacing w:line="360" w:lineRule="auto"/>
        <w:ind w:firstLine="420" w:firstLineChars="200"/>
        <w:rPr>
          <w:rFonts w:cs="宋体"/>
          <w:color w:val="000000"/>
          <w:szCs w:val="21"/>
          <w:lang w:bidi="ar"/>
        </w:rPr>
      </w:pPr>
      <w:r>
        <w:rPr>
          <w:rFonts w:cs="宋体" w:hint="eastAsia"/>
          <w:color w:val="000000"/>
          <w:szCs w:val="21"/>
          <w:lang w:bidi="ar"/>
        </w:rPr>
        <w:t>中标人技术人员应随时进行电话应答；</w:t>
      </w:r>
      <w:r>
        <w:rPr>
          <w:color w:val="000000"/>
          <w:szCs w:val="21"/>
          <w:lang w:bidi="ar"/>
        </w:rPr>
        <w:t>30</w:t>
      </w:r>
      <w:r>
        <w:rPr>
          <w:rFonts w:cs="宋体" w:hint="eastAsia"/>
          <w:color w:val="000000"/>
          <w:szCs w:val="21"/>
          <w:lang w:bidi="ar"/>
        </w:rPr>
        <w:t>分钟内完成远程登陆诊断。需要现场解决的问题，中标人技术人员须在</w:t>
      </w:r>
      <w:r>
        <w:rPr>
          <w:color w:val="000000"/>
          <w:szCs w:val="21"/>
          <w:lang w:bidi="ar"/>
        </w:rPr>
        <w:t>24</w:t>
      </w:r>
      <w:r>
        <w:rPr>
          <w:rFonts w:cs="宋体" w:hint="eastAsia"/>
          <w:color w:val="000000"/>
          <w:szCs w:val="21"/>
          <w:lang w:bidi="ar"/>
        </w:rPr>
        <w:t>小时内达到中国气象局现场。</w:t>
      </w:r>
    </w:p>
    <w:p w:rsidR="00427656" w:rsidP="00427656">
      <w:pPr>
        <w:snapToGrid w:val="0"/>
        <w:spacing w:line="360" w:lineRule="auto"/>
        <w:ind w:firstLine="420" w:firstLineChars="200"/>
        <w:rPr>
          <w:rFonts w:ascii="宋体" w:hAnsi="宋体" w:cs="宋体"/>
          <w:color w:val="000000"/>
          <w:szCs w:val="21"/>
        </w:rPr>
      </w:pPr>
      <w:r>
        <w:rPr>
          <w:rFonts w:cs="宋体" w:hint="eastAsia"/>
          <w:color w:val="000000"/>
          <w:szCs w:val="21"/>
          <w:lang w:bidi="ar"/>
        </w:rPr>
        <w:t>质保期内，中标方须配备一支稳定的专业技术服务团队，提供</w:t>
      </w:r>
      <w:r>
        <w:rPr>
          <w:color w:val="000000"/>
          <w:szCs w:val="21"/>
          <w:lang w:bidi="ar"/>
        </w:rPr>
        <w:t>7*24</w:t>
      </w:r>
      <w:r>
        <w:rPr>
          <w:rFonts w:cs="宋体" w:hint="eastAsia"/>
          <w:color w:val="000000"/>
          <w:szCs w:val="21"/>
          <w:lang w:bidi="ar"/>
        </w:rPr>
        <w:t>小时的服务响应，并负责产品的一切维护工作。提供详细的售后服务计划，包括售后服务方式、人员配置、服务期限、故障响应及维修时间等。在出现故障后，中标方应在</w:t>
      </w:r>
      <w:r>
        <w:rPr>
          <w:color w:val="000000"/>
          <w:szCs w:val="21"/>
          <w:lang w:bidi="ar"/>
        </w:rPr>
        <w:t>30</w:t>
      </w:r>
      <w:r>
        <w:rPr>
          <w:rFonts w:cs="宋体" w:hint="eastAsia"/>
          <w:color w:val="000000"/>
          <w:szCs w:val="21"/>
          <w:lang w:bidi="ar"/>
        </w:rPr>
        <w:t>分钟内完成远程登陆诊断，指导招标方排除故障；需要现场解决的问题，中标方技术人员应在</w:t>
      </w:r>
      <w:r>
        <w:rPr>
          <w:color w:val="000000"/>
          <w:szCs w:val="21"/>
          <w:lang w:bidi="ar"/>
        </w:rPr>
        <w:t>24</w:t>
      </w:r>
      <w:r>
        <w:rPr>
          <w:rFonts w:ascii="宋体" w:hAnsi="宋体" w:cs="宋体" w:hint="eastAsia"/>
          <w:color w:val="000000"/>
          <w:szCs w:val="21"/>
          <w:lang w:bidi="ar"/>
        </w:rPr>
        <w:t>小时内到达现场，技术人员所发生的差旅费由中标方承担。</w:t>
      </w:r>
    </w:p>
    <w:p w:rsidR="00427656" w:rsidP="00427656">
      <w:pPr>
        <w:snapToGrid w:val="0"/>
        <w:spacing w:line="360" w:lineRule="auto"/>
        <w:ind w:firstLine="420" w:firstLineChars="200"/>
        <w:rPr>
          <w:rFonts w:ascii="宋体" w:hAnsi="宋体" w:cs="宋体"/>
          <w:color w:val="000000"/>
          <w:szCs w:val="21"/>
          <w:lang w:bidi="ar"/>
        </w:rPr>
      </w:pPr>
      <w:r>
        <w:rPr>
          <w:rFonts w:ascii="宋体" w:hAnsi="宋体" w:cs="宋体" w:hint="eastAsia"/>
          <w:color w:val="000000"/>
          <w:szCs w:val="21"/>
          <w:lang w:bidi="ar"/>
        </w:rPr>
        <w:t>提供超过质保期后的技术跟踪服务，包含电话疑难问题解答、远程技术指导等。</w:t>
      </w:r>
    </w:p>
    <w:p w:rsidR="005A1579" w:rsidP="005A1579">
      <w:pPr>
        <w:spacing w:line="360" w:lineRule="auto"/>
        <w:ind w:firstLine="420" w:firstLineChars="200"/>
        <w:outlineLvl w:val="2"/>
        <w:rPr>
          <w:rFonts w:cs="宋体"/>
          <w:b/>
          <w:color w:val="000000"/>
          <w:kern w:val="0"/>
          <w:szCs w:val="21"/>
          <w:lang w:bidi="ar"/>
        </w:rPr>
      </w:pPr>
      <w:r>
        <w:rPr>
          <w:rFonts w:cs="宋体" w:hint="eastAsia"/>
          <w:b/>
          <w:color w:val="000000"/>
          <w:kern w:val="0"/>
          <w:szCs w:val="21"/>
          <w:lang w:bidi="ar"/>
        </w:rPr>
        <w:t>六、服务要求</w:t>
      </w:r>
    </w:p>
    <w:p w:rsidR="005A1579" w:rsidRPr="005A1579" w:rsidP="005A1579">
      <w:pPr>
        <w:snapToGrid w:val="0"/>
        <w:spacing w:line="360" w:lineRule="auto"/>
        <w:ind w:firstLine="420" w:firstLineChars="200"/>
        <w:rPr>
          <w:rFonts w:hint="eastAsia"/>
          <w:color w:val="000000"/>
          <w:lang w:bidi="ar"/>
        </w:rPr>
      </w:pPr>
      <w:r>
        <w:rPr>
          <w:rFonts w:hint="eastAsia"/>
          <w:color w:val="000000"/>
          <w:lang w:bidi="ar"/>
        </w:rPr>
        <w:t>1</w:t>
      </w:r>
      <w:r>
        <w:rPr>
          <w:rFonts w:hint="eastAsia"/>
          <w:color w:val="000000"/>
          <w:lang w:bidi="ar"/>
        </w:rPr>
        <w:t>、服务期内，中标方应配备至少</w:t>
      </w:r>
      <w:r>
        <w:rPr>
          <w:rFonts w:hint="eastAsia"/>
          <w:color w:val="000000"/>
          <w:lang w:bidi="ar"/>
        </w:rPr>
        <w:t>8</w:t>
      </w:r>
      <w:r>
        <w:rPr>
          <w:rFonts w:hint="eastAsia"/>
          <w:color w:val="000000"/>
          <w:lang w:bidi="ar"/>
        </w:rPr>
        <w:t>人的服务团队，其中至少</w:t>
      </w:r>
      <w:r>
        <w:rPr>
          <w:rFonts w:hint="eastAsia"/>
          <w:color w:val="000000"/>
          <w:lang w:bidi="ar"/>
        </w:rPr>
        <w:t>1</w:t>
      </w:r>
      <w:r>
        <w:rPr>
          <w:rFonts w:hint="eastAsia"/>
          <w:color w:val="000000"/>
          <w:lang w:bidi="ar"/>
        </w:rPr>
        <w:t>人具有高级工程师或高级信息系统项目管理师技术资格，驻场人员至少</w:t>
      </w:r>
      <w:r>
        <w:rPr>
          <w:rFonts w:hint="eastAsia"/>
          <w:color w:val="000000"/>
          <w:lang w:bidi="ar"/>
        </w:rPr>
        <w:t>5</w:t>
      </w:r>
      <w:r>
        <w:rPr>
          <w:rFonts w:hint="eastAsia"/>
          <w:color w:val="000000"/>
          <w:lang w:bidi="ar"/>
        </w:rPr>
        <w:t>人，驻场人员中至少</w:t>
      </w:r>
      <w:r>
        <w:rPr>
          <w:rFonts w:hint="eastAsia"/>
          <w:color w:val="000000"/>
          <w:lang w:bidi="ar"/>
        </w:rPr>
        <w:t>3</w:t>
      </w:r>
      <w:r>
        <w:rPr>
          <w:rFonts w:hint="eastAsia"/>
          <w:color w:val="000000"/>
          <w:lang w:bidi="ar"/>
        </w:rPr>
        <w:t>人具有至少</w:t>
      </w:r>
      <w:r>
        <w:rPr>
          <w:rFonts w:hint="eastAsia"/>
          <w:color w:val="000000"/>
          <w:lang w:bidi="ar"/>
        </w:rPr>
        <w:t>1</w:t>
      </w:r>
      <w:r>
        <w:rPr>
          <w:rFonts w:hint="eastAsia"/>
          <w:color w:val="000000"/>
          <w:lang w:bidi="ar"/>
        </w:rPr>
        <w:t>年以上软件开发的经验。</w:t>
      </w:r>
      <w:r>
        <w:rPr>
          <w:rFonts w:hint="eastAsia"/>
          <w:color w:val="000000"/>
          <w:lang w:bidi="ar"/>
        </w:rPr>
        <w:cr/>
        <w:t>2</w:t>
      </w:r>
      <w:r>
        <w:rPr>
          <w:rFonts w:hint="eastAsia"/>
          <w:color w:val="000000"/>
          <w:lang w:bidi="ar"/>
        </w:rPr>
        <w:t>、为满足本项目需求，软件开发过程中，项目团队成员（不含项目经理）至少有</w:t>
      </w:r>
      <w:r>
        <w:rPr>
          <w:rFonts w:hint="eastAsia"/>
          <w:color w:val="000000"/>
          <w:lang w:bidi="ar"/>
        </w:rPr>
        <w:t>2</w:t>
      </w:r>
      <w:r>
        <w:rPr>
          <w:rFonts w:hint="eastAsia"/>
          <w:color w:val="000000"/>
          <w:lang w:bidi="ar"/>
        </w:rPr>
        <w:t>名及以上应具有气象、电子、计算机相关专业知识背景。</w:t>
      </w:r>
    </w:p>
    <w:p w:rsidR="00427656" w:rsidP="00427656">
      <w:pPr>
        <w:spacing w:line="360" w:lineRule="auto"/>
        <w:ind w:firstLine="420" w:firstLineChars="200"/>
        <w:outlineLvl w:val="2"/>
        <w:rPr>
          <w:b/>
          <w:color w:val="000000"/>
          <w:kern w:val="0"/>
          <w:szCs w:val="21"/>
        </w:rPr>
      </w:pPr>
      <w:r>
        <w:rPr>
          <w:rFonts w:cs="宋体" w:hint="eastAsia"/>
          <w:b/>
          <w:color w:val="000000"/>
          <w:kern w:val="0"/>
          <w:szCs w:val="21"/>
          <w:lang w:bidi="ar"/>
        </w:rPr>
        <w:t>七</w:t>
      </w:r>
      <w:r>
        <w:rPr>
          <w:rFonts w:cs="宋体" w:hint="eastAsia"/>
          <w:b/>
          <w:color w:val="000000"/>
          <w:kern w:val="0"/>
          <w:szCs w:val="21"/>
          <w:lang w:bidi="ar"/>
        </w:rPr>
        <w:t>、知识产权原则</w:t>
      </w:r>
    </w:p>
    <w:p w:rsidR="00427656" w:rsidP="00427656">
      <w:pPr>
        <w:snapToGrid w:val="0"/>
        <w:spacing w:line="360" w:lineRule="auto"/>
        <w:ind w:firstLine="420" w:firstLineChars="200"/>
        <w:rPr>
          <w:color w:val="000000"/>
        </w:rPr>
      </w:pPr>
      <w:r>
        <w:rPr>
          <w:color w:val="000000"/>
          <w:lang w:bidi="ar"/>
        </w:rPr>
        <w:t>1</w:t>
      </w:r>
      <w:r>
        <w:rPr>
          <w:rFonts w:cs="宋体" w:hint="eastAsia"/>
          <w:color w:val="000000"/>
          <w:lang w:bidi="ar"/>
        </w:rPr>
        <w:t>、符合法律规定及当事人约定的原则</w:t>
      </w:r>
    </w:p>
    <w:p w:rsidR="00427656" w:rsidP="00427656">
      <w:pPr>
        <w:snapToGrid w:val="0"/>
        <w:spacing w:line="360" w:lineRule="auto"/>
        <w:ind w:firstLine="420" w:firstLineChars="200"/>
        <w:rPr>
          <w:color w:val="000000"/>
        </w:rPr>
      </w:pPr>
      <w:r>
        <w:rPr>
          <w:rFonts w:cs="宋体" w:hint="eastAsia"/>
          <w:color w:val="000000"/>
          <w:lang w:bidi="ar"/>
        </w:rPr>
        <w:t>任何相关事项均应当符合法律规定，及应当符合当事人的约定。</w:t>
      </w:r>
    </w:p>
    <w:p w:rsidR="00427656" w:rsidP="00427656">
      <w:pPr>
        <w:snapToGrid w:val="0"/>
        <w:spacing w:line="360" w:lineRule="auto"/>
        <w:ind w:firstLine="420" w:firstLineChars="200"/>
        <w:rPr>
          <w:rFonts w:cs="宋体"/>
          <w:color w:val="000000"/>
          <w:szCs w:val="21"/>
          <w:lang w:bidi="ar"/>
        </w:rPr>
      </w:pPr>
      <w:r>
        <w:rPr>
          <w:rFonts w:cs="宋体"/>
          <w:color w:val="000000"/>
          <w:szCs w:val="21"/>
          <w:lang w:bidi="ar"/>
        </w:rPr>
        <w:t>2</w:t>
      </w:r>
      <w:r>
        <w:rPr>
          <w:rFonts w:cs="宋体" w:hint="eastAsia"/>
          <w:color w:val="000000"/>
          <w:szCs w:val="21"/>
          <w:lang w:bidi="ar"/>
        </w:rPr>
        <w:t>、、开发成果归属清晰原则</w:t>
      </w:r>
    </w:p>
    <w:p w:rsidR="00427656" w:rsidP="00427656">
      <w:pPr>
        <w:snapToGrid w:val="0"/>
        <w:spacing w:line="360" w:lineRule="auto"/>
        <w:ind w:firstLine="420" w:firstLineChars="200"/>
        <w:rPr>
          <w:rFonts w:cs="宋体"/>
          <w:color w:val="000000"/>
          <w:szCs w:val="21"/>
          <w:lang w:bidi="ar"/>
        </w:rPr>
      </w:pPr>
      <w:r>
        <w:rPr>
          <w:rFonts w:cs="宋体" w:hint="eastAsia"/>
          <w:color w:val="000000"/>
          <w:szCs w:val="21"/>
          <w:lang w:bidi="ar"/>
        </w:rPr>
        <w:t>全部及</w:t>
      </w:r>
      <w:r>
        <w:rPr>
          <w:rFonts w:cs="宋体"/>
          <w:color w:val="000000"/>
          <w:szCs w:val="21"/>
          <w:lang w:bidi="ar"/>
        </w:rPr>
        <w:t>/</w:t>
      </w:r>
      <w:r>
        <w:rPr>
          <w:rFonts w:cs="宋体" w:hint="eastAsia"/>
          <w:color w:val="000000"/>
          <w:szCs w:val="21"/>
          <w:lang w:bidi="ar"/>
        </w:rPr>
        <w:t>或任何部分的相关知识产权，包括相关权益，归甲方所有。中标人有不可争议的义务确保采购人依据本次采购所获得的知识产权不存在任何瑕疵并且可以不受限制地行使相关权利，包括各项延伸权利。若因此发生任何争议均应当由中标人独自承担全部及</w:t>
      </w:r>
      <w:r>
        <w:rPr>
          <w:rFonts w:cs="宋体"/>
          <w:color w:val="000000"/>
          <w:szCs w:val="21"/>
          <w:lang w:bidi="ar"/>
        </w:rPr>
        <w:t>/</w:t>
      </w:r>
      <w:r>
        <w:rPr>
          <w:rFonts w:cs="宋体" w:hint="eastAsia"/>
          <w:color w:val="000000"/>
          <w:szCs w:val="21"/>
          <w:lang w:bidi="ar"/>
        </w:rPr>
        <w:t>或任何责任，包括但不限于应当承担其自身及采购方为排除任何争议或瑕疵所应当或所需支付的一切相关</w:t>
      </w:r>
      <w:r>
        <w:rPr>
          <w:rFonts w:cs="宋体"/>
          <w:color w:val="000000"/>
          <w:szCs w:val="21"/>
          <w:lang w:bidi="ar"/>
        </w:rPr>
        <w:t>/</w:t>
      </w:r>
      <w:r>
        <w:rPr>
          <w:rFonts w:cs="宋体" w:hint="eastAsia"/>
          <w:color w:val="000000"/>
          <w:szCs w:val="21"/>
          <w:lang w:bidi="ar"/>
        </w:rPr>
        <w:t>或由此引起的费用。</w:t>
      </w:r>
    </w:p>
    <w:p w:rsidR="00427656" w:rsidP="00427656">
      <w:pPr>
        <w:snapToGrid w:val="0"/>
        <w:spacing w:line="360" w:lineRule="auto"/>
        <w:ind w:firstLine="420" w:firstLineChars="200"/>
        <w:rPr>
          <w:rFonts w:cs="宋体"/>
          <w:color w:val="000000"/>
          <w:szCs w:val="21"/>
          <w:lang w:bidi="ar"/>
        </w:rPr>
      </w:pPr>
      <w:r>
        <w:rPr>
          <w:rFonts w:cs="宋体"/>
          <w:color w:val="000000"/>
          <w:szCs w:val="21"/>
          <w:lang w:bidi="ar"/>
        </w:rPr>
        <w:t>3</w:t>
      </w:r>
      <w:r>
        <w:rPr>
          <w:rFonts w:cs="宋体" w:hint="eastAsia"/>
          <w:color w:val="000000"/>
          <w:szCs w:val="21"/>
          <w:lang w:bidi="ar"/>
        </w:rPr>
        <w:t>、保护知识产权原则</w:t>
      </w:r>
    </w:p>
    <w:p w:rsidR="009A2E51" w:rsidP="00427656">
      <w:pPr>
        <w:spacing w:line="360" w:lineRule="auto"/>
        <w:rPr>
          <w:rFonts w:ascii="宋体" w:eastAsia="宋体" w:hAnsi="宋体" w:cs="Times New Roman"/>
          <w:szCs w:val="21"/>
        </w:rPr>
      </w:pPr>
      <w:r>
        <w:rPr>
          <w:rFonts w:cs="宋体" w:hint="eastAsia"/>
          <w:color w:val="000000"/>
          <w:szCs w:val="21"/>
          <w:lang w:bidi="ar"/>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w:t>
      </w:r>
      <w:r>
        <w:rPr>
          <w:rFonts w:cs="宋体"/>
          <w:color w:val="000000"/>
          <w:szCs w:val="21"/>
          <w:lang w:bidi="ar"/>
        </w:rPr>
        <w:t>/</w:t>
      </w:r>
      <w:r>
        <w:rPr>
          <w:rFonts w:cs="宋体" w:hint="eastAsia"/>
          <w:color w:val="000000"/>
          <w:szCs w:val="21"/>
          <w:lang w:bidi="ar"/>
        </w:rPr>
        <w:t>或任何责任，包括但不限于应当承担其自身及采购中心为排除任何争议及</w:t>
      </w:r>
      <w:r>
        <w:rPr>
          <w:rFonts w:cs="宋体"/>
          <w:color w:val="000000"/>
          <w:szCs w:val="21"/>
          <w:lang w:bidi="ar"/>
        </w:rPr>
        <w:t>/</w:t>
      </w:r>
      <w:r>
        <w:rPr>
          <w:rFonts w:cs="宋体" w:hint="eastAsia"/>
          <w:color w:val="000000"/>
          <w:szCs w:val="21"/>
          <w:lang w:bidi="ar"/>
        </w:rPr>
        <w:t>或赔偿侵权所应当或所需支付的一切相关及</w:t>
      </w:r>
      <w:r>
        <w:rPr>
          <w:rFonts w:cs="宋体"/>
          <w:color w:val="000000"/>
          <w:szCs w:val="21"/>
          <w:lang w:bidi="ar"/>
        </w:rPr>
        <w:t>/</w:t>
      </w:r>
      <w:r>
        <w:rPr>
          <w:rFonts w:cs="宋体" w:hint="eastAsia"/>
          <w:color w:val="000000"/>
          <w:szCs w:val="21"/>
          <w:lang w:bidi="ar"/>
        </w:rPr>
        <w:t>或由此引起的费用。</w:t>
      </w:r>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61"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4"/>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4"/>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4"/>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25336D">
      <w:pPr>
        <w:spacing w:line="360" w:lineRule="auto"/>
        <w:ind w:firstLine="3066" w:firstLineChars="1460"/>
        <w:jc w:val="left"/>
        <w:rPr>
          <w:rFonts w:ascii="Times New Roman" w:eastAsia="宋体" w:hAnsi="Times New Roman" w:cs="Times New Roman"/>
          <w:b/>
          <w:bCs/>
          <w:szCs w:val="21"/>
        </w:rPr>
      </w:pPr>
      <w:bookmarkStart w:id="62" w:name="采购公告合同部分_ZBGGHT"/>
      <w:r>
        <w:rPr>
          <w:rFonts w:ascii="Times New Roman" w:eastAsia="宋体" w:hAnsi="Times New Roman" w:cs="Times New Roman" w:hint="eastAsia"/>
          <w:b/>
          <w:bCs/>
          <w:szCs w:val="21"/>
        </w:rPr>
        <w:t>第九章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25336D">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25336D">
      <w:pPr>
        <w:spacing w:line="360" w:lineRule="auto"/>
        <w:ind w:right="-210" w:rightChars="-100"/>
        <w:rPr>
          <w:rFonts w:ascii="宋体" w:eastAsia="宋体" w:hAnsi="宋体" w:cs="宋体"/>
          <w:szCs w:val="21"/>
        </w:rPr>
      </w:pPr>
    </w:p>
    <w:p w:rsidR="0025336D">
      <w:pPr>
        <w:spacing w:line="360" w:lineRule="auto"/>
        <w:ind w:right="-210" w:rightChars="-100"/>
        <w:rPr>
          <w:rFonts w:ascii="宋体" w:eastAsia="宋体" w:hAnsi="宋体" w:cs="宋体"/>
          <w:szCs w:val="21"/>
        </w:rPr>
      </w:pPr>
    </w:p>
    <w:p w:rsidR="0025336D">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25336D">
      <w:pPr>
        <w:spacing w:line="360" w:lineRule="auto"/>
        <w:jc w:val="center"/>
        <w:rPr>
          <w:rFonts w:ascii="宋体" w:eastAsia="宋体" w:hAnsi="宋体" w:cs="宋体"/>
          <w:szCs w:val="21"/>
        </w:rPr>
      </w:pPr>
    </w:p>
    <w:p w:rsidR="0025336D">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25336D">
      <w:pPr>
        <w:spacing w:line="360" w:lineRule="auto"/>
        <w:jc w:val="center"/>
        <w:rPr>
          <w:rFonts w:ascii="宋体" w:eastAsia="宋体" w:hAnsi="宋体" w:cs="宋体"/>
          <w:szCs w:val="21"/>
        </w:rPr>
      </w:pPr>
    </w:p>
    <w:p w:rsidR="0025336D">
      <w:pPr>
        <w:spacing w:line="360" w:lineRule="auto"/>
        <w:jc w:val="center"/>
        <w:rPr>
          <w:rFonts w:ascii="宋体" w:eastAsia="宋体" w:hAnsi="宋体" w:cs="宋体"/>
          <w:szCs w:val="21"/>
        </w:rPr>
      </w:pPr>
    </w:p>
    <w:p w:rsidR="0025336D">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600" w:lineRule="auto"/>
        <w:ind w:right="-15" w:firstLine="420" w:firstLineChars="200"/>
        <w:rPr>
          <w:rFonts w:ascii="宋体" w:eastAsia="宋体" w:hAnsi="宋体" w:cs="宋体"/>
          <w:b/>
          <w:bCs/>
          <w:szCs w:val="21"/>
          <w:u w:val="single"/>
        </w:rPr>
      </w:pPr>
    </w:p>
    <w:p w:rsidR="0025336D">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25336D">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25336D">
      <w:pPr>
        <w:spacing w:line="360" w:lineRule="auto"/>
        <w:ind w:firstLine="1680" w:firstLineChars="800"/>
        <w:rPr>
          <w:rFonts w:ascii="宋体" w:eastAsia="宋体" w:hAnsi="宋体" w:cs="宋体"/>
          <w:szCs w:val="21"/>
        </w:rPr>
      </w:pPr>
    </w:p>
    <w:p w:rsidR="0025336D">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rsidR="0025336D">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25336D">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25336D">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25336D">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25336D">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25336D">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25336D">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25336D">
      <w:pPr>
        <w:jc w:val="center"/>
        <w:rPr>
          <w:rFonts w:ascii="黑体" w:eastAsia="黑体" w:hAnsi="黑体" w:cs="黑体"/>
          <w:sz w:val="32"/>
          <w:szCs w:val="32"/>
        </w:rPr>
      </w:pPr>
    </w:p>
    <w:p w:rsidR="0025336D">
      <w:pPr>
        <w:jc w:val="center"/>
        <w:rPr>
          <w:rFonts w:ascii="黑体" w:eastAsia="黑体" w:hAnsi="黑体" w:cs="黑体"/>
          <w:sz w:val="32"/>
          <w:szCs w:val="32"/>
        </w:rPr>
      </w:pPr>
    </w:p>
    <w:p w:rsidR="0025336D">
      <w:pPr>
        <w:jc w:val="center"/>
        <w:rPr>
          <w:rFonts w:ascii="黑体" w:eastAsia="黑体" w:hAnsi="黑体" w:cs="黑体"/>
          <w:sz w:val="32"/>
          <w:szCs w:val="32"/>
        </w:rPr>
      </w:pPr>
    </w:p>
    <w:p w:rsidR="0025336D">
      <w:pPr>
        <w:jc w:val="center"/>
        <w:rPr>
          <w:rFonts w:ascii="黑体" w:eastAsia="黑体" w:hAnsi="黑体" w:cs="黑体"/>
          <w:sz w:val="32"/>
          <w:szCs w:val="32"/>
        </w:rPr>
      </w:pPr>
      <w:r>
        <w:rPr>
          <w:rFonts w:ascii="黑体" w:eastAsia="黑体" w:hAnsi="黑体" w:cs="黑体" w:hint="eastAsia"/>
          <w:sz w:val="32"/>
          <w:szCs w:val="32"/>
        </w:rPr>
        <w:t>使 用 说 明</w:t>
      </w:r>
    </w:p>
    <w:p w:rsidR="0025336D">
      <w:pPr>
        <w:jc w:val="center"/>
        <w:rPr>
          <w:rFonts w:ascii="黑体" w:eastAsia="黑体" w:hAnsi="黑体" w:cs="黑体"/>
          <w:sz w:val="32"/>
          <w:szCs w:val="32"/>
        </w:rPr>
      </w:pPr>
    </w:p>
    <w:p w:rsidR="0025336D">
      <w:pPr>
        <w:numPr>
          <w:ilvl w:val="0"/>
          <w:numId w:val="11"/>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25336D">
      <w:pPr>
        <w:numPr>
          <w:ilvl w:val="0"/>
          <w:numId w:val="11"/>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25336D">
      <w:pPr>
        <w:numPr>
          <w:ilvl w:val="0"/>
          <w:numId w:val="11"/>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25336D">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25336D">
      <w:pPr>
        <w:keepNext/>
        <w:keepLines/>
        <w:numPr>
          <w:ilvl w:val="0"/>
          <w:numId w:val="12"/>
        </w:numPr>
        <w:spacing w:before="60" w:after="60" w:line="360" w:lineRule="auto"/>
        <w:jc w:val="left"/>
        <w:outlineLvl w:val="1"/>
        <w:rPr>
          <w:rFonts w:ascii="宋体" w:eastAsia="宋体" w:hAnsi="宋体" w:cs="宋体"/>
          <w:b/>
          <w:bCs/>
          <w:szCs w:val="21"/>
        </w:rPr>
      </w:pPr>
      <w:bookmarkStart w:id="63" w:name="_Toc150439537"/>
      <w:r>
        <w:rPr>
          <w:rFonts w:ascii="宋体" w:eastAsia="宋体" w:hAnsi="宋体" w:cs="宋体" w:hint="eastAsia"/>
          <w:b/>
          <w:bCs/>
          <w:szCs w:val="21"/>
        </w:rPr>
        <w:t>项目内容及概况</w:t>
      </w:r>
      <w:bookmarkEnd w:id="63"/>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0"/>
        <w:gridCol w:w="747"/>
        <w:gridCol w:w="792"/>
        <w:gridCol w:w="1500"/>
        <w:gridCol w:w="1502"/>
        <w:gridCol w:w="1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25336D">
            <w:pPr>
              <w:jc w:val="left"/>
              <w:rPr>
                <w:rFonts w:ascii="宋体" w:eastAsia="宋体" w:hAnsi="宋体" w:cs="宋体"/>
                <w:szCs w:val="21"/>
              </w:rPr>
            </w:pPr>
            <w:r>
              <w:rPr>
                <w:rFonts w:ascii="宋体" w:eastAsia="宋体" w:hAnsi="宋体" w:cs="宋体" w:hint="eastAsia"/>
                <w:szCs w:val="21"/>
              </w:rPr>
              <w:t>名称</w:t>
            </w:r>
          </w:p>
        </w:tc>
        <w:tc>
          <w:tcPr>
            <w:tcW w:w="415" w:type="pct"/>
          </w:tcPr>
          <w:p w:rsidR="0025336D">
            <w:pPr>
              <w:jc w:val="left"/>
              <w:rPr>
                <w:rFonts w:ascii="宋体" w:eastAsia="宋体" w:hAnsi="宋体" w:cs="宋体"/>
                <w:szCs w:val="21"/>
              </w:rPr>
            </w:pPr>
            <w:r>
              <w:rPr>
                <w:rFonts w:ascii="宋体" w:eastAsia="宋体" w:hAnsi="宋体" w:cs="宋体" w:hint="eastAsia"/>
                <w:szCs w:val="21"/>
              </w:rPr>
              <w:t>数量</w:t>
            </w:r>
          </w:p>
        </w:tc>
        <w:tc>
          <w:tcPr>
            <w:tcW w:w="440" w:type="pct"/>
          </w:tcPr>
          <w:p w:rsidR="0025336D">
            <w:pPr>
              <w:jc w:val="left"/>
              <w:rPr>
                <w:rFonts w:ascii="宋体" w:eastAsia="宋体" w:hAnsi="宋体" w:cs="宋体"/>
                <w:szCs w:val="21"/>
              </w:rPr>
            </w:pPr>
            <w:r>
              <w:rPr>
                <w:rFonts w:ascii="宋体" w:eastAsia="宋体" w:hAnsi="宋体" w:cs="宋体" w:hint="eastAsia"/>
                <w:szCs w:val="21"/>
              </w:rPr>
              <w:t>单位</w:t>
            </w:r>
          </w:p>
        </w:tc>
        <w:tc>
          <w:tcPr>
            <w:tcW w:w="833" w:type="pct"/>
          </w:tcPr>
          <w:p w:rsidR="0025336D">
            <w:pPr>
              <w:jc w:val="left"/>
              <w:rPr>
                <w:rFonts w:ascii="宋体" w:eastAsia="宋体" w:hAnsi="宋体" w:cs="宋体"/>
                <w:szCs w:val="21"/>
              </w:rPr>
            </w:pPr>
            <w:r>
              <w:rPr>
                <w:rFonts w:ascii="宋体" w:eastAsia="宋体" w:hAnsi="宋体" w:cs="宋体" w:hint="eastAsia"/>
                <w:szCs w:val="21"/>
              </w:rPr>
              <w:t>单价（元）</w:t>
            </w:r>
          </w:p>
        </w:tc>
        <w:tc>
          <w:tcPr>
            <w:tcW w:w="834" w:type="pct"/>
          </w:tcPr>
          <w:p w:rsidR="0025336D">
            <w:pPr>
              <w:jc w:val="left"/>
              <w:rPr>
                <w:rFonts w:ascii="宋体" w:eastAsia="宋体" w:hAnsi="宋体" w:cs="宋体"/>
                <w:szCs w:val="21"/>
              </w:rPr>
            </w:pPr>
            <w:r>
              <w:rPr>
                <w:rFonts w:ascii="宋体" w:eastAsia="宋体" w:hAnsi="宋体" w:cs="宋体" w:hint="eastAsia"/>
                <w:szCs w:val="21"/>
              </w:rPr>
              <w:t>合计（元）</w:t>
            </w:r>
          </w:p>
        </w:tc>
        <w:tc>
          <w:tcPr>
            <w:tcW w:w="834" w:type="pct"/>
          </w:tcPr>
          <w:p w:rsidR="0025336D">
            <w:pPr>
              <w:jc w:val="left"/>
              <w:rPr>
                <w:rFonts w:ascii="宋体" w:eastAsia="宋体" w:hAnsi="宋体" w:cs="宋体"/>
                <w:szCs w:val="21"/>
              </w:rPr>
            </w:pPr>
            <w:r>
              <w:rPr>
                <w:rFonts w:ascii="宋体" w:eastAsia="宋体" w:hAnsi="宋体" w:cs="宋体" w:hint="eastAsia"/>
                <w:szCs w:val="21"/>
              </w:rPr>
              <w:t>备注</w:t>
            </w:r>
          </w:p>
        </w:tc>
      </w:tr>
      <w:tr>
        <w:tblPrEx>
          <w:tblW w:w="5000" w:type="pct"/>
          <w:tblLook w:val="04A0"/>
        </w:tblPrEx>
        <w:tc>
          <w:tcPr>
            <w:tcW w:w="1644" w:type="pct"/>
          </w:tcPr>
          <w:p w:rsidR="0025336D">
            <w:pPr>
              <w:jc w:val="left"/>
              <w:rPr>
                <w:rFonts w:ascii="宋体" w:eastAsia="宋体" w:hAnsi="宋体" w:cs="宋体"/>
                <w:szCs w:val="21"/>
              </w:rPr>
            </w:pPr>
          </w:p>
        </w:tc>
        <w:tc>
          <w:tcPr>
            <w:tcW w:w="415" w:type="pct"/>
          </w:tcPr>
          <w:p w:rsidR="0025336D">
            <w:pPr>
              <w:jc w:val="left"/>
              <w:rPr>
                <w:rFonts w:ascii="宋体" w:eastAsia="宋体" w:hAnsi="宋体" w:cs="宋体"/>
                <w:szCs w:val="21"/>
              </w:rPr>
            </w:pPr>
          </w:p>
        </w:tc>
        <w:tc>
          <w:tcPr>
            <w:tcW w:w="440" w:type="pct"/>
          </w:tcPr>
          <w:p w:rsidR="0025336D">
            <w:pPr>
              <w:jc w:val="left"/>
              <w:rPr>
                <w:rFonts w:ascii="宋体" w:eastAsia="宋体" w:hAnsi="宋体" w:cs="宋体"/>
                <w:szCs w:val="21"/>
              </w:rPr>
            </w:pPr>
          </w:p>
        </w:tc>
        <w:tc>
          <w:tcPr>
            <w:tcW w:w="833" w:type="pct"/>
          </w:tcPr>
          <w:p w:rsidR="0025336D">
            <w:pPr>
              <w:jc w:val="left"/>
              <w:rPr>
                <w:rFonts w:ascii="宋体" w:eastAsia="宋体" w:hAnsi="宋体" w:cs="宋体"/>
                <w:szCs w:val="21"/>
              </w:rPr>
            </w:pPr>
          </w:p>
        </w:tc>
        <w:tc>
          <w:tcPr>
            <w:tcW w:w="834" w:type="pct"/>
          </w:tcPr>
          <w:p w:rsidR="0025336D">
            <w:pPr>
              <w:jc w:val="left"/>
              <w:rPr>
                <w:rFonts w:ascii="宋体" w:eastAsia="宋体" w:hAnsi="宋体" w:cs="宋体"/>
                <w:szCs w:val="21"/>
              </w:rPr>
            </w:pPr>
          </w:p>
        </w:tc>
        <w:tc>
          <w:tcPr>
            <w:tcW w:w="834" w:type="pct"/>
          </w:tcPr>
          <w:p w:rsidR="0025336D">
            <w:pPr>
              <w:jc w:val="left"/>
              <w:rPr>
                <w:rFonts w:ascii="宋体" w:eastAsia="宋体" w:hAnsi="宋体" w:cs="宋体"/>
                <w:szCs w:val="21"/>
              </w:rPr>
            </w:pPr>
          </w:p>
        </w:tc>
      </w:tr>
      <w:tr>
        <w:tblPrEx>
          <w:tblW w:w="5000" w:type="pct"/>
          <w:tblLook w:val="04A0"/>
        </w:tblPrEx>
        <w:tc>
          <w:tcPr>
            <w:tcW w:w="1644" w:type="pct"/>
          </w:tcPr>
          <w:p w:rsidR="0025336D">
            <w:pPr>
              <w:jc w:val="left"/>
              <w:rPr>
                <w:rFonts w:ascii="宋体" w:eastAsia="宋体" w:hAnsi="宋体" w:cs="宋体"/>
                <w:szCs w:val="21"/>
              </w:rPr>
            </w:pPr>
          </w:p>
        </w:tc>
        <w:tc>
          <w:tcPr>
            <w:tcW w:w="415" w:type="pct"/>
          </w:tcPr>
          <w:p w:rsidR="0025336D">
            <w:pPr>
              <w:jc w:val="left"/>
              <w:rPr>
                <w:rFonts w:ascii="宋体" w:eastAsia="宋体" w:hAnsi="宋体" w:cs="宋体"/>
                <w:szCs w:val="21"/>
              </w:rPr>
            </w:pPr>
          </w:p>
        </w:tc>
        <w:tc>
          <w:tcPr>
            <w:tcW w:w="440" w:type="pct"/>
          </w:tcPr>
          <w:p w:rsidR="0025336D">
            <w:pPr>
              <w:jc w:val="left"/>
              <w:rPr>
                <w:rFonts w:ascii="宋体" w:eastAsia="宋体" w:hAnsi="宋体" w:cs="宋体"/>
                <w:szCs w:val="21"/>
              </w:rPr>
            </w:pPr>
          </w:p>
        </w:tc>
        <w:tc>
          <w:tcPr>
            <w:tcW w:w="833" w:type="pct"/>
          </w:tcPr>
          <w:p w:rsidR="0025336D">
            <w:pPr>
              <w:jc w:val="left"/>
              <w:rPr>
                <w:rFonts w:ascii="宋体" w:eastAsia="宋体" w:hAnsi="宋体" w:cs="宋体"/>
                <w:szCs w:val="21"/>
              </w:rPr>
            </w:pPr>
          </w:p>
        </w:tc>
        <w:tc>
          <w:tcPr>
            <w:tcW w:w="834" w:type="pct"/>
          </w:tcPr>
          <w:p w:rsidR="0025336D">
            <w:pPr>
              <w:jc w:val="left"/>
              <w:rPr>
                <w:rFonts w:ascii="宋体" w:eastAsia="宋体" w:hAnsi="宋体" w:cs="宋体"/>
                <w:szCs w:val="21"/>
              </w:rPr>
            </w:pPr>
          </w:p>
        </w:tc>
        <w:tc>
          <w:tcPr>
            <w:tcW w:w="834" w:type="pct"/>
          </w:tcPr>
          <w:p w:rsidR="0025336D">
            <w:pPr>
              <w:jc w:val="left"/>
              <w:rPr>
                <w:rFonts w:ascii="宋体" w:eastAsia="宋体" w:hAnsi="宋体" w:cs="宋体"/>
                <w:szCs w:val="21"/>
              </w:rPr>
            </w:pPr>
          </w:p>
        </w:tc>
      </w:tr>
      <w:tr>
        <w:tblPrEx>
          <w:tblW w:w="5000" w:type="pct"/>
          <w:tblLook w:val="04A0"/>
        </w:tblPrEx>
        <w:tc>
          <w:tcPr>
            <w:tcW w:w="5000" w:type="pct"/>
            <w:gridSpan w:val="6"/>
          </w:tcPr>
          <w:p w:rsidR="0025336D">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25336D">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rsidR="0025336D">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rsidR="0025336D">
      <w:pPr>
        <w:ind w:firstLine="420" w:firstLineChars="200"/>
        <w:jc w:val="left"/>
        <w:rPr>
          <w:rFonts w:ascii="宋体" w:eastAsia="宋体" w:hAnsi="宋体" w:cs="宋体"/>
          <w:szCs w:val="21"/>
        </w:rPr>
      </w:pPr>
    </w:p>
    <w:p w:rsidR="0025336D">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rsidR="0025336D">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rsidR="0025336D">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5336D">
      <w:pPr>
        <w:keepNext/>
        <w:keepLines/>
        <w:numPr>
          <w:ilvl w:val="0"/>
          <w:numId w:val="12"/>
        </w:numPr>
        <w:spacing w:before="60" w:after="60" w:line="360" w:lineRule="auto"/>
        <w:jc w:val="left"/>
        <w:outlineLvl w:val="1"/>
        <w:rPr>
          <w:rFonts w:ascii="宋体" w:eastAsia="宋体" w:hAnsi="宋体" w:cs="宋体"/>
          <w:b/>
          <w:bCs/>
          <w:szCs w:val="21"/>
        </w:rPr>
      </w:pPr>
      <w:bookmarkStart w:id="64" w:name="_Toc150439540"/>
      <w:r>
        <w:rPr>
          <w:rFonts w:ascii="宋体" w:eastAsia="宋体" w:hAnsi="宋体" w:cs="宋体" w:hint="eastAsia"/>
          <w:b/>
          <w:bCs/>
          <w:szCs w:val="21"/>
        </w:rPr>
        <w:t>项目相关标准</w:t>
      </w:r>
      <w:bookmarkEnd w:id="64"/>
    </w:p>
    <w:p w:rsidR="0025336D">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rsidR="0025336D">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rsidR="0025336D">
      <w:pPr>
        <w:numPr>
          <w:ilvl w:val="1"/>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25336D">
      <w:pPr>
        <w:numPr>
          <w:ilvl w:val="1"/>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5336D">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rsidR="0025336D">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5336D">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5336D">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rsidR="0025336D">
      <w:pPr>
        <w:numPr>
          <w:ilvl w:val="1"/>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5336D">
      <w:pPr>
        <w:numPr>
          <w:ilvl w:val="1"/>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5336D">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rsidR="0025336D">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25336D">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25336D">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rsidR="0025336D">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rsidR="0025336D">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rsidR="0025336D">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25336D">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rsidR="0025336D">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rsidR="0025336D">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5336D">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rsidR="0025336D">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w:t>
      </w:r>
      <w:r>
        <w:rPr>
          <w:rFonts w:ascii="宋体" w:eastAsia="宋体" w:hAnsi="宋体" w:cs="宋体"/>
          <w:szCs w:val="21"/>
          <w:u w:val="single"/>
        </w:rPr>
        <w:t>气预函</w:t>
      </w:r>
      <w:r>
        <w:rPr>
          <w:rFonts w:ascii="宋体" w:eastAsia="宋体" w:hAnsi="宋体" w:cs="宋体"/>
          <w:szCs w:val="21"/>
          <w:u w:val="single"/>
        </w:rPr>
        <w:t>〔2023〕76号）</w:t>
      </w:r>
    </w:p>
    <w:p w:rsidR="0025336D">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rsidR="0025336D">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rsidR="0025336D">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rsidR="0025336D">
      <w:pPr>
        <w:numPr>
          <w:ilvl w:val="0"/>
          <w:numId w:val="1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25336D">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rsidR="0025336D">
      <w:pPr>
        <w:keepNext/>
        <w:keepLines/>
        <w:numPr>
          <w:ilvl w:val="0"/>
          <w:numId w:val="12"/>
        </w:numPr>
        <w:spacing w:before="60" w:after="60" w:line="360" w:lineRule="auto"/>
        <w:jc w:val="left"/>
        <w:outlineLvl w:val="1"/>
        <w:rPr>
          <w:rFonts w:ascii="宋体" w:eastAsia="宋体" w:hAnsi="宋体" w:cs="宋体"/>
          <w:b/>
          <w:bCs/>
          <w:szCs w:val="21"/>
        </w:rPr>
      </w:pPr>
      <w:bookmarkStart w:id="65" w:name="_Toc150439542"/>
      <w:r>
        <w:rPr>
          <w:rFonts w:ascii="宋体" w:eastAsia="宋体" w:hAnsi="宋体" w:cs="宋体" w:hint="eastAsia"/>
          <w:b/>
          <w:bCs/>
          <w:szCs w:val="21"/>
        </w:rPr>
        <w:t>组成本合同的文件</w:t>
      </w:r>
      <w:bookmarkEnd w:id="65"/>
    </w:p>
    <w:p w:rsidR="0025336D">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rsidR="0025336D">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rsidR="0025336D">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rsidR="0025336D">
      <w:pPr>
        <w:numPr>
          <w:ilvl w:val="0"/>
          <w:numId w:val="20"/>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rsidR="0025336D">
      <w:pPr>
        <w:numPr>
          <w:ilvl w:val="0"/>
          <w:numId w:val="20"/>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rsidR="0025336D">
      <w:pPr>
        <w:numPr>
          <w:ilvl w:val="0"/>
          <w:numId w:val="20"/>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rsidR="0025336D">
      <w:pPr>
        <w:numPr>
          <w:ilvl w:val="0"/>
          <w:numId w:val="20"/>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rsidR="0025336D">
      <w:pPr>
        <w:numPr>
          <w:ilvl w:val="0"/>
          <w:numId w:val="20"/>
        </w:numPr>
        <w:spacing w:line="360" w:lineRule="auto"/>
        <w:ind w:hanging="5"/>
        <w:jc w:val="left"/>
        <w:rPr>
          <w:rFonts w:ascii="宋体" w:eastAsia="宋体" w:hAnsi="宋体" w:cs="宋体"/>
          <w:szCs w:val="21"/>
        </w:rPr>
      </w:pPr>
      <w:r>
        <w:rPr>
          <w:rFonts w:ascii="宋体" w:eastAsia="宋体" w:hAnsi="宋体" w:cs="宋体"/>
          <w:szCs w:val="21"/>
        </w:rPr>
        <w:t>……</w:t>
      </w:r>
    </w:p>
    <w:p w:rsidR="0025336D">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rsidR="0025336D">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rsidR="0025336D">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25336D">
      <w:pPr>
        <w:keepNext/>
        <w:keepLines/>
        <w:numPr>
          <w:ilvl w:val="0"/>
          <w:numId w:val="12"/>
        </w:numPr>
        <w:spacing w:before="60" w:after="60" w:line="360" w:lineRule="auto"/>
        <w:jc w:val="left"/>
        <w:outlineLvl w:val="1"/>
        <w:rPr>
          <w:rFonts w:ascii="宋体" w:eastAsia="宋体" w:hAnsi="宋体" w:cs="宋体"/>
          <w:b/>
          <w:bCs/>
          <w:szCs w:val="21"/>
        </w:rPr>
      </w:pPr>
      <w:bookmarkStart w:id="66" w:name="_Toc150439545"/>
      <w:r>
        <w:rPr>
          <w:rFonts w:ascii="宋体" w:eastAsia="宋体" w:hAnsi="宋体" w:cs="宋体" w:hint="eastAsia"/>
          <w:b/>
          <w:bCs/>
          <w:szCs w:val="21"/>
        </w:rPr>
        <w:t>合同履行地点、合同服务期</w:t>
      </w:r>
      <w:bookmarkEnd w:id="66"/>
    </w:p>
    <w:p w:rsidR="0025336D">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25336D">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25336D">
      <w:pPr>
        <w:keepNext/>
        <w:keepLines/>
        <w:numPr>
          <w:ilvl w:val="0"/>
          <w:numId w:val="12"/>
        </w:numPr>
        <w:spacing w:before="60" w:after="60" w:line="360" w:lineRule="auto"/>
        <w:outlineLvl w:val="1"/>
        <w:rPr>
          <w:rFonts w:ascii="宋体" w:eastAsia="宋体" w:hAnsi="宋体" w:cs="宋体"/>
          <w:b/>
          <w:bCs/>
          <w:szCs w:val="21"/>
        </w:rPr>
      </w:pPr>
      <w:bookmarkStart w:id="67" w:name="_Toc150439547"/>
      <w:r>
        <w:rPr>
          <w:rFonts w:ascii="宋体" w:eastAsia="宋体" w:hAnsi="宋体" w:cs="宋体" w:hint="eastAsia"/>
          <w:b/>
          <w:bCs/>
          <w:szCs w:val="21"/>
        </w:rPr>
        <w:t>服务范围及内容</w:t>
      </w:r>
      <w:bookmarkEnd w:id="67"/>
    </w:p>
    <w:p w:rsidR="0025336D">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rsidR="0025336D">
      <w:pPr>
        <w:numPr>
          <w:ilvl w:val="0"/>
          <w:numId w:val="22"/>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25336D">
      <w:pPr>
        <w:numPr>
          <w:ilvl w:val="0"/>
          <w:numId w:val="22"/>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5336D">
      <w:pPr>
        <w:numPr>
          <w:ilvl w:val="0"/>
          <w:numId w:val="22"/>
        </w:numPr>
        <w:spacing w:line="360" w:lineRule="auto"/>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25336D">
      <w:pPr>
        <w:numPr>
          <w:ilvl w:val="0"/>
          <w:numId w:val="22"/>
        </w:numPr>
        <w:spacing w:line="360" w:lineRule="auto"/>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5336D">
      <w:pPr>
        <w:numPr>
          <w:ilvl w:val="0"/>
          <w:numId w:val="22"/>
        </w:numPr>
        <w:spacing w:line="360" w:lineRule="auto"/>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5336D">
      <w:pPr>
        <w:numPr>
          <w:ilvl w:val="0"/>
          <w:numId w:val="22"/>
        </w:numPr>
        <w:spacing w:line="360" w:lineRule="auto"/>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5336D">
      <w:pPr>
        <w:numPr>
          <w:ilvl w:val="0"/>
          <w:numId w:val="22"/>
        </w:numPr>
        <w:spacing w:line="360" w:lineRule="auto"/>
        <w:rPr>
          <w:rFonts w:ascii="宋体" w:eastAsia="宋体" w:hAnsi="宋体" w:cs="宋体"/>
          <w:szCs w:val="21"/>
        </w:rPr>
      </w:pPr>
      <w:r>
        <w:rPr>
          <w:rFonts w:ascii="宋体" w:eastAsia="宋体" w:hAnsi="宋体" w:cs="宋体" w:hint="eastAsia"/>
          <w:szCs w:val="21"/>
        </w:rPr>
        <w:t>进度安排：</w:t>
      </w:r>
    </w:p>
    <w:p w:rsidR="0025336D">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rsidR="0025336D">
      <w:pPr>
        <w:numPr>
          <w:ilvl w:val="0"/>
          <w:numId w:val="2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w:t>
      </w:r>
      <w:r>
        <w:rPr>
          <w:rFonts w:ascii="宋体" w:eastAsia="宋体" w:hAnsi="宋体" w:cs="宋体" w:hint="eastAsia"/>
          <w:szCs w:val="21"/>
        </w:rPr>
        <w:t>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25336D">
      <w:pPr>
        <w:numPr>
          <w:ilvl w:val="0"/>
          <w:numId w:val="2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9"/>
        <w:gridCol w:w="634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25336D">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vAlign w:val="center"/>
          </w:tcPr>
          <w:p w:rsidR="0025336D">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25336D">
            <w:pPr>
              <w:jc w:val="center"/>
              <w:rPr>
                <w:rFonts w:ascii="宋体" w:eastAsia="宋体" w:hAnsi="宋体" w:cs="宋体"/>
                <w:szCs w:val="21"/>
              </w:rPr>
            </w:pPr>
            <w:r>
              <w:rPr>
                <w:rFonts w:ascii="宋体" w:eastAsia="宋体" w:hAnsi="宋体" w:cs="宋体" w:hint="eastAsia"/>
                <w:szCs w:val="21"/>
              </w:rPr>
              <w:t>研究开发计划</w:t>
            </w:r>
          </w:p>
        </w:tc>
        <w:tc>
          <w:tcPr>
            <w:tcW w:w="3523" w:type="pct"/>
            <w:vAlign w:val="center"/>
          </w:tcPr>
          <w:p w:rsidR="0025336D">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5336D">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tcPr>
          <w:p w:rsidR="0025336D">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5336D">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25336D">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5336D">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25336D">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5336D">
            <w:pPr>
              <w:jc w:val="center"/>
              <w:rPr>
                <w:rFonts w:ascii="宋体" w:eastAsia="宋体" w:hAnsi="宋体" w:cs="宋体"/>
                <w:szCs w:val="21"/>
              </w:rPr>
            </w:pPr>
            <w:r>
              <w:rPr>
                <w:rFonts w:ascii="宋体" w:eastAsia="宋体" w:hAnsi="宋体" w:cs="宋体" w:hint="eastAsia"/>
                <w:szCs w:val="21"/>
              </w:rPr>
              <w:t>安装、测试、培训</w:t>
            </w:r>
          </w:p>
        </w:tc>
        <w:tc>
          <w:tcPr>
            <w:tcW w:w="3523" w:type="pct"/>
          </w:tcPr>
          <w:p w:rsidR="0025336D">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5336D">
            <w:pPr>
              <w:jc w:val="center"/>
              <w:rPr>
                <w:rFonts w:ascii="宋体" w:eastAsia="宋体" w:hAnsi="宋体" w:cs="宋体"/>
                <w:szCs w:val="21"/>
              </w:rPr>
            </w:pPr>
            <w:r>
              <w:rPr>
                <w:rFonts w:ascii="宋体" w:eastAsia="宋体" w:hAnsi="宋体" w:cs="宋体" w:hint="eastAsia"/>
                <w:szCs w:val="21"/>
              </w:rPr>
              <w:t>软件试运行</w:t>
            </w:r>
          </w:p>
        </w:tc>
        <w:tc>
          <w:tcPr>
            <w:tcW w:w="3523" w:type="pct"/>
          </w:tcPr>
          <w:p w:rsidR="0025336D">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5336D">
            <w:pPr>
              <w:jc w:val="center"/>
              <w:rPr>
                <w:rFonts w:ascii="宋体" w:eastAsia="宋体" w:hAnsi="宋体" w:cs="宋体"/>
                <w:szCs w:val="21"/>
              </w:rPr>
            </w:pPr>
            <w:r>
              <w:rPr>
                <w:rFonts w:ascii="宋体" w:eastAsia="宋体" w:hAnsi="宋体" w:cs="宋体" w:hint="eastAsia"/>
                <w:szCs w:val="21"/>
              </w:rPr>
              <w:t>项目验收</w:t>
            </w:r>
          </w:p>
        </w:tc>
        <w:tc>
          <w:tcPr>
            <w:tcW w:w="3523" w:type="pct"/>
          </w:tcPr>
          <w:p w:rsidR="0025336D">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rsidR="0025336D">
      <w:pPr>
        <w:keepNext/>
        <w:keepLines/>
        <w:numPr>
          <w:ilvl w:val="0"/>
          <w:numId w:val="12"/>
        </w:numPr>
        <w:spacing w:before="60" w:after="60" w:line="360" w:lineRule="auto"/>
        <w:outlineLvl w:val="1"/>
        <w:rPr>
          <w:rFonts w:ascii="宋体" w:eastAsia="宋体" w:hAnsi="宋体" w:cs="宋体"/>
          <w:b/>
          <w:bCs/>
          <w:szCs w:val="21"/>
        </w:rPr>
      </w:pPr>
      <w:bookmarkStart w:id="68" w:name="_Toc150439549"/>
      <w:r>
        <w:rPr>
          <w:rFonts w:ascii="宋体" w:eastAsia="宋体" w:hAnsi="宋体" w:cs="宋体" w:hint="eastAsia"/>
          <w:b/>
          <w:bCs/>
          <w:szCs w:val="21"/>
        </w:rPr>
        <w:t>乙方的权利与义务</w:t>
      </w:r>
      <w:bookmarkEnd w:id="68"/>
    </w:p>
    <w:p w:rsidR="0025336D">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rsidR="0025336D">
      <w:pPr>
        <w:numPr>
          <w:ilvl w:val="0"/>
          <w:numId w:val="25"/>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rsidR="0025336D">
      <w:pPr>
        <w:numPr>
          <w:ilvl w:val="0"/>
          <w:numId w:val="25"/>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rsidR="0025336D">
      <w:pPr>
        <w:numPr>
          <w:ilvl w:val="0"/>
          <w:numId w:val="25"/>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rsidR="0025336D">
      <w:pPr>
        <w:numPr>
          <w:ilvl w:val="0"/>
          <w:numId w:val="25"/>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rsidR="0025336D">
      <w:pPr>
        <w:numPr>
          <w:ilvl w:val="0"/>
          <w:numId w:val="25"/>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rsidR="0025336D">
      <w:pPr>
        <w:numPr>
          <w:ilvl w:val="0"/>
          <w:numId w:val="25"/>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25336D">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rsidR="0025336D">
      <w:pPr>
        <w:numPr>
          <w:ilvl w:val="0"/>
          <w:numId w:val="26"/>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rsidR="0025336D">
      <w:pPr>
        <w:numPr>
          <w:ilvl w:val="0"/>
          <w:numId w:val="26"/>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对用于本项目的乙方服务器、存储、网络设备、操作系统、数据库、中间件等软</w:t>
      </w:r>
      <w:r>
        <w:rPr>
          <w:rFonts w:ascii="宋体" w:eastAsia="宋体" w:hAnsi="宋体" w:cs="宋体" w:hint="eastAsia"/>
          <w:szCs w:val="21"/>
          <w:u w:val="single"/>
        </w:rPr>
        <w:t xml:space="preserve">硬件设施具有最高管理权限；                                                  </w:t>
      </w:r>
    </w:p>
    <w:p w:rsidR="0025336D">
      <w:pPr>
        <w:numPr>
          <w:ilvl w:val="0"/>
          <w:numId w:val="26"/>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rsidR="0025336D">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25336D">
      <w:pPr>
        <w:numPr>
          <w:ilvl w:val="0"/>
          <w:numId w:val="2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工作日内向甲方提交研究开发计划。研究开发计划应包括以下主要内容：</w:t>
      </w:r>
    </w:p>
    <w:p w:rsidR="0025336D">
      <w:pPr>
        <w:numPr>
          <w:ilvl w:val="0"/>
          <w:numId w:val="27"/>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rsidR="0025336D">
      <w:pPr>
        <w:numPr>
          <w:ilvl w:val="0"/>
          <w:numId w:val="27"/>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rsidR="0025336D">
      <w:pPr>
        <w:numPr>
          <w:ilvl w:val="0"/>
          <w:numId w:val="2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rsidR="0025336D">
      <w:pPr>
        <w:numPr>
          <w:ilvl w:val="0"/>
          <w:numId w:val="28"/>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25336D">
      <w:pPr>
        <w:numPr>
          <w:ilvl w:val="0"/>
          <w:numId w:val="28"/>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25336D">
      <w:pPr>
        <w:numPr>
          <w:ilvl w:val="0"/>
          <w:numId w:val="28"/>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25336D">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25336D">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rsidR="0025336D">
      <w:pPr>
        <w:numPr>
          <w:ilvl w:val="0"/>
          <w:numId w:val="24"/>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25336D">
      <w:pPr>
        <w:numPr>
          <w:ilvl w:val="0"/>
          <w:numId w:val="24"/>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25336D">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rsidR="0025336D">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w:t>
      </w:r>
      <w:r>
        <w:rPr>
          <w:rFonts w:ascii="宋体" w:eastAsia="宋体" w:hAnsi="宋体" w:cs="宋体" w:hint="eastAsia"/>
          <w:szCs w:val="21"/>
        </w:rPr>
        <w:t>原人员</w:t>
      </w:r>
      <w:r>
        <w:rPr>
          <w:rFonts w:ascii="宋体" w:eastAsia="宋体" w:hAnsi="宋体" w:cs="宋体" w:hint="eastAsia"/>
          <w:szCs w:val="21"/>
        </w:rPr>
        <w:t>相当。如甲方认为需要调整项目经理、技术负责人和软件开发人员的，应与乙方协商一致后调整。</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bookmarkStart w:id="69" w:name="_Toc150439565"/>
      <w:r>
        <w:rPr>
          <w:rFonts w:ascii="宋体" w:eastAsia="宋体" w:hAnsi="宋体" w:cs="宋体" w:hint="eastAsia"/>
          <w:b/>
          <w:bCs/>
          <w:szCs w:val="21"/>
        </w:rPr>
        <w:t>甲方</w:t>
      </w:r>
      <w:r>
        <w:rPr>
          <w:rFonts w:ascii="宋体" w:eastAsia="宋体" w:hAnsi="宋体" w:cs="宋体"/>
          <w:b/>
          <w:bCs/>
          <w:szCs w:val="21"/>
        </w:rPr>
        <w:t>的权利与义务</w:t>
      </w:r>
      <w:bookmarkEnd w:id="69"/>
    </w:p>
    <w:p w:rsidR="0025336D">
      <w:pPr>
        <w:numPr>
          <w:ilvl w:val="0"/>
          <w:numId w:val="29"/>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25336D">
      <w:pPr>
        <w:numPr>
          <w:ilvl w:val="0"/>
          <w:numId w:val="30"/>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5336D">
      <w:pPr>
        <w:numPr>
          <w:ilvl w:val="0"/>
          <w:numId w:val="30"/>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5336D">
      <w:pPr>
        <w:numPr>
          <w:ilvl w:val="0"/>
          <w:numId w:val="30"/>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5336D">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5336D">
      <w:pPr>
        <w:numPr>
          <w:ilvl w:val="0"/>
          <w:numId w:val="29"/>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25336D">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25336D">
      <w:pPr>
        <w:numPr>
          <w:ilvl w:val="0"/>
          <w:numId w:val="29"/>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rsidR="0025336D">
      <w:pPr>
        <w:numPr>
          <w:ilvl w:val="0"/>
          <w:numId w:val="31"/>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25336D">
      <w:pPr>
        <w:numPr>
          <w:ilvl w:val="0"/>
          <w:numId w:val="31"/>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25336D">
      <w:pPr>
        <w:numPr>
          <w:ilvl w:val="0"/>
          <w:numId w:val="31"/>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25336D">
      <w:pPr>
        <w:numPr>
          <w:ilvl w:val="0"/>
          <w:numId w:val="31"/>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rsidR="0025336D">
      <w:pPr>
        <w:numPr>
          <w:ilvl w:val="0"/>
          <w:numId w:val="31"/>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rsidR="0025336D">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rsidR="0025336D">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25336D">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25336D">
      <w:pPr>
        <w:numPr>
          <w:ilvl w:val="0"/>
          <w:numId w:val="33"/>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rsidR="0025336D">
      <w:pPr>
        <w:numPr>
          <w:ilvl w:val="0"/>
          <w:numId w:val="33"/>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rsidR="0025336D">
      <w:pPr>
        <w:numPr>
          <w:ilvl w:val="0"/>
          <w:numId w:val="33"/>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rsidR="0025336D">
      <w:pPr>
        <w:numPr>
          <w:ilvl w:val="0"/>
          <w:numId w:val="33"/>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rsidR="0025336D">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rsidR="0025336D">
      <w:pPr>
        <w:numPr>
          <w:ilvl w:val="0"/>
          <w:numId w:val="34"/>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25336D">
      <w:pPr>
        <w:numPr>
          <w:ilvl w:val="0"/>
          <w:numId w:val="34"/>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25336D">
      <w:pPr>
        <w:numPr>
          <w:ilvl w:val="0"/>
          <w:numId w:val="34"/>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bookmarkStart w:id="70" w:name="_Toc150439567"/>
      <w:r>
        <w:rPr>
          <w:rFonts w:ascii="宋体" w:eastAsia="宋体" w:hAnsi="宋体" w:cs="宋体" w:hint="eastAsia"/>
          <w:b/>
          <w:bCs/>
          <w:szCs w:val="21"/>
        </w:rPr>
        <w:t>项目交付</w:t>
      </w:r>
      <w:bookmarkEnd w:id="70"/>
    </w:p>
    <w:p w:rsidR="0025336D">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rsidR="0025336D">
      <w:pPr>
        <w:numPr>
          <w:ilvl w:val="0"/>
          <w:numId w:val="36"/>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rsidR="0025336D">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rsidR="0025336D">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rsidR="0025336D">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rsidR="0025336D">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rsidR="0025336D">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rsidR="0025336D">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rsidR="0025336D">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rsidR="0025336D">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rsidR="0025336D">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25336D">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rsidR="0025336D">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rsidR="0025336D">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rsidR="0025336D">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rsidR="0025336D">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25336D">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rsidR="0025336D">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rsidR="0025336D">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rsidR="0025336D">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rsidR="0025336D">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rsidR="0025336D">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rsidR="0025336D">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rsidR="0025336D">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25336D">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25336D">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rsidR="0025336D">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rsidR="0025336D">
      <w:pPr>
        <w:numPr>
          <w:ilvl w:val="0"/>
          <w:numId w:val="38"/>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25336D">
      <w:pPr>
        <w:numPr>
          <w:ilvl w:val="0"/>
          <w:numId w:val="39"/>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25336D">
      <w:pPr>
        <w:numPr>
          <w:ilvl w:val="0"/>
          <w:numId w:val="39"/>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25336D">
      <w:pPr>
        <w:numPr>
          <w:ilvl w:val="0"/>
          <w:numId w:val="39"/>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25336D">
      <w:pPr>
        <w:numPr>
          <w:ilvl w:val="0"/>
          <w:numId w:val="39"/>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rsidR="0025336D">
      <w:pPr>
        <w:numPr>
          <w:ilvl w:val="0"/>
          <w:numId w:val="38"/>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rsidR="0025336D">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rsidR="0025336D">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工作日内，甲方向乙方支付本合同首付款至乙方指定账户，首付款为合同总额_</w:t>
      </w:r>
      <w:r w:rsidR="004A3842">
        <w:rPr>
          <w:rFonts w:ascii="宋体" w:eastAsia="宋体" w:hAnsi="宋体" w:cs="宋体" w:hint="eastAsia"/>
          <w:szCs w:val="21"/>
        </w:rPr>
        <w:t>90%</w:t>
      </w:r>
      <w:r>
        <w:rPr>
          <w:rFonts w:ascii="宋体" w:eastAsia="宋体" w:hAnsi="宋体" w:cs="宋体" w:hint="eastAsia"/>
          <w:szCs w:val="21"/>
        </w:rPr>
        <w:t>，即：</w:t>
      </w:r>
      <w:r>
        <w:rPr>
          <w:rFonts w:ascii="宋体" w:eastAsia="宋体" w:hAnsi="宋体" w:cs="宋体" w:hint="eastAsia"/>
          <w:szCs w:val="21"/>
          <w:u w:val="single"/>
        </w:rPr>
        <w:t>￥    元（大写：人民币    元整）；</w:t>
      </w:r>
    </w:p>
    <w:p w:rsidR="004A3842" w:rsidRPr="004A3842" w:rsidP="004A3842">
      <w:pPr>
        <w:tabs>
          <w:tab w:val="left" w:pos="720"/>
        </w:tabs>
        <w:ind w:firstLine="420" w:firstLineChars="200"/>
        <w:rPr>
          <w:rFonts w:ascii="宋体" w:eastAsia="宋体" w:hAnsi="宋体" w:cs="宋体"/>
          <w:szCs w:val="21"/>
        </w:rPr>
      </w:pPr>
      <w:r w:rsidRPr="004A3842">
        <w:rPr>
          <w:rFonts w:ascii="宋体" w:eastAsia="宋体" w:hAnsi="宋体" w:cs="宋体" w:hint="eastAsia"/>
          <w:szCs w:val="21"/>
        </w:rPr>
        <w:t>第二阶段：最后一次付款额应为本合同总额的</w:t>
      </w:r>
      <w:r w:rsidRPr="004A3842">
        <w:rPr>
          <w:rFonts w:ascii="宋体" w:eastAsia="宋体" w:hAnsi="宋体" w:cs="宋体" w:hint="eastAsia"/>
          <w:szCs w:val="21"/>
          <w:u w:val="single"/>
        </w:rPr>
        <w:t xml:space="preserve"> 10 %</w:t>
      </w:r>
      <w:r w:rsidRPr="004A3842">
        <w:rPr>
          <w:rFonts w:ascii="宋体" w:eastAsia="宋体" w:hAnsi="宋体" w:cs="宋体" w:hint="eastAsia"/>
          <w:szCs w:val="21"/>
        </w:rPr>
        <w:t>，甲方应在乙方完成</w:t>
      </w:r>
      <w:r w:rsidRPr="004A3842">
        <w:rPr>
          <w:rFonts w:ascii="宋体" w:eastAsia="宋体" w:hAnsi="宋体" w:cs="宋体" w:hint="eastAsia"/>
          <w:szCs w:val="21"/>
          <w:u w:val="single"/>
        </w:rPr>
        <w:t xml:space="preserve"> 合同验收 ，</w:t>
      </w:r>
      <w:r w:rsidRPr="004A3842">
        <w:rPr>
          <w:rFonts w:ascii="宋体" w:eastAsia="宋体" w:hAnsi="宋体" w:cs="宋体" w:hint="eastAsia"/>
          <w:szCs w:val="21"/>
        </w:rPr>
        <w:t>并完全履行合同约定全部义务后</w:t>
      </w:r>
      <w:r w:rsidRPr="004A3842">
        <w:rPr>
          <w:rFonts w:ascii="宋体" w:eastAsia="宋体" w:hAnsi="宋体" w:cs="宋体" w:hint="eastAsia"/>
          <w:szCs w:val="21"/>
          <w:u w:val="single"/>
        </w:rPr>
        <w:t>【   】</w:t>
      </w:r>
      <w:r w:rsidRPr="004A3842">
        <w:rPr>
          <w:rFonts w:ascii="宋体" w:eastAsia="宋体" w:hAnsi="宋体" w:cs="宋体" w:hint="eastAsia"/>
          <w:szCs w:val="21"/>
        </w:rPr>
        <w:t>日内付给乙方。</w:t>
      </w:r>
    </w:p>
    <w:p w:rsidR="0025336D">
      <w:pPr>
        <w:numPr>
          <w:ilvl w:val="0"/>
          <w:numId w:val="38"/>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rsidR="0025336D">
      <w:pPr>
        <w:numPr>
          <w:ilvl w:val="0"/>
          <w:numId w:val="40"/>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w:t>
      </w:r>
      <w:r>
        <w:rPr>
          <w:rFonts w:ascii="宋体" w:eastAsia="宋体" w:hAnsi="宋体" w:cs="宋体" w:hint="eastAsia"/>
          <w:szCs w:val="21"/>
        </w:rPr>
        <w:t>同要求履行合同，或因乙方原因导致本合同解除的，甲方将不予归还履约保证金。如乙方未按前述约定支付保证金，甲方有权直接在研究开发经费和报酬中扣除相应费用。</w:t>
      </w:r>
    </w:p>
    <w:p w:rsidR="0025336D">
      <w:pPr>
        <w:numPr>
          <w:ilvl w:val="0"/>
          <w:numId w:val="40"/>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w:t>
      </w:r>
      <w:r>
        <w:rPr>
          <w:rFonts w:ascii="宋体" w:eastAsia="宋体" w:hAnsi="宋体" w:cs="宋体" w:hint="eastAsia"/>
          <w:szCs w:val="21"/>
        </w:rPr>
        <w:t>保阶段</w:t>
      </w:r>
      <w:r>
        <w:rPr>
          <w:rFonts w:ascii="宋体" w:eastAsia="宋体" w:hAnsi="宋体" w:cs="宋体" w:hint="eastAsia"/>
          <w:szCs w:val="21"/>
        </w:rPr>
        <w:t>结束后</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工作日内，无息返还履约保证金。如乙方在质</w:t>
      </w:r>
      <w:r>
        <w:rPr>
          <w:rFonts w:ascii="宋体" w:eastAsia="宋体" w:hAnsi="宋体" w:cs="宋体" w:hint="eastAsia"/>
          <w:szCs w:val="21"/>
        </w:rPr>
        <w:t>保期间</w:t>
      </w:r>
      <w:r>
        <w:rPr>
          <w:rFonts w:ascii="宋体" w:eastAsia="宋体" w:hAnsi="宋体" w:cs="宋体" w:hint="eastAsia"/>
          <w:szCs w:val="21"/>
        </w:rPr>
        <w:t>内发生被甲方索赔款项，则相应金额从履约保证金中扣除，累计超过履约保证金数额的由乙方另外支付。如在补偿上述损失后合同继续履行的，乙方应在合同继续履行或甲方书面通知后【   】日内补齐履约保证金。</w:t>
      </w:r>
    </w:p>
    <w:p w:rsidR="0025336D">
      <w:pPr>
        <w:numPr>
          <w:ilvl w:val="0"/>
          <w:numId w:val="40"/>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rsidR="0025336D">
      <w:pPr>
        <w:numPr>
          <w:ilvl w:val="0"/>
          <w:numId w:val="38"/>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1"/>
        <w:gridCol w:w="4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25336D">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tcPr>
          <w:p w:rsidR="0025336D">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25336D">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tcPr>
          <w:p w:rsidR="0025336D">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Look w:val="04A0"/>
        </w:tblPrEx>
        <w:tc>
          <w:tcPr>
            <w:tcW w:w="2500" w:type="pct"/>
          </w:tcPr>
          <w:p w:rsidR="0025336D">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tcPr>
          <w:p w:rsidR="0025336D">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Look w:val="04A0"/>
        </w:tblPrEx>
        <w:tc>
          <w:tcPr>
            <w:tcW w:w="2500" w:type="pct"/>
          </w:tcPr>
          <w:p w:rsidR="0025336D">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tcPr>
          <w:p w:rsidR="0025336D">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rsidR="0025336D">
      <w:pPr>
        <w:numPr>
          <w:ilvl w:val="0"/>
          <w:numId w:val="38"/>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rsidR="0025336D">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rsidR="0025336D">
      <w:pPr>
        <w:numPr>
          <w:ilvl w:val="0"/>
          <w:numId w:val="41"/>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rsidR="0025336D">
      <w:pPr>
        <w:numPr>
          <w:ilvl w:val="0"/>
          <w:numId w:val="41"/>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rsidR="0025336D">
      <w:pPr>
        <w:numPr>
          <w:ilvl w:val="0"/>
          <w:numId w:val="41"/>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rsidR="0025336D">
      <w:pPr>
        <w:numPr>
          <w:ilvl w:val="0"/>
          <w:numId w:val="41"/>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rsidR="0025336D">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bookmarkStart w:id="71" w:name="_Toc150439569"/>
      <w:r>
        <w:rPr>
          <w:rFonts w:ascii="宋体" w:eastAsia="宋体" w:hAnsi="宋体" w:cs="宋体" w:hint="eastAsia"/>
          <w:b/>
          <w:bCs/>
          <w:szCs w:val="21"/>
        </w:rPr>
        <w:t>项目验收</w:t>
      </w:r>
      <w:bookmarkEnd w:id="71"/>
    </w:p>
    <w:p w:rsidR="0025336D">
      <w:pPr>
        <w:ind w:firstLine="420" w:firstLineChars="200"/>
        <w:rPr>
          <w:rFonts w:ascii="宋体" w:eastAsia="宋体" w:hAnsi="宋体" w:cs="宋体"/>
          <w:szCs w:val="21"/>
        </w:rPr>
      </w:pPr>
      <w:r>
        <w:rPr>
          <w:rFonts w:ascii="宋体" w:eastAsia="宋体" w:hAnsi="宋体" w:cs="宋体" w:hint="eastAsia"/>
          <w:szCs w:val="21"/>
        </w:rPr>
        <w:t>1.系统测试</w:t>
      </w:r>
    </w:p>
    <w:p w:rsidR="0025336D">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25336D">
      <w:pPr>
        <w:numPr>
          <w:ilvl w:val="0"/>
          <w:numId w:val="42"/>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rsidR="0025336D">
      <w:pPr>
        <w:numPr>
          <w:ilvl w:val="0"/>
          <w:numId w:val="42"/>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rsidR="0025336D">
      <w:pPr>
        <w:numPr>
          <w:ilvl w:val="0"/>
          <w:numId w:val="42"/>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rsidR="0025336D">
      <w:pPr>
        <w:numPr>
          <w:ilvl w:val="0"/>
          <w:numId w:val="42"/>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rsidR="0025336D">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25336D">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w:t>
      </w:r>
      <w:r>
        <w:rPr>
          <w:rFonts w:ascii="宋体" w:eastAsia="宋体" w:hAnsi="宋体" w:cs="宋体" w:hint="eastAsia"/>
          <w:szCs w:val="21"/>
        </w:rPr>
        <w:t>个</w:t>
      </w:r>
      <w:r>
        <w:rPr>
          <w:rFonts w:ascii="宋体" w:eastAsia="宋体" w:hAnsi="宋体" w:cs="宋体" w:hint="eastAsia"/>
          <w:szCs w:val="21"/>
        </w:rPr>
        <w:t>工作日内组织由甲方或甲方委托的第三方主持的软件测试，乙方参加，对软件进行测试。测试时应有甲方现场确认交付的全部源代码通过编译获得可执行程序的环节。</w:t>
      </w:r>
    </w:p>
    <w:p w:rsidR="0025336D">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rsidR="0025336D">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rsidR="0025336D">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rsidR="0025336D">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rsidR="0025336D">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 xml:space="preserve">月的试运行权利。试运行期间，乙方应进行全程跟踪，提供全面技术支持服务，及时修改、完善、补充系统功能，确保试运行的顺利进行。   </w:t>
      </w:r>
    </w:p>
    <w:p w:rsidR="0025336D">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25336D">
      <w:pPr>
        <w:ind w:firstLine="420" w:firstLineChars="200"/>
        <w:rPr>
          <w:rFonts w:ascii="宋体" w:eastAsia="宋体" w:hAnsi="宋体" w:cs="宋体"/>
          <w:szCs w:val="21"/>
        </w:rPr>
      </w:pPr>
      <w:r>
        <w:rPr>
          <w:rFonts w:ascii="宋体" w:eastAsia="宋体" w:hAnsi="宋体" w:cs="宋体" w:hint="eastAsia"/>
          <w:szCs w:val="21"/>
        </w:rPr>
        <w:t>4.项目终验</w:t>
      </w:r>
    </w:p>
    <w:p w:rsidR="0025336D">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w:t>
      </w:r>
      <w:r>
        <w:rPr>
          <w:rFonts w:ascii="宋体" w:eastAsia="宋体" w:hAnsi="宋体" w:cs="宋体" w:hint="eastAsia"/>
          <w:szCs w:val="21"/>
        </w:rPr>
        <w:t>验通过</w:t>
      </w:r>
      <w:r>
        <w:rPr>
          <w:rFonts w:ascii="宋体" w:eastAsia="宋体" w:hAnsi="宋体" w:cs="宋体" w:hint="eastAsia"/>
          <w:szCs w:val="21"/>
        </w:rPr>
        <w:t>后签署终验报告。</w:t>
      </w:r>
    </w:p>
    <w:p w:rsidR="0025336D">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bookmarkStart w:id="72" w:name="_Toc150439566"/>
      <w:r>
        <w:rPr>
          <w:rFonts w:ascii="宋体" w:eastAsia="宋体" w:hAnsi="宋体" w:cs="宋体" w:hint="eastAsia"/>
          <w:b/>
          <w:bCs/>
          <w:szCs w:val="21"/>
        </w:rPr>
        <w:t>质量保证</w:t>
      </w:r>
      <w:bookmarkEnd w:id="72"/>
    </w:p>
    <w:p w:rsidR="0025336D">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rsidR="0025336D">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25336D">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25336D">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25336D">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25336D">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25336D">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bookmarkStart w:id="73" w:name="_Toc150439612"/>
      <w:r>
        <w:rPr>
          <w:rFonts w:ascii="宋体" w:eastAsia="宋体" w:hAnsi="宋体" w:cs="宋体" w:hint="eastAsia"/>
          <w:b/>
          <w:bCs/>
          <w:szCs w:val="21"/>
        </w:rPr>
        <w:t>保密条款（保密协议）</w:t>
      </w:r>
      <w:bookmarkEnd w:id="73"/>
    </w:p>
    <w:p w:rsidR="0025336D">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rsidR="0025336D">
      <w:pPr>
        <w:numPr>
          <w:ilvl w:val="0"/>
          <w:numId w:val="44"/>
        </w:numPr>
        <w:spacing w:line="360" w:lineRule="auto"/>
        <w:ind w:firstLine="420" w:firstLineChars="200"/>
        <w:rPr>
          <w:rFonts w:ascii="宋体" w:eastAsia="宋体" w:hAnsi="宋体" w:cs="宋体"/>
          <w:szCs w:val="21"/>
        </w:rPr>
      </w:pPr>
      <w:bookmarkStart w:id="74"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5336D">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rsidR="0025336D">
      <w:pPr>
        <w:numPr>
          <w:ilvl w:val="0"/>
          <w:numId w:val="44"/>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rsidR="0025336D">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74"/>
    <w:p w:rsidR="0025336D">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rsidR="0025336D">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rsidR="0025336D">
      <w:pPr>
        <w:numPr>
          <w:ilvl w:val="0"/>
          <w:numId w:val="46"/>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rsidR="0025336D">
      <w:pPr>
        <w:numPr>
          <w:ilvl w:val="0"/>
          <w:numId w:val="46"/>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rsidR="0025336D">
      <w:pPr>
        <w:numPr>
          <w:ilvl w:val="0"/>
          <w:numId w:val="46"/>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rsidR="0025336D">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rsidR="0025336D">
      <w:pPr>
        <w:numPr>
          <w:ilvl w:val="0"/>
          <w:numId w:val="45"/>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75" w:name="_Hlk150343509"/>
      <w:r>
        <w:rPr>
          <w:rFonts w:ascii="宋体" w:eastAsia="宋体" w:hAnsi="宋体" w:cs="宋体" w:hint="eastAsia"/>
          <w:szCs w:val="21"/>
          <w:u w:val="single"/>
        </w:rPr>
        <w:t xml:space="preserve">                             </w:t>
      </w:r>
      <w:bookmarkEnd w:id="75"/>
      <w:r>
        <w:rPr>
          <w:rFonts w:ascii="宋体" w:eastAsia="宋体" w:hAnsi="宋体" w:cs="宋体" w:hint="eastAsia"/>
          <w:szCs w:val="21"/>
          <w:u w:val="single"/>
        </w:rPr>
        <w:t xml:space="preserve">                                </w:t>
      </w:r>
    </w:p>
    <w:p w:rsidR="0025336D">
      <w:pPr>
        <w:numPr>
          <w:ilvl w:val="0"/>
          <w:numId w:val="45"/>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rsidR="0025336D">
      <w:pPr>
        <w:ind w:firstLine="420" w:firstLineChars="200"/>
        <w:rPr>
          <w:rFonts w:ascii="宋体" w:eastAsia="宋体" w:hAnsi="宋体" w:cs="宋体"/>
          <w:szCs w:val="21"/>
        </w:rPr>
      </w:pPr>
      <w:r>
        <w:rPr>
          <w:rFonts w:ascii="宋体" w:eastAsia="宋体" w:hAnsi="宋体" w:cs="宋体" w:hint="eastAsia"/>
          <w:color w:val="000000"/>
          <w:szCs w:val="21"/>
        </w:rPr>
        <w:t>本合同的解除或终止</w:t>
      </w:r>
      <w:r>
        <w:rPr>
          <w:rFonts w:ascii="宋体" w:eastAsia="宋体" w:hAnsi="宋体" w:cs="宋体" w:hint="eastAsia"/>
          <w:color w:val="000000"/>
          <w:szCs w:val="21"/>
        </w:rPr>
        <w:t>不</w:t>
      </w:r>
      <w:r>
        <w:rPr>
          <w:rFonts w:ascii="宋体" w:eastAsia="宋体" w:hAnsi="宋体" w:cs="宋体" w:hint="eastAsia"/>
          <w:color w:val="000000"/>
          <w:szCs w:val="21"/>
        </w:rPr>
        <w:t>免除甲乙双方应承担的保密义务。</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bookmarkStart w:id="76" w:name="_Toc150439618"/>
      <w:r>
        <w:rPr>
          <w:rFonts w:ascii="宋体" w:eastAsia="宋体" w:hAnsi="宋体" w:cs="宋体" w:hint="eastAsia"/>
          <w:b/>
          <w:bCs/>
          <w:szCs w:val="21"/>
        </w:rPr>
        <w:t>违约</w:t>
      </w:r>
      <w:r>
        <w:rPr>
          <w:rFonts w:ascii="宋体" w:eastAsia="宋体" w:hAnsi="宋体" w:cs="宋体"/>
          <w:b/>
          <w:bCs/>
          <w:szCs w:val="21"/>
        </w:rPr>
        <w:t>责任及赔偿</w:t>
      </w:r>
      <w:bookmarkEnd w:id="76"/>
    </w:p>
    <w:p w:rsidR="0025336D">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rsidR="0025336D">
      <w:pPr>
        <w:numPr>
          <w:ilvl w:val="0"/>
          <w:numId w:val="47"/>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25336D">
      <w:pPr>
        <w:numPr>
          <w:ilvl w:val="0"/>
          <w:numId w:val="47"/>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25336D">
      <w:pPr>
        <w:numPr>
          <w:ilvl w:val="0"/>
          <w:numId w:val="47"/>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25336D">
      <w:pPr>
        <w:numPr>
          <w:ilvl w:val="0"/>
          <w:numId w:val="47"/>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rsidR="0025336D">
      <w:pPr>
        <w:numPr>
          <w:ilvl w:val="0"/>
          <w:numId w:val="47"/>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25336D">
      <w:pPr>
        <w:numPr>
          <w:ilvl w:val="0"/>
          <w:numId w:val="47"/>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25336D">
      <w:pPr>
        <w:numPr>
          <w:ilvl w:val="0"/>
          <w:numId w:val="47"/>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bookmarkStart w:id="77" w:name="_Toc150439619"/>
      <w:r>
        <w:rPr>
          <w:rFonts w:ascii="宋体" w:eastAsia="宋体" w:hAnsi="宋体" w:cs="宋体" w:hint="eastAsia"/>
          <w:b/>
          <w:bCs/>
          <w:szCs w:val="21"/>
        </w:rPr>
        <w:t>争议的解决</w:t>
      </w:r>
      <w:bookmarkEnd w:id="77"/>
    </w:p>
    <w:p w:rsidR="0025336D">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25336D">
      <w:pPr>
        <w:numPr>
          <w:ilvl w:val="0"/>
          <w:numId w:val="48"/>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25336D">
      <w:pPr>
        <w:numPr>
          <w:ilvl w:val="0"/>
          <w:numId w:val="48"/>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bookmarkStart w:id="78" w:name="_Toc150439621"/>
      <w:r>
        <w:rPr>
          <w:rFonts w:ascii="宋体" w:eastAsia="宋体" w:hAnsi="宋体" w:cs="宋体" w:hint="eastAsia"/>
          <w:b/>
          <w:bCs/>
          <w:szCs w:val="21"/>
        </w:rPr>
        <w:t>不可抗力</w:t>
      </w:r>
      <w:bookmarkEnd w:id="78"/>
    </w:p>
    <w:p w:rsidR="0025336D">
      <w:pPr>
        <w:numPr>
          <w:ilvl w:val="0"/>
          <w:numId w:val="49"/>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rsidR="0025336D">
      <w:pPr>
        <w:numPr>
          <w:ilvl w:val="0"/>
          <w:numId w:val="50"/>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rsidR="0025336D">
      <w:pPr>
        <w:numPr>
          <w:ilvl w:val="0"/>
          <w:numId w:val="50"/>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rsidR="0025336D">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5336D">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25336D">
      <w:pPr>
        <w:numPr>
          <w:ilvl w:val="0"/>
          <w:numId w:val="49"/>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25336D">
      <w:pPr>
        <w:numPr>
          <w:ilvl w:val="0"/>
          <w:numId w:val="49"/>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rsidR="0025336D">
      <w:pPr>
        <w:numPr>
          <w:ilvl w:val="0"/>
          <w:numId w:val="51"/>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rsidR="0025336D">
      <w:pPr>
        <w:numPr>
          <w:ilvl w:val="0"/>
          <w:numId w:val="51"/>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rsidR="0025336D">
      <w:pPr>
        <w:numPr>
          <w:ilvl w:val="0"/>
          <w:numId w:val="51"/>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bookmarkStart w:id="79" w:name="_Toc150439624"/>
      <w:r>
        <w:rPr>
          <w:rFonts w:ascii="宋体" w:eastAsia="宋体" w:hAnsi="宋体" w:cs="宋体" w:hint="eastAsia"/>
          <w:b/>
          <w:bCs/>
          <w:szCs w:val="21"/>
        </w:rPr>
        <w:t>本合同的变更</w:t>
      </w:r>
      <w:bookmarkEnd w:id="79"/>
    </w:p>
    <w:p w:rsidR="0025336D">
      <w:pPr>
        <w:numPr>
          <w:ilvl w:val="0"/>
          <w:numId w:val="52"/>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25336D">
      <w:pPr>
        <w:numPr>
          <w:ilvl w:val="0"/>
          <w:numId w:val="52"/>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25336D">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bookmarkStart w:id="80" w:name="_Toc150439623"/>
      <w:r>
        <w:rPr>
          <w:rFonts w:ascii="宋体" w:eastAsia="宋体" w:hAnsi="宋体" w:cs="宋体" w:hint="eastAsia"/>
          <w:b/>
          <w:bCs/>
          <w:szCs w:val="21"/>
        </w:rPr>
        <w:t>其它</w:t>
      </w:r>
      <w:bookmarkEnd w:id="80"/>
    </w:p>
    <w:p w:rsidR="0025336D">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rsidR="0025336D">
      <w:pPr>
        <w:keepNext/>
        <w:keepLines/>
        <w:numPr>
          <w:ilvl w:val="0"/>
          <w:numId w:val="12"/>
        </w:numPr>
        <w:spacing w:before="60" w:after="60" w:line="360" w:lineRule="auto"/>
        <w:ind w:left="0" w:firstLine="420" w:firstLineChars="200"/>
        <w:outlineLvl w:val="1"/>
        <w:rPr>
          <w:rFonts w:ascii="宋体" w:eastAsia="宋体" w:hAnsi="宋体" w:cs="宋体"/>
          <w:b/>
          <w:bCs/>
          <w:szCs w:val="21"/>
        </w:rPr>
      </w:pPr>
      <w:bookmarkStart w:id="81" w:name="_Toc150439626"/>
      <w:r>
        <w:rPr>
          <w:rFonts w:ascii="宋体" w:eastAsia="宋体" w:hAnsi="宋体" w:cs="宋体" w:hint="eastAsia"/>
          <w:b/>
          <w:bCs/>
          <w:szCs w:val="21"/>
        </w:rPr>
        <w:t>合同生效</w:t>
      </w:r>
      <w:bookmarkEnd w:id="81"/>
    </w:p>
    <w:p w:rsidR="0025336D">
      <w:pPr>
        <w:numPr>
          <w:ilvl w:val="0"/>
          <w:numId w:val="53"/>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w:t>
      </w:r>
      <w:r>
        <w:rPr>
          <w:rFonts w:ascii="宋体" w:eastAsia="宋体" w:hAnsi="宋体" w:cs="宋体" w:hint="eastAsia"/>
          <w:szCs w:val="21"/>
        </w:rPr>
        <w:t>至质保期</w:t>
      </w:r>
      <w:r>
        <w:rPr>
          <w:rFonts w:ascii="宋体" w:eastAsia="宋体" w:hAnsi="宋体" w:cs="宋体" w:hint="eastAsia"/>
          <w:szCs w:val="21"/>
        </w:rPr>
        <w:t>结束终止。</w:t>
      </w:r>
    </w:p>
    <w:p w:rsidR="0025336D">
      <w:pPr>
        <w:numPr>
          <w:ilvl w:val="0"/>
          <w:numId w:val="53"/>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25336D">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rsidR="0025336D">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25336D">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25336D">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25336D">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25336D">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25336D">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25336D">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25336D"/>
    <w:p w:rsidR="00A77B3E"/>
    <w:p>
      <w:pPr>
        <w:spacing w:line="360" w:lineRule="auto"/>
        <w:ind w:firstLine="3066" w:firstLineChars="1460"/>
        <w:jc w:val="left"/>
        <w:rPr>
          <w:b/>
          <w:bCs/>
          <w:szCs w:val="21"/>
          <w:highlight w:val="none"/>
        </w:rPr>
      </w:pPr>
      <w:bookmarkEnd w:id="62"/>
    </w:p>
    <w:p>
      <w:pPr>
        <w:rPr>
          <w:rFonts w:ascii="Calibri" w:hAnsi="Calibri"/>
          <w:szCs w:val="22"/>
          <w:highlight w:val="none"/>
        </w:rPr>
      </w:pPr>
    </w:p>
    <w:p>
      <w:pPr>
        <w:spacing w:line="360" w:lineRule="auto"/>
        <w:jc w:val="left"/>
        <w:rPr>
          <w:b/>
          <w:bCs/>
          <w:sz w:val="44"/>
          <w:szCs w:val="44"/>
          <w:highlight w:val="none"/>
        </w:rPr>
      </w:pPr>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3000509000000000000"/>
    <w:charset w:val="86"/>
    <w:family w:val="auto"/>
    <w:pitch w:val="variable"/>
    <w:sig w:usb0="A00002BF" w:usb1="184F6CFA" w:usb2="00000012"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36D">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25336D">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36D">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Pr>
        <w:rFonts w:ascii="宋体" w:eastAsia="宋体" w:hAnsi="宋体" w:cs="Times New Roman"/>
        <w:szCs w:val="21"/>
        <w:lang w:val="zh-CN"/>
      </w:rPr>
      <w:t>2</w:t>
    </w:r>
    <w:r>
      <w:rPr>
        <w:rFonts w:ascii="宋体" w:eastAsia="宋体" w:hAnsi="宋体" w:cs="Times New Roman"/>
        <w:szCs w:val="21"/>
        <w:lang w:val="zh-CN"/>
      </w:rPr>
      <w:t>4</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AD84393"/>
    <w:multiLevelType w:val="multilevel"/>
    <w:tmpl w:val="AAD8439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nsid w:val="AF9F7ACF"/>
    <w:multiLevelType w:val="singleLevel"/>
    <w:tmpl w:val="AF9F7ACF"/>
    <w:lvl w:ilvl="0">
      <w:start w:val="1"/>
      <w:numFmt w:val="decimal"/>
      <w:lvlText w:val="%1)"/>
      <w:lvlJc w:val="left"/>
      <w:pPr>
        <w:ind w:left="425" w:hanging="425"/>
      </w:pPr>
      <w:rPr>
        <w:rFonts w:hint="default"/>
      </w:rPr>
    </w:lvl>
  </w:abstractNum>
  <w:abstractNum w:abstractNumId="5">
    <w:nsid w:val="C5E0854D"/>
    <w:multiLevelType w:val="multilevel"/>
    <w:tmpl w:val="C5E0854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
    <w:nsid w:val="DF7A974B"/>
    <w:multiLevelType w:val="singleLevel"/>
    <w:tmpl w:val="DF7A974B"/>
    <w:lvl w:ilvl="0">
      <w:start w:val="1"/>
      <w:numFmt w:val="decimal"/>
      <w:lvlText w:val="%1)"/>
      <w:lvlJc w:val="left"/>
      <w:pPr>
        <w:ind w:left="425" w:hanging="425"/>
      </w:pPr>
      <w:rPr>
        <w:rFonts w:hint="default"/>
      </w:rPr>
    </w:lvl>
  </w:abstractNum>
  <w:abstractNum w:abstractNumId="7">
    <w:nsid w:val="DFBE2221"/>
    <w:multiLevelType w:val="singleLevel"/>
    <w:tmpl w:val="DFBE2221"/>
    <w:lvl w:ilvl="0">
      <w:start w:val="1"/>
      <w:numFmt w:val="decimal"/>
      <w:lvlText w:val="%1)"/>
      <w:lvlJc w:val="left"/>
      <w:pPr>
        <w:ind w:left="425" w:hanging="425"/>
      </w:pPr>
      <w:rPr>
        <w:rFonts w:hint="default"/>
      </w:rPr>
    </w:lvl>
  </w:abstractNum>
  <w:abstractNum w:abstractNumId="8">
    <w:nsid w:val="DFCE4441"/>
    <w:multiLevelType w:val="singleLevel"/>
    <w:tmpl w:val="DFCE4441"/>
    <w:lvl w:ilvl="0">
      <w:start w:val="1"/>
      <w:numFmt w:val="decimal"/>
      <w:lvlText w:val="%1)"/>
      <w:lvlJc w:val="left"/>
      <w:pPr>
        <w:ind w:left="425" w:hanging="425"/>
      </w:pPr>
      <w:rPr>
        <w:rFonts w:hint="default"/>
      </w:rPr>
    </w:lvl>
  </w:abstractNum>
  <w:abstractNum w:abstractNumId="9">
    <w:nsid w:val="E6D09DB5"/>
    <w:multiLevelType w:val="multilevel"/>
    <w:tmpl w:val="E6D09DB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nsid w:val="E7F65004"/>
    <w:multiLevelType w:val="singleLevel"/>
    <w:tmpl w:val="E7F65004"/>
    <w:lvl w:ilvl="0">
      <w:start w:val="1"/>
      <w:numFmt w:val="decimal"/>
      <w:lvlText w:val="%1)"/>
      <w:lvlJc w:val="left"/>
      <w:pPr>
        <w:ind w:left="425" w:hanging="425"/>
      </w:pPr>
      <w:rPr>
        <w:rFonts w:hint="default"/>
      </w:rPr>
    </w:lvl>
  </w:abstractNum>
  <w:abstractNum w:abstractNumId="11">
    <w:nsid w:val="EDECB7AC"/>
    <w:multiLevelType w:val="singleLevel"/>
    <w:tmpl w:val="EDECB7AC"/>
    <w:lvl w:ilvl="0">
      <w:start w:val="1"/>
      <w:numFmt w:val="decimal"/>
      <w:lvlText w:val="%1)"/>
      <w:lvlJc w:val="left"/>
      <w:pPr>
        <w:ind w:left="425" w:hanging="425"/>
      </w:pPr>
      <w:rPr>
        <w:rFonts w:hint="default"/>
      </w:rPr>
    </w:lvl>
  </w:abstractNum>
  <w:abstractNum w:abstractNumId="12">
    <w:nsid w:val="EFF96211"/>
    <w:multiLevelType w:val="singleLevel"/>
    <w:tmpl w:val="EFF96211"/>
    <w:lvl w:ilvl="0">
      <w:start w:val="1"/>
      <w:numFmt w:val="decimal"/>
      <w:lvlText w:val="%1)"/>
      <w:lvlJc w:val="left"/>
      <w:pPr>
        <w:ind w:left="425" w:hanging="425"/>
      </w:pPr>
      <w:rPr>
        <w:rFonts w:hint="default"/>
      </w:rPr>
    </w:lvl>
  </w:abstractNum>
  <w:abstractNum w:abstractNumId="13">
    <w:nsid w:val="FCFBA019"/>
    <w:multiLevelType w:val="singleLevel"/>
    <w:tmpl w:val="FCFBA019"/>
    <w:lvl w:ilvl="0">
      <w:start w:val="1"/>
      <w:numFmt w:val="decimal"/>
      <w:lvlText w:val="%1)"/>
      <w:lvlJc w:val="left"/>
      <w:pPr>
        <w:ind w:left="425" w:hanging="425"/>
      </w:pPr>
      <w:rPr>
        <w:rFonts w:hint="default"/>
      </w:rPr>
    </w:lvl>
  </w:abstractNum>
  <w:abstractNum w:abstractNumId="14">
    <w:nsid w:val="FDBF5E33"/>
    <w:multiLevelType w:val="singleLevel"/>
    <w:tmpl w:val="FDBF5E33"/>
    <w:lvl w:ilvl="0">
      <w:start w:val="1"/>
      <w:numFmt w:val="decimal"/>
      <w:lvlText w:val="%1."/>
      <w:lvlJc w:val="left"/>
      <w:pPr>
        <w:ind w:left="425" w:hanging="425"/>
      </w:pPr>
      <w:rPr>
        <w:rFonts w:hint="default"/>
      </w:rPr>
    </w:lvl>
  </w:abstractNum>
  <w:abstractNum w:abstractNumId="15">
    <w:nsid w:val="FF3F1685"/>
    <w:multiLevelType w:val="singleLevel"/>
    <w:tmpl w:val="FF3F1685"/>
    <w:lvl w:ilvl="0">
      <w:start w:val="1"/>
      <w:numFmt w:val="decimal"/>
      <w:lvlText w:val="%1)"/>
      <w:lvlJc w:val="left"/>
      <w:pPr>
        <w:ind w:left="425" w:hanging="425"/>
      </w:pPr>
      <w:rPr>
        <w:rFonts w:hint="default"/>
      </w:rPr>
    </w:lvl>
  </w:abstractNum>
  <w:abstractNum w:abstractNumId="16">
    <w:nsid w:val="FFFEE893"/>
    <w:multiLevelType w:val="singleLevel"/>
    <w:tmpl w:val="FFFEE893"/>
    <w:lvl w:ilvl="0">
      <w:start w:val="1"/>
      <w:numFmt w:val="decimal"/>
      <w:lvlText w:val="%1)"/>
      <w:lvlJc w:val="left"/>
      <w:pPr>
        <w:ind w:left="425" w:hanging="425"/>
      </w:pPr>
      <w:rPr>
        <w:rFonts w:hint="default"/>
      </w:rPr>
    </w:lvl>
  </w:abstractNum>
  <w:abstractNum w:abstractNumId="17">
    <w:nsid w:val="FFFEFF75"/>
    <w:multiLevelType w:val="singleLevel"/>
    <w:tmpl w:val="FFFEFF75"/>
    <w:lvl w:ilvl="0">
      <w:start w:val="1"/>
      <w:numFmt w:val="decimal"/>
      <w:lvlText w:val="%1)"/>
      <w:lvlJc w:val="left"/>
      <w:pPr>
        <w:ind w:left="425" w:hanging="425"/>
      </w:pPr>
      <w:rPr>
        <w:rFonts w:hint="default"/>
      </w:rPr>
    </w:lvl>
  </w:abstractNum>
  <w:abstractNum w:abstractNumId="1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0">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1">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1FB75E69"/>
    <w:multiLevelType w:val="multilevel"/>
    <w:tmpl w:val="1FB75E6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1">
    <w:nsid w:val="3E730B2A"/>
    <w:multiLevelType w:val="multilevel"/>
    <w:tmpl w:val="3E730B2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2">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3">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4C7A993F"/>
    <w:multiLevelType w:val="singleLevel"/>
    <w:tmpl w:val="4C7A993F"/>
    <w:lvl w:ilvl="0">
      <w:start w:val="1"/>
      <w:numFmt w:val="decimal"/>
      <w:lvlText w:val="%1)"/>
      <w:lvlJc w:val="left"/>
      <w:pPr>
        <w:ind w:left="425" w:hanging="425"/>
      </w:pPr>
      <w:rPr>
        <w:rFonts w:hint="default"/>
      </w:rPr>
    </w:lvl>
  </w:abstractNum>
  <w:abstractNum w:abstractNumId="36">
    <w:nsid w:val="562D3D2A"/>
    <w:multiLevelType w:val="multilevel"/>
    <w:tmpl w:val="562D3D2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nsid w:val="57FFC18B"/>
    <w:multiLevelType w:val="singleLevel"/>
    <w:tmpl w:val="57FFC18B"/>
    <w:lvl w:ilvl="0">
      <w:start w:val="1"/>
      <w:numFmt w:val="decimal"/>
      <w:lvlText w:val="%1)"/>
      <w:lvlJc w:val="left"/>
      <w:pPr>
        <w:ind w:left="425" w:hanging="425"/>
      </w:pPr>
      <w:rPr>
        <w:rFonts w:hint="default"/>
      </w:rPr>
    </w:lvl>
  </w:abstractNum>
  <w:abstractNum w:abstractNumId="38">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40">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1">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4">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nsid w:val="744416C6"/>
    <w:multiLevelType w:val="multilevel"/>
    <w:tmpl w:val="744416C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8">
    <w:nsid w:val="79F8DDAB"/>
    <w:multiLevelType w:val="singleLevel"/>
    <w:tmpl w:val="79F8DDAB"/>
    <w:lvl w:ilvl="0">
      <w:start w:val="1"/>
      <w:numFmt w:val="decimal"/>
      <w:lvlText w:val="%1)"/>
      <w:lvlJc w:val="left"/>
      <w:pPr>
        <w:ind w:left="425" w:hanging="425"/>
      </w:pPr>
      <w:rPr>
        <w:rFonts w:hint="default"/>
      </w:rPr>
    </w:lvl>
  </w:abstractNum>
  <w:abstractNum w:abstractNumId="49">
    <w:nsid w:val="7BF79D3F"/>
    <w:multiLevelType w:val="singleLevel"/>
    <w:tmpl w:val="7BF79D3F"/>
    <w:lvl w:ilvl="0">
      <w:start w:val="1"/>
      <w:numFmt w:val="decimal"/>
      <w:lvlText w:val="%1)"/>
      <w:lvlJc w:val="left"/>
      <w:pPr>
        <w:ind w:left="425" w:hanging="425"/>
      </w:pPr>
      <w:rPr>
        <w:rFonts w:hint="default"/>
      </w:rPr>
    </w:lvl>
  </w:abstractNum>
  <w:abstractNum w:abstractNumId="50">
    <w:nsid w:val="7FAFA353"/>
    <w:multiLevelType w:val="singleLevel"/>
    <w:tmpl w:val="7FAFA353"/>
    <w:lvl w:ilvl="0">
      <w:start w:val="1"/>
      <w:numFmt w:val="decimal"/>
      <w:lvlText w:val="%1)"/>
      <w:lvlJc w:val="left"/>
      <w:pPr>
        <w:ind w:left="425" w:hanging="425"/>
      </w:pPr>
      <w:rPr>
        <w:rFonts w:hint="default"/>
      </w:rPr>
    </w:lvl>
  </w:abstractNum>
  <w:abstractNum w:abstractNumId="51">
    <w:nsid w:val="7FDAC479"/>
    <w:multiLevelType w:val="singleLevel"/>
    <w:tmpl w:val="7FDAC479"/>
    <w:lvl w:ilvl="0">
      <w:start w:val="1"/>
      <w:numFmt w:val="decimal"/>
      <w:lvlText w:val="%1)"/>
      <w:lvlJc w:val="left"/>
      <w:pPr>
        <w:ind w:left="425" w:hanging="425"/>
      </w:pPr>
      <w:rPr>
        <w:rFonts w:hint="default"/>
      </w:rPr>
    </w:lvl>
  </w:abstractNum>
  <w:abstractNum w:abstractNumId="52">
    <w:nsid w:val="7FF73EAD"/>
    <w:multiLevelType w:val="singleLevel"/>
    <w:tmpl w:val="7FF73EAD"/>
    <w:lvl w:ilvl="0">
      <w:start w:val="1"/>
      <w:numFmt w:val="decimal"/>
      <w:lvlText w:val="%1)"/>
      <w:lvlJc w:val="left"/>
      <w:pPr>
        <w:ind w:left="425" w:hanging="425"/>
      </w:pPr>
      <w:rPr>
        <w:rFonts w:hint="default"/>
      </w:rPr>
    </w:lvl>
  </w:abstractNum>
  <w:abstractNum w:abstractNumId="53">
    <w:nsid w:val="7FFFA005"/>
    <w:multiLevelType w:val="singleLevel"/>
    <w:tmpl w:val="7FFFA005"/>
    <w:lvl w:ilvl="0">
      <w:start w:val="1"/>
      <w:numFmt w:val="decimal"/>
      <w:lvlText w:val="%1)"/>
      <w:lvlJc w:val="left"/>
      <w:pPr>
        <w:ind w:left="425" w:hanging="425"/>
      </w:pPr>
      <w:rPr>
        <w:rFonts w:hint="default"/>
      </w:rPr>
    </w:lvl>
  </w:abstractNum>
  <w:num w:numId="1">
    <w:abstractNumId w:val="19"/>
  </w:num>
  <w:num w:numId="2">
    <w:abstractNumId w:val="18"/>
  </w:num>
  <w:num w:numId="3">
    <w:abstractNumId w:val="22"/>
  </w:num>
  <w:num w:numId="4">
    <w:abstractNumId w:val="45"/>
  </w:num>
  <w:num w:numId="5">
    <w:abstractNumId w:val="31"/>
  </w:num>
  <w:num w:numId="6">
    <w:abstractNumId w:val="3"/>
  </w:num>
  <w:num w:numId="7">
    <w:abstractNumId w:val="9"/>
  </w:num>
  <w:num w:numId="8">
    <w:abstractNumId w:val="5"/>
  </w:num>
  <w:num w:numId="9">
    <w:abstractNumId w:val="27"/>
  </w:num>
  <w:num w:numId="10">
    <w:abstractNumId w:val="36"/>
  </w:num>
  <w:num w:numId="11">
    <w:abstractNumId w:val="0"/>
  </w:num>
  <w:num w:numId="12">
    <w:abstractNumId w:val="28"/>
  </w:num>
  <w:num w:numId="13">
    <w:abstractNumId w:val="43"/>
  </w:num>
  <w:num w:numId="14">
    <w:abstractNumId w:val="26"/>
  </w:num>
  <w:num w:numId="15">
    <w:abstractNumId w:val="47"/>
  </w:num>
  <w:num w:numId="16">
    <w:abstractNumId w:val="4"/>
  </w:num>
  <w:num w:numId="17">
    <w:abstractNumId w:val="52"/>
  </w:num>
  <w:num w:numId="18">
    <w:abstractNumId w:val="8"/>
  </w:num>
  <w:num w:numId="19">
    <w:abstractNumId w:val="42"/>
  </w:num>
  <w:num w:numId="20">
    <w:abstractNumId w:val="16"/>
  </w:num>
  <w:num w:numId="21">
    <w:abstractNumId w:val="41"/>
  </w:num>
  <w:num w:numId="22">
    <w:abstractNumId w:val="40"/>
  </w:num>
  <w:num w:numId="23">
    <w:abstractNumId w:val="21"/>
  </w:num>
  <w:num w:numId="24">
    <w:abstractNumId w:val="46"/>
  </w:num>
  <w:num w:numId="25">
    <w:abstractNumId w:val="2"/>
  </w:num>
  <w:num w:numId="26">
    <w:abstractNumId w:val="48"/>
  </w:num>
  <w:num w:numId="27">
    <w:abstractNumId w:val="49"/>
  </w:num>
  <w:num w:numId="28">
    <w:abstractNumId w:val="37"/>
  </w:num>
  <w:num w:numId="29">
    <w:abstractNumId w:val="30"/>
  </w:num>
  <w:num w:numId="30">
    <w:abstractNumId w:val="11"/>
  </w:num>
  <w:num w:numId="31">
    <w:abstractNumId w:val="1"/>
  </w:num>
  <w:num w:numId="32">
    <w:abstractNumId w:val="24"/>
  </w:num>
  <w:num w:numId="33">
    <w:abstractNumId w:val="50"/>
  </w:num>
  <w:num w:numId="34">
    <w:abstractNumId w:val="35"/>
  </w:num>
  <w:num w:numId="35">
    <w:abstractNumId w:val="32"/>
  </w:num>
  <w:num w:numId="36">
    <w:abstractNumId w:val="51"/>
  </w:num>
  <w:num w:numId="37">
    <w:abstractNumId w:val="10"/>
  </w:num>
  <w:num w:numId="38">
    <w:abstractNumId w:val="44"/>
  </w:num>
  <w:num w:numId="39">
    <w:abstractNumId w:val="12"/>
  </w:num>
  <w:num w:numId="40">
    <w:abstractNumId w:val="7"/>
  </w:num>
  <w:num w:numId="41">
    <w:abstractNumId w:val="53"/>
  </w:num>
  <w:num w:numId="42">
    <w:abstractNumId w:val="15"/>
  </w:num>
  <w:num w:numId="43">
    <w:abstractNumId w:val="34"/>
  </w:num>
  <w:num w:numId="44">
    <w:abstractNumId w:val="38"/>
  </w:num>
  <w:num w:numId="45">
    <w:abstractNumId w:val="23"/>
  </w:num>
  <w:num w:numId="46">
    <w:abstractNumId w:val="17"/>
  </w:num>
  <w:num w:numId="47">
    <w:abstractNumId w:val="25"/>
  </w:num>
  <w:num w:numId="48">
    <w:abstractNumId w:val="14"/>
  </w:num>
  <w:num w:numId="49">
    <w:abstractNumId w:val="39"/>
  </w:num>
  <w:num w:numId="50">
    <w:abstractNumId w:val="6"/>
  </w:num>
  <w:num w:numId="51">
    <w:abstractNumId w:val="13"/>
  </w:num>
  <w:num w:numId="52">
    <w:abstractNumId w:val="20"/>
  </w:num>
  <w:num w:numId="53">
    <w:abstractNumId w:val="33"/>
  </w:num>
  <w:num w:numId="54">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336D"/>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27656"/>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3842"/>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15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E51"/>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2B4C"/>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
    <w:name w:val="项目-正文"/>
    <w:basedOn w:val="Normal"/>
    <w:next w:val="Normal"/>
    <w:qFormat/>
    <w:rsid w:val="00427656"/>
    <w:pPr>
      <w:spacing w:line="360" w:lineRule="auto"/>
      <w:ind w:firstLine="200" w:firstLineChars="200"/>
    </w:pPr>
    <w:rPr>
      <w:rFonts w:asciiTheme="minorHAnsi" w:eastAsiaTheme="minorEastAsia" w:hAnsiTheme="minorHAnsi" w:cstheme="minorBidi"/>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2025-07-01T07:55:09Z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