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2025年上海物候自动观测仪采购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ZQCD-25398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上海市生态气象和卫星遥感中心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2025年上海物候自动观测仪采购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ZQCD-25398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上海市内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2025年11月17日 00:00:00</w:t>
      </w:r>
      <w:bookmarkEnd w:id="26"/>
      <w:r>
        <w:rPr>
          <w:rFonts w:ascii="宋体" w:hint="eastAsia"/>
          <w:szCs w:val="21"/>
          <w:highlight w:val="none"/>
        </w:rPr>
        <w:t>至</w:t>
      </w:r>
      <w:bookmarkStart w:id="27" w:name="项目公告_signUpLastTime"/>
      <w:r>
        <w:rPr>
          <w:rFonts w:ascii="宋体" w:hint="eastAsia"/>
          <w:szCs w:val="21"/>
          <w:highlight w:val="none"/>
        </w:rPr>
        <w:t>2025年11月24日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2025年12月08日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上海市生态气象和卫星遥感中心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麻炳欣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021-54893001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上海市徐汇区蒲西路166号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上海市生态气象和卫星遥感中心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不允许（仅针对以下产品：1、物候自动观测仪不允许代理商投标）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必须，以下产品需要提供至投标截止日仍有效的《气象专用技术装备使用许可证》：物候自动观测仪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标的：物候自动观测仪，属于工业行业；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销售合同必须包括物候自动观测仪，每提供1份合同得1分，最多得5分。否则不得分。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针对本项目采购的物候自动观测仪，承诺每提前10天交货的得0.5分，最多得1分。否则不得分。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针对物候自动观测仪设备，每提供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2、除项目经理外至少3人具有2年及以上相关工作经验的，得2分；否则不得分。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针对物候自动观测仪设备，测试报告应涵盖防水、防盐碱、电磁环境测试等内容，每包含一项得1分，最多得3分。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72"/>
        <w:gridCol w:w="7750"/>
      </w:tblGrid>
      <w:tr>
        <w:tblPrEx>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
          <w:tblHeader/>
          <w:jc w:val="center"/>
        </w:trPr>
        <w:tc>
          <w:tcPr>
            <w:tcW w:w="843" w:type="pct"/>
            <w:vAlign w:val="center"/>
          </w:tcPr>
          <w:p>
            <w:pPr>
              <w:jc w:val="center"/>
              <w:rPr>
                <w:rFonts w:ascii="仿宋" w:eastAsia="仿宋" w:hAnsi="仿宋" w:cs="仿宋" w:hint="eastAsia"/>
              </w:rPr>
            </w:pPr>
            <w:r>
              <w:rPr>
                <w:rStyle w:val="font11"/>
                <w:rFonts w:ascii="仿宋" w:eastAsia="仿宋" w:hAnsi="仿宋" w:cs="仿宋" w:hint="default"/>
                <w:sz w:val="24"/>
                <w:szCs w:val="24"/>
              </w:rPr>
              <w:t>设备名称</w:t>
            </w:r>
          </w:p>
        </w:tc>
        <w:tc>
          <w:tcPr>
            <w:tcW w:w="4156" w:type="pct"/>
            <w:vAlign w:val="center"/>
          </w:tcPr>
          <w:p>
            <w:pPr>
              <w:jc w:val="center"/>
              <w:rPr>
                <w:rFonts w:ascii="仿宋" w:eastAsia="仿宋" w:hAnsi="仿宋" w:cs="仿宋" w:hint="eastAsia"/>
              </w:rPr>
            </w:pPr>
            <w:r>
              <w:rPr>
                <w:rStyle w:val="font11"/>
                <w:rFonts w:ascii="仿宋" w:eastAsia="仿宋" w:hAnsi="仿宋" w:cs="仿宋" w:hint="default"/>
                <w:sz w:val="24"/>
                <w:szCs w:val="24"/>
              </w:rPr>
              <w:t>指标参数</w:t>
            </w:r>
          </w:p>
        </w:tc>
      </w:tr>
      <w:tr>
        <w:tblPrEx>
          <w:tblW w:w="5144" w:type="pct"/>
          <w:jc w:val="center"/>
          <w:tblCellMar>
            <w:top w:w="0" w:type="dxa"/>
            <w:left w:w="108" w:type="dxa"/>
            <w:bottom w:w="0" w:type="dxa"/>
            <w:right w:w="108" w:type="dxa"/>
          </w:tblCellMar>
          <w:tblLook w:val="0000"/>
        </w:tblPrEx>
        <w:trPr>
          <w:trHeight w:val="23"/>
          <w:jc w:val="center"/>
        </w:trPr>
        <w:tc>
          <w:tcPr>
            <w:tcW w:w="843" w:type="pct"/>
            <w:vAlign w:val="center"/>
          </w:tcPr>
          <w:p>
            <w:pPr>
              <w:rPr>
                <w:rFonts w:ascii="仿宋" w:eastAsia="仿宋" w:hAnsi="仿宋" w:cs="仿宋" w:hint="eastAsia"/>
              </w:rPr>
            </w:pPr>
            <w:r>
              <w:rPr>
                <w:rFonts w:ascii="仿宋" w:eastAsia="仿宋" w:hAnsi="仿宋" w:cs="仿宋" w:hint="eastAsia"/>
                <w:sz w:val="24"/>
              </w:rPr>
              <w:t>物候自动观测仪</w:t>
            </w:r>
          </w:p>
        </w:tc>
        <w:tc>
          <w:tcPr>
            <w:tcW w:w="4156" w:type="pct"/>
            <w:vAlign w:val="center"/>
          </w:tcPr>
          <w:p>
            <w:pPr>
              <w:widowControl/>
              <w:rPr>
                <w:rFonts w:ascii="仿宋" w:eastAsia="仿宋" w:hAnsi="仿宋" w:cs="仿宋" w:hint="eastAsia"/>
                <w:kern w:val="0"/>
              </w:rPr>
            </w:pPr>
            <w:r>
              <w:rPr>
                <w:rFonts w:ascii="仿宋" w:eastAsia="仿宋" w:hAnsi="仿宋" w:cs="仿宋" w:hint="eastAsia"/>
                <w:color w:val="000000"/>
                <w:kern w:val="0"/>
                <w:sz w:val="24"/>
              </w:rPr>
              <w:t>（1）植物物候观测传感器</w:t>
            </w:r>
          </w:p>
          <w:p>
            <w:pPr>
              <w:widowControl/>
              <w:rPr>
                <w:rFonts w:ascii="仿宋" w:eastAsia="仿宋" w:hAnsi="仿宋" w:cs="仿宋" w:hint="eastAsia"/>
                <w:kern w:val="0"/>
              </w:rPr>
            </w:pPr>
            <w:r>
              <w:rPr>
                <w:rFonts w:ascii="仿宋" w:eastAsia="仿宋" w:hAnsi="仿宋" w:cs="仿宋" w:hint="eastAsia"/>
                <w:color w:val="000000"/>
                <w:kern w:val="0"/>
                <w:sz w:val="24"/>
              </w:rPr>
              <w:t>植物物候观测传感器的性能应符合下列要求：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有效像素：</w:t>
            </w:r>
            <w:r>
              <w:rPr>
                <w:rFonts w:ascii="仿宋" w:eastAsia="仿宋" w:hAnsi="仿宋" w:cs="仿宋" w:hint="eastAsia"/>
                <w:color w:val="000000"/>
                <w:kern w:val="0"/>
                <w:sz w:val="24"/>
              </w:rPr>
              <w:t>≥</w:t>
            </w:r>
            <w:r>
              <w:rPr>
                <w:rFonts w:ascii="仿宋" w:eastAsia="仿宋" w:hAnsi="仿宋" w:cs="仿宋" w:hint="eastAsia"/>
                <w:color w:val="000000"/>
                <w:kern w:val="0"/>
                <w:sz w:val="24"/>
              </w:rPr>
              <w:t>400万像素</w:t>
            </w:r>
          </w:p>
          <w:p>
            <w:pPr>
              <w:widowControl/>
              <w:rPr>
                <w:rFonts w:ascii="仿宋" w:eastAsia="仿宋" w:hAnsi="仿宋" w:cs="仿宋" w:hint="eastAsia"/>
                <w:kern w:val="0"/>
              </w:rPr>
            </w:pPr>
            <w:r>
              <w:rPr>
                <w:rFonts w:ascii="仿宋" w:eastAsia="仿宋" w:hAnsi="仿宋" w:cs="仿宋" w:hint="eastAsia"/>
                <w:color w:val="000000"/>
                <w:kern w:val="0"/>
                <w:sz w:val="24"/>
              </w:rPr>
              <w:t>图像预处理：自动对焦、自动曝光、自动白平衡等</w:t>
            </w:r>
          </w:p>
          <w:p>
            <w:pPr>
              <w:widowControl/>
              <w:rPr>
                <w:rFonts w:ascii="仿宋" w:eastAsia="仿宋" w:hAnsi="仿宋" w:cs="仿宋" w:hint="eastAsia"/>
                <w:kern w:val="0"/>
              </w:rPr>
            </w:pPr>
            <w:r>
              <w:rPr>
                <w:rFonts w:ascii="仿宋" w:eastAsia="仿宋" w:hAnsi="仿宋" w:cs="仿宋" w:hint="eastAsia"/>
                <w:color w:val="000000"/>
                <w:kern w:val="0"/>
                <w:sz w:val="24"/>
              </w:rPr>
              <w:t>文件格式：支持JPEG或TIFF格式</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电源：DC，9V～12V</w:t>
            </w:r>
          </w:p>
          <w:p>
            <w:pPr>
              <w:widowControl/>
              <w:rPr>
                <w:rFonts w:ascii="仿宋" w:eastAsia="仿宋" w:hAnsi="仿宋" w:cs="仿宋" w:hint="eastAsia"/>
                <w:kern w:val="0"/>
              </w:rPr>
            </w:pPr>
            <w:r>
              <w:rPr>
                <w:rFonts w:ascii="仿宋" w:eastAsia="仿宋" w:hAnsi="仿宋" w:cs="仿宋" w:hint="eastAsia"/>
                <w:color w:val="000000"/>
                <w:kern w:val="0"/>
                <w:sz w:val="24"/>
              </w:rPr>
              <w:t>（2）冠层高度传感器</w:t>
            </w:r>
          </w:p>
          <w:p>
            <w:pPr>
              <w:widowControl/>
              <w:rPr>
                <w:rFonts w:ascii="仿宋" w:eastAsia="仿宋" w:hAnsi="仿宋" w:cs="仿宋" w:hint="eastAsia"/>
                <w:kern w:val="0"/>
              </w:rPr>
            </w:pPr>
            <w:r>
              <w:rPr>
                <w:rFonts w:ascii="仿宋" w:eastAsia="仿宋" w:hAnsi="仿宋" w:cs="仿宋" w:hint="eastAsia"/>
                <w:color w:val="000000"/>
                <w:kern w:val="0"/>
                <w:sz w:val="24"/>
              </w:rPr>
              <w:t>冠层高度传感器的性能应符合下列要求：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测量范围：0cm～5000cm</w:t>
            </w:r>
          </w:p>
          <w:p>
            <w:pPr>
              <w:widowControl/>
              <w:rPr>
                <w:rFonts w:ascii="仿宋" w:eastAsia="仿宋" w:hAnsi="仿宋" w:cs="仿宋" w:hint="eastAsia"/>
                <w:kern w:val="0"/>
                <w:highlight w:val="yellow"/>
              </w:rPr>
            </w:pPr>
            <w:r>
              <w:rPr>
                <w:rFonts w:ascii="仿宋" w:eastAsia="仿宋" w:hAnsi="仿宋" w:cs="仿宋" w:hint="eastAsia"/>
                <w:color w:val="000000"/>
                <w:kern w:val="0"/>
                <w:sz w:val="24"/>
                <w:highlight w:val="yellow"/>
              </w:rPr>
              <w:t>#分辨力：0.1cm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3cm</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（3）群落结构传感器</w:t>
            </w:r>
          </w:p>
          <w:p>
            <w:pPr>
              <w:widowControl/>
              <w:rPr>
                <w:rFonts w:ascii="仿宋" w:eastAsia="仿宋" w:hAnsi="仿宋" w:cs="仿宋" w:hint="eastAsia"/>
                <w:kern w:val="0"/>
              </w:rPr>
            </w:pPr>
            <w:r>
              <w:rPr>
                <w:rFonts w:ascii="仿宋" w:eastAsia="仿宋" w:hAnsi="仿宋" w:cs="仿宋" w:hint="eastAsia"/>
                <w:color w:val="000000"/>
                <w:kern w:val="0"/>
                <w:sz w:val="24"/>
              </w:rPr>
              <w:t>群落结构传感器的性能应符合下列要求：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#测量范围：0cm～5000cm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#高度最大允许误差：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8cm</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电源：DC，12V～15V</w:t>
            </w:r>
          </w:p>
          <w:p>
            <w:pPr>
              <w:widowControl/>
              <w:rPr>
                <w:rFonts w:ascii="仿宋" w:eastAsia="仿宋" w:hAnsi="仿宋" w:cs="仿宋" w:hint="eastAsia"/>
                <w:kern w:val="0"/>
              </w:rPr>
            </w:pPr>
            <w:r>
              <w:rPr>
                <w:rFonts w:ascii="仿宋" w:eastAsia="仿宋" w:hAnsi="仿宋" w:cs="仿宋" w:hint="eastAsia"/>
                <w:color w:val="000000"/>
                <w:kern w:val="0"/>
                <w:sz w:val="24"/>
              </w:rPr>
              <w:t>（4）植被光合作用子系统</w:t>
            </w:r>
          </w:p>
          <w:p>
            <w:pPr>
              <w:widowControl/>
              <w:rPr>
                <w:rFonts w:ascii="仿宋" w:eastAsia="仿宋" w:hAnsi="仿宋" w:cs="仿宋" w:hint="eastAsia"/>
                <w:kern w:val="0"/>
              </w:rPr>
            </w:pPr>
            <w:r>
              <w:rPr>
                <w:rFonts w:ascii="仿宋" w:eastAsia="仿宋" w:hAnsi="仿宋" w:cs="仿宋" w:hint="eastAsia"/>
                <w:color w:val="000000"/>
                <w:kern w:val="0"/>
                <w:sz w:val="24"/>
              </w:rPr>
              <w:t>植被光合作用子系统的性能应符合下列要求：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光谱范围：650nm～800nm</w:t>
            </w:r>
          </w:p>
          <w:p>
            <w:pPr>
              <w:widowControl/>
              <w:rPr>
                <w:rFonts w:ascii="仿宋" w:eastAsia="仿宋" w:hAnsi="仿宋" w:cs="仿宋" w:hint="eastAsia"/>
                <w:kern w:val="0"/>
              </w:rPr>
            </w:pPr>
            <w:r>
              <w:rPr>
                <w:rFonts w:ascii="仿宋" w:eastAsia="仿宋" w:hAnsi="仿宋" w:cs="仿宋" w:hint="eastAsia"/>
                <w:color w:val="000000"/>
                <w:kern w:val="0"/>
                <w:sz w:val="24"/>
              </w:rPr>
              <w:t>光谱分辨率：0.3</w:t>
            </w:r>
            <w:r>
              <w:rPr>
                <w:rFonts w:ascii="仿宋" w:eastAsia="仿宋" w:hAnsi="仿宋" w:cs="仿宋" w:hint="eastAsia"/>
                <w:color w:val="000000"/>
                <w:kern w:val="0"/>
                <w:sz w:val="24"/>
              </w:rPr>
              <w:t>±</w:t>
            </w:r>
            <w:r>
              <w:rPr>
                <w:rFonts w:ascii="仿宋" w:eastAsia="仿宋" w:hAnsi="仿宋" w:cs="仿宋" w:hint="eastAsia"/>
                <w:color w:val="000000"/>
                <w:kern w:val="0"/>
                <w:sz w:val="24"/>
              </w:rPr>
              <w:t>0.1nm</w:t>
            </w:r>
          </w:p>
          <w:p>
            <w:pPr>
              <w:widowControl/>
              <w:rPr>
                <w:rFonts w:ascii="仿宋" w:eastAsia="仿宋" w:hAnsi="仿宋" w:cs="仿宋" w:hint="eastAsia"/>
                <w:kern w:val="0"/>
              </w:rPr>
            </w:pPr>
            <w:r>
              <w:rPr>
                <w:rFonts w:ascii="仿宋" w:eastAsia="仿宋" w:hAnsi="仿宋" w:cs="仿宋" w:hint="eastAsia"/>
                <w:color w:val="000000"/>
                <w:kern w:val="0"/>
                <w:sz w:val="24"/>
              </w:rPr>
              <w:t>信噪比指标：</w:t>
            </w:r>
            <w:r>
              <w:rPr>
                <w:rFonts w:ascii="仿宋" w:eastAsia="仿宋" w:hAnsi="仿宋" w:cs="仿宋" w:hint="eastAsia"/>
                <w:color w:val="000000"/>
                <w:kern w:val="0"/>
                <w:sz w:val="24"/>
              </w:rPr>
              <w:t>≥</w:t>
            </w:r>
            <w:r>
              <w:rPr>
                <w:rFonts w:ascii="仿宋" w:eastAsia="仿宋" w:hAnsi="仿宋" w:cs="仿宋" w:hint="eastAsia"/>
                <w:color w:val="000000"/>
                <w:kern w:val="0"/>
                <w:sz w:val="24"/>
              </w:rPr>
              <w:t>1000:1</w:t>
            </w:r>
          </w:p>
          <w:p>
            <w:pPr>
              <w:widowControl/>
              <w:rPr>
                <w:rFonts w:ascii="仿宋" w:eastAsia="仿宋" w:hAnsi="仿宋" w:cs="仿宋" w:hint="eastAsia"/>
                <w:kern w:val="0"/>
              </w:rPr>
            </w:pPr>
            <w:r>
              <w:rPr>
                <w:rFonts w:ascii="仿宋" w:eastAsia="仿宋" w:hAnsi="仿宋" w:cs="仿宋" w:hint="eastAsia"/>
                <w:color w:val="000000"/>
                <w:kern w:val="0"/>
                <w:sz w:val="24"/>
              </w:rPr>
              <w:t>光谱采样间隔：0.17</w:t>
            </w:r>
            <w:r>
              <w:rPr>
                <w:rFonts w:ascii="仿宋" w:eastAsia="仿宋" w:hAnsi="仿宋" w:cs="仿宋" w:hint="eastAsia"/>
                <w:color w:val="000000"/>
                <w:kern w:val="0"/>
                <w:sz w:val="24"/>
              </w:rPr>
              <w:t>±</w:t>
            </w:r>
            <w:r>
              <w:rPr>
                <w:rFonts w:ascii="仿宋" w:eastAsia="仿宋" w:hAnsi="仿宋" w:cs="仿宋" w:hint="eastAsia"/>
                <w:color w:val="000000"/>
                <w:kern w:val="0"/>
                <w:sz w:val="24"/>
              </w:rPr>
              <w:t>0.05nm</w:t>
            </w:r>
          </w:p>
          <w:p>
            <w:pPr>
              <w:widowControl/>
              <w:rPr>
                <w:rFonts w:ascii="仿宋" w:eastAsia="仿宋" w:hAnsi="仿宋" w:cs="仿宋" w:hint="eastAsia"/>
                <w:kern w:val="0"/>
              </w:rPr>
            </w:pPr>
            <w:r>
              <w:rPr>
                <w:rFonts w:ascii="仿宋" w:eastAsia="仿宋" w:hAnsi="仿宋" w:cs="仿宋" w:hint="eastAsia"/>
                <w:color w:val="000000"/>
                <w:kern w:val="0"/>
                <w:sz w:val="24"/>
              </w:rPr>
              <w:t>光谱仪量程：＞180000</w:t>
            </w:r>
          </w:p>
          <w:p>
            <w:pPr>
              <w:widowControl/>
              <w:rPr>
                <w:rFonts w:ascii="仿宋" w:eastAsia="仿宋" w:hAnsi="仿宋" w:cs="仿宋" w:hint="eastAsia"/>
                <w:kern w:val="0"/>
              </w:rPr>
            </w:pPr>
            <w:r>
              <w:rPr>
                <w:rFonts w:ascii="仿宋" w:eastAsia="仿宋" w:hAnsi="仿宋" w:cs="仿宋" w:hint="eastAsia"/>
                <w:color w:val="000000"/>
                <w:kern w:val="0"/>
                <w:sz w:val="24"/>
              </w:rPr>
              <w:t>光谱仪CCD工作温度与控温室温度的温差不小于38</w:t>
            </w:r>
            <w:r>
              <w:rPr>
                <w:rFonts w:ascii="仿宋" w:eastAsia="仿宋" w:hAnsi="仿宋" w:cs="仿宋" w:hint="eastAsia"/>
                <w:color w:val="000000"/>
                <w:kern w:val="0"/>
                <w:sz w:val="24"/>
              </w:rPr>
              <w:t>℃</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采集电路积分时间：晴天太阳下行辐射采集积分时间优于1s，作物冠层上行辐射采集积分时间优于2s。</w:t>
            </w:r>
          </w:p>
          <w:p>
            <w:pPr>
              <w:widowControl/>
              <w:rPr>
                <w:rFonts w:ascii="仿宋" w:eastAsia="仿宋" w:hAnsi="仿宋" w:cs="仿宋" w:hint="eastAsia"/>
                <w:kern w:val="0"/>
              </w:rPr>
            </w:pPr>
            <w:r>
              <w:rPr>
                <w:rFonts w:ascii="仿宋" w:eastAsia="仿宋" w:hAnsi="仿宋" w:cs="仿宋" w:hint="eastAsia"/>
                <w:color w:val="000000"/>
                <w:kern w:val="0"/>
                <w:sz w:val="24"/>
              </w:rPr>
              <w:t>采集通道：双光路设计</w:t>
            </w:r>
          </w:p>
          <w:p>
            <w:pPr>
              <w:widowControl/>
              <w:rPr>
                <w:rFonts w:ascii="仿宋" w:eastAsia="仿宋" w:hAnsi="仿宋" w:cs="仿宋" w:hint="eastAsia"/>
                <w:kern w:val="0"/>
              </w:rPr>
            </w:pPr>
            <w:r>
              <w:rPr>
                <w:rFonts w:ascii="仿宋" w:eastAsia="仿宋" w:hAnsi="仿宋" w:cs="仿宋" w:hint="eastAsia"/>
                <w:color w:val="000000"/>
                <w:kern w:val="0"/>
                <w:sz w:val="24"/>
              </w:rPr>
              <w:t>控温室具有控温功能：低于环境温度10度</w:t>
            </w:r>
          </w:p>
          <w:p>
            <w:pPr>
              <w:widowControl/>
              <w:rPr>
                <w:rFonts w:ascii="仿宋" w:eastAsia="仿宋" w:hAnsi="仿宋" w:cs="仿宋" w:hint="eastAsia"/>
                <w:kern w:val="0"/>
              </w:rPr>
            </w:pPr>
            <w:r>
              <w:rPr>
                <w:rFonts w:ascii="仿宋" w:eastAsia="仿宋" w:hAnsi="仿宋" w:cs="仿宋" w:hint="eastAsia"/>
                <w:color w:val="000000"/>
                <w:kern w:val="0"/>
                <w:sz w:val="24"/>
              </w:rPr>
              <w:t>系统平均功耗：</w:t>
            </w:r>
            <w:r>
              <w:rPr>
                <w:rFonts w:ascii="仿宋" w:eastAsia="仿宋" w:hAnsi="仿宋" w:cs="仿宋" w:hint="eastAsia"/>
                <w:color w:val="000000"/>
                <w:kern w:val="0"/>
                <w:sz w:val="24"/>
              </w:rPr>
              <w:t>≤</w:t>
            </w:r>
            <w:r>
              <w:rPr>
                <w:rFonts w:ascii="仿宋" w:eastAsia="仿宋" w:hAnsi="仿宋" w:cs="仿宋" w:hint="eastAsia"/>
                <w:color w:val="000000"/>
                <w:kern w:val="0"/>
                <w:sz w:val="24"/>
              </w:rPr>
              <w:t>45W</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（5）植被指数传感器</w:t>
            </w:r>
          </w:p>
          <w:p>
            <w:pPr>
              <w:widowControl/>
              <w:rPr>
                <w:rFonts w:ascii="仿宋" w:eastAsia="仿宋" w:hAnsi="仿宋" w:cs="仿宋" w:hint="eastAsia"/>
                <w:kern w:val="0"/>
              </w:rPr>
            </w:pPr>
            <w:r>
              <w:rPr>
                <w:rFonts w:ascii="仿宋" w:eastAsia="仿宋" w:hAnsi="仿宋" w:cs="仿宋" w:hint="eastAsia"/>
                <w:color w:val="000000"/>
                <w:kern w:val="0"/>
                <w:sz w:val="24"/>
              </w:rPr>
              <w:t>植被指数传感器的性能应符合下列要求：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光谱范围：红光（RED）：650nm</w:t>
            </w:r>
            <w:r>
              <w:rPr>
                <w:rFonts w:ascii="仿宋" w:eastAsia="仿宋" w:hAnsi="仿宋" w:cs="仿宋" w:hint="eastAsia"/>
                <w:color w:val="000000"/>
                <w:kern w:val="0"/>
                <w:sz w:val="24"/>
              </w:rPr>
              <w:t>±</w:t>
            </w:r>
            <w:r>
              <w:rPr>
                <w:rFonts w:ascii="仿宋" w:eastAsia="仿宋" w:hAnsi="仿宋" w:cs="仿宋" w:hint="eastAsia"/>
                <w:color w:val="000000"/>
                <w:kern w:val="0"/>
                <w:sz w:val="24"/>
              </w:rPr>
              <w:t>5nm，半峰宽（FWHM）20nm；近红外（NIR）：810nm</w:t>
            </w:r>
            <w:r>
              <w:rPr>
                <w:rFonts w:ascii="仿宋" w:eastAsia="仿宋" w:hAnsi="仿宋" w:cs="仿宋" w:hint="eastAsia"/>
                <w:color w:val="000000"/>
                <w:kern w:val="0"/>
                <w:sz w:val="24"/>
              </w:rPr>
              <w:t>±</w:t>
            </w:r>
            <w:r>
              <w:rPr>
                <w:rFonts w:ascii="仿宋" w:eastAsia="仿宋" w:hAnsi="仿宋" w:cs="仿宋" w:hint="eastAsia"/>
                <w:color w:val="000000"/>
                <w:kern w:val="0"/>
                <w:sz w:val="24"/>
              </w:rPr>
              <w:t>5nm；半峰宽（FWHM）20nm。</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光谱辐照度：测量范围：0W/m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5%FS</w:t>
            </w:r>
            <w:r>
              <w:rPr>
                <w:rFonts w:ascii="仿宋" w:eastAsia="仿宋" w:hAnsi="仿宋" w:cs="仿宋" w:hint="eastAsia"/>
                <w:color w:val="000000"/>
                <w:kern w:val="0"/>
                <w:sz w:val="24"/>
              </w:rPr>
              <w:t>。</w:t>
            </w:r>
          </w:p>
          <w:p>
            <w:pPr>
              <w:jc w:val="left"/>
              <w:rPr>
                <w:rFonts w:ascii="仿宋" w:eastAsia="仿宋" w:hAnsi="仿宋" w:cs="仿宋" w:hint="eastAsia"/>
                <w:color w:val="000000"/>
                <w:kern w:val="0"/>
              </w:rPr>
            </w:pPr>
            <w:r>
              <w:rPr>
                <w:rFonts w:ascii="仿宋" w:eastAsia="仿宋" w:hAnsi="仿宋" w:cs="仿宋" w:hint="eastAsia"/>
                <w:color w:val="000000"/>
                <w:kern w:val="0"/>
                <w:sz w:val="24"/>
              </w:rPr>
              <w:t>光谱幅亮度：测量范围：0W/m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pPr>
              <w:jc w:val="left"/>
              <w:rPr>
                <w:rFonts w:ascii="仿宋" w:eastAsia="仿宋" w:hAnsi="仿宋" w:cs="仿宋" w:hint="eastAsia"/>
                <w:color w:val="000000"/>
                <w:kern w:val="0"/>
              </w:rPr>
            </w:pPr>
            <w:r>
              <w:rPr>
                <w:rFonts w:ascii="仿宋" w:eastAsia="仿宋" w:hAnsi="仿宋" w:cs="仿宋" w:hint="eastAsia"/>
                <w:color w:val="000000"/>
                <w:kern w:val="0"/>
                <w:sz w:val="24"/>
              </w:rPr>
              <w:t>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pPr>
              <w:jc w:val="left"/>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5%FS</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（6）全景图像传感器</w:t>
            </w:r>
          </w:p>
          <w:p>
            <w:pPr>
              <w:widowControl/>
              <w:rPr>
                <w:rFonts w:ascii="仿宋" w:eastAsia="仿宋" w:hAnsi="仿宋" w:cs="仿宋" w:hint="eastAsia"/>
                <w:kern w:val="0"/>
              </w:rPr>
            </w:pPr>
            <w:r>
              <w:rPr>
                <w:rFonts w:ascii="仿宋" w:eastAsia="仿宋" w:hAnsi="仿宋" w:cs="仿宋" w:hint="eastAsia"/>
                <w:color w:val="000000"/>
                <w:kern w:val="0"/>
                <w:sz w:val="24"/>
              </w:rPr>
              <w:t>全景图像传感器的性能应符合下列要求：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像素：</w:t>
            </w:r>
            <w:r>
              <w:rPr>
                <w:rFonts w:ascii="仿宋" w:eastAsia="仿宋" w:hAnsi="仿宋" w:cs="仿宋" w:hint="eastAsia"/>
                <w:color w:val="000000"/>
                <w:kern w:val="0"/>
                <w:sz w:val="24"/>
              </w:rPr>
              <w:t>≥</w:t>
            </w:r>
            <w:r>
              <w:rPr>
                <w:rFonts w:ascii="仿宋" w:eastAsia="仿宋" w:hAnsi="仿宋" w:cs="仿宋" w:hint="eastAsia"/>
                <w:color w:val="000000"/>
                <w:kern w:val="0"/>
                <w:sz w:val="24"/>
              </w:rPr>
              <w:t>500万</w:t>
            </w:r>
          </w:p>
          <w:p>
            <w:pPr>
              <w:widowControl/>
              <w:rPr>
                <w:rFonts w:ascii="仿宋" w:eastAsia="仿宋" w:hAnsi="仿宋" w:cs="仿宋" w:hint="eastAsia"/>
                <w:kern w:val="0"/>
              </w:rPr>
            </w:pPr>
            <w:r>
              <w:rPr>
                <w:rFonts w:ascii="仿宋" w:eastAsia="仿宋" w:hAnsi="仿宋" w:cs="仿宋" w:hint="eastAsia"/>
                <w:color w:val="000000"/>
                <w:kern w:val="0"/>
                <w:sz w:val="24"/>
              </w:rPr>
              <w:t>视角：180</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（7）动物物候观测传感器</w:t>
            </w:r>
          </w:p>
          <w:p>
            <w:pPr>
              <w:widowControl/>
              <w:rPr>
                <w:rFonts w:ascii="仿宋" w:eastAsia="仿宋" w:hAnsi="仿宋" w:cs="仿宋" w:hint="eastAsia"/>
                <w:kern w:val="0"/>
              </w:rPr>
            </w:pPr>
            <w:r>
              <w:rPr>
                <w:rFonts w:ascii="仿宋" w:eastAsia="仿宋" w:hAnsi="仿宋" w:cs="仿宋" w:hint="eastAsia"/>
                <w:color w:val="000000"/>
                <w:kern w:val="0"/>
                <w:sz w:val="24"/>
              </w:rPr>
              <w:t>动物物候观测传感器的性能应符合下列要求：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监测范围：</w:t>
            </w:r>
            <w:r>
              <w:rPr>
                <w:rFonts w:ascii="仿宋" w:eastAsia="仿宋" w:hAnsi="仿宋" w:cs="仿宋" w:hint="eastAsia"/>
                <w:color w:val="000000"/>
                <w:kern w:val="0"/>
                <w:sz w:val="24"/>
              </w:rPr>
              <w:t>≥</w:t>
            </w:r>
            <w:r>
              <w:rPr>
                <w:rFonts w:ascii="仿宋" w:eastAsia="仿宋" w:hAnsi="仿宋" w:cs="仿宋" w:hint="eastAsia"/>
                <w:color w:val="000000"/>
                <w:kern w:val="0"/>
                <w:sz w:val="24"/>
              </w:rPr>
              <w:t>100m</w:t>
            </w:r>
            <w:r>
              <w:rPr>
                <w:rFonts w:ascii="仿宋" w:eastAsia="仿宋" w:hAnsi="仿宋" w:cs="仿宋" w:hint="eastAsia"/>
                <w:color w:val="000000"/>
                <w:kern w:val="0"/>
                <w:sz w:val="24"/>
                <w:vertAlign w:val="superscript"/>
              </w:rPr>
              <w:t>2</w:t>
            </w:r>
          </w:p>
          <w:p>
            <w:pPr>
              <w:widowControl/>
              <w:rPr>
                <w:rFonts w:ascii="仿宋" w:eastAsia="仿宋" w:hAnsi="仿宋" w:cs="仿宋" w:hint="eastAsia"/>
                <w:kern w:val="0"/>
              </w:rPr>
            </w:pPr>
            <w:r>
              <w:rPr>
                <w:rFonts w:ascii="仿宋" w:eastAsia="仿宋" w:hAnsi="仿宋" w:cs="仿宋" w:hint="eastAsia"/>
                <w:color w:val="000000"/>
                <w:kern w:val="0"/>
                <w:sz w:val="24"/>
              </w:rPr>
              <w:t>通信接口：LINE_IN</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（8）冠层温度传感器</w:t>
            </w:r>
          </w:p>
          <w:p>
            <w:pPr>
              <w:widowControl/>
              <w:rPr>
                <w:rFonts w:ascii="仿宋" w:eastAsia="仿宋" w:hAnsi="仿宋" w:cs="仿宋" w:hint="eastAsia"/>
                <w:kern w:val="0"/>
              </w:rPr>
            </w:pPr>
            <w:r>
              <w:rPr>
                <w:rFonts w:ascii="仿宋" w:eastAsia="仿宋" w:hAnsi="仿宋" w:cs="仿宋" w:hint="eastAsia"/>
                <w:color w:val="000000"/>
                <w:kern w:val="0"/>
                <w:sz w:val="24"/>
              </w:rPr>
              <w:t>冠层温度传感器的性能应符合下列要求：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测量范围：-10</w:t>
            </w:r>
            <w:r>
              <w:rPr>
                <w:rFonts w:ascii="仿宋" w:eastAsia="仿宋" w:hAnsi="仿宋" w:cs="仿宋" w:hint="eastAsia"/>
                <w:color w:val="000000"/>
                <w:kern w:val="0"/>
                <w:sz w:val="24"/>
              </w:rPr>
              <w:t>℃</w:t>
            </w:r>
            <w:r>
              <w:rPr>
                <w:rFonts w:ascii="仿宋" w:eastAsia="仿宋" w:hAnsi="仿宋" w:cs="仿宋" w:hint="eastAsia"/>
                <w:color w:val="000000"/>
                <w:kern w:val="0"/>
                <w:sz w:val="24"/>
              </w:rPr>
              <w:t>～+60</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分辨力：0.1</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0.5</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1</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（9）土壤温湿度廓线传感器</w:t>
            </w:r>
          </w:p>
          <w:p>
            <w:pPr>
              <w:widowControl/>
              <w:rPr>
                <w:rFonts w:ascii="仿宋" w:eastAsia="仿宋" w:hAnsi="仿宋" w:cs="仿宋" w:hint="eastAsia"/>
                <w:kern w:val="0"/>
              </w:rPr>
            </w:pPr>
            <w:r>
              <w:rPr>
                <w:rFonts w:ascii="仿宋" w:eastAsia="仿宋" w:hAnsi="仿宋" w:cs="仿宋" w:hint="eastAsia"/>
                <w:color w:val="000000"/>
                <w:kern w:val="0"/>
                <w:sz w:val="24"/>
              </w:rPr>
              <w:t>土壤温湿度廓线传感器的性能应符合下列要求：</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测量范围：0cm～100cm</w:t>
            </w:r>
          </w:p>
          <w:p>
            <w:pPr>
              <w:widowControl/>
              <w:rPr>
                <w:rFonts w:ascii="仿宋" w:eastAsia="仿宋" w:hAnsi="仿宋" w:cs="仿宋" w:hint="eastAsia"/>
                <w:kern w:val="0"/>
              </w:rPr>
            </w:pPr>
            <w:r>
              <w:rPr>
                <w:rFonts w:ascii="仿宋" w:eastAsia="仿宋" w:hAnsi="仿宋" w:cs="仿宋" w:hint="eastAsia"/>
                <w:color w:val="000000"/>
                <w:kern w:val="0"/>
                <w:sz w:val="24"/>
              </w:rPr>
              <w:t>观测层次：0-10、10-20、20-30、30-40、40-50、50-60、70-80、90-100cm</w:t>
            </w:r>
          </w:p>
          <w:p>
            <w:pPr>
              <w:rPr>
                <w:rFonts w:ascii="仿宋" w:eastAsia="仿宋" w:hAnsi="仿宋" w:cs="仿宋" w:hint="eastAsia"/>
                <w:color w:val="000000"/>
                <w:kern w:val="0"/>
              </w:rPr>
            </w:pPr>
            <w:r>
              <w:rPr>
                <w:rFonts w:ascii="仿宋" w:eastAsia="仿宋" w:hAnsi="仿宋" w:cs="仿宋" w:hint="eastAsia"/>
                <w:color w:val="000000"/>
                <w:kern w:val="0"/>
                <w:sz w:val="24"/>
              </w:rPr>
              <w:t>土壤湿度（TDR）：</w:t>
            </w:r>
          </w:p>
          <w:p>
            <w:pPr>
              <w:rPr>
                <w:rFonts w:ascii="仿宋" w:eastAsia="仿宋" w:hAnsi="仿宋" w:cs="仿宋" w:hint="eastAsia"/>
                <w:color w:val="000000"/>
                <w:kern w:val="0"/>
              </w:rPr>
            </w:pPr>
            <w:r>
              <w:rPr>
                <w:rFonts w:ascii="仿宋" w:eastAsia="仿宋" w:hAnsi="仿宋" w:cs="仿宋" w:hint="eastAsia"/>
                <w:color w:val="000000"/>
                <w:kern w:val="0"/>
                <w:sz w:val="24"/>
              </w:rPr>
              <w:t>1）测量范围：0～100%</w:t>
            </w:r>
          </w:p>
          <w:p>
            <w:pPr>
              <w:rPr>
                <w:rFonts w:ascii="仿宋" w:eastAsia="仿宋" w:hAnsi="仿宋" w:cs="仿宋" w:hint="eastAsia"/>
                <w:color w:val="000000"/>
                <w:kern w:val="0"/>
              </w:rPr>
            </w:pPr>
            <w:r>
              <w:rPr>
                <w:rFonts w:ascii="仿宋" w:eastAsia="仿宋" w:hAnsi="仿宋" w:cs="仿宋" w:hint="eastAsia"/>
                <w:color w:val="000000"/>
                <w:kern w:val="0"/>
                <w:sz w:val="24"/>
              </w:rPr>
              <w:t>2）分辨力：0.1%</w:t>
            </w:r>
          </w:p>
          <w:p>
            <w:pPr>
              <w:rPr>
                <w:rFonts w:ascii="仿宋" w:eastAsia="仿宋" w:hAnsi="仿宋" w:cs="仿宋" w:hint="eastAsia"/>
                <w:kern w:val="0"/>
              </w:rPr>
            </w:pPr>
            <w:r>
              <w:rPr>
                <w:rFonts w:ascii="仿宋" w:eastAsia="仿宋" w:hAnsi="仿宋" w:cs="仿宋" w:hint="eastAsia"/>
                <w:color w:val="000000"/>
                <w:kern w:val="0"/>
                <w:sz w:val="24"/>
                <w:highlight w:val="yellow"/>
              </w:rPr>
              <w:t>3）#最大允许误差：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2%</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土壤温度：</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1）测量范围：-40</w:t>
            </w:r>
            <w:r>
              <w:rPr>
                <w:rFonts w:ascii="仿宋" w:eastAsia="仿宋" w:hAnsi="仿宋" w:cs="仿宋" w:hint="eastAsia"/>
                <w:color w:val="000000"/>
                <w:kern w:val="0"/>
                <w:sz w:val="24"/>
              </w:rPr>
              <w:t>℃</w:t>
            </w:r>
            <w:r>
              <w:rPr>
                <w:rFonts w:ascii="仿宋" w:eastAsia="仿宋" w:hAnsi="仿宋" w:cs="仿宋" w:hint="eastAsia"/>
                <w:color w:val="000000"/>
                <w:kern w:val="0"/>
                <w:sz w:val="24"/>
              </w:rPr>
              <w:t>～+50</w:t>
            </w:r>
            <w:r>
              <w:rPr>
                <w:rFonts w:ascii="仿宋" w:eastAsia="仿宋" w:hAnsi="仿宋" w:cs="仿宋" w:hint="eastAsia"/>
                <w:color w:val="000000"/>
                <w:kern w:val="0"/>
                <w:sz w:val="24"/>
              </w:rPr>
              <w:t>℃</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2）分辨力：0.1</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3）#最大允许误差：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0.5</w:t>
            </w:r>
            <w:r>
              <w:rPr>
                <w:rFonts w:ascii="仿宋" w:eastAsia="仿宋" w:hAnsi="仿宋" w:cs="仿宋" w:hint="eastAsia"/>
                <w:color w:val="000000"/>
                <w:kern w:val="0"/>
                <w:sz w:val="24"/>
                <w:highlight w:val="yellow"/>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rPr>
                <w:rFonts w:ascii="仿宋" w:eastAsia="仿宋" w:hAnsi="仿宋" w:cs="仿宋" w:hint="eastAsia"/>
                <w:color w:val="000000"/>
                <w:kern w:val="0"/>
              </w:rPr>
            </w:pPr>
            <w:r>
              <w:rPr>
                <w:rFonts w:ascii="仿宋" w:eastAsia="仿宋" w:hAnsi="仿宋" w:cs="仿宋" w:hint="eastAsia"/>
                <w:color w:val="000000"/>
                <w:kern w:val="0"/>
                <w:sz w:val="24"/>
              </w:rPr>
              <w:t>（10）数据采集器</w:t>
            </w:r>
          </w:p>
          <w:p>
            <w:pPr>
              <w:rPr>
                <w:rFonts w:ascii="仿宋" w:eastAsia="仿宋" w:hAnsi="仿宋" w:cs="仿宋" w:hint="eastAsia"/>
                <w:color w:val="000000"/>
                <w:kern w:val="0"/>
              </w:rPr>
            </w:pPr>
            <w:r>
              <w:rPr>
                <w:rFonts w:ascii="仿宋" w:eastAsia="仿宋" w:hAnsi="仿宋" w:cs="仿宋" w:hint="eastAsia"/>
                <w:color w:val="000000"/>
                <w:sz w:val="24"/>
                <w:highlight w:val="yellow"/>
              </w:rPr>
              <w:t>#采集器功耗不大于10W</w:t>
            </w:r>
            <w:r>
              <w:rPr>
                <w:rFonts w:ascii="仿宋" w:eastAsia="仿宋" w:hAnsi="仿宋" w:cs="仿宋" w:hint="eastAsia"/>
                <w:color w:val="000000"/>
                <w:sz w:val="24"/>
              </w:rPr>
              <w:t>。</w:t>
            </w:r>
          </w:p>
          <w:p>
            <w:pPr>
              <w:rPr>
                <w:rFonts w:ascii="仿宋" w:eastAsia="仿宋" w:hAnsi="仿宋" w:cs="仿宋" w:hint="eastAsia"/>
                <w:color w:val="000000"/>
                <w:kern w:val="0"/>
              </w:rPr>
            </w:pPr>
            <w:r>
              <w:rPr>
                <w:rFonts w:ascii="仿宋" w:eastAsia="仿宋" w:hAnsi="仿宋" w:cs="仿宋" w:hint="eastAsia"/>
                <w:color w:val="000000"/>
                <w:kern w:val="0"/>
                <w:sz w:val="24"/>
              </w:rPr>
              <w:t>（11）供电系统</w:t>
            </w:r>
          </w:p>
          <w:p>
            <w:pPr>
              <w:rPr>
                <w:rFonts w:ascii="仿宋" w:eastAsia="仿宋" w:hAnsi="仿宋" w:cs="仿宋" w:hint="eastAsia"/>
                <w:color w:val="000000"/>
              </w:rPr>
            </w:pPr>
            <w:r>
              <w:rPr>
                <w:rFonts w:ascii="仿宋" w:eastAsia="仿宋" w:hAnsi="仿宋" w:cs="仿宋" w:hint="eastAsia"/>
                <w:color w:val="000000"/>
                <w:sz w:val="24"/>
              </w:rPr>
              <w:t>供电电源为12V蓄电池，其容量必须保证设备能在脱离辅助电源的条件下连续工作15天。</w:t>
            </w:r>
          </w:p>
          <w:p>
            <w:pPr>
              <w:rPr>
                <w:rFonts w:ascii="仿宋" w:eastAsia="仿宋" w:hAnsi="仿宋" w:cs="仿宋" w:hint="eastAsia"/>
                <w:color w:val="000000"/>
                <w:kern w:val="0"/>
              </w:rPr>
            </w:pPr>
            <w:r>
              <w:rPr>
                <w:rFonts w:ascii="仿宋" w:eastAsia="仿宋" w:hAnsi="仿宋" w:cs="仿宋" w:hint="eastAsia"/>
                <w:color w:val="000000"/>
                <w:kern w:val="0"/>
                <w:sz w:val="24"/>
              </w:rPr>
              <w:t>（12）通信系统</w:t>
            </w:r>
          </w:p>
          <w:p>
            <w:pPr>
              <w:rPr>
                <w:rFonts w:ascii="仿宋" w:eastAsia="仿宋" w:hAnsi="仿宋" w:cs="仿宋" w:hint="eastAsia"/>
                <w:color w:val="000000"/>
              </w:rPr>
            </w:pPr>
            <w:r>
              <w:rPr>
                <w:rFonts w:ascii="仿宋" w:eastAsia="仿宋" w:hAnsi="仿宋" w:cs="仿宋" w:hint="eastAsia"/>
                <w:color w:val="000000"/>
                <w:sz w:val="24"/>
              </w:rPr>
              <w:t>由通讯模块和天线组成。通过采集器RJ45或RS232通信接口与通信模块连接，实现与中心站的数据通信。</w:t>
            </w:r>
          </w:p>
          <w:p>
            <w:pPr>
              <w:rPr>
                <w:rFonts w:ascii="仿宋" w:eastAsia="仿宋" w:hAnsi="仿宋" w:cs="仿宋" w:hint="eastAsia"/>
                <w:color w:val="000000"/>
                <w:kern w:val="0"/>
              </w:rPr>
            </w:pPr>
            <w:r>
              <w:rPr>
                <w:rFonts w:ascii="仿宋" w:eastAsia="仿宋" w:hAnsi="仿宋" w:cs="仿宋" w:hint="eastAsia"/>
                <w:color w:val="000000"/>
                <w:kern w:val="0"/>
                <w:sz w:val="24"/>
              </w:rPr>
              <w:t>（13）配套设施</w:t>
            </w:r>
          </w:p>
          <w:p>
            <w:pPr>
              <w:rPr>
                <w:rFonts w:ascii="仿宋" w:eastAsia="仿宋" w:hAnsi="仿宋" w:cs="仿宋" w:hint="eastAsia"/>
              </w:rPr>
            </w:pPr>
            <w:r>
              <w:rPr>
                <w:rFonts w:ascii="仿宋" w:eastAsia="仿宋" w:hAnsi="仿宋" w:cs="仿宋" w:hint="eastAsia"/>
                <w:color w:val="000000"/>
                <w:sz w:val="24"/>
              </w:rPr>
              <w:t>由防雷装置、机箱、铁塔（10米或30米）、支架、横臂和安装附件等组成。</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p>
    <w:p>
      <w:pPr>
        <w:spacing w:line="560" w:lineRule="exact"/>
        <w:jc w:val="both"/>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物候自动观测仪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740,000.00</w:t>
            </w:r>
          </w:p>
        </w:tc>
        <w:tc>
          <w:tcPr/>
          <w:p>
            <w:pPr>
              <w:autoSpaceDE w:val="0"/>
              <w:jc w:val="center"/>
              <w:rPr>
                <w:rFonts w:asciiTheme="minorEastAsia" w:hAnsiTheme="minorEastAsia" w:cstheme="minorEastAsia" w:hint="eastAsia"/>
                <w:kern w:val="0"/>
                <w:szCs w:val="21"/>
              </w:rPr>
            </w:pPr>
            <w:r>
              <w:t>150</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6"/>
        <w:gridCol w:w="1520"/>
        <w:gridCol w:w="978"/>
        <w:gridCol w:w="376"/>
        <w:gridCol w:w="858"/>
        <w:gridCol w:w="653"/>
        <w:gridCol w:w="617"/>
        <w:gridCol w:w="31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生态遥感中心(001039022)</w:t>
            </w:r>
          </w:p>
        </w:tc>
        <w:tc>
          <w:tcPr/>
          <w:p>
            <w:r>
              <w:t>物候自动观测仪</w:t>
            </w:r>
          </w:p>
        </w:tc>
        <w:tc>
          <w:tcPr/>
          <w:p>
            <w:r>
              <w:t>1</w:t>
            </w:r>
          </w:p>
        </w:tc>
        <w:tc>
          <w:tcPr/>
          <w:p>
            <w:r>
              <w:t>740000.00</w:t>
            </w:r>
          </w:p>
        </w:tc>
        <w:tc>
          <w:tcPr/>
          <w:p>
            <w:r>
              <w:t xml:space="preserve">740000.00  </w:t>
            </w:r>
          </w:p>
        </w:tc>
        <w:tc>
          <w:tcPr/>
          <w:p>
            <w:r>
              <w:t>上海市内</w:t>
            </w:r>
          </w:p>
        </w:tc>
        <w:tc>
          <w:tcPr/>
          <w:p>
            <w:r>
              <w:t>上海市生态气象和卫星遥感中心(麻炳欣/18918206285)“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依据中国气象局《2025年站网和雷达工程建设初步设计安排》，在上海建设1套</w:t>
      </w:r>
      <w:r>
        <w:rPr>
          <w:rFonts w:ascii="仿宋" w:eastAsia="仿宋" w:hAnsi="仿宋" w:cs="仿宋" w:hint="eastAsia"/>
          <w:sz w:val="28"/>
          <w:szCs w:val="20"/>
          <w:lang w:val="en-US" w:eastAsia="zh-CN"/>
        </w:rPr>
        <w:t>物候观测仪</w:t>
      </w:r>
      <w:r>
        <w:rPr>
          <w:rFonts w:ascii="仿宋" w:eastAsia="仿宋" w:hAnsi="仿宋" w:cs="仿宋" w:hint="eastAsia"/>
          <w:sz w:val="28"/>
          <w:szCs w:val="20"/>
        </w:rPr>
        <w:t>。通过建设</w:t>
      </w:r>
      <w:r>
        <w:rPr>
          <w:rFonts w:ascii="仿宋" w:eastAsia="仿宋" w:hAnsi="仿宋" w:cs="仿宋" w:hint="eastAsia"/>
          <w:sz w:val="28"/>
          <w:szCs w:val="20"/>
          <w:lang w:val="en-US" w:eastAsia="zh-CN"/>
        </w:rPr>
        <w:t>物候观测仪</w:t>
      </w:r>
      <w:r>
        <w:rPr>
          <w:rFonts w:ascii="仿宋" w:eastAsia="仿宋" w:hAnsi="仿宋" w:cs="仿宋" w:hint="eastAsia"/>
          <w:sz w:val="28"/>
          <w:szCs w:val="20"/>
        </w:rPr>
        <w:t>，自动、高频次、长序列的获取植物物候、动物物候相关的观测要素数据，为遥感卫星监测模型验证、产品精度评估，以及气候变化对陆地生态系统影响评估等提供基础支撑。。</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上海域内</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5</w:t>
      </w:r>
      <w:r>
        <w:rPr>
          <w:rFonts w:ascii="仿宋" w:eastAsia="仿宋" w:hAnsi="仿宋" w:cs="仿宋" w:hint="eastAsia"/>
          <w:sz w:val="28"/>
          <w:szCs w:val="20"/>
        </w:rPr>
        <w:t>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default"/>
          <w:sz w:val="28"/>
          <w:szCs w:val="20"/>
        </w:rPr>
      </w:pPr>
      <w:r>
        <w:rPr>
          <w:rFonts w:ascii="仿宋" w:eastAsia="仿宋" w:hAnsi="仿宋" w:cs="仿宋" w:hint="eastAsia"/>
          <w:sz w:val="28"/>
          <w:szCs w:val="20"/>
        </w:rPr>
        <w:t>设备软件兼容性强，支持UDP、TCP等协议，可无缝接入局域网，也可接入互联网网络系统，实现与局域网或者互联网网络系统、大数据云平台无缝接入，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七、</w:t>
      </w:r>
      <w:r>
        <w:rPr>
          <w:rFonts w:ascii="仿宋" w:eastAsia="仿宋" w:hAnsi="仿宋" w:cs="仿宋" w:hint="eastAsia"/>
          <w:b/>
          <w:bCs/>
          <w:sz w:val="28"/>
          <w:szCs w:val="20"/>
          <w:lang w:val="en-US" w:eastAsia="zh-CN"/>
        </w:rPr>
        <w:t>质保服务</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lang w:val="en-US" w:eastAsia="zh-CN"/>
        </w:rPr>
        <w:t>物候观测仪</w:t>
      </w:r>
      <w:r>
        <w:rPr>
          <w:rFonts w:ascii="仿宋" w:eastAsia="仿宋" w:hAnsi="仿宋" w:cs="仿宋" w:hint="eastAsia"/>
          <w:sz w:val="28"/>
          <w:szCs w:val="20"/>
        </w:rPr>
        <w:t>8年，从现场验收合格之日起开始计算质保期。</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（2）每年需进行1次现场巡检和 2 次远程巡检，同时需提供必要的软件升级服务。</w:t>
      </w:r>
    </w:p>
    <w:p>
      <w:pPr>
        <w:ind w:firstLine="560" w:firstLineChars="200"/>
        <w:rPr>
          <w:rFonts w:ascii="仿宋" w:eastAsia="仿宋" w:hAnsi="仿宋" w:cs="仿宋"/>
          <w:color w:val="0000FF"/>
          <w:sz w:val="28"/>
          <w:szCs w:val="20"/>
        </w:rPr>
      </w:pPr>
      <w:r>
        <w:rPr>
          <w:rFonts w:ascii="仿宋" w:eastAsia="仿宋" w:hAnsi="仿宋" w:cs="仿宋" w:hint="eastAsia"/>
          <w:sz w:val="28"/>
          <w:szCs w:val="20"/>
        </w:rPr>
        <w:t>（3）</w:t>
      </w:r>
      <w:r>
        <w:rPr>
          <w:rFonts w:ascii="仿宋" w:eastAsia="仿宋" w:hAnsi="仿宋" w:cs="仿宋"/>
          <w:color w:val="0000FF"/>
          <w:sz w:val="28"/>
          <w:szCs w:val="20"/>
        </w:rPr>
        <w:t>中标人在投标文件中应明确本项目采购设备自验收合格后4G通信模块8年数据流量费由中标人承担，并提供承诺函原件扫描件。</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4</w:t>
      </w:r>
      <w:r>
        <w:rPr>
          <w:rFonts w:ascii="仿宋" w:eastAsia="仿宋" w:hAnsi="仿宋" w:cs="仿宋" w:hint="eastAsia"/>
          <w:sz w:val="28"/>
          <w:szCs w:val="20"/>
          <w:lang w:eastAsia="zh-CN"/>
        </w:rPr>
        <w:t>）</w:t>
      </w:r>
      <w:r>
        <w:rPr>
          <w:rFonts w:ascii="仿宋" w:eastAsia="仿宋" w:hAnsi="仿宋" w:cs="仿宋" w:hint="eastAsia"/>
          <w:sz w:val="28"/>
          <w:szCs w:val="20"/>
        </w:rPr>
        <w:t>质保期满后，仍有义务提供远程技术服务等支持。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八、付款方式</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分期付款：</w:t>
      </w:r>
    </w:p>
    <w:p>
      <w:pPr>
        <w:numPr>
          <w:ilvl w:val="0"/>
          <w:numId w:val="4"/>
        </w:numPr>
        <w:ind w:firstLine="560" w:firstLineChars="200"/>
        <w:rPr>
          <w:rFonts w:ascii="仿宋" w:eastAsia="仿宋" w:hAnsi="仿宋" w:cs="仿宋" w:hint="eastAsia"/>
          <w:color w:val="0000FF"/>
          <w:sz w:val="28"/>
          <w:szCs w:val="20"/>
          <w:highlight w:val="none"/>
        </w:rPr>
      </w:pPr>
      <w:r>
        <w:rPr>
          <w:rFonts w:ascii="仿宋" w:eastAsia="仿宋" w:hAnsi="仿宋" w:cs="仿宋" w:hint="eastAsia"/>
          <w:color w:val="0000FF"/>
          <w:sz w:val="28"/>
          <w:szCs w:val="20"/>
          <w:highlight w:val="none"/>
        </w:rPr>
        <w:t xml:space="preserve">合同生效后付款：双方签署合同后20个工作日内，乙方向甲方开具合同总金额的 </w:t>
      </w:r>
      <w:r>
        <w:rPr>
          <w:rFonts w:ascii="仿宋" w:eastAsia="仿宋" w:hAnsi="仿宋" w:cs="仿宋" w:hint="eastAsia"/>
          <w:color w:val="0000FF"/>
          <w:sz w:val="28"/>
          <w:szCs w:val="20"/>
          <w:highlight w:val="none"/>
          <w:lang w:val="en-US" w:eastAsia="zh-CN"/>
        </w:rPr>
        <w:t>60</w:t>
      </w:r>
      <w:r>
        <w:rPr>
          <w:rFonts w:ascii="仿宋" w:eastAsia="仿宋" w:hAnsi="仿宋" w:cs="仿宋" w:hint="eastAsia"/>
          <w:color w:val="0000FF"/>
          <w:sz w:val="28"/>
          <w:szCs w:val="20"/>
          <w:highlight w:val="none"/>
        </w:rPr>
        <w:t>% 即人民币</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元（大写）</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（小写） 的增值税普通发票，同时甲方向乙方支付相应金额款项。</w:t>
      </w:r>
    </w:p>
    <w:p>
      <w:pPr>
        <w:numPr>
          <w:ilvl w:val="0"/>
          <w:numId w:val="4"/>
        </w:numPr>
        <w:ind w:firstLine="560" w:firstLineChars="200"/>
        <w:rPr>
          <w:rFonts w:ascii="仿宋" w:eastAsia="仿宋" w:hAnsi="仿宋" w:cs="仿宋" w:hint="eastAsia"/>
          <w:color w:val="0000FF"/>
          <w:sz w:val="28"/>
          <w:szCs w:val="20"/>
          <w:highlight w:val="none"/>
        </w:rPr>
      </w:pPr>
      <w:r>
        <w:rPr>
          <w:rFonts w:ascii="仿宋" w:eastAsia="仿宋" w:hAnsi="仿宋" w:cs="仿宋" w:hint="eastAsia"/>
          <w:color w:val="0000FF"/>
          <w:sz w:val="28"/>
          <w:szCs w:val="20"/>
          <w:highlight w:val="none"/>
        </w:rPr>
        <w:t>乙方出具项目设计方案后付款：乙方向甲方交付项目设计方案后7个工作日内，乙方向甲方开具合同总金额的3</w:t>
      </w:r>
      <w:r>
        <w:rPr>
          <w:rFonts w:ascii="仿宋" w:eastAsia="仿宋" w:hAnsi="仿宋" w:cs="仿宋" w:hint="eastAsia"/>
          <w:color w:val="0000FF"/>
          <w:sz w:val="28"/>
          <w:szCs w:val="20"/>
          <w:highlight w:val="none"/>
          <w:lang w:val="en-US" w:eastAsia="zh-CN"/>
        </w:rPr>
        <w:t>5</w:t>
      </w:r>
      <w:r>
        <w:rPr>
          <w:rFonts w:ascii="仿宋" w:eastAsia="仿宋" w:hAnsi="仿宋" w:cs="仿宋" w:hint="eastAsia"/>
          <w:color w:val="0000FF"/>
          <w:sz w:val="28"/>
          <w:szCs w:val="20"/>
          <w:highlight w:val="none"/>
        </w:rPr>
        <w:t xml:space="preserve">%，即人民币        </w:t>
      </w:r>
      <w:r>
        <w:rPr>
          <w:rFonts w:ascii="仿宋" w:eastAsia="仿宋" w:hAnsi="仿宋" w:cs="仿宋" w:hint="eastAsia"/>
          <w:color w:val="0000FF"/>
          <w:sz w:val="28"/>
          <w:szCs w:val="20"/>
          <w:highlight w:val="none"/>
          <w:lang w:val="en-US" w:eastAsia="zh-CN"/>
        </w:rPr>
        <w:t xml:space="preserve"> </w:t>
      </w:r>
      <w:r>
        <w:rPr>
          <w:rFonts w:ascii="仿宋" w:eastAsia="仿宋" w:hAnsi="仿宋" w:cs="仿宋" w:hint="eastAsia"/>
          <w:color w:val="0000FF"/>
          <w:sz w:val="28"/>
          <w:szCs w:val="20"/>
          <w:highlight w:val="none"/>
        </w:rPr>
        <w:t>元（大写）：</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元（小写）的增值税普通发票，同时甲方向乙方支付相应金额款项。</w:t>
      </w:r>
    </w:p>
    <w:p>
      <w:pPr>
        <w:ind w:firstLine="560" w:firstLineChars="200"/>
        <w:rPr>
          <w:rFonts w:ascii="仿宋" w:eastAsia="仿宋" w:hAnsi="仿宋" w:cs="仿宋"/>
          <w:color w:val="0000FF"/>
          <w:sz w:val="28"/>
          <w:szCs w:val="20"/>
          <w:highlight w:val="none"/>
        </w:rPr>
      </w:pPr>
      <w:r>
        <w:rPr>
          <w:rFonts w:ascii="仿宋" w:eastAsia="仿宋" w:hAnsi="仿宋" w:cs="仿宋" w:hint="eastAsia"/>
          <w:color w:val="0000FF"/>
          <w:sz w:val="28"/>
          <w:szCs w:val="20"/>
          <w:highlight w:val="none"/>
        </w:rPr>
        <w:t>（</w:t>
      </w:r>
      <w:r>
        <w:rPr>
          <w:rFonts w:ascii="仿宋" w:eastAsia="仿宋" w:hAnsi="仿宋" w:cs="仿宋" w:hint="eastAsia"/>
          <w:color w:val="0000FF"/>
          <w:sz w:val="28"/>
          <w:szCs w:val="20"/>
          <w:highlight w:val="none"/>
          <w:lang w:val="en-US" w:eastAsia="zh-CN"/>
        </w:rPr>
        <w:t>3</w:t>
      </w:r>
      <w:r>
        <w:rPr>
          <w:rFonts w:ascii="仿宋" w:eastAsia="仿宋" w:hAnsi="仿宋" w:cs="仿宋" w:hint="eastAsia"/>
          <w:color w:val="0000FF"/>
          <w:sz w:val="28"/>
          <w:szCs w:val="20"/>
          <w:highlight w:val="none"/>
        </w:rPr>
        <w:t xml:space="preserve">）到货后付款：设备到货、签收后 20个工作日内，乙方向甲方开具合同总金额的 </w:t>
      </w:r>
      <w:r>
        <w:rPr>
          <w:rFonts w:ascii="仿宋" w:eastAsia="仿宋" w:hAnsi="仿宋" w:cs="仿宋" w:hint="eastAsia"/>
          <w:color w:val="0000FF"/>
          <w:sz w:val="28"/>
          <w:szCs w:val="20"/>
          <w:highlight w:val="none"/>
          <w:lang w:val="en-US" w:eastAsia="zh-CN"/>
        </w:rPr>
        <w:t>5</w:t>
      </w:r>
      <w:r>
        <w:rPr>
          <w:rFonts w:ascii="仿宋" w:eastAsia="仿宋" w:hAnsi="仿宋" w:cs="仿宋" w:hint="eastAsia"/>
          <w:color w:val="0000FF"/>
          <w:sz w:val="28"/>
          <w:szCs w:val="20"/>
          <w:highlight w:val="none"/>
        </w:rPr>
        <w:t>% 即人民币</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元（大写）</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元（小写） 的增值税普通发票，同时甲方向乙方支付相应金额款项。</w:t>
      </w:r>
    </w:p>
    <w:p>
      <w:pPr>
        <w:ind w:firstLine="560" w:firstLineChars="200"/>
        <w:rPr>
          <w:rFonts w:ascii="仿宋" w:eastAsia="仿宋" w:hAnsi="仿宋" w:cs="仿宋" w:hint="eastAsia"/>
          <w:color w:val="0000FF"/>
          <w:sz w:val="28"/>
          <w:szCs w:val="20"/>
          <w:highlight w:val="none"/>
        </w:rPr>
      </w:pPr>
      <w:r>
        <w:rPr>
          <w:rFonts w:ascii="仿宋" w:eastAsia="仿宋" w:hAnsi="仿宋" w:cs="仿宋" w:hint="eastAsia"/>
          <w:color w:val="0000FF"/>
          <w:sz w:val="28"/>
          <w:szCs w:val="20"/>
          <w:highlight w:val="none"/>
        </w:rPr>
        <w:t>（</w:t>
      </w:r>
      <w:r>
        <w:rPr>
          <w:rFonts w:ascii="仿宋" w:eastAsia="仿宋" w:hAnsi="仿宋" w:cs="仿宋" w:hint="eastAsia"/>
          <w:color w:val="0000FF"/>
          <w:sz w:val="28"/>
          <w:szCs w:val="20"/>
          <w:highlight w:val="none"/>
          <w:lang w:val="en-US" w:eastAsia="zh-CN"/>
        </w:rPr>
        <w:t>4</w:t>
      </w:r>
      <w:r>
        <w:rPr>
          <w:rFonts w:ascii="仿宋" w:eastAsia="仿宋" w:hAnsi="仿宋" w:cs="仿宋" w:hint="eastAsia"/>
          <w:color w:val="0000FF"/>
          <w:sz w:val="28"/>
          <w:szCs w:val="20"/>
          <w:highlight w:val="none"/>
        </w:rPr>
        <w:t xml:space="preserve">）乙方在合同签订后20个工作日内，向甲方提供合同总金额 </w:t>
      </w:r>
      <w:r>
        <w:rPr>
          <w:rFonts w:ascii="仿宋" w:eastAsia="仿宋" w:hAnsi="仿宋" w:cs="仿宋" w:hint="eastAsia"/>
          <w:color w:val="0000FF"/>
          <w:sz w:val="28"/>
          <w:szCs w:val="20"/>
          <w:highlight w:val="none"/>
          <w:lang w:val="en-US" w:eastAsia="zh-CN"/>
        </w:rPr>
        <w:t>10</w:t>
      </w:r>
      <w:r>
        <w:rPr>
          <w:rFonts w:ascii="仿宋" w:eastAsia="仿宋" w:hAnsi="仿宋" w:cs="仿宋" w:hint="eastAsia"/>
          <w:color w:val="0000FF"/>
          <w:sz w:val="28"/>
          <w:szCs w:val="20"/>
          <w:highlight w:val="none"/>
        </w:rPr>
        <w:t>% 即人民币</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元（大写）</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（小写） 的银行履约保函。自合同生效之日起至设备质保结束止（保函有效期：自开具之日起2年，乙方履约保函到期前乙方重新开具为期2年的履约保函进行替换，直至质保期满。乙方应保证履约保函在合同规定的有效期内持续有效）。</w:t>
      </w:r>
    </w:p>
    <w:p>
      <w:pPr>
        <w:ind w:firstLine="560" w:firstLineChars="200"/>
        <w:rPr>
          <w:rFonts w:ascii="仿宋" w:eastAsia="仿宋" w:hAnsi="仿宋" w:cs="仿宋" w:hint="eastAsia"/>
          <w:color w:val="0000FF"/>
          <w:sz w:val="28"/>
          <w:szCs w:val="20"/>
          <w:highlight w:val="none"/>
        </w:rPr>
      </w:pP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九、检验考核要求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9.1设备出厂</w:t>
      </w:r>
    </w:p>
    <w:p>
      <w:pPr>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9.2包装和运输要求</w:t>
      </w:r>
    </w:p>
    <w:p>
      <w:pPr>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9.3安装、调试</w:t>
      </w:r>
    </w:p>
    <w:p>
      <w:pPr>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9.4设备验收</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rPr>
        <w:t>（1）设备安装、调试达到功能规格需求书规定的指标后，可进行初步验收。验收</w:t>
      </w:r>
      <w:r>
        <w:rPr>
          <w:rFonts w:ascii="仿宋" w:eastAsia="仿宋" w:hAnsi="仿宋" w:cs="仿宋" w:hint="eastAsia"/>
          <w:sz w:val="28"/>
          <w:szCs w:val="20"/>
          <w:highlight w:val="none"/>
        </w:rPr>
        <w:t>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（2）设备经过</w:t>
      </w:r>
      <w:r>
        <w:rPr>
          <w:rFonts w:ascii="仿宋" w:eastAsia="仿宋" w:hAnsi="仿宋" w:cs="仿宋" w:hint="eastAsia"/>
          <w:sz w:val="28"/>
          <w:szCs w:val="20"/>
          <w:highlight w:val="none"/>
          <w:lang w:val="en-US" w:eastAsia="zh-CN"/>
        </w:rPr>
        <w:t>3</w:t>
      </w:r>
      <w:r>
        <w:rPr>
          <w:rFonts w:ascii="仿宋" w:eastAsia="仿宋" w:hAnsi="仿宋" w:cs="仿宋" w:hint="eastAsia"/>
          <w:sz w:val="28"/>
          <w:szCs w:val="20"/>
          <w:highlight w:val="none"/>
        </w:rPr>
        <w:t>个月试运行期，达到功能规格需求书的要求时，可进行最终验收。在试运行期间，由于设备质量等造成某些指标达不到要求，允许中标人更换或进行修复，但试运行期另加1个月。</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（4）设备安装调试和试运行结束后，采购人组织最终验收。当满足以下条件时，采购人确认验收合格签署验收合格证：</w:t>
      </w:r>
    </w:p>
    <w:p>
      <w:pPr>
        <w:numPr>
          <w:ilvl w:val="0"/>
          <w:numId w:val="5"/>
        </w:numPr>
        <w:rPr>
          <w:rFonts w:ascii="仿宋" w:eastAsia="仿宋" w:hAnsi="仿宋" w:cs="仿宋"/>
          <w:sz w:val="28"/>
          <w:szCs w:val="20"/>
          <w:highlight w:val="none"/>
        </w:rPr>
      </w:pPr>
      <w:r>
        <w:rPr>
          <w:rFonts w:ascii="仿宋" w:eastAsia="仿宋" w:hAnsi="仿宋" w:cs="仿宋" w:hint="eastAsia"/>
          <w:sz w:val="28"/>
          <w:szCs w:val="20"/>
          <w:highlight w:val="none"/>
        </w:rPr>
        <w:t>中标人已提供合同中签署的全部货物及完整技术资料；</w:t>
      </w:r>
    </w:p>
    <w:p>
      <w:pPr>
        <w:numPr>
          <w:ilvl w:val="0"/>
          <w:numId w:val="5"/>
        </w:numPr>
        <w:rPr>
          <w:rFonts w:ascii="仿宋" w:eastAsia="仿宋" w:hAnsi="仿宋" w:cs="仿宋"/>
          <w:sz w:val="28"/>
          <w:szCs w:val="20"/>
          <w:highlight w:val="none"/>
        </w:rPr>
      </w:pPr>
      <w:r>
        <w:rPr>
          <w:rFonts w:ascii="仿宋" w:eastAsia="仿宋" w:hAnsi="仿宋" w:cs="仿宋" w:hint="eastAsia"/>
          <w:sz w:val="28"/>
          <w:szCs w:val="20"/>
          <w:highlight w:val="none"/>
        </w:rPr>
        <w:t>货物符合技术规格，性能满足要求；</w:t>
      </w:r>
    </w:p>
    <w:p>
      <w:pPr>
        <w:numPr>
          <w:ilvl w:val="0"/>
          <w:numId w:val="5"/>
        </w:numPr>
        <w:rPr>
          <w:rFonts w:ascii="仿宋" w:eastAsia="仿宋" w:hAnsi="仿宋" w:cs="仿宋"/>
          <w:sz w:val="28"/>
          <w:szCs w:val="20"/>
          <w:highlight w:val="none"/>
        </w:rPr>
      </w:pPr>
      <w:r>
        <w:rPr>
          <w:rFonts w:ascii="仿宋" w:eastAsia="仿宋" w:hAnsi="仿宋" w:cs="仿宋" w:hint="eastAsia"/>
          <w:sz w:val="28"/>
          <w:szCs w:val="20"/>
          <w:highlight w:val="none"/>
        </w:rPr>
        <w:t>安装工程符合技术要求，系统性能满足要求，设备正常运行。</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9.5保修及售后服务</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（1）保修期内因设备设计、质量出现问题，均由设备供应商即时无偿解决（包括更换器件）；设备安装后的试运行期间（</w:t>
      </w:r>
      <w:r>
        <w:rPr>
          <w:rFonts w:ascii="仿宋" w:eastAsia="仿宋" w:hAnsi="仿宋" w:cs="仿宋" w:hint="eastAsia"/>
          <w:sz w:val="28"/>
          <w:szCs w:val="20"/>
          <w:highlight w:val="none"/>
          <w:lang w:val="en-US" w:eastAsia="zh-CN"/>
        </w:rPr>
        <w:t>3</w:t>
      </w:r>
      <w:r>
        <w:rPr>
          <w:rFonts w:ascii="仿宋" w:eastAsia="仿宋" w:hAnsi="仿宋" w:cs="仿宋" w:hint="eastAsia"/>
          <w:sz w:val="28"/>
          <w:szCs w:val="20"/>
          <w:highlight w:val="none"/>
        </w:rPr>
        <w:t xml:space="preserve">个月）内，遇设备故障或数据明显异常、性能不达标等，中标人负责48小时内到站对故障设备进行测试和更换，确保设备正常投入业务运行。 </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9.6工程进度</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（1）合同签订后根据招标人的要求安排发货。</w:t>
      </w:r>
    </w:p>
    <w:p>
      <w:pPr>
        <w:ind w:firstLine="560" w:firstLineChars="200"/>
        <w:rPr>
          <w:rFonts w:ascii="仿宋" w:eastAsia="仿宋" w:hAnsi="仿宋" w:cs="仿宋"/>
          <w:sz w:val="28"/>
          <w:szCs w:val="20"/>
        </w:rPr>
      </w:pPr>
      <w:r>
        <w:rPr>
          <w:rFonts w:ascii="仿宋" w:eastAsia="仿宋" w:hAnsi="仿宋" w:cs="仿宋" w:hint="eastAsia"/>
          <w:sz w:val="28"/>
          <w:szCs w:val="20"/>
          <w:highlight w:val="none"/>
        </w:rPr>
        <w:t>（2）设备到达安装现场后，收到招标人通知五日内到达现场， 完成设备的安装、</w:t>
      </w:r>
      <w:r>
        <w:rPr>
          <w:rFonts w:ascii="仿宋" w:eastAsia="仿宋" w:hAnsi="仿宋" w:cs="仿宋" w:hint="eastAsia"/>
          <w:sz w:val="28"/>
          <w:szCs w:val="20"/>
        </w:rPr>
        <w:t>调测以及供电系统的联调工作。</w:t>
      </w:r>
    </w:p>
    <w:p>
      <w:pPr>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物候自动观测仪</w:t>
            </w:r>
            <w:r>
              <w:rPr>
                <w:rFonts w:ascii="宋体" w:hAnsi="宋体" w:cs="微软雅黑" w:hint="eastAsia"/>
                <w:b/>
                <w:color w:val="0000FF"/>
                <w:kern w:val="0"/>
                <w:sz w:val="18"/>
                <w:szCs w:val="18"/>
              </w:rPr>
              <w:t>需提供至投标截止日仍有效的《气象专用技术装备使用许可证》。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5"/>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第七章</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rPr>
              <w:t>设备供应商对所有设备提供自验收合格后8年的质保服务，需提供设备质保承诺函原件（格式自拟）</w:t>
            </w:r>
            <w:r>
              <w:rPr>
                <w:rFonts w:ascii="宋体" w:hAnsi="宋体" w:cs="微软雅黑" w:hint="eastAsia"/>
                <w:b/>
                <w:color w:val="0000FF"/>
                <w:kern w:val="0"/>
                <w:sz w:val="18"/>
                <w:szCs w:val="18"/>
                <w:lang w:eastAsia="zh-CN"/>
              </w:rPr>
              <w:t>，采购设备自验收合格后4G通信模块8年数据流量费由中标人承担，并提供承诺函原件扫描件。</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1、合同生效后付款：双方签署合同后15个工作日内，乙方向甲方开具合同总金额的</w:t>
      </w:r>
      <w:r>
        <w:rPr>
          <w:rFonts w:ascii="宋体" w:hAnsi="宋体" w:hint="eastAsia"/>
          <w:szCs w:val="21"/>
          <w:highlight w:val="none"/>
          <w:u w:val="single"/>
          <w:lang w:val="en-US" w:eastAsia="zh-CN"/>
        </w:rPr>
        <w:t>6</w:t>
      </w:r>
      <w:r>
        <w:rPr>
          <w:rFonts w:ascii="宋体" w:hAnsi="宋体" w:hint="eastAsia"/>
          <w:szCs w:val="21"/>
          <w:highlight w:val="none"/>
          <w:u w:val="single"/>
        </w:rPr>
        <w:t>0%</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      元（小写）的有效发票，甲方在收到发票后15个工作日内向乙方支付；2、</w:t>
      </w:r>
      <w:r>
        <w:rPr>
          <w:rFonts w:ascii="宋体" w:hAnsi="宋体" w:hint="eastAsia"/>
          <w:szCs w:val="21"/>
          <w:highlight w:val="none"/>
          <w:u w:val="single"/>
          <w:lang w:val="en-US" w:eastAsia="zh-CN"/>
        </w:rPr>
        <w:t>乙方出具项目设计方案后付款</w:t>
      </w:r>
      <w:r>
        <w:rPr>
          <w:rFonts w:ascii="宋体" w:hAnsi="宋体" w:hint="eastAsia"/>
          <w:szCs w:val="21"/>
          <w:highlight w:val="none"/>
          <w:u w:val="single"/>
        </w:rPr>
        <w:t>：</w:t>
      </w:r>
      <w:r>
        <w:rPr>
          <w:rFonts w:ascii="宋体" w:hAnsi="宋体" w:hint="eastAsia"/>
          <w:szCs w:val="21"/>
          <w:highlight w:val="none"/>
          <w:u w:val="single"/>
          <w:lang w:val="en-US" w:eastAsia="zh-CN"/>
        </w:rPr>
        <w:t>乙方向甲方交付项目设计方案后</w:t>
      </w:r>
      <w:r>
        <w:rPr>
          <w:rFonts w:ascii="宋体" w:hAnsi="宋体" w:hint="eastAsia"/>
          <w:szCs w:val="21"/>
          <w:highlight w:val="none"/>
          <w:u w:val="single"/>
        </w:rPr>
        <w:t>7个工作日内，乙方向甲方开具合同总金额的</w:t>
      </w:r>
      <w:r>
        <w:rPr>
          <w:rFonts w:ascii="宋体" w:hAnsi="宋体" w:hint="eastAsia"/>
          <w:szCs w:val="21"/>
          <w:highlight w:val="none"/>
          <w:u w:val="single"/>
          <w:lang w:val="en-US" w:eastAsia="zh-CN"/>
        </w:rPr>
        <w:t>35</w:t>
      </w:r>
      <w:r>
        <w:rPr>
          <w:rFonts w:ascii="宋体" w:hAnsi="宋体" w:hint="eastAsia"/>
          <w:szCs w:val="21"/>
          <w:highlight w:val="none"/>
          <w:u w:val="single"/>
        </w:rPr>
        <w:t>%</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元（小写）的有效发票，甲方在收到发票后15个工作日内向乙方支付。 </w:t>
      </w:r>
      <w:r>
        <w:rPr>
          <w:rFonts w:ascii="宋体" w:hAnsi="宋体" w:hint="eastAsia"/>
          <w:szCs w:val="21"/>
          <w:highlight w:val="none"/>
          <w:u w:val="single"/>
          <w:lang w:val="en-US" w:eastAsia="zh-CN"/>
        </w:rPr>
        <w:t>3</w:t>
      </w:r>
      <w:r>
        <w:rPr>
          <w:rFonts w:ascii="宋体" w:hAnsi="宋体" w:hint="eastAsia"/>
          <w:szCs w:val="21"/>
          <w:highlight w:val="none"/>
          <w:u w:val="single"/>
        </w:rPr>
        <w:t>、到货、检验后付款：双方签署到货验收报告后7个工作日内，乙方向甲方开具合同总金额的</w:t>
      </w:r>
      <w:r>
        <w:rPr>
          <w:rFonts w:ascii="宋体" w:hAnsi="宋体" w:hint="eastAsia"/>
          <w:szCs w:val="21"/>
          <w:highlight w:val="none"/>
          <w:u w:val="single"/>
          <w:lang w:val="en-US" w:eastAsia="zh-CN"/>
        </w:rPr>
        <w:t>5</w:t>
      </w:r>
      <w:r>
        <w:rPr>
          <w:rFonts w:ascii="宋体" w:hAnsi="宋体" w:hint="eastAsia"/>
          <w:szCs w:val="21"/>
          <w:highlight w:val="none"/>
          <w:u w:val="single"/>
        </w:rPr>
        <w:t>%</w:t>
      </w:r>
      <w:r>
        <w:rPr>
          <w:rFonts w:ascii="宋体" w:hAnsi="宋体" w:hint="eastAsia"/>
          <w:szCs w:val="21"/>
          <w:highlight w:val="none"/>
          <w:u w:val="single"/>
          <w:lang w:eastAsia="zh-CN"/>
        </w:rPr>
        <w:t>，</w:t>
      </w:r>
      <w:r>
        <w:rPr>
          <w:rFonts w:ascii="宋体" w:hAnsi="宋体" w:hint="eastAsia"/>
          <w:szCs w:val="21"/>
          <w:highlight w:val="none"/>
          <w:u w:val="single"/>
        </w:rPr>
        <w:t>即人民币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元（小写）的有效发票，甲方在收到发票后15个工作日内向乙方支付。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ind w:left="877" w:hanging="440" w:leftChars="208" w:hangingChars="200"/>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以支票、汇票、本票或者金融机构、担保机构出具的保函等非现金形式提交。</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合同总金额</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w:t>
      </w:r>
      <w:r>
        <w:rPr>
          <w:rFonts w:ascii="宋体" w:eastAsia="宋体" w:hAnsi="宋体" w:cs="宋体" w:hint="eastAsia"/>
          <w:bCs/>
          <w:sz w:val="21"/>
          <w:highlight w:val="none"/>
          <w:u w:val="single"/>
          <w:lang w:eastAsia="zh-CN"/>
        </w:rPr>
        <w:t>。</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自合同生效之日起至设备质保结束止（保函有效期：自开具之日起2年，乙方履约保函到期前乙方重新开具为期2年的履约保函进行替换，直至质保期满。乙方应保证履约保函在合同规定的有效期内持续有效）。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CEA1EE1"/>
    <w:multiLevelType w:val="singleLevel"/>
    <w:tmpl w:val="DCEA1EE1"/>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2"/>
  </w:num>
  <w:num w:numId="5">
    <w:abstractNumId w:val="12"/>
  </w:num>
  <w:num w:numId="6">
    <w:abstractNumId w:val="13"/>
  </w:num>
  <w:num w:numId="7">
    <w:abstractNumId w:val="14"/>
  </w:num>
  <w:num w:numId="8">
    <w:abstractNumId w:val="1"/>
  </w:num>
  <w:num w:numId="9">
    <w:abstractNumId w:val="6"/>
  </w:num>
  <w:num w:numId="10">
    <w:abstractNumId w:val="4"/>
  </w:num>
  <w:num w:numId="11">
    <w:abstractNumId w:val="3"/>
  </w:num>
  <w:num w:numId="12">
    <w:abstractNumId w:val="11"/>
  </w:num>
  <w:num w:numId="13">
    <w:abstractNumId w:val="0"/>
  </w:num>
  <w:num w:numId="14">
    <w:abstractNumId w:val="5"/>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