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2025年重庆、四川新建大气本底站项目-高精度温室气体（N2OCO）浓度观测系统（光腔衰荡光谱法）等配套设备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ZQCD-25327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重庆市气象信息与技术保障中心；四川省气象探测数据中心（四川省气象技术装备中心、四川省气象档案馆）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2025年重庆、四川新建大气本底站项目-高精度温室气体（N2OCO）浓度观测系统（光腔衰荡光谱法）等配套设备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ZQCD-25327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重庆南川、四川绵阳</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2025年10月16日 00:00:00</w:t>
      </w:r>
      <w:bookmarkEnd w:id="26"/>
      <w:r>
        <w:rPr>
          <w:rFonts w:ascii="宋体" w:hint="eastAsia"/>
          <w:szCs w:val="21"/>
          <w:highlight w:val="none"/>
        </w:rPr>
        <w:t>至</w:t>
      </w:r>
      <w:bookmarkStart w:id="27" w:name="项目公告_signUpLastTime"/>
      <w:r>
        <w:rPr>
          <w:rFonts w:ascii="宋体" w:hint="eastAsia"/>
          <w:szCs w:val="21"/>
          <w:highlight w:val="none"/>
        </w:rPr>
        <w:t>2025年10月28日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重庆市气象信息与技术保障中心；四川省气象探测数据中心（四川省气象技术装备中心、四川省气象档案馆）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赵松</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023-89116132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重庆市渝北区新牌坊一路68号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重庆市气象信息与技术保障中心；四川省气象探测数据中心（四川省气象技术装备中心、四川省气象档案馆）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不允许（仅针对以下产品：1、高精度温室气体（N2O/CO）浓度观测系统（光腔衰荡光谱法）不允许代理商投标）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设有，核心产品为高精度温室气体（N2O/CO）浓度观测系统（光腔衰荡光谱法）</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1,455.000000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1,455.000000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销售合同必须包括高精度温室气体（N2O/CO）浓度观测系统（光腔衰荡光谱法），每提供1份合同得1分，最多得5分。否则不得分。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针对本项目采购的高精度温室气体（N2O/CO）浓度观测系统（光腔衰荡光谱法）；温室气体采集、处理、标气单元配套设备（无采样管）；采样塔；方舱；UPS（含方舱），承诺提前10天交货的得1分，否则不得分。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针对高精度温室气体（N2O/CO）浓度观测系统（光腔衰荡光谱法）设备，每提供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N2O/CO）浓度观测系统（光腔衰荡光谱法）设备，测试报告应涵盖浪涌（冲击）抗扰度、电快速瞬变脉冲群抗扰度、射频电磁场辐射抗扰度、射频场感应的传导骚扰抗扰度、静电放电抗扰度、低温贮存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w:t>
      </w:r>
      <w:r>
        <w:rPr>
          <w:rFonts w:eastAsia="仿宋"/>
          <w:sz w:val="28"/>
          <w:szCs w:val="20"/>
          <w:highlight w:val="none"/>
        </w:rPr>
        <w:t>总体要求</w:t>
      </w:r>
      <w:r>
        <w:rPr>
          <w:rFonts w:eastAsia="仿宋" w:hint="eastAsia"/>
          <w:sz w:val="28"/>
          <w:szCs w:val="20"/>
          <w:highlight w:val="none"/>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技术性能指标</w:t>
      </w:r>
    </w:p>
    <w:tbl>
      <w:tblPr>
        <w:tblStyle w:val="TableNormal"/>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79"/>
        <w:gridCol w:w="2791"/>
        <w:gridCol w:w="5721"/>
      </w:tblGrid>
      <w:tr>
        <w:tblPrEx>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tblHeader/>
          <w:jc w:val="center"/>
        </w:trPr>
        <w:tc>
          <w:tcPr>
            <w:tcW w:w="419"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序号</w:t>
            </w:r>
          </w:p>
        </w:tc>
        <w:tc>
          <w:tcPr>
            <w:tcW w:w="1502"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设备名称</w:t>
            </w:r>
          </w:p>
        </w:tc>
        <w:tc>
          <w:tcPr>
            <w:tcW w:w="3079"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指标参数</w:t>
            </w:r>
          </w:p>
        </w:tc>
      </w:tr>
      <w:tr>
        <w:tblPrEx>
          <w:tblW w:w="5160" w:type="pct"/>
          <w:jc w:val="center"/>
          <w:tblCellMar>
            <w:top w:w="0" w:type="dxa"/>
            <w:left w:w="108" w:type="dxa"/>
            <w:bottom w:w="0" w:type="dxa"/>
            <w:right w:w="108" w:type="dxa"/>
          </w:tblCellMar>
        </w:tblPrEx>
        <w:trPr>
          <w:trHeight w:val="20"/>
          <w:jc w:val="center"/>
        </w:trPr>
        <w:tc>
          <w:tcPr>
            <w:tcW w:w="419" w:type="pct"/>
            <w:vAlign w:val="center"/>
          </w:tcPr>
          <w:p>
            <w:pPr>
              <w:widowControl/>
              <w:numPr>
                <w:ilvl w:val="0"/>
                <w:numId w:val="4"/>
              </w:numPr>
              <w:ind w:left="0" w:firstLine="0"/>
              <w:rPr>
                <w:rFonts w:ascii="仿宋" w:eastAsia="仿宋" w:hAnsi="仿宋" w:cs="仿宋" w:hint="eastAsia"/>
                <w:color w:val="000000"/>
              </w:rPr>
            </w:pPr>
          </w:p>
        </w:tc>
        <w:tc>
          <w:tcPr>
            <w:tcW w:w="1502" w:type="pct"/>
            <w:vAlign w:val="center"/>
          </w:tcPr>
          <w:p>
            <w:pPr>
              <w:widowControl/>
              <w:rPr>
                <w:rFonts w:ascii="仿宋" w:eastAsia="仿宋" w:hAnsi="仿宋" w:cs="仿宋" w:hint="eastAsia"/>
                <w:b/>
                <w:bCs/>
                <w:color w:val="000000"/>
                <w:kern w:val="0"/>
              </w:rPr>
            </w:pPr>
            <w:r>
              <w:rPr>
                <w:rFonts w:ascii="仿宋" w:eastAsia="仿宋" w:hAnsi="仿宋" w:cs="仿宋" w:hint="eastAsia"/>
                <w:color w:val="000000"/>
                <w:kern w:val="0"/>
                <w:sz w:val="24"/>
              </w:rPr>
              <w:t>高精度温室气体（N</w:t>
            </w:r>
            <w:r>
              <w:rPr>
                <w:rFonts w:ascii="仿宋" w:eastAsia="仿宋" w:hAnsi="仿宋" w:cs="仿宋" w:hint="eastAsia"/>
                <w:color w:val="000000"/>
                <w:kern w:val="0"/>
                <w:sz w:val="24"/>
                <w:vertAlign w:val="subscript"/>
              </w:rPr>
              <w:t>2</w:t>
            </w:r>
            <w:r>
              <w:rPr>
                <w:rFonts w:ascii="仿宋" w:eastAsia="仿宋" w:hAnsi="仿宋" w:cs="仿宋" w:hint="eastAsia"/>
                <w:color w:val="000000"/>
                <w:kern w:val="0"/>
                <w:sz w:val="24"/>
              </w:rPr>
              <w:t>O/CO）浓度观测系统（光腔衰荡光谱法）</w:t>
            </w:r>
          </w:p>
        </w:tc>
        <w:tc>
          <w:tcPr>
            <w:tcW w:w="3079" w:type="pct"/>
            <w:vAlign w:val="center"/>
          </w:tcPr>
          <w:p>
            <w:pPr>
              <w:numPr>
                <w:ilvl w:val="0"/>
                <w:numId w:val="5"/>
              </w:numPr>
              <w:rPr>
                <w:rFonts w:ascii="仿宋" w:eastAsia="仿宋" w:hAnsi="仿宋" w:cs="仿宋" w:hint="eastAsia"/>
                <w:b/>
                <w:bCs/>
                <w:color w:val="000000"/>
              </w:rPr>
            </w:pPr>
            <w:r>
              <w:rPr>
                <w:rFonts w:ascii="仿宋" w:eastAsia="仿宋" w:hAnsi="仿宋" w:cs="仿宋" w:hint="eastAsia"/>
                <w:b/>
                <w:bCs/>
                <w:color w:val="000000"/>
                <w:sz w:val="24"/>
              </w:rPr>
              <w:t>测量单元</w:t>
            </w:r>
          </w:p>
          <w:p>
            <w:pPr>
              <w:rPr>
                <w:rFonts w:ascii="仿宋" w:eastAsia="仿宋" w:hAnsi="仿宋" w:cs="仿宋"/>
                <w:b/>
                <w:bCs/>
                <w:color w:val="000000"/>
              </w:rPr>
            </w:pPr>
            <w:r>
              <w:rPr>
                <w:rFonts w:ascii="仿宋" w:eastAsia="仿宋" w:hAnsi="仿宋" w:cs="仿宋" w:hint="eastAsia"/>
                <w:b/>
                <w:bCs/>
                <w:color w:val="000000"/>
                <w:sz w:val="24"/>
              </w:rPr>
              <w:t xml:space="preserve">   </w:t>
            </w:r>
            <w:r>
              <w:rPr>
                <w:rFonts w:ascii="仿宋" w:eastAsia="仿宋" w:hAnsi="仿宋" w:cs="仿宋" w:hint="eastAsia"/>
                <w:sz w:val="24"/>
              </w:rPr>
              <w:t>包括主机和显示器。其中主机参数如下：</w:t>
            </w:r>
          </w:p>
          <w:p>
            <w:pPr>
              <w:rPr>
                <w:rFonts w:ascii="仿宋" w:eastAsia="仿宋" w:hAnsi="仿宋" w:cs="仿宋"/>
              </w:rPr>
            </w:pPr>
            <w:r>
              <w:rPr>
                <w:rFonts w:ascii="仿宋" w:eastAsia="仿宋" w:hAnsi="仿宋" w:cs="仿宋" w:hint="eastAsia"/>
                <w:sz w:val="24"/>
              </w:rPr>
              <w:t>量程</w:t>
            </w:r>
          </w:p>
          <w:p>
            <w:pPr>
              <w:rPr>
                <w:rFonts w:ascii="仿宋" w:eastAsia="仿宋" w:hAnsi="仿宋" w:cs="仿宋"/>
                <w:highlight w:val="yellow"/>
              </w:rPr>
            </w:pPr>
            <w:r>
              <w:rPr>
                <w:rFonts w:ascii="仿宋" w:eastAsia="仿宋" w:hAnsi="仿宋" w:cs="仿宋" w:hint="eastAsia"/>
                <w:sz w:val="24"/>
                <w:highlight w:val="yellow"/>
              </w:rPr>
              <w:t>#N</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O：1～1000ppb</w:t>
            </w:r>
          </w:p>
          <w:p>
            <w:pPr>
              <w:rPr>
                <w:rFonts w:ascii="仿宋" w:eastAsia="仿宋" w:hAnsi="仿宋" w:cs="仿宋" w:hint="eastAsia"/>
              </w:rPr>
            </w:pPr>
            <w:r>
              <w:rPr>
                <w:rFonts w:ascii="仿宋" w:eastAsia="仿宋" w:hAnsi="仿宋" w:cs="仿宋" w:hint="eastAsia"/>
                <w:sz w:val="24"/>
                <w:highlight w:val="yellow"/>
              </w:rPr>
              <w:t>#CO：1～1500ppb</w:t>
            </w:r>
          </w:p>
          <w:p>
            <w:pPr>
              <w:rPr>
                <w:rFonts w:ascii="仿宋" w:eastAsia="仿宋" w:hAnsi="仿宋" w:cs="仿宋"/>
              </w:rPr>
            </w:pPr>
            <w:r>
              <w:rPr>
                <w:rFonts w:ascii="仿宋" w:eastAsia="仿宋" w:hAnsi="仿宋" w:cs="仿宋" w:hint="eastAsia"/>
                <w:sz w:val="24"/>
              </w:rPr>
              <w:t>精度（1σ，5min）</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sz w:val="24"/>
                <w:highlight w:val="yellow"/>
              </w:rPr>
              <w:t>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＜0.07</w:t>
            </w:r>
            <w:r>
              <w:rPr>
                <w:rFonts w:ascii="仿宋" w:eastAsia="仿宋" w:hAnsi="仿宋" w:cs="仿宋"/>
                <w:sz w:val="24"/>
                <w:highlight w:val="yellow"/>
              </w:rPr>
              <w:t>ppb(N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＜5</w:t>
            </w:r>
            <w:r>
              <w:rPr>
                <w:rFonts w:ascii="仿宋" w:eastAsia="仿宋" w:hAnsi="仿宋" w:cs="仿宋"/>
                <w:sz w:val="24"/>
                <w:highlight w:val="yellow"/>
              </w:rPr>
              <w:t>00ppb)</w:t>
            </w:r>
          </w:p>
          <w:p>
            <w:pPr>
              <w:rPr>
                <w:rFonts w:ascii="仿宋" w:eastAsia="仿宋" w:hAnsi="仿宋" w:cs="仿宋" w:hint="eastAsia"/>
              </w:rPr>
            </w:pPr>
            <w:r>
              <w:rPr>
                <w:rFonts w:ascii="仿宋" w:eastAsia="仿宋" w:hAnsi="仿宋" w:cs="仿宋" w:hint="eastAsia"/>
                <w:sz w:val="24"/>
                <w:highlight w:val="yellow"/>
              </w:rPr>
              <w:t>#</w:t>
            </w:r>
            <w:r>
              <w:rPr>
                <w:rFonts w:ascii="仿宋" w:eastAsia="仿宋" w:hAnsi="仿宋" w:cs="仿宋"/>
                <w:sz w:val="24"/>
                <w:highlight w:val="yellow"/>
              </w:rPr>
              <w:t>CO</w:t>
            </w:r>
            <w:r>
              <w:rPr>
                <w:rFonts w:ascii="仿宋" w:eastAsia="仿宋" w:hAnsi="仿宋" w:cs="仿宋" w:hint="eastAsia"/>
                <w:sz w:val="24"/>
                <w:highlight w:val="yellow"/>
              </w:rPr>
              <w:t>＜0.5</w:t>
            </w:r>
            <w:r>
              <w:rPr>
                <w:rFonts w:ascii="仿宋" w:eastAsia="仿宋" w:hAnsi="仿宋" w:cs="仿宋"/>
                <w:sz w:val="24"/>
                <w:highlight w:val="yellow"/>
              </w:rPr>
              <w:t>ppb(CO</w:t>
            </w:r>
            <w:r>
              <w:rPr>
                <w:rFonts w:ascii="仿宋" w:eastAsia="仿宋" w:hAnsi="仿宋" w:cs="仿宋" w:hint="eastAsia"/>
                <w:sz w:val="24"/>
                <w:highlight w:val="yellow"/>
              </w:rPr>
              <w:t>＜</w:t>
            </w:r>
            <w:r>
              <w:rPr>
                <w:rFonts w:ascii="仿宋" w:eastAsia="仿宋" w:hAnsi="仿宋" w:cs="仿宋"/>
                <w:sz w:val="24"/>
                <w:highlight w:val="yellow"/>
              </w:rPr>
              <w:t>400ppb)</w:t>
            </w:r>
          </w:p>
          <w:p>
            <w:pPr>
              <w:rPr>
                <w:rFonts w:ascii="仿宋" w:eastAsia="仿宋" w:hAnsi="仿宋" w:cs="仿宋"/>
              </w:rPr>
            </w:pPr>
            <w:r>
              <w:rPr>
                <w:rFonts w:ascii="仿宋" w:eastAsia="仿宋" w:hAnsi="仿宋" w:cs="仿宋" w:hint="eastAsia"/>
                <w:sz w:val="24"/>
              </w:rPr>
              <w:t>漂移(标准温压下，24h， 1小时均值）</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sz w:val="24"/>
                <w:highlight w:val="yellow"/>
              </w:rPr>
              <w:t>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w:t>
            </w:r>
            <w:r>
              <w:rPr>
                <w:rFonts w:ascii="仿宋" w:eastAsia="仿宋" w:hAnsi="仿宋" w:cs="仿宋"/>
                <w:sz w:val="24"/>
                <w:highlight w:val="yellow"/>
              </w:rPr>
              <w:t>0.1ppb</w:t>
            </w:r>
          </w:p>
          <w:p>
            <w:pPr>
              <w:rPr>
                <w:rFonts w:ascii="仿宋" w:eastAsia="仿宋" w:hAnsi="仿宋" w:cs="仿宋" w:hint="eastAsia"/>
              </w:rPr>
            </w:pPr>
            <w:r>
              <w:rPr>
                <w:rFonts w:ascii="仿宋" w:eastAsia="仿宋" w:hAnsi="仿宋" w:cs="仿宋" w:hint="eastAsia"/>
                <w:sz w:val="24"/>
                <w:highlight w:val="yellow"/>
              </w:rPr>
              <w:t>#</w:t>
            </w:r>
            <w:r>
              <w:rPr>
                <w:rFonts w:ascii="仿宋" w:eastAsia="仿宋" w:hAnsi="仿宋" w:cs="仿宋"/>
                <w:sz w:val="24"/>
                <w:highlight w:val="yellow"/>
              </w:rPr>
              <w:t>CO</w:t>
            </w:r>
            <w:r>
              <w:rPr>
                <w:rFonts w:ascii="仿宋" w:eastAsia="仿宋" w:hAnsi="仿宋" w:cs="仿宋" w:hint="eastAsia"/>
                <w:sz w:val="24"/>
                <w:highlight w:val="yellow"/>
              </w:rPr>
              <w:t>＜1</w:t>
            </w:r>
            <w:r>
              <w:rPr>
                <w:rFonts w:ascii="仿宋" w:eastAsia="仿宋" w:hAnsi="仿宋" w:cs="仿宋"/>
                <w:sz w:val="24"/>
                <w:highlight w:val="yellow"/>
              </w:rPr>
              <w:t>ppb</w:t>
            </w:r>
          </w:p>
          <w:p>
            <w:pPr>
              <w:rPr>
                <w:rFonts w:ascii="仿宋" w:eastAsia="仿宋" w:hAnsi="仿宋" w:cs="仿宋"/>
              </w:rPr>
            </w:pPr>
          </w:p>
          <w:p>
            <w:pPr>
              <w:rPr>
                <w:rFonts w:ascii="仿宋" w:eastAsia="仿宋" w:hAnsi="仿宋" w:cs="仿宋"/>
                <w:b/>
                <w:bCs/>
                <w:color w:val="000000"/>
              </w:rPr>
            </w:pPr>
            <w:r>
              <w:rPr>
                <w:rFonts w:ascii="仿宋" w:eastAsia="仿宋" w:hAnsi="仿宋" w:cs="仿宋" w:hint="eastAsia"/>
                <w:b/>
                <w:bCs/>
                <w:color w:val="000000"/>
                <w:sz w:val="24"/>
              </w:rPr>
              <w:t>2、样气采集单元</w:t>
            </w:r>
          </w:p>
          <w:p>
            <w:pPr>
              <w:rPr>
                <w:rFonts w:ascii="仿宋" w:eastAsia="仿宋" w:hAnsi="仿宋" w:cs="仿宋"/>
                <w:color w:val="000000"/>
                <w:highlight w:val="yellow"/>
              </w:rPr>
            </w:pPr>
            <w:r>
              <w:rPr>
                <w:rFonts w:ascii="仿宋" w:eastAsia="仿宋" w:hAnsi="仿宋" w:cs="仿宋" w:hint="eastAsia"/>
                <w:color w:val="000000"/>
                <w:sz w:val="24"/>
                <w:highlight w:val="yellow"/>
              </w:rPr>
              <w:t>#采样口过滤器：≤10μm孔径囊式过滤器</w:t>
            </w:r>
          </w:p>
          <w:p>
            <w:pPr>
              <w:rPr>
                <w:rFonts w:ascii="仿宋" w:eastAsia="仿宋" w:hAnsi="仿宋" w:cs="仿宋"/>
                <w:color w:val="000000"/>
              </w:rPr>
            </w:pPr>
            <w:r>
              <w:rPr>
                <w:rFonts w:ascii="仿宋" w:eastAsia="仿宋" w:hAnsi="仿宋" w:cs="仿宋" w:hint="eastAsia"/>
                <w:color w:val="000000"/>
                <w:sz w:val="24"/>
                <w:highlight w:val="yellow"/>
              </w:rPr>
              <w:t>#采样管：≥φ8mm铝塑管</w:t>
            </w:r>
          </w:p>
          <w:p>
            <w:pPr>
              <w:rPr>
                <w:rFonts w:ascii="仿宋" w:eastAsia="仿宋" w:hAnsi="仿宋" w:cs="仿宋"/>
                <w:color w:val="000000"/>
              </w:rPr>
            </w:pPr>
            <w:r>
              <w:rPr>
                <w:rFonts w:ascii="仿宋" w:eastAsia="仿宋" w:hAnsi="仿宋" w:cs="仿宋" w:hint="eastAsia"/>
                <w:color w:val="000000"/>
                <w:sz w:val="24"/>
                <w:highlight w:val="yellow"/>
              </w:rPr>
              <w:t>#采样泵流量：≥10L/min</w:t>
            </w:r>
            <w:r>
              <w:rPr>
                <w:rFonts w:ascii="仿宋" w:eastAsia="仿宋" w:hAnsi="仿宋" w:cs="仿宋" w:hint="eastAsia"/>
                <w:color w:val="000000"/>
                <w:sz w:val="24"/>
              </w:rPr>
              <w:t>，泄露率低于0.6*10</w:t>
            </w:r>
            <w:r>
              <w:rPr>
                <w:rFonts w:ascii="仿宋" w:eastAsia="仿宋" w:hAnsi="仿宋" w:cs="仿宋" w:hint="eastAsia"/>
                <w:color w:val="000000"/>
                <w:sz w:val="24"/>
                <w:vertAlign w:val="superscript"/>
              </w:rPr>
              <w:t xml:space="preserve">-3 </w:t>
            </w:r>
            <w:r>
              <w:rPr>
                <w:rFonts w:ascii="仿宋" w:eastAsia="仿宋" w:hAnsi="仿宋" w:cs="仿宋" w:hint="eastAsia"/>
                <w:color w:val="000000"/>
                <w:sz w:val="24"/>
              </w:rPr>
              <w:t>mbar l/s</w:t>
            </w:r>
          </w:p>
          <w:p>
            <w:pPr>
              <w:rPr>
                <w:rFonts w:ascii="仿宋" w:eastAsia="仿宋" w:hAnsi="仿宋" w:cs="仿宋" w:hint="eastAsia"/>
                <w:color w:val="000000"/>
                <w:highlight w:val="yellow"/>
              </w:rPr>
            </w:pPr>
            <w:r>
              <w:rPr>
                <w:rFonts w:ascii="仿宋" w:eastAsia="仿宋" w:hAnsi="仿宋" w:cs="仿宋" w:hint="eastAsia"/>
                <w:color w:val="000000"/>
                <w:sz w:val="24"/>
                <w:highlight w:val="yellow"/>
              </w:rPr>
              <w:t>#采样泵过滤器：7μm不锈钢过滤器</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3、样气处理单元</w:t>
            </w:r>
          </w:p>
          <w:p>
            <w:pPr>
              <w:rPr>
                <w:rFonts w:ascii="仿宋" w:eastAsia="仿宋" w:hAnsi="仿宋" w:cs="仿宋"/>
                <w:color w:val="000000"/>
              </w:rPr>
            </w:pPr>
            <w:r>
              <w:rPr>
                <w:rFonts w:ascii="仿宋" w:eastAsia="仿宋" w:hAnsi="仿宋" w:cs="仿宋" w:hint="eastAsia"/>
                <w:color w:val="000000"/>
                <w:sz w:val="24"/>
                <w:highlight w:val="yellow"/>
              </w:rPr>
              <w:t>#除湿后，水汽浓度应低于5</w:t>
            </w:r>
            <w:r>
              <w:rPr>
                <w:rFonts w:ascii="仿宋" w:eastAsia="仿宋" w:hAnsi="仿宋" w:cs="仿宋"/>
                <w:color w:val="000000"/>
                <w:sz w:val="24"/>
                <w:highlight w:val="yellow"/>
              </w:rPr>
              <w:t>0ppm</w:t>
            </w:r>
          </w:p>
          <w:p>
            <w:pPr>
              <w:rPr>
                <w:rFonts w:ascii="仿宋" w:eastAsia="仿宋" w:hAnsi="仿宋" w:cs="仿宋"/>
                <w:color w:val="000000"/>
              </w:rPr>
            </w:pPr>
            <w:r>
              <w:rPr>
                <w:rFonts w:ascii="仿宋" w:eastAsia="仿宋" w:hAnsi="仿宋" w:cs="仿宋" w:hint="eastAsia"/>
                <w:color w:val="000000"/>
                <w:sz w:val="24"/>
                <w:highlight w:val="yellow"/>
              </w:rPr>
              <w:t>#气体冷却器制冷温度：1～3℃</w:t>
            </w:r>
          </w:p>
          <w:p>
            <w:pPr>
              <w:rPr>
                <w:rFonts w:ascii="仿宋" w:eastAsia="仿宋" w:hAnsi="仿宋" w:cs="仿宋"/>
                <w:color w:val="000000"/>
              </w:rPr>
            </w:pPr>
            <w:r>
              <w:rPr>
                <w:rFonts w:ascii="仿宋" w:eastAsia="仿宋" w:hAnsi="仿宋" w:cs="仿宋" w:hint="eastAsia"/>
                <w:color w:val="000000"/>
                <w:sz w:val="24"/>
              </w:rPr>
              <w:t>采用气体干燥管进行除湿，气体干燥管选择性渗透膜应为Nafion聚合物材料，吹扫气体应为干燥的空气或其他气体。</w:t>
            </w:r>
          </w:p>
          <w:p>
            <w:pPr>
              <w:rPr>
                <w:rFonts w:ascii="仿宋" w:eastAsia="仿宋" w:hAnsi="仿宋" w:cs="仿宋"/>
                <w:color w:val="000000"/>
              </w:rPr>
            </w:pPr>
            <w:r>
              <w:rPr>
                <w:rFonts w:ascii="仿宋" w:eastAsia="仿宋" w:hAnsi="仿宋" w:cs="仿宋" w:hint="eastAsia"/>
                <w:color w:val="000000"/>
                <w:sz w:val="24"/>
              </w:rPr>
              <w:t>超低温冷阱：</w:t>
            </w:r>
          </w:p>
          <w:p>
            <w:pPr>
              <w:rPr>
                <w:rFonts w:ascii="仿宋" w:eastAsia="仿宋" w:hAnsi="仿宋" w:cs="仿宋"/>
                <w:color w:val="000000"/>
              </w:rPr>
            </w:pPr>
            <w:r>
              <w:rPr>
                <w:rFonts w:ascii="仿宋" w:eastAsia="仿宋" w:hAnsi="仿宋" w:cs="仿宋" w:hint="eastAsia"/>
                <w:color w:val="000000"/>
                <w:sz w:val="24"/>
              </w:rPr>
              <w:t>具有双路切换功能，冷阱管应采用不锈钢或者硬质玻璃材质。</w:t>
            </w:r>
          </w:p>
          <w:p>
            <w:pPr>
              <w:rPr>
                <w:rFonts w:ascii="仿宋" w:eastAsia="仿宋" w:hAnsi="仿宋" w:cs="仿宋"/>
                <w:color w:val="000000"/>
              </w:rPr>
            </w:pPr>
            <w:r>
              <w:rPr>
                <w:rFonts w:ascii="仿宋" w:eastAsia="仿宋" w:hAnsi="仿宋" w:cs="仿宋" w:hint="eastAsia"/>
                <w:color w:val="000000"/>
                <w:sz w:val="24"/>
                <w:highlight w:val="yellow"/>
              </w:rPr>
              <w:t>#冷阱管切换前浓度水平的时间跨度应不超过1min。</w:t>
            </w:r>
          </w:p>
          <w:p>
            <w:pPr>
              <w:rPr>
                <w:rFonts w:ascii="仿宋" w:eastAsia="仿宋" w:hAnsi="仿宋" w:cs="仿宋" w:hint="eastAsia"/>
                <w:color w:val="000000"/>
              </w:rPr>
            </w:pPr>
            <w:r>
              <w:rPr>
                <w:rFonts w:ascii="仿宋" w:eastAsia="仿宋" w:hAnsi="仿宋" w:cs="仿宋" w:hint="eastAsia"/>
                <w:color w:val="000000"/>
                <w:sz w:val="24"/>
              </w:rPr>
              <w:t>制冷温度：-50℃～-75℃</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4、样气选择单元</w:t>
            </w:r>
          </w:p>
          <w:p>
            <w:pPr>
              <w:rPr>
                <w:rFonts w:ascii="仿宋" w:eastAsia="仿宋" w:hAnsi="仿宋" w:cs="仿宋"/>
                <w:color w:val="000000"/>
              </w:rPr>
            </w:pPr>
            <w:r>
              <w:rPr>
                <w:rFonts w:ascii="仿宋" w:eastAsia="仿宋" w:hAnsi="仿宋" w:cs="仿宋" w:hint="eastAsia"/>
                <w:color w:val="000000"/>
                <w:sz w:val="24"/>
              </w:rPr>
              <w:t>进气通道：≥10路</w:t>
            </w:r>
          </w:p>
          <w:p>
            <w:pPr>
              <w:rPr>
                <w:rFonts w:ascii="仿宋" w:eastAsia="仿宋" w:hAnsi="仿宋" w:cs="仿宋" w:hint="eastAsia"/>
                <w:color w:val="000000"/>
                <w:highlight w:val="yellow"/>
              </w:rPr>
            </w:pPr>
            <w:r>
              <w:rPr>
                <w:rFonts w:ascii="仿宋" w:eastAsia="仿宋" w:hAnsi="仿宋" w:cs="仿宋" w:hint="eastAsia"/>
                <w:color w:val="000000"/>
                <w:sz w:val="24"/>
              </w:rPr>
              <w:t>进样流量：0～500mL/min可调,</w:t>
            </w:r>
            <w:r>
              <w:rPr>
                <w:rFonts w:ascii="仿宋" w:eastAsia="仿宋" w:hAnsi="仿宋" w:cs="仿宋" w:hint="eastAsia"/>
                <w:color w:val="000000"/>
                <w:sz w:val="24"/>
                <w:highlight w:val="yellow"/>
              </w:rPr>
              <w:t xml:space="preserve"> </w:t>
            </w:r>
          </w:p>
          <w:p>
            <w:pPr>
              <w:rPr>
                <w:rFonts w:ascii="仿宋" w:eastAsia="仿宋" w:hAnsi="仿宋" w:cs="仿宋"/>
                <w:color w:val="000000"/>
              </w:rPr>
            </w:pPr>
            <w:r>
              <w:rPr>
                <w:rFonts w:ascii="仿宋" w:eastAsia="仿宋" w:hAnsi="仿宋" w:cs="仿宋" w:hint="eastAsia"/>
                <w:color w:val="000000"/>
                <w:sz w:val="24"/>
                <w:highlight w:val="yellow"/>
              </w:rPr>
              <w:t>#流量计：精度±1%F.S.</w:t>
            </w:r>
          </w:p>
          <w:p>
            <w:pPr>
              <w:rPr>
                <w:rFonts w:ascii="仿宋" w:eastAsia="仿宋" w:hAnsi="仿宋" w:cs="仿宋" w:hint="eastAsia"/>
                <w:color w:val="000000"/>
              </w:rPr>
            </w:pPr>
            <w:r>
              <w:rPr>
                <w:rFonts w:ascii="仿宋" w:eastAsia="仿宋" w:hAnsi="仿宋" w:cs="仿宋" w:hint="eastAsia"/>
                <w:color w:val="000000"/>
                <w:sz w:val="24"/>
              </w:rPr>
              <w:t>旁路流量：0～200mL/min可调</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5、标气单元</w:t>
            </w:r>
          </w:p>
          <w:p>
            <w:pPr>
              <w:rPr>
                <w:rFonts w:ascii="仿宋" w:eastAsia="仿宋" w:hAnsi="仿宋" w:cs="仿宋"/>
                <w:color w:val="000000"/>
              </w:rPr>
            </w:pPr>
            <w:r>
              <w:rPr>
                <w:rFonts w:ascii="仿宋" w:eastAsia="仿宋" w:hAnsi="仿宋" w:cs="仿宋" w:hint="eastAsia"/>
                <w:color w:val="000000"/>
                <w:sz w:val="24"/>
              </w:rPr>
              <w:t>气瓶：≥29L铝合金气瓶</w:t>
            </w:r>
          </w:p>
          <w:p>
            <w:pPr>
              <w:rPr>
                <w:rFonts w:ascii="仿宋" w:eastAsia="仿宋" w:hAnsi="仿宋" w:cs="仿宋" w:hint="eastAsia"/>
                <w:color w:val="000000"/>
              </w:rPr>
            </w:pPr>
            <w:r>
              <w:rPr>
                <w:rFonts w:ascii="仿宋" w:eastAsia="仿宋" w:hAnsi="仿宋" w:cs="仿宋" w:hint="eastAsia"/>
                <w:color w:val="000000"/>
                <w:sz w:val="24"/>
                <w:highlight w:val="yellow"/>
              </w:rPr>
              <w:t>#减压阀进/出气压力范围：0～3000psi/0～100psi。</w:t>
            </w:r>
          </w:p>
          <w:p>
            <w:pPr>
              <w:rPr>
                <w:rFonts w:ascii="仿宋" w:eastAsia="仿宋" w:hAnsi="仿宋" w:cs="仿宋"/>
                <w:color w:val="000000"/>
              </w:rPr>
            </w:pPr>
            <w:r>
              <w:rPr>
                <w:rFonts w:ascii="仿宋" w:eastAsia="仿宋" w:hAnsi="仿宋" w:cs="仿宋" w:hint="eastAsia"/>
                <w:color w:val="000000"/>
                <w:sz w:val="24"/>
              </w:rPr>
              <w:t>工作标气（WH，WM、WL）：以自然大气为底气，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等浓度在观测点大气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等浓度变化范围。</w:t>
            </w:r>
          </w:p>
          <w:p>
            <w:pPr>
              <w:rPr>
                <w:rFonts w:ascii="仿宋" w:eastAsia="仿宋" w:hAnsi="仿宋" w:cs="仿宋"/>
                <w:color w:val="000000"/>
              </w:rPr>
            </w:pPr>
            <w:r>
              <w:rPr>
                <w:rFonts w:ascii="仿宋" w:eastAsia="仿宋" w:hAnsi="仿宋" w:cs="仿宋" w:hint="eastAsia"/>
                <w:color w:val="000000"/>
                <w:sz w:val="24"/>
              </w:rPr>
              <w:t>目标标气（T，1瓶）：以自然大气为底气，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等浓度应接近观测点大气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等平均浓度。</w:t>
            </w:r>
          </w:p>
          <w:p>
            <w:pPr>
              <w:rPr>
                <w:rFonts w:ascii="仿宋" w:eastAsia="仿宋" w:hAnsi="仿宋" w:cs="仿宋"/>
                <w:color w:val="000000"/>
              </w:rPr>
            </w:pPr>
            <w:r>
              <w:rPr>
                <w:rFonts w:ascii="仿宋" w:eastAsia="仿宋" w:hAnsi="仿宋" w:cs="仿宋" w:hint="eastAsia"/>
                <w:color w:val="000000"/>
                <w:sz w:val="24"/>
              </w:rPr>
              <w:t>标气填充气以自然干洁空气为底气。钢瓶为内抛光专用铝合金气瓶。</w:t>
            </w:r>
          </w:p>
          <w:p>
            <w:pPr>
              <w:rPr>
                <w:rFonts w:ascii="仿宋" w:eastAsia="仿宋" w:hAnsi="仿宋" w:cs="仿宋" w:hint="eastAsia"/>
                <w:color w:val="000000"/>
              </w:rPr>
            </w:pPr>
            <w:r>
              <w:rPr>
                <w:rFonts w:ascii="仿宋" w:eastAsia="仿宋" w:hAnsi="仿宋" w:cs="仿宋" w:hint="eastAsia"/>
                <w:color w:val="000000"/>
                <w:sz w:val="24"/>
                <w:highlight w:val="yellow"/>
              </w:rPr>
              <w:t>#应溯源至气象部门最高计量标准，并经过国家气象计量站审核认证</w:t>
            </w:r>
            <w:r>
              <w:rPr>
                <w:rFonts w:ascii="仿宋" w:eastAsia="仿宋" w:hAnsi="仿宋" w:cs="仿宋" w:hint="eastAsia"/>
                <w:color w:val="000000"/>
                <w:sz w:val="24"/>
              </w:rPr>
              <w:t>。</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6、数据采集及处理单元</w:t>
            </w:r>
          </w:p>
          <w:p>
            <w:pPr>
              <w:rPr>
                <w:rFonts w:ascii="仿宋" w:eastAsia="仿宋" w:hAnsi="仿宋" w:cs="仿宋"/>
                <w:color w:val="000000"/>
              </w:rPr>
            </w:pPr>
            <w:r>
              <w:rPr>
                <w:rFonts w:ascii="仿宋" w:eastAsia="仿宋" w:hAnsi="仿宋" w:cs="仿宋" w:hint="eastAsia"/>
                <w:color w:val="000000"/>
                <w:sz w:val="24"/>
              </w:rPr>
              <w:t>监测报警系统监测内容：6路标气压力、2路进气压力、2路干燥气压力、2路卸压流量、2路干燥气流量、2路旁路流量。</w:t>
            </w:r>
          </w:p>
          <w:p>
            <w:pPr>
              <w:rPr>
                <w:rFonts w:ascii="仿宋" w:eastAsia="仿宋" w:hAnsi="仿宋" w:cs="仿宋"/>
                <w:color w:val="000000"/>
              </w:rPr>
            </w:pPr>
            <w:r>
              <w:rPr>
                <w:rFonts w:ascii="仿宋" w:eastAsia="仿宋" w:hAnsi="仿宋" w:cs="仿宋" w:hint="eastAsia"/>
                <w:color w:val="000000"/>
                <w:sz w:val="24"/>
              </w:rPr>
              <w:t>工控机：CPU：≥3GHz，内存：≥8G，硬盘：≥500G，显示器：≥17in，配件：KVM、键盘、鼠标。</w:t>
            </w:r>
          </w:p>
          <w:p>
            <w:pPr>
              <w:rPr>
                <w:rFonts w:ascii="仿宋" w:eastAsia="仿宋" w:hAnsi="仿宋" w:cs="仿宋" w:hint="eastAsia"/>
                <w:color w:val="000000"/>
                <w:kern w:val="0"/>
              </w:rPr>
            </w:pPr>
            <w:r>
              <w:rPr>
                <w:rFonts w:ascii="仿宋" w:eastAsia="仿宋" w:hAnsi="仿宋" w:cs="仿宋" w:hint="eastAsia"/>
                <w:color w:val="000000"/>
                <w:sz w:val="24"/>
              </w:rPr>
              <w:t>机柜：≥宽600mm×深1000mm×高2000mm</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质保期：高精度温室气体（N2O/CO）浓度观测系统（光腔衰荡光谱法）8年（重庆、四川）*，从双方签署现场安装测试报告之日起开始计算质保期。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（4）采购人搭建测试平台，中标人须配合采购人完成设备的出厂测试，出厂测试阶段发生的运费、测试费（不含材料费）、设备维修维护费用由中标人承担。</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（1）中标人须在合同签定后，且出厂测试合格的情况下，按约定时间将设备运到招标人指定的地点，运费由中标人承担。</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合同要求的指标后，可进行现场验收。采购人可根据合同，参考部门发布的本设备工程管理验收指导意见等要求，制定验收规范(包括项目、测试方法和测试仪器等)。经双方确认后形成验收文件作为验收依据。验收测试合格后，双方签署现场验收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（2）设备经过3个月试运行期，达到合同要求时，可进行合同验收。在试运行期间，由于设备质量等造成某些指标达不到要求，允许中标人更换或进行修复，但试运行期另加1个月。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（3）设备安装调试和试运行结束后，采购人组织最终验收。当满足以下条件时，采购人确认验收合格签署验收合格证：</w:t>
      </w:r>
    </w:p>
    <w:p>
      <w:pPr>
        <w:numPr>
          <w:ilvl w:val="0"/>
          <w:numId w:val="6"/>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spacing w:line="560" w:lineRule="exact"/>
        <w:ind w:left="552"/>
        <w:rPr>
          <w:rFonts w:ascii="仿宋" w:eastAsia="仿宋" w:hAnsi="仿宋" w:cs="仿宋" w:hint="eastAsia"/>
          <w:sz w:val="28"/>
          <w:szCs w:val="20"/>
        </w:rPr>
      </w:pP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1"/>
        <w:gridCol w:w="1472"/>
        <w:gridCol w:w="231"/>
        <w:gridCol w:w="321"/>
        <w:gridCol w:w="366"/>
        <w:gridCol w:w="231"/>
        <w:gridCol w:w="579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高精度温室气体（N2OCO）浓度观测系统（光腔衰荡光谱法）等配套设备</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14,550,000.00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重庆包括：1套高精度温室气体（N2O/CO）浓度观测系统（光腔衰荡光谱法）5440000.00，1套温室气体采集、处理、标气单元配套设备（无采样管）180000.00，1套采样塔900000.00，1套方舱320000.00，1套UPS（含方舱）720000.00，基础建设费（重庆）150000.00，重庆合计7710000.00。 四川包括：1套高精度温室气体（N2O/CO）浓度观测系统（光腔衰荡光谱法）5440000.00，1套温室气体采集、处理、标气单元配套设备（无采样管）180000.00，1套采样塔900000.00，1套方舱320000.00，四川合计6840000.00。</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14,550,000.00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5"/>
        <w:gridCol w:w="765"/>
        <w:gridCol w:w="2350"/>
        <w:gridCol w:w="225"/>
        <w:gridCol w:w="513"/>
        <w:gridCol w:w="428"/>
        <w:gridCol w:w="369"/>
        <w:gridCol w:w="364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数据中心(001016051)</w:t>
            </w:r>
          </w:p>
        </w:tc>
        <w:tc>
          <w:tcPr/>
          <w:p>
            <w:r>
              <w:t>高精度温室气体（N2OCO）浓度观测系统（光腔衰荡光谱法）等配套设备</w:t>
            </w:r>
          </w:p>
        </w:tc>
        <w:tc>
          <w:tcPr/>
          <w:p>
            <w:r>
              <w:t>1</w:t>
            </w:r>
          </w:p>
        </w:tc>
        <w:tc>
          <w:tcPr/>
          <w:p>
            <w:r>
              <w:t>6840000.00</w:t>
            </w:r>
          </w:p>
        </w:tc>
        <w:tc>
          <w:tcPr/>
          <w:p>
            <w:r>
              <w:t xml:space="preserve">6840000.00  </w:t>
            </w:r>
          </w:p>
        </w:tc>
        <w:tc>
          <w:tcPr/>
          <w:p>
            <w:r>
              <w:t>四川绵阳</w:t>
            </w:r>
          </w:p>
        </w:tc>
        <w:tc>
          <w:tcPr/>
          <w:p>
            <w:r>
              <w:t>采购人：四川省气象探测数据中心（四川省气象技术装备中心、四川省气象档案馆）。联系人：李翔17748777704</w:t>
            </w:r>
          </w:p>
        </w:tc>
      </w:tr>
      <w:tr>
        <w:tblPrEx>
          <w:tblW w:w="5000" w:type="pct"/>
          <w:tblCellMar>
            <w:left w:w="108" w:type="dxa"/>
            <w:right w:w="108" w:type="dxa"/>
          </w:tblCellMar>
        </w:tblPrEx>
        <w:tc>
          <w:tcPr/>
          <w:p>
            <w:r>
              <w:t>2</w:t>
            </w:r>
          </w:p>
        </w:tc>
        <w:tc>
          <w:tcPr/>
          <w:p>
            <w:r>
              <w:t>信息中心(001051012)</w:t>
            </w:r>
          </w:p>
        </w:tc>
        <w:tc>
          <w:tcPr/>
          <w:p>
            <w:r>
              <w:t>高精度温室气体（N2OCO）浓度观测系统（光腔衰荡光谱法）等配套设备</w:t>
            </w:r>
          </w:p>
        </w:tc>
        <w:tc>
          <w:tcPr/>
          <w:p>
            <w:r>
              <w:t>1</w:t>
            </w:r>
          </w:p>
        </w:tc>
        <w:tc>
          <w:tcPr/>
          <w:p>
            <w:r>
              <w:t>7710000.00</w:t>
            </w:r>
          </w:p>
        </w:tc>
        <w:tc>
          <w:tcPr/>
          <w:p>
            <w:r>
              <w:t xml:space="preserve">7710000.00 </w:t>
            </w:r>
          </w:p>
        </w:tc>
        <w:tc>
          <w:tcPr/>
          <w:p>
            <w:r>
              <w:t>重庆南川</w:t>
            </w:r>
          </w:p>
        </w:tc>
        <w:tc>
          <w:tcPr/>
          <w:p>
            <w:r>
              <w:t>采购人：重庆市气象信息与技术保障中心。联系人：赵松17783299769</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在南川金佛山国家大气本底站以及绵阳国家大气本底站分别建设一套高精度温室气体（N2O/CO）浓度观测系统（光腔衰荡光谱法），一套温室气体采集、处理、标气单元配套设备，采样塔，UPS与方舱等相关配套设施设备。高精度温室气体（N2O/CO）浓度观测系统（光腔衰荡光谱法）及温室气体采集、处理、标气单元配套设备主要对N2O/CO反应性气体进行监测。提升温室气体、气溶胶和反应性气体等要素观测，有效增强四川盆地边缘山地气候和四川盆地底部气候的大气本底观测能力和温室气体本底浓度联网观测能力，补充完善四川盆地气候系统关键区国家大气本底站网，为应对气候变化、促进减少温室气体排放、治理大气污染和保护生态环境等提供基础支撑，保障生态文明建设和“双碳”目标实现。</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4</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重庆市南川区、四川省绵阳市</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设备完全符合甲方相关要求和规范，保证其系统的兼容性和功能的完整性。</w:t>
      </w:r>
    </w:p>
    <w:p>
      <w:pPr>
        <w:numPr>
          <w:ilvl w:val="0"/>
          <w:numId w:val="7"/>
        </w:numPr>
        <w:ind w:firstLine="560" w:firstLineChars="200"/>
        <w:rPr>
          <w:rFonts w:ascii="仿宋" w:eastAsia="仿宋" w:hAnsi="仿宋" w:cs="仿宋" w:hint="eastAsia"/>
          <w:b/>
          <w:bCs/>
          <w:sz w:val="28"/>
          <w:szCs w:val="20"/>
        </w:rPr>
      </w:pPr>
      <w:r>
        <w:rPr>
          <w:rFonts w:ascii="仿宋" w:eastAsia="仿宋" w:hAnsi="仿宋" w:cs="仿宋" w:hint="eastAsia"/>
          <w:b/>
          <w:bCs/>
          <w:sz w:val="28"/>
          <w:szCs w:val="20"/>
          <w:lang w:val="en-US" w:eastAsia="zh-CN"/>
        </w:rPr>
        <w:t>其他</w:t>
      </w:r>
    </w:p>
    <w:p>
      <w:pPr>
        <w:numPr>
          <w:numId w:val="0"/>
        </w:numPr>
        <w:ind w:firstLine="560" w:firstLineChars="200"/>
        <w:rPr>
          <w:rFonts w:ascii="仿宋" w:eastAsia="仿宋" w:hAnsi="仿宋" w:cs="仿宋" w:hint="default"/>
          <w:b/>
          <w:bCs/>
          <w:sz w:val="28"/>
          <w:szCs w:val="20"/>
        </w:rPr>
      </w:pPr>
      <w:r>
        <w:rPr>
          <w:rFonts w:ascii="仿宋" w:eastAsia="仿宋" w:hAnsi="仿宋" w:cs="仿宋" w:hint="eastAsia"/>
          <w:b w:val="0"/>
          <w:bCs w:val="0"/>
          <w:sz w:val="28"/>
          <w:szCs w:val="20"/>
          <w:lang w:val="en-US" w:eastAsia="zh-CN"/>
        </w:rPr>
        <w:t>1.技术性能指标</w:t>
      </w:r>
    </w:p>
    <w:tbl>
      <w:tblPr>
        <w:tblStyle w:val="TableNormal"/>
        <w:tblW w:w="51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74"/>
        <w:gridCol w:w="7290"/>
      </w:tblGrid>
      <w:tr>
        <w:tblPrEx>
          <w:tblW w:w="51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3"/>
          <w:tblHeader/>
          <w:jc w:val="center"/>
        </w:trPr>
        <w:tc>
          <w:tcPr>
            <w:tcW w:w="841" w:type="pct"/>
            <w:vAlign w:val="center"/>
          </w:tcPr>
          <w:p>
            <w:pPr>
              <w:jc w:val="center"/>
              <w:rPr>
                <w:rFonts w:ascii="宋体" w:hAnsi="宋体" w:hint="eastAsia"/>
                <w:szCs w:val="21"/>
                <w:highlight w:val="none"/>
              </w:rPr>
            </w:pPr>
            <w:r>
              <w:rPr>
                <w:rFonts w:ascii="宋体" w:hAnsi="宋体" w:hint="default"/>
                <w:szCs w:val="21"/>
                <w:highlight w:val="none"/>
              </w:rPr>
              <w:t>设备名称</w:t>
            </w:r>
          </w:p>
        </w:tc>
        <w:tc>
          <w:tcPr>
            <w:tcW w:w="4158" w:type="pct"/>
            <w:vAlign w:val="center"/>
          </w:tcPr>
          <w:p>
            <w:pPr>
              <w:jc w:val="center"/>
              <w:rPr>
                <w:rFonts w:ascii="宋体" w:hAnsi="宋体" w:hint="eastAsia"/>
                <w:szCs w:val="21"/>
                <w:highlight w:val="none"/>
              </w:rPr>
            </w:pPr>
            <w:r>
              <w:rPr>
                <w:rFonts w:ascii="宋体" w:hAnsi="宋体" w:hint="default"/>
                <w:szCs w:val="21"/>
                <w:highlight w:val="none"/>
              </w:rPr>
              <w:t>指标参数</w:t>
            </w:r>
          </w:p>
        </w:tc>
      </w:tr>
      <w:tr>
        <w:tblPrEx>
          <w:tblW w:w="5142" w:type="pct"/>
          <w:jc w:val="center"/>
          <w:tblCellMar>
            <w:top w:w="0" w:type="dxa"/>
            <w:left w:w="108" w:type="dxa"/>
            <w:bottom w:w="0" w:type="dxa"/>
            <w:right w:w="108" w:type="dxa"/>
          </w:tblCellMar>
        </w:tblPrEx>
        <w:trPr>
          <w:trHeight w:val="614"/>
          <w:jc w:val="center"/>
        </w:trPr>
        <w:tc>
          <w:tcPr>
            <w:tcW w:w="841" w:type="pct"/>
            <w:vAlign w:val="center"/>
          </w:tcPr>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仿宋" w:eastAsia="仿宋" w:hAnsi="仿宋" w:cs="仿宋" w:hint="eastAsia"/>
                <w:color w:val="000000"/>
                <w:kern w:val="0"/>
              </w:rPr>
            </w:pPr>
          </w:p>
          <w:p>
            <w:pPr>
              <w:widowControl/>
              <w:jc w:val="center"/>
              <w:rPr>
                <w:rFonts w:ascii="宋体" w:hAnsi="宋体" w:hint="eastAsia"/>
                <w:szCs w:val="21"/>
                <w:highlight w:val="none"/>
              </w:rPr>
            </w:pPr>
            <w:r>
              <w:rPr>
                <w:rFonts w:ascii="仿宋" w:eastAsia="仿宋" w:hAnsi="仿宋" w:cs="仿宋" w:hint="eastAsia"/>
                <w:color w:val="000000"/>
                <w:kern w:val="0"/>
                <w:sz w:val="24"/>
              </w:rPr>
              <w:t>温室气体采集、处理、标气单元配套设备（无采样管）</w:t>
            </w:r>
          </w:p>
        </w:tc>
        <w:tc>
          <w:tcPr>
            <w:tcW w:w="4158" w:type="pct"/>
            <w:vAlign w:val="center"/>
          </w:tcPr>
          <w:p>
            <w:pPr>
              <w:rPr>
                <w:rFonts w:ascii="仿宋" w:eastAsia="仿宋" w:hAnsi="仿宋" w:cs="仿宋" w:hint="eastAsia"/>
                <w:b/>
                <w:bCs/>
                <w:highlight w:val="none"/>
              </w:rPr>
            </w:pPr>
            <w:r>
              <w:rPr>
                <w:rFonts w:ascii="仿宋" w:eastAsia="仿宋" w:hAnsi="仿宋" w:cs="仿宋" w:hint="eastAsia"/>
                <w:b/>
                <w:bCs/>
                <w:sz w:val="24"/>
                <w:highlight w:val="none"/>
                <w:lang w:val="en-US" w:eastAsia="zh-CN"/>
              </w:rPr>
              <w:t>A</w:t>
            </w:r>
            <w:r>
              <w:rPr>
                <w:rFonts w:ascii="仿宋" w:eastAsia="仿宋" w:hAnsi="仿宋" w:cs="仿宋" w:hint="eastAsia"/>
                <w:b/>
                <w:bCs/>
                <w:sz w:val="24"/>
                <w:highlight w:val="none"/>
              </w:rPr>
              <w:t>功能</w:t>
            </w:r>
          </w:p>
          <w:p>
            <w:pPr>
              <w:rPr>
                <w:rFonts w:ascii="仿宋" w:eastAsia="仿宋" w:hAnsi="仿宋" w:cs="仿宋"/>
                <w:highlight w:val="none"/>
              </w:rPr>
            </w:pPr>
            <w:r>
              <w:rPr>
                <w:rFonts w:ascii="仿宋" w:eastAsia="仿宋" w:hAnsi="仿宋" w:cs="仿宋" w:hint="eastAsia"/>
                <w:sz w:val="24"/>
                <w:highlight w:val="none"/>
              </w:rPr>
              <w:t>配套光谱吸收法高精度分析仪使用，测量环境大气中的温室气体浓度。</w:t>
            </w:r>
          </w:p>
          <w:p>
            <w:pPr>
              <w:rPr>
                <w:rFonts w:ascii="仿宋" w:eastAsia="仿宋" w:hAnsi="仿宋" w:cs="仿宋" w:hint="eastAsia"/>
                <w:b/>
                <w:bCs/>
                <w:highlight w:val="none"/>
              </w:rPr>
            </w:pPr>
            <w:r>
              <w:rPr>
                <w:rFonts w:ascii="仿宋" w:eastAsia="仿宋" w:hAnsi="仿宋" w:cs="仿宋" w:hint="eastAsia"/>
                <w:b/>
                <w:bCs/>
                <w:sz w:val="24"/>
                <w:highlight w:val="none"/>
                <w:lang w:val="en-US" w:eastAsia="zh-CN"/>
              </w:rPr>
              <w:t>B</w:t>
            </w:r>
            <w:r>
              <w:rPr>
                <w:rFonts w:ascii="仿宋" w:eastAsia="仿宋" w:hAnsi="仿宋" w:cs="仿宋" w:hint="eastAsia"/>
                <w:b/>
                <w:bCs/>
                <w:sz w:val="24"/>
                <w:highlight w:val="none"/>
              </w:rPr>
              <w:t>结构</w:t>
            </w:r>
          </w:p>
          <w:p>
            <w:pPr>
              <w:rPr>
                <w:rFonts w:ascii="仿宋" w:eastAsia="仿宋" w:hAnsi="仿宋" w:cs="仿宋" w:hint="eastAsia"/>
                <w:highlight w:val="none"/>
              </w:rPr>
            </w:pPr>
            <w:r>
              <w:rPr>
                <w:rFonts w:ascii="仿宋" w:eastAsia="仿宋" w:hAnsi="仿宋" w:cs="仿宋" w:hint="eastAsia"/>
                <w:sz w:val="24"/>
                <w:highlight w:val="none"/>
              </w:rPr>
              <w:t>系统由1套样气采集单元、1套样气处理单元、1套标气单元组成。</w:t>
            </w:r>
          </w:p>
          <w:p>
            <w:pPr>
              <w:rPr>
                <w:rFonts w:ascii="仿宋" w:eastAsia="仿宋" w:hAnsi="仿宋" w:cs="仿宋" w:hint="eastAsia"/>
                <w:b/>
                <w:bCs/>
                <w:highlight w:val="none"/>
              </w:rPr>
            </w:pPr>
            <w:r>
              <w:rPr>
                <w:rFonts w:ascii="仿宋" w:eastAsia="仿宋" w:hAnsi="仿宋" w:cs="仿宋" w:hint="eastAsia"/>
                <w:b/>
                <w:bCs/>
                <w:sz w:val="24"/>
                <w:highlight w:val="none"/>
                <w:lang w:val="en-US" w:eastAsia="zh-CN"/>
              </w:rPr>
              <w:t>C</w:t>
            </w:r>
            <w:r>
              <w:rPr>
                <w:rFonts w:ascii="仿宋" w:eastAsia="仿宋" w:hAnsi="仿宋" w:cs="仿宋" w:hint="eastAsia"/>
                <w:b/>
                <w:bCs/>
                <w:sz w:val="24"/>
                <w:highlight w:val="none"/>
              </w:rPr>
              <w:t>布局</w:t>
            </w:r>
          </w:p>
          <w:p>
            <w:pPr>
              <w:rPr>
                <w:rFonts w:ascii="仿宋" w:eastAsia="仿宋" w:hAnsi="仿宋" w:cs="仿宋" w:hint="eastAsia"/>
                <w:highlight w:val="none"/>
              </w:rPr>
            </w:pPr>
            <w:r>
              <w:rPr>
                <w:rFonts w:ascii="仿宋" w:eastAsia="仿宋" w:hAnsi="仿宋" w:cs="仿宋" w:hint="eastAsia"/>
                <w:sz w:val="24"/>
                <w:highlight w:val="none"/>
              </w:rPr>
              <w:t>选择当地有一定海拔高度、代表不同地球系统圈层下垫面特征性的站点。</w:t>
            </w:r>
          </w:p>
          <w:p>
            <w:pPr>
              <w:rPr>
                <w:rFonts w:ascii="仿宋" w:eastAsia="仿宋" w:hAnsi="仿宋" w:cs="仿宋" w:hint="eastAsia"/>
                <w:b/>
                <w:bCs/>
                <w:highlight w:val="none"/>
              </w:rPr>
            </w:pPr>
            <w:r>
              <w:rPr>
                <w:rFonts w:ascii="仿宋" w:eastAsia="仿宋" w:hAnsi="仿宋" w:cs="仿宋" w:hint="eastAsia"/>
                <w:b/>
                <w:bCs/>
                <w:sz w:val="24"/>
                <w:highlight w:val="none"/>
                <w:lang w:val="en-US" w:eastAsia="zh-CN"/>
              </w:rPr>
              <w:t>D</w:t>
            </w:r>
            <w:r>
              <w:rPr>
                <w:rFonts w:ascii="仿宋" w:eastAsia="仿宋" w:hAnsi="仿宋" w:cs="仿宋" w:hint="eastAsia"/>
                <w:b/>
                <w:bCs/>
                <w:sz w:val="24"/>
                <w:highlight w:val="none"/>
              </w:rPr>
              <w:t>信息流程</w:t>
            </w:r>
          </w:p>
          <w:p>
            <w:pPr>
              <w:rPr>
                <w:rFonts w:ascii="仿宋" w:eastAsia="仿宋" w:hAnsi="仿宋" w:cs="仿宋" w:hint="eastAsia"/>
                <w:highlight w:val="none"/>
              </w:rPr>
            </w:pPr>
            <w:r>
              <w:rPr>
                <w:rFonts w:ascii="仿宋" w:eastAsia="仿宋" w:hAnsi="仿宋" w:cs="仿宋" w:hint="eastAsia"/>
                <w:sz w:val="24"/>
                <w:highlight w:val="none"/>
              </w:rPr>
              <w:t>配套光谱吸收法大气二氧化碳/甲烷高精度分析仪使用时，台站级集成及资料处理分析系统采集各观测系统数据，通过气象局专网（内网）传输至省级信息中心-国家级信息中心，最后推送至业务管理部门。</w:t>
            </w:r>
          </w:p>
          <w:p>
            <w:pPr>
              <w:rPr>
                <w:rFonts w:ascii="仿宋" w:eastAsia="仿宋" w:hAnsi="仿宋" w:cs="仿宋" w:hint="eastAsia"/>
                <w:b/>
                <w:bCs/>
                <w:highlight w:val="none"/>
              </w:rPr>
            </w:pPr>
            <w:r>
              <w:rPr>
                <w:rFonts w:ascii="仿宋" w:eastAsia="仿宋" w:hAnsi="仿宋" w:cs="仿宋" w:hint="eastAsia"/>
                <w:b/>
                <w:bCs/>
                <w:sz w:val="24"/>
                <w:highlight w:val="none"/>
                <w:lang w:val="en-US" w:eastAsia="zh-CN"/>
              </w:rPr>
              <w:t>E</w:t>
            </w:r>
            <w:r>
              <w:rPr>
                <w:rFonts w:ascii="仿宋" w:eastAsia="仿宋" w:hAnsi="仿宋" w:cs="仿宋" w:hint="eastAsia"/>
                <w:b/>
                <w:bCs/>
                <w:sz w:val="24"/>
                <w:highlight w:val="none"/>
              </w:rPr>
              <w:t>设备（含软件）配置</w:t>
            </w:r>
          </w:p>
          <w:p>
            <w:pPr>
              <w:rPr>
                <w:rFonts w:ascii="仿宋" w:eastAsia="仿宋" w:hAnsi="仿宋" w:cs="仿宋" w:hint="eastAsia"/>
                <w:highlight w:val="none"/>
              </w:rPr>
            </w:pPr>
            <w:r>
              <w:rPr>
                <w:rFonts w:ascii="仿宋" w:eastAsia="仿宋" w:hAnsi="仿宋" w:cs="仿宋" w:hint="eastAsia"/>
                <w:sz w:val="24"/>
                <w:highlight w:val="none"/>
                <w:lang w:val="en-US" w:eastAsia="zh-CN"/>
              </w:rPr>
              <w:t>a</w:t>
            </w:r>
            <w:r>
              <w:rPr>
                <w:rFonts w:ascii="仿宋" w:eastAsia="仿宋" w:hAnsi="仿宋" w:cs="仿宋" w:hint="eastAsia"/>
                <w:sz w:val="24"/>
                <w:highlight w:val="none"/>
              </w:rPr>
              <w:t>配置清单</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5"/>
              <w:gridCol w:w="3468"/>
              <w:gridCol w:w="1296"/>
              <w:gridCol w:w="1595"/>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tblHeader/>
              </w:trPr>
              <w:tc>
                <w:tcPr>
                  <w:tcW w:w="499"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rPr>
                    <w:t>序号</w:t>
                  </w:r>
                </w:p>
              </w:tc>
              <w:tc>
                <w:tcPr>
                  <w:tcW w:w="2455"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rPr>
                    <w:t>名称</w:t>
                  </w:r>
                </w:p>
              </w:tc>
              <w:tc>
                <w:tcPr>
                  <w:tcW w:w="917"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rPr>
                    <w:t>数量</w:t>
                  </w:r>
                </w:p>
              </w:tc>
              <w:tc>
                <w:tcPr>
                  <w:tcW w:w="1128"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rPr>
                    <w:t>备注</w:t>
                  </w:r>
                </w:p>
              </w:tc>
            </w:tr>
            <w:tr>
              <w:tblPrEx>
                <w:tblW w:w="5000" w:type="pct"/>
                <w:tblInd w:w="0" w:type="dxa"/>
                <w:tblCellMar>
                  <w:top w:w="0" w:type="dxa"/>
                  <w:left w:w="108" w:type="dxa"/>
                  <w:bottom w:w="0" w:type="dxa"/>
                  <w:right w:w="108" w:type="dxa"/>
                </w:tblCellMar>
              </w:tblPrEx>
              <w:trPr>
                <w:trHeight w:val="20"/>
              </w:trPr>
              <w:tc>
                <w:tcPr>
                  <w:tcW w:w="5000" w:type="pct"/>
                  <w:gridSpan w:val="4"/>
                  <w:noWrap w:val="0"/>
                  <w:vAlign w:val="center"/>
                </w:tcPr>
                <w:p>
                  <w:pPr>
                    <w:rPr>
                      <w:rFonts w:ascii="仿宋" w:eastAsia="仿宋" w:hAnsi="仿宋" w:cs="仿宋" w:hint="eastAsia"/>
                      <w:highlight w:val="none"/>
                    </w:rPr>
                  </w:pPr>
                  <w:r>
                    <w:rPr>
                      <w:rFonts w:ascii="仿宋" w:eastAsia="仿宋" w:hAnsi="仿宋" w:cs="仿宋" w:hint="eastAsia"/>
                      <w:sz w:val="24"/>
                      <w:highlight w:val="none"/>
                    </w:rPr>
                    <w:t>样气采集单元</w:t>
                  </w:r>
                </w:p>
              </w:tc>
            </w:tr>
            <w:tr>
              <w:tblPrEx>
                <w:tblW w:w="5000" w:type="pct"/>
                <w:tblInd w:w="0" w:type="dxa"/>
                <w:tblCellMar>
                  <w:top w:w="0" w:type="dxa"/>
                  <w:left w:w="108" w:type="dxa"/>
                  <w:bottom w:w="0" w:type="dxa"/>
                  <w:right w:w="108" w:type="dxa"/>
                </w:tblCellMar>
              </w:tblPrEx>
              <w:trPr>
                <w:trHeight w:val="20"/>
              </w:trPr>
              <w:tc>
                <w:tcPr>
                  <w:tcW w:w="499"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lang w:val="en-US" w:eastAsia="zh-CN"/>
                    </w:rPr>
                    <w:t>1</w:t>
                  </w:r>
                </w:p>
              </w:tc>
              <w:tc>
                <w:tcPr>
                  <w:tcW w:w="2455"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采样口过滤器</w:t>
                  </w:r>
                </w:p>
              </w:tc>
              <w:tc>
                <w:tcPr>
                  <w:tcW w:w="917"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1个</w:t>
                  </w:r>
                </w:p>
              </w:tc>
              <w:tc>
                <w:tcPr>
                  <w:tcW w:w="1128" w:type="pct"/>
                  <w:noWrap w:val="0"/>
                  <w:vAlign w:val="center"/>
                </w:tcPr>
                <w:p>
                  <w:pPr>
                    <w:rPr>
                      <w:rFonts w:ascii="仿宋" w:eastAsia="仿宋" w:hAnsi="仿宋" w:cs="仿宋" w:hint="eastAsia"/>
                      <w:highlight w:val="none"/>
                    </w:rPr>
                  </w:pPr>
                </w:p>
              </w:tc>
            </w:tr>
            <w:tr>
              <w:tblPrEx>
                <w:tblW w:w="5000" w:type="pct"/>
                <w:tblInd w:w="0" w:type="dxa"/>
                <w:tblCellMar>
                  <w:top w:w="0" w:type="dxa"/>
                  <w:left w:w="108" w:type="dxa"/>
                  <w:bottom w:w="0" w:type="dxa"/>
                  <w:right w:w="108" w:type="dxa"/>
                </w:tblCellMar>
              </w:tblPrEx>
              <w:trPr>
                <w:trHeight w:val="20"/>
              </w:trPr>
              <w:tc>
                <w:tcPr>
                  <w:tcW w:w="499"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lang w:val="en-US" w:eastAsia="zh-CN"/>
                    </w:rPr>
                    <w:t>2</w:t>
                  </w:r>
                </w:p>
              </w:tc>
              <w:tc>
                <w:tcPr>
                  <w:tcW w:w="2455"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采样泵</w:t>
                  </w:r>
                </w:p>
              </w:tc>
              <w:tc>
                <w:tcPr>
                  <w:tcW w:w="917"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1个</w:t>
                  </w:r>
                </w:p>
              </w:tc>
              <w:tc>
                <w:tcPr>
                  <w:tcW w:w="1128" w:type="pct"/>
                  <w:noWrap w:val="0"/>
                  <w:vAlign w:val="center"/>
                </w:tcPr>
                <w:p>
                  <w:pPr>
                    <w:rPr>
                      <w:rFonts w:ascii="仿宋" w:eastAsia="仿宋" w:hAnsi="仿宋" w:cs="仿宋" w:hint="eastAsia"/>
                      <w:highlight w:val="none"/>
                    </w:rPr>
                  </w:pPr>
                </w:p>
              </w:tc>
            </w:tr>
            <w:tr>
              <w:tblPrEx>
                <w:tblW w:w="5000" w:type="pct"/>
                <w:tblInd w:w="0" w:type="dxa"/>
                <w:tblCellMar>
                  <w:top w:w="0" w:type="dxa"/>
                  <w:left w:w="108" w:type="dxa"/>
                  <w:bottom w:w="0" w:type="dxa"/>
                  <w:right w:w="108" w:type="dxa"/>
                </w:tblCellMar>
              </w:tblPrEx>
              <w:trPr>
                <w:trHeight w:val="20"/>
              </w:trPr>
              <w:tc>
                <w:tcPr>
                  <w:tcW w:w="499"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lang w:val="en-US" w:eastAsia="zh-CN"/>
                    </w:rPr>
                    <w:t>3</w:t>
                  </w:r>
                </w:p>
              </w:tc>
              <w:tc>
                <w:tcPr>
                  <w:tcW w:w="2455"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采样泵过滤器</w:t>
                  </w:r>
                </w:p>
              </w:tc>
              <w:tc>
                <w:tcPr>
                  <w:tcW w:w="917"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1个</w:t>
                  </w:r>
                </w:p>
              </w:tc>
              <w:tc>
                <w:tcPr>
                  <w:tcW w:w="1128" w:type="pct"/>
                  <w:noWrap w:val="0"/>
                  <w:vAlign w:val="center"/>
                </w:tcPr>
                <w:p>
                  <w:pPr>
                    <w:rPr>
                      <w:rFonts w:ascii="仿宋" w:eastAsia="仿宋" w:hAnsi="仿宋" w:cs="仿宋" w:hint="eastAsia"/>
                      <w:highlight w:val="none"/>
                    </w:rPr>
                  </w:pPr>
                </w:p>
              </w:tc>
            </w:tr>
            <w:tr>
              <w:tblPrEx>
                <w:tblW w:w="5000" w:type="pct"/>
                <w:tblInd w:w="0" w:type="dxa"/>
                <w:tblCellMar>
                  <w:top w:w="0" w:type="dxa"/>
                  <w:left w:w="108" w:type="dxa"/>
                  <w:bottom w:w="0" w:type="dxa"/>
                  <w:right w:w="108" w:type="dxa"/>
                </w:tblCellMar>
              </w:tblPrEx>
              <w:trPr>
                <w:trHeight w:val="20"/>
              </w:trPr>
              <w:tc>
                <w:tcPr>
                  <w:tcW w:w="499"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lang w:val="en-US" w:eastAsia="zh-CN"/>
                    </w:rPr>
                    <w:t>4</w:t>
                  </w:r>
                </w:p>
              </w:tc>
              <w:tc>
                <w:tcPr>
                  <w:tcW w:w="2455"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室内管路及接头</w:t>
                  </w:r>
                </w:p>
              </w:tc>
              <w:tc>
                <w:tcPr>
                  <w:tcW w:w="917"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1套</w:t>
                  </w:r>
                </w:p>
              </w:tc>
              <w:tc>
                <w:tcPr>
                  <w:tcW w:w="1128" w:type="pct"/>
                  <w:noWrap w:val="0"/>
                  <w:vAlign w:val="center"/>
                </w:tcPr>
                <w:p>
                  <w:pPr>
                    <w:rPr>
                      <w:rFonts w:ascii="仿宋" w:eastAsia="仿宋" w:hAnsi="仿宋" w:cs="仿宋" w:hint="eastAsia"/>
                      <w:highlight w:val="none"/>
                    </w:rPr>
                  </w:pPr>
                </w:p>
              </w:tc>
            </w:tr>
            <w:tr>
              <w:tblPrEx>
                <w:tblW w:w="5000" w:type="pct"/>
                <w:tblInd w:w="0" w:type="dxa"/>
                <w:tblCellMar>
                  <w:top w:w="0" w:type="dxa"/>
                  <w:left w:w="108" w:type="dxa"/>
                  <w:bottom w:w="0" w:type="dxa"/>
                  <w:right w:w="108" w:type="dxa"/>
                </w:tblCellMar>
              </w:tblPrEx>
              <w:trPr>
                <w:trHeight w:val="20"/>
              </w:trPr>
              <w:tc>
                <w:tcPr>
                  <w:tcW w:w="5000" w:type="pct"/>
                  <w:gridSpan w:val="4"/>
                  <w:noWrap w:val="0"/>
                  <w:vAlign w:val="center"/>
                </w:tcPr>
                <w:p>
                  <w:pPr>
                    <w:rPr>
                      <w:rFonts w:ascii="仿宋" w:eastAsia="仿宋" w:hAnsi="仿宋" w:cs="仿宋" w:hint="eastAsia"/>
                      <w:highlight w:val="none"/>
                    </w:rPr>
                  </w:pPr>
                  <w:r>
                    <w:rPr>
                      <w:rFonts w:ascii="仿宋" w:eastAsia="仿宋" w:hAnsi="仿宋" w:cs="仿宋" w:hint="eastAsia"/>
                      <w:sz w:val="24"/>
                      <w:highlight w:val="none"/>
                    </w:rPr>
                    <w:t>样气处理单元</w:t>
                  </w:r>
                </w:p>
              </w:tc>
            </w:tr>
            <w:tr>
              <w:tblPrEx>
                <w:tblW w:w="5000" w:type="pct"/>
                <w:tblInd w:w="0" w:type="dxa"/>
                <w:tblCellMar>
                  <w:top w:w="0" w:type="dxa"/>
                  <w:left w:w="108" w:type="dxa"/>
                  <w:bottom w:w="0" w:type="dxa"/>
                  <w:right w:w="108" w:type="dxa"/>
                </w:tblCellMar>
              </w:tblPrEx>
              <w:trPr>
                <w:trHeight w:val="20"/>
              </w:trPr>
              <w:tc>
                <w:tcPr>
                  <w:tcW w:w="499"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lang w:val="en-US" w:eastAsia="zh-CN"/>
                    </w:rPr>
                    <w:t>5</w:t>
                  </w:r>
                </w:p>
              </w:tc>
              <w:tc>
                <w:tcPr>
                  <w:tcW w:w="2455"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渗透膜除水系统</w:t>
                  </w:r>
                </w:p>
              </w:tc>
              <w:tc>
                <w:tcPr>
                  <w:tcW w:w="917"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1套</w:t>
                  </w:r>
                </w:p>
              </w:tc>
              <w:tc>
                <w:tcPr>
                  <w:tcW w:w="1128" w:type="pct"/>
                  <w:noWrap w:val="0"/>
                  <w:vAlign w:val="center"/>
                </w:tcPr>
                <w:p>
                  <w:pPr>
                    <w:rPr>
                      <w:rFonts w:ascii="仿宋" w:eastAsia="仿宋" w:hAnsi="仿宋" w:cs="仿宋" w:hint="eastAsia"/>
                      <w:highlight w:val="none"/>
                    </w:rPr>
                  </w:pPr>
                </w:p>
              </w:tc>
            </w:tr>
            <w:tr>
              <w:tblPrEx>
                <w:tblW w:w="5000" w:type="pct"/>
                <w:tblInd w:w="0" w:type="dxa"/>
                <w:tblCellMar>
                  <w:top w:w="0" w:type="dxa"/>
                  <w:left w:w="108" w:type="dxa"/>
                  <w:bottom w:w="0" w:type="dxa"/>
                  <w:right w:w="108" w:type="dxa"/>
                </w:tblCellMar>
              </w:tblPrEx>
              <w:trPr>
                <w:trHeight w:val="20"/>
              </w:trPr>
              <w:tc>
                <w:tcPr>
                  <w:tcW w:w="5000" w:type="pct"/>
                  <w:gridSpan w:val="4"/>
                  <w:noWrap w:val="0"/>
                  <w:vAlign w:val="center"/>
                </w:tcPr>
                <w:p>
                  <w:pPr>
                    <w:rPr>
                      <w:rFonts w:ascii="仿宋" w:eastAsia="仿宋" w:hAnsi="仿宋" w:cs="仿宋" w:hint="eastAsia"/>
                      <w:highlight w:val="none"/>
                    </w:rPr>
                  </w:pPr>
                  <w:r>
                    <w:rPr>
                      <w:rFonts w:ascii="仿宋" w:eastAsia="仿宋" w:hAnsi="仿宋" w:cs="仿宋" w:hint="eastAsia"/>
                      <w:sz w:val="24"/>
                      <w:highlight w:val="none"/>
                    </w:rPr>
                    <w:t>标气单元</w:t>
                  </w:r>
                </w:p>
              </w:tc>
            </w:tr>
            <w:tr>
              <w:tblPrEx>
                <w:tblW w:w="5000" w:type="pct"/>
                <w:tblInd w:w="0" w:type="dxa"/>
                <w:tblCellMar>
                  <w:top w:w="0" w:type="dxa"/>
                  <w:left w:w="108" w:type="dxa"/>
                  <w:bottom w:w="0" w:type="dxa"/>
                  <w:right w:w="108" w:type="dxa"/>
                </w:tblCellMar>
              </w:tblPrEx>
              <w:trPr>
                <w:trHeight w:val="20"/>
              </w:trPr>
              <w:tc>
                <w:tcPr>
                  <w:tcW w:w="499"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lang w:val="en-US" w:eastAsia="zh-CN"/>
                    </w:rPr>
                    <w:t>6</w:t>
                  </w:r>
                </w:p>
              </w:tc>
              <w:tc>
                <w:tcPr>
                  <w:tcW w:w="2455"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标气（含气瓶）</w:t>
                  </w:r>
                </w:p>
              </w:tc>
              <w:tc>
                <w:tcPr>
                  <w:tcW w:w="917"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2套</w:t>
                  </w:r>
                </w:p>
              </w:tc>
              <w:tc>
                <w:tcPr>
                  <w:tcW w:w="1128" w:type="pct"/>
                  <w:noWrap w:val="0"/>
                  <w:vAlign w:val="center"/>
                </w:tcPr>
                <w:p>
                  <w:pPr>
                    <w:rPr>
                      <w:rFonts w:ascii="仿宋" w:eastAsia="仿宋" w:hAnsi="仿宋" w:cs="仿宋" w:hint="eastAsia"/>
                      <w:highlight w:val="none"/>
                    </w:rPr>
                  </w:pPr>
                </w:p>
              </w:tc>
            </w:tr>
            <w:tr>
              <w:tblPrEx>
                <w:tblW w:w="5000" w:type="pct"/>
                <w:tblInd w:w="0" w:type="dxa"/>
                <w:tblCellMar>
                  <w:top w:w="0" w:type="dxa"/>
                  <w:left w:w="108" w:type="dxa"/>
                  <w:bottom w:w="0" w:type="dxa"/>
                  <w:right w:w="108" w:type="dxa"/>
                </w:tblCellMar>
              </w:tblPrEx>
              <w:trPr>
                <w:trHeight w:val="20"/>
              </w:trPr>
              <w:tc>
                <w:tcPr>
                  <w:tcW w:w="499" w:type="pct"/>
                  <w:noWrap w:val="0"/>
                  <w:vAlign w:val="center"/>
                </w:tcPr>
                <w:p>
                  <w:pPr>
                    <w:rPr>
                      <w:rFonts w:ascii="仿宋" w:eastAsia="仿宋" w:hAnsi="仿宋" w:cs="仿宋" w:hint="eastAsia"/>
                      <w:highlight w:val="none"/>
                    </w:rPr>
                  </w:pPr>
                  <w:r>
                    <w:rPr>
                      <w:rFonts w:ascii="仿宋" w:eastAsia="仿宋" w:hAnsi="仿宋" w:cs="仿宋" w:hint="eastAsia"/>
                      <w:sz w:val="24"/>
                      <w:highlight w:val="none"/>
                      <w:lang w:val="en-US" w:eastAsia="zh-CN"/>
                    </w:rPr>
                    <w:t>7</w:t>
                  </w:r>
                </w:p>
              </w:tc>
              <w:tc>
                <w:tcPr>
                  <w:tcW w:w="2455"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减压阀</w:t>
                  </w:r>
                </w:p>
              </w:tc>
              <w:tc>
                <w:tcPr>
                  <w:tcW w:w="917" w:type="pct"/>
                  <w:noWrap w:val="0"/>
                  <w:vAlign w:val="top"/>
                </w:tcPr>
                <w:p>
                  <w:pPr>
                    <w:rPr>
                      <w:rFonts w:ascii="仿宋" w:eastAsia="仿宋" w:hAnsi="仿宋" w:cs="仿宋" w:hint="eastAsia"/>
                      <w:highlight w:val="none"/>
                    </w:rPr>
                  </w:pPr>
                  <w:r>
                    <w:rPr>
                      <w:rFonts w:ascii="仿宋" w:eastAsia="仿宋" w:hAnsi="仿宋" w:cs="仿宋" w:hint="eastAsia"/>
                      <w:sz w:val="24"/>
                      <w:highlight w:val="none"/>
                    </w:rPr>
                    <w:t>2套</w:t>
                  </w:r>
                </w:p>
              </w:tc>
              <w:tc>
                <w:tcPr>
                  <w:tcW w:w="1128" w:type="pct"/>
                  <w:noWrap w:val="0"/>
                  <w:vAlign w:val="center"/>
                </w:tcPr>
                <w:p>
                  <w:pPr>
                    <w:rPr>
                      <w:rFonts w:ascii="仿宋" w:eastAsia="仿宋" w:hAnsi="仿宋" w:cs="仿宋" w:hint="eastAsia"/>
                      <w:highlight w:val="none"/>
                    </w:rPr>
                  </w:pPr>
                </w:p>
              </w:tc>
            </w:tr>
          </w:tbl>
          <w:p>
            <w:pPr>
              <w:rPr>
                <w:rFonts w:ascii="仿宋" w:eastAsia="仿宋" w:hAnsi="仿宋" w:cs="仿宋" w:hint="eastAsia"/>
                <w:highlight w:val="none"/>
              </w:rPr>
            </w:pPr>
            <w:r>
              <w:rPr>
                <w:rFonts w:ascii="仿宋" w:eastAsia="仿宋" w:hAnsi="仿宋" w:cs="仿宋" w:hint="eastAsia"/>
                <w:sz w:val="24"/>
                <w:highlight w:val="none"/>
                <w:lang w:val="en-US" w:eastAsia="zh-CN"/>
              </w:rPr>
              <w:t>b</w:t>
            </w:r>
            <w:r>
              <w:rPr>
                <w:rFonts w:ascii="仿宋" w:eastAsia="仿宋" w:hAnsi="仿宋" w:cs="仿宋" w:hint="eastAsia"/>
                <w:sz w:val="24"/>
                <w:highlight w:val="none"/>
              </w:rPr>
              <w:t>主要技术性能要求</w:t>
            </w:r>
          </w:p>
          <w:p>
            <w:pPr>
              <w:rPr>
                <w:rFonts w:ascii="仿宋" w:eastAsia="仿宋" w:hAnsi="仿宋" w:cs="仿宋" w:hint="eastAsia"/>
                <w:highlight w:val="none"/>
              </w:rPr>
            </w:pPr>
            <w:r>
              <w:rPr>
                <w:rFonts w:ascii="仿宋" w:eastAsia="仿宋" w:hAnsi="仿宋" w:cs="仿宋" w:hint="eastAsia"/>
                <w:sz w:val="24"/>
                <w:highlight w:val="none"/>
                <w:lang w:val="en-US" w:eastAsia="zh-CN"/>
              </w:rPr>
              <w:t>a)</w:t>
            </w:r>
            <w:r>
              <w:rPr>
                <w:rFonts w:ascii="仿宋" w:eastAsia="仿宋" w:hAnsi="仿宋" w:cs="仿宋" w:hint="eastAsia"/>
                <w:sz w:val="24"/>
                <w:highlight w:val="none"/>
              </w:rPr>
              <w:t>样气采集单元</w:t>
            </w:r>
          </w:p>
          <w:p>
            <w:pPr>
              <w:rPr>
                <w:rFonts w:ascii="仿宋" w:eastAsia="仿宋" w:hAnsi="仿宋" w:cs="仿宋" w:hint="eastAsia"/>
                <w:highlight w:val="none"/>
              </w:rPr>
            </w:pPr>
            <w:r>
              <w:rPr>
                <w:rFonts w:ascii="仿宋" w:eastAsia="仿宋" w:hAnsi="仿宋" w:cs="仿宋" w:hint="eastAsia"/>
                <w:sz w:val="24"/>
                <w:highlight w:val="none"/>
              </w:rPr>
              <w:t>采样口过滤器：≤</w:t>
            </w:r>
            <w:r>
              <w:rPr>
                <w:rFonts w:ascii="仿宋" w:eastAsia="仿宋" w:hAnsi="仿宋" w:cs="仿宋"/>
                <w:sz w:val="24"/>
                <w:highlight w:val="none"/>
              </w:rPr>
              <w:t>10μm孔径囊式过滤器</w:t>
            </w:r>
          </w:p>
          <w:p>
            <w:pPr>
              <w:rPr>
                <w:rFonts w:ascii="仿宋" w:eastAsia="仿宋" w:hAnsi="仿宋" w:cs="仿宋" w:hint="eastAsia"/>
                <w:highlight w:val="none"/>
              </w:rPr>
            </w:pPr>
            <w:r>
              <w:rPr>
                <w:rFonts w:ascii="仿宋" w:eastAsia="仿宋" w:hAnsi="仿宋" w:cs="仿宋" w:hint="eastAsia"/>
                <w:sz w:val="24"/>
                <w:highlight w:val="none"/>
              </w:rPr>
              <w:t>采样泵流量：≥</w:t>
            </w:r>
            <w:r>
              <w:rPr>
                <w:rFonts w:ascii="仿宋" w:eastAsia="仿宋" w:hAnsi="仿宋" w:cs="仿宋"/>
                <w:sz w:val="24"/>
                <w:highlight w:val="none"/>
              </w:rPr>
              <w:t>10</w:t>
            </w:r>
            <w:r>
              <w:rPr>
                <w:rFonts w:ascii="仿宋" w:eastAsia="仿宋" w:hAnsi="仿宋" w:cs="仿宋" w:hint="eastAsia"/>
                <w:sz w:val="24"/>
                <w:highlight w:val="none"/>
              </w:rPr>
              <w:t>L</w:t>
            </w:r>
            <w:r>
              <w:rPr>
                <w:rFonts w:ascii="仿宋" w:eastAsia="仿宋" w:hAnsi="仿宋" w:cs="仿宋"/>
                <w:sz w:val="24"/>
                <w:highlight w:val="none"/>
              </w:rPr>
              <w:t>/min，</w:t>
            </w:r>
            <w:r>
              <w:rPr>
                <w:rFonts w:ascii="仿宋" w:eastAsia="仿宋" w:hAnsi="仿宋" w:cs="仿宋" w:hint="eastAsia"/>
                <w:sz w:val="24"/>
                <w:highlight w:val="none"/>
              </w:rPr>
              <w:t>泄露率低于0.6*10-3 mbar l/s</w:t>
            </w:r>
          </w:p>
          <w:p>
            <w:pPr>
              <w:rPr>
                <w:rFonts w:ascii="仿宋" w:eastAsia="仿宋" w:hAnsi="仿宋" w:cs="仿宋" w:hint="eastAsia"/>
                <w:highlight w:val="none"/>
              </w:rPr>
            </w:pPr>
            <w:r>
              <w:rPr>
                <w:rFonts w:ascii="仿宋" w:eastAsia="仿宋" w:hAnsi="仿宋" w:cs="仿宋" w:hint="eastAsia"/>
                <w:sz w:val="24"/>
                <w:highlight w:val="none"/>
              </w:rPr>
              <w:t>采样泵过滤器：</w:t>
            </w:r>
            <w:r>
              <w:rPr>
                <w:rFonts w:ascii="仿宋" w:eastAsia="仿宋" w:hAnsi="仿宋" w:cs="仿宋"/>
                <w:sz w:val="24"/>
                <w:highlight w:val="none"/>
              </w:rPr>
              <w:t>7μm</w:t>
            </w:r>
            <w:r>
              <w:rPr>
                <w:rFonts w:ascii="仿宋" w:eastAsia="仿宋" w:hAnsi="仿宋" w:cs="仿宋" w:hint="eastAsia"/>
                <w:sz w:val="24"/>
                <w:highlight w:val="none"/>
              </w:rPr>
              <w:t>不锈钢</w:t>
            </w:r>
            <w:r>
              <w:rPr>
                <w:rFonts w:ascii="仿宋" w:eastAsia="仿宋" w:hAnsi="仿宋" w:cs="仿宋"/>
                <w:sz w:val="24"/>
                <w:highlight w:val="none"/>
              </w:rPr>
              <w:t>过滤器</w:t>
            </w:r>
          </w:p>
          <w:p>
            <w:pPr>
              <w:rPr>
                <w:rFonts w:ascii="仿宋" w:eastAsia="仿宋" w:hAnsi="仿宋" w:cs="仿宋" w:hint="eastAsia"/>
                <w:highlight w:val="none"/>
              </w:rPr>
            </w:pPr>
            <w:r>
              <w:rPr>
                <w:rFonts w:ascii="仿宋" w:eastAsia="仿宋" w:hAnsi="仿宋" w:cs="仿宋" w:hint="eastAsia"/>
                <w:sz w:val="24"/>
                <w:highlight w:val="none"/>
                <w:lang w:val="en-US" w:eastAsia="zh-CN"/>
              </w:rPr>
              <w:t>b)</w:t>
            </w:r>
            <w:r>
              <w:rPr>
                <w:rFonts w:ascii="仿宋" w:eastAsia="仿宋" w:hAnsi="仿宋" w:cs="仿宋" w:hint="eastAsia"/>
                <w:sz w:val="24"/>
                <w:highlight w:val="none"/>
              </w:rPr>
              <w:t>样气处理单元</w:t>
            </w:r>
          </w:p>
          <w:p>
            <w:pPr>
              <w:rPr>
                <w:rFonts w:ascii="仿宋" w:eastAsia="仿宋" w:hAnsi="仿宋" w:cs="仿宋" w:hint="eastAsia"/>
                <w:highlight w:val="none"/>
              </w:rPr>
            </w:pPr>
            <w:r>
              <w:rPr>
                <w:rFonts w:ascii="仿宋" w:eastAsia="仿宋" w:hAnsi="仿宋" w:cs="仿宋" w:hint="eastAsia"/>
                <w:sz w:val="24"/>
                <w:highlight w:val="none"/>
              </w:rPr>
              <w:t>整体样气处理单元要通过标准气测量：使用标准气验证除水模块引入的测量偏差</w:t>
            </w:r>
            <w:r>
              <w:rPr>
                <w:rFonts w:ascii="仿宋" w:eastAsia="仿宋" w:hAnsi="仿宋" w:cs="仿宋" w:hint="eastAsia"/>
                <w:sz w:val="24"/>
                <w:highlight w:val="none"/>
              </w:rPr>
              <w:t>。</w:t>
            </w:r>
          </w:p>
          <w:p>
            <w:pPr>
              <w:rPr>
                <w:rFonts w:ascii="仿宋" w:eastAsia="仿宋" w:hAnsi="仿宋" w:cs="仿宋" w:hint="eastAsia"/>
                <w:highlight w:val="none"/>
              </w:rPr>
            </w:pPr>
            <w:r>
              <w:rPr>
                <w:rFonts w:ascii="仿宋" w:eastAsia="仿宋" w:hAnsi="仿宋" w:cs="仿宋" w:hint="eastAsia"/>
                <w:sz w:val="24"/>
                <w:highlight w:val="none"/>
              </w:rPr>
              <w:t>渗透膜除水系统压力控制范围：0～1</w:t>
            </w:r>
            <w:r>
              <w:rPr>
                <w:rFonts w:ascii="仿宋" w:eastAsia="仿宋" w:hAnsi="仿宋" w:cs="仿宋"/>
                <w:sz w:val="24"/>
                <w:highlight w:val="none"/>
              </w:rPr>
              <w:t>00psi</w:t>
            </w:r>
            <w:r>
              <w:rPr>
                <w:rFonts w:ascii="仿宋" w:eastAsia="仿宋" w:hAnsi="仿宋" w:cs="仿宋" w:hint="eastAsia"/>
                <w:sz w:val="24"/>
                <w:highlight w:val="none"/>
              </w:rPr>
              <w:t>，需使用有装备许可的设备，且要保证标气气路也通过统一型号的渗透膜除水，确保标气和样气的水汽含量一致，且水汽含量应满足中国气象局高精度温室气体观测业务要求。</w:t>
            </w:r>
          </w:p>
          <w:p>
            <w:pPr>
              <w:rPr>
                <w:rFonts w:ascii="仿宋" w:eastAsia="仿宋" w:hAnsi="仿宋" w:cs="仿宋" w:hint="eastAsia"/>
                <w:highlight w:val="none"/>
              </w:rPr>
            </w:pPr>
            <w:r>
              <w:rPr>
                <w:rFonts w:ascii="仿宋" w:eastAsia="仿宋" w:hAnsi="仿宋" w:cs="仿宋" w:hint="eastAsia"/>
                <w:sz w:val="24"/>
                <w:highlight w:val="none"/>
                <w:lang w:val="en-US" w:eastAsia="zh-CN"/>
              </w:rPr>
              <w:t>c)</w:t>
            </w:r>
            <w:r>
              <w:rPr>
                <w:rFonts w:ascii="仿宋" w:eastAsia="仿宋" w:hAnsi="仿宋" w:cs="仿宋" w:hint="eastAsia"/>
                <w:sz w:val="24"/>
                <w:highlight w:val="none"/>
              </w:rPr>
              <w:t>标气单元</w:t>
            </w:r>
          </w:p>
          <w:p>
            <w:pPr>
              <w:rPr>
                <w:rFonts w:ascii="仿宋" w:eastAsia="仿宋" w:hAnsi="仿宋" w:cs="仿宋" w:hint="eastAsia"/>
                <w:highlight w:val="none"/>
              </w:rPr>
            </w:pPr>
            <w:r>
              <w:rPr>
                <w:rFonts w:ascii="仿宋" w:eastAsia="仿宋" w:hAnsi="仿宋" w:cs="仿宋" w:hint="eastAsia"/>
                <w:sz w:val="24"/>
                <w:highlight w:val="none"/>
              </w:rPr>
              <w:t>气瓶：≥2</w:t>
            </w:r>
            <w:r>
              <w:rPr>
                <w:rFonts w:ascii="仿宋" w:eastAsia="仿宋" w:hAnsi="仿宋" w:cs="仿宋"/>
                <w:sz w:val="24"/>
                <w:highlight w:val="none"/>
              </w:rPr>
              <w:t>9</w:t>
            </w:r>
            <w:r>
              <w:rPr>
                <w:rFonts w:ascii="仿宋" w:eastAsia="仿宋" w:hAnsi="仿宋" w:cs="仿宋" w:hint="eastAsia"/>
                <w:sz w:val="24"/>
                <w:highlight w:val="none"/>
              </w:rPr>
              <w:t>L铝合金气瓶</w:t>
            </w:r>
          </w:p>
          <w:p>
            <w:pPr>
              <w:rPr>
                <w:rFonts w:ascii="仿宋" w:eastAsia="仿宋" w:hAnsi="仿宋" w:cs="仿宋" w:hint="eastAsia"/>
                <w:highlight w:val="none"/>
              </w:rPr>
            </w:pPr>
            <w:r>
              <w:rPr>
                <w:rFonts w:ascii="仿宋" w:eastAsia="仿宋" w:hAnsi="仿宋" w:cs="仿宋" w:hint="eastAsia"/>
                <w:sz w:val="24"/>
                <w:highlight w:val="none"/>
              </w:rPr>
              <w:t>减压阀进/出气压力范围：0～3000psi/0～100psi</w:t>
            </w:r>
          </w:p>
          <w:p>
            <w:pPr>
              <w:rPr>
                <w:rFonts w:ascii="仿宋" w:eastAsia="仿宋" w:hAnsi="仿宋" w:cs="仿宋" w:hint="eastAsia"/>
                <w:highlight w:val="none"/>
              </w:rPr>
            </w:pPr>
            <w:r>
              <w:rPr>
                <w:rFonts w:ascii="仿宋" w:eastAsia="仿宋" w:hAnsi="仿宋" w:cs="仿宋" w:hint="eastAsia"/>
                <w:sz w:val="24"/>
                <w:highlight w:val="none"/>
              </w:rPr>
              <w:t>工作标气(WH/WL):以自然大气为底气，</w:t>
            </w:r>
            <w:r>
              <w:rPr>
                <w:rFonts w:ascii="仿宋" w:eastAsia="仿宋" w:hAnsi="仿宋" w:cs="仿宋" w:hint="eastAsia"/>
                <w:sz w:val="24"/>
                <w:highlight w:val="none"/>
              </w:rPr>
              <w:t>CO2</w:t>
            </w:r>
            <w:r>
              <w:rPr>
                <w:rFonts w:ascii="仿宋" w:eastAsia="仿宋" w:hAnsi="仿宋" w:cs="仿宋" w:hint="eastAsia"/>
                <w:sz w:val="24"/>
                <w:highlight w:val="none"/>
              </w:rPr>
              <w:t>等浓度涵盖观测点大气</w:t>
            </w:r>
            <w:r>
              <w:rPr>
                <w:rFonts w:ascii="仿宋" w:eastAsia="仿宋" w:hAnsi="仿宋" w:cs="仿宋" w:hint="eastAsia"/>
                <w:sz w:val="24"/>
                <w:highlight w:val="none"/>
              </w:rPr>
              <w:t>CO2</w:t>
            </w:r>
            <w:r>
              <w:rPr>
                <w:rFonts w:ascii="仿宋" w:eastAsia="仿宋" w:hAnsi="仿宋" w:cs="仿宋" w:hint="eastAsia"/>
                <w:sz w:val="24"/>
                <w:highlight w:val="none"/>
              </w:rPr>
              <w:t>等浓度变化范围。</w:t>
            </w:r>
          </w:p>
          <w:p>
            <w:pPr>
              <w:rPr>
                <w:rFonts w:ascii="仿宋" w:eastAsia="仿宋" w:hAnsi="仿宋" w:cs="仿宋" w:hint="eastAsia"/>
                <w:highlight w:val="none"/>
              </w:rPr>
            </w:pPr>
            <w:r>
              <w:rPr>
                <w:rFonts w:ascii="仿宋" w:eastAsia="仿宋" w:hAnsi="仿宋" w:cs="仿宋" w:hint="eastAsia"/>
                <w:sz w:val="24"/>
                <w:highlight w:val="none"/>
              </w:rPr>
              <w:t>目标标气(T):以自然大气为底气，</w:t>
            </w:r>
            <w:r>
              <w:rPr>
                <w:rFonts w:ascii="仿宋" w:eastAsia="仿宋" w:hAnsi="仿宋" w:cs="仿宋" w:hint="eastAsia"/>
                <w:sz w:val="24"/>
                <w:highlight w:val="none"/>
              </w:rPr>
              <w:t>CO2</w:t>
            </w:r>
            <w:r>
              <w:rPr>
                <w:rFonts w:ascii="仿宋" w:eastAsia="仿宋" w:hAnsi="仿宋" w:cs="仿宋" w:hint="eastAsia"/>
                <w:sz w:val="24"/>
                <w:highlight w:val="none"/>
              </w:rPr>
              <w:t>等浓度应接近观测点大气N0等平均浓度。</w:t>
            </w:r>
          </w:p>
          <w:p>
            <w:pPr>
              <w:rPr>
                <w:rFonts w:ascii="仿宋" w:eastAsia="仿宋" w:hAnsi="仿宋" w:cs="仿宋" w:hint="eastAsia"/>
                <w:highlight w:val="none"/>
              </w:rPr>
            </w:pPr>
            <w:r>
              <w:rPr>
                <w:rFonts w:ascii="仿宋" w:eastAsia="仿宋" w:hAnsi="仿宋" w:cs="仿宋" w:hint="eastAsia"/>
                <w:sz w:val="24"/>
                <w:highlight w:val="none"/>
              </w:rPr>
              <w:t>标气填充气以自然干洁空气为底气，水汽含量小于</w:t>
            </w:r>
            <w:r>
              <w:rPr>
                <w:rFonts w:ascii="仿宋" w:eastAsia="仿宋" w:hAnsi="仿宋" w:cs="仿宋"/>
                <w:sz w:val="24"/>
                <w:highlight w:val="none"/>
              </w:rPr>
              <w:t>5</w:t>
            </w:r>
            <w:r>
              <w:rPr>
                <w:rFonts w:ascii="仿宋" w:eastAsia="仿宋" w:hAnsi="仿宋" w:cs="仿宋" w:hint="eastAsia"/>
                <w:sz w:val="24"/>
                <w:highlight w:val="none"/>
              </w:rPr>
              <w:t>ppm。钢瓶为内抛光专用铝合金气瓶。</w:t>
            </w:r>
          </w:p>
          <w:p>
            <w:pPr>
              <w:rPr>
                <w:rFonts w:ascii="仿宋" w:eastAsia="仿宋" w:hAnsi="仿宋" w:cs="仿宋" w:hint="eastAsia"/>
                <w:b/>
                <w:bCs/>
                <w:highlight w:val="none"/>
              </w:rPr>
            </w:pPr>
            <w:r>
              <w:rPr>
                <w:rFonts w:ascii="仿宋" w:eastAsia="仿宋" w:hAnsi="仿宋" w:cs="仿宋" w:hint="eastAsia"/>
                <w:b/>
                <w:bCs/>
                <w:sz w:val="24"/>
                <w:highlight w:val="none"/>
                <w:lang w:val="en-US" w:eastAsia="zh-CN"/>
              </w:rPr>
              <w:t>F</w:t>
            </w:r>
            <w:r>
              <w:rPr>
                <w:rFonts w:ascii="仿宋" w:eastAsia="仿宋" w:hAnsi="仿宋" w:cs="仿宋" w:hint="eastAsia"/>
                <w:b/>
                <w:bCs/>
                <w:sz w:val="24"/>
                <w:highlight w:val="none"/>
              </w:rPr>
              <w:t>设备安装及配套基础设施建设</w:t>
            </w:r>
          </w:p>
          <w:p>
            <w:pPr>
              <w:rPr>
                <w:rFonts w:ascii="仿宋" w:eastAsia="仿宋" w:hAnsi="仿宋" w:cs="仿宋" w:hint="eastAsia"/>
                <w:highlight w:val="none"/>
              </w:rPr>
            </w:pPr>
            <w:r>
              <w:rPr>
                <w:rFonts w:ascii="仿宋" w:eastAsia="仿宋" w:hAnsi="仿宋" w:cs="仿宋" w:hint="eastAsia"/>
                <w:sz w:val="24"/>
                <w:highlight w:val="none"/>
                <w:lang w:val="en-US" w:eastAsia="zh-CN"/>
              </w:rPr>
              <w:t>a</w:t>
            </w:r>
            <w:r>
              <w:rPr>
                <w:rFonts w:ascii="仿宋" w:eastAsia="仿宋" w:hAnsi="仿宋" w:cs="仿宋" w:hint="eastAsia"/>
                <w:sz w:val="24"/>
                <w:highlight w:val="none"/>
              </w:rPr>
              <w:t>安装方案</w:t>
            </w:r>
          </w:p>
          <w:p>
            <w:pPr>
              <w:rPr>
                <w:rFonts w:ascii="仿宋" w:eastAsia="仿宋" w:hAnsi="仿宋" w:cs="仿宋" w:hint="eastAsia"/>
                <w:highlight w:val="none"/>
              </w:rPr>
            </w:pPr>
            <w:r>
              <w:rPr>
                <w:rFonts w:ascii="仿宋" w:eastAsia="仿宋" w:hAnsi="仿宋" w:cs="仿宋" w:hint="eastAsia"/>
                <w:sz w:val="24"/>
                <w:highlight w:val="none"/>
                <w:lang w:val="en-US" w:eastAsia="zh-CN"/>
              </w:rPr>
              <w:t>a)</w:t>
            </w:r>
            <w:r>
              <w:rPr>
                <w:rFonts w:ascii="仿宋" w:eastAsia="仿宋" w:hAnsi="仿宋" w:cs="仿宋" w:hint="eastAsia"/>
                <w:sz w:val="24"/>
                <w:highlight w:val="none"/>
              </w:rPr>
              <w:t>样气采集单元</w:t>
            </w:r>
          </w:p>
          <w:p>
            <w:pPr>
              <w:rPr>
                <w:rFonts w:ascii="仿宋" w:eastAsia="仿宋" w:hAnsi="仿宋" w:cs="仿宋" w:hint="eastAsia"/>
                <w:highlight w:val="none"/>
              </w:rPr>
            </w:pPr>
            <w:r>
              <w:rPr>
                <w:rFonts w:ascii="仿宋" w:eastAsia="仿宋" w:hAnsi="仿宋" w:cs="仿宋" w:hint="eastAsia"/>
                <w:sz w:val="24"/>
                <w:highlight w:val="none"/>
              </w:rPr>
              <w:t>采样管进气口，宜安装于大气采样塔上，进气口应高出下垫面冠层至少30m。采样泵放置在具有温度控制的观测室内，采样泵过滤器安装在采样泵进气口。室内管路沿墙面或防静电地板下铺装，通过管夹固定。</w:t>
            </w:r>
          </w:p>
          <w:p>
            <w:pPr>
              <w:rPr>
                <w:rFonts w:ascii="仿宋" w:eastAsia="仿宋" w:hAnsi="仿宋" w:cs="仿宋" w:hint="eastAsia"/>
                <w:highlight w:val="none"/>
              </w:rPr>
            </w:pPr>
            <w:r>
              <w:rPr>
                <w:rFonts w:ascii="仿宋" w:eastAsia="仿宋" w:hAnsi="仿宋" w:cs="仿宋" w:hint="eastAsia"/>
                <w:sz w:val="24"/>
                <w:highlight w:val="none"/>
                <w:lang w:val="en-US" w:eastAsia="zh-CN"/>
              </w:rPr>
              <w:t>b)</w:t>
            </w:r>
            <w:r>
              <w:rPr>
                <w:rFonts w:ascii="仿宋" w:eastAsia="仿宋" w:hAnsi="仿宋" w:cs="仿宋" w:hint="eastAsia"/>
                <w:sz w:val="24"/>
                <w:highlight w:val="none"/>
              </w:rPr>
              <w:t>样气处理单元</w:t>
            </w:r>
          </w:p>
          <w:p>
            <w:pPr>
              <w:rPr>
                <w:rFonts w:ascii="仿宋" w:eastAsia="仿宋" w:hAnsi="仿宋" w:cs="仿宋" w:hint="eastAsia"/>
                <w:highlight w:val="none"/>
              </w:rPr>
            </w:pPr>
            <w:r>
              <w:rPr>
                <w:rFonts w:ascii="仿宋" w:eastAsia="仿宋" w:hAnsi="仿宋" w:cs="仿宋" w:hint="eastAsia"/>
                <w:sz w:val="24"/>
                <w:highlight w:val="none"/>
              </w:rPr>
              <w:t>放置在具有温度控制的观测室内，渗透膜除水阀箱放置在室内专用机柜中。</w:t>
            </w:r>
          </w:p>
          <w:p>
            <w:pPr>
              <w:rPr>
                <w:rFonts w:ascii="仿宋" w:eastAsia="仿宋" w:hAnsi="仿宋" w:cs="仿宋" w:hint="eastAsia"/>
                <w:highlight w:val="none"/>
              </w:rPr>
            </w:pPr>
            <w:r>
              <w:rPr>
                <w:rFonts w:ascii="仿宋" w:eastAsia="仿宋" w:hAnsi="仿宋" w:cs="仿宋" w:hint="eastAsia"/>
                <w:sz w:val="24"/>
                <w:highlight w:val="none"/>
                <w:lang w:val="en-US" w:eastAsia="zh-CN"/>
              </w:rPr>
              <w:t>c)</w:t>
            </w:r>
            <w:r>
              <w:rPr>
                <w:rFonts w:ascii="仿宋" w:eastAsia="仿宋" w:hAnsi="仿宋" w:cs="仿宋" w:hint="eastAsia"/>
                <w:sz w:val="24"/>
                <w:highlight w:val="none"/>
              </w:rPr>
              <w:t>标气单元</w:t>
            </w:r>
          </w:p>
          <w:p>
            <w:pPr>
              <w:rPr>
                <w:rFonts w:ascii="仿宋" w:eastAsia="仿宋" w:hAnsi="仿宋" w:cs="仿宋" w:hint="eastAsia"/>
                <w:highlight w:val="none"/>
              </w:rPr>
            </w:pPr>
            <w:r>
              <w:rPr>
                <w:rFonts w:ascii="仿宋" w:eastAsia="仿宋" w:hAnsi="仿宋" w:cs="仿宋" w:hint="eastAsia"/>
                <w:sz w:val="24"/>
                <w:highlight w:val="none"/>
              </w:rPr>
              <w:t>气瓶放置在机柜附近的气瓶架内，气瓶及减压阀安放位置便于操作与更换。</w:t>
            </w:r>
          </w:p>
          <w:p>
            <w:pPr>
              <w:rPr>
                <w:rFonts w:ascii="仿宋" w:eastAsia="仿宋" w:hAnsi="仿宋" w:cs="仿宋" w:hint="eastAsia"/>
                <w:highlight w:val="none"/>
              </w:rPr>
            </w:pPr>
            <w:r>
              <w:rPr>
                <w:rFonts w:ascii="仿宋" w:eastAsia="仿宋" w:hAnsi="仿宋" w:cs="仿宋" w:hint="eastAsia"/>
                <w:sz w:val="24"/>
                <w:highlight w:val="none"/>
                <w:lang w:val="en-US" w:eastAsia="zh-CN"/>
              </w:rPr>
              <w:t>b</w:t>
            </w:r>
            <w:r>
              <w:rPr>
                <w:rFonts w:ascii="仿宋" w:eastAsia="仿宋" w:hAnsi="仿宋" w:cs="仿宋" w:hint="eastAsia"/>
                <w:sz w:val="24"/>
                <w:highlight w:val="none"/>
              </w:rPr>
              <w:t>配套基础设施资源</w:t>
            </w:r>
          </w:p>
          <w:p>
            <w:pPr>
              <w:rPr>
                <w:rFonts w:ascii="仿宋" w:eastAsia="仿宋" w:hAnsi="仿宋" w:cs="仿宋" w:hint="eastAsia"/>
                <w:highlight w:val="none"/>
              </w:rPr>
            </w:pPr>
            <w:r>
              <w:rPr>
                <w:rFonts w:ascii="仿宋" w:eastAsia="仿宋" w:hAnsi="仿宋" w:cs="仿宋" w:hint="eastAsia"/>
                <w:sz w:val="24"/>
                <w:highlight w:val="none"/>
              </w:rPr>
              <w:t>水：无。</w:t>
            </w:r>
          </w:p>
          <w:p>
            <w:pPr>
              <w:rPr>
                <w:rFonts w:ascii="仿宋" w:eastAsia="仿宋" w:hAnsi="仿宋" w:cs="仿宋" w:hint="eastAsia"/>
                <w:highlight w:val="none"/>
              </w:rPr>
            </w:pPr>
            <w:r>
              <w:rPr>
                <w:rFonts w:ascii="仿宋" w:eastAsia="仿宋" w:hAnsi="仿宋" w:cs="仿宋" w:hint="eastAsia"/>
                <w:sz w:val="24"/>
                <w:highlight w:val="none"/>
              </w:rPr>
              <w:t>电：市电及UPS供电。</w:t>
            </w:r>
          </w:p>
          <w:p>
            <w:pPr>
              <w:rPr>
                <w:rFonts w:ascii="仿宋" w:eastAsia="仿宋" w:hAnsi="仿宋" w:cs="仿宋" w:hint="eastAsia"/>
                <w:highlight w:val="none"/>
              </w:rPr>
            </w:pPr>
            <w:r>
              <w:rPr>
                <w:rFonts w:ascii="仿宋" w:eastAsia="仿宋" w:hAnsi="仿宋" w:cs="仿宋" w:hint="eastAsia"/>
                <w:sz w:val="24"/>
                <w:highlight w:val="none"/>
              </w:rPr>
              <w:t>路：</w:t>
            </w:r>
            <w:r>
              <w:rPr>
                <w:rFonts w:ascii="仿宋" w:eastAsia="仿宋" w:hAnsi="仿宋" w:cs="仿宋"/>
                <w:sz w:val="24"/>
                <w:highlight w:val="none"/>
              </w:rPr>
              <w:t>便于人员和物资的流动。</w:t>
            </w:r>
          </w:p>
          <w:p>
            <w:pPr>
              <w:rPr>
                <w:rFonts w:ascii="仿宋" w:eastAsia="仿宋" w:hAnsi="仿宋" w:cs="仿宋" w:hint="eastAsia"/>
                <w:highlight w:val="none"/>
              </w:rPr>
            </w:pPr>
            <w:r>
              <w:rPr>
                <w:rFonts w:ascii="仿宋" w:eastAsia="仿宋" w:hAnsi="仿宋" w:cs="仿宋" w:hint="eastAsia"/>
                <w:sz w:val="24"/>
                <w:highlight w:val="none"/>
              </w:rPr>
              <w:t>气：无。</w:t>
            </w:r>
          </w:p>
          <w:p>
            <w:pPr>
              <w:rPr>
                <w:rFonts w:ascii="仿宋" w:eastAsia="仿宋" w:hAnsi="仿宋" w:cs="仿宋" w:hint="eastAsia"/>
                <w:highlight w:val="none"/>
              </w:rPr>
            </w:pPr>
            <w:r>
              <w:rPr>
                <w:rFonts w:ascii="仿宋" w:eastAsia="仿宋" w:hAnsi="仿宋" w:cs="仿宋" w:hint="eastAsia"/>
                <w:sz w:val="24"/>
                <w:highlight w:val="none"/>
              </w:rPr>
              <w:t>信：气象局内网</w:t>
            </w:r>
            <w:r>
              <w:rPr>
                <w:rFonts w:ascii="仿宋" w:eastAsia="仿宋" w:hAnsi="仿宋" w:cs="仿宋"/>
                <w:sz w:val="24"/>
                <w:highlight w:val="none"/>
              </w:rPr>
              <w:t>。</w:t>
            </w:r>
          </w:p>
          <w:p>
            <w:pPr>
              <w:rPr>
                <w:rFonts w:ascii="仿宋" w:eastAsia="仿宋" w:hAnsi="仿宋" w:cs="仿宋" w:hint="eastAsia"/>
                <w:highlight w:val="none"/>
              </w:rPr>
            </w:pPr>
          </w:p>
        </w:tc>
      </w:tr>
      <w:tr>
        <w:tblPrEx>
          <w:tblW w:w="5142" w:type="pct"/>
          <w:jc w:val="center"/>
          <w:tblCellMar>
            <w:top w:w="0" w:type="dxa"/>
            <w:left w:w="108" w:type="dxa"/>
            <w:bottom w:w="0" w:type="dxa"/>
            <w:right w:w="108" w:type="dxa"/>
          </w:tblCellMar>
        </w:tblPrEx>
        <w:trPr>
          <w:trHeight w:val="614"/>
          <w:jc w:val="center"/>
        </w:trPr>
        <w:tc>
          <w:tcPr>
            <w:tcW w:w="841" w:type="pct"/>
            <w:vAlign w:val="center"/>
          </w:tcPr>
          <w:p>
            <w:pPr>
              <w:widowControl/>
              <w:jc w:val="center"/>
              <w:rPr>
                <w:rFonts w:ascii="宋体" w:hAnsi="宋体" w:hint="eastAsia"/>
                <w:szCs w:val="21"/>
                <w:highlight w:val="none"/>
              </w:rPr>
            </w:pPr>
            <w:r>
              <w:rPr>
                <w:rFonts w:ascii="仿宋" w:eastAsia="仿宋" w:hAnsi="仿宋" w:cs="仿宋" w:hint="eastAsia"/>
                <w:color w:val="000000"/>
                <w:kern w:val="0"/>
                <w:sz w:val="24"/>
              </w:rPr>
              <w:t>采样塔</w:t>
            </w:r>
          </w:p>
        </w:tc>
        <w:tc>
          <w:tcPr>
            <w:tcW w:w="4158" w:type="pct"/>
            <w:vAlign w:val="center"/>
          </w:tcPr>
          <w:p>
            <w:pPr>
              <w:rPr>
                <w:rFonts w:ascii="仿宋" w:eastAsia="仿宋" w:hAnsi="仿宋" w:cs="仿宋" w:hint="eastAsia"/>
                <w:highlight w:val="none"/>
              </w:rPr>
            </w:pPr>
            <w:r>
              <w:rPr>
                <w:rFonts w:ascii="仿宋" w:eastAsia="仿宋" w:hAnsi="仿宋" w:cs="仿宋" w:hint="eastAsia"/>
                <w:sz w:val="24"/>
                <w:highlight w:val="none"/>
              </w:rPr>
              <w:t>85米三管自立塔</w:t>
            </w:r>
            <w:r>
              <w:rPr>
                <w:rFonts w:ascii="仿宋" w:eastAsia="仿宋" w:hAnsi="仿宋" w:cs="仿宋" w:hint="eastAsia"/>
                <w:sz w:val="24"/>
                <w:highlight w:val="none"/>
              </w:rPr>
              <w:t>，技术要求如下</w:t>
            </w:r>
            <w:r>
              <w:rPr>
                <w:rFonts w:ascii="仿宋" w:eastAsia="仿宋" w:hAnsi="仿宋" w:cs="仿宋" w:hint="eastAsia"/>
                <w:sz w:val="24"/>
                <w:highlight w:val="none"/>
              </w:rPr>
              <w:t>：</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A</w:t>
            </w:r>
            <w:r>
              <w:rPr>
                <w:rFonts w:ascii="仿宋" w:eastAsia="仿宋" w:hAnsi="仿宋" w:cs="仿宋" w:hint="eastAsia"/>
                <w:sz w:val="24"/>
                <w:highlight w:val="none"/>
              </w:rPr>
              <w:t>大气采样塔主要用于安装温室气体观测系统的采样管、常规气象要素等观测设备或设施。</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B</w:t>
            </w:r>
            <w:r>
              <w:rPr>
                <w:rFonts w:ascii="仿宋" w:eastAsia="仿宋" w:hAnsi="仿宋" w:cs="仿宋" w:hint="eastAsia"/>
                <w:sz w:val="24"/>
                <w:highlight w:val="none"/>
              </w:rPr>
              <w:t>应根据站点的地理环境和下垫面条件单独建设。可选用拉线塔或自立塔，塔身有效高度应能满足采样管进气口高出下垫面冠层至少85m的要求。</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C</w:t>
            </w:r>
            <w:r>
              <w:rPr>
                <w:rFonts w:ascii="仿宋" w:eastAsia="仿宋" w:hAnsi="仿宋" w:cs="仿宋" w:hint="eastAsia"/>
                <w:sz w:val="24"/>
                <w:highlight w:val="none"/>
              </w:rPr>
              <w:t>应具有较强的抗震能力，抗震烈度不低于8度，塔体不产生永久形变，设计使用寿命不小于70年。</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D</w:t>
            </w:r>
            <w:r>
              <w:rPr>
                <w:rFonts w:ascii="仿宋" w:eastAsia="仿宋" w:hAnsi="仿宋" w:cs="仿宋" w:hint="eastAsia"/>
                <w:sz w:val="24"/>
                <w:highlight w:val="none"/>
              </w:rPr>
              <w:t>观测塔所有材料的质量应符合国家标准，塔架制作工艺和质量必须符合国家相关行业规定（如焊接、镀锌等），同时应满足相关观测的要求。</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E</w:t>
            </w:r>
            <w:r>
              <w:rPr>
                <w:rFonts w:ascii="仿宋" w:eastAsia="仿宋" w:hAnsi="仿宋" w:cs="仿宋" w:hint="eastAsia"/>
                <w:sz w:val="24"/>
                <w:highlight w:val="none"/>
              </w:rPr>
              <w:t>观测塔各构件间的连接应坚固，防腐工艺采用热镀锌处理，并具较强的抗腐蚀、抗锈蚀和抗风能力。</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F</w:t>
            </w:r>
            <w:r>
              <w:rPr>
                <w:rFonts w:ascii="仿宋" w:eastAsia="仿宋" w:hAnsi="仿宋" w:cs="仿宋" w:hint="eastAsia"/>
                <w:sz w:val="24"/>
                <w:highlight w:val="none"/>
              </w:rPr>
              <w:t>观测塔结构应尽可能减小塔体对气流的阻挡，建议采用通风性能良好的格构式结构。</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G</w:t>
            </w:r>
            <w:r>
              <w:rPr>
                <w:rFonts w:ascii="仿宋" w:eastAsia="仿宋" w:hAnsi="仿宋" w:cs="仿宋" w:hint="eastAsia"/>
                <w:sz w:val="24"/>
                <w:highlight w:val="none"/>
              </w:rPr>
              <w:t>观测塔的安装应符合防雷电及接地装置的相关标准要求，接地电阻应小于4Ω。</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H</w:t>
            </w:r>
            <w:r>
              <w:rPr>
                <w:rFonts w:ascii="仿宋" w:eastAsia="仿宋" w:hAnsi="仿宋" w:cs="仿宋" w:hint="eastAsia"/>
                <w:sz w:val="24"/>
                <w:highlight w:val="none"/>
              </w:rPr>
              <w:t>观测塔爬梯应有安全防护措施，应配有上塔安全防护装备，并应设有醒目、安全、合理的警示牌。</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I</w:t>
            </w:r>
            <w:r>
              <w:rPr>
                <w:rFonts w:ascii="仿宋" w:eastAsia="仿宋" w:hAnsi="仿宋" w:cs="仿宋" w:hint="eastAsia"/>
                <w:sz w:val="24"/>
                <w:highlight w:val="none"/>
              </w:rPr>
              <w:t>提供采样塔第三方检测报告及防雷检测报告。</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J</w:t>
            </w:r>
            <w:r>
              <w:rPr>
                <w:rFonts w:ascii="仿宋" w:eastAsia="仿宋" w:hAnsi="仿宋" w:cs="仿宋" w:hint="eastAsia"/>
                <w:sz w:val="24"/>
                <w:highlight w:val="none"/>
              </w:rPr>
              <w:t>安装接地线槽用于布设进气管路及通信电源线缆。</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K</w:t>
            </w:r>
            <w:r>
              <w:rPr>
                <w:rFonts w:ascii="仿宋" w:eastAsia="仿宋" w:hAnsi="仿宋" w:cs="仿宋" w:hint="eastAsia"/>
                <w:sz w:val="24"/>
                <w:highlight w:val="none"/>
              </w:rPr>
              <w:t>铁塔包含8年质保。</w:t>
            </w:r>
          </w:p>
          <w:p>
            <w:pPr>
              <w:rPr>
                <w:rFonts w:ascii="仿宋" w:eastAsia="仿宋" w:hAnsi="仿宋" w:cs="仿宋" w:hint="eastAsia"/>
                <w:highlight w:val="none"/>
              </w:rPr>
            </w:pPr>
          </w:p>
        </w:tc>
      </w:tr>
      <w:tr>
        <w:tblPrEx>
          <w:tblW w:w="5142" w:type="pct"/>
          <w:jc w:val="center"/>
          <w:tblCellMar>
            <w:top w:w="0" w:type="dxa"/>
            <w:left w:w="108" w:type="dxa"/>
            <w:bottom w:w="0" w:type="dxa"/>
            <w:right w:w="108" w:type="dxa"/>
          </w:tblCellMar>
        </w:tblPrEx>
        <w:trPr>
          <w:trHeight w:val="614"/>
          <w:jc w:val="center"/>
        </w:trPr>
        <w:tc>
          <w:tcPr>
            <w:tcW w:w="841" w:type="pct"/>
            <w:vAlign w:val="center"/>
          </w:tcPr>
          <w:p>
            <w:pPr>
              <w:widowControl/>
              <w:jc w:val="center"/>
              <w:rPr>
                <w:rFonts w:ascii="宋体" w:hAnsi="宋体" w:hint="eastAsia"/>
                <w:szCs w:val="21"/>
                <w:highlight w:val="none"/>
              </w:rPr>
            </w:pPr>
            <w:r>
              <w:rPr>
                <w:rFonts w:ascii="仿宋" w:eastAsia="仿宋" w:hAnsi="仿宋" w:cs="仿宋" w:hint="eastAsia"/>
                <w:color w:val="000000"/>
                <w:kern w:val="0"/>
                <w:sz w:val="24"/>
              </w:rPr>
              <w:t>方舱</w:t>
            </w:r>
          </w:p>
        </w:tc>
        <w:tc>
          <w:tcPr>
            <w:tcW w:w="4158" w:type="pct"/>
            <w:vAlign w:val="center"/>
          </w:tcPr>
          <w:p>
            <w:pPr>
              <w:rPr>
                <w:rFonts w:ascii="仿宋" w:eastAsia="仿宋" w:hAnsi="仿宋" w:cs="仿宋" w:hint="eastAsia"/>
                <w:highlight w:val="none"/>
              </w:rPr>
            </w:pPr>
            <w:r>
              <w:rPr>
                <w:rFonts w:ascii="仿宋" w:eastAsia="仿宋" w:hAnsi="仿宋" w:cs="仿宋" w:hint="eastAsia"/>
                <w:b/>
                <w:bCs/>
                <w:sz w:val="24"/>
                <w:highlight w:val="none"/>
                <w:lang w:val="en-US" w:eastAsia="zh-CN"/>
              </w:rPr>
              <w:t>A</w:t>
            </w:r>
            <w:r>
              <w:rPr>
                <w:rFonts w:ascii="仿宋" w:eastAsia="仿宋" w:hAnsi="仿宋" w:cs="仿宋" w:hint="eastAsia"/>
                <w:sz w:val="24"/>
                <w:highlight w:val="none"/>
              </w:rPr>
              <w:t>主要用于安装温室气体浓度观测系统，面积能保证观测仪器设备的安装、运行以及操作等，并预留一定的仪器检修、校准和未来发展的空间；面积不小于21</w:t>
            </w:r>
            <w:r>
              <w:rPr>
                <w:rFonts w:ascii="仿宋" w:eastAsia="仿宋" w:hAnsi="仿宋" w:cs="仿宋"/>
                <w:sz w:val="24"/>
                <w:highlight w:val="none"/>
              </w:rPr>
              <w:t>m2</w:t>
            </w:r>
            <w:r>
              <w:rPr>
                <w:rFonts w:ascii="仿宋" w:eastAsia="仿宋" w:hAnsi="仿宋" w:cs="仿宋" w:hint="eastAsia"/>
                <w:sz w:val="24"/>
                <w:highlight w:val="none"/>
              </w:rPr>
              <w:t>。</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B</w:t>
            </w:r>
            <w:r>
              <w:rPr>
                <w:rFonts w:ascii="仿宋" w:eastAsia="仿宋" w:hAnsi="仿宋" w:cs="仿宋" w:hint="eastAsia"/>
                <w:sz w:val="24"/>
                <w:highlight w:val="none"/>
              </w:rPr>
              <w:t>入口处宜设有缓冲区域或空间，以保持温度和湿度的稳定，防止灰尘和泥土直接带入观测室。</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C</w:t>
            </w:r>
            <w:r>
              <w:rPr>
                <w:rFonts w:ascii="仿宋" w:eastAsia="仿宋" w:hAnsi="仿宋" w:cs="仿宋" w:hint="eastAsia"/>
                <w:sz w:val="24"/>
                <w:highlight w:val="none"/>
              </w:rPr>
              <w:t>内地面、墙壁、顶棚应采用不易起尘的环保材料。不受强震动、强电磁辐射的干扰。</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D</w:t>
            </w:r>
            <w:r>
              <w:rPr>
                <w:rFonts w:ascii="仿宋" w:eastAsia="仿宋" w:hAnsi="仿宋" w:cs="仿宋"/>
                <w:sz w:val="24"/>
                <w:highlight w:val="none"/>
              </w:rPr>
              <w:t>室内环境应保持整洁，室内温度、湿度按照仪器运行</w:t>
            </w:r>
            <w:r>
              <w:rPr>
                <w:rFonts w:ascii="仿宋" w:eastAsia="仿宋" w:hAnsi="仿宋" w:cs="仿宋" w:hint="eastAsia"/>
                <w:sz w:val="24"/>
                <w:highlight w:val="none"/>
              </w:rPr>
              <w:t>的环境要求保持相对稳定，取暖采用空调或电暖气设备。根据当地的环境特点，采取适当的防虫措施。</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E</w:t>
            </w:r>
            <w:r>
              <w:rPr>
                <w:rFonts w:ascii="仿宋" w:eastAsia="仿宋" w:hAnsi="仿宋" w:cs="仿宋"/>
                <w:sz w:val="24"/>
                <w:highlight w:val="none"/>
              </w:rPr>
              <w:t>安装温湿度控制设备，使室内温度能控制在25℃±5℃（如使用色谱法环境温度波动≤±2℃），相对湿度控制在60％以下。</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F</w:t>
            </w:r>
            <w:r>
              <w:rPr>
                <w:rFonts w:ascii="仿宋" w:eastAsia="仿宋" w:hAnsi="仿宋" w:cs="仿宋" w:hint="eastAsia"/>
                <w:sz w:val="24"/>
                <w:highlight w:val="none"/>
              </w:rPr>
              <w:t>具有良好的通风条件和排风设施，以保持室内空气清洁。</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G</w:t>
            </w:r>
            <w:r>
              <w:rPr>
                <w:rFonts w:ascii="仿宋" w:eastAsia="仿宋" w:hAnsi="仿宋" w:cs="仿宋" w:hint="eastAsia"/>
                <w:sz w:val="24"/>
                <w:highlight w:val="none"/>
              </w:rPr>
              <w:t>根据观测项目的技术要求，可预先在观测室顶部及侧壁的适当位置预留管线孔洞。</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H</w:t>
            </w:r>
            <w:r>
              <w:rPr>
                <w:rFonts w:ascii="仿宋" w:eastAsia="仿宋" w:hAnsi="仿宋" w:cs="仿宋" w:hint="eastAsia"/>
                <w:sz w:val="24"/>
                <w:highlight w:val="none"/>
              </w:rPr>
              <w:t>设有可靠的网络、通讯和电话传输线路等。</w:t>
            </w:r>
          </w:p>
          <w:p>
            <w:pPr>
              <w:rPr>
                <w:rFonts w:ascii="仿宋" w:eastAsia="仿宋" w:hAnsi="仿宋" w:cs="仿宋" w:hint="eastAsia"/>
                <w:highlight w:val="none"/>
              </w:rPr>
            </w:pPr>
            <w:r>
              <w:rPr>
                <w:rFonts w:ascii="仿宋" w:eastAsia="仿宋" w:hAnsi="仿宋" w:cs="仿宋" w:hint="eastAsia"/>
                <w:b/>
                <w:bCs/>
                <w:sz w:val="24"/>
                <w:highlight w:val="none"/>
                <w:lang w:val="en-US" w:eastAsia="zh-CN"/>
              </w:rPr>
              <w:t>I</w:t>
            </w:r>
            <w:r>
              <w:rPr>
                <w:rFonts w:ascii="仿宋" w:eastAsia="仿宋" w:hAnsi="仿宋" w:cs="仿宋" w:hint="eastAsia"/>
                <w:sz w:val="24"/>
                <w:highlight w:val="none"/>
              </w:rPr>
              <w:t>配备专门的消防设施和器材，对危险物品配备监控装置和设施。</w:t>
            </w:r>
          </w:p>
          <w:p>
            <w:pPr>
              <w:rPr>
                <w:rFonts w:ascii="仿宋" w:eastAsia="仿宋" w:hAnsi="仿宋" w:cs="仿宋" w:hint="eastAsia"/>
                <w:highlight w:val="none"/>
              </w:rPr>
            </w:pPr>
          </w:p>
        </w:tc>
      </w:tr>
      <w:tr>
        <w:tblPrEx>
          <w:tblW w:w="5142" w:type="pct"/>
          <w:jc w:val="center"/>
          <w:tblCellMar>
            <w:top w:w="0" w:type="dxa"/>
            <w:left w:w="108" w:type="dxa"/>
            <w:bottom w:w="0" w:type="dxa"/>
            <w:right w:w="108" w:type="dxa"/>
          </w:tblCellMar>
        </w:tblPrEx>
        <w:trPr>
          <w:trHeight w:val="509"/>
          <w:jc w:val="center"/>
        </w:trPr>
        <w:tc>
          <w:tcPr>
            <w:tcW w:w="841" w:type="pct"/>
            <w:vAlign w:val="center"/>
          </w:tcPr>
          <w:p>
            <w:pPr>
              <w:widowControl/>
              <w:jc w:val="center"/>
              <w:rPr>
                <w:rFonts w:hint="eastAsia"/>
                <w:highlight w:val="none"/>
              </w:rPr>
            </w:pPr>
            <w:r>
              <w:rPr>
                <w:rFonts w:ascii="仿宋" w:eastAsia="仿宋" w:hAnsi="仿宋" w:cs="仿宋" w:hint="eastAsia"/>
                <w:color w:val="000000"/>
                <w:kern w:val="0"/>
                <w:sz w:val="24"/>
              </w:rPr>
              <w:t>UPS（含方舱）</w:t>
            </w:r>
          </w:p>
        </w:tc>
        <w:tc>
          <w:tcPr>
            <w:tcW w:w="4158" w:type="pct"/>
            <w:vAlign w:val="center"/>
          </w:tcPr>
          <w:p>
            <w:pPr>
              <w:rPr>
                <w:rFonts w:ascii="仿宋" w:eastAsia="仿宋" w:hAnsi="仿宋" w:cs="仿宋" w:hint="eastAsia"/>
                <w:highlight w:val="none"/>
              </w:rPr>
            </w:pPr>
            <w:r>
              <w:rPr>
                <w:rFonts w:ascii="仿宋" w:eastAsia="仿宋" w:hAnsi="仿宋" w:cs="仿宋" w:hint="eastAsia"/>
                <w:sz w:val="24"/>
                <w:highlight w:val="none"/>
              </w:rPr>
              <w:t>主机80kW，蓄电池12V100AH，15㎡方舱。</w:t>
            </w:r>
          </w:p>
        </w:tc>
      </w:tr>
    </w:tbl>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2.</w:t>
      </w:r>
      <w:r>
        <w:rPr>
          <w:rFonts w:ascii="仿宋" w:eastAsia="仿宋" w:hAnsi="仿宋" w:cs="仿宋" w:hint="eastAsia"/>
          <w:sz w:val="28"/>
          <w:szCs w:val="20"/>
        </w:rPr>
        <w:t>供应商为本项目设立专业团队，负责项目中全部设备的安装、调试、故障排除和质保期内的其他相关工作。其中供应商应确保团队的稳定性和专业性，项目经理应具有必要的项目管理经验。</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3.</w:t>
      </w:r>
      <w:r>
        <w:rPr>
          <w:rFonts w:ascii="仿宋" w:eastAsia="仿宋" w:hAnsi="仿宋" w:cs="仿宋" w:hint="eastAsia"/>
          <w:sz w:val="28"/>
          <w:szCs w:val="20"/>
        </w:rPr>
        <w:t>供应商提供完善的售后服务方案，服务方案包含不限于现场服务方案和远程技术指导方案等。</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4.</w:t>
      </w:r>
      <w:r>
        <w:rPr>
          <w:rFonts w:ascii="仿宋" w:eastAsia="仿宋" w:hAnsi="仿宋" w:cs="仿宋" w:hint="eastAsia"/>
          <w:sz w:val="28"/>
          <w:szCs w:val="20"/>
        </w:rPr>
        <w:t>供应商向采购单位提供整套设备技术资料和用于维护使用的维护手册，含性能指标、系统构成等详细的维修内容。</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5.质保期：高精度温室气体（N2O/CO）浓度观测系统（光腔衰荡光谱法）8年质保，温室气体采集、处理、标气单元配套设备（无采样管）1年质保，采样塔8年质保，方舱8年质保，UPS（含方舱）8年质保。供应商需对质保期（保内、保外）政策进行阐述或承诺，列明有偿服务和无偿服务内容。</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6.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1）设备供应商对所有设备提供自验收合格后的质保服务，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（2）在质保期内，设备供应商服务时间应为7×24小时，当投标产品或软件遭到损坏或出现故障时，要在用户报修之时起4小时内做出响应，开展维修维护工作，视情况双方协商设备恢复正常运行时限。</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（3）质保期过后，设备供应商仍有义务提供技术服务（包括提供设备维护、备件等）。</w:t>
      </w:r>
    </w:p>
    <w:p>
      <w:pPr>
        <w:ind w:firstLine="560" w:firstLineChars="200"/>
        <w:rPr>
          <w:rFonts w:ascii="仿宋" w:eastAsia="仿宋" w:hAnsi="仿宋" w:cs="仿宋" w:hint="default"/>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仿宋" w:eastAsia="仿宋" w:hAnsi="仿宋" w:cs="仿宋" w:hint="eastAsia"/>
                <w:sz w:val="28"/>
                <w:highlight w:val="yellow"/>
              </w:rPr>
              <w:t>设备供应商对高精度温室气体（N2O/CO）浓度观测系统（光腔衰荡光谱法）</w:t>
            </w:r>
            <w:r>
              <w:rPr>
                <w:rFonts w:ascii="仿宋" w:eastAsia="仿宋" w:hAnsi="仿宋" w:cs="仿宋" w:hint="eastAsia"/>
                <w:sz w:val="28"/>
                <w:highlight w:val="yellow"/>
                <w:lang w:eastAsia="zh-CN"/>
              </w:rPr>
              <w:t>、采样塔、方舱、UPS（含方舱）</w:t>
            </w:r>
            <w:r>
              <w:rPr>
                <w:rFonts w:ascii="仿宋" w:eastAsia="仿宋" w:hAnsi="仿宋" w:cs="仿宋" w:hint="eastAsia"/>
                <w:sz w:val="28"/>
                <w:highlight w:val="yellow"/>
              </w:rPr>
              <w:t>设备提供自验收合格后8年的质保服务</w:t>
            </w:r>
            <w:r>
              <w:rPr>
                <w:rFonts w:ascii="仿宋" w:eastAsia="仿宋" w:hAnsi="仿宋" w:cs="仿宋" w:hint="eastAsia"/>
                <w:sz w:val="28"/>
                <w:highlight w:val="yellow"/>
                <w:lang w:eastAsia="zh-CN"/>
              </w:rPr>
              <w:t>，</w:t>
            </w:r>
            <w:r>
              <w:rPr>
                <w:rFonts w:ascii="仿宋" w:eastAsia="仿宋" w:hAnsi="仿宋" w:cs="仿宋" w:hint="eastAsia"/>
                <w:sz w:val="28"/>
                <w:highlight w:val="yellow"/>
              </w:rPr>
              <w:t>对温室气体采集、处理、标气单元配套设备（无采样管）设备提供自验收合格后</w:t>
            </w:r>
            <w:r>
              <w:rPr>
                <w:rFonts w:ascii="仿宋" w:eastAsia="仿宋" w:hAnsi="仿宋" w:cs="仿宋" w:hint="eastAsia"/>
                <w:sz w:val="28"/>
                <w:highlight w:val="yellow"/>
                <w:lang w:val="en-US" w:eastAsia="zh-CN"/>
              </w:rPr>
              <w:t>1</w:t>
            </w:r>
            <w:r>
              <w:rPr>
                <w:rFonts w:ascii="仿宋" w:eastAsia="仿宋" w:hAnsi="仿宋" w:cs="仿宋" w:hint="eastAsia"/>
                <w:sz w:val="28"/>
                <w:highlight w:val="yellow"/>
              </w:rPr>
              <w:t>年的质保服务*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0"/>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u w:val="single"/>
        </w:rPr>
        <w:t xml:space="preserve">合同生效后付款：双方签署合同后 7 个工作日内，甲方向乙方支付合同总金额的90%， 即人民币（大写）： </w:t>
      </w:r>
      <w:r>
        <w:rPr>
          <w:rFonts w:ascii="宋体" w:hAnsi="宋体"/>
          <w:szCs w:val="21"/>
          <w:u w:val="single"/>
        </w:rPr>
        <w:t xml:space="preserve">      </w:t>
      </w:r>
      <w:r>
        <w:rPr>
          <w:rFonts w:ascii="宋体" w:hAnsi="宋体" w:hint="eastAsia"/>
          <w:szCs w:val="21"/>
          <w:u w:val="single"/>
        </w:rPr>
        <w:t xml:space="preserve">。验收后付款：设备建设完成且现场测试通过验收后7个工作日内，甲方向乙方支付合同总金额的10%， 即人民币（大写）： </w:t>
      </w:r>
      <w:r>
        <w:rPr>
          <w:rFonts w:ascii="宋体" w:hAnsi="宋体"/>
          <w:szCs w:val="21"/>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9"/>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1"/>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8"/>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altName w:val="Wingdings"/>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仿宋_GBK">
    <w:panose1 w:val="03000509000000000000"/>
    <w:charset w:val="86"/>
    <w:family w:val="auto"/>
    <w:pitch w:val="default"/>
    <w:sig w:usb0="00000001" w:usb1="080E0000" w:usb2="00000000" w:usb3="00000000" w:csb0="00040000" w:csb1="00000000"/>
  </w:font>
  <w:font w:name="Kingsoft U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113FE9B"/>
    <w:multiLevelType w:val="singleLevel"/>
    <w:tmpl w:val="3113FE9B"/>
    <w:lvl w:ilvl="0">
      <w:start w:val="7"/>
      <w:numFmt w:val="chineseCounting"/>
      <w:suff w:val="nothing"/>
      <w:lvlText w:val="%1、"/>
      <w:lvlJc w:val="left"/>
      <w:rPr>
        <w:rFonts w:hint="eastAsia"/>
      </w:r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078416C"/>
    <w:multiLevelType w:val="multilevel"/>
    <w:tmpl w:val="5078416C"/>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5">
    <w:nsid w:val="6A551D42"/>
    <w:multiLevelType w:val="multilevel"/>
    <w:tmpl w:val="6A551D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5"/>
  </w:num>
  <w:num w:numId="5">
    <w:abstractNumId w:val="12"/>
  </w:num>
  <w:num w:numId="6">
    <w:abstractNumId w:val="14"/>
  </w:num>
  <w:num w:numId="7">
    <w:abstractNumId w:val="10"/>
  </w:num>
  <w:num w:numId="8">
    <w:abstractNumId w:val="13"/>
  </w:num>
  <w:num w:numId="9">
    <w:abstractNumId w:val="16"/>
  </w:num>
  <w:num w:numId="10">
    <w:abstractNumId w:val="1"/>
  </w:num>
  <w:num w:numId="11">
    <w:abstractNumId w:val="5"/>
  </w:num>
  <w:num w:numId="12">
    <w:abstractNumId w:val="3"/>
  </w:num>
  <w:num w:numId="13">
    <w:abstractNumId w:val="2"/>
  </w:num>
  <w:num w:numId="14">
    <w:abstractNumId w:val="11"/>
  </w:num>
  <w:num w:numId="15">
    <w:abstractNumId w:val="0"/>
  </w:num>
  <w:num w:numId="16">
    <w:abstractNumId w:val="4"/>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