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土壤水分观测仪（宇宙射线法）</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ZQCD-25271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山西省气候中心；青海省气象科学研究所；德州市气象局；固原市气象局；新乡市气象局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土壤水分观测仪（宇宙射线法）</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ZQCD-25271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山西域内（临汾、运城），青海域内（海南州、玉树州），山东德州域内，宁夏固原域内，河南新乡域内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2025年09月09日 00:00:00</w:t>
      </w:r>
      <w:bookmarkEnd w:id="26"/>
      <w:r>
        <w:rPr>
          <w:rFonts w:ascii="宋体" w:hint="eastAsia"/>
          <w:szCs w:val="21"/>
          <w:highlight w:val="none"/>
        </w:rPr>
        <w:t>至</w:t>
      </w:r>
      <w:bookmarkStart w:id="27" w:name="项目公告_signUpLastTime"/>
      <w:r>
        <w:rPr>
          <w:rFonts w:ascii="宋体" w:hint="eastAsia"/>
          <w:szCs w:val="21"/>
          <w:highlight w:val="none"/>
        </w:rPr>
        <w:t>2025年09月16日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山西省气候中心；青海省气象科学研究所；德州市气象局；固原市气象局；新乡市气象局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赵海燕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0351-7236827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山西省太原市小店区平阳路80号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山西省气候中心；青海省气象科学研究所；德州市气象局；固原市气象局；新乡市气象局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不允许（仅针对以下产品：1、土壤水分观测仪（宇宙射线法）不允许代理商投标）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必须，以下产品需要提供至投标截止日仍有效的《气象专用技术装备使用许可证》：土壤水分观测仪（宇宙射线法）</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标的：土壤水分观测仪（宇宙射线法），属于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238.000000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238.000000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区间打分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销售合同必须包括土壤水分观测仪（宇宙射线法）(产品名称)，每提供1份合同得1分，最多得5分。否则不得分。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针对本项目采购的土壤水分观测仪（宇宙射线法）（产品名称），</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针对土壤水分观测仪（宇宙射线法）设备，每提供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针对土壤水分观测仪（宇宙射线法）设备，测试报告应涵盖高低温、湿热、盐雾、振动、防尘、防水、低气压（环境指标）（环境指标）等内容，每包含一项得1分，最多得3分。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3"/>
        <w:gridCol w:w="7617"/>
      </w:tblGrid>
      <w:tr>
        <w:tblPrEx>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jc w:val="center"/>
        </w:trPr>
        <w:tc>
          <w:tcPr>
            <w:tcW w:w="856" w:type="pct"/>
            <w:vAlign w:val="center"/>
          </w:tcPr>
          <w:p>
            <w:pPr>
              <w:rPr>
                <w:rFonts w:ascii="仿宋" w:eastAsia="仿宋" w:hAnsi="仿宋" w:cs="仿宋" w:hint="eastAsia"/>
              </w:rPr>
            </w:pPr>
            <w:r>
              <w:rPr>
                <w:rFonts w:ascii="仿宋" w:eastAsia="仿宋" w:hAnsi="仿宋" w:cs="仿宋" w:hint="eastAsia"/>
                <w:sz w:val="24"/>
              </w:rPr>
              <w:t>土壤水分观测仪（宇宙射线法）</w:t>
            </w:r>
          </w:p>
        </w:tc>
        <w:tc>
          <w:tcPr>
            <w:tcW w:w="4144" w:type="pct"/>
          </w:tcPr>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（1）快中子传感器</w:t>
            </w:r>
          </w:p>
          <w:p>
            <w:pPr>
              <w:rPr>
                <w:rFonts w:ascii="仿宋" w:eastAsia="仿宋" w:hAnsi="仿宋" w:cs="仿宋" w:hint="eastAsia"/>
                <w:color w:val="000000"/>
              </w:rPr>
            </w:pPr>
            <w:r>
              <w:rPr>
                <w:rFonts w:ascii="仿宋" w:eastAsia="仿宋" w:hAnsi="仿宋" w:cs="仿宋" w:hint="eastAsia"/>
                <w:color w:val="000000"/>
                <w:sz w:val="24"/>
              </w:rPr>
              <w:t>快中子传感器为智能传感器，外壳采用铝合金材质，外观呈圆柱形，内部采用气体正比计数管作为敏感元件，电子学部分可直接安装在正比计数管上，并通过环形聚乙烯固定于外壳内部。传感器直径不超过120mm，长度不超过1200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a）小时计数率范围：0～10</w:t>
            </w:r>
            <w:r>
              <w:rPr>
                <w:rFonts w:ascii="仿宋" w:eastAsia="仿宋" w:hAnsi="仿宋" w:cs="仿宋" w:hint="eastAsia"/>
                <w:color w:val="000000"/>
                <w:sz w:val="24"/>
                <w:szCs w:val="24"/>
                <w:vertAlign w:val="superscript"/>
                <w:lang w:eastAsia="zh-CN"/>
              </w:rPr>
              <w:t>5</w:t>
            </w:r>
            <w:r>
              <w:rPr>
                <w:rFonts w:ascii="仿宋" w:eastAsia="仿宋" w:hAnsi="仿宋" w:cs="仿宋" w:hint="eastAsia"/>
                <w:color w:val="000000"/>
                <w:sz w:val="24"/>
                <w:szCs w:val="24"/>
                <w:lang w:eastAsia="zh-CN"/>
              </w:rPr>
              <w:t>cph</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b）小时计数率统计相对误差：</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8%（自然环境下，测试时间不小于6小时）</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c）使用温度范围：-40～50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电流：平均值小于100mA（+12V）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（2）热中子传感器</w:t>
            </w:r>
          </w:p>
          <w:p>
            <w:pPr>
              <w:rPr>
                <w:rFonts w:ascii="仿宋" w:eastAsia="仿宋" w:hAnsi="仿宋" w:cs="仿宋" w:hint="eastAsia"/>
                <w:color w:val="000000"/>
              </w:rPr>
            </w:pPr>
            <w:r>
              <w:rPr>
                <w:rFonts w:ascii="仿宋" w:eastAsia="仿宋" w:hAnsi="仿宋" w:cs="仿宋" w:hint="eastAsia"/>
                <w:color w:val="000000"/>
                <w:sz w:val="24"/>
              </w:rPr>
              <w:t>热中子传感器为智能传感器，外壳采用铝合金材质，外观呈圆柱形，内部采用气体正比计数管作为敏感元件，电子学部分可直接安装在正比计数管上，并通过金属支架固定于外壳内部。传感器直径不超过120mm，长度不超过1200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a）小时计数率范围：0～10</w:t>
            </w:r>
            <w:r>
              <w:rPr>
                <w:rFonts w:ascii="仿宋" w:eastAsia="仿宋" w:hAnsi="仿宋" w:cs="仿宋" w:hint="eastAsia"/>
                <w:color w:val="000000"/>
                <w:sz w:val="24"/>
                <w:szCs w:val="24"/>
                <w:vertAlign w:val="superscript"/>
                <w:lang w:eastAsia="zh-CN"/>
              </w:rPr>
              <w:t>5</w:t>
            </w:r>
            <w:r>
              <w:rPr>
                <w:rFonts w:ascii="仿宋" w:eastAsia="仿宋" w:hAnsi="仿宋" w:cs="仿宋" w:hint="eastAsia"/>
                <w:color w:val="000000"/>
                <w:sz w:val="24"/>
                <w:szCs w:val="24"/>
                <w:lang w:eastAsia="zh-CN"/>
              </w:rPr>
              <w:t>cph</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b）小时计数率统计相对误差：</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8%（自然环境下，测试时间不小于6小时）</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c）使用温度范围：-40～50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电流：平均值小于100mA（+12V）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（3）气压传感器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气压传感器由压敏元件、测量电路、监测电路、处理器、供电电路、电源和RS232接口组成，为智能传感器。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a）测量范围：500～1100hPa</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b）分辨力：0.1hPa</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c）</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0.3hPa</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电流：平均值小于30mA（+12V）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（4）温度传感器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温度传感器由铂电阻感应元件、测量电路、监测电路、处理器、供电电路、电源和RS232接口组成，为智能传感器。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a）测量范围：-50～50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b）分辨力：0.1</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highlight w:val="yellow"/>
                <w:lang w:eastAsia="zh-CN"/>
              </w:rPr>
              <w:t>c）#准确度：</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lang w:eastAsia="zh-CN"/>
              </w:rPr>
              <w:t>0.2</w:t>
            </w:r>
            <w:r>
              <w:rPr>
                <w:rFonts w:ascii="仿宋" w:eastAsia="仿宋" w:hAnsi="仿宋" w:cs="仿宋" w:hint="eastAsia"/>
                <w:color w:val="000000"/>
                <w:sz w:val="24"/>
                <w:szCs w:val="24"/>
                <w:highlight w:val="yellow"/>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d）时间常数：</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20S（通风速度2.5m/s）</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（5）湿度传感器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湿度传感器由湿敏电容感应元件、温度补偿电路、测量电路、监测电路、处理器、供电电路、电源和RS232接口组成，为智能传感器。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a）测量范围：5～100%RH</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b）分辨力：1%RH</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c）</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3%RH（</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80%），</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5%RH（＞80%）</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e）时间常数：</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40s</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g）输出方式：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（6）雨量传感器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雨量传感器由翻斗式雨量传感器、测量电路、监测电路、处理器、供电电路、电源接口和RS232接口组成，为智能传感器。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a）承水口面积：314.16cm</w:t>
            </w:r>
            <w:r>
              <w:rPr>
                <w:rFonts w:ascii="仿宋" w:eastAsia="仿宋" w:hAnsi="仿宋" w:cs="仿宋" w:hint="eastAsia"/>
                <w:color w:val="000000"/>
                <w:sz w:val="24"/>
                <w:szCs w:val="24"/>
                <w:vertAlign w:val="superscript"/>
                <w:lang w:eastAsia="zh-CN"/>
              </w:rPr>
              <w:t>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b）雨强测量范围：0～4mm/min</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c）分辨力：0.1mm</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d）</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准确度：0.4mm（</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10mm），</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4%（＞10mm）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e）使用温度范围：0～50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g）输出方式：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（7）数据采集器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具有RS-232、网口接口</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（8）供电系统</w:t>
            </w:r>
          </w:p>
          <w:p>
            <w:pPr>
              <w:rPr>
                <w:rFonts w:ascii="仿宋" w:eastAsia="仿宋" w:hAnsi="仿宋" w:cs="仿宋"/>
                <w:color w:val="000000"/>
              </w:rPr>
            </w:pPr>
            <w:r>
              <w:rPr>
                <w:rFonts w:ascii="仿宋" w:eastAsia="仿宋" w:hAnsi="仿宋" w:cs="仿宋" w:hint="eastAsia"/>
                <w:color w:val="000000"/>
                <w:sz w:val="24"/>
              </w:rPr>
              <w:t>供电电源为12V蓄电池。</w:t>
            </w:r>
          </w:p>
          <w:p>
            <w:pPr>
              <w:rPr>
                <w:rFonts w:ascii="仿宋" w:eastAsia="仿宋" w:hAnsi="仿宋" w:cs="仿宋" w:hint="eastAsia"/>
                <w:color w:val="000000"/>
                <w:highlight w:val="yellow"/>
              </w:rPr>
            </w:pPr>
            <w:r>
              <w:rPr>
                <w:rFonts w:ascii="仿宋" w:eastAsia="仿宋" w:hAnsi="仿宋" w:cs="仿宋" w:hint="eastAsia"/>
                <w:color w:val="000000"/>
                <w:sz w:val="24"/>
                <w:highlight w:val="yellow"/>
              </w:rPr>
              <w:t>#其容量必须保证设备能在脱离辅助电源的条件下连续工作15天。</w:t>
            </w:r>
          </w:p>
          <w:p>
            <w:pPr>
              <w:rPr>
                <w:rFonts w:ascii="仿宋" w:eastAsia="仿宋" w:hAnsi="仿宋" w:cs="仿宋" w:hint="eastAsia"/>
              </w:rPr>
            </w:pPr>
            <w:r>
              <w:rPr>
                <w:rFonts w:ascii="仿宋" w:eastAsia="仿宋" w:hAnsi="仿宋" w:cs="仿宋" w:hint="eastAsia"/>
                <w:color w:val="000000"/>
                <w:sz w:val="24"/>
                <w:highlight w:val="yellow"/>
              </w:rPr>
              <w:t>#整机功耗不大于6W。</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（9）通信系统</w:t>
            </w:r>
          </w:p>
          <w:p>
            <w:pPr>
              <w:rPr>
                <w:rFonts w:ascii="仿宋" w:eastAsia="仿宋" w:hAnsi="仿宋" w:cs="仿宋" w:hint="eastAsia"/>
                <w:color w:val="000000"/>
              </w:rPr>
            </w:pPr>
            <w:r>
              <w:rPr>
                <w:rFonts w:ascii="仿宋" w:eastAsia="仿宋" w:hAnsi="仿宋" w:cs="仿宋" w:hint="eastAsia"/>
                <w:color w:val="000000"/>
                <w:sz w:val="24"/>
              </w:rPr>
              <w:t>支持有线和无线通信接口。</w:t>
            </w:r>
          </w:p>
          <w:p>
            <w:pPr>
              <w:rPr>
                <w:rFonts w:ascii="仿宋" w:eastAsia="仿宋" w:hAnsi="仿宋" w:cs="仿宋" w:hint="eastAsia"/>
                <w:color w:val="000000"/>
              </w:rPr>
            </w:pPr>
            <w:r>
              <w:rPr>
                <w:rFonts w:ascii="仿宋" w:eastAsia="仿宋" w:hAnsi="仿宋" w:cs="仿宋" w:hint="eastAsia"/>
                <w:color w:val="000000"/>
                <w:sz w:val="24"/>
              </w:rPr>
              <w:t>无线通信：无线通信模块支持4G、5G等无线传输协议。</w:t>
            </w:r>
          </w:p>
          <w:p>
            <w:pPr>
              <w:rPr>
                <w:rFonts w:ascii="仿宋" w:eastAsia="仿宋" w:hAnsi="仿宋" w:cs="仿宋" w:hint="eastAsia"/>
                <w:color w:val="000000"/>
              </w:rPr>
            </w:pPr>
            <w:r>
              <w:rPr>
                <w:rFonts w:ascii="仿宋" w:eastAsia="仿宋" w:hAnsi="仿宋" w:cs="仿宋" w:hint="eastAsia"/>
                <w:color w:val="000000"/>
                <w:sz w:val="24"/>
              </w:rPr>
              <w:t>有线通信：数据采集器支持RJ45网线和RS232接入。</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（10）配套设备</w:t>
            </w:r>
          </w:p>
          <w:p>
            <w:pPr>
              <w:widowControl/>
              <w:rPr>
                <w:rFonts w:ascii="仿宋" w:eastAsia="仿宋" w:hAnsi="仿宋" w:cs="仿宋"/>
                <w:color w:val="000000"/>
              </w:rPr>
            </w:pPr>
            <w:r>
              <w:rPr>
                <w:rFonts w:ascii="仿宋" w:eastAsia="仿宋" w:hAnsi="仿宋" w:cs="仿宋" w:hint="eastAsia"/>
                <w:color w:val="000000"/>
                <w:sz w:val="24"/>
              </w:rPr>
              <w:t>包括立柱、机箱、避雷针等。</w:t>
            </w:r>
          </w:p>
          <w:p>
            <w:pPr>
              <w:widowControl/>
              <w:rPr>
                <w:rFonts w:ascii="仿宋" w:eastAsia="仿宋" w:hAnsi="仿宋" w:cs="仿宋"/>
                <w:color w:val="000000"/>
              </w:rPr>
            </w:pPr>
            <w:r>
              <w:rPr>
                <w:rFonts w:ascii="仿宋" w:eastAsia="仿宋" w:hAnsi="仿宋" w:cs="仿宋" w:hint="eastAsia"/>
                <w:color w:val="000000"/>
                <w:sz w:val="24"/>
              </w:rPr>
              <w:t>（11）气候条件</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#低温贮存温度</w:t>
            </w:r>
            <w:r>
              <w:rPr>
                <w:rFonts w:ascii="仿宋" w:eastAsia="仿宋" w:hAnsi="仿宋" w:cs="仿宋"/>
                <w:color w:val="000000"/>
                <w:sz w:val="24"/>
                <w:highlight w:val="yellow"/>
              </w:rPr>
              <w:t>：-40</w:t>
            </w:r>
            <w:r>
              <w:rPr>
                <w:rFonts w:ascii="仿宋" w:eastAsia="仿宋" w:hAnsi="仿宋" w:cs="仿宋" w:hint="eastAsia"/>
                <w:color w:val="000000"/>
                <w:sz w:val="24"/>
                <w:highlight w:val="yellow"/>
              </w:rPr>
              <w:t>℃</w:t>
            </w:r>
          </w:p>
          <w:p>
            <w:pPr>
              <w:widowControl/>
              <w:rPr>
                <w:rFonts w:ascii="仿宋" w:eastAsia="仿宋" w:hAnsi="仿宋" w:cs="仿宋"/>
                <w:color w:val="000000"/>
                <w:highlight w:val="yellow"/>
              </w:rPr>
            </w:pPr>
            <w:r>
              <w:rPr>
                <w:rFonts w:ascii="仿宋" w:eastAsia="仿宋" w:hAnsi="仿宋" w:cs="仿宋" w:hint="eastAsia"/>
                <w:color w:val="000000"/>
                <w:sz w:val="24"/>
                <w:highlight w:val="yellow"/>
              </w:rPr>
              <w:t>#低温工作温度</w:t>
            </w:r>
            <w:r>
              <w:rPr>
                <w:rFonts w:ascii="仿宋" w:eastAsia="仿宋" w:hAnsi="仿宋" w:cs="仿宋"/>
                <w:color w:val="000000"/>
                <w:sz w:val="24"/>
                <w:highlight w:val="yellow"/>
              </w:rPr>
              <w:t>：-40</w:t>
            </w:r>
            <w:r>
              <w:rPr>
                <w:rFonts w:ascii="仿宋" w:eastAsia="仿宋" w:hAnsi="仿宋" w:cs="仿宋" w:hint="eastAsia"/>
                <w:color w:val="000000"/>
                <w:sz w:val="24"/>
                <w:highlight w:val="yellow"/>
              </w:rPr>
              <w:t>℃</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#高温贮存温度</w:t>
            </w:r>
            <w:r>
              <w:rPr>
                <w:rFonts w:ascii="仿宋" w:eastAsia="仿宋" w:hAnsi="仿宋" w:cs="仿宋"/>
                <w:color w:val="000000"/>
                <w:sz w:val="24"/>
                <w:highlight w:val="yellow"/>
              </w:rPr>
              <w:t>：+6</w:t>
            </w:r>
            <w:r>
              <w:rPr>
                <w:rFonts w:ascii="仿宋" w:eastAsia="仿宋" w:hAnsi="仿宋" w:cs="仿宋" w:hint="eastAsia"/>
                <w:color w:val="000000"/>
                <w:sz w:val="24"/>
                <w:highlight w:val="yellow"/>
              </w:rPr>
              <w:t>0</w:t>
            </w:r>
            <w:r>
              <w:rPr>
                <w:rFonts w:ascii="仿宋" w:eastAsia="仿宋" w:hAnsi="仿宋" w:cs="仿宋" w:hint="eastAsia"/>
                <w:color w:val="000000"/>
                <w:sz w:val="24"/>
                <w:highlight w:val="yellow"/>
              </w:rPr>
              <w:t>℃</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#高温工作温度</w:t>
            </w:r>
            <w:r>
              <w:rPr>
                <w:rFonts w:ascii="仿宋" w:eastAsia="仿宋" w:hAnsi="仿宋" w:cs="仿宋"/>
                <w:color w:val="000000"/>
                <w:sz w:val="24"/>
                <w:highlight w:val="yellow"/>
              </w:rPr>
              <w:t>：+</w:t>
            </w:r>
            <w:r>
              <w:rPr>
                <w:rFonts w:ascii="仿宋" w:eastAsia="仿宋" w:hAnsi="仿宋" w:cs="仿宋" w:hint="eastAsia"/>
                <w:color w:val="000000"/>
                <w:sz w:val="24"/>
                <w:highlight w:val="yellow"/>
              </w:rPr>
              <w:t>50</w:t>
            </w:r>
            <w:r>
              <w:rPr>
                <w:rFonts w:ascii="仿宋" w:eastAsia="仿宋" w:hAnsi="仿宋" w:cs="仿宋" w:hint="eastAsia"/>
                <w:color w:val="000000"/>
                <w:sz w:val="24"/>
                <w:highlight w:val="yellow"/>
              </w:rPr>
              <w:t>℃</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2227"/>
        <w:gridCol w:w="1026"/>
        <w:gridCol w:w="1426"/>
        <w:gridCol w:w="1626"/>
        <w:gridCol w:w="1026"/>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植被和土壤水分观测仪</w:t>
            </w:r>
          </w:p>
        </w:tc>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2,380,000.00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2,380,000.00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93"/>
        <w:gridCol w:w="1021"/>
        <w:gridCol w:w="1398"/>
        <w:gridCol w:w="393"/>
        <w:gridCol w:w="895"/>
        <w:gridCol w:w="682"/>
        <w:gridCol w:w="2907"/>
        <w:gridCol w:w="8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山西省气候中心</w:t>
            </w:r>
          </w:p>
        </w:tc>
        <w:tc>
          <w:tcPr/>
          <w:p>
            <w:r>
              <w:t>植被和土壤水分观测仪</w:t>
            </w:r>
          </w:p>
        </w:tc>
        <w:tc>
          <w:tcPr/>
          <w:p>
            <w:r>
              <w:t>2</w:t>
            </w:r>
          </w:p>
        </w:tc>
        <w:tc>
          <w:tcPr/>
          <w:p>
            <w:r>
              <w:t>680000.00</w:t>
            </w:r>
          </w:p>
        </w:tc>
        <w:tc>
          <w:tcPr/>
          <w:p>
            <w:r>
              <w:t xml:space="preserve">680000.00  </w:t>
            </w:r>
          </w:p>
        </w:tc>
        <w:tc>
          <w:tcPr/>
          <w:p>
            <w:r>
              <w:t>山西域内（临汾、运城）</w:t>
            </w:r>
          </w:p>
        </w:tc>
        <w:tc>
          <w:tcPr/>
          <w:p>
            <w:r>
              <w:t>赵海燕 18636667215</w:t>
            </w:r>
          </w:p>
        </w:tc>
      </w:tr>
      <w:tr>
        <w:tblPrEx>
          <w:tblW w:w="5000" w:type="pct"/>
          <w:tblCellMar>
            <w:left w:w="108" w:type="dxa"/>
            <w:right w:w="108" w:type="dxa"/>
          </w:tblCellMar>
        </w:tblPrEx>
        <w:tc>
          <w:tcPr/>
          <w:p>
            <w:r>
              <w:t>2</w:t>
            </w:r>
          </w:p>
        </w:tc>
        <w:tc>
          <w:tcPr/>
          <w:p>
            <w:r>
              <w:t>德州市局</w:t>
            </w:r>
          </w:p>
        </w:tc>
        <w:tc>
          <w:tcPr/>
          <w:p>
            <w:r>
              <w:t>植被和土壤水分观测仪</w:t>
            </w:r>
          </w:p>
        </w:tc>
        <w:tc>
          <w:tcPr/>
          <w:p>
            <w:r>
              <w:t>1</w:t>
            </w:r>
          </w:p>
        </w:tc>
        <w:tc>
          <w:tcPr/>
          <w:p>
            <w:r>
              <w:t>340000.00</w:t>
            </w:r>
          </w:p>
        </w:tc>
        <w:tc>
          <w:tcPr/>
          <w:p>
            <w:r>
              <w:t xml:space="preserve">340000.00 </w:t>
            </w:r>
          </w:p>
        </w:tc>
        <w:tc>
          <w:tcPr/>
          <w:p>
            <w:r>
              <w:t>山东省德州市</w:t>
            </w:r>
          </w:p>
        </w:tc>
        <w:tc>
          <w:tcPr/>
          <w:p>
            <w:r>
              <w:t>张庆 19520586356</w:t>
            </w:r>
          </w:p>
        </w:tc>
      </w:tr>
      <w:tr>
        <w:tblPrEx>
          <w:tblW w:w="5000" w:type="pct"/>
          <w:tblCellMar>
            <w:left w:w="108" w:type="dxa"/>
            <w:right w:w="108" w:type="dxa"/>
          </w:tblCellMar>
        </w:tblPrEx>
        <w:tc>
          <w:tcPr/>
          <w:p>
            <w:r>
              <w:t>3</w:t>
            </w:r>
          </w:p>
        </w:tc>
        <w:tc>
          <w:tcPr/>
          <w:p>
            <w:r>
              <w:t>新乡市局</w:t>
            </w:r>
          </w:p>
        </w:tc>
        <w:tc>
          <w:tcPr/>
          <w:p>
            <w:r>
              <w:t>植被和土壤水分观测仪</w:t>
            </w:r>
          </w:p>
        </w:tc>
        <w:tc>
          <w:tcPr/>
          <w:p>
            <w:r>
              <w:t>1</w:t>
            </w:r>
          </w:p>
        </w:tc>
        <w:tc>
          <w:tcPr/>
          <w:p>
            <w:r>
              <w:t>340000.00</w:t>
            </w:r>
          </w:p>
        </w:tc>
        <w:tc>
          <w:tcPr/>
          <w:p>
            <w:r>
              <w:t xml:space="preserve">340000.00  </w:t>
            </w:r>
          </w:p>
        </w:tc>
        <w:tc>
          <w:tcPr/>
          <w:p>
            <w:r>
              <w:t>河南省新乡市</w:t>
            </w:r>
          </w:p>
        </w:tc>
        <w:tc>
          <w:tcPr/>
          <w:p>
            <w:r>
              <w:t>马进 15737990800</w:t>
            </w:r>
          </w:p>
        </w:tc>
      </w:tr>
      <w:tr>
        <w:tblPrEx>
          <w:tblW w:w="5000" w:type="pct"/>
          <w:tblCellMar>
            <w:left w:w="108" w:type="dxa"/>
            <w:right w:w="108" w:type="dxa"/>
          </w:tblCellMar>
        </w:tblPrEx>
        <w:tc>
          <w:tcPr/>
          <w:p>
            <w:r>
              <w:t>4</w:t>
            </w:r>
          </w:p>
        </w:tc>
        <w:tc>
          <w:tcPr/>
          <w:p>
            <w:r>
              <w:t>科研所</w:t>
            </w:r>
          </w:p>
        </w:tc>
        <w:tc>
          <w:tcPr/>
          <w:p>
            <w:r>
              <w:t>植被和土壤水分观测仪</w:t>
            </w:r>
          </w:p>
        </w:tc>
        <w:tc>
          <w:tcPr/>
          <w:p>
            <w:r>
              <w:t>2</w:t>
            </w:r>
          </w:p>
        </w:tc>
        <w:tc>
          <w:tcPr/>
          <w:p>
            <w:r>
              <w:t>680000.00</w:t>
            </w:r>
          </w:p>
        </w:tc>
        <w:tc>
          <w:tcPr/>
          <w:p>
            <w:r>
              <w:t xml:space="preserve">680000.00 </w:t>
            </w:r>
          </w:p>
        </w:tc>
        <w:tc>
          <w:tcPr/>
          <w:p>
            <w:r>
              <w:t>青海省域内（海南藏族自治州、玉树藏族自治州）</w:t>
            </w:r>
          </w:p>
        </w:tc>
        <w:tc>
          <w:tcPr/>
          <w:p>
            <w:r>
              <w:t>姬海娟 13770539067</w:t>
            </w:r>
          </w:p>
        </w:tc>
      </w:tr>
      <w:tr>
        <w:tblPrEx>
          <w:tblW w:w="5000" w:type="pct"/>
          <w:tblCellMar>
            <w:left w:w="108" w:type="dxa"/>
            <w:right w:w="108" w:type="dxa"/>
          </w:tblCellMar>
        </w:tblPrEx>
        <w:tc>
          <w:tcPr/>
          <w:p>
            <w:r>
              <w:t>5</w:t>
            </w:r>
          </w:p>
        </w:tc>
        <w:tc>
          <w:tcPr/>
          <w:p>
            <w:r>
              <w:t>固原市局</w:t>
            </w:r>
          </w:p>
        </w:tc>
        <w:tc>
          <w:tcPr/>
          <w:p>
            <w:r>
              <w:t>植被和土壤水分观测仪</w:t>
            </w:r>
          </w:p>
        </w:tc>
        <w:tc>
          <w:tcPr/>
          <w:p>
            <w:r>
              <w:t>1</w:t>
            </w:r>
          </w:p>
        </w:tc>
        <w:tc>
          <w:tcPr/>
          <w:p>
            <w:r>
              <w:t>340000.00</w:t>
            </w:r>
          </w:p>
        </w:tc>
        <w:tc>
          <w:tcPr/>
          <w:p>
            <w:r>
              <w:t xml:space="preserve">340000.00  </w:t>
            </w:r>
          </w:p>
        </w:tc>
        <w:tc>
          <w:tcPr/>
          <w:p>
            <w:r>
              <w:t>宁夏固原市</w:t>
            </w:r>
          </w:p>
        </w:tc>
        <w:tc>
          <w:tcPr/>
          <w:p>
            <w:r>
              <w:t>陈利伟 18009549510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3A631E" w:rsidRPr="005D143B">
      <w:pPr>
        <w:spacing w:line="560" w:lineRule="exact"/>
        <w:ind w:firstLine="720" w:firstLineChars="200"/>
        <w:jc w:val="center"/>
        <w:rPr>
          <w:rFonts w:ascii="仿宋" w:eastAsia="仿宋" w:hAnsi="仿宋" w:cs="仿宋"/>
          <w:b/>
          <w:sz w:val="28"/>
          <w:szCs w:val="20"/>
        </w:rPr>
      </w:pPr>
      <w:r w:rsidRPr="005D143B">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sidRPr="005D143B">
        <w:rPr>
          <w:rFonts w:ascii="仿宋" w:eastAsia="仿宋" w:hAnsi="仿宋" w:cs="仿宋"/>
          <w:b/>
          <w:sz w:val="36"/>
          <w:szCs w:val="36"/>
        </w:rPr>
        <w:instrText>ADDIN CNKISM.UserStyle</w:instrText>
      </w:r>
      <w:r w:rsidRPr="005D143B">
        <w:rPr>
          <w:rFonts w:ascii="仿宋" w:eastAsia="仿宋" w:hAnsi="仿宋" w:cs="仿宋"/>
          <w:b/>
          <w:sz w:val="36"/>
          <w:szCs w:val="36"/>
        </w:rPr>
        <w:fldChar w:fldCharType="separate"/>
      </w:r>
      <w:r w:rsidRPr="005D143B">
        <w:rPr>
          <w:rFonts w:ascii="仿宋" w:eastAsia="仿宋" w:hAnsi="仿宋" w:cs="仿宋"/>
          <w:b/>
          <w:sz w:val="36"/>
          <w:szCs w:val="36"/>
        </w:rPr>
        <w:fldChar w:fldCharType="end"/>
      </w:r>
      <w:r w:rsidRPr="005D143B">
        <w:rPr>
          <w:rFonts w:ascii="仿宋" w:eastAsia="仿宋" w:hAnsi="仿宋" w:cs="仿宋" w:hint="eastAsia"/>
          <w:b/>
          <w:sz w:val="36"/>
          <w:szCs w:val="36"/>
        </w:rPr>
        <w:t>采购需求（其他技术及商务需求）</w:t>
      </w:r>
    </w:p>
    <w:p w:rsidR="003A631E" w:rsidRPr="005D143B">
      <w:pPr>
        <w:spacing w:line="560" w:lineRule="exact"/>
        <w:ind w:firstLine="560" w:firstLineChars="200"/>
        <w:rPr>
          <w:rFonts w:ascii="仿宋" w:eastAsia="仿宋" w:hAnsi="仿宋" w:cs="仿宋"/>
          <w:b/>
          <w:bCs/>
          <w:sz w:val="28"/>
          <w:szCs w:val="20"/>
        </w:rPr>
      </w:pPr>
      <w:r w:rsidRPr="005D143B">
        <w:rPr>
          <w:rFonts w:ascii="仿宋" w:eastAsia="仿宋" w:hAnsi="仿宋" w:cs="仿宋" w:hint="eastAsia"/>
          <w:b/>
          <w:bCs/>
          <w:sz w:val="28"/>
          <w:szCs w:val="20"/>
        </w:rPr>
        <w:t>一、项目概况及总体要求</w:t>
      </w:r>
    </w:p>
    <w:p w:rsidR="00285346" w:rsidRPr="005D143B" w:rsidP="00285346">
      <w:pPr>
        <w:ind w:firstLine="560" w:firstLineChars="200"/>
        <w:rPr>
          <w:rFonts w:ascii="仿宋" w:eastAsia="仿宋" w:hAnsi="仿宋" w:cs="仿宋"/>
          <w:sz w:val="28"/>
          <w:szCs w:val="20"/>
        </w:rPr>
      </w:pPr>
      <w:r w:rsidRPr="005D143B">
        <w:rPr>
          <w:rFonts w:ascii="仿宋" w:eastAsia="仿宋" w:hAnsi="仿宋" w:cs="仿宋" w:hint="eastAsia"/>
          <w:sz w:val="28"/>
          <w:szCs w:val="20"/>
        </w:rPr>
        <w:t>新建</w:t>
      </w:r>
      <w:r w:rsidRPr="005D143B">
        <w:rPr>
          <w:rFonts w:ascii="仿宋" w:eastAsia="仿宋" w:hAnsi="仿宋" w:cs="仿宋"/>
          <w:sz w:val="28"/>
          <w:szCs w:val="20"/>
        </w:rPr>
        <w:t>7</w:t>
      </w:r>
      <w:r w:rsidRPr="005D143B">
        <w:rPr>
          <w:rFonts w:ascii="仿宋" w:eastAsia="仿宋" w:hAnsi="仿宋" w:cs="仿宋" w:hint="eastAsia"/>
          <w:sz w:val="28"/>
          <w:szCs w:val="20"/>
        </w:rPr>
        <w:t>套土壤水分观测仪（宇宙射线法），提升山西省、青海省、山东德州市、宁夏固原市、河南新乡市生态气象要素野外调查与数据获取能力、关键生态气象要素卫星遥感反演精度等能力。</w:t>
      </w:r>
    </w:p>
    <w:p w:rsidR="003A631E" w:rsidRPr="005D143B">
      <w:pPr>
        <w:ind w:firstLine="560" w:firstLineChars="200"/>
        <w:rPr>
          <w:rFonts w:ascii="仿宋" w:eastAsia="仿宋" w:hAnsi="仿宋" w:cs="仿宋"/>
          <w:b/>
          <w:bCs/>
          <w:sz w:val="28"/>
          <w:szCs w:val="20"/>
        </w:rPr>
      </w:pPr>
      <w:r w:rsidRPr="005D143B">
        <w:rPr>
          <w:rFonts w:ascii="仿宋" w:eastAsia="仿宋" w:hAnsi="仿宋" w:cs="仿宋" w:hint="eastAsia"/>
          <w:b/>
          <w:bCs/>
          <w:sz w:val="28"/>
          <w:szCs w:val="20"/>
        </w:rPr>
        <w:t>二、售后服务要求</w:t>
      </w:r>
    </w:p>
    <w:p w:rsidR="003A631E" w:rsidRPr="005D143B">
      <w:pPr>
        <w:ind w:firstLine="560" w:firstLineChars="200"/>
        <w:rPr>
          <w:rFonts w:ascii="仿宋" w:eastAsia="仿宋" w:hAnsi="仿宋" w:cs="仿宋"/>
          <w:sz w:val="28"/>
          <w:szCs w:val="20"/>
        </w:rPr>
      </w:pPr>
      <w:r w:rsidRPr="005D143B">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3A631E" w:rsidRPr="005D143B">
      <w:pPr>
        <w:ind w:firstLine="560" w:firstLineChars="200"/>
        <w:rPr>
          <w:rFonts w:ascii="仿宋" w:eastAsia="仿宋" w:hAnsi="仿宋" w:cs="仿宋"/>
          <w:b/>
          <w:bCs/>
          <w:sz w:val="28"/>
          <w:szCs w:val="20"/>
        </w:rPr>
      </w:pPr>
      <w:r w:rsidRPr="005D143B">
        <w:rPr>
          <w:rFonts w:ascii="仿宋" w:eastAsia="仿宋" w:hAnsi="仿宋" w:cs="仿宋" w:hint="eastAsia"/>
          <w:b/>
          <w:bCs/>
          <w:sz w:val="28"/>
          <w:szCs w:val="20"/>
        </w:rPr>
        <w:t>三、培训要求</w:t>
      </w:r>
    </w:p>
    <w:p w:rsidR="003A631E" w:rsidRPr="005D143B">
      <w:pPr>
        <w:ind w:firstLine="560" w:firstLineChars="200"/>
        <w:rPr>
          <w:rFonts w:ascii="仿宋" w:eastAsia="仿宋" w:hAnsi="仿宋" w:cs="仿宋"/>
          <w:sz w:val="28"/>
          <w:szCs w:val="20"/>
        </w:rPr>
      </w:pPr>
      <w:r w:rsidRPr="005D143B">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3A631E" w:rsidRPr="005D143B">
      <w:pPr>
        <w:ind w:firstLine="560" w:firstLineChars="200"/>
        <w:rPr>
          <w:rFonts w:ascii="仿宋" w:eastAsia="仿宋" w:hAnsi="仿宋" w:cs="仿宋"/>
          <w:sz w:val="28"/>
          <w:szCs w:val="20"/>
        </w:rPr>
      </w:pPr>
      <w:r w:rsidRPr="005D143B">
        <w:rPr>
          <w:rFonts w:ascii="仿宋" w:eastAsia="仿宋" w:hAnsi="仿宋" w:cs="仿宋" w:hint="eastAsia"/>
          <w:sz w:val="28"/>
          <w:szCs w:val="20"/>
        </w:rPr>
        <w:t>设备供应商对每套投标产品提供至少2次技术培训，</w:t>
      </w:r>
      <w:r w:rsidRPr="005D143B" w:rsidR="00A85A8C">
        <w:rPr>
          <w:rFonts w:ascii="仿宋" w:eastAsia="仿宋" w:hAnsi="仿宋" w:cs="仿宋" w:hint="eastAsia"/>
          <w:sz w:val="28"/>
          <w:szCs w:val="20"/>
        </w:rPr>
        <w:t>培训课时</w:t>
      </w:r>
      <w:r w:rsidRPr="005D143B" w:rsidR="00A85A8C">
        <w:rPr>
          <w:rFonts w:ascii="仿宋" w:eastAsia="仿宋" w:hAnsi="仿宋" w:cs="仿宋"/>
          <w:sz w:val="28"/>
          <w:szCs w:val="20"/>
        </w:rPr>
        <w:t>不少于6</w:t>
      </w:r>
      <w:r w:rsidRPr="005D143B" w:rsidR="00A85A8C">
        <w:rPr>
          <w:rFonts w:ascii="仿宋" w:eastAsia="仿宋" w:hAnsi="仿宋" w:cs="仿宋" w:hint="eastAsia"/>
          <w:sz w:val="28"/>
          <w:szCs w:val="20"/>
        </w:rPr>
        <w:t>个</w:t>
      </w:r>
      <w:r w:rsidRPr="005D143B" w:rsidR="00A85A8C">
        <w:rPr>
          <w:rFonts w:ascii="仿宋" w:eastAsia="仿宋" w:hAnsi="仿宋" w:cs="仿宋"/>
          <w:sz w:val="28"/>
          <w:szCs w:val="20"/>
        </w:rPr>
        <w:t>课时，培训人数不少于10</w:t>
      </w:r>
      <w:r w:rsidRPr="005D143B" w:rsidR="00A85A8C">
        <w:rPr>
          <w:rFonts w:ascii="仿宋" w:eastAsia="仿宋" w:hAnsi="仿宋" w:cs="仿宋" w:hint="eastAsia"/>
          <w:sz w:val="28"/>
          <w:szCs w:val="20"/>
        </w:rPr>
        <w:t>人</w:t>
      </w:r>
      <w:r w:rsidRPr="005D143B" w:rsidR="00A85A8C">
        <w:rPr>
          <w:rFonts w:ascii="仿宋" w:eastAsia="仿宋" w:hAnsi="仿宋" w:cs="仿宋"/>
          <w:sz w:val="28"/>
          <w:szCs w:val="20"/>
        </w:rPr>
        <w:t>。</w:t>
      </w:r>
      <w:r w:rsidRPr="005D143B">
        <w:rPr>
          <w:rFonts w:ascii="仿宋" w:eastAsia="仿宋" w:hAnsi="仿宋" w:cs="仿宋" w:hint="eastAsia"/>
          <w:sz w:val="28"/>
          <w:szCs w:val="20"/>
        </w:rPr>
        <w:t>培训内容包括设备安装、使用、日常维护、观测原理及产品应用，培训时间及地点双方协商确定。</w:t>
      </w:r>
    </w:p>
    <w:p w:rsidR="003A631E" w:rsidRPr="005D143B">
      <w:pPr>
        <w:ind w:firstLine="560" w:firstLineChars="200"/>
        <w:rPr>
          <w:rFonts w:ascii="仿宋" w:eastAsia="仿宋" w:hAnsi="仿宋" w:cs="仿宋"/>
          <w:b/>
          <w:bCs/>
          <w:sz w:val="28"/>
          <w:szCs w:val="20"/>
        </w:rPr>
      </w:pPr>
      <w:r w:rsidRPr="005D143B">
        <w:rPr>
          <w:rFonts w:ascii="仿宋" w:eastAsia="仿宋" w:hAnsi="仿宋" w:cs="仿宋" w:hint="eastAsia"/>
          <w:b/>
          <w:bCs/>
          <w:sz w:val="28"/>
          <w:szCs w:val="20"/>
        </w:rPr>
        <w:t>四、交货要求及履约地点</w:t>
      </w:r>
    </w:p>
    <w:p w:rsidR="003A631E" w:rsidRPr="005D143B">
      <w:pPr>
        <w:ind w:firstLine="560" w:firstLineChars="200"/>
        <w:rPr>
          <w:rFonts w:ascii="仿宋" w:eastAsia="仿宋" w:hAnsi="仿宋" w:cs="仿宋"/>
          <w:sz w:val="28"/>
          <w:szCs w:val="20"/>
        </w:rPr>
      </w:pPr>
      <w:r w:rsidRPr="005D143B">
        <w:rPr>
          <w:rFonts w:ascii="仿宋" w:eastAsia="仿宋" w:hAnsi="仿宋" w:cs="仿宋" w:hint="eastAsia"/>
          <w:sz w:val="28"/>
          <w:szCs w:val="20"/>
        </w:rPr>
        <w:t>中标供应商将所有设备运送至</w:t>
      </w:r>
      <w:r w:rsidRPr="005D143B" w:rsidR="00A85A8C">
        <w:rPr>
          <w:rFonts w:ascii="仿宋" w:eastAsia="仿宋" w:hAnsi="仿宋" w:cs="仿宋" w:hint="eastAsia"/>
          <w:sz w:val="28"/>
          <w:szCs w:val="20"/>
        </w:rPr>
        <w:t>山西域内（临汾、运城）</w:t>
      </w:r>
      <w:r w:rsidRPr="005D143B">
        <w:rPr>
          <w:rFonts w:ascii="仿宋" w:eastAsia="仿宋" w:hAnsi="仿宋" w:cs="仿宋" w:hint="eastAsia"/>
          <w:sz w:val="28"/>
          <w:szCs w:val="20"/>
        </w:rPr>
        <w:t>、</w:t>
      </w:r>
      <w:r w:rsidRPr="005D143B" w:rsidR="00A85A8C">
        <w:rPr>
          <w:rFonts w:ascii="仿宋" w:eastAsia="仿宋" w:hAnsi="仿宋" w:cs="仿宋" w:hint="eastAsia"/>
          <w:sz w:val="28"/>
          <w:szCs w:val="20"/>
        </w:rPr>
        <w:t>青海省域内（海南藏族自治州、玉树藏族自治州）</w:t>
      </w:r>
      <w:r w:rsidRPr="005D143B">
        <w:rPr>
          <w:rFonts w:ascii="仿宋" w:eastAsia="仿宋" w:hAnsi="仿宋" w:cs="仿宋" w:hint="eastAsia"/>
          <w:sz w:val="28"/>
          <w:szCs w:val="20"/>
        </w:rPr>
        <w:t>、</w:t>
      </w:r>
      <w:r w:rsidRPr="005D143B" w:rsidR="00A85A8C">
        <w:rPr>
          <w:rFonts w:ascii="仿宋" w:eastAsia="仿宋" w:hAnsi="仿宋" w:cs="仿宋" w:hint="eastAsia"/>
          <w:sz w:val="28"/>
          <w:szCs w:val="20"/>
        </w:rPr>
        <w:t>山东省德州市、宁夏固</w:t>
      </w:r>
      <w:r w:rsidRPr="005D143B" w:rsidR="00A85A8C">
        <w:rPr>
          <w:rFonts w:ascii="仿宋" w:eastAsia="仿宋" w:hAnsi="仿宋" w:cs="仿宋" w:hint="eastAsia"/>
          <w:sz w:val="28"/>
          <w:szCs w:val="20"/>
        </w:rPr>
        <w:t>原市和河南省新乡市</w:t>
      </w:r>
      <w:r w:rsidRPr="005D143B">
        <w:rPr>
          <w:rFonts w:ascii="仿宋" w:eastAsia="仿宋" w:hAnsi="仿宋" w:cs="仿宋" w:hint="eastAsia"/>
          <w:sz w:val="28"/>
          <w:szCs w:val="20"/>
        </w:rPr>
        <w:t>（运输相关费用由供应商负责），并负责安装调试。</w:t>
      </w:r>
    </w:p>
    <w:p w:rsidR="003A631E" w:rsidRPr="005D143B">
      <w:pPr>
        <w:ind w:left="559" w:leftChars="266"/>
        <w:rPr>
          <w:rFonts w:ascii="仿宋" w:eastAsia="仿宋" w:hAnsi="仿宋" w:cs="仿宋"/>
          <w:b/>
          <w:bCs/>
          <w:sz w:val="28"/>
          <w:szCs w:val="20"/>
        </w:rPr>
      </w:pPr>
      <w:r w:rsidRPr="00486700">
        <w:rPr>
          <w:rFonts w:ascii="仿宋" w:eastAsia="仿宋" w:hAnsi="仿宋" w:cs="仿宋" w:hint="eastAsia"/>
          <w:sz w:val="28"/>
          <w:szCs w:val="20"/>
        </w:rPr>
        <w:t>合同签订后90天内交货，30天内完成安装调试并具备验收条件</w:t>
      </w:r>
      <w:r w:rsidRPr="005D143B" w:rsidR="0037493B">
        <w:rPr>
          <w:rFonts w:ascii="仿宋" w:eastAsia="仿宋" w:hAnsi="仿宋" w:cs="仿宋" w:hint="eastAsia"/>
          <w:sz w:val="28"/>
          <w:szCs w:val="20"/>
        </w:rPr>
        <w:br/>
      </w:r>
      <w:r w:rsidRPr="005D143B" w:rsidR="0037493B">
        <w:rPr>
          <w:rFonts w:ascii="仿宋" w:eastAsia="仿宋" w:hAnsi="仿宋" w:cs="仿宋" w:hint="eastAsia"/>
          <w:b/>
          <w:bCs/>
          <w:sz w:val="28"/>
          <w:szCs w:val="20"/>
        </w:rPr>
        <w:t>五、服务团队要求</w:t>
      </w:r>
    </w:p>
    <w:p w:rsidR="003A631E" w:rsidRPr="005D143B">
      <w:pPr>
        <w:ind w:firstLine="560" w:firstLineChars="200"/>
        <w:rPr>
          <w:rFonts w:ascii="仿宋" w:eastAsia="仿宋" w:hAnsi="仿宋" w:cs="仿宋"/>
          <w:sz w:val="28"/>
          <w:szCs w:val="20"/>
        </w:rPr>
      </w:pPr>
      <w:r w:rsidRPr="005D143B">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3A631E" w:rsidRPr="005D143B">
      <w:pPr>
        <w:ind w:firstLine="560" w:firstLineChars="200"/>
        <w:rPr>
          <w:rFonts w:ascii="仿宋" w:eastAsia="仿宋" w:hAnsi="仿宋" w:cs="仿宋"/>
          <w:b/>
          <w:bCs/>
          <w:sz w:val="28"/>
          <w:szCs w:val="20"/>
        </w:rPr>
      </w:pPr>
      <w:r w:rsidRPr="005D143B">
        <w:rPr>
          <w:rFonts w:ascii="仿宋" w:eastAsia="仿宋" w:hAnsi="仿宋" w:cs="仿宋" w:hint="eastAsia"/>
          <w:b/>
          <w:bCs/>
          <w:sz w:val="28"/>
          <w:szCs w:val="20"/>
        </w:rPr>
        <w:t>六、投标产品软件兼容性要求</w:t>
      </w:r>
    </w:p>
    <w:p w:rsidR="00CE318A" w:rsidP="00CE318A">
      <w:pPr>
        <w:ind w:firstLine="560" w:firstLineChars="200"/>
        <w:rPr>
          <w:rFonts w:ascii="仿宋" w:eastAsia="仿宋" w:hAnsi="仿宋" w:cs="仿宋"/>
          <w:sz w:val="28"/>
          <w:szCs w:val="20"/>
        </w:rPr>
      </w:pPr>
      <w:r w:rsidRPr="005D143B">
        <w:rPr>
          <w:rFonts w:ascii="仿宋" w:eastAsia="仿宋" w:hAnsi="仿宋" w:cs="仿宋" w:hint="eastAsia"/>
          <w:sz w:val="28"/>
          <w:szCs w:val="20"/>
        </w:rPr>
        <w:t>设备软件兼容性强，设备数据传输模式、数据格式、数据通讯协议满足国家局下发的《土壤水分观测仪（宇宙射线法）需求书》，设备观测数据通过外网可以接入天擎平台，完全符合甲方相关要求和规范，保证其系统的兼容性和功能的完整性。</w:t>
      </w:r>
      <w:r w:rsidRPr="005D143B" w:rsidR="0037493B">
        <w:rPr>
          <w:rFonts w:ascii="仿宋" w:eastAsia="仿宋" w:hAnsi="仿宋" w:cs="仿宋" w:hint="eastAsia"/>
          <w:sz w:val="28"/>
          <w:szCs w:val="20"/>
        </w:rPr>
        <w:br/>
      </w:r>
    </w:p>
    <w:p w:rsidR="003A631E">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rsidR="008173D7">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173D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27EC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173D7">
            <w:pPr>
              <w:rPr>
                <w:sz w:val="18"/>
                <w:szCs w:val="18"/>
              </w:rPr>
            </w:pPr>
            <w:r>
              <w:rPr>
                <w:rFonts w:hint="eastAsia"/>
                <w:sz w:val="18"/>
                <w:szCs w:val="18"/>
              </w:rPr>
              <w:t>序号</w:t>
            </w:r>
          </w:p>
        </w:tc>
        <w:tc>
          <w:tcPr>
            <w:tcW w:w="898" w:type="dxa"/>
            <w:vAlign w:val="center"/>
          </w:tcPr>
          <w:p w:rsidR="008173D7">
            <w:pPr>
              <w:jc w:val="center"/>
              <w:rPr>
                <w:sz w:val="18"/>
                <w:szCs w:val="18"/>
              </w:rPr>
            </w:pPr>
            <w:r>
              <w:rPr>
                <w:rFonts w:hint="eastAsia"/>
                <w:sz w:val="18"/>
                <w:szCs w:val="18"/>
              </w:rPr>
              <w:t>对应</w:t>
            </w:r>
          </w:p>
          <w:p w:rsidR="008173D7">
            <w:pPr>
              <w:jc w:val="center"/>
              <w:rPr>
                <w:sz w:val="18"/>
                <w:szCs w:val="18"/>
              </w:rPr>
            </w:pPr>
            <w:r>
              <w:rPr>
                <w:rFonts w:hint="eastAsia"/>
                <w:sz w:val="18"/>
                <w:szCs w:val="18"/>
              </w:rPr>
              <w:t>条款号</w:t>
            </w:r>
          </w:p>
        </w:tc>
        <w:tc>
          <w:tcPr>
            <w:tcW w:w="7347" w:type="dxa"/>
            <w:vAlign w:val="center"/>
          </w:tcPr>
          <w:p w:rsidR="008173D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27EC7">
        <w:tblPrEx>
          <w:tblW w:w="8789" w:type="dxa"/>
          <w:tblLayout w:type="fixed"/>
          <w:tblLook w:val="04A0"/>
        </w:tblPrEx>
        <w:trPr>
          <w:cantSplit/>
        </w:trPr>
        <w:tc>
          <w:tcPr>
            <w:tcW w:w="8789" w:type="dxa"/>
            <w:gridSpan w:val="3"/>
            <w:vAlign w:val="center"/>
          </w:tcPr>
          <w:p w:rsidR="008173D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27EC7">
        <w:tblPrEx>
          <w:tblW w:w="8789" w:type="dxa"/>
          <w:tblLayout w:type="fixed"/>
          <w:tblLook w:val="04A0"/>
        </w:tblPrEx>
        <w:trPr>
          <w:cantSplit/>
        </w:trPr>
        <w:tc>
          <w:tcPr>
            <w:tcW w:w="544" w:type="dxa"/>
            <w:vAlign w:val="center"/>
          </w:tcPr>
          <w:p w:rsidR="008173D7">
            <w:pPr>
              <w:numPr>
                <w:ilvl w:val="0"/>
                <w:numId w:val="13"/>
              </w:numPr>
              <w:rPr>
                <w:rFonts w:ascii="宋体" w:hAnsi="宋体"/>
                <w:sz w:val="18"/>
                <w:szCs w:val="18"/>
              </w:rPr>
            </w:pPr>
          </w:p>
        </w:tc>
        <w:tc>
          <w:tcPr>
            <w:tcW w:w="898" w:type="dxa"/>
            <w:vAlign w:val="center"/>
          </w:tcPr>
          <w:p w:rsidR="008173D7" w:rsidP="00827EC7">
            <w:pPr>
              <w:jc w:val="center"/>
              <w:rPr>
                <w:rFonts w:ascii="宋体" w:hAnsi="宋体"/>
                <w:sz w:val="18"/>
                <w:szCs w:val="18"/>
              </w:rPr>
            </w:pPr>
            <w:r>
              <w:rPr>
                <w:rFonts w:ascii="宋体" w:hAnsi="宋体" w:hint="eastAsia"/>
                <w:sz w:val="18"/>
                <w:szCs w:val="18"/>
              </w:rPr>
              <w:t>5</w:t>
            </w:r>
            <w:r>
              <w:rPr>
                <w:rFonts w:ascii="宋体" w:hAnsi="宋体"/>
                <w:sz w:val="18"/>
                <w:szCs w:val="18"/>
              </w:rPr>
              <w:t>.</w:t>
            </w:r>
            <w:r w:rsidR="00827EC7">
              <w:rPr>
                <w:rFonts w:ascii="宋体" w:hAnsi="宋体"/>
                <w:sz w:val="18"/>
                <w:szCs w:val="18"/>
              </w:rPr>
              <w:t>7</w:t>
            </w:r>
          </w:p>
        </w:tc>
        <w:tc>
          <w:tcPr>
            <w:tcW w:w="7347" w:type="dxa"/>
          </w:tcPr>
          <w:p w:rsidR="008173D7" w:rsidP="00827EC7">
            <w:pPr>
              <w:tabs>
                <w:tab w:val="left" w:pos="709"/>
              </w:tabs>
              <w:spacing w:line="360" w:lineRule="auto"/>
              <w:jc w:val="left"/>
              <w:rPr>
                <w:rFonts w:ascii="宋体" w:hAnsi="宋体" w:cs="微软雅黑"/>
                <w:b/>
                <w:color w:val="0000FF"/>
                <w:kern w:val="0"/>
                <w:sz w:val="18"/>
                <w:szCs w:val="18"/>
              </w:rPr>
            </w:pPr>
            <w:r w:rsidRPr="00827EC7">
              <w:rPr>
                <w:rFonts w:ascii="宋体" w:hAnsi="宋体" w:cs="微软雅黑" w:hint="eastAsia"/>
                <w:b/>
                <w:color w:val="0000FF"/>
                <w:kern w:val="0"/>
                <w:sz w:val="18"/>
                <w:szCs w:val="18"/>
              </w:rPr>
              <w:t>以下产品需要提供至投标截止日仍有效的《气象专用技术装备使用许可证》：</w:t>
            </w:r>
            <w:r w:rsidR="00227E64">
              <w:rPr>
                <w:rFonts w:ascii="宋体" w:hAnsi="宋体" w:cs="微软雅黑" w:hint="eastAsia"/>
                <w:b/>
                <w:color w:val="0000FF"/>
                <w:kern w:val="0"/>
                <w:sz w:val="18"/>
                <w:szCs w:val="18"/>
              </w:rPr>
              <w:t>土壤水分观测仪（宇宙射线法）</w:t>
            </w:r>
          </w:p>
        </w:tc>
      </w:tr>
      <w:tr w:rsidTr="00827EC7">
        <w:tblPrEx>
          <w:tblW w:w="8789" w:type="dxa"/>
          <w:tblLayout w:type="fixed"/>
          <w:tblLook w:val="04A0"/>
        </w:tblPrEx>
        <w:trPr>
          <w:cantSplit/>
        </w:trPr>
        <w:tc>
          <w:tcPr>
            <w:tcW w:w="8789" w:type="dxa"/>
            <w:gridSpan w:val="3"/>
            <w:vAlign w:val="center"/>
          </w:tcPr>
          <w:p w:rsidR="008173D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27EC7">
        <w:tblPrEx>
          <w:tblW w:w="8789" w:type="dxa"/>
          <w:tblLayout w:type="fixed"/>
          <w:tblLook w:val="04A0"/>
        </w:tblPrEx>
        <w:trPr>
          <w:cantSplit/>
        </w:trPr>
        <w:tc>
          <w:tcPr>
            <w:tcW w:w="544" w:type="dxa"/>
            <w:vAlign w:val="center"/>
          </w:tcPr>
          <w:p w:rsidR="008173D7">
            <w:pPr>
              <w:numPr>
                <w:ilvl w:val="0"/>
                <w:numId w:val="13"/>
              </w:numPr>
              <w:rPr>
                <w:rFonts w:ascii="宋体" w:hAnsi="宋体"/>
                <w:sz w:val="18"/>
                <w:szCs w:val="18"/>
              </w:rPr>
            </w:pPr>
          </w:p>
        </w:tc>
        <w:tc>
          <w:tcPr>
            <w:tcW w:w="898" w:type="dxa"/>
            <w:vAlign w:val="center"/>
          </w:tcPr>
          <w:p w:rsidR="008173D7">
            <w:pPr>
              <w:jc w:val="center"/>
              <w:rPr>
                <w:rFonts w:ascii="宋体" w:hAnsi="宋体" w:hint="eastAsia"/>
                <w:sz w:val="18"/>
                <w:szCs w:val="18"/>
              </w:rPr>
            </w:pPr>
            <w:r>
              <w:rPr>
                <w:rFonts w:ascii="宋体" w:hAnsi="宋体" w:hint="eastAsia"/>
                <w:sz w:val="18"/>
                <w:szCs w:val="18"/>
              </w:rPr>
              <w:t>四、</w:t>
            </w:r>
            <w:r>
              <w:rPr>
                <w:rFonts w:ascii="宋体" w:hAnsi="宋体"/>
                <w:sz w:val="18"/>
                <w:szCs w:val="18"/>
              </w:rPr>
              <w:t>质保服务要求</w:t>
            </w:r>
          </w:p>
        </w:tc>
        <w:tc>
          <w:tcPr>
            <w:tcW w:w="7347" w:type="dxa"/>
            <w:vAlign w:val="center"/>
          </w:tcPr>
          <w:p w:rsidR="008173D7">
            <w:pPr>
              <w:tabs>
                <w:tab w:val="left" w:pos="709"/>
              </w:tabs>
              <w:spacing w:line="360" w:lineRule="auto"/>
              <w:jc w:val="left"/>
              <w:rPr>
                <w:rFonts w:ascii="宋体" w:hAnsi="宋体"/>
                <w:sz w:val="18"/>
                <w:szCs w:val="18"/>
              </w:rPr>
            </w:pPr>
            <w:r w:rsidRPr="00827EC7">
              <w:rPr>
                <w:rFonts w:ascii="宋体" w:hAnsi="宋体" w:cs="微软雅黑" w:hint="eastAsia"/>
                <w:b/>
                <w:color w:val="0000FF"/>
                <w:kern w:val="0"/>
                <w:sz w:val="18"/>
                <w:szCs w:val="18"/>
              </w:rPr>
              <w:t>设备供应商对所有设备提供自验收合格后8年的质保服务</w:t>
            </w:r>
          </w:p>
        </w:tc>
      </w:tr>
    </w:tbl>
    <w:p w:rsidR="008173D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8173D7">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C15BF">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2C15BF">
      <w:pPr>
        <w:spacing w:line="360" w:lineRule="auto"/>
        <w:ind w:left="1680" w:firstLine="420"/>
        <w:jc w:val="left"/>
        <w:rPr>
          <w:b/>
          <w:bCs/>
          <w:szCs w:val="21"/>
        </w:rPr>
      </w:pPr>
      <w:r>
        <w:rPr>
          <w:rFonts w:hint="eastAsia"/>
          <w:b/>
          <w:bCs/>
          <w:szCs w:val="21"/>
        </w:rPr>
        <w:t>必须明确合同金额支付条件及支付比例</w:t>
      </w:r>
    </w:p>
    <w:p w:rsidR="002C15BF">
      <w:pPr>
        <w:pStyle w:val="BodyText"/>
        <w:spacing w:after="0"/>
        <w:jc w:val="center"/>
        <w:rPr>
          <w:rFonts w:ascii="宋体" w:hAnsi="宋体" w:cs="宋体"/>
          <w:b/>
          <w:bCs/>
          <w:spacing w:val="-20"/>
          <w:kern w:val="44"/>
          <w:sz w:val="48"/>
          <w:szCs w:val="48"/>
        </w:rPr>
      </w:pPr>
      <w:r>
        <w:rPr>
          <w:b/>
          <w:bCs/>
          <w:szCs w:val="21"/>
        </w:rPr>
        <w:br w:type="page"/>
      </w:r>
      <w:bookmarkStart w:id="71" w:name="_Toc3995"/>
    </w:p>
    <w:p w:rsidR="002C15BF">
      <w:pPr>
        <w:pStyle w:val="BodyText"/>
        <w:spacing w:after="0"/>
        <w:jc w:val="center"/>
        <w:rPr>
          <w:rFonts w:ascii="宋体" w:hAnsi="宋体" w:cs="宋体"/>
          <w:b/>
          <w:bCs/>
          <w:spacing w:val="-20"/>
          <w:kern w:val="44"/>
          <w:sz w:val="48"/>
          <w:szCs w:val="48"/>
        </w:rPr>
      </w:pPr>
    </w:p>
    <w:p w:rsidR="002C15BF">
      <w:pPr>
        <w:pStyle w:val="BodyText"/>
        <w:spacing w:after="0"/>
        <w:jc w:val="center"/>
        <w:rPr>
          <w:rFonts w:ascii="宋体" w:hAnsi="宋体" w:cs="宋体"/>
          <w:b/>
          <w:bCs/>
          <w:spacing w:val="-20"/>
          <w:kern w:val="44"/>
          <w:sz w:val="48"/>
          <w:szCs w:val="48"/>
        </w:rPr>
      </w:pPr>
    </w:p>
    <w:p w:rsidR="002C15BF">
      <w:pPr>
        <w:pStyle w:val="BodyText"/>
        <w:spacing w:after="0"/>
        <w:jc w:val="center"/>
        <w:rPr>
          <w:rFonts w:ascii="宋体" w:hAnsi="宋体" w:cs="宋体"/>
          <w:b/>
          <w:bCs/>
          <w:spacing w:val="-20"/>
          <w:kern w:val="44"/>
          <w:sz w:val="48"/>
          <w:szCs w:val="48"/>
        </w:rPr>
      </w:pPr>
    </w:p>
    <w:p w:rsidR="002C15BF">
      <w:pPr>
        <w:pStyle w:val="BodyText"/>
        <w:spacing w:after="0"/>
        <w:jc w:val="center"/>
        <w:rPr>
          <w:rFonts w:ascii="宋体" w:hAnsi="宋体" w:cs="宋体"/>
          <w:b/>
          <w:bCs/>
          <w:spacing w:val="-20"/>
          <w:kern w:val="44"/>
          <w:sz w:val="48"/>
          <w:szCs w:val="48"/>
        </w:rPr>
      </w:pPr>
    </w:p>
    <w:p w:rsidR="002C15BF">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2C15BF">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2C15BF">
      <w:pPr>
        <w:rPr>
          <w:rFonts w:ascii="宋体" w:hAnsi="宋体" w:cs="宋体"/>
          <w:b/>
          <w:bCs/>
          <w:spacing w:val="-20"/>
          <w:kern w:val="44"/>
          <w:sz w:val="40"/>
          <w:szCs w:val="40"/>
        </w:rPr>
      </w:pPr>
    </w:p>
    <w:p w:rsidR="002C15BF">
      <w:pPr>
        <w:rPr>
          <w:rFonts w:ascii="宋体" w:hAnsi="宋体" w:cs="宋体"/>
          <w:b/>
          <w:bCs/>
          <w:spacing w:val="-20"/>
          <w:kern w:val="44"/>
          <w:sz w:val="40"/>
          <w:szCs w:val="40"/>
        </w:rPr>
      </w:pPr>
    </w:p>
    <w:p w:rsidR="002C15BF">
      <w:pPr>
        <w:rPr>
          <w:rFonts w:ascii="宋体" w:hAnsi="宋体" w:cs="宋体"/>
          <w:b/>
          <w:bCs/>
          <w:spacing w:val="-20"/>
          <w:kern w:val="44"/>
          <w:sz w:val="40"/>
          <w:szCs w:val="40"/>
        </w:rPr>
      </w:pPr>
    </w:p>
    <w:p w:rsidR="002C15BF">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C15BF">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C15BF">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C15BF">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C15BF">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C15BF"/>
    <w:p w:rsidR="002C15BF">
      <w:pPr>
        <w:rPr>
          <w:rFonts w:eastAsia="黑体"/>
          <w:sz w:val="44"/>
          <w:szCs w:val="44"/>
        </w:rPr>
      </w:pPr>
      <w:r>
        <w:rPr>
          <w:rFonts w:eastAsia="黑体"/>
          <w:sz w:val="44"/>
          <w:szCs w:val="44"/>
        </w:rPr>
        <w:br w:type="page"/>
      </w:r>
    </w:p>
    <w:p w:rsidR="002C15BF">
      <w:pPr>
        <w:rPr>
          <w:rFonts w:eastAsia="黑体"/>
          <w:sz w:val="44"/>
          <w:szCs w:val="44"/>
        </w:rPr>
      </w:pPr>
    </w:p>
    <w:p w:rsidR="002C15BF">
      <w:pPr>
        <w:rPr>
          <w:rFonts w:eastAsia="黑体"/>
          <w:sz w:val="44"/>
          <w:szCs w:val="44"/>
        </w:rPr>
      </w:pPr>
    </w:p>
    <w:p w:rsidR="002C15BF">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C15BF">
      <w:pPr>
        <w:ind w:firstLine="640" w:firstLineChars="200"/>
        <w:rPr>
          <w:rFonts w:ascii="仿宋_GB2312" w:eastAsia="仿宋_GB2312" w:hAnsi="仿宋_GB2312" w:cs="仿宋_GB2312"/>
          <w:sz w:val="32"/>
          <w:szCs w:val="32"/>
        </w:rPr>
      </w:pPr>
    </w:p>
    <w:p w:rsidR="002C15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2C15BF">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2C15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2C15BF">
      <w:pPr>
        <w:rPr>
          <w:rFonts w:eastAsia="黑体"/>
          <w:sz w:val="44"/>
          <w:szCs w:val="44"/>
        </w:rPr>
        <w:sectPr>
          <w:pgSz w:w="11906" w:h="16838"/>
          <w:pgMar w:top="1440" w:right="1800" w:bottom="1440" w:left="1800" w:header="851" w:footer="992" w:gutter="0"/>
          <w:cols w:space="425"/>
          <w:docGrid w:type="lines" w:linePitch="312"/>
        </w:sectPr>
      </w:pPr>
    </w:p>
    <w:p w:rsidR="002C15BF">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2C15BF">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2C15BF">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2C15BF">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C15BF">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C15BF">
      <w:pPr>
        <w:spacing w:line="400" w:lineRule="exact"/>
      </w:pPr>
    </w:p>
    <w:p w:rsidR="002C15BF">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2C15BF">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2C15BF">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2C15BF">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2C15BF">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C15BF">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C15BF">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2C15BF">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C15BF">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C15BF">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2C15B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C15B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2C15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2C15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C15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C15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C15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2C15BF">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2C15BF">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C15BF">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2C15BF">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C15BF">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C15BF">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C15BF">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C15BF">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C15BF">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2C15B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2C15BF">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2C15B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2C15BF">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2C15BF">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2C15BF">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2C15BF">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C15BF">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C15BF">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2C15BF">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2C15B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C15B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2C15BF">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C15B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2C15BF">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C15B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2C15B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C15B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2C15BF">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C15BF">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2C15BF">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2C15B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2C15BF">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C15B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C15BF">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2C15BF">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2C15BF">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2C15B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2C15BF">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2C15B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2C15B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2C15BF">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C15BF">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2C15BF">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180F9E" w:rsidP="00180F9E">
      <w:pPr>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分期付款：</w:t>
      </w:r>
      <w:r w:rsidRPr="00180F9E">
        <w:rPr>
          <w:rFonts w:ascii="宋体" w:hAnsi="宋体" w:hint="eastAsia"/>
          <w:szCs w:val="21"/>
          <w:u w:val="single"/>
        </w:rPr>
        <w:t>（1）合同生效后付款：双方签署合同后20个工作日内，乙方向甲方提供合同总金额 10% 即人民币    元（大写）    （小写）的履约保函或保证金。乙方向甲方开具合同总金额的 95% 即人民币    元（大写）    （小写） 的增值税普通发票，同时甲方向乙方支付相应金额款项。</w:t>
      </w:r>
    </w:p>
    <w:p w:rsidR="00180F9E" w:rsidP="00180F9E">
      <w:pPr>
        <w:snapToGrid w:val="0"/>
        <w:spacing w:line="400" w:lineRule="exact"/>
        <w:ind w:firstLine="630" w:firstLineChars="300"/>
        <w:rPr>
          <w:rFonts w:ascii="宋体" w:hAnsi="宋体"/>
          <w:szCs w:val="21"/>
          <w:u w:val="single"/>
        </w:rPr>
      </w:pPr>
      <w:r w:rsidRPr="00180F9E">
        <w:rPr>
          <w:rFonts w:ascii="宋体" w:hAnsi="宋体" w:hint="eastAsia"/>
          <w:szCs w:val="21"/>
          <w:u w:val="single"/>
        </w:rPr>
        <w:t>（2）到货后付款：设备到货、签收后 20个工作日内，乙方向甲方开具合同总金额的 5% 即人民币    元（大写）    元（小写） 的增值税普通发票，同时甲方向乙方支付相应金额款项。</w:t>
      </w:r>
    </w:p>
    <w:p w:rsidR="002C15BF" w:rsidRPr="00180F9E" w:rsidP="00180F9E">
      <w:pPr>
        <w:snapToGrid w:val="0"/>
        <w:spacing w:line="400" w:lineRule="exact"/>
        <w:ind w:firstLine="630" w:firstLineChars="300"/>
        <w:rPr>
          <w:rFonts w:ascii="宋体" w:hAnsi="宋体"/>
          <w:szCs w:val="21"/>
          <w:u w:val="single"/>
        </w:rPr>
      </w:pPr>
      <w:r w:rsidRPr="00180F9E">
        <w:rPr>
          <w:rFonts w:ascii="宋体" w:hAnsi="宋体" w:hint="eastAsia"/>
          <w:szCs w:val="21"/>
          <w:u w:val="single"/>
        </w:rPr>
        <w:t>（</w:t>
      </w:r>
      <w:r w:rsidRPr="00180F9E">
        <w:rPr>
          <w:rFonts w:ascii="宋体" w:hAnsi="宋体" w:hint="eastAsia"/>
          <w:szCs w:val="21"/>
          <w:u w:val="single"/>
        </w:rPr>
        <w:t>3）履约验收一年后，甲方将履约保函或保证金无息退还乙方。</w:t>
      </w:r>
    </w:p>
    <w:p w:rsidR="002C15BF">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2C15BF">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2C15BF">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2C15BF">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C15BF">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2C15BF">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2C15BF">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2C15B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2C15BF">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2C15BF">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2C15BF">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C15BF">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2C15BF">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2C15BF">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2C15BF">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C15BF">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C15BF">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C15BF">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C15BF">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C15BF">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C15BF">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C15BF">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C15B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2C15BF">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2C15BF">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2C15BF">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2C15B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2C15B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2C15BF">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2C15BF">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2C15BF">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2C15BF">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2C15BF">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C15BF">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C15BF">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2C15BF">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C15BF">
      <w:r>
        <w:rPr>
          <w:rFonts w:hint="eastAsia"/>
        </w:rPr>
        <w:br w:type="page"/>
      </w:r>
    </w:p>
    <w:p w:rsidR="002C15BF">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C15BF">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C15BF">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法定代表人</w:t>
            </w:r>
          </w:p>
          <w:p w:rsidR="002C15BF">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法定代表人</w:t>
            </w:r>
          </w:p>
          <w:p w:rsidR="002C15BF">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C15BF">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C15BF">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2C15BF">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C15BF">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2C15BF">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C15BF">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2C15BF">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C15BF">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2C15B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C15B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C15B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2C15B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C15B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C15BF">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2C15BF">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C15BF">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C15B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C15BF">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C15B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C15BF">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C15BF">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C15BF">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C15BF">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2C15BF">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C15B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C15B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2C15BF">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2C15BF">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2C15BF">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C15BF">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C15BF">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2C15BF">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C15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2C15B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2C15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2C15BF">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2C15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2C15BF">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2C15BF">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2C15BF">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C15BF">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C15BF">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C15BF">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C15BF">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2C15BF">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2C15BF">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2C15BF">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C15BF">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C15BF">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C15BF">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2C15BF">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2C15BF">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2C15BF">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2C15BF">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2C15BF">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2C15BF">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C15BF">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C15BF">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C15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2C15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2C15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2C15BF">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2C15BF">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C15BF">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2C15BF">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C15BF">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C15BF">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2C15BF">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2C15BF">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2C15BF">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2C15BF">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2C15BF">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2C15BF">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2C15BF">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2C15BF">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2C15BF">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2C15BF">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2C15BF">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2C15BF">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2C15BF">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2C15BF"/>
        </w:tc>
      </w:tr>
      <w:tr>
        <w:tblPrEx>
          <w:tblW w:w="8519" w:type="dxa"/>
          <w:tblInd w:w="108" w:type="dxa"/>
          <w:tblLayout w:type="fixed"/>
          <w:tblLook w:val="04A0"/>
        </w:tblPrEx>
        <w:trPr>
          <w:trHeight w:val="667"/>
        </w:trPr>
        <w:tc>
          <w:tcPr>
            <w:tcW w:w="1607" w:type="dxa"/>
            <w:vMerge/>
            <w:vAlign w:val="center"/>
          </w:tcPr>
          <w:p w:rsidR="002C15BF">
            <w:pPr>
              <w:adjustRightInd w:val="0"/>
              <w:snapToGrid w:val="0"/>
              <w:jc w:val="center"/>
              <w:rPr>
                <w:rFonts w:ascii="宋体" w:hAnsi="宋体"/>
                <w:szCs w:val="21"/>
              </w:rPr>
            </w:pPr>
          </w:p>
        </w:tc>
        <w:tc>
          <w:tcPr>
            <w:tcW w:w="1742" w:type="dxa"/>
            <w:vAlign w:val="center"/>
          </w:tcPr>
          <w:p w:rsidR="002C15BF">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2C15BF"/>
        </w:tc>
      </w:tr>
      <w:tr>
        <w:tblPrEx>
          <w:tblW w:w="8519" w:type="dxa"/>
          <w:tblInd w:w="108" w:type="dxa"/>
          <w:tblLayout w:type="fixed"/>
          <w:tblLook w:val="04A0"/>
        </w:tblPrEx>
        <w:trPr>
          <w:trHeight w:val="772"/>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2C15BF"/>
        </w:tc>
      </w:tr>
      <w:tr>
        <w:tblPrEx>
          <w:tblW w:w="8519" w:type="dxa"/>
          <w:tblInd w:w="108" w:type="dxa"/>
          <w:tblLayout w:type="fixed"/>
          <w:tblLook w:val="04A0"/>
        </w:tblPrEx>
        <w:trPr>
          <w:trHeight w:val="667"/>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2C15BF"/>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2C15BF">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货物质量缺陷</w:t>
            </w:r>
          </w:p>
          <w:p w:rsidR="002C15BF">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snapToGrid w:val="0"/>
              <w:jc w:val="center"/>
              <w:rPr>
                <w:rFonts w:ascii="宋体" w:hAnsi="宋体" w:cs="宋体"/>
                <w:szCs w:val="21"/>
              </w:rPr>
            </w:pPr>
            <w:r>
              <w:rPr>
                <w:rFonts w:ascii="宋体" w:hAnsi="宋体" w:cs="宋体" w:hint="eastAsia"/>
                <w:szCs w:val="21"/>
              </w:rPr>
              <w:t>第二节</w:t>
            </w:r>
          </w:p>
          <w:p w:rsidR="002C15BF">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2C15BF">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2C15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2C15BF">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2C15BF">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2C15BF">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C15BF">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2C15BF">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C15BF">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C15BF">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C15BF">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2C15BF">
            <w:pPr>
              <w:adjustRightInd w:val="0"/>
              <w:snapToGrid w:val="0"/>
              <w:jc w:val="center"/>
              <w:rPr>
                <w:rFonts w:ascii="宋体" w:hAnsi="宋体"/>
                <w:szCs w:val="21"/>
              </w:rPr>
            </w:pPr>
            <w:r>
              <w:rPr>
                <w:rFonts w:ascii="宋体" w:hAnsi="宋体" w:hint="eastAsia"/>
                <w:szCs w:val="21"/>
              </w:rPr>
              <w:t>第二节</w:t>
            </w:r>
          </w:p>
          <w:p w:rsidR="002C15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2C15BF">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2C15BF">
            <w:pPr>
              <w:adjustRightInd w:val="0"/>
              <w:snapToGrid w:val="0"/>
              <w:jc w:val="left"/>
              <w:rPr>
                <w:rFonts w:ascii="宋体" w:hAnsi="宋体"/>
                <w:szCs w:val="21"/>
              </w:rPr>
            </w:pPr>
          </w:p>
        </w:tc>
      </w:tr>
    </w:tbl>
    <w:p w:rsidR="002C15BF"/>
    <w:p w:rsidR="002C15BF">
      <w:pPr>
        <w:rPr>
          <w:b/>
          <w:bCs/>
          <w:sz w:val="44"/>
          <w:szCs w:val="44"/>
        </w:rPr>
      </w:pPr>
    </w:p>
    <w:p w:rsidR="002C15BF"/>
    <w:p w:rsidR="00A77B3E"/>
    <w:p w:rsidR="002C15BF">
      <w:pPr>
        <w:numPr>
          <w:ilvl w:val="0"/>
          <w:numId w:val="4"/>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0F9E"/>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27E64"/>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346"/>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5BF"/>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93B"/>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31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700"/>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43B"/>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3D7"/>
    <w:rsid w:val="0081774B"/>
    <w:rsid w:val="008178BD"/>
    <w:rsid w:val="00820A69"/>
    <w:rsid w:val="00821BDB"/>
    <w:rsid w:val="00821D8A"/>
    <w:rsid w:val="008227E7"/>
    <w:rsid w:val="00822A75"/>
    <w:rsid w:val="00823268"/>
    <w:rsid w:val="00824139"/>
    <w:rsid w:val="00825034"/>
    <w:rsid w:val="00825C33"/>
    <w:rsid w:val="008264CB"/>
    <w:rsid w:val="00826A04"/>
    <w:rsid w:val="00827EC7"/>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5A8C"/>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18A"/>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段"/>
    <w:qFormat/>
    <w:pPr>
      <w:autoSpaceDE w:val="0"/>
      <w:autoSpaceDN w:val="0"/>
      <w:spacing w:after="200" w:line="276" w:lineRule="auto"/>
      <w:ind w:firstLine="200" w:firstLineChars="200"/>
      <w:jc w:val="both"/>
    </w:pPr>
    <w:rPr>
      <w:rFonts w:ascii="宋体" w:hAnsi="Calibri"/>
      <w:sz w:val="21"/>
      <w:szCs w:val="22"/>
      <w:lang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