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江苏省2025年雷达和站网工程-通量观测仪</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ZQCD-25237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江苏省气象探测中心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江苏省2025年雷达和站网工程-通量观测仪</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ZQCD-25237</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合同签订后90天内交货，完成安装调试并具备验收条件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甲方指定地点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2025年08月20日 00:00:00</w:t>
      </w:r>
      <w:bookmarkEnd w:id="26"/>
      <w:r>
        <w:rPr>
          <w:rFonts w:ascii="宋体" w:hint="eastAsia"/>
          <w:szCs w:val="21"/>
          <w:highlight w:val="none"/>
        </w:rPr>
        <w:t>至</w:t>
      </w:r>
      <w:bookmarkStart w:id="27" w:name="项目公告_signUpLastTime"/>
      <w:r>
        <w:rPr>
          <w:rFonts w:ascii="宋体" w:hint="eastAsia"/>
          <w:szCs w:val="21"/>
          <w:highlight w:val="none"/>
        </w:rPr>
        <w:t>2025年08月29日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2025年09月11日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北京市海淀区中关村南大街46号中国气象局北区7号楼2层大/小会议室（科技大楼前草坪西侧），届时投标人的法定代表人或其授权的投标人授权代表可到场参加。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李梦杨</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江苏省气象探测中心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何国安</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025-52698088</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江苏省南京市建邺区雨顺路8号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江苏省气象探测中心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不允许（仅针对以下产品：1、通量观测仪不允许代理商投标）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必须，以下产品需要提供至投标截止日仍有效的《气象专用技术装备使用许可证》：1、通量观测仪</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标的：通量观测仪    ，属于 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是，中标服务费：2.5万元。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222.000000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222.000000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290"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5"/>
        <w:gridCol w:w="254"/>
        <w:gridCol w:w="1296"/>
        <w:gridCol w:w="254"/>
        <w:gridCol w:w="71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销售合同必须包括通量观测仪，每提供1份合同得1分，最多得5分。否则不得分。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针对本项目采购的通量观测仪，承诺提前10天交货的得1分，最多得1分。否则不得分。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针对通量观测仪设备，每提供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2、除项目经理外至少3人具有2年及以上相关工作经验的，得2分；为本项目派出的技术人员至少2人具有1年及以上相关工作经验的，得1分；其他不得分。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 xml:space="preserve">一档：未提供技术方案，或者投标产品综合技术性能不能满足采购文件要求。 </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针对通量观测仪设备，测试报告应涵盖防水、防风沙、抗盐雾腐蚀、温度、气压、外壳防护等内容，每包含一项得0.5分，最多得3分。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29"/>
        <w:gridCol w:w="694"/>
        <w:gridCol w:w="2375"/>
        <w:gridCol w:w="5470"/>
      </w:tblGrid>
      <w:tr>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blHeader/>
          <w:jc w:val="center"/>
        </w:trPr>
        <w:tc>
          <w:tcPr>
            <w:tcW w:w="393" w:type="pct"/>
            <w:vAlign w:val="center"/>
          </w:tcPr>
          <w:p>
            <w:pPr>
              <w:rPr>
                <w:rFonts w:ascii="仿宋" w:eastAsia="仿宋" w:hAnsi="仿宋" w:cs="仿宋" w:hint="eastAsia"/>
                <w:b/>
                <w:bCs/>
              </w:rPr>
            </w:pPr>
            <w:r>
              <w:rPr>
                <w:rFonts w:ascii="仿宋" w:eastAsia="仿宋" w:hAnsi="仿宋" w:cs="仿宋" w:hint="eastAsia"/>
                <w:b/>
                <w:bCs/>
                <w:sz w:val="24"/>
              </w:rPr>
              <w:t>序号</w:t>
            </w:r>
          </w:p>
        </w:tc>
        <w:tc>
          <w:tcPr>
            <w:tcW w:w="1655" w:type="pct"/>
            <w:gridSpan w:val="2"/>
            <w:vAlign w:val="center"/>
          </w:tcPr>
          <w:p>
            <w:pPr>
              <w:jc w:val="center"/>
              <w:rPr>
                <w:rFonts w:ascii="仿宋" w:eastAsia="仿宋" w:hAnsi="仿宋" w:cs="仿宋" w:hint="eastAsia"/>
                <w:b/>
                <w:bCs/>
              </w:rPr>
            </w:pPr>
            <w:r>
              <w:rPr>
                <w:rFonts w:ascii="仿宋" w:eastAsia="仿宋" w:hAnsi="仿宋" w:cs="仿宋" w:hint="eastAsia"/>
                <w:b/>
                <w:bCs/>
                <w:sz w:val="24"/>
              </w:rPr>
              <w:t>名称</w:t>
            </w:r>
          </w:p>
        </w:tc>
        <w:tc>
          <w:tcPr>
            <w:tcW w:w="2950" w:type="pct"/>
            <w:vAlign w:val="center"/>
          </w:tcPr>
          <w:p>
            <w:pPr>
              <w:jc w:val="center"/>
              <w:rPr>
                <w:rFonts w:ascii="仿宋" w:eastAsia="仿宋" w:hAnsi="仿宋" w:cs="仿宋" w:hint="eastAsia"/>
                <w:b/>
                <w:bCs/>
              </w:rPr>
            </w:pPr>
            <w:r>
              <w:rPr>
                <w:rFonts w:ascii="仿宋" w:eastAsia="仿宋" w:hAnsi="仿宋" w:cs="仿宋" w:hint="eastAsia"/>
                <w:b/>
                <w:bCs/>
                <w:sz w:val="24"/>
              </w:rPr>
              <w:t>技术要求</w:t>
            </w:r>
          </w:p>
        </w:tc>
      </w:tr>
      <w:tr>
        <w:tblPrEx>
          <w:tblW w:w="5114" w:type="pct"/>
          <w:jc w:val="center"/>
          <w:tblLayout w:type="fixed"/>
          <w:tblCellMar>
            <w:top w:w="0" w:type="dxa"/>
            <w:left w:w="108" w:type="dxa"/>
            <w:bottom w:w="0" w:type="dxa"/>
            <w:right w:w="108" w:type="dxa"/>
          </w:tblCellMar>
        </w:tblPrEx>
        <w:trPr>
          <w:trHeight w:val="2280"/>
          <w:jc w:val="center"/>
        </w:trPr>
        <w:tc>
          <w:tcPr>
            <w:tcW w:w="393" w:type="pct"/>
            <w:vAlign w:val="center"/>
          </w:tcPr>
          <w:p>
            <w:pPr>
              <w:pStyle w:val="ListParagraph0"/>
              <w:numPr>
                <w:ilvl w:val="0"/>
                <w:numId w:val="4"/>
              </w:numPr>
              <w:ind w:left="0" w:firstLine="0" w:firstLineChars="0"/>
              <w:rPr>
                <w:rFonts w:ascii="仿宋" w:eastAsia="仿宋" w:hAnsi="仿宋" w:cs="仿宋" w:hint="eastAsia"/>
                <w:sz w:val="24"/>
                <w:szCs w:val="24"/>
              </w:rPr>
            </w:pPr>
          </w:p>
        </w:tc>
        <w:tc>
          <w:tcPr>
            <w:tcW w:w="374" w:type="pct"/>
            <w:vMerge w:val="restart"/>
            <w:vAlign w:val="center"/>
          </w:tcPr>
          <w:p>
            <w:pPr>
              <w:rPr>
                <w:rFonts w:ascii="仿宋" w:eastAsia="仿宋" w:hAnsi="仿宋" w:cs="仿宋" w:hint="eastAsia"/>
              </w:rPr>
            </w:pPr>
            <w:r>
              <w:rPr>
                <w:rFonts w:ascii="仿宋" w:eastAsia="仿宋" w:hAnsi="仿宋" w:cs="仿宋" w:hint="eastAsia"/>
                <w:color w:val="000000"/>
                <w:kern w:val="0"/>
                <w:sz w:val="24"/>
              </w:rPr>
              <w:t>通量观测仪</w:t>
            </w:r>
          </w:p>
        </w:tc>
        <w:tc>
          <w:tcPr>
            <w:tcW w:w="1280" w:type="pct"/>
            <w:vAlign w:val="center"/>
          </w:tcPr>
          <w:p>
            <w:pPr>
              <w:rPr>
                <w:rFonts w:ascii="仿宋" w:eastAsia="仿宋" w:hAnsi="仿宋" w:cs="仿宋" w:hint="eastAsia"/>
              </w:rPr>
            </w:pPr>
            <w:r>
              <w:rPr>
                <w:rFonts w:ascii="仿宋" w:eastAsia="仿宋" w:hAnsi="仿宋" w:cs="仿宋" w:hint="eastAsia"/>
                <w:sz w:val="24"/>
              </w:rPr>
              <w:t>红外CO</w:t>
            </w:r>
            <w:r>
              <w:rPr>
                <w:rFonts w:ascii="仿宋" w:eastAsia="仿宋" w:hAnsi="仿宋" w:cs="仿宋" w:hint="eastAsia"/>
                <w:sz w:val="24"/>
                <w:vertAlign w:val="subscript"/>
              </w:rPr>
              <w:t>2</w:t>
            </w:r>
            <w:r>
              <w:rPr>
                <w:rFonts w:ascii="仿宋" w:eastAsia="仿宋" w:hAnsi="仿宋" w:cs="仿宋" w:hint="eastAsia"/>
                <w:sz w:val="24"/>
              </w:rPr>
              <w:t>/H</w:t>
            </w:r>
            <w:r>
              <w:rPr>
                <w:rFonts w:ascii="仿宋" w:eastAsia="仿宋" w:hAnsi="仿宋" w:cs="仿宋" w:hint="eastAsia"/>
                <w:sz w:val="24"/>
                <w:vertAlign w:val="subscript"/>
              </w:rPr>
              <w:t>2</w:t>
            </w:r>
            <w:r>
              <w:rPr>
                <w:rFonts w:ascii="仿宋" w:eastAsia="仿宋" w:hAnsi="仿宋" w:cs="仿宋" w:hint="eastAsia"/>
                <w:sz w:val="24"/>
              </w:rPr>
              <w:t>O分析仪</w:t>
            </w:r>
          </w:p>
        </w:tc>
        <w:tc>
          <w:tcPr>
            <w:tcW w:w="2950" w:type="pct"/>
            <w:vAlign w:val="center"/>
          </w:tcPr>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#测量范围：CO</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浓度：0～1000μmol/mol，H</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O浓度：0～72mmol/mol</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分辨力：CO</w:t>
            </w:r>
            <w:r>
              <w:rPr>
                <w:rFonts w:ascii="仿宋" w:eastAsia="仿宋" w:hAnsi="仿宋" w:cs="仿宋" w:hint="eastAsia"/>
                <w:sz w:val="24"/>
                <w:szCs w:val="24"/>
                <w:vertAlign w:val="subscript"/>
              </w:rPr>
              <w:t>2</w:t>
            </w:r>
            <w:r>
              <w:rPr>
                <w:rFonts w:ascii="仿宋" w:eastAsia="仿宋" w:hAnsi="仿宋" w:cs="仿宋" w:hint="eastAsia"/>
                <w:sz w:val="24"/>
                <w:szCs w:val="24"/>
              </w:rPr>
              <w:t>：0.15μmol/mol，H</w:t>
            </w:r>
            <w:r>
              <w:rPr>
                <w:rFonts w:ascii="仿宋" w:eastAsia="仿宋" w:hAnsi="仿宋" w:cs="仿宋" w:hint="eastAsia"/>
                <w:sz w:val="24"/>
                <w:szCs w:val="24"/>
                <w:vertAlign w:val="subscript"/>
              </w:rPr>
              <w:t>2</w:t>
            </w:r>
            <w:r>
              <w:rPr>
                <w:rFonts w:ascii="仿宋" w:eastAsia="仿宋" w:hAnsi="仿宋" w:cs="仿宋" w:hint="eastAsia"/>
                <w:sz w:val="24"/>
                <w:szCs w:val="24"/>
              </w:rPr>
              <w:t>O：0.006mmol/mol</w:t>
            </w:r>
          </w:p>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#最大允许误差：CO</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：1%，H</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O：2%</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信号输出方式：数字型传感器</w:t>
            </w:r>
          </w:p>
          <w:p>
            <w:pPr>
              <w:rPr>
                <w:rFonts w:ascii="仿宋" w:eastAsia="仿宋" w:hAnsi="仿宋" w:cs="仿宋" w:hint="eastAsia"/>
              </w:rPr>
            </w:pPr>
            <w:r>
              <w:rPr>
                <w:rFonts w:ascii="仿宋" w:eastAsia="仿宋" w:hAnsi="仿宋" w:cs="仿宋" w:hint="eastAsia"/>
                <w:sz w:val="24"/>
              </w:rPr>
              <w:t>接口标准：SDM/RS485</w:t>
            </w: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0"/>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0" w:type="pct"/>
            <w:vAlign w:val="center"/>
          </w:tcPr>
          <w:p>
            <w:pPr>
              <w:rPr>
                <w:rFonts w:ascii="仿宋" w:eastAsia="仿宋" w:hAnsi="仿宋" w:cs="仿宋" w:hint="eastAsia"/>
              </w:rPr>
            </w:pPr>
            <w:r>
              <w:rPr>
                <w:rFonts w:ascii="仿宋" w:eastAsia="仿宋" w:hAnsi="仿宋" w:cs="仿宋" w:hint="eastAsia"/>
                <w:sz w:val="24"/>
              </w:rPr>
              <w:t>三维超声风传感器</w:t>
            </w:r>
          </w:p>
        </w:tc>
        <w:tc>
          <w:tcPr>
            <w:tcW w:w="2950" w:type="pct"/>
            <w:vAlign w:val="center"/>
          </w:tcPr>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测量范围：Ux风速：±60m/s，Uy风速：±60m/s，Uz风速：±8m/s</w:t>
            </w:r>
          </w:p>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#分辨力：0.1m/s</w:t>
            </w:r>
          </w:p>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#最大允许误差：±3%</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信号输出方式：数字型传感器</w:t>
            </w:r>
          </w:p>
          <w:p>
            <w:pPr>
              <w:rPr>
                <w:rFonts w:ascii="仿宋" w:eastAsia="仿宋" w:hAnsi="仿宋" w:cs="仿宋" w:hint="eastAsia"/>
              </w:rPr>
            </w:pPr>
            <w:r>
              <w:rPr>
                <w:rFonts w:ascii="仿宋" w:eastAsia="仿宋" w:hAnsi="仿宋" w:cs="仿宋" w:hint="eastAsia"/>
                <w:sz w:val="24"/>
              </w:rPr>
              <w:t>接口标准：SDM/RS485</w:t>
            </w: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0"/>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0" w:type="pct"/>
            <w:vAlign w:val="center"/>
          </w:tcPr>
          <w:p>
            <w:pPr>
              <w:rPr>
                <w:rFonts w:ascii="仿宋" w:eastAsia="仿宋" w:hAnsi="仿宋" w:cs="仿宋" w:hint="eastAsia"/>
              </w:rPr>
            </w:pPr>
            <w:r>
              <w:rPr>
                <w:rFonts w:ascii="仿宋" w:eastAsia="仿宋" w:hAnsi="仿宋" w:cs="仿宋" w:hint="eastAsia"/>
                <w:sz w:val="24"/>
              </w:rPr>
              <w:t>气压传感器</w:t>
            </w:r>
          </w:p>
        </w:tc>
        <w:tc>
          <w:tcPr>
            <w:tcW w:w="2950" w:type="pct"/>
            <w:vAlign w:val="center"/>
          </w:tcPr>
          <w:p>
            <w:pPr>
              <w:rPr>
                <w:rFonts w:ascii="仿宋" w:eastAsia="仿宋" w:hAnsi="仿宋" w:cs="仿宋" w:hint="eastAsia"/>
              </w:rPr>
            </w:pPr>
            <w:r>
              <w:rPr>
                <w:rFonts w:ascii="仿宋" w:eastAsia="仿宋" w:hAnsi="仿宋" w:cs="仿宋" w:hint="eastAsia"/>
                <w:sz w:val="24"/>
              </w:rPr>
              <w:t>测量范围：500hPa～1100hPa</w:t>
            </w:r>
          </w:p>
          <w:p>
            <w:pPr>
              <w:rPr>
                <w:rFonts w:ascii="仿宋" w:eastAsia="仿宋" w:hAnsi="仿宋" w:cs="仿宋" w:hint="eastAsia"/>
                <w:highlight w:val="yellow"/>
              </w:rPr>
            </w:pPr>
            <w:r>
              <w:rPr>
                <w:rFonts w:ascii="仿宋" w:eastAsia="仿宋" w:hAnsi="仿宋" w:cs="仿宋" w:hint="eastAsia"/>
                <w:sz w:val="24"/>
                <w:highlight w:val="yellow"/>
              </w:rPr>
              <w:t>#分辨力：0.1hP</w:t>
            </w:r>
          </w:p>
          <w:p>
            <w:pPr>
              <w:rPr>
                <w:rFonts w:ascii="仿宋" w:eastAsia="仿宋" w:hAnsi="仿宋" w:cs="仿宋" w:hint="eastAsia"/>
                <w:highlight w:val="yellow"/>
              </w:rPr>
            </w:pPr>
            <w:r>
              <w:rPr>
                <w:rFonts w:ascii="仿宋" w:eastAsia="仿宋" w:hAnsi="仿宋" w:cs="仿宋" w:hint="eastAsia"/>
                <w:sz w:val="24"/>
                <w:highlight w:val="yellow"/>
              </w:rPr>
              <w:t>#最大允许误差：±0.3hPa</w:t>
            </w:r>
          </w:p>
          <w:p>
            <w:pPr>
              <w:rPr>
                <w:rFonts w:ascii="仿宋" w:eastAsia="仿宋" w:hAnsi="仿宋" w:cs="仿宋" w:hint="eastAsia"/>
              </w:rPr>
            </w:pPr>
            <w:r>
              <w:rPr>
                <w:rFonts w:ascii="仿宋" w:eastAsia="仿宋" w:hAnsi="仿宋" w:cs="仿宋" w:hint="eastAsia"/>
                <w:sz w:val="24"/>
              </w:rPr>
              <w:t>信号输出方式：数字型传感器</w:t>
            </w:r>
          </w:p>
          <w:p>
            <w:pPr>
              <w:rPr>
                <w:rFonts w:ascii="仿宋" w:eastAsia="仿宋" w:hAnsi="仿宋" w:cs="仿宋" w:hint="eastAsia"/>
              </w:rPr>
            </w:pPr>
            <w:r>
              <w:rPr>
                <w:rFonts w:ascii="仿宋" w:eastAsia="仿宋" w:hAnsi="仿宋" w:cs="仿宋" w:hint="eastAsia"/>
                <w:sz w:val="24"/>
              </w:rPr>
              <w:t>接口标准：SDM/RSRS232</w:t>
            </w: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0"/>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0" w:type="pct"/>
            <w:vAlign w:val="center"/>
          </w:tcPr>
          <w:p>
            <w:pPr>
              <w:rPr>
                <w:rFonts w:ascii="仿宋" w:eastAsia="仿宋" w:hAnsi="仿宋" w:cs="仿宋" w:hint="eastAsia"/>
              </w:rPr>
            </w:pPr>
            <w:r>
              <w:rPr>
                <w:rFonts w:ascii="仿宋" w:eastAsia="仿宋" w:hAnsi="仿宋" w:cs="仿宋" w:hint="eastAsia"/>
                <w:sz w:val="24"/>
              </w:rPr>
              <w:t>空气温湿度传感器</w:t>
            </w:r>
          </w:p>
        </w:tc>
        <w:tc>
          <w:tcPr>
            <w:tcW w:w="2950" w:type="pct"/>
            <w:vAlign w:val="center"/>
          </w:tcPr>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测量范围：气温：－50℃～50℃，相对湿度：0%～100%</w:t>
            </w:r>
          </w:p>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分辨力：#</w:t>
            </w:r>
            <w:r>
              <w:rPr>
                <w:rFonts w:ascii="仿宋" w:eastAsia="仿宋" w:hAnsi="仿宋" w:cs="仿宋" w:hint="eastAsia"/>
                <w:sz w:val="24"/>
                <w:szCs w:val="24"/>
                <w:highlight w:val="yellow"/>
              </w:rPr>
              <w:t>气温：0.1℃，#相对湿度：1%</w:t>
            </w:r>
          </w:p>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rPr>
              <w:t>最大允许误差：</w:t>
            </w:r>
            <w:r>
              <w:rPr>
                <w:rFonts w:ascii="仿宋" w:eastAsia="仿宋" w:hAnsi="仿宋" w:cs="仿宋" w:hint="eastAsia"/>
                <w:sz w:val="24"/>
                <w:szCs w:val="24"/>
                <w:highlight w:val="yellow"/>
              </w:rPr>
              <w:t>#气温：±0.2℃，#相对湿度：±3%（≤80%）±5%（＞80%）</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信号输出方式：数字型传感器</w:t>
            </w:r>
          </w:p>
          <w:p>
            <w:pPr>
              <w:rPr>
                <w:rFonts w:ascii="仿宋" w:eastAsia="仿宋" w:hAnsi="仿宋" w:cs="仿宋" w:hint="eastAsia"/>
              </w:rPr>
            </w:pPr>
            <w:r>
              <w:rPr>
                <w:rFonts w:ascii="仿宋" w:eastAsia="仿宋" w:hAnsi="仿宋" w:cs="仿宋" w:hint="eastAsia"/>
                <w:sz w:val="24"/>
              </w:rPr>
              <w:t>接口标准：RS232/四线制电阻</w:t>
            </w: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0"/>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0" w:type="pct"/>
            <w:vAlign w:val="center"/>
          </w:tcPr>
          <w:p>
            <w:pPr>
              <w:rPr>
                <w:rFonts w:ascii="仿宋" w:eastAsia="仿宋" w:hAnsi="仿宋" w:cs="仿宋" w:hint="eastAsia"/>
              </w:rPr>
            </w:pPr>
            <w:r>
              <w:rPr>
                <w:rFonts w:ascii="仿宋" w:eastAsia="仿宋" w:hAnsi="仿宋" w:cs="仿宋" w:hint="eastAsia"/>
                <w:sz w:val="24"/>
              </w:rPr>
              <w:t>状态监测传感器</w:t>
            </w:r>
          </w:p>
        </w:tc>
        <w:tc>
          <w:tcPr>
            <w:tcW w:w="2950" w:type="pct"/>
            <w:vAlign w:val="center"/>
          </w:tcPr>
          <w:p>
            <w:pPr>
              <w:snapToGrid w:val="0"/>
              <w:rPr>
                <w:rFonts w:ascii="仿宋" w:eastAsia="仿宋" w:hAnsi="仿宋" w:cs="仿宋" w:hint="eastAsia"/>
              </w:rPr>
            </w:pPr>
            <w:r>
              <w:rPr>
                <w:rFonts w:ascii="仿宋" w:eastAsia="仿宋" w:hAnsi="仿宋" w:cs="仿宋" w:hint="eastAsia"/>
                <w:sz w:val="24"/>
              </w:rPr>
              <w:t>输出图像格式：JPG或TIF等；</w:t>
            </w:r>
          </w:p>
          <w:p>
            <w:pPr>
              <w:snapToGrid w:val="0"/>
              <w:rPr>
                <w:rFonts w:ascii="仿宋" w:eastAsia="仿宋" w:hAnsi="仿宋" w:cs="仿宋" w:hint="eastAsia"/>
              </w:rPr>
            </w:pPr>
            <w:r>
              <w:rPr>
                <w:rFonts w:ascii="仿宋" w:eastAsia="仿宋" w:hAnsi="仿宋" w:cs="仿宋" w:hint="eastAsia"/>
                <w:sz w:val="24"/>
              </w:rPr>
              <w:t>有效分辨率：≥400万像素；</w:t>
            </w:r>
          </w:p>
          <w:p>
            <w:pPr>
              <w:snapToGrid w:val="0"/>
              <w:rPr>
                <w:rFonts w:ascii="仿宋" w:eastAsia="仿宋" w:hAnsi="仿宋" w:cs="仿宋" w:hint="eastAsia"/>
              </w:rPr>
            </w:pPr>
            <w:r>
              <w:rPr>
                <w:rFonts w:ascii="仿宋" w:eastAsia="仿宋" w:hAnsi="仿宋" w:cs="仿宋" w:hint="eastAsia"/>
                <w:sz w:val="24"/>
              </w:rPr>
              <w:t>采集高度：与红外CO</w:t>
            </w:r>
            <w:r>
              <w:rPr>
                <w:rFonts w:ascii="仿宋" w:eastAsia="仿宋" w:hAnsi="仿宋" w:cs="仿宋" w:hint="eastAsia"/>
                <w:kern w:val="0"/>
                <w:sz w:val="24"/>
                <w:vertAlign w:val="subscript"/>
              </w:rPr>
              <w:t>2</w:t>
            </w:r>
            <w:r>
              <w:rPr>
                <w:rFonts w:ascii="仿宋" w:eastAsia="仿宋" w:hAnsi="仿宋" w:cs="仿宋" w:hint="eastAsia"/>
                <w:sz w:val="24"/>
              </w:rPr>
              <w:t>/H</w:t>
            </w:r>
            <w:r>
              <w:rPr>
                <w:rFonts w:ascii="仿宋" w:eastAsia="仿宋" w:hAnsi="仿宋" w:cs="仿宋" w:hint="eastAsia"/>
                <w:kern w:val="0"/>
                <w:sz w:val="24"/>
                <w:vertAlign w:val="subscript"/>
              </w:rPr>
              <w:t>2</w:t>
            </w:r>
            <w:r>
              <w:rPr>
                <w:rFonts w:ascii="仿宋" w:eastAsia="仿宋" w:hAnsi="仿宋" w:cs="仿宋" w:hint="eastAsia"/>
                <w:sz w:val="24"/>
              </w:rPr>
              <w:t>O分析仪安装高度相同；</w:t>
            </w:r>
          </w:p>
          <w:p>
            <w:pPr>
              <w:snapToGrid w:val="0"/>
              <w:rPr>
                <w:rFonts w:ascii="仿宋" w:eastAsia="仿宋" w:hAnsi="仿宋" w:cs="仿宋" w:hint="eastAsia"/>
              </w:rPr>
            </w:pPr>
            <w:r>
              <w:rPr>
                <w:rFonts w:ascii="仿宋" w:eastAsia="仿宋" w:hAnsi="仿宋" w:cs="仿宋" w:hint="eastAsia"/>
                <w:sz w:val="24"/>
              </w:rPr>
              <w:t>拍摄目标面积：≥2 m</w:t>
            </w:r>
            <w:r>
              <w:rPr>
                <w:rFonts w:ascii="仿宋" w:eastAsia="仿宋" w:hAnsi="仿宋" w:cs="仿宋" w:hint="eastAsia"/>
                <w:sz w:val="24"/>
                <w:vertAlign w:val="superscript"/>
              </w:rPr>
              <w:t>2</w:t>
            </w:r>
            <w:r>
              <w:rPr>
                <w:rFonts w:ascii="仿宋" w:eastAsia="仿宋" w:hAnsi="仿宋" w:cs="仿宋" w:hint="eastAsia"/>
                <w:sz w:val="24"/>
              </w:rPr>
              <w:t>；</w:t>
            </w:r>
          </w:p>
          <w:p>
            <w:pPr>
              <w:snapToGrid w:val="0"/>
              <w:rPr>
                <w:rFonts w:ascii="仿宋" w:eastAsia="仿宋" w:hAnsi="仿宋" w:cs="仿宋" w:hint="eastAsia"/>
              </w:rPr>
            </w:pPr>
            <w:r>
              <w:rPr>
                <w:rFonts w:ascii="仿宋" w:eastAsia="仿宋" w:hAnsi="仿宋" w:cs="仿宋" w:hint="eastAsia"/>
                <w:sz w:val="24"/>
              </w:rPr>
              <w:t>采集频率，每天自动采集次数不少于2次（固定图像采集时次为10:00和15:00），可根据业务需要，实时增加图像采集频次。</w:t>
            </w:r>
          </w:p>
          <w:p>
            <w:pPr>
              <w:shd w:val="clear" w:color="auto" w:fill="FFFFFF"/>
              <w:snapToGrid w:val="0"/>
              <w:contextualSpacing/>
              <w:rPr>
                <w:rFonts w:ascii="仿宋" w:eastAsia="仿宋" w:hAnsi="仿宋" w:cs="仿宋" w:hint="eastAsia"/>
              </w:rPr>
            </w:pPr>
            <w:r>
              <w:rPr>
                <w:rFonts w:ascii="仿宋" w:eastAsia="仿宋" w:hAnsi="仿宋" w:cs="仿宋" w:hint="eastAsia"/>
                <w:sz w:val="24"/>
              </w:rPr>
              <w:t>信号输出方式：数字型传感器，接口标准：RJ45。</w:t>
            </w: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0"/>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0" w:type="pct"/>
            <w:vAlign w:val="center"/>
          </w:tcPr>
          <w:p>
            <w:pPr>
              <w:rPr>
                <w:rFonts w:ascii="仿宋" w:eastAsia="仿宋" w:hAnsi="仿宋" w:cs="仿宋" w:hint="eastAsia"/>
              </w:rPr>
            </w:pPr>
            <w:r>
              <w:rPr>
                <w:rFonts w:ascii="仿宋" w:eastAsia="仿宋" w:hAnsi="仿宋" w:cs="仿宋" w:hint="eastAsia"/>
                <w:sz w:val="24"/>
              </w:rPr>
              <w:t>下垫面传感器</w:t>
            </w:r>
          </w:p>
        </w:tc>
        <w:tc>
          <w:tcPr>
            <w:tcW w:w="2950" w:type="pct"/>
            <w:vAlign w:val="center"/>
          </w:tcPr>
          <w:p>
            <w:pPr>
              <w:snapToGrid w:val="0"/>
              <w:rPr>
                <w:rFonts w:ascii="仿宋" w:eastAsia="仿宋" w:hAnsi="仿宋" w:cs="仿宋" w:hint="eastAsia"/>
              </w:rPr>
            </w:pPr>
            <w:r>
              <w:rPr>
                <w:rFonts w:ascii="仿宋" w:eastAsia="仿宋" w:hAnsi="仿宋" w:cs="仿宋" w:hint="eastAsia"/>
                <w:sz w:val="24"/>
              </w:rPr>
              <w:t>输出图像格式：JPG或TIF等；</w:t>
            </w:r>
          </w:p>
          <w:p>
            <w:pPr>
              <w:snapToGrid w:val="0"/>
              <w:rPr>
                <w:rFonts w:ascii="仿宋" w:eastAsia="仿宋" w:hAnsi="仿宋" w:cs="仿宋" w:hint="eastAsia"/>
              </w:rPr>
            </w:pPr>
            <w:r>
              <w:rPr>
                <w:rFonts w:ascii="仿宋" w:eastAsia="仿宋" w:hAnsi="仿宋" w:cs="仿宋" w:hint="eastAsia"/>
                <w:sz w:val="24"/>
              </w:rPr>
              <w:t>有效分辨率：≥400万像素；</w:t>
            </w:r>
          </w:p>
          <w:p>
            <w:pPr>
              <w:snapToGrid w:val="0"/>
              <w:rPr>
                <w:rFonts w:ascii="仿宋" w:eastAsia="仿宋" w:hAnsi="仿宋" w:cs="仿宋" w:hint="eastAsia"/>
              </w:rPr>
            </w:pPr>
            <w:r>
              <w:rPr>
                <w:rFonts w:ascii="仿宋" w:eastAsia="仿宋" w:hAnsi="仿宋" w:cs="仿宋" w:hint="eastAsia"/>
                <w:sz w:val="24"/>
              </w:rPr>
              <w:t>采集高度：与红外CO</w:t>
            </w:r>
            <w:r>
              <w:rPr>
                <w:rFonts w:ascii="仿宋" w:eastAsia="仿宋" w:hAnsi="仿宋" w:cs="仿宋" w:hint="eastAsia"/>
                <w:kern w:val="0"/>
                <w:sz w:val="24"/>
                <w:vertAlign w:val="subscript"/>
              </w:rPr>
              <w:t>2</w:t>
            </w:r>
            <w:r>
              <w:rPr>
                <w:rFonts w:ascii="仿宋" w:eastAsia="仿宋" w:hAnsi="仿宋" w:cs="仿宋" w:hint="eastAsia"/>
                <w:sz w:val="24"/>
              </w:rPr>
              <w:t>/H</w:t>
            </w:r>
            <w:r>
              <w:rPr>
                <w:rFonts w:ascii="仿宋" w:eastAsia="仿宋" w:hAnsi="仿宋" w:cs="仿宋" w:hint="eastAsia"/>
                <w:kern w:val="0"/>
                <w:sz w:val="24"/>
                <w:vertAlign w:val="subscript"/>
              </w:rPr>
              <w:t>2</w:t>
            </w:r>
            <w:r>
              <w:rPr>
                <w:rFonts w:ascii="仿宋" w:eastAsia="仿宋" w:hAnsi="仿宋" w:cs="仿宋" w:hint="eastAsia"/>
                <w:sz w:val="24"/>
              </w:rPr>
              <w:t>O分析仪安装高度相同；</w:t>
            </w:r>
          </w:p>
          <w:p>
            <w:pPr>
              <w:snapToGrid w:val="0"/>
              <w:rPr>
                <w:rFonts w:ascii="仿宋" w:eastAsia="仿宋" w:hAnsi="仿宋" w:cs="仿宋" w:hint="eastAsia"/>
              </w:rPr>
            </w:pPr>
            <w:r>
              <w:rPr>
                <w:rFonts w:ascii="仿宋" w:eastAsia="仿宋" w:hAnsi="仿宋" w:cs="仿宋" w:hint="eastAsia"/>
                <w:sz w:val="24"/>
              </w:rPr>
              <w:t>拍摄角度：镜头中心延长线与地面垂直间的夹角不大于45度；</w:t>
            </w:r>
          </w:p>
          <w:p>
            <w:pPr>
              <w:snapToGrid w:val="0"/>
              <w:rPr>
                <w:rFonts w:ascii="仿宋" w:eastAsia="仿宋" w:hAnsi="仿宋" w:cs="仿宋" w:hint="eastAsia"/>
              </w:rPr>
            </w:pPr>
            <w:r>
              <w:rPr>
                <w:rFonts w:ascii="仿宋" w:eastAsia="仿宋" w:hAnsi="仿宋" w:cs="仿宋" w:hint="eastAsia"/>
                <w:sz w:val="24"/>
              </w:rPr>
              <w:t>拍摄目标面积：≥5 m</w:t>
            </w:r>
            <w:r>
              <w:rPr>
                <w:rFonts w:ascii="仿宋" w:eastAsia="仿宋" w:hAnsi="仿宋" w:cs="仿宋" w:hint="eastAsia"/>
                <w:sz w:val="24"/>
                <w:vertAlign w:val="superscript"/>
              </w:rPr>
              <w:t>2</w:t>
            </w:r>
            <w:r>
              <w:rPr>
                <w:rFonts w:ascii="仿宋" w:eastAsia="仿宋" w:hAnsi="仿宋" w:cs="仿宋" w:hint="eastAsia"/>
                <w:sz w:val="24"/>
              </w:rPr>
              <w:t>；</w:t>
            </w:r>
          </w:p>
          <w:p>
            <w:pPr>
              <w:snapToGrid w:val="0"/>
              <w:rPr>
                <w:rFonts w:ascii="仿宋" w:eastAsia="仿宋" w:hAnsi="仿宋" w:cs="仿宋" w:hint="eastAsia"/>
              </w:rPr>
            </w:pPr>
            <w:r>
              <w:rPr>
                <w:rFonts w:ascii="仿宋" w:eastAsia="仿宋" w:hAnsi="仿宋" w:cs="仿宋" w:hint="eastAsia"/>
                <w:sz w:val="24"/>
              </w:rPr>
              <w:t>采集频率，每天自动采集次数不少于2次（固定图像采集时次为10:00和15:00），可根据业务需要，实时增加图像采集频次。</w:t>
            </w:r>
          </w:p>
          <w:p>
            <w:pPr>
              <w:shd w:val="clear" w:color="auto" w:fill="FFFFFF"/>
              <w:snapToGrid w:val="0"/>
              <w:contextualSpacing/>
              <w:rPr>
                <w:rFonts w:ascii="仿宋" w:eastAsia="仿宋" w:hAnsi="仿宋" w:cs="仿宋" w:hint="eastAsia"/>
              </w:rPr>
            </w:pPr>
            <w:r>
              <w:rPr>
                <w:rFonts w:ascii="仿宋" w:eastAsia="仿宋" w:hAnsi="仿宋" w:cs="仿宋" w:hint="eastAsia"/>
                <w:sz w:val="24"/>
              </w:rPr>
              <w:t>信号输出方式：数字型传感器，接口标准：RJ45。</w:t>
            </w:r>
          </w:p>
        </w:tc>
      </w:tr>
    </w:tbl>
    <w:p>
      <w:pPr>
        <w:widowControl/>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方按照业务运行规范要求执行，确保设备可稳定运行，主要工作包括：巡检、年维护等巡检巡查工作，以及关键器件及系统故障的维修等。故障维修和巡检巡查等需按照质保指导意见要求执行，并提供相关承诺函。</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（1）设备供应商对所有设备提供自验收合格后8年的质保服务*，</w:t>
      </w:r>
      <w:r>
        <w:rPr>
          <w:rFonts w:ascii="仿宋" w:eastAsia="仿宋" w:hAnsi="仿宋" w:cs="仿宋" w:hint="eastAsia"/>
          <w:sz w:val="28"/>
          <w:szCs w:val="20"/>
        </w:rPr>
        <w:t>需提供设备质保承诺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（2）在质保期内，设备供应商服务时间应为7×24小时，当投标产品或软件遭到损坏或出现故障时，要在用户报修之时起4小时内做出响应，开展维修维护工作，视情况双方协商设备恢复正常运行时限。</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参照功能规格需求书、测试大纲，以及中国气象局最新业务管理规定等有关文件要求开展检验考核。</w:t>
      </w:r>
    </w:p>
    <w:p>
      <w:pPr>
        <w:ind w:firstLine="560" w:firstLineChars="200"/>
        <w:rPr>
          <w:rFonts w:ascii="仿宋" w:eastAsia="仿宋" w:hAnsi="仿宋" w:cs="仿宋"/>
          <w:sz w:val="28"/>
          <w:szCs w:val="20"/>
        </w:rPr>
      </w:pPr>
      <w:r>
        <w:rPr>
          <w:rFonts w:ascii="仿宋" w:eastAsia="仿宋" w:hAnsi="仿宋" w:cs="仿宋" w:hint="eastAsia"/>
          <w:sz w:val="28"/>
          <w:szCs w:val="20"/>
        </w:rPr>
        <w:t>（1）设备出厂前，采购人有权派人到中标厂家进行检验，中标人应在设备出厂前提供出厂检验项目指标测试程序和检验方法，供采购人参考，采购人可根据需要进行补充和修改。采购人委托有关部门赴生产厂家按验收规程做出厂抽检验收，这种验收不能降低中标人的责任。</w:t>
      </w:r>
    </w:p>
    <w:p>
      <w:pPr>
        <w:ind w:firstLine="560" w:firstLineChars="200"/>
        <w:rPr>
          <w:rFonts w:ascii="仿宋" w:eastAsia="仿宋" w:hAnsi="仿宋" w:cs="仿宋"/>
          <w:sz w:val="28"/>
          <w:szCs w:val="20"/>
        </w:rPr>
      </w:pPr>
      <w:r>
        <w:rPr>
          <w:rFonts w:ascii="仿宋" w:eastAsia="仿宋" w:hAnsi="仿宋" w:cs="仿宋" w:hint="eastAsia"/>
          <w:sz w:val="28"/>
          <w:szCs w:val="20"/>
        </w:rPr>
        <w:t>（2）设备安装、调试达到功能规格需求书规定的指标后，可进行初步验收。验收规范(包括项目、指标、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ind w:firstLine="560" w:firstLineChars="200"/>
        <w:rPr>
          <w:rFonts w:ascii="仿宋" w:eastAsia="仿宋" w:hAnsi="仿宋" w:cs="仿宋"/>
          <w:sz w:val="28"/>
          <w:szCs w:val="20"/>
        </w:rPr>
      </w:pPr>
      <w:r>
        <w:rPr>
          <w:rFonts w:ascii="仿宋" w:eastAsia="仿宋" w:hAnsi="仿宋" w:cs="仿宋" w:hint="eastAsia"/>
          <w:sz w:val="28"/>
          <w:szCs w:val="20"/>
        </w:rPr>
        <w:t>（3）设备经过3个月试运行期，达到功能规格需求书的要求时，可进行最终验收。在试运行期间，由于设备质量等造成某些指标达不到要求，允许中标人更换或进行修复，但试运行期另加3个月。</w:t>
      </w:r>
    </w:p>
    <w:p>
      <w:pPr>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中标人已提供合同中签署的全部货物及完整技术资料；</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货物符合技术规格，性能满足要求；</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安装工程符合技术要求，系统性能满足要求，设备正常运行。</w:t>
      </w:r>
    </w:p>
    <w:p>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hint="eastAsia"/>
          <w:sz w:val="28"/>
          <w:szCs w:val="20"/>
        </w:rPr>
        <w:sectPr>
          <w:pgSz w:w="11906" w:h="16838"/>
          <w:pgMar w:top="2154" w:right="1474" w:bottom="2041" w:left="1587" w:header="709" w:footer="1417" w:gutter="0"/>
          <w:cols w:num="1" w:space="720"/>
          <w:docGrid w:type="linesAndChars" w:linePitch="579" w:charSpace="-849"/>
        </w:sectPr>
      </w:pP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采购需求 附表</w:t>
      </w:r>
    </w:p>
    <w:p>
      <w:pPr>
        <w:keepNext w:val="0"/>
        <w:keepLines w:val="0"/>
        <w:pageBreakBefore w:val="0"/>
        <w:widowControl/>
        <w:kinsoku/>
        <w:wordWrap/>
        <w:overflowPunct/>
        <w:topLinePunct w:val="0"/>
        <w:autoSpaceDE/>
        <w:autoSpaceDN/>
        <w:bidi w:val="0"/>
        <w:adjustRightInd/>
        <w:snapToGrid/>
        <w:spacing w:line="560" w:lineRule="exact"/>
        <w:ind w:firstLine="560" w:firstLineChars="200"/>
        <w:jc w:val="left"/>
        <w:textAlignment w:val="auto"/>
        <w:rPr>
          <w:rFonts w:ascii="仿宋" w:eastAsia="仿宋" w:hAnsi="仿宋" w:cs="仿宋" w:hint="eastAsia"/>
          <w:sz w:val="28"/>
          <w:szCs w:val="28"/>
        </w:rPr>
      </w:pPr>
    </w:p>
    <w:p>
      <w:pPr>
        <w:spacing w:line="560" w:lineRule="exact"/>
        <w:jc w:val="both"/>
        <w:outlineLvl w:val="1"/>
        <w:rPr>
          <w:rFonts w:ascii="黑体" w:eastAsia="黑体" w:hAnsi="黑体" w:hint="eastAsia"/>
          <w:bCs/>
          <w:snapToGrid w:val="0"/>
          <w:kern w:val="0"/>
          <w:sz w:val="44"/>
          <w:szCs w:val="44"/>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92"/>
        <w:gridCol w:w="768"/>
        <w:gridCol w:w="643"/>
        <w:gridCol w:w="893"/>
        <w:gridCol w:w="1019"/>
        <w:gridCol w:w="643"/>
        <w:gridCol w:w="4203"/>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通量观测仪</w:t>
            </w:r>
          </w:p>
        </w:tc>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2,220,000.00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r>
              <w:t>通量观测仪4套，220万；电缆铺设、线路改造4套，2万元，合计222万元。</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2,220,000.00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81"/>
        <w:gridCol w:w="1884"/>
        <w:gridCol w:w="1139"/>
        <w:gridCol w:w="581"/>
        <w:gridCol w:w="1325"/>
        <w:gridCol w:w="1105"/>
        <w:gridCol w:w="1325"/>
        <w:gridCol w:w="58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江苏省气象探测中心</w:t>
            </w:r>
          </w:p>
        </w:tc>
        <w:tc>
          <w:tcPr/>
          <w:p>
            <w:r>
              <w:t>通量观测仪</w:t>
            </w:r>
          </w:p>
        </w:tc>
        <w:tc>
          <w:tcPr/>
          <w:p>
            <w:r>
              <w:t>4</w:t>
            </w:r>
          </w:p>
        </w:tc>
        <w:tc>
          <w:tcPr/>
          <w:p>
            <w:r>
              <w:t>2220000.00</w:t>
            </w:r>
          </w:p>
        </w:tc>
        <w:tc>
          <w:tcPr/>
          <w:p>
            <w:r>
              <w:t xml:space="preserve">2220000.00  </w:t>
            </w:r>
          </w:p>
        </w:tc>
        <w:tc>
          <w:tcPr/>
          <w:p>
            <w:r>
              <w:t>甲方指定地点</w:t>
            </w:r>
          </w:p>
        </w:tc>
        <w:tc>
          <w:tcP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520B00">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375949" w:rsidP="00375949">
      <w:pPr>
        <w:spacing w:line="560" w:lineRule="exact"/>
        <w:ind w:firstLine="560" w:firstLineChars="200"/>
        <w:rPr>
          <w:rFonts w:ascii="仿宋" w:eastAsia="仿宋" w:hAnsi="仿宋" w:cs="仿宋"/>
          <w:b/>
          <w:bCs/>
          <w:sz w:val="28"/>
          <w:szCs w:val="20"/>
        </w:rPr>
      </w:pPr>
      <w:r w:rsidRPr="00375949">
        <w:rPr>
          <w:rFonts w:ascii="仿宋" w:eastAsia="仿宋" w:hAnsi="仿宋" w:cs="仿宋" w:hint="eastAsia"/>
          <w:sz w:val="28"/>
          <w:szCs w:val="20"/>
        </w:rPr>
        <w:t xml:space="preserve"> </w:t>
      </w:r>
      <w:r>
        <w:rPr>
          <w:rFonts w:ascii="仿宋" w:eastAsia="仿宋" w:hAnsi="仿宋" w:cs="仿宋" w:hint="eastAsia"/>
          <w:b/>
          <w:bCs/>
          <w:sz w:val="28"/>
          <w:szCs w:val="20"/>
        </w:rPr>
        <w:t>一、项目概况及总体要求</w:t>
      </w:r>
    </w:p>
    <w:p w:rsidR="00375949" w:rsidRPr="004761EF" w:rsidP="00375949">
      <w:pPr>
        <w:ind w:firstLine="560" w:firstLineChars="200"/>
        <w:rPr>
          <w:rFonts w:ascii="仿宋" w:eastAsia="仿宋" w:hAnsi="仿宋" w:cs="仿宋"/>
          <w:sz w:val="28"/>
          <w:szCs w:val="20"/>
        </w:rPr>
      </w:pPr>
      <w:r w:rsidRPr="004761EF">
        <w:rPr>
          <w:rFonts w:ascii="仿宋" w:eastAsia="仿宋" w:hAnsi="仿宋" w:cs="仿宋" w:hint="eastAsia"/>
          <w:sz w:val="28"/>
          <w:szCs w:val="20"/>
        </w:rPr>
        <w:t>《综合气象观测业务发展“十四五”规划》（气发〔2022）133号）中明确提出：要加强气候变化观测，提升生态气象观测能力，聚焦生态保护和修复，加强气象灾害、气候变化对生态安全影响的监测，在全国主要气候区和植被区，开展通量观测。</w:t>
      </w:r>
    </w:p>
    <w:p w:rsidR="00375949" w:rsidP="00375949">
      <w:pPr>
        <w:ind w:firstLine="560" w:firstLineChars="200"/>
        <w:rPr>
          <w:rFonts w:ascii="仿宋" w:eastAsia="仿宋" w:hAnsi="仿宋" w:cs="仿宋"/>
          <w:sz w:val="28"/>
          <w:szCs w:val="20"/>
        </w:rPr>
      </w:pPr>
      <w:r w:rsidRPr="004761EF">
        <w:rPr>
          <w:rFonts w:ascii="仿宋" w:eastAsia="仿宋" w:hAnsi="仿宋" w:cs="仿宋" w:hint="eastAsia"/>
          <w:sz w:val="28"/>
          <w:szCs w:val="20"/>
        </w:rPr>
        <w:t>为深入贯彻习近平总书记关于气象工作重要指示精神和《气象高质量发展纲要（2022-2035年）》要求，按照中国气象</w:t>
      </w:r>
      <w:r>
        <w:rPr>
          <w:rFonts w:ascii="仿宋" w:eastAsia="仿宋" w:hAnsi="仿宋" w:cs="仿宋" w:hint="eastAsia"/>
          <w:sz w:val="28"/>
          <w:szCs w:val="20"/>
        </w:rPr>
        <w:t>局十四五规划的站网工程总体设计和相关年度投资计划安排，在</w:t>
      </w:r>
      <w:r w:rsidRPr="004761EF">
        <w:rPr>
          <w:rFonts w:ascii="仿宋" w:eastAsia="仿宋" w:hAnsi="仿宋" w:cs="仿宋" w:hint="eastAsia"/>
          <w:sz w:val="28"/>
          <w:szCs w:val="20"/>
        </w:rPr>
        <w:t>江苏新建</w:t>
      </w:r>
      <w:r>
        <w:rPr>
          <w:rFonts w:ascii="仿宋" w:eastAsia="仿宋" w:hAnsi="仿宋" w:cs="仿宋"/>
          <w:sz w:val="28"/>
          <w:szCs w:val="20"/>
        </w:rPr>
        <w:t>4</w:t>
      </w:r>
      <w:r w:rsidRPr="004761EF">
        <w:rPr>
          <w:rFonts w:ascii="仿宋" w:eastAsia="仿宋" w:hAnsi="仿宋" w:cs="仿宋" w:hint="eastAsia"/>
          <w:sz w:val="28"/>
          <w:szCs w:val="20"/>
        </w:rPr>
        <w:t>套高精度温室气体观测系统和</w:t>
      </w:r>
      <w:r>
        <w:rPr>
          <w:rFonts w:ascii="仿宋" w:eastAsia="仿宋" w:hAnsi="仿宋" w:cs="仿宋"/>
          <w:sz w:val="28"/>
          <w:szCs w:val="20"/>
        </w:rPr>
        <w:t>4</w:t>
      </w:r>
      <w:r w:rsidRPr="004761EF">
        <w:rPr>
          <w:rFonts w:ascii="仿宋" w:eastAsia="仿宋" w:hAnsi="仿宋" w:cs="仿宋" w:hint="eastAsia"/>
          <w:sz w:val="28"/>
          <w:szCs w:val="20"/>
        </w:rPr>
        <w:t>套通量观测仪及相关配套设施，构建覆盖主要城市和区域的温室气体浓度高精度观测网，对温室气体排放进行动态监测，以提升气候变化监测能力，服务“碳达峰、碳中和”国家战略。</w:t>
      </w:r>
    </w:p>
    <w:p w:rsidR="00375949" w:rsidP="00375949">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rsidR="00375949" w:rsidP="00375949">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rsidR="00375949" w:rsidP="00375949">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rsidR="00375949" w:rsidP="00375949">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w:t>
      </w:r>
      <w:r>
        <w:rPr>
          <w:rFonts w:ascii="仿宋" w:eastAsia="仿宋" w:hAnsi="仿宋" w:cs="仿宋" w:hint="eastAsia"/>
          <w:sz w:val="28"/>
          <w:szCs w:val="20"/>
        </w:rPr>
        <w:t>的知识和技能。书面承诺每种设备的培训讲师具有中级以上职称或从事该设备技术工作至少2年；</w:t>
      </w:r>
    </w:p>
    <w:p w:rsidR="00375949" w:rsidP="00375949">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不少于24</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课时，培训人数不少于20</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rsidR="00375949" w:rsidP="00375949">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rsidR="00375949" w:rsidP="00375949">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中标供应商将所有设备运送至甲方指定地点（运输相关费用由供应商负责），并负责安装调试。</w:t>
      </w:r>
    </w:p>
    <w:p w:rsidR="00375949" w:rsidP="00375949">
      <w:pPr>
        <w:ind w:left="559" w:leftChars="266"/>
        <w:rPr>
          <w:rFonts w:ascii="仿宋" w:eastAsia="仿宋" w:hAnsi="仿宋" w:cs="仿宋"/>
          <w:b/>
          <w:bCs/>
          <w:sz w:val="28"/>
          <w:szCs w:val="20"/>
        </w:rPr>
      </w:pPr>
      <w:r>
        <w:rPr>
          <w:rFonts w:ascii="仿宋" w:eastAsia="仿宋" w:hAnsi="仿宋" w:cs="仿宋" w:hint="eastAsia"/>
          <w:sz w:val="28"/>
          <w:szCs w:val="20"/>
        </w:rPr>
        <w:t>合同签订后</w:t>
      </w:r>
      <w:r>
        <w:rPr>
          <w:rFonts w:ascii="仿宋" w:eastAsia="仿宋" w:hAnsi="仿宋" w:cs="仿宋"/>
          <w:sz w:val="28"/>
          <w:szCs w:val="20"/>
        </w:rPr>
        <w:t>90</w:t>
      </w:r>
      <w:r>
        <w:rPr>
          <w:rFonts w:ascii="仿宋" w:eastAsia="仿宋" w:hAnsi="仿宋" w:cs="仿宋" w:hint="eastAsia"/>
          <w:sz w:val="28"/>
          <w:szCs w:val="20"/>
        </w:rPr>
        <w:t>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rsidR="00375949" w:rsidP="00375949">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rsidR="00375949" w:rsidP="00375949">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rsidR="00375949" w:rsidP="00375949">
      <w:pPr>
        <w:ind w:firstLine="560" w:firstLineChars="200"/>
        <w:rPr>
          <w:rFonts w:ascii="仿宋" w:eastAsia="仿宋" w:hAnsi="仿宋" w:cs="仿宋"/>
          <w:sz w:val="28"/>
          <w:szCs w:val="20"/>
        </w:rPr>
      </w:pPr>
      <w:r>
        <w:rPr>
          <w:rFonts w:ascii="仿宋" w:eastAsia="仿宋" w:hAnsi="仿宋" w:cs="仿宋" w:hint="eastAsia"/>
          <w:sz w:val="28"/>
          <w:szCs w:val="20"/>
        </w:rPr>
        <w:t>设备数据</w:t>
      </w:r>
      <w:r w:rsidRPr="004761EF">
        <w:rPr>
          <w:rFonts w:ascii="仿宋" w:eastAsia="仿宋" w:hAnsi="仿宋" w:cs="仿宋" w:hint="eastAsia"/>
          <w:sz w:val="28"/>
          <w:szCs w:val="20"/>
        </w:rPr>
        <w:t>可无缝接入气象网络系统，实现与原有省级业务平台无缝接入，完全符合甲方相关要求和规范，保证其系统的兼容性和功能的完整性。</w:t>
      </w:r>
      <w:r>
        <w:rPr>
          <w:rFonts w:ascii="仿宋" w:eastAsia="仿宋" w:hAnsi="仿宋" w:cs="仿宋" w:hint="eastAsia"/>
          <w:sz w:val="28"/>
          <w:szCs w:val="20"/>
        </w:rPr>
        <w:t xml:space="preserve">  </w:t>
      </w:r>
    </w:p>
    <w:p w:rsidR="00520B00" w:rsidRPr="00375949" w:rsidP="00375949">
      <w:pPr>
        <w:ind w:firstLine="560" w:firstLineChars="200"/>
        <w:rPr>
          <w:rFonts w:ascii="仿宋" w:eastAsia="仿宋" w:hAnsi="仿宋" w:cs="仿宋"/>
          <w:sz w:val="28"/>
          <w:szCs w:val="20"/>
        </w:rPr>
      </w:pP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A4422A">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A4422A">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A3710B">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A4422A">
            <w:pPr>
              <w:rPr>
                <w:sz w:val="18"/>
                <w:szCs w:val="18"/>
              </w:rPr>
            </w:pPr>
            <w:r>
              <w:rPr>
                <w:rFonts w:hint="eastAsia"/>
                <w:sz w:val="18"/>
                <w:szCs w:val="18"/>
              </w:rPr>
              <w:t>序号</w:t>
            </w:r>
          </w:p>
        </w:tc>
        <w:tc>
          <w:tcPr>
            <w:tcW w:w="898" w:type="dxa"/>
            <w:vAlign w:val="center"/>
          </w:tcPr>
          <w:p w:rsidR="00A4422A">
            <w:pPr>
              <w:jc w:val="center"/>
              <w:rPr>
                <w:sz w:val="18"/>
                <w:szCs w:val="18"/>
              </w:rPr>
            </w:pPr>
            <w:r>
              <w:rPr>
                <w:rFonts w:hint="eastAsia"/>
                <w:sz w:val="18"/>
                <w:szCs w:val="18"/>
              </w:rPr>
              <w:t>对应</w:t>
            </w:r>
          </w:p>
          <w:p w:rsidR="00A4422A">
            <w:pPr>
              <w:jc w:val="center"/>
              <w:rPr>
                <w:sz w:val="18"/>
                <w:szCs w:val="18"/>
              </w:rPr>
            </w:pPr>
            <w:r>
              <w:rPr>
                <w:rFonts w:hint="eastAsia"/>
                <w:sz w:val="18"/>
                <w:szCs w:val="18"/>
              </w:rPr>
              <w:t>条款号</w:t>
            </w:r>
          </w:p>
        </w:tc>
        <w:tc>
          <w:tcPr>
            <w:tcW w:w="7347" w:type="dxa"/>
            <w:vAlign w:val="center"/>
          </w:tcPr>
          <w:p w:rsidR="00A4422A">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A3710B">
        <w:tblPrEx>
          <w:tblW w:w="8789" w:type="dxa"/>
          <w:tblLayout w:type="fixed"/>
          <w:tblLook w:val="04A0"/>
        </w:tblPrEx>
        <w:trPr>
          <w:cantSplit/>
        </w:trPr>
        <w:tc>
          <w:tcPr>
            <w:tcW w:w="8789" w:type="dxa"/>
            <w:gridSpan w:val="3"/>
            <w:vAlign w:val="center"/>
          </w:tcPr>
          <w:p w:rsidR="00A4422A">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A3710B">
        <w:tblPrEx>
          <w:tblW w:w="8789" w:type="dxa"/>
          <w:tblLayout w:type="fixed"/>
          <w:tblLook w:val="04A0"/>
        </w:tblPrEx>
        <w:trPr>
          <w:cantSplit/>
        </w:trPr>
        <w:tc>
          <w:tcPr>
            <w:tcW w:w="544" w:type="dxa"/>
            <w:vAlign w:val="center"/>
          </w:tcPr>
          <w:p w:rsidR="00A4422A">
            <w:pPr>
              <w:numPr>
                <w:ilvl w:val="0"/>
                <w:numId w:val="14"/>
              </w:numPr>
              <w:rPr>
                <w:rFonts w:ascii="宋体" w:hAnsi="宋体"/>
                <w:sz w:val="18"/>
                <w:szCs w:val="18"/>
              </w:rPr>
            </w:pPr>
          </w:p>
        </w:tc>
        <w:tc>
          <w:tcPr>
            <w:tcW w:w="898" w:type="dxa"/>
            <w:vAlign w:val="center"/>
          </w:tcPr>
          <w:p w:rsidR="00A4422A" w:rsidP="00AA4D6A">
            <w:pPr>
              <w:jc w:val="center"/>
              <w:rPr>
                <w:rFonts w:ascii="宋体" w:hAnsi="宋体"/>
                <w:sz w:val="18"/>
                <w:szCs w:val="18"/>
              </w:rPr>
            </w:pPr>
            <w:r>
              <w:rPr>
                <w:rFonts w:ascii="宋体" w:hAnsi="宋体"/>
                <w:sz w:val="18"/>
                <w:szCs w:val="18"/>
              </w:rPr>
              <w:t>5.7</w:t>
            </w:r>
          </w:p>
        </w:tc>
        <w:tc>
          <w:tcPr>
            <w:tcW w:w="7347" w:type="dxa"/>
          </w:tcPr>
          <w:p w:rsidR="00A4422A" w:rsidP="00AA4D6A">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投标</w:t>
            </w:r>
            <w:r w:rsidR="00AA4D6A">
              <w:rPr>
                <w:rFonts w:ascii="宋体" w:hAnsi="宋体" w:cs="微软雅黑" w:hint="eastAsia"/>
                <w:b/>
                <w:color w:val="0000FF"/>
                <w:kern w:val="0"/>
                <w:sz w:val="18"/>
                <w:szCs w:val="18"/>
              </w:rPr>
              <w:t>的货物必须具备气象装备许可证</w:t>
            </w:r>
            <w:r>
              <w:rPr>
                <w:rFonts w:ascii="宋体" w:hAnsi="宋体" w:cs="微软雅黑" w:hint="eastAsia"/>
                <w:b/>
                <w:color w:val="0000FF"/>
                <w:kern w:val="0"/>
                <w:sz w:val="18"/>
                <w:szCs w:val="18"/>
              </w:rPr>
              <w:t>：</w:t>
            </w:r>
            <w:r w:rsidRPr="00A3710B">
              <w:rPr>
                <w:rFonts w:ascii="宋体" w:hAnsi="宋体" w:cs="微软雅黑"/>
                <w:b/>
                <w:color w:val="0000FF"/>
                <w:kern w:val="0"/>
                <w:sz w:val="18"/>
                <w:szCs w:val="18"/>
              </w:rPr>
              <w:t>通量观测仪（水、二氧化碳气体分析仪加三维超声风）</w:t>
            </w:r>
            <w:r>
              <w:rPr>
                <w:rFonts w:ascii="宋体" w:hAnsi="宋体" w:cs="微软雅黑" w:hint="eastAsia"/>
                <w:b/>
                <w:color w:val="0000FF"/>
                <w:kern w:val="0"/>
                <w:sz w:val="18"/>
                <w:szCs w:val="18"/>
              </w:rPr>
              <w:t>气象</w:t>
            </w:r>
            <w:r>
              <w:rPr>
                <w:rFonts w:ascii="宋体" w:hAnsi="宋体" w:cs="微软雅黑"/>
                <w:b/>
                <w:color w:val="0000FF"/>
                <w:kern w:val="0"/>
                <w:sz w:val="18"/>
                <w:szCs w:val="18"/>
              </w:rPr>
              <w:t>装备许可证</w:t>
            </w:r>
          </w:p>
        </w:tc>
      </w:tr>
      <w:tr w:rsidTr="00A3710B">
        <w:tblPrEx>
          <w:tblW w:w="8789" w:type="dxa"/>
          <w:tblLayout w:type="fixed"/>
          <w:tblLook w:val="04A0"/>
        </w:tblPrEx>
        <w:trPr>
          <w:cantSplit/>
        </w:trPr>
        <w:tc>
          <w:tcPr>
            <w:tcW w:w="8789" w:type="dxa"/>
            <w:gridSpan w:val="3"/>
            <w:vAlign w:val="center"/>
          </w:tcPr>
          <w:p w:rsidR="00A4422A">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A3710B">
        <w:tblPrEx>
          <w:tblW w:w="8789" w:type="dxa"/>
          <w:tblLayout w:type="fixed"/>
          <w:tblLook w:val="04A0"/>
        </w:tblPrEx>
        <w:trPr>
          <w:cantSplit/>
        </w:trPr>
        <w:tc>
          <w:tcPr>
            <w:tcW w:w="544" w:type="dxa"/>
            <w:vAlign w:val="center"/>
          </w:tcPr>
          <w:p w:rsidR="00A4422A">
            <w:pPr>
              <w:numPr>
                <w:ilvl w:val="0"/>
                <w:numId w:val="14"/>
              </w:numPr>
              <w:rPr>
                <w:rFonts w:ascii="宋体" w:hAnsi="宋体"/>
                <w:sz w:val="18"/>
                <w:szCs w:val="18"/>
              </w:rPr>
            </w:pPr>
          </w:p>
        </w:tc>
        <w:tc>
          <w:tcPr>
            <w:tcW w:w="898" w:type="dxa"/>
            <w:vAlign w:val="center"/>
          </w:tcPr>
          <w:p w:rsidR="00A4422A">
            <w:pPr>
              <w:jc w:val="center"/>
              <w:rPr>
                <w:rFonts w:ascii="宋体" w:hAnsi="宋体" w:hint="eastAsia"/>
                <w:sz w:val="18"/>
                <w:szCs w:val="18"/>
              </w:rPr>
            </w:pPr>
            <w:r>
              <w:rPr>
                <w:rFonts w:ascii="宋体" w:hAnsi="宋体" w:hint="eastAsia"/>
                <w:sz w:val="18"/>
                <w:szCs w:val="18"/>
              </w:rPr>
              <w:t>四、质保服务要求</w:t>
            </w:r>
          </w:p>
        </w:tc>
        <w:tc>
          <w:tcPr>
            <w:tcW w:w="7347" w:type="dxa"/>
            <w:vAlign w:val="center"/>
          </w:tcPr>
          <w:p w:rsidR="00A4422A">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设备供应商对所有设备提供自验收合格后8年的质保服务</w:t>
            </w:r>
          </w:p>
        </w:tc>
      </w:tr>
    </w:tbl>
    <w:p w:rsidR="00A4422A">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A36D3D">
      <w:pPr>
        <w:numPr>
          <w:ilvl w:val="0"/>
          <w:numId w:val="5"/>
        </w:numPr>
        <w:spacing w:line="360" w:lineRule="auto"/>
        <w:ind w:firstLine="3066" w:firstLineChars="1460"/>
        <w:jc w:val="left"/>
        <w:rPr>
          <w:b/>
          <w:bCs/>
          <w:szCs w:val="21"/>
        </w:rPr>
      </w:pPr>
      <w:bookmarkStart w:id="70" w:name="采购公告合同部分_ZBGGHT"/>
      <w:r>
        <w:rPr>
          <w:rFonts w:hint="eastAsia"/>
          <w:b/>
          <w:bCs/>
          <w:szCs w:val="21"/>
        </w:rPr>
        <w:t xml:space="preserve"> </w:t>
      </w:r>
      <w:r>
        <w:rPr>
          <w:rFonts w:hint="eastAsia"/>
          <w:b/>
          <w:bCs/>
          <w:szCs w:val="21"/>
        </w:rPr>
        <w:t>采购合同</w:t>
      </w:r>
    </w:p>
    <w:p w:rsidR="00A36D3D">
      <w:pPr>
        <w:spacing w:line="360" w:lineRule="auto"/>
        <w:ind w:left="1680" w:firstLine="420"/>
        <w:jc w:val="left"/>
        <w:rPr>
          <w:b/>
          <w:bCs/>
          <w:szCs w:val="21"/>
        </w:rPr>
      </w:pPr>
      <w:r>
        <w:rPr>
          <w:rFonts w:hint="eastAsia"/>
          <w:b/>
          <w:bCs/>
          <w:szCs w:val="21"/>
        </w:rPr>
        <w:t>必须明确合同金额支付条件及支付比例</w:t>
      </w:r>
    </w:p>
    <w:p w:rsidR="00A36D3D">
      <w:pPr>
        <w:pStyle w:val="BodyText"/>
        <w:spacing w:after="0"/>
        <w:jc w:val="center"/>
        <w:rPr>
          <w:rFonts w:ascii="宋体" w:hAnsi="宋体" w:cs="宋体"/>
          <w:b/>
          <w:bCs/>
          <w:spacing w:val="-20"/>
          <w:kern w:val="44"/>
          <w:sz w:val="48"/>
          <w:szCs w:val="48"/>
        </w:rPr>
      </w:pPr>
      <w:r>
        <w:rPr>
          <w:b/>
          <w:bCs/>
          <w:szCs w:val="21"/>
        </w:rPr>
        <w:br w:type="page"/>
      </w:r>
      <w:bookmarkStart w:id="71" w:name="_Toc3995"/>
    </w:p>
    <w:p w:rsidR="00A36D3D">
      <w:pPr>
        <w:pStyle w:val="BodyText"/>
        <w:spacing w:after="0"/>
        <w:jc w:val="center"/>
        <w:rPr>
          <w:rFonts w:ascii="宋体" w:hAnsi="宋体" w:cs="宋体"/>
          <w:b/>
          <w:bCs/>
          <w:spacing w:val="-20"/>
          <w:kern w:val="44"/>
          <w:sz w:val="48"/>
          <w:szCs w:val="48"/>
        </w:rPr>
      </w:pPr>
    </w:p>
    <w:p w:rsidR="00A36D3D">
      <w:pPr>
        <w:pStyle w:val="BodyText"/>
        <w:spacing w:after="0"/>
        <w:jc w:val="center"/>
        <w:rPr>
          <w:rFonts w:ascii="宋体" w:hAnsi="宋体" w:cs="宋体"/>
          <w:b/>
          <w:bCs/>
          <w:spacing w:val="-20"/>
          <w:kern w:val="44"/>
          <w:sz w:val="48"/>
          <w:szCs w:val="48"/>
        </w:rPr>
      </w:pPr>
    </w:p>
    <w:p w:rsidR="00A36D3D">
      <w:pPr>
        <w:pStyle w:val="BodyText"/>
        <w:spacing w:after="0"/>
        <w:jc w:val="center"/>
        <w:rPr>
          <w:rFonts w:ascii="宋体" w:hAnsi="宋体" w:cs="宋体"/>
          <w:b/>
          <w:bCs/>
          <w:spacing w:val="-20"/>
          <w:kern w:val="44"/>
          <w:sz w:val="48"/>
          <w:szCs w:val="48"/>
        </w:rPr>
      </w:pPr>
    </w:p>
    <w:p w:rsidR="00A36D3D">
      <w:pPr>
        <w:pStyle w:val="BodyText"/>
        <w:spacing w:after="0"/>
        <w:jc w:val="center"/>
        <w:rPr>
          <w:rFonts w:ascii="宋体" w:hAnsi="宋体" w:cs="宋体"/>
          <w:b/>
          <w:bCs/>
          <w:spacing w:val="-20"/>
          <w:kern w:val="44"/>
          <w:sz w:val="48"/>
          <w:szCs w:val="48"/>
        </w:rPr>
      </w:pPr>
    </w:p>
    <w:p w:rsidR="00A36D3D">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A36D3D">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A36D3D">
      <w:pPr>
        <w:rPr>
          <w:rFonts w:ascii="宋体" w:hAnsi="宋体" w:cs="宋体"/>
          <w:b/>
          <w:bCs/>
          <w:spacing w:val="-20"/>
          <w:kern w:val="44"/>
          <w:sz w:val="40"/>
          <w:szCs w:val="40"/>
        </w:rPr>
      </w:pPr>
    </w:p>
    <w:p w:rsidR="00A36D3D">
      <w:pPr>
        <w:rPr>
          <w:rFonts w:ascii="宋体" w:hAnsi="宋体" w:cs="宋体"/>
          <w:b/>
          <w:bCs/>
          <w:spacing w:val="-20"/>
          <w:kern w:val="44"/>
          <w:sz w:val="40"/>
          <w:szCs w:val="40"/>
        </w:rPr>
      </w:pPr>
    </w:p>
    <w:p w:rsidR="00A36D3D">
      <w:pPr>
        <w:rPr>
          <w:rFonts w:ascii="宋体" w:hAnsi="宋体" w:cs="宋体"/>
          <w:b/>
          <w:bCs/>
          <w:spacing w:val="-20"/>
          <w:kern w:val="44"/>
          <w:sz w:val="40"/>
          <w:szCs w:val="40"/>
        </w:rPr>
      </w:pPr>
    </w:p>
    <w:p w:rsidR="00A36D3D">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A36D3D">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A36D3D">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A36D3D">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A36D3D">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A36D3D"/>
    <w:p w:rsidR="00A36D3D">
      <w:pPr>
        <w:rPr>
          <w:rFonts w:eastAsia="黑体"/>
          <w:sz w:val="44"/>
          <w:szCs w:val="44"/>
        </w:rPr>
      </w:pPr>
      <w:r>
        <w:rPr>
          <w:rFonts w:eastAsia="黑体"/>
          <w:sz w:val="44"/>
          <w:szCs w:val="44"/>
        </w:rPr>
        <w:br w:type="page"/>
      </w:r>
    </w:p>
    <w:p w:rsidR="00A36D3D">
      <w:pPr>
        <w:rPr>
          <w:rFonts w:eastAsia="黑体"/>
          <w:sz w:val="44"/>
          <w:szCs w:val="44"/>
        </w:rPr>
      </w:pPr>
    </w:p>
    <w:p w:rsidR="00A36D3D">
      <w:pPr>
        <w:rPr>
          <w:rFonts w:eastAsia="黑体"/>
          <w:sz w:val="44"/>
          <w:szCs w:val="44"/>
        </w:rPr>
      </w:pPr>
    </w:p>
    <w:p w:rsidR="00A36D3D">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A36D3D">
      <w:pPr>
        <w:ind w:firstLine="640" w:firstLineChars="200"/>
        <w:rPr>
          <w:rFonts w:ascii="仿宋_GB2312" w:eastAsia="仿宋_GB2312" w:hAnsi="仿宋_GB2312" w:cs="仿宋_GB2312"/>
          <w:sz w:val="32"/>
          <w:szCs w:val="32"/>
        </w:rPr>
      </w:pPr>
    </w:p>
    <w:p w:rsidR="00A36D3D">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A36D3D">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A36D3D">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A36D3D">
      <w:pPr>
        <w:rPr>
          <w:rFonts w:eastAsia="黑体"/>
          <w:sz w:val="44"/>
          <w:szCs w:val="44"/>
        </w:rPr>
        <w:sectPr>
          <w:pgSz w:w="11906" w:h="16838"/>
          <w:pgMar w:top="1440" w:right="1800" w:bottom="1440" w:left="1800" w:header="851" w:footer="992" w:gutter="0"/>
          <w:cols w:space="425"/>
          <w:docGrid w:type="lines" w:linePitch="312"/>
        </w:sectPr>
      </w:pPr>
    </w:p>
    <w:p w:rsidR="00A36D3D">
      <w:pPr>
        <w:pStyle w:val="Heading2"/>
        <w:numPr>
          <w:ilvl w:val="0"/>
          <w:numId w:val="0"/>
        </w:numPr>
        <w:adjustRightInd w:val="0"/>
        <w:snapToGrid w:val="0"/>
        <w:spacing w:line="400" w:lineRule="exact"/>
        <w:jc w:val="center"/>
        <w:rPr>
          <w:rFonts w:ascii="黑体" w:hAnsi="华文中宋"/>
          <w:b w:val="0"/>
          <w:bCs w:val="0"/>
          <w:sz w:val="28"/>
          <w:szCs w:val="28"/>
        </w:rPr>
      </w:pPr>
      <w:bookmarkStart w:id="72" w:name="_Toc22209"/>
      <w:bookmarkEnd w:id="71"/>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72"/>
    </w:p>
    <w:p w:rsidR="00A36D3D">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A36D3D">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A36D3D">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A36D3D">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A36D3D">
      <w:pPr>
        <w:spacing w:line="400" w:lineRule="exact"/>
      </w:pPr>
    </w:p>
    <w:p w:rsidR="00A36D3D">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w:t>
      </w:r>
      <w:r>
        <w:rPr>
          <w:rFonts w:ascii="宋体" w:hAnsi="宋体" w:hint="eastAsia"/>
          <w:szCs w:val="21"/>
        </w:rPr>
        <w:t>《投标（响应）文件》及《中标（成交）通知书》，甲乙双方同意签订本合同。具体情况及要求如下：</w:t>
      </w:r>
      <w:r>
        <w:rPr>
          <w:rFonts w:ascii="宋体" w:hAnsi="宋体" w:hint="eastAsia"/>
          <w:szCs w:val="21"/>
        </w:rPr>
        <w:t xml:space="preserve">     </w:t>
      </w:r>
    </w:p>
    <w:p w:rsidR="00A36D3D">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A36D3D">
      <w:pPr>
        <w:pStyle w:val="BodyTextIndent"/>
        <w:numPr>
          <w:ilvl w:val="0"/>
          <w:numId w:val="7"/>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A36D3D">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A36D3D">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A36D3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A36D3D">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A36D3D">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A36D3D">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rsidR="00A36D3D">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A36D3D">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A36D3D">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A36D3D">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A36D3D">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A36D3D">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A36D3D">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A36D3D">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A36D3D">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A36D3D">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A36D3D">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A36D3D">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A36D3D">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A36D3D">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A36D3D">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A36D3D">
      <w:pPr>
        <w:adjustRightInd w:val="0"/>
        <w:snapToGrid w:val="0"/>
        <w:spacing w:line="400" w:lineRule="exact"/>
        <w:rPr>
          <w:rFonts w:ascii="宋体" w:hAnsi="宋体"/>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A36D3D">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A36D3D">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A36D3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A36D3D">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A36D3D">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A36D3D">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A36D3D">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A36D3D">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A36D3D">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A36D3D">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A36D3D">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A36D3D">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A36D3D">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A36D3D">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A36D3D">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A36D3D">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A36D3D">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A36D3D">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A36D3D">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A36D3D">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A36D3D">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A36D3D">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A36D3D">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A36D3D">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A36D3D">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A36D3D">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A36D3D">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A36D3D">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A36D3D">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A36D3D">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A36D3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A36D3D">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A36D3D">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A36D3D">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A36D3D">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A36D3D">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）合同定价方式（采用组合定价方式的，可以勾选多项）：</w:t>
      </w:r>
    </w:p>
    <w:p w:rsidR="00A36D3D">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A36D3D">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）付款方式（按项目实际勾选填写）：</w:t>
      </w:r>
    </w:p>
    <w:p w:rsidR="00A36D3D">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w:t>
      </w:r>
      <w:r>
        <w:rPr>
          <w:rFonts w:ascii="宋体" w:hAnsi="宋体" w:hint="eastAsia"/>
          <w:szCs w:val="21"/>
          <w:u w:val="single"/>
        </w:rPr>
        <w:t>（应明确一次性支付合同款项的条件）</w:t>
      </w:r>
      <w:r>
        <w:rPr>
          <w:rFonts w:ascii="宋体" w:hAnsi="宋体" w:hint="eastAsia"/>
          <w:szCs w:val="21"/>
          <w:u w:val="single"/>
        </w:rPr>
        <w:t xml:space="preserve">                    </w:t>
      </w:r>
    </w:p>
    <w:p w:rsidR="00CA2DD5" w:rsidP="00CA2DD5">
      <w:pPr>
        <w:tabs>
          <w:tab w:val="left" w:pos="1573"/>
        </w:tabs>
        <w:adjustRightInd w:val="0"/>
        <w:snapToGrid w:val="0"/>
        <w:spacing w:line="360" w:lineRule="auto"/>
        <w:ind w:firstLine="630" w:firstLineChars="300"/>
        <w:jc w:val="left"/>
        <w:rPr>
          <w:rFonts w:ascii="宋体" w:hAnsi="宋体"/>
          <w:szCs w:val="21"/>
        </w:rPr>
      </w:pPr>
      <w:r>
        <w:rPr>
          <w:rFonts w:ascii="Wingdings" w:hAnsi="Wingdings"/>
          <w:szCs w:val="21"/>
        </w:rPr>
        <w:sym w:font="Wingdings" w:char="F0A8"/>
      </w:r>
      <w:r>
        <w:rPr>
          <w:rFonts w:ascii="宋体" w:hAnsi="宋体" w:hint="eastAsia"/>
          <w:szCs w:val="21"/>
        </w:rPr>
        <w:t>分期付款：</w:t>
      </w:r>
      <w:bookmarkStart w:id="73" w:name="_Hlk202829706"/>
    </w:p>
    <w:p w:rsidR="00CA2DD5" w:rsidRPr="00CA2DD5" w:rsidP="00CA2DD5">
      <w:pPr>
        <w:tabs>
          <w:tab w:val="left" w:pos="1573"/>
        </w:tabs>
        <w:adjustRightInd w:val="0"/>
        <w:snapToGrid w:val="0"/>
        <w:spacing w:line="360" w:lineRule="auto"/>
        <w:ind w:firstLine="630" w:firstLineChars="300"/>
        <w:jc w:val="left"/>
        <w:rPr>
          <w:rFonts w:ascii="宋体" w:hAnsi="宋体"/>
          <w:szCs w:val="21"/>
          <w:highlight w:val="yellow"/>
        </w:rPr>
      </w:pPr>
      <w:r w:rsidRPr="00CA2DD5">
        <w:rPr>
          <w:rFonts w:ascii="宋体" w:hAnsi="宋体"/>
          <w:szCs w:val="21"/>
          <w:highlight w:val="yellow"/>
        </w:rPr>
        <w:t>1</w:t>
      </w:r>
      <w:r w:rsidRPr="00CA2DD5">
        <w:rPr>
          <w:rFonts w:ascii="宋体" w:hAnsi="宋体" w:hint="eastAsia"/>
          <w:szCs w:val="21"/>
          <w:highlight w:val="yellow"/>
        </w:rPr>
        <w:t>、合同生效后付款：双方签署合同后10个工作日内，甲方向乙方支付合同总金额的</w:t>
      </w:r>
      <w:r w:rsidRPr="00CA2DD5">
        <w:rPr>
          <w:b/>
          <w:bCs/>
          <w:highlight w:val="yellow"/>
        </w:rPr>
        <w:t>8</w:t>
      </w:r>
      <w:r w:rsidRPr="00CA2DD5">
        <w:rPr>
          <w:b/>
          <w:bCs/>
          <w:highlight w:val="yellow"/>
        </w:rPr>
        <w:t>0</w:t>
      </w:r>
      <w:r w:rsidRPr="00CA2DD5">
        <w:rPr>
          <w:rFonts w:ascii="宋体" w:hAnsi="宋体" w:cs="微软雅黑" w:hint="eastAsia"/>
          <w:b/>
          <w:kern w:val="0"/>
          <w:szCs w:val="21"/>
          <w:highlight w:val="yellow"/>
        </w:rPr>
        <w:t>%</w:t>
      </w:r>
      <w:r w:rsidRPr="00CA2DD5">
        <w:rPr>
          <w:rFonts w:ascii="宋体" w:hAnsi="宋体" w:hint="eastAsia"/>
          <w:szCs w:val="21"/>
          <w:highlight w:val="yellow"/>
        </w:rPr>
        <w:t>，即人民币</w:t>
      </w:r>
      <w:r w:rsidRPr="00CA2DD5">
        <w:rPr>
          <w:rFonts w:ascii="宋体" w:hAnsi="宋体" w:hint="eastAsia"/>
          <w:szCs w:val="21"/>
          <w:highlight w:val="yellow"/>
          <w:u w:val="single"/>
        </w:rPr>
        <w:t xml:space="preserve">                  </w:t>
      </w:r>
      <w:r w:rsidRPr="00CA2DD5">
        <w:rPr>
          <w:rFonts w:ascii="宋体" w:hAnsi="宋体" w:hint="eastAsia"/>
          <w:szCs w:val="21"/>
          <w:highlight w:val="yellow"/>
        </w:rPr>
        <w:t>元（大写）：</w:t>
      </w:r>
      <w:r w:rsidRPr="00CA2DD5">
        <w:rPr>
          <w:rFonts w:ascii="宋体" w:hAnsi="宋体" w:hint="eastAsia"/>
          <w:szCs w:val="21"/>
          <w:highlight w:val="yellow"/>
          <w:u w:val="single"/>
        </w:rPr>
        <w:t xml:space="preserve">          </w:t>
      </w:r>
      <w:r w:rsidRPr="00CA2DD5">
        <w:rPr>
          <w:rFonts w:ascii="宋体" w:hAnsi="宋体" w:hint="eastAsia"/>
          <w:szCs w:val="21"/>
          <w:highlight w:val="yellow"/>
        </w:rPr>
        <w:t>元（小写）；</w:t>
      </w:r>
    </w:p>
    <w:p w:rsidR="00CA2DD5" w:rsidRPr="00CA2DD5" w:rsidP="00CA2DD5">
      <w:pPr>
        <w:tabs>
          <w:tab w:val="left" w:pos="1573"/>
        </w:tabs>
        <w:adjustRightInd w:val="0"/>
        <w:snapToGrid w:val="0"/>
        <w:spacing w:line="360" w:lineRule="auto"/>
        <w:ind w:firstLine="630" w:firstLineChars="300"/>
        <w:jc w:val="left"/>
        <w:rPr>
          <w:rFonts w:ascii="宋体" w:hAnsi="宋体"/>
          <w:szCs w:val="21"/>
          <w:highlight w:val="yellow"/>
        </w:rPr>
      </w:pPr>
      <w:r w:rsidRPr="00CA2DD5">
        <w:rPr>
          <w:rFonts w:ascii="宋体" w:hAnsi="宋体"/>
          <w:szCs w:val="21"/>
          <w:highlight w:val="yellow"/>
        </w:rPr>
        <w:t>2</w:t>
      </w:r>
      <w:r w:rsidRPr="00CA2DD5">
        <w:rPr>
          <w:rFonts w:ascii="宋体" w:hAnsi="宋体" w:hint="eastAsia"/>
          <w:szCs w:val="21"/>
          <w:highlight w:val="yellow"/>
        </w:rPr>
        <w:t>、出厂测试合格后付款：双方签署出厂测试验收报告后10个工作日内，甲方向乙方支付合同总金额的</w:t>
      </w:r>
      <w:r w:rsidRPr="00CA2DD5">
        <w:rPr>
          <w:rFonts w:ascii="宋体" w:hAnsi="宋体"/>
          <w:szCs w:val="21"/>
          <w:highlight w:val="yellow"/>
        </w:rPr>
        <w:t>1</w:t>
      </w:r>
      <w:r w:rsidRPr="00CA2DD5">
        <w:rPr>
          <w:rFonts w:ascii="宋体" w:hAnsi="宋体" w:hint="eastAsia"/>
          <w:b/>
          <w:bCs/>
          <w:szCs w:val="21"/>
          <w:highlight w:val="yellow"/>
        </w:rPr>
        <w:t>0 %</w:t>
      </w:r>
      <w:r w:rsidRPr="00CA2DD5">
        <w:rPr>
          <w:rFonts w:ascii="宋体" w:hAnsi="宋体" w:hint="eastAsia"/>
          <w:szCs w:val="21"/>
          <w:highlight w:val="yellow"/>
        </w:rPr>
        <w:t>，即人民币</w:t>
      </w:r>
      <w:r w:rsidRPr="00CA2DD5">
        <w:rPr>
          <w:rFonts w:ascii="宋体" w:hAnsi="宋体" w:hint="eastAsia"/>
          <w:szCs w:val="21"/>
          <w:highlight w:val="yellow"/>
          <w:u w:val="single"/>
        </w:rPr>
        <w:t xml:space="preserve">                  </w:t>
      </w:r>
      <w:r w:rsidRPr="00CA2DD5">
        <w:rPr>
          <w:rFonts w:ascii="宋体" w:hAnsi="宋体" w:hint="eastAsia"/>
          <w:szCs w:val="21"/>
          <w:highlight w:val="yellow"/>
        </w:rPr>
        <w:t>元（大写）：</w:t>
      </w:r>
      <w:r w:rsidRPr="00CA2DD5">
        <w:rPr>
          <w:rFonts w:ascii="宋体" w:hAnsi="宋体" w:hint="eastAsia"/>
          <w:szCs w:val="21"/>
          <w:highlight w:val="yellow"/>
          <w:u w:val="single"/>
        </w:rPr>
        <w:t xml:space="preserve">          </w:t>
      </w:r>
      <w:r w:rsidRPr="00CA2DD5">
        <w:rPr>
          <w:rFonts w:ascii="宋体" w:hAnsi="宋体" w:hint="eastAsia"/>
          <w:szCs w:val="21"/>
          <w:highlight w:val="yellow"/>
        </w:rPr>
        <w:t>元（小写）；</w:t>
      </w:r>
    </w:p>
    <w:p w:rsidR="00CA2DD5" w:rsidP="00CA2DD5">
      <w:pPr>
        <w:tabs>
          <w:tab w:val="left" w:pos="1573"/>
        </w:tabs>
        <w:adjustRightInd w:val="0"/>
        <w:snapToGrid w:val="0"/>
        <w:spacing w:line="360" w:lineRule="auto"/>
        <w:ind w:firstLine="630" w:firstLineChars="300"/>
        <w:jc w:val="left"/>
        <w:rPr>
          <w:rFonts w:hAnsi="宋体"/>
          <w:kern w:val="0"/>
        </w:rPr>
      </w:pPr>
      <w:r w:rsidRPr="00CA2DD5">
        <w:rPr>
          <w:rFonts w:ascii="宋体" w:hAnsi="宋体"/>
          <w:szCs w:val="21"/>
          <w:highlight w:val="yellow"/>
        </w:rPr>
        <w:t>3</w:t>
      </w:r>
      <w:r w:rsidRPr="00CA2DD5">
        <w:rPr>
          <w:rFonts w:ascii="宋体" w:hAnsi="宋体" w:hint="eastAsia"/>
          <w:szCs w:val="21"/>
          <w:highlight w:val="yellow"/>
        </w:rPr>
        <w:t>、</w:t>
      </w:r>
      <w:r w:rsidRPr="00CA2DD5">
        <w:rPr>
          <w:rFonts w:ascii="宋体" w:hAnsi="宋体" w:hint="eastAsia"/>
          <w:szCs w:val="21"/>
          <w:highlight w:val="yellow"/>
        </w:rPr>
        <w:t>合同</w:t>
      </w:r>
      <w:r w:rsidRPr="00CA2DD5">
        <w:rPr>
          <w:rFonts w:ascii="宋体" w:hAnsi="宋体" w:hint="eastAsia"/>
          <w:szCs w:val="21"/>
          <w:highlight w:val="yellow"/>
        </w:rPr>
        <w:t>验收通过后付款：</w:t>
      </w:r>
      <w:r w:rsidRPr="00CA2DD5">
        <w:rPr>
          <w:rFonts w:ascii="宋体" w:hAnsi="宋体" w:hint="eastAsia"/>
          <w:szCs w:val="21"/>
          <w:highlight w:val="yellow"/>
        </w:rPr>
        <w:t>合同</w:t>
      </w:r>
      <w:r w:rsidRPr="00CA2DD5">
        <w:rPr>
          <w:rFonts w:ascii="宋体" w:hAnsi="宋体" w:hint="eastAsia"/>
          <w:szCs w:val="21"/>
          <w:highlight w:val="yellow"/>
        </w:rPr>
        <w:t>验收通过后10个工作日内，甲方向乙方支付合同总金额的</w:t>
      </w:r>
      <w:r w:rsidRPr="00CA2DD5">
        <w:rPr>
          <w:b/>
          <w:bCs/>
          <w:highlight w:val="yellow"/>
        </w:rPr>
        <w:t>1</w:t>
      </w:r>
      <w:r w:rsidRPr="00CA2DD5">
        <w:rPr>
          <w:b/>
          <w:bCs/>
          <w:highlight w:val="yellow"/>
        </w:rPr>
        <w:t>0</w:t>
      </w:r>
      <w:r w:rsidRPr="00CA2DD5">
        <w:rPr>
          <w:rFonts w:ascii="宋体" w:hAnsi="宋体" w:cs="微软雅黑" w:hint="eastAsia"/>
          <w:b/>
          <w:kern w:val="0"/>
          <w:szCs w:val="21"/>
          <w:highlight w:val="yellow"/>
        </w:rPr>
        <w:t>%</w:t>
      </w:r>
      <w:r w:rsidRPr="00CA2DD5">
        <w:rPr>
          <w:rFonts w:ascii="宋体" w:hAnsi="宋体" w:hint="eastAsia"/>
          <w:szCs w:val="21"/>
          <w:highlight w:val="yellow"/>
        </w:rPr>
        <w:t>，即人民币</w:t>
      </w:r>
      <w:r w:rsidRPr="00CA2DD5">
        <w:rPr>
          <w:rFonts w:ascii="宋体" w:hAnsi="宋体" w:hint="eastAsia"/>
          <w:szCs w:val="21"/>
          <w:highlight w:val="yellow"/>
          <w:u w:val="single"/>
        </w:rPr>
        <w:t xml:space="preserve">                    </w:t>
      </w:r>
      <w:r w:rsidRPr="00CA2DD5">
        <w:rPr>
          <w:rFonts w:ascii="宋体" w:hAnsi="宋体" w:hint="eastAsia"/>
          <w:szCs w:val="21"/>
          <w:highlight w:val="yellow"/>
        </w:rPr>
        <w:t>元（大写）：</w:t>
      </w:r>
      <w:r w:rsidRPr="00CA2DD5">
        <w:rPr>
          <w:rFonts w:ascii="宋体" w:hAnsi="宋体" w:hint="eastAsia"/>
          <w:szCs w:val="21"/>
          <w:highlight w:val="yellow"/>
          <w:u w:val="single"/>
        </w:rPr>
        <w:t xml:space="preserve">          </w:t>
      </w:r>
      <w:r w:rsidRPr="00CA2DD5">
        <w:rPr>
          <w:rFonts w:ascii="宋体" w:hAnsi="宋体" w:hint="eastAsia"/>
          <w:szCs w:val="21"/>
          <w:highlight w:val="yellow"/>
        </w:rPr>
        <w:t>元（小写）。</w:t>
      </w:r>
    </w:p>
    <w:bookmarkEnd w:id="73"/>
    <w:p w:rsidR="00A36D3D">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A36D3D">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A36D3D">
      <w:pPr>
        <w:numPr>
          <w:ilvl w:val="0"/>
          <w:numId w:val="6"/>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A36D3D">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A36D3D">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A36D3D">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A36D3D">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A36D3D">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A36D3D">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A36D3D">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A36D3D">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A36D3D">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A36D3D">
      <w:pPr>
        <w:numPr>
          <w:ilvl w:val="0"/>
          <w:numId w:val="8"/>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A36D3D">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A36D3D">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A36D3D">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A36D3D">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A36D3D">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A36D3D">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A36D3D">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A36D3D">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A36D3D">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A36D3D">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A36D3D">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A36D3D">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A36D3D">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A36D3D">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r>
        <w:rPr>
          <w:rFonts w:ascii="宋体" w:hAnsi="宋体" w:hint="eastAsia"/>
          <w:bCs/>
          <w:szCs w:val="21"/>
          <w:u w:val="single"/>
        </w:rPr>
        <w:t xml:space="preserve">            </w:t>
      </w:r>
    </w:p>
    <w:p w:rsidR="00A36D3D">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A36D3D">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A36D3D">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A36D3D">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A36D3D">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A36D3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A36D3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A36D3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A36D3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A36D3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A36D3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A36D3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A36D3D">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A36D3D">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A36D3D">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A36D3D">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A36D3D">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A36D3D">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A36D3D">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A36D3D">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A36D3D">
      <w:r>
        <w:rPr>
          <w:rFonts w:hint="eastAsia"/>
        </w:rPr>
        <w:br w:type="page"/>
      </w:r>
    </w:p>
    <w:p w:rsidR="00A36D3D">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998"/>
        <w:gridCol w:w="2548"/>
        <w:gridCol w:w="2090"/>
        <w:gridCol w:w="2236"/>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A36D3D">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A36D3D">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A36D3D">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A36D3D">
            <w:pPr>
              <w:adjustRightInd w:val="0"/>
              <w:snapToGrid w:val="0"/>
              <w:spacing w:line="300" w:lineRule="exact"/>
              <w:jc w:val="center"/>
              <w:rPr>
                <w:szCs w:val="21"/>
              </w:rPr>
            </w:pPr>
            <w:r>
              <w:rPr>
                <w:szCs w:val="21"/>
              </w:rPr>
              <w:t>法定代表人</w:t>
            </w:r>
          </w:p>
          <w:p w:rsidR="00A36D3D">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A36D3D">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A36D3D">
            <w:pPr>
              <w:adjustRightInd w:val="0"/>
              <w:snapToGrid w:val="0"/>
              <w:spacing w:line="300" w:lineRule="exact"/>
              <w:jc w:val="center"/>
              <w:rPr>
                <w:szCs w:val="21"/>
              </w:rPr>
            </w:pPr>
            <w:r>
              <w:rPr>
                <w:szCs w:val="21"/>
              </w:rPr>
              <w:t>法定代表人</w:t>
            </w:r>
          </w:p>
          <w:p w:rsidR="00A36D3D">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A36D3D">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A36D3D">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A36D3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A36D3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A36D3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A36D3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A36D3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A36D3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A36D3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A36D3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A36D3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A36D3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A36D3D">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A36D3D">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A36D3D">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4"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74"/>
    </w:p>
    <w:p w:rsidR="00A36D3D">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A36D3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A36D3D">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A36D3D">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A36D3D">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A36D3D">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A36D3D">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A36D3D">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w:t>
      </w:r>
      <w:r>
        <w:rPr>
          <w:rFonts w:ascii="宋体" w:hAnsi="宋体" w:hint="eastAsia"/>
          <w:color w:val="000000"/>
          <w:szCs w:val="21"/>
        </w:rPr>
        <w:t>容，分给具有相应资质条件的供应商履行合同的行为。</w:t>
      </w:r>
    </w:p>
    <w:p w:rsidR="00A36D3D">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A36D3D">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A36D3D">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A36D3D">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A36D3D">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A36D3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A36D3D">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A36D3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A36D3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w:t>
      </w:r>
      <w:r>
        <w:rPr>
          <w:rFonts w:ascii="宋体" w:hAnsi="宋体" w:hint="eastAsia"/>
          <w:color w:val="000000"/>
          <w:szCs w:val="21"/>
        </w:rPr>
        <w:t>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A36D3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A36D3D">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A36D3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A36D3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A36D3D">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A36D3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A36D3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A36D3D">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A36D3D">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A36D3D">
      <w:pPr>
        <w:numPr>
          <w:ilvl w:val="0"/>
          <w:numId w:val="10"/>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A36D3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A36D3D">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A36D3D">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A36D3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A36D3D">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A36D3D">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A36D3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A36D3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w:t>
      </w:r>
      <w:r>
        <w:rPr>
          <w:rFonts w:ascii="宋体" w:hAnsi="宋体" w:cs="宋体" w:hint="eastAsia"/>
          <w:color w:val="000000"/>
          <w:szCs w:val="21"/>
        </w:rPr>
        <w:t>货物运输装卸的注意事项，甲方配合乙方做好货物的接收工作。</w:t>
      </w:r>
    </w:p>
    <w:p w:rsidR="00A36D3D">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A36D3D">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A36D3D">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A36D3D">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）乙方应向甲方提交所提供货物的技术文件，包括相应的中文技术文件，如：产品目录、图纸、操作手册、使用说明、维护手册或服务指南等。上述文件应包装好随货物一同发运。</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w:t>
      </w:r>
      <w:r>
        <w:rPr>
          <w:rFonts w:ascii="宋体" w:hAnsi="宋体" w:hint="eastAsia"/>
          <w:szCs w:val="21"/>
        </w:rPr>
        <w:t>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w:t>
      </w:r>
      <w:r>
        <w:rPr>
          <w:rFonts w:ascii="宋体" w:hAnsi="宋体" w:hint="eastAsia"/>
          <w:szCs w:val="21"/>
        </w:rPr>
        <w:t>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A36D3D">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）乙方在约定的时间内未能弥补缺陷，甲方可采取必要的补救措施，但其风险和费用将由乙方承担，甲方根据合同约定对乙方行使的其他权利不受影响。</w:t>
      </w:r>
    </w:p>
    <w:p w:rsidR="00A36D3D">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A36D3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A36D3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A36D3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A36D3D">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75"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5"/>
      <w:r>
        <w:rPr>
          <w:rFonts w:ascii="宋体" w:hAnsi="宋体" w:hint="eastAsia"/>
          <w:szCs w:val="21"/>
        </w:rPr>
        <w:t>。</w:t>
      </w:r>
    </w:p>
    <w:p w:rsidR="00A36D3D">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A36D3D">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w:t>
      </w:r>
      <w:r>
        <w:rPr>
          <w:rFonts w:ascii="宋体" w:hAnsi="宋体" w:cs="宋体" w:hint="eastAsia"/>
          <w:szCs w:val="15"/>
        </w:rPr>
        <w:t>密的信息由双方在</w:t>
      </w:r>
      <w:r>
        <w:rPr>
          <w:rFonts w:ascii="宋体" w:hAnsi="宋体" w:cs="宋体" w:hint="eastAsia"/>
          <w:b/>
          <w:bCs/>
          <w:szCs w:val="15"/>
        </w:rPr>
        <w:t>【政府采购合同专用条款】</w:t>
      </w:r>
      <w:r>
        <w:rPr>
          <w:rFonts w:ascii="宋体" w:hAnsi="宋体" w:cs="宋体" w:hint="eastAsia"/>
          <w:szCs w:val="15"/>
        </w:rPr>
        <w:t>中约定。</w:t>
      </w:r>
    </w:p>
    <w:p w:rsidR="00A36D3D">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A36D3D">
      <w:pPr>
        <w:numPr>
          <w:ilvl w:val="1"/>
          <w:numId w:val="11"/>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A36D3D">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hint="eastAsia"/>
          <w:szCs w:val="21"/>
        </w:rPr>
        <w:t>政府采购合同专用条款</w:t>
      </w:r>
      <w:r>
        <w:rPr>
          <w:rFonts w:ascii="宋体" w:eastAsia="宋体" w:hAnsi="宋体" w:hint="eastAsia"/>
          <w:szCs w:val="21"/>
        </w:rPr>
        <w:t>】中</w:t>
      </w:r>
      <w:r>
        <w:rPr>
          <w:rFonts w:ascii="宋体" w:hAnsi="宋体" w:hint="eastAsia"/>
          <w:szCs w:val="21"/>
        </w:rPr>
        <w:t>约</w:t>
      </w:r>
      <w:r>
        <w:rPr>
          <w:rFonts w:ascii="宋体" w:eastAsia="宋体" w:hAnsi="宋体" w:hint="eastAsia"/>
          <w:szCs w:val="21"/>
        </w:rPr>
        <w:t>定。</w:t>
      </w:r>
    </w:p>
    <w:p w:rsidR="00A36D3D">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A36D3D">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A36D3D">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A36D3D">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A36D3D">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除项目不涉及或采购活动中明确约定无须承担外，乙方还应提供下列服务：</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w:t>
      </w:r>
      <w:r>
        <w:rPr>
          <w:rFonts w:ascii="宋体" w:hAnsi="宋体" w:hint="eastAsia"/>
          <w:szCs w:val="21"/>
        </w:rPr>
        <w:t>、安装、调试、启动监督及技术支持；</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A36D3D">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A36D3D">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A36D3D">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A36D3D">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w:t>
      </w:r>
      <w:r>
        <w:rPr>
          <w:rFonts w:ascii="宋体" w:hAnsi="宋体" w:hint="eastAsia"/>
          <w:szCs w:val="21"/>
        </w:rPr>
        <w:t>补救措施。</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A36D3D">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A36D3D">
      <w:pPr>
        <w:numPr>
          <w:ilvl w:val="0"/>
          <w:numId w:val="12"/>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A36D3D">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A36D3D">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w:t>
      </w:r>
      <w:r>
        <w:rPr>
          <w:rFonts w:ascii="宋体" w:hAnsi="宋体" w:hint="eastAsia"/>
          <w:szCs w:val="21"/>
        </w:rPr>
        <w:t>承担由此给甲方造成的损失。</w:t>
      </w:r>
    </w:p>
    <w:p w:rsidR="00A36D3D">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A36D3D">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A36D3D">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A36D3D">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A36D3D">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A36D3D">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A36D3D">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A36D3D">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A36D3D">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A36D3D">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A36D3D">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A36D3D">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A36D3D">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w:t>
      </w:r>
      <w:r>
        <w:rPr>
          <w:rFonts w:ascii="宋体" w:hAnsi="宋体" w:hint="eastAsia"/>
          <w:b/>
          <w:sz w:val="24"/>
        </w:rPr>
        <w:t>购政策</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A36D3D">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w:t>
      </w:r>
      <w:r>
        <w:rPr>
          <w:rFonts w:ascii="宋体" w:hAnsi="宋体" w:hint="eastAsia"/>
          <w:color w:val="auto"/>
          <w:szCs w:val="21"/>
        </w:rPr>
        <w:t>成部分。</w:t>
      </w:r>
    </w:p>
    <w:p w:rsidR="00A36D3D">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A36D3D">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A36D3D">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A36D3D">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A36D3D">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本合同任何一方向对方发出的通知、信件、数据电文等，应当发送至本合同第一部分《政府采购合同协议书》所约定的通讯地址、联系人、联系电话或电子邮箱。</w:t>
      </w:r>
    </w:p>
    <w:p w:rsidR="00A36D3D">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A36D3D">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A36D3D">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A36D3D">
      <w:pPr>
        <w:numPr>
          <w:ilvl w:val="0"/>
          <w:numId w:val="13"/>
        </w:numPr>
        <w:adjustRightInd w:val="0"/>
        <w:snapToGrid w:val="0"/>
        <w:spacing w:line="400" w:lineRule="exact"/>
        <w:jc w:val="left"/>
        <w:rPr>
          <w:rFonts w:ascii="宋体" w:hAnsi="宋体"/>
          <w:b/>
          <w:bCs/>
        </w:rPr>
      </w:pPr>
      <w:r>
        <w:rPr>
          <w:rFonts w:ascii="宋体" w:hAnsi="宋体" w:hint="eastAsia"/>
          <w:b/>
          <w:bCs/>
          <w:sz w:val="24"/>
        </w:rPr>
        <w:t>合同未尽事项</w:t>
      </w:r>
    </w:p>
    <w:p w:rsidR="00A36D3D">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A36D3D">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76" w:name="_Toc20313"/>
    </w:p>
    <w:p w:rsidR="00A36D3D">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A36D3D">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76"/>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A36D3D">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A36D3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rsidR="00A36D3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A36D3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A36D3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A36D3D">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A36D3D"/>
        </w:tc>
      </w:tr>
      <w:tr>
        <w:tblPrEx>
          <w:tblW w:w="8519" w:type="dxa"/>
          <w:tblInd w:w="108" w:type="dxa"/>
          <w:tblLayout w:type="fixed"/>
          <w:tblLook w:val="04A0"/>
        </w:tblPrEx>
        <w:trPr>
          <w:trHeight w:val="667"/>
        </w:trPr>
        <w:tc>
          <w:tcPr>
            <w:tcW w:w="1607" w:type="dxa"/>
            <w:vMerge/>
            <w:vAlign w:val="center"/>
          </w:tcPr>
          <w:p w:rsidR="00A36D3D">
            <w:pPr>
              <w:adjustRightInd w:val="0"/>
              <w:snapToGrid w:val="0"/>
              <w:jc w:val="center"/>
              <w:rPr>
                <w:rFonts w:ascii="宋体" w:hAnsi="宋体"/>
                <w:szCs w:val="21"/>
              </w:rPr>
            </w:pPr>
          </w:p>
        </w:tc>
        <w:tc>
          <w:tcPr>
            <w:tcW w:w="1742" w:type="dxa"/>
            <w:vAlign w:val="center"/>
          </w:tcPr>
          <w:p w:rsidR="00A36D3D">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A36D3D"/>
        </w:tc>
      </w:tr>
      <w:tr>
        <w:tblPrEx>
          <w:tblW w:w="8519" w:type="dxa"/>
          <w:tblInd w:w="108" w:type="dxa"/>
          <w:tblLayout w:type="fixed"/>
          <w:tblLook w:val="04A0"/>
        </w:tblPrEx>
        <w:trPr>
          <w:trHeight w:val="772"/>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A36D3D"/>
        </w:tc>
      </w:tr>
      <w:tr>
        <w:tblPrEx>
          <w:tblW w:w="8519" w:type="dxa"/>
          <w:tblInd w:w="108" w:type="dxa"/>
          <w:tblLayout w:type="fixed"/>
          <w:tblLook w:val="04A0"/>
        </w:tblPrEx>
        <w:trPr>
          <w:trHeight w:val="667"/>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A36D3D"/>
        </w:tc>
      </w:tr>
      <w:tr>
        <w:tblPrEx>
          <w:tblW w:w="8519" w:type="dxa"/>
          <w:tblInd w:w="108" w:type="dxa"/>
          <w:tblLayout w:type="fixed"/>
          <w:tblLook w:val="04A0"/>
        </w:tblPrEx>
        <w:trPr>
          <w:trHeight w:val="736"/>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A36D3D">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货物质量缺陷</w:t>
            </w:r>
          </w:p>
          <w:p w:rsidR="00A36D3D">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A36D3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A36D3D">
            <w:pPr>
              <w:snapToGrid w:val="0"/>
              <w:jc w:val="center"/>
              <w:rPr>
                <w:rFonts w:ascii="宋体" w:hAnsi="宋体" w:cs="宋体"/>
                <w:szCs w:val="21"/>
              </w:rPr>
            </w:pPr>
            <w:r>
              <w:rPr>
                <w:rFonts w:ascii="宋体" w:hAnsi="宋体" w:cs="宋体" w:hint="eastAsia"/>
                <w:szCs w:val="21"/>
              </w:rPr>
              <w:t>第二节</w:t>
            </w:r>
          </w:p>
          <w:p w:rsidR="00A36D3D">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A36D3D">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A36D3D">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A36D3D">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A36D3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A36D3D">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A36D3D">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A36D3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A36D3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A36D3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A36D3D">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A36D3D">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A36D3D">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A36D3D">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A36D3D">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A36D3D">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A36D3D">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A36D3D">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A36D3D">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A36D3D">
            <w:pPr>
              <w:adjustRightInd w:val="0"/>
              <w:snapToGrid w:val="0"/>
              <w:jc w:val="left"/>
              <w:rPr>
                <w:rFonts w:ascii="宋体" w:hAnsi="宋体"/>
                <w:szCs w:val="21"/>
              </w:rPr>
            </w:pPr>
          </w:p>
        </w:tc>
      </w:tr>
    </w:tbl>
    <w:p w:rsidR="00A36D3D"/>
    <w:p w:rsidR="00A36D3D">
      <w:pPr>
        <w:rPr>
          <w:b/>
          <w:bCs/>
          <w:sz w:val="44"/>
          <w:szCs w:val="44"/>
        </w:rPr>
      </w:pPr>
    </w:p>
    <w:p w:rsidR="00A36D3D"/>
    <w:p w:rsidR="00A77B3E"/>
    <w:p>
      <w:pPr>
        <w:spacing w:line="360" w:lineRule="auto"/>
        <w:ind w:firstLine="3066" w:firstLineChars="1460"/>
        <w:jc w:val="left"/>
        <w:rPr>
          <w:b/>
          <w:bCs/>
          <w:szCs w:val="21"/>
          <w:highlight w:val="none"/>
        </w:rPr>
      </w:pPr>
      <w:bookmarkEnd w:id="7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00000000000000000"/>
    <w:charset w:val="86"/>
    <w:family w:val="auto"/>
    <w:pitch w:val="default"/>
    <w:sig w:usb0="00000000" w:usb1="00000000" w:usb2="00000012" w:usb3="00000000" w:csb0="00040001" w:csb1="00000000"/>
  </w:font>
  <w:font w:name="Verdana">
    <w:panose1 w:val="020B0604030504040204"/>
    <w:charset w:val="00"/>
    <w:family w:val="swiss"/>
    <w:pitch w:val="default"/>
    <w:sig w:usb0="A00006FF" w:usb1="4000205B" w:usb2="00000010" w:usb3="00000000" w:csb0="2000019F" w:csb1="00000000"/>
  </w:font>
  <w:font w:name="方正舒体">
    <w:panose1 w:val="02010601030101010101"/>
    <w:charset w:val="86"/>
    <w:family w:val="auto"/>
    <w:pitch w:val="default"/>
    <w:sig w:usb0="00000003" w:usb1="080E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2"/>
  </w:num>
  <w:num w:numId="6">
    <w:abstractNumId w:val="13"/>
  </w:num>
  <w:num w:numId="7">
    <w:abstractNumId w:val="1"/>
  </w:num>
  <w:num w:numId="8">
    <w:abstractNumId w:val="5"/>
  </w:num>
  <w:num w:numId="9">
    <w:abstractNumId w:val="3"/>
  </w:num>
  <w:num w:numId="10">
    <w:abstractNumId w:val="2"/>
  </w:num>
  <w:num w:numId="11">
    <w:abstractNumId w:val="11"/>
  </w:num>
  <w:num w:numId="12">
    <w:abstractNumId w:val="0"/>
  </w:num>
  <w:num w:numId="13">
    <w:abstractNumId w:val="4"/>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949"/>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1EF"/>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0B00"/>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D3D"/>
    <w:rsid w:val="00A36E6B"/>
    <w:rsid w:val="00A3710B"/>
    <w:rsid w:val="00A373BC"/>
    <w:rsid w:val="00A3775E"/>
    <w:rsid w:val="00A404C9"/>
    <w:rsid w:val="00A40D1C"/>
    <w:rsid w:val="00A42270"/>
    <w:rsid w:val="00A4349B"/>
    <w:rsid w:val="00A4422A"/>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A4D6A"/>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2DD5"/>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ListParagraph0">
    <w:name w:val="List Paragraph_0"/>
    <w:basedOn w:val="Normal"/>
    <w:qFormat/>
    <w:pPr>
      <w:ind w:firstLine="420" w:firstLineChars="200"/>
    </w:pPr>
    <w:rPr>
      <w:rFonts w:ascii="Calibri" w:hAnsi="Calibri"/>
      <w:sz w:val="3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