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2025年上海蒸散量观测系统(红外闪烁法)采购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上海市生态气象和卫星遥感中心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2025年上海蒸散量观测系统(红外闪烁法)采购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上海市内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上海市生态气象和卫星遥感中心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麻炳欣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021-54893001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上海市徐汇区蒲西路166号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上海市生态气象和卫星遥感中心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不允许（仅针对以下产品：1、蒸散量观测系统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 xml:space="preserve">必须，以下产品需要提供至投标截止日仍有效的《气象专用技术装备使用许可证》：1、蒸散量观测系统 </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标的：蒸散量观测系统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销售合同必须包括蒸散量观测系统(红外闪烁法)，每提供1份合同得1分，最多得5分。否则不得分。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针对本项目采购的蒸散量观测系统(红外闪烁法)，承诺每提前10天交货的得1分，最多得1分。否则不得分。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针对蒸散量观测系统(红外闪烁法)设备，每提供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2、除项目经理外至少6人具有2年及以上相关工作经验的，得2分；为本项目派出的技术人员至少4人具有1年及以上相关工作经验的，得1分；其他不得分。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针对蒸散量观测系统(红外闪烁法)设备，测试报告应涵盖气候环境、防水、防盐碱等内容，每包含一项得1分，最多得3分。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2"/>
        </w:rPr>
      </w:pPr>
      <w:r>
        <w:rPr>
          <w:rFonts w:ascii="仿宋" w:eastAsia="仿宋" w:hAnsi="仿宋" w:cs="仿宋" w:hint="eastAsia"/>
          <w:sz w:val="28"/>
          <w:szCs w:val="22"/>
        </w:rPr>
        <w:t>3.1观测设备具备数据质量控制，包括剔除 达到饱和的数据、剔除稳定条件下的弱湍流数据、剔除高风速强湍流数据等控制算法。</w:t>
      </w:r>
    </w:p>
    <w:p>
      <w:pPr>
        <w:spacing w:line="560" w:lineRule="exact"/>
        <w:jc w:val="center"/>
        <w:rPr>
          <w:rFonts w:ascii="仿宋_GB2312" w:eastAsia="仿宋_GB2312" w:hAnsi="仿宋_GB2312" w:cs="仿宋_GB2312" w:hint="eastAsia"/>
          <w:b/>
          <w:bCs/>
          <w:sz w:val="28"/>
          <w:szCs w:val="22"/>
        </w:rPr>
      </w:pPr>
      <w:r>
        <w:rPr>
          <w:rFonts w:ascii="仿宋" w:eastAsia="仿宋" w:hAnsi="仿宋" w:cs="仿宋" w:hint="eastAsia"/>
          <w:b/>
          <w:bCs/>
          <w:sz w:val="28"/>
          <w:szCs w:val="20"/>
        </w:rPr>
        <w:t>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仿宋" w:eastAsia="仿宋" w:hAnsi="仿宋" w:cs="仿宋" w:hint="eastAsia"/>
              </w:rPr>
            </w:pPr>
            <w:r>
              <w:rPr>
                <w:rStyle w:val="font11"/>
                <w:rFonts w:ascii="仿宋" w:eastAsia="仿宋" w:hAnsi="仿宋" w:cs="仿宋" w:hint="default"/>
                <w:sz w:val="24"/>
                <w:szCs w:val="24"/>
              </w:rPr>
              <w:t>序号</w:t>
            </w:r>
          </w:p>
        </w:tc>
        <w:tc>
          <w:tcPr>
            <w:tcW w:w="1384" w:type="dxa"/>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7229" w:type="dxa"/>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仿宋" w:eastAsia="仿宋" w:hAnsi="仿宋" w:cs="仿宋" w:hint="eastAsia"/>
                <w:sz w:val="24"/>
                <w:szCs w:val="24"/>
              </w:rPr>
            </w:pPr>
          </w:p>
        </w:tc>
        <w:tc>
          <w:tcPr>
            <w:tcW w:w="1384" w:type="dxa"/>
            <w:vAlign w:val="center"/>
          </w:tcPr>
          <w:p>
            <w:pPr>
              <w:rPr>
                <w:rFonts w:ascii="仿宋" w:eastAsia="仿宋" w:hAnsi="仿宋" w:cs="仿宋" w:hint="eastAsia"/>
              </w:rPr>
            </w:pPr>
            <w:r>
              <w:rPr>
                <w:rFonts w:ascii="仿宋" w:eastAsia="仿宋" w:hAnsi="仿宋" w:cs="仿宋" w:hint="eastAsia"/>
                <w:sz w:val="24"/>
              </w:rPr>
              <w:t>蒸散量观测系统（红外闪烁法）</w:t>
            </w:r>
          </w:p>
        </w:tc>
        <w:tc>
          <w:tcPr>
            <w:tcW w:w="7229" w:type="dxa"/>
            <w:vAlign w:val="center"/>
          </w:tcPr>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（1）大口径闪烁仪性能要求</w:t>
            </w:r>
          </w:p>
          <w:p>
            <w:pPr>
              <w:rPr>
                <w:rFonts w:ascii="仿宋" w:eastAsia="仿宋" w:hAnsi="仿宋" w:cs="仿宋" w:hint="eastAsia"/>
              </w:rPr>
            </w:pPr>
            <w:r>
              <w:rPr>
                <w:rFonts w:ascii="仿宋" w:eastAsia="仿宋" w:hAnsi="仿宋" w:cs="仿宋" w:hint="eastAsia"/>
                <w:sz w:val="24"/>
              </w:rPr>
              <w:t>大口径闪烁仪性能符合下列要求：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a）测量路径长度（能见度大于4km）：250m-4.5km（加装光阑：100m-1km）</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b）系统有效口径：100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1mm（有光阑）；150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1mm（无光阑）</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c）发光功率范围：4mW-160mW（四档可调）</w:t>
            </w:r>
          </w:p>
          <w:p>
            <w:pPr>
              <w:pStyle w:val="14"/>
              <w:ind w:firstLine="0" w:firstLineChars="0"/>
              <w:rPr>
                <w:rFonts w:ascii="仿宋" w:eastAsia="仿宋" w:hAnsi="仿宋" w:cs="仿宋" w:hint="eastAsia"/>
                <w:sz w:val="24"/>
                <w:szCs w:val="24"/>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d）工作波长：850nm（40nm半波宽度）</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e）载波频率：8</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0.5kHz</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f）大气折射率结构参数范围：10</w:t>
            </w:r>
            <w:r>
              <w:rPr>
                <w:rFonts w:ascii="仿宋" w:eastAsia="仿宋" w:hAnsi="仿宋" w:cs="仿宋" w:hint="eastAsia"/>
                <w:sz w:val="24"/>
                <w:szCs w:val="24"/>
                <w:vertAlign w:val="superscript"/>
              </w:rPr>
              <w:t>-17</w:t>
            </w:r>
            <w:r>
              <w:rPr>
                <w:rFonts w:ascii="仿宋" w:eastAsia="仿宋" w:hAnsi="仿宋" w:cs="仿宋" w:hint="eastAsia"/>
                <w:color w:val="000000"/>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-11</w:t>
            </w:r>
            <w:r>
              <w:rPr>
                <w:rFonts w:ascii="仿宋" w:eastAsia="仿宋" w:hAnsi="仿宋" w:cs="仿宋" w:hint="eastAsia"/>
                <w:sz w:val="24"/>
                <w:szCs w:val="24"/>
              </w:rPr>
              <w:t>m</w:t>
            </w:r>
            <w:r>
              <w:rPr>
                <w:rFonts w:ascii="仿宋" w:eastAsia="仿宋" w:hAnsi="仿宋" w:cs="仿宋" w:hint="eastAsia"/>
                <w:sz w:val="24"/>
                <w:szCs w:val="24"/>
                <w:vertAlign w:val="superscript"/>
              </w:rPr>
              <w:t>-2/3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g）使用温度范围：-40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h）使用湿度范围：0-100%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i）供电电源：</w:t>
            </w:r>
            <w:r>
              <w:rPr>
                <w:rFonts w:ascii="仿宋" w:eastAsia="仿宋" w:hAnsi="仿宋" w:cs="仿宋" w:hint="eastAsia"/>
                <w:sz w:val="24"/>
                <w:szCs w:val="24"/>
              </w:rPr>
              <w:br/>
            </w:r>
            <w:r>
              <w:rPr>
                <w:rFonts w:ascii="仿宋" w:eastAsia="仿宋" w:hAnsi="仿宋" w:cs="仿宋" w:hint="eastAsia"/>
                <w:sz w:val="24"/>
                <w:szCs w:val="24"/>
              </w:rPr>
              <w:t>电压：典型值：12VDC，10VDC-36VDC</w:t>
            </w:r>
            <w:r>
              <w:rPr>
                <w:rFonts w:ascii="仿宋" w:eastAsia="仿宋" w:hAnsi="仿宋" w:cs="仿宋" w:hint="eastAsia"/>
                <w:sz w:val="24"/>
                <w:szCs w:val="24"/>
              </w:rPr>
              <w:br/>
            </w:r>
            <w:r>
              <w:rPr>
                <w:rFonts w:ascii="仿宋" w:eastAsia="仿宋" w:hAnsi="仿宋" w:cs="仿宋" w:hint="eastAsia"/>
                <w:sz w:val="24"/>
                <w:szCs w:val="24"/>
              </w:rPr>
              <w:t>电流：最大值：5A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j）功耗：系统功耗</w:t>
            </w:r>
            <w:r>
              <w:rPr>
                <w:rFonts w:ascii="仿宋" w:eastAsia="仿宋" w:hAnsi="仿宋" w:cs="仿宋" w:hint="eastAsia"/>
                <w:sz w:val="24"/>
                <w:szCs w:val="24"/>
              </w:rPr>
              <w:t>≤</w:t>
            </w:r>
            <w:r>
              <w:rPr>
                <w:rFonts w:ascii="仿宋" w:eastAsia="仿宋" w:hAnsi="仿宋" w:cs="仿宋" w:hint="eastAsia"/>
                <w:sz w:val="24"/>
                <w:szCs w:val="24"/>
              </w:rPr>
              <w:t>12W，开启加热功耗</w:t>
            </w:r>
            <w:r>
              <w:rPr>
                <w:rFonts w:ascii="仿宋" w:eastAsia="仿宋" w:hAnsi="仿宋" w:cs="仿宋" w:hint="eastAsia"/>
                <w:sz w:val="24"/>
                <w:szCs w:val="24"/>
              </w:rPr>
              <w:t>≤</w:t>
            </w:r>
            <w:r>
              <w:rPr>
                <w:rFonts w:ascii="仿宋" w:eastAsia="仿宋" w:hAnsi="仿宋" w:cs="仿宋" w:hint="eastAsia"/>
                <w:sz w:val="24"/>
                <w:szCs w:val="24"/>
              </w:rPr>
              <w:t>48W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k）外形尺寸(长x宽x高）：400mmX220mmX318mm</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l）重量：</w:t>
            </w:r>
            <w:r>
              <w:rPr>
                <w:rFonts w:ascii="仿宋" w:eastAsia="仿宋" w:hAnsi="仿宋" w:cs="仿宋" w:hint="eastAsia"/>
                <w:sz w:val="24"/>
                <w:szCs w:val="24"/>
              </w:rPr>
              <w:t>≤</w:t>
            </w:r>
            <w:r>
              <w:rPr>
                <w:rFonts w:ascii="仿宋" w:eastAsia="仿宋" w:hAnsi="仿宋" w:cs="仿宋" w:hint="eastAsia"/>
                <w:sz w:val="24"/>
                <w:szCs w:val="24"/>
              </w:rPr>
              <w:t>15kg</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m）信号输出方式：数字型传感器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n）接口标准：RS-232、RS-422</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（2）气压传感器</w:t>
            </w:r>
          </w:p>
          <w:p>
            <w:pPr>
              <w:rPr>
                <w:rFonts w:ascii="仿宋" w:eastAsia="仿宋" w:hAnsi="仿宋" w:cs="仿宋" w:hint="eastAsia"/>
              </w:rPr>
            </w:pPr>
            <w:r>
              <w:rPr>
                <w:rFonts w:ascii="仿宋" w:eastAsia="仿宋" w:hAnsi="仿宋" w:cs="仿宋" w:hint="eastAsia"/>
                <w:sz w:val="24"/>
              </w:rPr>
              <w:t>气压传感器性能符合下列要求：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a）测量范围：500hPa～1100hPa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b）分辨力：0.1hPa</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0.3hPa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电流：平均值小于30mA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依据《GB/T35225-2017地面气象观测规范气压》</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（3）气温传感器</w:t>
            </w:r>
          </w:p>
          <w:p>
            <w:pPr>
              <w:pStyle w:val="5"/>
              <w:spacing w:beforeLines="0" w:afterLines="0" w:line="240" w:lineRule="auto"/>
              <w:ind w:left="0" w:right="0" w:firstLine="0"/>
              <w:rPr>
                <w:rFonts w:ascii="仿宋" w:eastAsia="仿宋" w:hAnsi="仿宋" w:cs="仿宋" w:hint="eastAsia"/>
                <w:sz w:val="24"/>
                <w:szCs w:val="24"/>
              </w:rPr>
            </w:pPr>
            <w:r>
              <w:rPr>
                <w:rFonts w:ascii="仿宋" w:eastAsia="仿宋" w:hAnsi="仿宋" w:cs="仿宋" w:hint="eastAsia"/>
                <w:sz w:val="24"/>
                <w:szCs w:val="24"/>
              </w:rPr>
              <w:t>气温传感器采用Pt100铂电阻温度传感器。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（4）湿度传感器</w:t>
            </w:r>
          </w:p>
          <w:p>
            <w:pPr>
              <w:rPr>
                <w:rFonts w:ascii="仿宋" w:eastAsia="仿宋" w:hAnsi="仿宋" w:cs="仿宋" w:hint="eastAsia"/>
              </w:rPr>
            </w:pPr>
            <w:r>
              <w:rPr>
                <w:rFonts w:ascii="仿宋" w:eastAsia="仿宋" w:hAnsi="仿宋" w:cs="仿宋" w:hint="eastAsia"/>
                <w:sz w:val="24"/>
              </w:rPr>
              <w:t>湿度传感器采用电容式湿度传感器：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a）测量范围：5%～100%RH</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b）分辨力：1%RH</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rPr>
              <w:t>±</w:t>
            </w:r>
            <w:r>
              <w:rPr>
                <w:rFonts w:ascii="仿宋" w:eastAsia="仿宋" w:hAnsi="仿宋" w:cs="仿宋" w:hint="eastAsia"/>
                <w:sz w:val="24"/>
                <w:szCs w:val="24"/>
              </w:rPr>
              <w:t>4%RH（</w:t>
            </w:r>
            <w:r>
              <w:rPr>
                <w:rFonts w:ascii="仿宋" w:eastAsia="仿宋" w:hAnsi="仿宋" w:cs="仿宋" w:hint="eastAsia"/>
                <w:sz w:val="24"/>
                <w:szCs w:val="24"/>
              </w:rPr>
              <w:t>≤</w:t>
            </w:r>
            <w:r>
              <w:rPr>
                <w:rFonts w:ascii="仿宋" w:eastAsia="仿宋" w:hAnsi="仿宋" w:cs="仿宋" w:hint="eastAsia"/>
                <w:sz w:val="24"/>
                <w:szCs w:val="24"/>
              </w:rPr>
              <w:t>80%）</w:t>
            </w:r>
            <w:r>
              <w:rPr>
                <w:rFonts w:ascii="仿宋" w:eastAsia="仿宋" w:hAnsi="仿宋" w:cs="仿宋" w:hint="eastAsia"/>
                <w:sz w:val="24"/>
                <w:szCs w:val="24"/>
              </w:rPr>
              <w:br/>
            </w:r>
            <w:r>
              <w:rPr>
                <w:rFonts w:ascii="仿宋" w:eastAsia="仿宋" w:hAnsi="仿宋" w:cs="仿宋" w:hint="eastAsia"/>
                <w:sz w:val="24"/>
                <w:szCs w:val="24"/>
              </w:rPr>
              <w:t>±</w:t>
            </w:r>
            <w:r>
              <w:rPr>
                <w:rFonts w:ascii="仿宋" w:eastAsia="仿宋" w:hAnsi="仿宋" w:cs="仿宋" w:hint="eastAsia"/>
                <w:sz w:val="24"/>
                <w:szCs w:val="24"/>
              </w:rPr>
              <w:t>8%RH（&gt;80%）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（5）三维超声波风传感器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w:t>
            </w:r>
            <w:r>
              <w:rPr>
                <w:rFonts w:ascii="仿宋" w:eastAsia="仿宋" w:hAnsi="仿宋" w:cs="仿宋" w:hint="eastAsia"/>
                <w:sz w:val="24"/>
                <w:szCs w:val="24"/>
              </w:rPr>
              <w:br/>
            </w:r>
            <w:r>
              <w:rPr>
                <w:rFonts w:ascii="仿宋" w:eastAsia="仿宋" w:hAnsi="仿宋" w:cs="仿宋" w:hint="eastAsia"/>
                <w:sz w:val="24"/>
                <w:szCs w:val="24"/>
              </w:rPr>
              <w:t>风向：方位角：0</w:t>
            </w:r>
            <w:r>
              <w:rPr>
                <w:rFonts w:ascii="仿宋" w:eastAsia="仿宋" w:hAnsi="仿宋" w:cs="仿宋" w:hint="eastAsia"/>
                <w:color w:val="000000"/>
                <w:sz w:val="24"/>
                <w:szCs w:val="24"/>
              </w:rPr>
              <w:t>～</w:t>
            </w:r>
            <w:r>
              <w:rPr>
                <w:rFonts w:ascii="仿宋" w:eastAsia="仿宋" w:hAnsi="仿宋" w:cs="仿宋" w:hint="eastAsia"/>
                <w:sz w:val="24"/>
                <w:szCs w:val="24"/>
              </w:rPr>
              <w:t>360</w:t>
            </w:r>
            <w:r>
              <w:rPr>
                <w:rFonts w:ascii="仿宋" w:eastAsia="仿宋" w:hAnsi="仿宋" w:cs="仿宋" w:hint="eastAsia"/>
                <w:sz w:val="24"/>
                <w:szCs w:val="24"/>
              </w:rPr>
              <w:t>°</w:t>
            </w:r>
            <w:r>
              <w:rPr>
                <w:rFonts w:ascii="仿宋" w:eastAsia="仿宋" w:hAnsi="仿宋" w:cs="仿宋" w:hint="eastAsia"/>
                <w:sz w:val="24"/>
                <w:szCs w:val="24"/>
              </w:rPr>
              <w:t>；仰角：-90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90</w:t>
            </w:r>
            <w:r>
              <w:rPr>
                <w:rFonts w:ascii="仿宋" w:eastAsia="仿宋" w:hAnsi="仿宋" w:cs="仿宋" w:hint="eastAsia"/>
                <w:sz w:val="24"/>
                <w:szCs w:val="24"/>
              </w:rPr>
              <w:t>°</w:t>
            </w:r>
            <w:r>
              <w:rPr>
                <w:rFonts w:ascii="仿宋" w:eastAsia="仿宋" w:hAnsi="仿宋" w:cs="仿宋" w:hint="eastAsia"/>
                <w:sz w:val="24"/>
                <w:szCs w:val="24"/>
              </w:rPr>
              <w:br/>
            </w:r>
            <w:r>
              <w:rPr>
                <w:rFonts w:ascii="仿宋" w:eastAsia="仿宋" w:hAnsi="仿宋" w:cs="仿宋" w:hint="eastAsia"/>
                <w:sz w:val="24"/>
                <w:szCs w:val="24"/>
              </w:rPr>
              <w:t>水平风速：0m/s～40m/s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垂直风速：0m/s～8m/s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#b）分辨力：</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风向：1</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风速：0.1m/s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电压：DC(24</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g）接口标准：RS-232或RS-485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（6）四分量辐射传感器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长波辐射表：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b）不稳定性：</w:t>
            </w:r>
            <w:r>
              <w:rPr>
                <w:rFonts w:ascii="仿宋" w:eastAsia="仿宋" w:hAnsi="仿宋" w:cs="仿宋" w:hint="eastAsia"/>
                <w:sz w:val="24"/>
                <w:szCs w:val="24"/>
              </w:rPr>
              <w:t>±</w:t>
            </w:r>
            <w:r>
              <w:rPr>
                <w:rFonts w:ascii="仿宋" w:eastAsia="仿宋" w:hAnsi="仿宋" w:cs="仿宋" w:hint="eastAsia"/>
                <w:sz w:val="24"/>
                <w:szCs w:val="24"/>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c）灵敏度：</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μ</w:t>
            </w:r>
            <w:r>
              <w:rPr>
                <w:rFonts w:ascii="仿宋" w:eastAsia="仿宋" w:hAnsi="仿宋" w:cs="仿宋"/>
                <w:sz w:val="24"/>
                <w:szCs w:val="24"/>
              </w:rPr>
              <w:t>V</w:t>
            </w:r>
            <w:r>
              <w:rPr>
                <w:rFonts w:ascii="Cambria Math" w:eastAsia="仿宋" w:hAnsi="Cambria Math" w:cs="Cambria Math"/>
                <w:sz w:val="24"/>
                <w:szCs w:val="24"/>
              </w:rPr>
              <w:t>∙</w:t>
            </w:r>
            <w:r>
              <w:rPr>
                <w:rFonts w:ascii="仿宋" w:eastAsia="仿宋" w:hAnsi="仿宋" w:cs="仿宋"/>
                <w:sz w:val="24"/>
                <w:szCs w:val="24"/>
              </w:rPr>
              <w:t>W</w:t>
            </w:r>
            <w:r>
              <w:rPr>
                <w:rFonts w:ascii="仿宋" w:eastAsia="仿宋" w:hAnsi="仿宋" w:cs="仿宋"/>
                <w:sz w:val="24"/>
                <w:szCs w:val="24"/>
                <w:vertAlign w:val="superscript"/>
              </w:rPr>
              <w:t>-1</w:t>
            </w:r>
            <w:r>
              <w:rPr>
                <w:rFonts w:ascii="Cambria Math" w:eastAsia="仿宋" w:hAnsi="Cambria Math" w:cs="Cambria Math"/>
                <w:sz w:val="24"/>
                <w:szCs w:val="24"/>
                <w:vertAlign w:val="superscript"/>
              </w:rPr>
              <w:t>∙</w:t>
            </w:r>
            <w:r>
              <w:rPr>
                <w:rFonts w:ascii="仿宋" w:eastAsia="仿宋" w:hAnsi="仿宋" w:cs="仿宋"/>
                <w:sz w:val="24"/>
                <w:szCs w:val="24"/>
              </w:rPr>
              <w:t>m</w:t>
            </w:r>
            <w:r>
              <w:rPr>
                <w:rFonts w:ascii="仿宋" w:eastAsia="仿宋" w:hAnsi="仿宋" w:cs="仿宋"/>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短波辐射表：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b）方向性相应误差：</w:t>
            </w:r>
            <w:r>
              <w:rPr>
                <w:rFonts w:ascii="仿宋" w:eastAsia="仿宋" w:hAnsi="仿宋" w:cs="仿宋" w:hint="eastAsia"/>
                <w:sz w:val="24"/>
                <w:szCs w:val="24"/>
              </w:rPr>
              <w:t>≤</w:t>
            </w:r>
            <w:r>
              <w:rPr>
                <w:rFonts w:ascii="仿宋" w:eastAsia="仿宋" w:hAnsi="仿宋" w:cs="仿宋" w:hint="eastAsia"/>
                <w:sz w:val="24"/>
                <w:szCs w:val="24"/>
              </w:rPr>
              <w:t>30W/m</w:t>
            </w:r>
            <w:r>
              <w:rPr>
                <w:rFonts w:ascii="仿宋" w:eastAsia="仿宋" w:hAnsi="仿宋" w:cs="仿宋" w:hint="eastAsia"/>
                <w:sz w:val="24"/>
                <w:szCs w:val="24"/>
                <w:vertAlign w:val="superscript"/>
              </w:rPr>
              <w:t>2</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pt;height:1pt">
                  <v:imagedata r:id="rId6"/>
                </v:shape>
              </w:pic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c）温度响应：</w:t>
            </w:r>
            <w:r>
              <w:rPr>
                <w:rFonts w:ascii="仿宋" w:eastAsia="仿宋" w:hAnsi="仿宋" w:cs="仿宋" w:hint="eastAsia"/>
                <w:sz w:val="24"/>
                <w:szCs w:val="24"/>
              </w:rPr>
              <w:t>≤</w:t>
            </w:r>
            <w:r>
              <w:rPr>
                <w:rFonts w:ascii="仿宋" w:eastAsia="仿宋" w:hAnsi="仿宋" w:cs="仿宋" w:hint="eastAsia"/>
                <w:sz w:val="24"/>
                <w:szCs w:val="24"/>
              </w:rPr>
              <w:t>8%</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g）四分量辐射传感器总功率：</w:t>
            </w:r>
            <w:r>
              <w:rPr>
                <w:rFonts w:ascii="仿宋" w:eastAsia="仿宋" w:hAnsi="仿宋" w:cs="仿宋" w:hint="eastAsia"/>
                <w:sz w:val="24"/>
                <w:szCs w:val="24"/>
              </w:rPr>
              <w:t>≤</w:t>
            </w:r>
            <w:r>
              <w:rPr>
                <w:rFonts w:ascii="仿宋" w:eastAsia="仿宋" w:hAnsi="仿宋" w:cs="仿宋" w:hint="eastAsia"/>
                <w:sz w:val="24"/>
                <w:szCs w:val="24"/>
              </w:rPr>
              <w:t>1.2W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依据《GB/T19565-2017总辐射表》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依据《GB/T33701-2017长波辐射表》</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（7）净辐射传感器（选配）</w:t>
            </w:r>
          </w:p>
          <w:p>
            <w:pPr>
              <w:rPr>
                <w:rFonts w:ascii="仿宋" w:eastAsia="仿宋" w:hAnsi="仿宋" w:cs="仿宋" w:hint="eastAsia"/>
              </w:rPr>
            </w:pPr>
            <w:r>
              <w:rPr>
                <w:rFonts w:ascii="仿宋" w:eastAsia="仿宋" w:hAnsi="仿宋" w:cs="仿宋" w:hint="eastAsia"/>
                <w:sz w:val="24"/>
              </w:rPr>
              <w:t>净辐射传感器性能符合下列要求：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a）响应时间：</w:t>
            </w:r>
            <w:r>
              <w:rPr>
                <w:rFonts w:ascii="仿宋" w:eastAsia="仿宋" w:hAnsi="仿宋" w:cs="仿宋" w:hint="eastAsia"/>
                <w:sz w:val="24"/>
                <w:szCs w:val="24"/>
              </w:rPr>
              <w:t>≤</w:t>
            </w:r>
            <w:r>
              <w:rPr>
                <w:rFonts w:ascii="仿宋" w:eastAsia="仿宋" w:hAnsi="仿宋" w:cs="仿宋" w:hint="eastAsia"/>
                <w:sz w:val="24"/>
                <w:szCs w:val="24"/>
              </w:rPr>
              <w:t>90s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b）温度响应（-10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+40</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10%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（8）土壤热通量传感器</w:t>
            </w:r>
          </w:p>
          <w:p>
            <w:pPr>
              <w:rPr>
                <w:rFonts w:ascii="仿宋" w:eastAsia="仿宋" w:hAnsi="仿宋" w:cs="仿宋" w:hint="eastAsia"/>
              </w:rPr>
            </w:pPr>
            <w:r>
              <w:rPr>
                <w:rFonts w:ascii="仿宋" w:eastAsia="仿宋" w:hAnsi="仿宋" w:cs="仿宋" w:hint="eastAsia"/>
                <w:sz w:val="24"/>
              </w:rPr>
              <w:t>土壤热通量传感器性能符合下列要求：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a）测量范围：-800W/m</w:t>
            </w:r>
            <w:r>
              <w:rPr>
                <w:rFonts w:ascii="仿宋" w:eastAsia="仿宋" w:hAnsi="仿宋" w:cs="仿宋" w:hint="eastAsia"/>
                <w:sz w:val="24"/>
                <w:szCs w:val="24"/>
                <w:vertAlign w:val="superscript"/>
              </w:rPr>
              <w:t>2</w:t>
            </w:r>
            <w:r>
              <w:rPr>
                <w:rFonts w:ascii="仿宋" w:eastAsia="仿宋" w:hAnsi="仿宋" w:cs="仿宋" w:hint="eastAsia"/>
                <w:color w:val="000000"/>
                <w:sz w:val="24"/>
                <w:szCs w:val="24"/>
              </w:rPr>
              <w:t>～</w:t>
            </w:r>
            <w:r>
              <w:rPr>
                <w:rFonts w:ascii="仿宋" w:eastAsia="仿宋" w:hAnsi="仿宋" w:cs="仿宋" w:hint="eastAsia"/>
                <w:sz w:val="24"/>
                <w:szCs w:val="24"/>
              </w:rPr>
              <w:t>800W/m</w:t>
            </w:r>
            <w:r>
              <w:rPr>
                <w:rFonts w:ascii="仿宋" w:eastAsia="仿宋" w:hAnsi="仿宋" w:cs="仿宋" w:hint="eastAsia"/>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b）灵敏度范围：5.0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12.0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～60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rPr>
                <w:rFonts w:ascii="仿宋" w:eastAsia="仿宋" w:hAnsi="仿宋" w:cs="仿宋" w:hint="eastAsia"/>
                <w:bCs/>
              </w:rPr>
            </w:pPr>
            <w:r>
              <w:rPr>
                <w:rFonts w:ascii="仿宋" w:eastAsia="仿宋" w:hAnsi="仿宋" w:cs="仿宋" w:hint="eastAsia"/>
                <w:bCs/>
                <w:sz w:val="24"/>
              </w:rPr>
              <w:t>（9）数据采集器</w:t>
            </w:r>
          </w:p>
          <w:p>
            <w:pPr>
              <w:rPr>
                <w:rFonts w:ascii="仿宋" w:eastAsia="仿宋" w:hAnsi="仿宋" w:cs="仿宋" w:hint="eastAsia"/>
              </w:rPr>
            </w:pPr>
            <w:r>
              <w:rPr>
                <w:rFonts w:ascii="仿宋" w:eastAsia="仿宋" w:hAnsi="仿宋" w:cs="仿宋" w:hint="eastAsia"/>
                <w:sz w:val="24"/>
              </w:rPr>
              <w:t>a）与传感器时钟最大允许误差：</w:t>
            </w:r>
            <w:r>
              <w:rPr>
                <w:rFonts w:ascii="仿宋" w:eastAsia="仿宋" w:hAnsi="仿宋" w:cs="仿宋" w:hint="eastAsia"/>
                <w:sz w:val="24"/>
              </w:rPr>
              <w:t>±</w:t>
            </w:r>
            <w:r>
              <w:rPr>
                <w:rFonts w:ascii="仿宋" w:eastAsia="仿宋" w:hAnsi="仿宋" w:cs="仿宋" w:hint="eastAsia"/>
                <w:sz w:val="24"/>
              </w:rPr>
              <w:t>15s（月累计）；对通信命令的响应延迟不超过1秒。</w:t>
            </w:r>
          </w:p>
          <w:p>
            <w:pPr>
              <w:rPr>
                <w:rFonts w:ascii="仿宋" w:eastAsia="仿宋" w:hAnsi="仿宋" w:cs="仿宋" w:hint="eastAsia"/>
              </w:rPr>
            </w:pPr>
            <w:r>
              <w:rPr>
                <w:rFonts w:ascii="仿宋" w:eastAsia="仿宋" w:hAnsi="仿宋" w:cs="仿宋" w:hint="eastAsia"/>
                <w:sz w:val="24"/>
                <w:highlight w:val="yellow"/>
              </w:rPr>
              <w:t>#b）数据采集器功率：</w:t>
            </w:r>
            <w:r>
              <w:rPr>
                <w:rFonts w:ascii="仿宋" w:eastAsia="仿宋" w:hAnsi="仿宋" w:cs="仿宋" w:hint="eastAsia"/>
                <w:sz w:val="24"/>
                <w:highlight w:val="yellow"/>
              </w:rPr>
              <w:t>≤</w:t>
            </w:r>
            <w:r>
              <w:rPr>
                <w:rFonts w:ascii="仿宋" w:eastAsia="仿宋" w:hAnsi="仿宋" w:cs="仿宋" w:hint="eastAsia"/>
                <w:sz w:val="24"/>
                <w:highlight w:val="yellow"/>
              </w:rPr>
              <w:t>10W</w:t>
            </w:r>
          </w:p>
          <w:p>
            <w:pPr>
              <w:rPr>
                <w:rFonts w:ascii="仿宋" w:eastAsia="仿宋" w:hAnsi="仿宋" w:cs="仿宋" w:hint="eastAsia"/>
                <w:bCs/>
              </w:rPr>
            </w:pPr>
            <w:r>
              <w:rPr>
                <w:rFonts w:ascii="仿宋" w:eastAsia="仿宋" w:hAnsi="仿宋" w:cs="仿宋" w:hint="eastAsia"/>
                <w:bCs/>
                <w:sz w:val="24"/>
              </w:rPr>
              <w:t>（10）通信系统</w:t>
            </w:r>
          </w:p>
          <w:p>
            <w:pPr>
              <w:rPr>
                <w:rFonts w:ascii="仿宋" w:eastAsia="仿宋" w:hAnsi="仿宋" w:cs="仿宋" w:hint="eastAsia"/>
              </w:rPr>
            </w:pPr>
            <w:r>
              <w:rPr>
                <w:rFonts w:ascii="仿宋" w:eastAsia="仿宋" w:hAnsi="仿宋" w:cs="仿宋" w:hint="eastAsia"/>
                <w:sz w:val="24"/>
              </w:rPr>
              <w:t>与数据采集器以RS-232/RS-485进行连接，可实现无线或有线传输和组网。</w:t>
            </w:r>
          </w:p>
          <w:p>
            <w:pPr>
              <w:rPr>
                <w:rFonts w:ascii="仿宋" w:eastAsia="仿宋" w:hAnsi="仿宋" w:cs="仿宋" w:hint="eastAsia"/>
                <w:bCs/>
              </w:rPr>
            </w:pPr>
            <w:r>
              <w:rPr>
                <w:rFonts w:ascii="仿宋" w:eastAsia="仿宋" w:hAnsi="仿宋" w:cs="仿宋" w:hint="eastAsia"/>
                <w:bCs/>
                <w:sz w:val="24"/>
              </w:rPr>
              <w:t>（11）供电系统</w:t>
            </w:r>
          </w:p>
          <w:p>
            <w:pPr>
              <w:rPr>
                <w:rFonts w:ascii="仿宋" w:eastAsia="仿宋" w:hAnsi="仿宋" w:cs="仿宋" w:hint="eastAsia"/>
              </w:rPr>
            </w:pPr>
            <w:r>
              <w:rPr>
                <w:rFonts w:ascii="仿宋" w:eastAsia="仿宋" w:hAnsi="仿宋" w:cs="仿宋" w:hint="eastAsia"/>
                <w:sz w:val="24"/>
              </w:rPr>
              <w:t>采用标称12V的免维护蓄电池为系统供电，并支持交流电源以及太阳能等为蓄电池充电。蓄电池在脱离辅助电源的条件下可连续工作7天。</w:t>
            </w:r>
          </w:p>
          <w:p>
            <w:pPr>
              <w:rPr>
                <w:rFonts w:ascii="仿宋" w:eastAsia="仿宋" w:hAnsi="仿宋" w:cs="仿宋" w:hint="eastAsia"/>
              </w:rPr>
            </w:pPr>
            <w:r>
              <w:rPr>
                <w:rFonts w:ascii="仿宋" w:eastAsia="仿宋" w:hAnsi="仿宋" w:cs="仿宋" w:hint="eastAsia"/>
                <w:sz w:val="24"/>
              </w:rPr>
              <w:t>设备总功耗在传感器不开启加热的情况下不大于28W。</w:t>
            </w:r>
          </w:p>
          <w:p>
            <w:pPr>
              <w:rPr>
                <w:rFonts w:ascii="仿宋" w:eastAsia="仿宋" w:hAnsi="仿宋" w:cs="仿宋" w:hint="eastAsia"/>
                <w:bCs/>
              </w:rPr>
            </w:pPr>
            <w:r>
              <w:rPr>
                <w:rFonts w:ascii="仿宋" w:eastAsia="仿宋" w:hAnsi="仿宋" w:cs="仿宋" w:hint="eastAsia"/>
                <w:bCs/>
                <w:sz w:val="24"/>
              </w:rPr>
              <w:t>（12）配套设备</w:t>
            </w:r>
          </w:p>
          <w:p>
            <w:pPr>
              <w:rPr>
                <w:rFonts w:ascii="仿宋" w:eastAsia="仿宋" w:hAnsi="仿宋" w:cs="仿宋" w:hint="eastAsia"/>
              </w:rPr>
            </w:pPr>
            <w:r>
              <w:rPr>
                <w:rFonts w:ascii="仿宋" w:eastAsia="仿宋" w:hAnsi="仿宋" w:cs="仿宋" w:hint="eastAsia"/>
                <w:sz w:val="24"/>
              </w:rPr>
              <w:t>标配为两座10米观测塔，结合场地条件，根据地形选择不同规格的铁塔。铁塔爬梯需设置在铁塔内部，保证安装人员安全。</w:t>
            </w:r>
          </w:p>
          <w:p>
            <w:pPr>
              <w:pStyle w:val="a2"/>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铁塔上设置与铁塔相绝缘的避雷针，避雷针引下线入地位置必须单独制作垂直接地体；除特殊（高山、海岛）地域外，观测场地网和接地体的接地电阻不宜大于4</w:t>
            </w:r>
            <w:r>
              <w:rPr>
                <w:rFonts w:ascii="仿宋" w:eastAsia="仿宋" w:hAnsi="仿宋" w:cs="仿宋" w:hint="eastAsia"/>
                <w:sz w:val="24"/>
                <w:szCs w:val="24"/>
              </w:rPr>
              <w:t>Ω</w:t>
            </w:r>
            <w:r>
              <w:rPr>
                <w:rFonts w:ascii="仿宋" w:eastAsia="仿宋" w:hAnsi="仿宋" w:cs="仿宋" w:hint="eastAsia"/>
                <w:sz w:val="24"/>
                <w:szCs w:val="24"/>
                <w:lang w:eastAsia="zh-CN"/>
              </w:rPr>
              <w:t>。</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3.2算法要求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供应商提供的设备嵌入式软件采用国家级业务数据处理算法。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3.3数据要求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供应商提供的设备传输数据能够接入国家级业务运行平台。</w:t>
      </w:r>
    </w:p>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4"/>
        <w:gridCol w:w="2642"/>
        <w:gridCol w:w="958"/>
        <w:gridCol w:w="1332"/>
        <w:gridCol w:w="1519"/>
        <w:gridCol w:w="958"/>
        <w:gridCol w:w="56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蒸散量观测系统(红外闪烁法)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4"/>
        <w:gridCol w:w="1392"/>
        <w:gridCol w:w="1557"/>
        <w:gridCol w:w="344"/>
        <w:gridCol w:w="785"/>
        <w:gridCol w:w="655"/>
        <w:gridCol w:w="565"/>
        <w:gridCol w:w="28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生态遥感中心(001039022)</w:t>
            </w:r>
          </w:p>
        </w:tc>
        <w:tc>
          <w:tcPr/>
          <w:p>
            <w:r>
              <w:t>蒸散量观测系统(红外闪烁法)</w:t>
            </w:r>
          </w:p>
        </w:tc>
        <w:tc>
          <w:tcPr/>
          <w:p>
            <w:r>
              <w:t>1</w:t>
            </w:r>
          </w:p>
        </w:tc>
        <w:tc>
          <w:tcPr/>
          <w:p>
            <w:r>
              <w:t>1150000.00</w:t>
            </w:r>
          </w:p>
        </w:tc>
        <w:tc>
          <w:tcPr/>
          <w:p>
            <w:r>
              <w:t xml:space="preserve">1150000.00  </w:t>
            </w:r>
          </w:p>
        </w:tc>
        <w:tc>
          <w:tcPr/>
          <w:p>
            <w:r>
              <w:t>上海市内</w:t>
            </w:r>
          </w:p>
        </w:tc>
        <w:tc>
          <w:tcPr/>
          <w:p>
            <w:r>
              <w:t>上海市生态气象和卫星遥感中心（麻炳欣/18918206285）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依据中国气象局《2025年站网和雷达工程建设初步设计安排》，在</w:t>
      </w:r>
      <w:r>
        <w:rPr>
          <w:rFonts w:ascii="仿宋" w:eastAsia="仿宋" w:hAnsi="仿宋" w:cs="仿宋" w:hint="eastAsia"/>
          <w:sz w:val="28"/>
          <w:szCs w:val="20"/>
          <w:lang w:val="en-US" w:eastAsia="zh-CN"/>
        </w:rPr>
        <w:t>上海</w:t>
      </w:r>
      <w:r>
        <w:rPr>
          <w:rFonts w:ascii="仿宋" w:eastAsia="仿宋" w:hAnsi="仿宋" w:cs="仿宋" w:hint="eastAsia"/>
          <w:sz w:val="28"/>
          <w:szCs w:val="20"/>
        </w:rPr>
        <w:t>建设1套蒸散</w:t>
      </w:r>
      <w:r>
        <w:rPr>
          <w:rFonts w:ascii="仿宋" w:eastAsia="仿宋" w:hAnsi="仿宋" w:cs="仿宋" w:hint="eastAsia"/>
          <w:sz w:val="28"/>
          <w:szCs w:val="20"/>
          <w:lang w:val="en-US" w:eastAsia="zh-CN"/>
        </w:rPr>
        <w:t>量</w:t>
      </w:r>
      <w:r>
        <w:rPr>
          <w:rFonts w:ascii="仿宋" w:eastAsia="仿宋" w:hAnsi="仿宋" w:cs="仿宋" w:hint="eastAsia"/>
          <w:sz w:val="28"/>
          <w:szCs w:val="20"/>
        </w:rPr>
        <w:t>观测系统</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红外闪烁法</w:t>
      </w:r>
      <w:r>
        <w:rPr>
          <w:rFonts w:ascii="仿宋" w:eastAsia="仿宋" w:hAnsi="仿宋" w:cs="仿宋" w:hint="eastAsia"/>
          <w:sz w:val="28"/>
          <w:szCs w:val="20"/>
          <w:lang w:eastAsia="zh-CN"/>
        </w:rPr>
        <w:t>）</w:t>
      </w:r>
      <w:r>
        <w:rPr>
          <w:rFonts w:ascii="仿宋" w:eastAsia="仿宋" w:hAnsi="仿宋" w:cs="仿宋" w:hint="eastAsia"/>
          <w:sz w:val="28"/>
          <w:szCs w:val="20"/>
        </w:rPr>
        <w:t>。通过</w:t>
      </w:r>
      <w:r>
        <w:rPr>
          <w:rFonts w:ascii="仿宋" w:eastAsia="仿宋" w:hAnsi="仿宋" w:cs="仿宋" w:hint="eastAsia"/>
          <w:sz w:val="28"/>
          <w:szCs w:val="20"/>
          <w:lang w:val="en-US" w:eastAsia="zh-CN"/>
        </w:rPr>
        <w:t>建设</w:t>
      </w:r>
      <w:r>
        <w:rPr>
          <w:rFonts w:ascii="仿宋" w:eastAsia="仿宋" w:hAnsi="仿宋" w:cs="仿宋" w:hint="eastAsia"/>
          <w:sz w:val="28"/>
          <w:szCs w:val="20"/>
        </w:rPr>
        <w:t>蒸散</w:t>
      </w:r>
      <w:r>
        <w:rPr>
          <w:rFonts w:ascii="仿宋" w:eastAsia="仿宋" w:hAnsi="仿宋" w:cs="仿宋" w:hint="eastAsia"/>
          <w:sz w:val="28"/>
          <w:szCs w:val="20"/>
          <w:lang w:val="en-US" w:eastAsia="zh-CN"/>
        </w:rPr>
        <w:t>量</w:t>
      </w:r>
      <w:r>
        <w:rPr>
          <w:rFonts w:ascii="仿宋" w:eastAsia="仿宋" w:hAnsi="仿宋" w:cs="仿宋" w:hint="eastAsia"/>
          <w:sz w:val="28"/>
          <w:szCs w:val="20"/>
        </w:rPr>
        <w:t>观测系统</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红外闪烁法</w:t>
      </w:r>
      <w:r>
        <w:rPr>
          <w:rFonts w:ascii="仿宋" w:eastAsia="仿宋" w:hAnsi="仿宋" w:cs="仿宋" w:hint="eastAsia"/>
          <w:sz w:val="28"/>
          <w:szCs w:val="20"/>
          <w:lang w:eastAsia="zh-CN"/>
        </w:rPr>
        <w:t>）</w:t>
      </w:r>
      <w:r>
        <w:rPr>
          <w:rFonts w:ascii="仿宋" w:eastAsia="仿宋" w:hAnsi="仿宋" w:cs="仿宋" w:hint="eastAsia"/>
          <w:sz w:val="28"/>
          <w:szCs w:val="20"/>
        </w:rPr>
        <w:t>，提升生态气象要素野外调查与数据获取能力、关键生态气象要素卫星遥感反演精度等能力，为气象业务工作及生态文明保障提供数据支持、技术支撑。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lang w:val="en-US" w:eastAsia="zh-CN"/>
        </w:rPr>
        <w:t>1</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highlight w:val="none"/>
        </w:rPr>
        <w:t>培</w:t>
      </w:r>
      <w:r>
        <w:rPr>
          <w:rFonts w:ascii="仿宋" w:eastAsia="仿宋" w:hAnsi="仿宋" w:cs="仿宋" w:hint="eastAsia"/>
          <w:sz w:val="28"/>
          <w:szCs w:val="20"/>
        </w:rPr>
        <w:t>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highlight w:val="yellow"/>
          <w:lang w:val="en-US" w:eastAsia="zh-CN"/>
        </w:rPr>
        <w:t>上海域内</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5</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default"/>
          <w:sz w:val="28"/>
          <w:szCs w:val="20"/>
        </w:rPr>
      </w:pPr>
      <w:r>
        <w:rPr>
          <w:rFonts w:ascii="仿宋" w:eastAsia="仿宋" w:hAnsi="仿宋" w:cs="仿宋" w:hint="eastAsia"/>
          <w:sz w:val="28"/>
          <w:szCs w:val="20"/>
        </w:rPr>
        <w:t>设备软件兼容性强，支持UDP、TCP等协议，可无缝接入局域网，也可接入互联网网络系统，实现与局域网或者互联网网络系统、大数据云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w:t>
      </w:r>
      <w:r>
        <w:rPr>
          <w:rFonts w:ascii="仿宋" w:eastAsia="仿宋" w:hAnsi="仿宋" w:cs="仿宋" w:hint="eastAsia"/>
          <w:b/>
          <w:bCs/>
          <w:sz w:val="28"/>
          <w:szCs w:val="20"/>
          <w:lang w:val="en-US" w:eastAsia="zh-CN"/>
        </w:rPr>
        <w:t>质保服务</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质保期：蒸散量观测系统（红外闪烁法）8年，从现场验收合格之日起开始计算质保期。</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（2）每年需进行1次现场巡检和 2 次远程巡检，同时需提供必要的软件升级服务。</w:t>
      </w:r>
    </w:p>
    <w:p>
      <w:pPr>
        <w:ind w:firstLine="560" w:firstLineChars="200"/>
        <w:rPr>
          <w:rFonts w:ascii="仿宋" w:eastAsia="仿宋" w:hAnsi="仿宋" w:cs="仿宋"/>
          <w:color w:val="0000FF"/>
          <w:sz w:val="28"/>
          <w:szCs w:val="20"/>
        </w:rPr>
      </w:pPr>
      <w:r>
        <w:rPr>
          <w:rFonts w:ascii="仿宋" w:eastAsia="仿宋" w:hAnsi="仿宋" w:cs="仿宋" w:hint="eastAsia"/>
          <w:sz w:val="28"/>
          <w:szCs w:val="20"/>
        </w:rPr>
        <w:t>（3）</w:t>
      </w:r>
      <w:r>
        <w:rPr>
          <w:rFonts w:ascii="仿宋" w:eastAsia="仿宋" w:hAnsi="仿宋" w:cs="仿宋"/>
          <w:color w:val="0000FF"/>
          <w:sz w:val="28"/>
          <w:szCs w:val="20"/>
        </w:rPr>
        <w:t>中标人在投标文件中应明确本项目采购设备自验收合格后4G通信模块8年数据流量费由中标人承担，并提供承诺函原件扫描件。</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4</w:t>
      </w:r>
      <w:r>
        <w:rPr>
          <w:rFonts w:ascii="仿宋" w:eastAsia="仿宋" w:hAnsi="仿宋" w:cs="仿宋" w:hint="eastAsia"/>
          <w:sz w:val="28"/>
          <w:szCs w:val="20"/>
          <w:lang w:eastAsia="zh-CN"/>
        </w:rPr>
        <w:t>）</w:t>
      </w:r>
      <w:r>
        <w:rPr>
          <w:rFonts w:ascii="仿宋" w:eastAsia="仿宋" w:hAnsi="仿宋" w:cs="仿宋" w:hint="eastAsia"/>
          <w:sz w:val="28"/>
          <w:szCs w:val="20"/>
        </w:rPr>
        <w:t>质保期满后，仍有义务提供远程技术服务等支持。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分期付款：</w:t>
      </w:r>
    </w:p>
    <w:p>
      <w:pPr>
        <w:numPr>
          <w:ilvl w:val="0"/>
          <w:numId w:val="5"/>
        </w:numPr>
        <w:ind w:firstLine="560" w:firstLineChars="200"/>
        <w:rPr>
          <w:rFonts w:ascii="仿宋" w:eastAsia="仿宋" w:hAnsi="仿宋" w:cs="仿宋" w:hint="eastAsia"/>
          <w:color w:val="0000FF"/>
          <w:sz w:val="28"/>
          <w:szCs w:val="20"/>
          <w:highlight w:val="none"/>
        </w:rPr>
      </w:pPr>
      <w:r>
        <w:rPr>
          <w:rFonts w:ascii="仿宋" w:eastAsia="仿宋" w:hAnsi="仿宋" w:cs="仿宋" w:hint="eastAsia"/>
          <w:color w:val="0000FF"/>
          <w:sz w:val="28"/>
          <w:szCs w:val="20"/>
          <w:highlight w:val="none"/>
        </w:rPr>
        <w:t xml:space="preserve">合同生效后付款：双方签署合同后20个工作日内，乙方向甲方开具合同总金额的 </w:t>
      </w:r>
      <w:r>
        <w:rPr>
          <w:rFonts w:ascii="仿宋" w:eastAsia="仿宋" w:hAnsi="仿宋" w:cs="仿宋" w:hint="eastAsia"/>
          <w:color w:val="0000FF"/>
          <w:sz w:val="28"/>
          <w:szCs w:val="20"/>
          <w:highlight w:val="none"/>
          <w:lang w:val="en-US" w:eastAsia="zh-CN"/>
        </w:rPr>
        <w:t>60</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（小写） 的增值税普通发票，同时甲方向乙方支付相应金额款项。</w:t>
      </w:r>
    </w:p>
    <w:p>
      <w:pPr>
        <w:numPr>
          <w:ilvl w:val="0"/>
          <w:numId w:val="5"/>
        </w:numPr>
        <w:ind w:firstLine="560" w:firstLineChars="200"/>
        <w:rPr>
          <w:rFonts w:ascii="仿宋" w:eastAsia="仿宋" w:hAnsi="仿宋" w:cs="仿宋" w:hint="eastAsia"/>
          <w:color w:val="0000FF"/>
          <w:sz w:val="28"/>
          <w:szCs w:val="20"/>
          <w:highlight w:val="none"/>
        </w:rPr>
      </w:pPr>
      <w:r>
        <w:rPr>
          <w:rFonts w:ascii="仿宋" w:eastAsia="仿宋" w:hAnsi="仿宋" w:cs="仿宋" w:hint="eastAsia"/>
          <w:color w:val="0000FF"/>
          <w:sz w:val="28"/>
          <w:szCs w:val="20"/>
          <w:highlight w:val="none"/>
        </w:rPr>
        <w:t>乙方出具项目设计方案后付款：乙方向甲方交付项目设计方案后7个工作日内，乙方向甲方开具合同总金额的3</w:t>
      </w:r>
      <w:r>
        <w:rPr>
          <w:rFonts w:ascii="仿宋" w:eastAsia="仿宋" w:hAnsi="仿宋" w:cs="仿宋" w:hint="eastAsia"/>
          <w:color w:val="0000FF"/>
          <w:sz w:val="28"/>
          <w:szCs w:val="20"/>
          <w:highlight w:val="none"/>
          <w:lang w:val="en-US" w:eastAsia="zh-CN"/>
        </w:rPr>
        <w:t>5</w:t>
      </w:r>
      <w:r>
        <w:rPr>
          <w:rFonts w:ascii="仿宋" w:eastAsia="仿宋" w:hAnsi="仿宋" w:cs="仿宋" w:hint="eastAsia"/>
          <w:color w:val="0000FF"/>
          <w:sz w:val="28"/>
          <w:szCs w:val="20"/>
          <w:highlight w:val="none"/>
        </w:rPr>
        <w:t xml:space="preserve">%，即人民币        </w:t>
      </w:r>
      <w:r>
        <w:rPr>
          <w:rFonts w:ascii="仿宋" w:eastAsia="仿宋" w:hAnsi="仿宋" w:cs="仿宋" w:hint="eastAsia"/>
          <w:color w:val="0000FF"/>
          <w:sz w:val="28"/>
          <w:szCs w:val="20"/>
          <w:highlight w:val="none"/>
          <w:lang w:val="en-US" w:eastAsia="zh-CN"/>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元（小写）的增值税普通发票，同时甲方向乙方支付相应金额款项。</w:t>
      </w:r>
    </w:p>
    <w:p>
      <w:pPr>
        <w:ind w:firstLine="560" w:firstLineChars="200"/>
        <w:rPr>
          <w:rFonts w:ascii="仿宋" w:eastAsia="仿宋" w:hAnsi="仿宋" w:cs="仿宋"/>
          <w:color w:val="0000FF"/>
          <w:sz w:val="28"/>
          <w:szCs w:val="20"/>
          <w:highlight w:val="none"/>
        </w:rPr>
      </w:pPr>
      <w:r>
        <w:rPr>
          <w:rFonts w:ascii="仿宋" w:eastAsia="仿宋" w:hAnsi="仿宋" w:cs="仿宋" w:hint="eastAsia"/>
          <w:color w:val="0000FF"/>
          <w:sz w:val="28"/>
          <w:szCs w:val="20"/>
          <w:highlight w:val="none"/>
        </w:rPr>
        <w:t>（</w:t>
      </w:r>
      <w:r>
        <w:rPr>
          <w:rFonts w:ascii="仿宋" w:eastAsia="仿宋" w:hAnsi="仿宋" w:cs="仿宋" w:hint="eastAsia"/>
          <w:color w:val="0000FF"/>
          <w:sz w:val="28"/>
          <w:szCs w:val="20"/>
          <w:highlight w:val="none"/>
          <w:lang w:val="en-US" w:eastAsia="zh-CN"/>
        </w:rPr>
        <w:t>3</w:t>
      </w:r>
      <w:r>
        <w:rPr>
          <w:rFonts w:ascii="仿宋" w:eastAsia="仿宋" w:hAnsi="仿宋" w:cs="仿宋" w:hint="eastAsia"/>
          <w:color w:val="0000FF"/>
          <w:sz w:val="28"/>
          <w:szCs w:val="20"/>
          <w:highlight w:val="none"/>
        </w:rPr>
        <w:t xml:space="preserve">）到货后付款：设备到货、签收后 20个工作日内，乙方向甲方开具合同总金额的 </w:t>
      </w:r>
      <w:r>
        <w:rPr>
          <w:rFonts w:ascii="仿宋" w:eastAsia="仿宋" w:hAnsi="仿宋" w:cs="仿宋" w:hint="eastAsia"/>
          <w:color w:val="0000FF"/>
          <w:sz w:val="28"/>
          <w:szCs w:val="20"/>
          <w:highlight w:val="none"/>
          <w:lang w:val="en-US" w:eastAsia="zh-CN"/>
        </w:rPr>
        <w:t>5</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元（小写） 的增值税普通发票，同时甲方向乙方支付相应金额款项。</w:t>
      </w:r>
    </w:p>
    <w:p>
      <w:pPr>
        <w:ind w:firstLine="560" w:firstLineChars="200"/>
        <w:rPr>
          <w:rFonts w:ascii="仿宋" w:eastAsia="仿宋" w:hAnsi="仿宋" w:cs="仿宋"/>
          <w:color w:val="0000FF"/>
          <w:sz w:val="28"/>
          <w:szCs w:val="20"/>
          <w:highlight w:val="none"/>
        </w:rPr>
      </w:pPr>
      <w:r>
        <w:rPr>
          <w:rFonts w:ascii="仿宋" w:eastAsia="仿宋" w:hAnsi="仿宋" w:cs="仿宋" w:hint="eastAsia"/>
          <w:color w:val="0000FF"/>
          <w:sz w:val="28"/>
          <w:szCs w:val="20"/>
          <w:highlight w:val="none"/>
        </w:rPr>
        <w:t>（</w:t>
      </w:r>
      <w:r>
        <w:rPr>
          <w:rFonts w:ascii="仿宋" w:eastAsia="仿宋" w:hAnsi="仿宋" w:cs="仿宋" w:hint="eastAsia"/>
          <w:color w:val="0000FF"/>
          <w:sz w:val="28"/>
          <w:szCs w:val="20"/>
          <w:highlight w:val="none"/>
          <w:lang w:val="en-US" w:eastAsia="zh-CN"/>
        </w:rPr>
        <w:t>4</w:t>
      </w:r>
      <w:r>
        <w:rPr>
          <w:rFonts w:ascii="仿宋" w:eastAsia="仿宋" w:hAnsi="仿宋" w:cs="仿宋" w:hint="eastAsia"/>
          <w:color w:val="0000FF"/>
          <w:sz w:val="28"/>
          <w:szCs w:val="20"/>
          <w:highlight w:val="none"/>
        </w:rPr>
        <w:t xml:space="preserve">）乙方在合同签订后20个工作日内，向甲方提供合同总金额 </w:t>
      </w:r>
      <w:r>
        <w:rPr>
          <w:rFonts w:ascii="仿宋" w:eastAsia="仿宋" w:hAnsi="仿宋" w:cs="仿宋" w:hint="eastAsia"/>
          <w:color w:val="0000FF"/>
          <w:sz w:val="28"/>
          <w:szCs w:val="20"/>
          <w:highlight w:val="none"/>
          <w:lang w:val="en-US" w:eastAsia="zh-CN"/>
        </w:rPr>
        <w:t>10</w:t>
      </w:r>
      <w:r>
        <w:rPr>
          <w:rFonts w:ascii="仿宋" w:eastAsia="仿宋" w:hAnsi="仿宋" w:cs="仿宋" w:hint="eastAsia"/>
          <w:color w:val="0000FF"/>
          <w:sz w:val="28"/>
          <w:szCs w:val="20"/>
          <w:highlight w:val="none"/>
        </w:rPr>
        <w:t>% 即人民币</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元（大写）</w:t>
      </w:r>
      <w:r>
        <w:rPr>
          <w:rFonts w:ascii="仿宋" w:eastAsia="仿宋" w:hAnsi="仿宋" w:cs="仿宋" w:hint="eastAsia"/>
          <w:color w:val="0000FF"/>
          <w:sz w:val="28"/>
          <w:szCs w:val="20"/>
          <w:highlight w:val="none"/>
          <w:u w:val="single"/>
        </w:rPr>
        <w:t xml:space="preserve">    </w:t>
      </w:r>
      <w:r>
        <w:rPr>
          <w:rFonts w:ascii="仿宋" w:eastAsia="仿宋" w:hAnsi="仿宋" w:cs="仿宋" w:hint="eastAsia"/>
          <w:color w:val="0000FF"/>
          <w:sz w:val="28"/>
          <w:szCs w:val="20"/>
          <w:highlight w:val="none"/>
        </w:rPr>
        <w:t>（小写） 的银行履约保函。自合同生效之日起至设备质保结束止（保函有效期：自开具之日起2年，乙方履约保函到期前乙方重新开具为期2年的履约保函进行替换，直至质保期满。乙方应保证履约保函在合同规定的有效期内持续有效）。</w:t>
      </w:r>
    </w:p>
    <w:p>
      <w:pPr>
        <w:ind w:firstLine="560" w:firstLineChars="200"/>
        <w:rPr>
          <w:rFonts w:ascii="仿宋" w:eastAsia="仿宋" w:hAnsi="仿宋" w:cs="仿宋"/>
          <w:color w:val="0000FF"/>
          <w:sz w:val="28"/>
          <w:szCs w:val="20"/>
          <w:highlight w:val="none"/>
        </w:rPr>
      </w:pP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pPr>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（1）设备安装、调试达到功能规格需求书规定的指标后，可进行初步验收。验收</w:t>
      </w:r>
      <w:r>
        <w:rPr>
          <w:rFonts w:ascii="仿宋" w:eastAsia="仿宋" w:hAnsi="仿宋" w:cs="仿宋" w:hint="eastAsia"/>
          <w:sz w:val="28"/>
          <w:szCs w:val="20"/>
          <w:highlight w:val="none"/>
        </w:rPr>
        <w:t>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（2）设备经过</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个月试运行期，达到功能规格需求书的要求时，可进行最终验收。在试运行期间，由于设备质量等造成某些指标达不到要求，允许中标人更换或进行修复，但试运行期另加1个月。</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（4）设备安装调试和试运行结束后，采购人组织最终验收。当满足以下条件时，采购人确认验收合格签署验收合格证：</w:t>
      </w:r>
    </w:p>
    <w:p>
      <w:pPr>
        <w:numPr>
          <w:ilvl w:val="0"/>
          <w:numId w:val="6"/>
        </w:numPr>
        <w:rPr>
          <w:rFonts w:ascii="仿宋" w:eastAsia="仿宋" w:hAnsi="仿宋" w:cs="仿宋"/>
          <w:sz w:val="28"/>
          <w:szCs w:val="20"/>
          <w:highlight w:val="none"/>
        </w:rPr>
      </w:pPr>
      <w:r>
        <w:rPr>
          <w:rFonts w:ascii="仿宋" w:eastAsia="仿宋" w:hAnsi="仿宋" w:cs="仿宋" w:hint="eastAsia"/>
          <w:sz w:val="28"/>
          <w:szCs w:val="20"/>
          <w:highlight w:val="none"/>
        </w:rPr>
        <w:t>中标人已提供合同中签署的全部货物及完整技术资料；</w:t>
      </w:r>
    </w:p>
    <w:p>
      <w:pPr>
        <w:numPr>
          <w:ilvl w:val="0"/>
          <w:numId w:val="6"/>
        </w:numPr>
        <w:rPr>
          <w:rFonts w:ascii="仿宋" w:eastAsia="仿宋" w:hAnsi="仿宋" w:cs="仿宋"/>
          <w:sz w:val="28"/>
          <w:szCs w:val="20"/>
          <w:highlight w:val="none"/>
        </w:rPr>
      </w:pPr>
      <w:r>
        <w:rPr>
          <w:rFonts w:ascii="仿宋" w:eastAsia="仿宋" w:hAnsi="仿宋" w:cs="仿宋" w:hint="eastAsia"/>
          <w:sz w:val="28"/>
          <w:szCs w:val="20"/>
          <w:highlight w:val="none"/>
        </w:rPr>
        <w:t>货物符合技术规格，性能满足要求；</w:t>
      </w:r>
    </w:p>
    <w:p>
      <w:pPr>
        <w:numPr>
          <w:ilvl w:val="0"/>
          <w:numId w:val="6"/>
        </w:numPr>
        <w:rPr>
          <w:rFonts w:ascii="仿宋" w:eastAsia="仿宋" w:hAnsi="仿宋" w:cs="仿宋"/>
          <w:sz w:val="28"/>
          <w:szCs w:val="20"/>
          <w:highlight w:val="none"/>
        </w:rPr>
      </w:pPr>
      <w:r>
        <w:rPr>
          <w:rFonts w:ascii="仿宋" w:eastAsia="仿宋" w:hAnsi="仿宋" w:cs="仿宋" w:hint="eastAsia"/>
          <w:sz w:val="28"/>
          <w:szCs w:val="20"/>
          <w:highlight w:val="none"/>
        </w:rPr>
        <w:t>安装工程符合技术要求，系统性能满足要求，设备正常运行。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9.5保修及售后服务</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（1）保修期内因设备设计、质量出现问题，均由设备供应商即时无偿解决（包括更换器件）；设备安装后的试运行期间（</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 xml:space="preserve">个月）内，遇设备故障或数据明显异常、性能不达标等，中标人负责48小时内到站对故障设备进行测试和更换，确保设备正常投入业务运行。 </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9.6工程进度</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（1）合同签订后根据招标人的要求安排发货。</w:t>
      </w:r>
    </w:p>
    <w:p>
      <w:pPr>
        <w:ind w:firstLine="560" w:firstLineChars="200"/>
        <w:rPr>
          <w:rFonts w:ascii="仿宋" w:eastAsia="仿宋" w:hAnsi="仿宋" w:cs="仿宋"/>
          <w:sz w:val="28"/>
          <w:szCs w:val="20"/>
        </w:rPr>
      </w:pPr>
      <w:r>
        <w:rPr>
          <w:rFonts w:ascii="仿宋" w:eastAsia="仿宋" w:hAnsi="仿宋" w:cs="仿宋" w:hint="eastAsia"/>
          <w:sz w:val="28"/>
          <w:szCs w:val="20"/>
          <w:highlight w:val="none"/>
        </w:rPr>
        <w:t>（2）设备到达安装现场后，收到招标人通知五日内到达现场， 完成设备的安装、</w:t>
      </w:r>
      <w:r>
        <w:rPr>
          <w:rFonts w:ascii="仿宋" w:eastAsia="仿宋" w:hAnsi="仿宋" w:cs="仿宋" w:hint="eastAsia"/>
          <w:sz w:val="28"/>
          <w:szCs w:val="20"/>
        </w:rPr>
        <w:t>调测以及供电系统的联调工作。</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rPr>
          <w:rFonts w:ascii="仿宋" w:eastAsia="仿宋" w:hAnsi="仿宋" w:cs="仿宋" w:hint="eastAsia"/>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投标的货物</w:t>
            </w:r>
            <w:r>
              <w:rPr>
                <w:rFonts w:ascii="宋体" w:hAnsi="宋体" w:cs="微软雅黑" w:hint="eastAsia"/>
                <w:b/>
                <w:color w:val="0000FF"/>
                <w:kern w:val="0"/>
                <w:sz w:val="18"/>
                <w:szCs w:val="18"/>
                <w:lang w:eastAsia="zh-CN"/>
              </w:rPr>
              <w:t>（</w:t>
            </w:r>
            <w:r>
              <w:rPr>
                <w:rFonts w:ascii="宋体" w:hAnsi="宋体" w:cs="微软雅黑" w:hint="eastAsia"/>
                <w:b/>
                <w:color w:val="0000FF"/>
                <w:kern w:val="0"/>
                <w:sz w:val="18"/>
                <w:szCs w:val="18"/>
                <w:highlight w:val="none"/>
                <w:lang w:val="en-US" w:eastAsia="zh-CN"/>
              </w:rPr>
              <w:t>蒸散量观测系统</w:t>
            </w:r>
            <w:r>
              <w:rPr>
                <w:rFonts w:ascii="宋体" w:hAnsi="宋体" w:cs="微软雅黑" w:hint="eastAsia"/>
                <w:b/>
                <w:color w:val="0000FF"/>
                <w:kern w:val="0"/>
                <w:sz w:val="18"/>
                <w:szCs w:val="18"/>
                <w:lang w:eastAsia="zh-CN"/>
              </w:rPr>
              <w:t>）</w:t>
            </w:r>
            <w:r>
              <w:rPr>
                <w:rFonts w:ascii="宋体" w:hAnsi="宋体" w:cs="微软雅黑" w:hint="eastAsia"/>
                <w:b/>
                <w:color w:val="0000FF"/>
                <w:kern w:val="0"/>
                <w:sz w:val="18"/>
                <w:szCs w:val="18"/>
              </w:rPr>
              <w:t>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第七章</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设备供应商对所有设备提供自验收合格后8年的质保服务，需提供设备质保承诺函原件（格式自拟）</w:t>
            </w:r>
            <w:r>
              <w:rPr>
                <w:rFonts w:ascii="宋体" w:hAnsi="宋体" w:cs="微软雅黑" w:hint="eastAsia"/>
                <w:b/>
                <w:color w:val="0000FF"/>
                <w:kern w:val="0"/>
                <w:sz w:val="18"/>
                <w:szCs w:val="18"/>
                <w:lang w:eastAsia="zh-CN"/>
              </w:rPr>
              <w:t>，采购设备自验收合格后4G通信模块8年数据流量费由中标人承担，并提供承诺函原件扫描件。</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6</w:t>
      </w:r>
      <w:r>
        <w:rPr>
          <w:rFonts w:ascii="宋体" w:hAnsi="宋体" w:hint="eastAsia"/>
          <w:szCs w:val="21"/>
          <w:highlight w:val="none"/>
          <w:u w:val="single"/>
        </w:rPr>
        <w:t>0%</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      元（小写）的有效发票，甲方在收到发票后15个工作日内向乙方支付；2、</w:t>
      </w:r>
      <w:r>
        <w:rPr>
          <w:rFonts w:ascii="宋体" w:hAnsi="宋体" w:hint="eastAsia"/>
          <w:szCs w:val="21"/>
          <w:highlight w:val="none"/>
          <w:u w:val="single"/>
          <w:lang w:val="en-US" w:eastAsia="zh-CN"/>
        </w:rPr>
        <w:t>乙方出具项目设计方案后付款</w:t>
      </w:r>
      <w:r>
        <w:rPr>
          <w:rFonts w:ascii="宋体" w:hAnsi="宋体" w:hint="eastAsia"/>
          <w:szCs w:val="21"/>
          <w:highlight w:val="none"/>
          <w:u w:val="single"/>
        </w:rPr>
        <w:t>：</w:t>
      </w:r>
      <w:r>
        <w:rPr>
          <w:rFonts w:ascii="宋体" w:hAnsi="宋体" w:hint="eastAsia"/>
          <w:szCs w:val="21"/>
          <w:highlight w:val="none"/>
          <w:u w:val="single"/>
          <w:lang w:val="en-US" w:eastAsia="zh-CN"/>
        </w:rPr>
        <w:t>乙方向甲方交付项目设计方案后</w:t>
      </w:r>
      <w:r>
        <w:rPr>
          <w:rFonts w:ascii="宋体" w:hAnsi="宋体" w:hint="eastAsia"/>
          <w:szCs w:val="21"/>
          <w:highlight w:val="none"/>
          <w:u w:val="single"/>
        </w:rPr>
        <w:t>7个工作日内，乙方向甲方开具合同总金额的</w:t>
      </w:r>
      <w:r>
        <w:rPr>
          <w:rFonts w:ascii="宋体" w:hAnsi="宋体" w:hint="eastAsia"/>
          <w:szCs w:val="21"/>
          <w:highlight w:val="none"/>
          <w:u w:val="single"/>
          <w:lang w:val="en-US" w:eastAsia="zh-CN"/>
        </w:rPr>
        <w:t>35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 xml:space="preserve">即人民币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元（小写）的有效发票，甲方在收到发票后15个工作日内向乙方支付。 </w:t>
      </w:r>
      <w:r>
        <w:rPr>
          <w:rFonts w:ascii="宋体" w:hAnsi="宋体" w:hint="eastAsia"/>
          <w:szCs w:val="21"/>
          <w:highlight w:val="none"/>
          <w:u w:val="single"/>
          <w:lang w:val="en-US" w:eastAsia="zh-CN"/>
        </w:rPr>
        <w:t>3</w:t>
      </w:r>
      <w:r>
        <w:rPr>
          <w:rFonts w:ascii="宋体" w:hAnsi="宋体" w:hint="eastAsia"/>
          <w:szCs w:val="21"/>
          <w:highlight w:val="none"/>
          <w:u w:val="single"/>
        </w:rPr>
        <w:t>、到货、检验后付款：双方签署到货验收报告后7个工作日内，乙方向甲方开具合同总金额的</w:t>
      </w:r>
      <w:r>
        <w:rPr>
          <w:rFonts w:ascii="宋体" w:hAnsi="宋体" w:hint="eastAsia"/>
          <w:szCs w:val="21"/>
          <w:highlight w:val="none"/>
          <w:u w:val="single"/>
          <w:lang w:val="en-US" w:eastAsia="zh-CN"/>
        </w:rPr>
        <w:t>5</w:t>
      </w:r>
      <w:r>
        <w:rPr>
          <w:rFonts w:ascii="宋体" w:hAnsi="宋体" w:hint="eastAsia"/>
          <w:szCs w:val="21"/>
          <w:highlight w:val="none"/>
          <w:u w:val="single"/>
        </w:rPr>
        <w:t>%</w:t>
      </w:r>
      <w:r>
        <w:rPr>
          <w:rFonts w:ascii="宋体" w:hAnsi="宋体" w:hint="eastAsia"/>
          <w:szCs w:val="21"/>
          <w:highlight w:val="none"/>
          <w:u w:val="single"/>
          <w:lang w:eastAsia="zh-CN"/>
        </w:rPr>
        <w:t>，</w:t>
      </w:r>
      <w:r>
        <w:rPr>
          <w:rFonts w:ascii="宋体" w:hAnsi="宋体" w:hint="eastAsia"/>
          <w:szCs w:val="21"/>
          <w:highlight w:val="none"/>
          <w:u w:val="single"/>
        </w:rPr>
        <w:t>即人民币                  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元（小写）的有效发票，甲方在收到发票后15个工作日内向乙方支付。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left="840" w:hanging="420" w:leftChars="200" w:hanging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CEA1EE1"/>
    <w:multiLevelType w:val="singleLevel"/>
    <w:tmpl w:val="DCEA1EE1"/>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2"/>
  </w:num>
  <w:num w:numId="6">
    <w:abstractNumId w:val="13"/>
  </w:num>
  <w:num w:numId="7">
    <w:abstractNumId w:val="14"/>
  </w:num>
  <w:num w:numId="8">
    <w:abstractNumId w:val="15"/>
  </w:num>
  <w:num w:numId="9">
    <w:abstractNumId w:val="1"/>
  </w:num>
  <w:num w:numId="10">
    <w:abstractNumId w:val="6"/>
  </w:num>
  <w:num w:numId="11">
    <w:abstractNumId w:val="4"/>
  </w:num>
  <w:num w:numId="12">
    <w:abstractNumId w:val="3"/>
  </w:num>
  <w:num w:numId="13">
    <w:abstractNumId w:val="12"/>
  </w:num>
  <w:num w:numId="14">
    <w:abstractNumId w:val="0"/>
  </w:num>
  <w:num w:numId="15">
    <w:abstractNumId w:val="5"/>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14">
    <w:name w:val="列表段落1"/>
    <w:basedOn w:val="Normal"/>
    <w:qFormat/>
    <w:pPr>
      <w:ind w:firstLine="420" w:firstLineChars="200"/>
    </w:pPr>
    <w:rPr>
      <w:rFonts w:ascii="Calibri" w:eastAsia="方正仿宋" w:hAnsi="Calibri"/>
      <w:sz w:val="32"/>
      <w:szCs w:val="21"/>
    </w:rPr>
  </w:style>
  <w:style w:type="paragraph" w:styleId="NormalIndent">
    <w:name w:val="Normal Indent"/>
    <w:basedOn w:val="Normal"/>
    <w:pPr>
      <w:ind w:firstLine="420"/>
    </w:pPr>
    <w:rPr>
      <w:rFonts w:eastAsia="方正仿宋"/>
      <w:sz w:val="32"/>
    </w:rPr>
  </w:style>
  <w:style w:type="paragraph" w:customStyle="1" w:styleId="5">
    <w:name w:val="样式5"/>
    <w:basedOn w:val="NormalIndent"/>
    <w:qFormat/>
    <w:pPr>
      <w:spacing w:beforeLines="50" w:afterLines="50" w:line="360" w:lineRule="auto"/>
      <w:ind w:left="856" w:right="-17"/>
    </w:pPr>
    <w:rPr>
      <w:sz w:val="28"/>
      <w:szCs w:val="28"/>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ADMINI~1/AppData/Local/Temp/ksohtml14700/wps4.jpg"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