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生态气象保障能力提升与气候变化监测评估工程（一期）信息系统设计服务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ZQCD-26030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生态气象保障能力提升与气候变化监测评估工程（一期）信息系统设计服务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ZQCD-26030</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合同签订后60日内完成初步设计方案编制及经费概算编制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2026年03月31日 00:00:00</w:t>
      </w:r>
      <w:bookmarkEnd w:id="26"/>
      <w:r>
        <w:rPr>
          <w:rFonts w:ascii="宋体" w:hint="eastAsia"/>
          <w:szCs w:val="21"/>
          <w:highlight w:val="none"/>
        </w:rPr>
        <w:t>至</w:t>
      </w:r>
      <w:bookmarkStart w:id="27" w:name="项目公告_signUpLastTime"/>
      <w:r>
        <w:rPr>
          <w:rFonts w:ascii="宋体" w:hint="eastAsia"/>
          <w:szCs w:val="21"/>
          <w:highlight w:val="none"/>
        </w:rPr>
        <w:t>2026年04月07日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2026年04月20日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金子沫</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010-58995331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北京市海淀区中关村南大街46号北区15号楼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国家气候中心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投标人具有住房和城乡建设部颁发的工程设计综合甲级资质证书，或者工程设计电子通信广电行业（电子系统工程）专业甲级资质证书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（1）标的：生态气象保障能力提升与气候变化监测评估工程（一期）初步设计，</w:t>
            </w:r>
            <w:bookmarkEnd w:id="45"/>
            <w:r>
              <w:rPr>
                <w:rFonts w:ascii="宋体" w:hAnsi="宋体" w:cs="微软雅黑" w:hint="eastAsia"/>
                <w:kern w:val="0"/>
                <w:szCs w:val="21"/>
                <w:highlight w:val="none"/>
              </w:rPr>
              <w:t>属于 其他未列明行业(科学研究和技术服务业</w:t>
            </w:r>
            <w:r>
              <w:rPr>
                <w:rFonts w:ascii="宋体" w:hAnsi="宋体" w:cs="微软雅黑" w:hint="eastAsia"/>
                <w:kern w:val="0"/>
                <w:szCs w:val="21"/>
                <w:highlight w:val="none"/>
                <w:lang w:val="en-US" w:eastAsia="zh-CN"/>
              </w:rPr>
              <w:t>)</w:t>
            </w:r>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bookmarkStart w:id="47" w:name="_GoBack"/>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Times New Roman" w:eastAsia="宋体" w:hAnsi="Times New Roman" w:cs="Times New Roman" w:hint="eastAsia"/>
                <w:kern w:val="0"/>
                <w:szCs w:val="21"/>
                <w:highlight w:val="none"/>
              </w:rPr>
            </w:pPr>
            <w:r>
              <w:rPr>
                <w:rFonts w:ascii="Wingdings 2" w:hAnsi="Wingdings 2" w:cs="微软雅黑" w:hint="eastAsia"/>
                <w:kern w:val="0"/>
                <w:szCs w:val="21"/>
                <w:highlight w:val="none"/>
                <w:lang w:val="en-US" w:eastAsia="zh-CN"/>
              </w:rPr>
              <w:t>否</w:t>
            </w:r>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101.000000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101.000000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5" w:name="其他事项_ottherReemarks"/>
            <w:r>
              <w:rPr>
                <w:rFonts w:ascii="宋体" w:hAnsi="宋体" w:eastAsiaTheme="minorEastAsia" w:cstheme="minorBidi" w:hint="eastAsia"/>
                <w:kern w:val="2"/>
                <w:sz w:val="21"/>
                <w:szCs w:val="21"/>
                <w:highlight w:val="none"/>
                <w:lang w:val="en-US" w:eastAsia="zh-CN" w:bidi="ar-SA"/>
              </w:rPr>
              <w:t>无</w:t>
            </w:r>
            <w:bookmarkEnd w:id="55"/>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ISO9000系列或GJB9001B质量管理体系认证；</w:t>
              <w:cr/>
              <w:t>2、投标人具有ISO20000信息技术服务管理体系认证；</w:t>
              <w:cr/>
              <w:t>3、投标人具有ISO27001信息安全管理体系认证；</w:t>
              <w:cr/>
              <w:t>每提供1个得1分，最高得3分。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1份用户满意度证明得3分，最多得6分。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(21)</w:t>
            </w:r>
          </w:p>
        </w:tc>
        <w:tc>
          <w:tcPr/>
          <w:p>
            <w:r>
              <w:t>评审标准：</w:t>
            </w:r>
          </w:p>
          <w:p>
            <w:r>
              <w:t>投标人应组成本项目服务团队，团队组织结构清晰，应设服务团队负责人（项目经理），人员专业背景齐全。具体如下：</w:t>
              <w:cr/>
              <w:t>1、应组成不少于7人的服务团队。服务团队在7人的基础上，每增加1人得0.5分，最高3分；</w:t>
              <w:cr/>
              <w:t>2、服务团队负责人（项目经理）应有工程咨询专业背景，具有注册于投标人的咨询工程师（投资）执业资格证书，或者注册于投标人的注册造价工程师证书，并具有高级工程师或以上职称，有同类项目工作经验10年以上。以上全部满足得4分。</w:t>
              <w:cr/>
              <w:t>3、除服务团队负责人（项目经理）之外，服务团队中至少3人具有注册于投标人的咨询工程师（投资）执业资格证书，在此基础上，持有注册于投标人的咨询工程师（投资）执业资格证书，或者注册于投标人的注册造价工程师证书的人员，每增加1人得2分，最多得6分；</w:t>
              <w:cr/>
              <w:t>4、除服务团队负责人（项目经理）之外，服务团队应包含有气象、电子、信息工程、建筑专业背景的人员，每具备一个专业得0.5分，最多得2分；</w:t>
              <w:cr/>
              <w:t>5、除服务团队负责人（项目经理）之外，服务团队中每有1名中级工程师或以上职称人员得 1 分，最多得3分；</w:t>
              <w:cr/>
              <w:t>6、除服务团队负责人（项目经理）之外，服务团队中每有1名有3年以上工程项目设计工作经历的人员得 1 分，最多得3分。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一档：未提供方案或方案无针对性；</w:t>
              <w:cr/>
              <w:t>二档：有基本的质量保障与实施方案，但内容不完整，针对性一般，合理性、可行性差；</w:t>
              <w:cr/>
              <w:t>三档：方案完整，但详细程度一般，进度控制保证措施针对性、合理性、可行性一般。</w:t>
              <w:cr/>
              <w:t>四档：方案完整详实，项目组织机构清晰，进度控制保证措施针对性强，切实可行。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一档0分</w:t>
              <w:cr/>
              <w:t>二档1分</w:t>
              <w:cr/>
              <w:t>三档2分</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一档：未提供方案或者方案无针对性。</w:t>
              <w:cr/>
              <w:t>二档：方案简单、不完整，依据招标人提供的服务标准约束条件，提出的服务方法和服务措施针对性一般，合理性可行性差。</w:t>
              <w:cr/>
              <w:t>三档：方案完整，依据招标人提供的服务标准约束条件，提出的服务方法和服务措施合理性、可行性、针对性一般，基本满足招标文件需求。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针对以下每项服务内容提交具体服务方案：</w:t>
              <w:cr/>
              <w:t>1、项目需求</w:t>
              <w:cr/>
              <w:t>2、总体设计</w:t>
              <w:cr/>
              <w:t>3、方案设计</w:t>
              <w:cr/>
              <w:t>4、投资概算</w:t>
              <w:cr/>
              <w:t>5、方案评审</w:t>
              <w:cr/>
              <w:t>以上每项服务内容：</w:t>
              <w:cr/>
              <w:t>一档0分</w:t>
              <w:cr/>
              <w:t>二档1分</w:t>
              <w:cr/>
              <w:t>三档2分</w:t>
              <w:cr/>
              <w:t>四档4分</w:t>
              <w:cr/>
              <w:t>以上共计5项服务内容，满分20分。</w:t>
            </w:r>
          </w:p>
          <w:p>
            <w:r>
              <w:t>评审标准说明：</w:t>
            </w:r>
          </w:p>
          <w:p>
            <w:r>
              <w:t>根据投标人提供具体服务方案进行评分。具体评分标准如下：</w:t>
              <w:cr/>
              <w:t>一档：未提供方案或方案无针对性。</w:t>
              <w:cr/>
              <w:t>二档：方案简单不完整，针对性一般，合理性可行性差。</w:t>
              <w:cr/>
              <w:t>三档：方案完整但比较简单，基本合理可行，针对性一般，基本满足招标文件要求。</w:t>
              <w:cr/>
              <w:t>四档：方案详细具体合理可行，针对性强，完全满足招标文件要求。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工作组织方案</w:t>
            </w:r>
          </w:p>
        </w:tc>
        <w:tc>
          <w:tcPr/>
          <w:p>
            <w:r>
              <w:t>勾选打分</w:t>
            </w:r>
            <w:r>
              <w:t>(4)</w:t>
            </w:r>
          </w:p>
        </w:tc>
        <w:tc>
          <w:tcPr/>
          <w:p>
            <w:r>
              <w:t>评审标准：</w:t>
            </w:r>
          </w:p>
          <w:p>
            <w:r>
              <w:t>一档0分</w:t>
              <w:cr/>
              <w:t>二档1分</w:t>
              <w:cr/>
              <w:t>三档2分</w:t>
              <w:cr/>
              <w:t>四档4分</w:t>
            </w:r>
          </w:p>
          <w:p>
            <w:r>
              <w:t>评审标准说明：</w:t>
            </w:r>
          </w:p>
          <w:p>
            <w:r>
              <w:t>根据提供的工作组织方案评分。</w:t>
              <w:cr/>
              <w:t>一档：未提供方案。</w:t>
              <w:cr/>
              <w:t>二档：组织架构配置不合理，方案不完善，管理措施欠缺。</w:t>
              <w:cr/>
              <w:t>三档：组织架构配置比较合理，方案不够完善，管理措施一般，团队人员组成在项目过程中保持稳定。</w:t>
              <w:cr/>
              <w:t>四档：组织架构配置合理，方案完善，管理措施有效，团队技术人员专业组成覆盖本项目所涉专业，团队人员组成在项目过程中保持稳定。</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12</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一档：未提供方案或方案无针对性。</w:t>
              <w:cr/>
              <w:t>二档：有基本的风险管理方案，但简单、不全面，针对性一般，合理性可行性差。</w:t>
              <w:cr/>
              <w:t>三档：方案内容全面，但比较简单，措施针对性合理性可行性一般。</w:t>
              <w:cr/>
              <w:t>四档：方案内容全面、详细合理、措施针对性强，切实可行。</w:t>
            </w:r>
          </w:p>
          <w:p/>
        </w:tc>
      </w:tr>
    </w:tbl>
    <w:p w:rsidR="00A77B3E">
      <w:r>
        <w:t xml:space="preserve">      </w:t>
      </w:r>
    </w:p>
    <w:p w:rsidR="00A77B3E"/>
    <w:p w:rsidR="00A77B3E">
      <w:bookmarkEnd w:id="56"/>
    </w:p>
    <w:p>
      <w:pPr>
        <w:spacing w:before="156" w:beforeLines="50" w:line="360" w:lineRule="auto"/>
        <w:jc w:val="center"/>
        <w:outlineLvl w:val="1"/>
        <w:rPr>
          <w:rFonts w:ascii="宋体" w:hAnsi="宋体"/>
          <w:b/>
          <w:sz w:val="30"/>
          <w:szCs w:val="30"/>
          <w:highlight w:val="none"/>
        </w:rPr>
      </w:pPr>
      <w:r>
        <w:rPr>
          <w:bCs/>
          <w:szCs w:val="21"/>
          <w:highlight w:val="none"/>
        </w:rPr>
        <w:br w:type="page"/>
      </w:r>
      <w:bookmarkStart w:id="57" w:name="插入_采购需求书"/>
      <w:r>
        <w:rPr>
          <w:rFonts w:ascii="宋体" w:eastAsia="宋体" w:hAnsi="宋体" w:cs="Times New Roman" w:hint="eastAsia"/>
          <w:b/>
          <w:sz w:val="30"/>
          <w:szCs w:val="30"/>
          <w:highlight w:val="none"/>
        </w:rPr>
        <w:t>第七章  采购需求</w:t>
      </w:r>
    </w:p>
    <w:p>
      <w:pPr>
        <w:jc w:val="left"/>
        <w:rPr>
          <w:rFonts w:ascii="Times New Roman" w:eastAsia="宋体" w:hAnsi="Times New Roman" w:cs="Times New Roman"/>
          <w:b/>
          <w:szCs w:val="21"/>
          <w:highlight w:val="none"/>
        </w:rPr>
      </w:pPr>
    </w:p>
    <w:p>
      <w:pPr>
        <w:snapToGrid w:val="0"/>
        <w:spacing w:line="360" w:lineRule="auto"/>
        <w:ind w:firstLine="557" w:firstLineChars="242"/>
        <w:jc w:val="left"/>
        <w:rPr>
          <w:rFonts w:ascii="宋体" w:cs="宋体"/>
          <w:kern w:val="0"/>
          <w:sz w:val="23"/>
          <w:szCs w:val="23"/>
        </w:rPr>
      </w:pPr>
      <w:r>
        <w:rPr>
          <w:rFonts w:ascii="宋体" w:cs="宋体"/>
          <w:kern w:val="0"/>
          <w:sz w:val="23"/>
          <w:szCs w:val="23"/>
        </w:rPr>
        <w:t>一、项目概况</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（一）项目名称</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生态气象保障能力提升与气候变化监测评估工程（一期）</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（二）项目背景</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围绕党中央、国务院关于生态文明建设方面的系列重大决策，中国气象局先后出台了《“十三五”生态文明建设气象保障规划》和《关于加强生态文明建设气象保障服务工作的意见》，编制了《重点生态功</w:t>
      </w:r>
      <w:r>
        <w:rPr>
          <w:rFonts w:ascii="宋体" w:cs="宋体"/>
          <w:kern w:val="0"/>
          <w:sz w:val="23"/>
          <w:szCs w:val="23"/>
        </w:rPr>
        <w:t>能区生态修复工程气象服务能力建设实施方案》、《生态气象业务服务能力建设实施方案（2020-2022年）》。2020年6月国家发展改革委、自然资源部会同中国气象局等有关部门联合印发了《全国重要生态系统保护和修复重大工程总体规划（2021-2035年）》，明确将实施青藏高原生态屏障区生态保护和修复重大工程、生态保护和修复支撑体系重大工程等9大工程，并要求编制各重大工程专项建设规划，形成全国重要生态系统保护和修复重大工程“1+N”规划体系。其中《生态保护和修复支撑体系重大工程建设规划（2021-2035年）》于2021年12月印发，并将生态气象保障能力作为重点建设领域，明确提出了生态气象监测评估能力建设、生态气象预报预警能力建设、生态气象服务能力建设等方面内容。以上述规划为依据，中国气象局全面贯彻党的十九大和十九届历次全会精神，认真落实党中央、国务院关于生态文明建设和应对气候变化工作的决策部署，于2021年12月印发了《“十四五”生态气象服务保障规划》，科学谋划“十四五”生态气象业务发展，明确到2025年初步建成一体化、专业化、精细化的生态文明建设气象服务保障体系，为未来五年我国生态气象业务发展提供了纲领和指南。2026年1月，国家发展改革委以《国家发展改革委关于海洋气象综合保障三期等2个工程可行性研究报告的批复》（发改农经〔2025〕1779号）正式对工程可行性研究报告进行了批复。</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（三）项目建设地点</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本工程依托中国气象局现有生态气象业务分工部署，充分发挥国家、区域、省（区、市）、地（市）、县（市）各级气象局已有优势，整体布局满足《“十四五”气象信息网络业务发展规划》的要求，业务应用软件部署依托现有国家级气象大数据云平台资源，按照“云+端”业务模式，重点做好国家级牵头统一设计、系统建设和“云化”改造，实现国家级一级部署、国省两级应用、国省市县四级服务的业务应用架构。</w:t>
      </w:r>
    </w:p>
    <w:p>
      <w:pPr>
        <w:snapToGrid w:val="0"/>
        <w:spacing w:line="360" w:lineRule="auto"/>
        <w:ind w:firstLine="557" w:firstLineChars="242"/>
        <w:jc w:val="left"/>
        <w:rPr>
          <w:rFonts w:ascii="宋体" w:cs="宋体"/>
          <w:kern w:val="0"/>
          <w:sz w:val="23"/>
          <w:szCs w:val="23"/>
        </w:rPr>
      </w:pPr>
    </w:p>
    <w:p>
      <w:pPr>
        <w:snapToGrid w:val="0"/>
        <w:spacing w:line="360" w:lineRule="auto"/>
        <w:ind w:firstLine="557" w:firstLineChars="242"/>
        <w:jc w:val="left"/>
        <w:rPr>
          <w:rFonts w:ascii="宋体" w:cs="宋体"/>
          <w:kern w:val="0"/>
          <w:sz w:val="23"/>
          <w:szCs w:val="23"/>
        </w:rPr>
      </w:pPr>
      <w:r>
        <w:rPr>
          <w:rFonts w:ascii="宋体" w:cs="宋体"/>
          <w:kern w:val="0"/>
          <w:sz w:val="23"/>
          <w:szCs w:val="23"/>
        </w:rPr>
        <w:t>（四）项目建设目标</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瞄准《全国重要生态系统保护和修复重大工程总体规划（2021—2035年）》“自然生态系统状况实现根本好转”、“优质生态产品供给能力基本满足人民群众需求”的总体目标要求，结合《生态保护和修复支撑体系重大工程建设规划（2021-2035年）》对生态监测监管和评价体系等保障服务体系的分期建设要求，本工程旨在基本建立涵盖生态气象和气候变化全业务流程的体系架构，侧重算法模型建设，构建云原生一体化平台，支撑国省市县四级初步实现一体化、专业化、精细化的气候变化科学应对及生态文明建设气象服务保障能力。气候变化和极端气候事件对我国重点生态功能区及生态脆弱敏感区的影响评估和未来生态风险预警服务覆盖30%的区域，极端气候事件识别率达到80%，实现气候系统关键区、重点城市（群）碳达峰碳中和评估全覆盖，各类生态气象影响评估和风险预警以及沙尘暴、森林草原火险、有害生物和水体藻类等生态安全气象风险预警服务能力显著提高、空间精度达到公里级。气象服务在国家重要生态系统保护和修复重大工程以及生态文明建设中的自然生态监测、自然生态系统保护和重大工程建设监管、森林草原火灾防控、林草有害生物防治、生态保护和修复支撑等方面的服务能力逐步增强、作用更加显著。</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（五）项目建设内容</w:t>
      </w:r>
    </w:p>
    <w:p>
      <w:pPr>
        <w:snapToGrid w:val="0"/>
        <w:spacing w:line="360" w:lineRule="auto"/>
        <w:ind w:firstLine="557" w:firstLineChars="242"/>
        <w:jc w:val="left"/>
        <w:rPr>
          <w:rFonts w:ascii="宋体" w:cs="宋体"/>
          <w:kern w:val="0"/>
          <w:sz w:val="23"/>
          <w:szCs w:val="23"/>
        </w:rPr>
      </w:pPr>
      <w:bookmarkStart w:id="58" w:name="_Hlk167959683"/>
      <w:r>
        <w:rPr>
          <w:rFonts w:ascii="宋体" w:cs="宋体"/>
          <w:kern w:val="0"/>
          <w:sz w:val="23"/>
          <w:szCs w:val="23"/>
        </w:rPr>
        <w:t>本工程建设内容共包括四个部分：生态气象与气候变化监测评估能力建设、生态气象与气候变化预报预警能力建设、生态气象与气候变化服务能力建设和基础支撑能力建设。</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——生态气象与气候变化监测评估能力建设</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包括气候变化数据产品生成、气候变化监测评估与预估、气候变化与气象条件对生态系统影响评估三部分内容。主要建设内容为业务系统后台逻辑功能软件模块开发。</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气候变化业务主要突出气候变化数据产品生成等基础性工作、突出科技-业务-服务全业务体系的平台建设、突出碳达峰与碳中和等科学治理和应用的支撑保障，全面提升中国气象局应对气候变化的科学水平和服务国家战略决策的能力，为国家和区域应对气候变化提供更丰富的科学数据、产品服务，提供更高效益的措施选择与决策建议，增强我国在国际气候变化领域的影响力和话语权。同时，提高气候变化监测与预估能力，加强青藏高原气候和冰冻圈变化监测评估，强化气候变化和极端事件对生态安全影响评估，全面提高气候变化业务对生态文明建设支撑保障能力。</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生态气象监测评估业务重点围绕全国重要生态系统保护和修复重大工程需求，强化面向“三区四带”的国家、区域、省、市、县生态气象监测评估和预报预警服务，提升森林、草地、农田、荒漠、湿地、河湖、城市等生态系统气象监测评估精细化水平。</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——生态气象与气候变化预报预警能力建设</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包括气候变化与生态要素预测、生态气象灾害预报预警两部分内容。主要建设内容为业务系统后台逻辑功能软件模块开发。</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制定生态气象灾害风险区划“一张图”，面向国家生态安全气象服务保障需求。强化生态系统关键要素的气候预测，在国省两级开展气候变化风险多尺度早期预警、生态系统高影响气候事件预测业务。在国家、区域、省、市、县开展气象灾害对生态系统影响的风险预警服务、增强森林草原防灭火服务、开展有害生物气象风险预警和开展水体藻类气象监测预报预警。</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——生态气象与气候变化服务能力建设</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包括气候可行性论证及气候效应评估、风光气候资源动态评估等两部分内容，主要建设内容为业务系统后台逻辑功能软件模块开发。</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重点建立生态保护和修复重大工程气候可行性评估指标体系，建立精细化风能太阳能资源图谱和动态评估，服务碳达峰、碳中和目标愿景。</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——基础支撑能力建设</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包括生态气象与气候变化数据处理支撑、一体化交互分析应用平台开发、生态气象与气候变化工作平台建设等三部分内容。主要为设备购置、业务系统开发和场地环境改造。</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强化生态气象数据的质量控制和评估，适应新增观测资料处理和应用需求，升级气象大数据云平台数据质量控制、质量评估算法。面向全国生态气象与气候变化业务需求，建设一体化交互分析应用平台，统一支撑生态气象与气候变化业务综合交互分析与服务产品制作，并具备综合业务管理等功能；同时为国、省两级生态气象与气候变化业务平面配置图形工作站作为一体化平台的产品制播与终端访问设备，全方位支撑基层相关业务人员开展生态气象与气候变化业务工作；根据一体化平台业务运行所需计算存储能力需求，扩充国家级气象大数据云平台物理服务器、分布式存储设备、网络设备以及集群管理等基础设施资源，纳入国家级气象大数据云平台统一管理；更新改造生态气象与气候变化会商平台。</w:t>
      </w:r>
    </w:p>
    <w:bookmarkEnd w:id="58"/>
    <w:p>
      <w:pPr>
        <w:snapToGrid w:val="0"/>
        <w:spacing w:line="360" w:lineRule="auto"/>
        <w:ind w:firstLine="557" w:firstLineChars="242"/>
        <w:jc w:val="left"/>
        <w:rPr>
          <w:rFonts w:ascii="宋体" w:cs="宋体"/>
          <w:kern w:val="0"/>
          <w:sz w:val="23"/>
          <w:szCs w:val="23"/>
        </w:rPr>
      </w:pPr>
      <w:r>
        <w:rPr>
          <w:rFonts w:ascii="宋体" w:cs="宋体"/>
          <w:kern w:val="0"/>
          <w:sz w:val="23"/>
          <w:szCs w:val="23"/>
        </w:rPr>
        <w:t>二、设计目标</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 xml:space="preserve">设计质量控制目标：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 xml:space="preserve">第一，通过主管单位组织的初步设计及概算评审。设计文件满足招标人在初步设计的高度、深度和广度方面的要求。能够根据批复文件的要求和可行性研究报告的技术架构完成项目的初步设计及概算等成果的编制。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 xml:space="preserve">第二，初步设计文件能够指导工程建设。严格遵照现行国家及行业设计规范和标准，保证初步设计的全面、及时和准确，初步设计方案能够指导工程建设。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 xml:space="preserve">设计进度控制目标：按项目合同要求的工期完成初步设计编制工作。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 xml:space="preserve">投资控制目标：控制工程投资不超过可行性研究报告批复的总投资。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第三，投标人需结合项目整体实施情况，在整体设计时充分考虑设计整体要求、设计要点要求、功能完备，具备后期的实际实施可操作性、科学性与合理性，并结合项目的实际情况给出符合本项目实施要求的业务现状及业务需求分析、业务流程描述、总体方案设计、功能需求设计、服务保障措施等内容。</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三、初步设计工作内容</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本次招标内容为生态气象保障能力提升与气候变化监测评估工程（一期）的初步设计及概算报告编制。初步设计及概算编制工作内容是根据招标要求，对项目需求、建设原则、建设目标、建设内容、系统方案设计、</w:t>
      </w:r>
      <w:r>
        <w:rPr>
          <w:rFonts w:ascii="宋体" w:cs="宋体" w:hint="eastAsia"/>
          <w:kern w:val="0"/>
          <w:sz w:val="23"/>
          <w:szCs w:val="23"/>
          <w:lang w:eastAsia="zh-CN"/>
        </w:rPr>
        <w:t>建筑方案设计、</w:t>
      </w:r>
      <w:r>
        <w:rPr>
          <w:rFonts w:ascii="宋体" w:cs="宋体"/>
          <w:kern w:val="0"/>
          <w:sz w:val="23"/>
          <w:szCs w:val="23"/>
        </w:rPr>
        <w:t xml:space="preserve">投资概算等内容进行全面、可行、详细的设计与分析，为整个系统建设提供翔实、可靠的理论依据与规范标准。在设计中将遵循以下原则：先进性、实用性、高可靠性、开放性、可扩充性原则，充分利用已有的业务基础。 </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项目初步设计工作的</w:t>
      </w:r>
      <w:r>
        <w:rPr>
          <w:rFonts w:ascii="宋体" w:cs="宋体" w:hint="eastAsia"/>
          <w:kern w:val="0"/>
          <w:sz w:val="23"/>
          <w:szCs w:val="23"/>
          <w:lang w:val="en-US" w:eastAsia="zh-CN"/>
        </w:rPr>
        <w:t>主要工作内容包括项目需求、总体设计、方案设计、</w:t>
      </w:r>
      <w:r>
        <w:rPr>
          <w:rFonts w:ascii="宋体" w:hAnsi="宋体" w:cs="微软雅黑" w:hint="eastAsia"/>
          <w:b/>
          <w:kern w:val="0"/>
          <w:szCs w:val="21"/>
          <w:lang w:eastAsia="zh-CN"/>
        </w:rPr>
        <w:t>建筑设计方案及图纸、</w:t>
      </w:r>
      <w:r>
        <w:rPr>
          <w:rFonts w:ascii="宋体" w:cs="宋体" w:hint="eastAsia"/>
          <w:kern w:val="0"/>
          <w:sz w:val="23"/>
          <w:szCs w:val="23"/>
          <w:lang w:val="en-US" w:eastAsia="zh-CN"/>
        </w:rPr>
        <w:t>投资概算、方案评审等内容</w:t>
      </w:r>
      <w:r>
        <w:rPr>
          <w:rFonts w:ascii="宋体" w:cs="宋体"/>
          <w:kern w:val="0"/>
          <w:sz w:val="23"/>
          <w:szCs w:val="23"/>
        </w:rPr>
        <w:t>。</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投标人依据项目审批部门对可行性研究报告的批复等，按照本文件的要求，本着客观、公正、科学的原则，开展项目初步设计工作并编制初步设计报告。</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初步设计报告需报送项目审批部门。初步设计报告如与可行性研究报告的批复内容有较大变化，其调整投资未超出批复额度范围的，须以独立章节对变更部分进行定量补充论证；对超出批复额度范围的，应报请原项目审批部门批准。</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投标人应在投标文件中阐述初步设计报告的组成及对初步设计编制工作的理解与技术方案。初步设计报告需满足国办发〔2019 〕57 号《国务院办公厅关于印发 国家政务信息化项目建设管理办法 的通知》相关要求和主管部门对项目审批的要求。</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四、服务团队人员要求</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（1）服务团队负责人（项目经理）</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投标人应指定组织能力强的技术骨干作为服务团队负责人。负责人建议满足以下条件：</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负责人需具有咨询工程师（投资）执业资格证书（注册于本单位）或注册造价工程师证书（注册在本单位），具有高级工程师及以上职称证书，并具有10年以上同类项目工作经验；</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（2）项目团队人员（不含服务团队负责人/项目经理）</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投标人应配备与项目相适应的设计人员，组成项目设计团队。团队中应配备人数不低于6 人，其中具有咨询工程师（投资）登记证书人数不低于3人（注册在本单位）。</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（3）根据工作量随时增加合格的技术支持人员以保证项目进度。</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（4）团队人员应为供应商正式员工。</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五、服务期限</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合同签订后，且招标人提供项目基础资料后，投标人应在</w:t>
      </w:r>
      <w:r>
        <w:rPr>
          <w:rFonts w:ascii="宋体" w:cs="宋体" w:hint="eastAsia"/>
          <w:kern w:val="0"/>
          <w:sz w:val="23"/>
          <w:szCs w:val="23"/>
          <w:lang w:val="en-US" w:eastAsia="zh-CN"/>
        </w:rPr>
        <w:t>6</w:t>
      </w:r>
      <w:r>
        <w:rPr>
          <w:rFonts w:ascii="宋体" w:cs="宋体"/>
          <w:kern w:val="0"/>
          <w:sz w:val="23"/>
          <w:szCs w:val="23"/>
        </w:rPr>
        <w:t>0 日内完成交付所有上报审批部门的初步设计报告评审资料。</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六、建设标准</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（1）政府投资条例（中华人民共和国国务院令第712 号）</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（2）国家政务信息化项目建设管理办法（国办发〔2019 〕57 号）</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（3）国家发展改革委关于进一步加强国家电子政务工程建设项目管理工作的通知（发改高技〔2008 〕2544 号）</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（4）《国家发展改革委关于华北区域人工影响天气能力建设可行性研究报告的批复》（发改农经〔2023〕1788号）</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（5）《新时代工程咨询有限公司关于华北区域人工影响天气能力建设可行性研究报告的评估报告》（新咨〔2023〕725号）</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（6）《气象工程项目初步设计报告编制规范》（QX/T 276-2015）</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七、成果要求</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（1）中标方提交的所有文档产品应当结构清晰，容易阅读和理解。</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（2）中标方最终提交的初步设计及概算编制报告需达到招标人要求及国家业务主管部门对电子政务系统项目初步设计内容和深度的要求。</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3）中标方在完成合同规定的工作任务并将成果（即本项目初步设计方案和投资概算报告）交付招标人后，须配合招标人参加有关单位组织的评审工作，并根据评审意见完成必要调整和补充，直至本项目初步设计方案和投资概算报告获得国家发展改革委审批通过。</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（4）中标方提交的项目成果获得项目审批部门批复之后5 个工作日内，应向招标人交付全部成果资料，包括但不限于最终的初步设计及概算编制报告、初步设计及概算评审过程中的补充材料等。</w:t>
      </w:r>
    </w:p>
    <w:p>
      <w:pPr>
        <w:snapToGrid w:val="0"/>
        <w:spacing w:line="360" w:lineRule="auto"/>
        <w:ind w:firstLine="557" w:firstLineChars="242"/>
        <w:jc w:val="left"/>
        <w:rPr>
          <w:rFonts w:ascii="宋体" w:cs="宋体"/>
          <w:kern w:val="0"/>
          <w:sz w:val="23"/>
          <w:szCs w:val="23"/>
        </w:rPr>
      </w:pPr>
      <w:r>
        <w:rPr>
          <w:rFonts w:ascii="宋体" w:cs="宋体"/>
          <w:kern w:val="0"/>
          <w:sz w:val="23"/>
          <w:szCs w:val="23"/>
        </w:rPr>
        <w:t>八、其他</w:t>
      </w:r>
    </w:p>
    <w:p>
      <w:pPr>
        <w:snapToGrid w:val="0"/>
        <w:spacing w:line="360" w:lineRule="auto"/>
        <w:ind w:firstLine="557" w:firstLineChars="242"/>
        <w:jc w:val="left"/>
        <w:rPr>
          <w:rFonts w:ascii="宋体" w:eastAsia="宋体" w:hAnsi="宋体" w:hint="eastAsia"/>
          <w:szCs w:val="21"/>
        </w:rPr>
      </w:pPr>
      <w:r>
        <w:rPr>
          <w:rFonts w:ascii="宋体" w:cs="宋体" w:hint="eastAsia"/>
          <w:kern w:val="0"/>
          <w:sz w:val="23"/>
          <w:szCs w:val="23"/>
          <w:lang w:val="en-US" w:eastAsia="zh-CN"/>
        </w:rPr>
        <w:t>无</w:t>
      </w:r>
    </w:p>
    <w:p>
      <w:pPr>
        <w:spacing w:line="360" w:lineRule="auto"/>
        <w:ind w:firstLine="420" w:firstLineChars="200"/>
        <w:rPr>
          <w:rFonts w:ascii="宋体" w:eastAsia="宋体" w:hAnsi="宋体" w:cs="Times New Roman"/>
          <w:szCs w:val="21"/>
          <w:highlight w:val="none"/>
        </w:rPr>
      </w:pPr>
    </w:p>
    <w:p w:rsidR="00A77B3E"/>
    <w:p>
      <w:pPr>
        <w:spacing w:before="156" w:beforeLines="50" w:line="360" w:lineRule="auto"/>
        <w:jc w:val="center"/>
        <w:outlineLvl w:val="1"/>
        <w:rPr>
          <w:rFonts w:ascii="宋体" w:hAnsi="宋体"/>
          <w:b/>
          <w:sz w:val="30"/>
          <w:szCs w:val="30"/>
          <w:highlight w:val="none"/>
        </w:rPr>
        <w:sectPr>
          <w:pgSz w:w="11906" w:h="16838"/>
          <w:pgMar w:top="1418" w:right="1418" w:bottom="1418" w:left="1701" w:header="851" w:footer="851" w:gutter="0"/>
          <w:cols w:space="708"/>
          <w:docGrid w:type="linesAndChars" w:linePitch="312"/>
        </w:sectPr>
      </w:pPr>
      <w:bookmarkEnd w:id="57"/>
    </w:p>
    <w:p w:rsidR="00883D48">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883D48">
      <w:pPr>
        <w:adjustRightInd w:val="0"/>
        <w:snapToGrid w:val="0"/>
        <w:spacing w:before="156" w:beforeLines="50" w:line="360" w:lineRule="auto"/>
        <w:rPr>
          <w:rFonts w:ascii="宋体" w:hAnsi="宋体"/>
          <w:szCs w:val="21"/>
        </w:rPr>
      </w:pPr>
    </w:p>
    <w:p w:rsidR="00883D48">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83D48">
            <w:pPr>
              <w:rPr>
                <w:sz w:val="18"/>
                <w:szCs w:val="18"/>
              </w:rPr>
            </w:pPr>
            <w:r>
              <w:rPr>
                <w:rFonts w:hint="eastAsia"/>
                <w:sz w:val="18"/>
                <w:szCs w:val="18"/>
              </w:rPr>
              <w:t>序号</w:t>
            </w:r>
          </w:p>
        </w:tc>
        <w:tc>
          <w:tcPr>
            <w:tcW w:w="898" w:type="dxa"/>
            <w:vAlign w:val="center"/>
          </w:tcPr>
          <w:p w:rsidR="00883D48">
            <w:pPr>
              <w:jc w:val="center"/>
              <w:rPr>
                <w:sz w:val="18"/>
                <w:szCs w:val="18"/>
              </w:rPr>
            </w:pPr>
            <w:r>
              <w:rPr>
                <w:rFonts w:hint="eastAsia"/>
                <w:sz w:val="18"/>
                <w:szCs w:val="18"/>
              </w:rPr>
              <w:t>对应</w:t>
            </w:r>
          </w:p>
          <w:p w:rsidR="00883D48">
            <w:pPr>
              <w:jc w:val="center"/>
              <w:rPr>
                <w:sz w:val="18"/>
                <w:szCs w:val="18"/>
              </w:rPr>
            </w:pPr>
            <w:r>
              <w:rPr>
                <w:rFonts w:hint="eastAsia"/>
                <w:sz w:val="18"/>
                <w:szCs w:val="18"/>
              </w:rPr>
              <w:t>条款号</w:t>
            </w:r>
          </w:p>
        </w:tc>
        <w:tc>
          <w:tcPr>
            <w:tcW w:w="7347" w:type="dxa"/>
            <w:vAlign w:val="center"/>
          </w:tcPr>
          <w:p w:rsidR="00883D4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883D4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883D48">
            <w:pPr>
              <w:numPr>
                <w:ilvl w:val="0"/>
                <w:numId w:val="7"/>
              </w:numPr>
              <w:rPr>
                <w:rFonts w:ascii="宋体" w:hAnsi="宋体"/>
                <w:sz w:val="18"/>
                <w:szCs w:val="18"/>
              </w:rPr>
            </w:pPr>
          </w:p>
        </w:tc>
        <w:tc>
          <w:tcPr>
            <w:tcW w:w="898" w:type="dxa"/>
            <w:vAlign w:val="center"/>
          </w:tcPr>
          <w:p w:rsidR="00883D48">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883D48">
            <w:pPr>
              <w:tabs>
                <w:tab w:val="left" w:pos="709"/>
              </w:tabs>
              <w:spacing w:line="360" w:lineRule="auto"/>
              <w:jc w:val="left"/>
              <w:rPr>
                <w:rFonts w:ascii="宋体" w:hAnsi="宋体"/>
                <w:sz w:val="18"/>
                <w:szCs w:val="18"/>
              </w:rPr>
            </w:pPr>
            <w:r w:rsidRPr="00276426">
              <w:rPr>
                <w:rFonts w:ascii="宋体" w:hAnsi="宋体" w:cs="微软雅黑" w:hint="eastAsia"/>
                <w:b/>
                <w:color w:val="0000FF"/>
                <w:kern w:val="0"/>
                <w:sz w:val="18"/>
                <w:szCs w:val="18"/>
              </w:rPr>
              <w:t>投标人具有住房和城乡建设部颁发的工程设计综合甲级资质证书，或者工程设计电子通信广电行业（电子系统工程）</w:t>
            </w:r>
            <w:r w:rsidRPr="00276426">
              <w:rPr>
                <w:rFonts w:ascii="宋体" w:hAnsi="宋体" w:cs="微软雅黑" w:hint="eastAsia"/>
                <w:b/>
                <w:color w:val="0000FF"/>
                <w:kern w:val="0"/>
                <w:sz w:val="18"/>
                <w:szCs w:val="18"/>
              </w:rPr>
              <w:t>专业甲级</w:t>
            </w:r>
            <w:r w:rsidRPr="00276426">
              <w:rPr>
                <w:rFonts w:ascii="宋体" w:hAnsi="宋体" w:cs="微软雅黑" w:hint="eastAsia"/>
                <w:b/>
                <w:color w:val="0000FF"/>
                <w:kern w:val="0"/>
                <w:sz w:val="18"/>
                <w:szCs w:val="18"/>
              </w:rPr>
              <w:t>资质证书</w:t>
            </w:r>
          </w:p>
        </w:tc>
      </w:tr>
      <w:tr>
        <w:tblPrEx>
          <w:tblW w:w="0" w:type="auto"/>
          <w:tblLayout w:type="fixed"/>
          <w:tblLook w:val="04A0"/>
        </w:tblPrEx>
        <w:trPr>
          <w:cantSplit/>
        </w:trPr>
        <w:tc>
          <w:tcPr>
            <w:tcW w:w="544" w:type="dxa"/>
            <w:vAlign w:val="center"/>
          </w:tcPr>
          <w:p w:rsidR="00883D48">
            <w:pPr>
              <w:numPr>
                <w:ilvl w:val="0"/>
                <w:numId w:val="7"/>
              </w:numPr>
              <w:rPr>
                <w:rFonts w:ascii="宋体" w:hAnsi="宋体"/>
                <w:sz w:val="18"/>
                <w:szCs w:val="18"/>
              </w:rPr>
            </w:pPr>
          </w:p>
        </w:tc>
        <w:tc>
          <w:tcPr>
            <w:tcW w:w="898" w:type="dxa"/>
            <w:vAlign w:val="center"/>
          </w:tcPr>
          <w:p w:rsidR="00883D48">
            <w:pPr>
              <w:jc w:val="center"/>
              <w:rPr>
                <w:rFonts w:ascii="宋体" w:hAnsi="宋体"/>
                <w:sz w:val="18"/>
                <w:szCs w:val="18"/>
              </w:rPr>
            </w:pPr>
          </w:p>
        </w:tc>
        <w:tc>
          <w:tcPr>
            <w:tcW w:w="7347" w:type="dxa"/>
            <w:vAlign w:val="center"/>
          </w:tcPr>
          <w:p w:rsidR="00883D48">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883D4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883D48">
            <w:pPr>
              <w:numPr>
                <w:ilvl w:val="0"/>
                <w:numId w:val="7"/>
              </w:numPr>
              <w:rPr>
                <w:rFonts w:ascii="宋体" w:hAnsi="宋体"/>
                <w:sz w:val="18"/>
                <w:szCs w:val="18"/>
              </w:rPr>
            </w:pPr>
          </w:p>
        </w:tc>
        <w:tc>
          <w:tcPr>
            <w:tcW w:w="898" w:type="dxa"/>
            <w:vAlign w:val="center"/>
          </w:tcPr>
          <w:p w:rsidR="00883D48">
            <w:pPr>
              <w:jc w:val="center"/>
              <w:rPr>
                <w:rFonts w:ascii="宋体" w:hAnsi="宋体"/>
                <w:sz w:val="18"/>
                <w:szCs w:val="18"/>
              </w:rPr>
            </w:pPr>
          </w:p>
        </w:tc>
        <w:tc>
          <w:tcPr>
            <w:tcW w:w="7347" w:type="dxa"/>
            <w:vAlign w:val="center"/>
          </w:tcPr>
          <w:p w:rsidR="00883D48">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rsidR="00883D48">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883D48">
      <w:pPr>
        <w:spacing w:before="156" w:beforeLines="50" w:line="360" w:lineRule="auto"/>
        <w:ind w:firstLine="420"/>
      </w:pPr>
    </w:p>
    <w:p w:rsidR="00A77B3E"/>
    <w:p w:rsidR="00883D48">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3、签署验收报告后付款：双方签署验收报告后7个工作日内，甲方向乙方支付合同总金额的</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4、保修期满后付款：保修期满期满后7个工作日内，甲方向乙方支付合同总金额的</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76426"/>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3D48"/>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