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2025年大气本底计量能力和观测能力提升项目采购（进口设备）（重新招标）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ZQCD-25325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2025年大气本底计量能力和观测能力提升项目采购（进口设备）（重新招标）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ZQCD-25325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合同签订后365天交货并完成安装调试并具备验收条件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2025年10月16日 00:00:00</w:t>
      </w:r>
      <w:bookmarkEnd w:id="26"/>
      <w:r>
        <w:rPr>
          <w:rFonts w:ascii="宋体" w:hint="eastAsia"/>
          <w:szCs w:val="21"/>
          <w:highlight w:val="none"/>
        </w:rPr>
        <w:t>至</w:t>
      </w:r>
      <w:bookmarkStart w:id="27" w:name="项目公告_signUpLastTime"/>
      <w:r>
        <w:rPr>
          <w:rFonts w:ascii="宋体" w:hint="eastAsia"/>
          <w:szCs w:val="21"/>
          <w:highlight w:val="none"/>
        </w:rPr>
        <w:t>2025年10月23日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2025年11月06日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北京市海淀区中关村南大街46号中国气象局北区8号楼404组织线上开标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于凌远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010-58995049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海淀区中关村南大街46号中国气象局北区27号楼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允许（仅针对以下产品：所有采购标的允许代理商投标）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无需提交授权书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设有，核心产品为零气发生器</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允许，（仅针对以下产品：允许，允许进口产品投标）</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（1）标的：1、反应性气体(NOx/SO2/CO/O3)标气标校系统，2、温室气体(CO2/CH4)标气标校系统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534.000000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534.000000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销售合同必须包括标气气瓶，每提供1份合同得1分，最多得5分。否则不得分。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 xml:space="preserve">四档：质保方案能按照招标文件的要求进行响应，详细具体，针对性强，与项目实际情况相契合，完全满足采购文件的需求。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二档：提供承培训方案，但培训方案不完整（指缺失培训计划、培训材料（讲义）、培训课表、主要授课教师介绍任意一项）；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针对本项目采购的NOx/SO2/CO/O3浓度高精度测量系统，承诺每提前10天交货的得0.5分，最多得0.5分。否则不得分。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针对标的设备，每提供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针对碳氧化物标校系统和标气瓶，测试报告应涵盖电磁兼容性、安全性和防雷要求等内容，每包含一项得1分，最多得3分。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tbl>
      <w:tblPr>
        <w:tblStyle w:val="TableNormal"/>
        <w:tblW w:w="0" w:type="auto"/>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40"/>
        <w:gridCol w:w="1844"/>
        <w:gridCol w:w="1365"/>
        <w:gridCol w:w="1419"/>
        <w:gridCol w:w="2181"/>
        <w:gridCol w:w="954"/>
      </w:tblGrid>
      <w:tr>
        <w:tblPrEx>
          <w:tblW w:w="0" w:type="auto"/>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38"/>
          <w:tblHeader/>
        </w:trPr>
        <w:tc>
          <w:tcPr>
            <w:tcW w:w="1240"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序号</w:t>
            </w:r>
          </w:p>
        </w:tc>
        <w:tc>
          <w:tcPr>
            <w:tcW w:w="1844"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建设内容</w:t>
            </w:r>
          </w:p>
        </w:tc>
        <w:tc>
          <w:tcPr>
            <w:tcW w:w="1365" w:type="dxa"/>
            <w:vAlign w:val="center"/>
          </w:tcPr>
          <w:p>
            <w:pPr>
              <w:widowControl/>
              <w:rPr>
                <w:rFonts w:ascii="宋体" w:hAnsi="宋体" w:cs="宋体"/>
                <w:b/>
                <w:bCs/>
                <w:color w:val="000000"/>
                <w:kern w:val="0"/>
                <w:szCs w:val="21"/>
              </w:rPr>
            </w:pPr>
            <w:r>
              <w:rPr>
                <w:rFonts w:ascii="宋体" w:hAnsi="宋体" w:cs="宋体" w:hint="eastAsia"/>
                <w:b/>
                <w:bCs/>
                <w:color w:val="000000"/>
                <w:kern w:val="0"/>
                <w:szCs w:val="21"/>
              </w:rPr>
              <w:t>预算（万元）</w:t>
            </w:r>
          </w:p>
        </w:tc>
        <w:tc>
          <w:tcPr>
            <w:tcW w:w="141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建设内容</w:t>
            </w:r>
          </w:p>
        </w:tc>
        <w:tc>
          <w:tcPr>
            <w:tcW w:w="2181"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详细配置名称</w:t>
            </w:r>
          </w:p>
        </w:tc>
        <w:tc>
          <w:tcPr>
            <w:tcW w:w="954"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数量及单位</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restart"/>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844" w:type="dxa"/>
            <w:vMerge w:val="restart"/>
            <w:vAlign w:val="center"/>
          </w:tcPr>
          <w:p>
            <w:pPr>
              <w:pStyle w:val="a2"/>
              <w:jc w:val="both"/>
              <w:rPr>
                <w:rFonts w:ascii="宋体" w:eastAsia="宋体" w:hAnsi="宋体" w:cs="Times New Roman" w:hint="default"/>
                <w:sz w:val="21"/>
                <w:szCs w:val="21"/>
              </w:rPr>
            </w:pPr>
            <w:r>
              <w:rPr>
                <w:rFonts w:ascii="宋体" w:hAnsi="宋体" w:cs="Times New Roman"/>
                <w:sz w:val="21"/>
                <w:szCs w:val="21"/>
              </w:rPr>
              <w:t>反应性气体(NOx/SO</w:t>
            </w:r>
            <w:r>
              <w:rPr>
                <w:rFonts w:ascii="宋体" w:hAnsi="宋体" w:cs="Times New Roman"/>
                <w:sz w:val="21"/>
                <w:szCs w:val="21"/>
                <w:vertAlign w:val="subscript"/>
              </w:rPr>
              <w:t>2</w:t>
            </w:r>
            <w:r>
              <w:rPr>
                <w:rFonts w:ascii="宋体" w:hAnsi="宋体" w:cs="Times New Roman"/>
                <w:sz w:val="21"/>
                <w:szCs w:val="21"/>
              </w:rPr>
              <w:t>/CO/O</w:t>
            </w:r>
            <w:r>
              <w:rPr>
                <w:rFonts w:ascii="宋体" w:hAnsi="宋体" w:cs="Times New Roman"/>
                <w:sz w:val="21"/>
                <w:szCs w:val="21"/>
                <w:vertAlign w:val="subscript"/>
              </w:rPr>
              <w:t>3</w:t>
            </w:r>
            <w:r>
              <w:rPr>
                <w:rFonts w:ascii="宋体" w:hAnsi="宋体" w:cs="Times New Roman"/>
                <w:sz w:val="21"/>
                <w:szCs w:val="21"/>
              </w:rPr>
              <w:t>)标气标校系统</w:t>
            </w:r>
          </w:p>
        </w:tc>
        <w:tc>
          <w:tcPr>
            <w:tcW w:w="1365" w:type="dxa"/>
            <w:vMerge w:val="restart"/>
            <w:vAlign w:val="center"/>
          </w:tcPr>
          <w:p>
            <w:pPr>
              <w:pStyle w:val="a2"/>
              <w:jc w:val="both"/>
              <w:rPr>
                <w:rFonts w:ascii="宋体" w:hAnsi="宋体" w:cs="Times New Roman" w:hint="default"/>
                <w:sz w:val="21"/>
                <w:szCs w:val="21"/>
              </w:rPr>
            </w:pPr>
            <w:r>
              <w:rPr>
                <w:rFonts w:ascii="宋体" w:hAnsi="宋体" w:cs="Times New Roman" w:hint="default"/>
                <w:sz w:val="21"/>
                <w:szCs w:val="21"/>
              </w:rPr>
              <w:t>289.20</w:t>
            </w:r>
          </w:p>
        </w:tc>
        <w:tc>
          <w:tcPr>
            <w:tcW w:w="1419" w:type="dxa"/>
            <w:vMerge w:val="restart"/>
            <w:vAlign w:val="center"/>
          </w:tcPr>
          <w:p>
            <w:pPr>
              <w:pStyle w:val="a2"/>
              <w:jc w:val="both"/>
              <w:rPr>
                <w:rFonts w:ascii="宋体" w:hAnsi="宋体" w:cs="Times New Roman" w:hint="default"/>
                <w:sz w:val="21"/>
                <w:szCs w:val="21"/>
              </w:rPr>
            </w:pPr>
            <w:r>
              <w:rPr>
                <w:rFonts w:ascii="宋体" w:hAnsi="宋体" w:cs="Times New Roman"/>
                <w:sz w:val="21"/>
                <w:szCs w:val="21"/>
              </w:rPr>
              <w:t>NOx/SO</w:t>
            </w:r>
            <w:r>
              <w:rPr>
                <w:rFonts w:ascii="宋体" w:hAnsi="宋体" w:cs="Times New Roman"/>
                <w:sz w:val="21"/>
                <w:szCs w:val="21"/>
                <w:vertAlign w:val="subscript"/>
              </w:rPr>
              <w:t>2</w:t>
            </w:r>
            <w:r>
              <w:rPr>
                <w:rFonts w:ascii="宋体" w:hAnsi="宋体" w:cs="Times New Roman"/>
                <w:sz w:val="21"/>
                <w:szCs w:val="21"/>
              </w:rPr>
              <w:t>/CO/O</w:t>
            </w:r>
            <w:r>
              <w:rPr>
                <w:rFonts w:ascii="宋体" w:hAnsi="宋体" w:cs="Times New Roman"/>
                <w:sz w:val="21"/>
                <w:szCs w:val="21"/>
                <w:vertAlign w:val="subscript"/>
              </w:rPr>
              <w:t>3</w:t>
            </w:r>
            <w:r>
              <w:rPr>
                <w:rFonts w:ascii="宋体" w:hAnsi="宋体" w:cs="Times New Roman"/>
                <w:sz w:val="21"/>
                <w:szCs w:val="21"/>
              </w:rPr>
              <w:t>浓度高精度测量系统</w:t>
            </w: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痕量氮氧化物分析仪</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1台</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痕量二氧化硫分析仪</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1台</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痕量一氧化碳分析仪</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1台</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臭氧分析仪</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1台</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臭氧标定仪</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1台</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动态校准仪</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1台</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零气发生器</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1台</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安装辅件</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1套</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多路进气系统</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1套</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进口表头</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3个</w:t>
            </w:r>
          </w:p>
        </w:tc>
      </w:tr>
      <w:tr>
        <w:tblPrEx>
          <w:tblW w:w="0" w:type="auto"/>
          <w:tblInd w:w="-230" w:type="dxa"/>
          <w:tblLayout w:type="fixed"/>
          <w:tblCellMar>
            <w:top w:w="0" w:type="dxa"/>
            <w:left w:w="108" w:type="dxa"/>
            <w:bottom w:w="0" w:type="dxa"/>
            <w:right w:w="108" w:type="dxa"/>
          </w:tblCellMar>
        </w:tblPrEx>
        <w:trPr>
          <w:trHeight w:val="238"/>
        </w:trPr>
        <w:tc>
          <w:tcPr>
            <w:tcW w:w="1240" w:type="dxa"/>
            <w:vMerge/>
            <w:vAlign w:val="center"/>
          </w:tcPr>
          <w:p>
            <w:pPr>
              <w:jc w:val="center"/>
              <w:rPr>
                <w:rFonts w:ascii="宋体" w:hAnsi="宋体" w:cs="宋体"/>
                <w:color w:val="000000"/>
                <w:kern w:val="0"/>
                <w:szCs w:val="21"/>
              </w:rPr>
            </w:pPr>
          </w:p>
        </w:tc>
        <w:tc>
          <w:tcPr>
            <w:tcW w:w="1844" w:type="dxa"/>
            <w:vMerge/>
            <w:vAlign w:val="center"/>
          </w:tcPr>
          <w:p>
            <w:pPr>
              <w:rPr>
                <w:rFonts w:ascii="宋体" w:hAnsi="宋体"/>
                <w:szCs w:val="21"/>
              </w:rPr>
            </w:pPr>
          </w:p>
        </w:tc>
        <w:tc>
          <w:tcPr>
            <w:tcW w:w="1365" w:type="dxa"/>
            <w:vMerge/>
            <w:vAlign w:val="center"/>
          </w:tcPr>
          <w:p>
            <w:pPr>
              <w:pStyle w:val="a2"/>
              <w:jc w:val="both"/>
              <w:rPr>
                <w:rFonts w:ascii="宋体" w:hAnsi="宋体" w:cs="Times New Roman" w:hint="default"/>
                <w:sz w:val="21"/>
                <w:szCs w:val="21"/>
              </w:rPr>
            </w:pPr>
          </w:p>
        </w:tc>
        <w:tc>
          <w:tcPr>
            <w:tcW w:w="1419" w:type="dxa"/>
            <w:vMerge/>
            <w:vAlign w:val="center"/>
          </w:tcPr>
          <w:p>
            <w:pPr>
              <w:pStyle w:val="a2"/>
              <w:jc w:val="both"/>
              <w:rPr>
                <w:rFonts w:ascii="宋体" w:hAnsi="宋体" w:cs="Times New Roman" w:hint="default"/>
                <w:sz w:val="21"/>
                <w:szCs w:val="21"/>
              </w:rPr>
            </w:pP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国产表头</w:t>
            </w:r>
          </w:p>
        </w:tc>
        <w:tc>
          <w:tcPr>
            <w:tcW w:w="954" w:type="dxa"/>
            <w:vAlign w:val="center"/>
          </w:tcPr>
          <w:p>
            <w:pPr>
              <w:pStyle w:val="a2"/>
              <w:jc w:val="both"/>
              <w:rPr>
                <w:rFonts w:ascii="宋体" w:hAnsi="宋体" w:cs="Times New Roman" w:hint="default"/>
                <w:sz w:val="21"/>
                <w:szCs w:val="21"/>
              </w:rPr>
            </w:pPr>
            <w:r>
              <w:rPr>
                <w:rFonts w:ascii="宋体" w:hAnsi="宋体" w:cs="Times New Roman"/>
                <w:sz w:val="21"/>
                <w:szCs w:val="21"/>
              </w:rPr>
              <w:t>3个</w:t>
            </w:r>
          </w:p>
        </w:tc>
      </w:tr>
      <w:tr>
        <w:tblPrEx>
          <w:tblW w:w="0" w:type="auto"/>
          <w:tblInd w:w="-230" w:type="dxa"/>
          <w:tblLayout w:type="fixed"/>
          <w:tblCellMar>
            <w:top w:w="0" w:type="dxa"/>
            <w:left w:w="108" w:type="dxa"/>
            <w:bottom w:w="0" w:type="dxa"/>
            <w:right w:w="108" w:type="dxa"/>
          </w:tblCellMar>
        </w:tblPrEx>
        <w:trPr>
          <w:trHeight w:val="238"/>
        </w:trPr>
        <w:tc>
          <w:tcPr>
            <w:tcW w:w="1240" w:type="dxa"/>
            <w:vAlign w:val="center"/>
          </w:tcPr>
          <w:p>
            <w:pPr>
              <w:jc w:val="center"/>
              <w:rPr>
                <w:rFonts w:ascii="宋体" w:hAnsi="宋体" w:cs="宋体"/>
                <w:color w:val="000000"/>
                <w:kern w:val="0"/>
                <w:szCs w:val="21"/>
              </w:rPr>
            </w:pPr>
            <w:r>
              <w:rPr>
                <w:rFonts w:ascii="宋体" w:hAnsi="宋体" w:cs="宋体" w:hint="eastAsia"/>
                <w:color w:val="000000"/>
                <w:kern w:val="0"/>
                <w:szCs w:val="21"/>
              </w:rPr>
              <w:t>2</w:t>
            </w:r>
          </w:p>
        </w:tc>
        <w:tc>
          <w:tcPr>
            <w:tcW w:w="1844" w:type="dxa"/>
            <w:vAlign w:val="center"/>
          </w:tcPr>
          <w:p>
            <w:pPr>
              <w:pStyle w:val="a2"/>
              <w:jc w:val="both"/>
              <w:rPr>
                <w:rFonts w:ascii="宋体" w:hAnsi="宋体" w:cs="Times New Roman" w:hint="default"/>
                <w:sz w:val="21"/>
                <w:szCs w:val="21"/>
              </w:rPr>
            </w:pPr>
            <w:r>
              <w:rPr>
                <w:rFonts w:ascii="宋体" w:hAnsi="宋体" w:cs="Times New Roman"/>
                <w:sz w:val="21"/>
                <w:szCs w:val="21"/>
              </w:rPr>
              <w:t>温室气体(</w:t>
            </w:r>
            <w:r>
              <w:rPr>
                <w:rFonts w:ascii="宋体" w:hAnsi="宋体" w:cs="Times New Roman" w:hint="default"/>
                <w:sz w:val="21"/>
                <w:szCs w:val="21"/>
              </w:rPr>
              <w:t>CO</w:t>
            </w:r>
            <w:r>
              <w:rPr>
                <w:rFonts w:ascii="宋体" w:hAnsi="宋体" w:cs="Times New Roman" w:hint="default"/>
                <w:sz w:val="21"/>
                <w:szCs w:val="21"/>
                <w:vertAlign w:val="subscript"/>
              </w:rPr>
              <w:t>2</w:t>
            </w:r>
            <w:r>
              <w:rPr>
                <w:rFonts w:ascii="宋体" w:hAnsi="宋体" w:cs="Times New Roman" w:hint="default"/>
                <w:sz w:val="21"/>
                <w:szCs w:val="21"/>
              </w:rPr>
              <w:t>/CH</w:t>
            </w:r>
            <w:r>
              <w:rPr>
                <w:rFonts w:ascii="宋体" w:hAnsi="宋体" w:cs="Times New Roman" w:hint="default"/>
                <w:sz w:val="21"/>
                <w:szCs w:val="21"/>
                <w:vertAlign w:val="subscript"/>
              </w:rPr>
              <w:t>4</w:t>
            </w:r>
            <w:r>
              <w:rPr>
                <w:rFonts w:ascii="宋体" w:hAnsi="宋体" w:cs="Times New Roman"/>
                <w:sz w:val="21"/>
                <w:szCs w:val="21"/>
              </w:rPr>
              <w:t>)标气标校系统</w:t>
            </w:r>
          </w:p>
        </w:tc>
        <w:tc>
          <w:tcPr>
            <w:tcW w:w="1365" w:type="dxa"/>
            <w:vAlign w:val="center"/>
          </w:tcPr>
          <w:p>
            <w:pPr>
              <w:pStyle w:val="a2"/>
              <w:jc w:val="both"/>
              <w:rPr>
                <w:rFonts w:ascii="宋体" w:hAnsi="宋体" w:cs="Times New Roman" w:hint="default"/>
                <w:sz w:val="21"/>
                <w:szCs w:val="21"/>
              </w:rPr>
            </w:pPr>
            <w:r>
              <w:rPr>
                <w:rFonts w:ascii="宋体" w:hAnsi="宋体" w:cs="Times New Roman" w:hint="default"/>
                <w:sz w:val="21"/>
                <w:szCs w:val="21"/>
              </w:rPr>
              <w:t>244.80</w:t>
            </w:r>
          </w:p>
        </w:tc>
        <w:tc>
          <w:tcPr>
            <w:tcW w:w="1419" w:type="dxa"/>
            <w:vAlign w:val="center"/>
          </w:tcPr>
          <w:p>
            <w:pPr>
              <w:pStyle w:val="a2"/>
              <w:jc w:val="both"/>
              <w:rPr>
                <w:rFonts w:ascii="宋体" w:hAnsi="宋体" w:cs="Times New Roman" w:hint="default"/>
                <w:sz w:val="21"/>
                <w:szCs w:val="21"/>
              </w:rPr>
            </w:pPr>
            <w:r>
              <w:rPr>
                <w:rFonts w:ascii="宋体" w:hAnsi="宋体" w:cs="Times New Roman"/>
                <w:sz w:val="21"/>
                <w:szCs w:val="21"/>
              </w:rPr>
              <w:t>标气气瓶</w:t>
            </w:r>
          </w:p>
        </w:tc>
        <w:tc>
          <w:tcPr>
            <w:tcW w:w="2181" w:type="dxa"/>
            <w:vAlign w:val="center"/>
          </w:tcPr>
          <w:p>
            <w:pPr>
              <w:pStyle w:val="a2"/>
              <w:jc w:val="both"/>
              <w:rPr>
                <w:rFonts w:ascii="宋体" w:hAnsi="宋体" w:cs="Times New Roman" w:hint="default"/>
                <w:sz w:val="21"/>
                <w:szCs w:val="21"/>
              </w:rPr>
            </w:pPr>
            <w:r>
              <w:rPr>
                <w:rFonts w:ascii="宋体" w:hAnsi="宋体" w:cs="Times New Roman"/>
                <w:sz w:val="21"/>
                <w:szCs w:val="21"/>
              </w:rPr>
              <w:t>标气气瓶</w:t>
            </w:r>
          </w:p>
        </w:tc>
        <w:tc>
          <w:tcPr>
            <w:tcW w:w="954" w:type="dxa"/>
            <w:vAlign w:val="center"/>
          </w:tcPr>
          <w:p>
            <w:pPr>
              <w:pStyle w:val="a2"/>
              <w:jc w:val="both"/>
              <w:rPr>
                <w:rFonts w:ascii="宋体" w:hAnsi="宋体" w:cs="Times New Roman" w:hint="default"/>
                <w:sz w:val="21"/>
                <w:szCs w:val="21"/>
              </w:rPr>
            </w:pPr>
            <w:r>
              <w:rPr>
                <w:rFonts w:ascii="宋体" w:hAnsi="宋体" w:cs="Times New Roman" w:hint="default"/>
                <w:sz w:val="21"/>
                <w:szCs w:val="21"/>
              </w:rPr>
              <w:t>180</w:t>
            </w:r>
            <w:r>
              <w:rPr>
                <w:rFonts w:ascii="宋体" w:hAnsi="宋体" w:cs="Times New Roman"/>
                <w:sz w:val="21"/>
                <w:szCs w:val="21"/>
              </w:rPr>
              <w:t>个</w:t>
            </w:r>
          </w:p>
        </w:tc>
      </w:tr>
    </w:tbl>
    <w:p>
      <w:pPr>
        <w:numPr>
          <w:ilvl w:val="0"/>
          <w:numId w:val="0"/>
        </w:numPr>
        <w:spacing w:line="360" w:lineRule="auto"/>
        <w:rPr>
          <w:rFonts w:ascii="宋体" w:hAnsi="宋体" w:hint="eastAsia"/>
          <w:szCs w:val="21"/>
        </w:rPr>
      </w:pPr>
    </w:p>
    <w:p>
      <w:pPr>
        <w:numPr>
          <w:ilvl w:val="0"/>
          <w:numId w:val="4"/>
        </w:numPr>
        <w:spacing w:line="360" w:lineRule="auto"/>
        <w:ind w:firstLine="420" w:firstLineChars="200"/>
        <w:rPr>
          <w:rFonts w:ascii="宋体" w:hAnsi="宋体" w:hint="eastAsia"/>
          <w:szCs w:val="21"/>
        </w:rPr>
      </w:pPr>
      <w:r>
        <w:rPr>
          <w:rFonts w:ascii="宋体" w:hAnsi="宋体" w:hint="eastAsia"/>
          <w:szCs w:val="21"/>
        </w:rPr>
        <w:t>设备需求一览表</w:t>
      </w:r>
    </w:p>
    <w:tbl>
      <w:tblPr>
        <w:tblStyle w:val="TableNormal"/>
        <w:tblW w:w="4976" w:type="pct"/>
        <w:jc w:val="center"/>
        <w:tblCellMar>
          <w:top w:w="0" w:type="dxa"/>
          <w:left w:w="0" w:type="dxa"/>
          <w:bottom w:w="0" w:type="dxa"/>
          <w:right w:w="0" w:type="dxa"/>
        </w:tblCellMar>
      </w:tblPr>
      <w:tblGrid>
        <w:gridCol w:w="884"/>
        <w:gridCol w:w="1705"/>
        <w:gridCol w:w="2152"/>
        <w:gridCol w:w="497"/>
        <w:gridCol w:w="573"/>
        <w:gridCol w:w="688"/>
        <w:gridCol w:w="747"/>
        <w:gridCol w:w="547"/>
        <w:gridCol w:w="483"/>
      </w:tblGrid>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宋体" w:hAnsi="宋体"/>
                <w:kern w:val="0"/>
                <w:szCs w:val="21"/>
              </w:rPr>
            </w:pPr>
            <w:r>
              <w:rPr>
                <w:rFonts w:hint="eastAsia"/>
                <w:b/>
                <w:bCs/>
                <w:color w:val="000000"/>
                <w:kern w:val="0"/>
                <w:szCs w:val="21"/>
                <w:lang w:bidi="ar"/>
              </w:rPr>
              <w:t>序号</w:t>
            </w:r>
          </w:p>
        </w:tc>
        <w:tc>
          <w:tcPr>
            <w:tcW w:w="2332" w:type="pct"/>
            <w:gridSpan w:val="2"/>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宋体" w:hAnsi="宋体"/>
                <w:kern w:val="0"/>
                <w:szCs w:val="21"/>
              </w:rPr>
            </w:pPr>
            <w:r>
              <w:rPr>
                <w:rFonts w:hint="eastAsia"/>
                <w:b/>
                <w:bCs/>
                <w:color w:val="000000"/>
                <w:kern w:val="0"/>
                <w:szCs w:val="21"/>
                <w:lang w:bidi="ar"/>
              </w:rPr>
              <w:t>设备名称</w:t>
            </w:r>
          </w:p>
        </w:tc>
        <w:tc>
          <w:tcPr>
            <w:tcW w:w="302"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微软雅黑"/>
                <w:kern w:val="0"/>
                <w:szCs w:val="21"/>
              </w:rPr>
            </w:pPr>
            <w:r>
              <w:rPr>
                <w:rFonts w:hint="eastAsia"/>
                <w:b/>
                <w:bCs/>
                <w:color w:val="000000"/>
                <w:kern w:val="0"/>
                <w:szCs w:val="21"/>
                <w:lang w:bidi="ar"/>
              </w:rPr>
              <w:t>规格</w:t>
            </w:r>
          </w:p>
        </w:tc>
        <w:tc>
          <w:tcPr>
            <w:tcW w:w="348"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kern w:val="0"/>
                <w:szCs w:val="21"/>
              </w:rPr>
            </w:pPr>
            <w:r>
              <w:rPr>
                <w:rFonts w:hint="eastAsia"/>
                <w:b/>
                <w:bCs/>
                <w:color w:val="000000"/>
                <w:kern w:val="0"/>
                <w:szCs w:val="21"/>
                <w:lang w:bidi="ar"/>
              </w:rPr>
              <w:t>数量及单位</w:t>
            </w:r>
          </w:p>
        </w:tc>
        <w:tc>
          <w:tcPr>
            <w:tcW w:w="417"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kern w:val="0"/>
                <w:szCs w:val="21"/>
              </w:rPr>
            </w:pPr>
            <w:r>
              <w:rPr>
                <w:rFonts w:hint="eastAsia"/>
                <w:b/>
                <w:bCs/>
                <w:color w:val="000000"/>
                <w:kern w:val="0"/>
                <w:szCs w:val="21"/>
                <w:lang w:bidi="ar"/>
              </w:rPr>
              <w:t>允许进口</w:t>
            </w:r>
          </w:p>
        </w:tc>
        <w:tc>
          <w:tcPr>
            <w:tcW w:w="453"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kern w:val="0"/>
                <w:szCs w:val="21"/>
              </w:rPr>
            </w:pPr>
            <w:r>
              <w:rPr>
                <w:rFonts w:hint="eastAsia"/>
                <w:b/>
                <w:bCs/>
                <w:color w:val="000000"/>
                <w:kern w:val="0"/>
                <w:szCs w:val="21"/>
                <w:lang w:bidi="ar"/>
              </w:rPr>
              <w:t>交货期</w:t>
            </w:r>
          </w:p>
        </w:tc>
        <w:tc>
          <w:tcPr>
            <w:tcW w:w="332"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left"/>
              <w:rPr>
                <w:rFonts w:ascii="宋体" w:hAnsi="宋体"/>
                <w:kern w:val="0"/>
                <w:szCs w:val="21"/>
              </w:rPr>
            </w:pPr>
            <w:r>
              <w:rPr>
                <w:rFonts w:hint="eastAsia"/>
                <w:b/>
                <w:bCs/>
                <w:color w:val="000000"/>
                <w:kern w:val="0"/>
                <w:szCs w:val="21"/>
                <w:lang w:bidi="ar"/>
              </w:rPr>
              <w:t>交货地点</w:t>
            </w:r>
          </w:p>
        </w:tc>
        <w:tc>
          <w:tcPr>
            <w:tcW w:w="27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left="282" w:right="-20"/>
              <w:jc w:val="center"/>
              <w:rPr>
                <w:b/>
                <w:bCs/>
                <w:color w:val="000000"/>
                <w:kern w:val="0"/>
                <w:szCs w:val="21"/>
                <w:lang w:bidi="ar"/>
              </w:rPr>
            </w:pPr>
            <w:r>
              <w:rPr>
                <w:rFonts w:hint="eastAsia"/>
                <w:b/>
                <w:bCs/>
                <w:color w:val="000000"/>
                <w:kern w:val="0"/>
                <w:szCs w:val="21"/>
                <w:lang w:bidi="ar"/>
              </w:rPr>
              <w:t>备注</w:t>
            </w: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1</w:t>
            </w:r>
          </w:p>
        </w:tc>
        <w:tc>
          <w:tcPr>
            <w:tcW w:w="1031" w:type="pct"/>
            <w:vMerge w:val="restar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cs="Times New Roman"/>
                <w:szCs w:val="21"/>
              </w:rPr>
              <w:t>NOx/SO</w:t>
            </w:r>
            <w:r>
              <w:rPr>
                <w:rFonts w:ascii="宋体" w:hAnsi="宋体" w:cs="Times New Roman"/>
                <w:szCs w:val="21"/>
                <w:vertAlign w:val="subscript"/>
              </w:rPr>
              <w:t>2</w:t>
            </w:r>
            <w:r>
              <w:rPr>
                <w:rFonts w:ascii="宋体" w:hAnsi="宋体" w:cs="Times New Roman"/>
                <w:szCs w:val="21"/>
              </w:rPr>
              <w:t>/CO/O</w:t>
            </w:r>
            <w:r>
              <w:rPr>
                <w:rFonts w:ascii="宋体" w:hAnsi="宋体" w:cs="Times New Roman"/>
                <w:szCs w:val="21"/>
                <w:vertAlign w:val="subscript"/>
              </w:rPr>
              <w:t>3</w:t>
            </w:r>
            <w:r>
              <w:rPr>
                <w:rFonts w:ascii="宋体" w:hAnsi="宋体" w:cs="Times New Roman"/>
                <w:szCs w:val="21"/>
              </w:rPr>
              <w:t>浓度高精度测量系统</w:t>
            </w: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痕量氮氧化物分析仪</w:t>
            </w:r>
          </w:p>
        </w:tc>
        <w:tc>
          <w:tcPr>
            <w:tcW w:w="302" w:type="pct"/>
            <w:vMerge w:val="restar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kern w:val="0"/>
                <w:szCs w:val="21"/>
              </w:rPr>
              <w:t>详见技术性能指标</w:t>
            </w: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1</w:t>
            </w:r>
            <w:r>
              <w:rPr>
                <w:rFonts w:ascii="宋体" w:hAnsi="宋体"/>
                <w:szCs w:val="21"/>
              </w:rPr>
              <w:t>台</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val="restar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rPr>
                <w:rFonts w:ascii="宋体" w:hAnsi="宋体"/>
                <w:kern w:val="0"/>
                <w:szCs w:val="21"/>
              </w:rPr>
            </w:pPr>
            <w:r>
              <w:rPr>
                <w:rFonts w:ascii="宋体" w:hAnsi="宋体" w:hint="eastAsia"/>
                <w:kern w:val="0"/>
                <w:szCs w:val="21"/>
              </w:rPr>
              <w:t>12个月</w:t>
            </w:r>
          </w:p>
        </w:tc>
        <w:tc>
          <w:tcPr>
            <w:tcW w:w="332" w:type="pct"/>
            <w:vMerge w:val="restar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rPr>
                <w:rFonts w:ascii="宋体" w:hAnsi="宋体"/>
                <w:kern w:val="0"/>
                <w:szCs w:val="21"/>
              </w:rPr>
            </w:pPr>
            <w:r>
              <w:rPr>
                <w:rFonts w:ascii="宋体" w:hAnsi="宋体" w:hint="eastAsia"/>
                <w:kern w:val="0"/>
                <w:szCs w:val="21"/>
              </w:rPr>
              <w:t>甲方指定</w:t>
            </w:r>
          </w:p>
        </w:tc>
        <w:tc>
          <w:tcPr>
            <w:tcW w:w="276" w:type="pct"/>
            <w:vMerge w:val="restar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rPr>
                <w:rFonts w:ascii="宋体" w:hAnsi="宋体"/>
                <w:kern w:val="0"/>
                <w:szCs w:val="21"/>
              </w:rPr>
            </w:pPr>
            <w:r>
              <w:rPr>
                <w:rFonts w:ascii="宋体" w:hAnsi="宋体" w:hint="eastAsia"/>
                <w:kern w:val="0"/>
                <w:szCs w:val="21"/>
              </w:rPr>
              <w:t>1年质保定</w:t>
            </w: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2</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痕量二氧化硫分析仪</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1</w:t>
            </w:r>
            <w:r>
              <w:rPr>
                <w:rFonts w:ascii="宋体" w:hAnsi="宋体"/>
                <w:szCs w:val="21"/>
              </w:rPr>
              <w:t>台</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3</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痕量一氧化碳分析仪</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1</w:t>
            </w:r>
            <w:r>
              <w:rPr>
                <w:rFonts w:ascii="宋体" w:hAnsi="宋体"/>
                <w:szCs w:val="21"/>
              </w:rPr>
              <w:t>台</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4</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臭氧分析仪</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kern w:val="0"/>
                <w:szCs w:val="21"/>
              </w:rPr>
            </w:pPr>
            <w:r>
              <w:rPr>
                <w:rFonts w:ascii="宋体" w:hAnsi="宋体" w:hint="eastAsia"/>
                <w:color w:val="000000"/>
                <w:szCs w:val="21"/>
              </w:rPr>
              <w:t>1</w:t>
            </w:r>
            <w:r>
              <w:rPr>
                <w:rFonts w:ascii="宋体" w:hAnsi="宋体"/>
                <w:szCs w:val="21"/>
              </w:rPr>
              <w:t>台</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5</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臭氧标定仪</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1</w:t>
            </w:r>
            <w:r>
              <w:rPr>
                <w:rFonts w:ascii="宋体" w:hAnsi="宋体"/>
                <w:szCs w:val="21"/>
              </w:rPr>
              <w:t>台</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6</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动态校准仪</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1</w:t>
            </w:r>
            <w:r>
              <w:rPr>
                <w:rFonts w:ascii="宋体" w:hAnsi="宋体"/>
                <w:szCs w:val="21"/>
              </w:rPr>
              <w:t>台</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7</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零气发生器</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1</w:t>
            </w:r>
            <w:r>
              <w:rPr>
                <w:rFonts w:ascii="宋体" w:hAnsi="宋体"/>
                <w:szCs w:val="21"/>
              </w:rPr>
              <w:t>台</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8</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安装辅件</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1</w:t>
            </w:r>
            <w:r>
              <w:rPr>
                <w:rFonts w:ascii="宋体" w:hAnsi="宋体"/>
                <w:szCs w:val="21"/>
              </w:rPr>
              <w:t>套</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9</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多路进气系统</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1</w:t>
            </w:r>
            <w:r>
              <w:rPr>
                <w:rFonts w:ascii="宋体" w:hAnsi="宋体"/>
                <w:szCs w:val="21"/>
              </w:rPr>
              <w:t>套</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1</w:t>
            </w:r>
            <w:r>
              <w:rPr>
                <w:rFonts w:ascii="宋体" w:hAnsi="宋体"/>
                <w:kern w:val="0"/>
                <w:szCs w:val="21"/>
              </w:rPr>
              <w:t>0</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进口表头</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3</w:t>
            </w:r>
            <w:r>
              <w:rPr>
                <w:rFonts w:ascii="宋体" w:hAnsi="宋体"/>
                <w:szCs w:val="21"/>
              </w:rPr>
              <w:t>个</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hint="eastAsia"/>
                <w:kern w:val="0"/>
                <w:szCs w:val="21"/>
              </w:rPr>
              <w:t>1</w:t>
            </w:r>
            <w:r>
              <w:rPr>
                <w:rFonts w:ascii="宋体" w:hAnsi="宋体"/>
                <w:kern w:val="0"/>
                <w:szCs w:val="21"/>
              </w:rPr>
              <w:t>1</w:t>
            </w:r>
          </w:p>
        </w:tc>
        <w:tc>
          <w:tcPr>
            <w:tcW w:w="1031"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1301"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国产表头</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hAnsi="宋体"/>
                <w:szCs w:val="21"/>
              </w:rPr>
            </w:pPr>
            <w:r>
              <w:rPr>
                <w:rFonts w:ascii="宋体" w:hAnsi="宋体" w:hint="eastAsia"/>
                <w:color w:val="000000"/>
                <w:szCs w:val="21"/>
              </w:rPr>
              <w:t>3</w:t>
            </w:r>
            <w:r>
              <w:rPr>
                <w:rFonts w:ascii="宋体" w:hAnsi="宋体"/>
                <w:szCs w:val="21"/>
              </w:rPr>
              <w:t>个</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eastAsia="宋体" w:hAnsi="宋体"/>
                <w:kern w:val="0"/>
                <w:szCs w:val="21"/>
              </w:rPr>
            </w:pPr>
            <w:r>
              <w:rPr>
                <w:rFonts w:ascii="宋体" w:hAnsi="宋体" w:hint="eastAsia"/>
                <w:kern w:val="0"/>
                <w:szCs w:val="21"/>
              </w:rPr>
              <w:t>否</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r>
        <w:tblPrEx>
          <w:tblW w:w="4976" w:type="pct"/>
          <w:jc w:val="center"/>
          <w:tblCellMar>
            <w:top w:w="0" w:type="dxa"/>
            <w:left w:w="0" w:type="dxa"/>
            <w:bottom w:w="0" w:type="dxa"/>
            <w:right w:w="0" w:type="dxa"/>
          </w:tblCellMar>
        </w:tblPrEx>
        <w:trPr>
          <w:trHeight w:val="238"/>
          <w:tblHeader/>
          <w:jc w:val="center"/>
        </w:trPr>
        <w:tc>
          <w:tcPr>
            <w:tcW w:w="536"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rPr>
                <w:rFonts w:ascii="宋体" w:hAnsi="宋体"/>
                <w:kern w:val="0"/>
                <w:szCs w:val="21"/>
              </w:rPr>
            </w:pPr>
            <w:r>
              <w:rPr>
                <w:rFonts w:ascii="宋体" w:hAnsi="宋体"/>
                <w:kern w:val="0"/>
                <w:szCs w:val="21"/>
              </w:rPr>
              <w:t>12</w:t>
            </w:r>
          </w:p>
        </w:tc>
        <w:tc>
          <w:tcPr>
            <w:tcW w:w="1031"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cs="Times New Roman"/>
                <w:szCs w:val="21"/>
              </w:rPr>
              <w:t>标气气瓶</w:t>
            </w:r>
          </w:p>
        </w:tc>
        <w:tc>
          <w:tcPr>
            <w:tcW w:w="1301"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szCs w:val="21"/>
              </w:rPr>
            </w:pPr>
            <w:r>
              <w:rPr>
                <w:rFonts w:ascii="宋体" w:eastAsia="宋体" w:hAnsi="宋体" w:cs="Times New Roman" w:hint="eastAsia"/>
                <w:szCs w:val="21"/>
              </w:rPr>
              <w:t>标气气瓶</w:t>
            </w:r>
          </w:p>
        </w:tc>
        <w:tc>
          <w:tcPr>
            <w:tcW w:w="302"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kern w:val="0"/>
                <w:szCs w:val="21"/>
              </w:rPr>
            </w:pPr>
          </w:p>
        </w:tc>
        <w:tc>
          <w:tcPr>
            <w:tcW w:w="348" w:type="pct"/>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eastAsia="宋体" w:hAnsi="宋体"/>
                <w:kern w:val="0"/>
                <w:szCs w:val="21"/>
              </w:rPr>
            </w:pPr>
            <w:r>
              <w:rPr>
                <w:rFonts w:ascii="宋体" w:hAnsi="宋体" w:hint="eastAsia"/>
                <w:szCs w:val="21"/>
              </w:rPr>
              <w:t>180个</w:t>
            </w:r>
          </w:p>
        </w:tc>
        <w:tc>
          <w:tcPr>
            <w:tcW w:w="417" w:type="pct"/>
            <w:tcBorders>
              <w:top w:val="single" w:sz="4" w:space="0" w:color="000000"/>
              <w:left w:val="single" w:sz="4" w:space="0" w:color="000000"/>
              <w:bottom w:val="single" w:sz="4" w:space="0" w:color="000000"/>
              <w:right w:val="single" w:sz="4" w:space="0" w:color="000000"/>
            </w:tcBorders>
          </w:tcPr>
          <w:p>
            <w:pPr>
              <w:autoSpaceDE w:val="0"/>
              <w:autoSpaceDN w:val="0"/>
              <w:adjustRightInd w:val="0"/>
              <w:jc w:val="center"/>
              <w:rPr>
                <w:rFonts w:ascii="宋体" w:hAnsi="宋体"/>
                <w:kern w:val="0"/>
                <w:szCs w:val="21"/>
              </w:rPr>
            </w:pPr>
            <w:r>
              <w:rPr>
                <w:rFonts w:ascii="宋体" w:hAnsi="宋体" w:hint="eastAsia"/>
                <w:kern w:val="0"/>
                <w:szCs w:val="21"/>
              </w:rPr>
              <w:t>是</w:t>
            </w:r>
          </w:p>
        </w:tc>
        <w:tc>
          <w:tcPr>
            <w:tcW w:w="453"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332"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c>
          <w:tcPr>
            <w:tcW w:w="276" w:type="pct"/>
            <w:vMerge/>
            <w:tcBorders>
              <w:top w:val="single" w:sz="4" w:space="0" w:color="000000"/>
              <w:left w:val="single" w:sz="4" w:space="0" w:color="000000"/>
              <w:bottom w:val="single" w:sz="4" w:space="0" w:color="000000"/>
              <w:right w:val="single" w:sz="4" w:space="0" w:color="000000"/>
            </w:tcBorders>
            <w:vAlign w:val="center"/>
          </w:tcPr>
          <w:p>
            <w:pPr>
              <w:widowControl/>
              <w:jc w:val="left"/>
              <w:rPr>
                <w:rFonts w:ascii="宋体" w:hAnsi="宋体"/>
                <w:kern w:val="0"/>
                <w:szCs w:val="21"/>
              </w:rPr>
            </w:pPr>
          </w:p>
        </w:tc>
      </w:tr>
    </w:tbl>
    <w:p>
      <w:pPr>
        <w:numPr>
          <w:ilvl w:val="0"/>
          <w:numId w:val="0"/>
        </w:numPr>
        <w:spacing w:line="360" w:lineRule="auto"/>
        <w:rPr>
          <w:rFonts w:ascii="宋体" w:hAnsi="宋体" w:hint="eastAsia"/>
          <w:szCs w:val="21"/>
        </w:rPr>
      </w:pPr>
    </w:p>
    <w:p>
      <w:pPr>
        <w:spacing w:line="360" w:lineRule="auto"/>
        <w:ind w:firstLine="420" w:firstLineChars="200"/>
        <w:rPr>
          <w:rFonts w:ascii="宋体" w:hAnsi="宋体" w:hint="eastAsia"/>
          <w:szCs w:val="21"/>
        </w:rPr>
      </w:pPr>
      <w:r>
        <w:rPr>
          <w:rFonts w:ascii="宋体" w:hAnsi="宋体" w:hint="eastAsia"/>
          <w:szCs w:val="21"/>
        </w:rPr>
        <w:t>三、技术性能指标</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5"/>
        <w:gridCol w:w="2202"/>
        <w:gridCol w:w="567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75" w:type="dxa"/>
            <w:vAlign w:val="center"/>
          </w:tcPr>
          <w:p>
            <w:pPr>
              <w:spacing w:line="360" w:lineRule="auto"/>
              <w:rPr>
                <w:rFonts w:ascii="宋体" w:hAnsi="宋体"/>
                <w:szCs w:val="21"/>
              </w:rPr>
            </w:pPr>
            <w:r>
              <w:rPr>
                <w:rFonts w:ascii="宋体" w:hAnsi="宋体" w:hint="eastAsia"/>
                <w:szCs w:val="21"/>
              </w:rPr>
              <w:t>1</w:t>
            </w:r>
          </w:p>
        </w:tc>
        <w:tc>
          <w:tcPr>
            <w:tcW w:w="2268" w:type="dxa"/>
            <w:vAlign w:val="center"/>
          </w:tcPr>
          <w:p>
            <w:pPr>
              <w:spacing w:line="360" w:lineRule="auto"/>
              <w:rPr>
                <w:rFonts w:ascii="宋体" w:hAnsi="宋体"/>
                <w:szCs w:val="21"/>
              </w:rPr>
            </w:pPr>
            <w:r>
              <w:rPr>
                <w:rFonts w:ascii="宋体" w:hAnsi="宋体" w:hint="eastAsia"/>
                <w:szCs w:val="21"/>
              </w:rPr>
              <w:t>NOx/SO</w:t>
            </w:r>
            <w:r>
              <w:rPr>
                <w:rFonts w:ascii="宋体" w:hAnsi="宋体" w:hint="eastAsia"/>
                <w:szCs w:val="21"/>
                <w:vertAlign w:val="subscript"/>
              </w:rPr>
              <w:t>2</w:t>
            </w:r>
            <w:r>
              <w:rPr>
                <w:rFonts w:ascii="宋体" w:hAnsi="宋体" w:hint="eastAsia"/>
                <w:szCs w:val="21"/>
              </w:rPr>
              <w:t>/CO/O</w:t>
            </w:r>
            <w:r>
              <w:rPr>
                <w:rFonts w:ascii="宋体" w:hAnsi="宋体" w:hint="eastAsia"/>
                <w:szCs w:val="21"/>
                <w:vertAlign w:val="subscript"/>
              </w:rPr>
              <w:t>3</w:t>
            </w:r>
            <w:r>
              <w:rPr>
                <w:rFonts w:ascii="宋体" w:hAnsi="宋体" w:hint="eastAsia"/>
                <w:szCs w:val="21"/>
              </w:rPr>
              <w:t>浓度高精度测量系统</w:t>
            </w:r>
          </w:p>
        </w:tc>
        <w:tc>
          <w:tcPr>
            <w:tcW w:w="6060" w:type="dxa"/>
          </w:tcPr>
          <w:p>
            <w:pPr>
              <w:rPr>
                <w:rFonts w:ascii="宋体" w:hAnsi="宋体"/>
                <w:szCs w:val="21"/>
              </w:rPr>
            </w:pPr>
            <w:r>
              <w:rPr>
                <w:rFonts w:ascii="宋体" w:hAnsi="宋体" w:hint="eastAsia"/>
                <w:szCs w:val="21"/>
              </w:rPr>
              <w:t>（1）痕量氮氧化物分析仪</w:t>
            </w:r>
          </w:p>
          <w:p>
            <w:pPr>
              <w:rPr>
                <w:rFonts w:ascii="宋体" w:hAnsi="宋体"/>
                <w:szCs w:val="21"/>
                <w:highlight w:val="none"/>
              </w:rPr>
            </w:pPr>
            <w:r>
              <w:rPr>
                <w:rFonts w:ascii="宋体" w:hAnsi="宋体" w:hint="eastAsia"/>
                <w:szCs w:val="21"/>
                <w:highlight w:val="none"/>
              </w:rPr>
              <w:t>预置量程：</w:t>
            </w:r>
          </w:p>
          <w:p>
            <w:pPr>
              <w:rPr>
                <w:rFonts w:ascii="宋体" w:hAnsi="宋体"/>
                <w:szCs w:val="21"/>
              </w:rPr>
            </w:pPr>
            <w:r>
              <w:rPr>
                <w:rFonts w:ascii="宋体" w:hAnsi="宋体" w:hint="eastAsia"/>
                <w:szCs w:val="21"/>
              </w:rPr>
              <w:t>0～5、10、20，50、100、200、500、1000ppb</w:t>
            </w:r>
          </w:p>
          <w:p>
            <w:pPr>
              <w:rPr>
                <w:rFonts w:ascii="宋体" w:hAnsi="宋体"/>
                <w:szCs w:val="21"/>
              </w:rPr>
            </w:pPr>
            <w:r>
              <w:rPr>
                <w:rFonts w:ascii="宋体" w:hAnsi="宋体" w:hint="eastAsia"/>
                <w:szCs w:val="21"/>
              </w:rPr>
              <w:t>0～10、20、50、100、200、500、1000、2000μg/m³</w:t>
            </w:r>
          </w:p>
          <w:p>
            <w:pPr>
              <w:rPr>
                <w:rFonts w:ascii="宋体" w:hAnsi="宋体"/>
                <w:szCs w:val="21"/>
                <w:highlight w:val="none"/>
              </w:rPr>
            </w:pPr>
            <w:r>
              <w:rPr>
                <w:rFonts w:ascii="宋体" w:hAnsi="宋体" w:hint="eastAsia"/>
                <w:szCs w:val="21"/>
                <w:highlight w:val="none"/>
              </w:rPr>
              <w:t>用户量程：</w:t>
            </w:r>
          </w:p>
          <w:p>
            <w:pPr>
              <w:rPr>
                <w:rFonts w:ascii="宋体" w:hAnsi="宋体"/>
                <w:szCs w:val="21"/>
              </w:rPr>
            </w:pPr>
            <w:r>
              <w:rPr>
                <w:rFonts w:ascii="宋体" w:hAnsi="宋体" w:hint="eastAsia"/>
                <w:szCs w:val="21"/>
              </w:rPr>
              <w:t>0～5至1000ppb</w:t>
            </w:r>
          </w:p>
          <w:p>
            <w:pPr>
              <w:rPr>
                <w:rFonts w:ascii="宋体" w:hAnsi="宋体"/>
                <w:szCs w:val="21"/>
              </w:rPr>
            </w:pPr>
            <w:r>
              <w:rPr>
                <w:rFonts w:ascii="宋体" w:hAnsi="宋体" w:hint="eastAsia"/>
                <w:szCs w:val="21"/>
              </w:rPr>
              <w:t>0～10至2000μg/m³</w:t>
            </w:r>
          </w:p>
          <w:p>
            <w:pPr>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最低检测限：＜50ppt（120s平均时间）</w:t>
            </w:r>
          </w:p>
          <w:p>
            <w:pPr>
              <w:rPr>
                <w:rFonts w:ascii="宋体" w:hAnsi="宋体"/>
                <w:szCs w:val="21"/>
              </w:rPr>
            </w:pPr>
            <w:r>
              <w:rPr>
                <w:rFonts w:ascii="宋体" w:hAnsi="宋体" w:hint="eastAsia"/>
                <w:szCs w:val="21"/>
              </w:rPr>
              <w:t>零点噪声：＜25pptRMS（120s平均时间）</w:t>
            </w:r>
          </w:p>
          <w:p>
            <w:pPr>
              <w:rPr>
                <w:rFonts w:ascii="宋体" w:hAnsi="宋体"/>
                <w:szCs w:val="21"/>
              </w:rPr>
            </w:pPr>
            <w:r>
              <w:rPr>
                <w:rFonts w:ascii="宋体" w:hAnsi="宋体" w:hint="eastAsia"/>
                <w:szCs w:val="21"/>
              </w:rPr>
              <w:t>零点漂移（24h）：可忽略</w:t>
            </w:r>
          </w:p>
          <w:p>
            <w:pPr>
              <w:rPr>
                <w:rFonts w:ascii="宋体" w:hAnsi="宋体"/>
                <w:szCs w:val="21"/>
              </w:rPr>
            </w:pPr>
            <w:r>
              <w:rPr>
                <w:rFonts w:ascii="宋体" w:hAnsi="宋体" w:hint="eastAsia"/>
                <w:szCs w:val="21"/>
              </w:rPr>
              <w:t>跨度漂移（24h）：±1%满量程</w:t>
            </w:r>
          </w:p>
          <w:p>
            <w:pPr>
              <w:rPr>
                <w:rFonts w:ascii="宋体" w:hAnsi="宋体"/>
                <w:szCs w:val="21"/>
              </w:rPr>
            </w:pPr>
            <w:r>
              <w:rPr>
                <w:rFonts w:ascii="宋体" w:hAnsi="宋体" w:hint="eastAsia"/>
                <w:szCs w:val="21"/>
              </w:rPr>
              <w:t>线性：±1%满量程</w:t>
            </w:r>
          </w:p>
          <w:p>
            <w:pPr>
              <w:rPr>
                <w:rFonts w:ascii="宋体" w:hAnsi="宋体"/>
                <w:szCs w:val="21"/>
              </w:rPr>
            </w:pPr>
            <w:r>
              <w:rPr>
                <w:rFonts w:ascii="宋体" w:hAnsi="宋体" w:hint="eastAsia"/>
                <w:szCs w:val="21"/>
              </w:rPr>
              <w:t>采样流量：1L/min</w:t>
            </w:r>
          </w:p>
          <w:p>
            <w:pPr>
              <w:rPr>
                <w:rFonts w:ascii="宋体" w:hAnsi="宋体"/>
                <w:szCs w:val="21"/>
              </w:rPr>
            </w:pPr>
            <w:r>
              <w:rPr>
                <w:rFonts w:ascii="宋体" w:hAnsi="宋体" w:hint="eastAsia"/>
                <w:szCs w:val="21"/>
              </w:rPr>
              <w:t>（2)痕量二氧化硫分析仪</w:t>
            </w:r>
          </w:p>
          <w:p>
            <w:pPr>
              <w:rPr>
                <w:rFonts w:ascii="宋体" w:hAnsi="宋体"/>
                <w:szCs w:val="21"/>
                <w:highlight w:val="none"/>
              </w:rPr>
            </w:pPr>
            <w:r>
              <w:rPr>
                <w:rFonts w:ascii="宋体" w:hAnsi="宋体" w:hint="eastAsia"/>
                <w:szCs w:val="21"/>
                <w:highlight w:val="none"/>
              </w:rPr>
              <w:t>预置量程：</w:t>
            </w:r>
          </w:p>
          <w:p>
            <w:pPr>
              <w:rPr>
                <w:rFonts w:ascii="宋体" w:hAnsi="宋体"/>
                <w:szCs w:val="21"/>
              </w:rPr>
            </w:pPr>
            <w:r>
              <w:rPr>
                <w:rFonts w:ascii="宋体" w:hAnsi="宋体" w:hint="eastAsia"/>
                <w:szCs w:val="21"/>
              </w:rPr>
              <w:t>0～10、20、50、100、200、500、1000ppb</w:t>
            </w:r>
          </w:p>
          <w:p>
            <w:pPr>
              <w:rPr>
                <w:rFonts w:ascii="宋体" w:hAnsi="宋体"/>
                <w:szCs w:val="21"/>
              </w:rPr>
            </w:pPr>
            <w:r>
              <w:rPr>
                <w:rFonts w:ascii="宋体" w:hAnsi="宋体" w:hint="eastAsia"/>
                <w:szCs w:val="21"/>
              </w:rPr>
              <w:t>0～20、50、100、200、500、1000、2000μg/m³</w:t>
            </w:r>
          </w:p>
          <w:p>
            <w:pPr>
              <w:rPr>
                <w:rFonts w:ascii="宋体" w:hAnsi="宋体"/>
                <w:szCs w:val="21"/>
                <w:highlight w:val="none"/>
              </w:rPr>
            </w:pPr>
            <w:r>
              <w:rPr>
                <w:rFonts w:ascii="宋体" w:hAnsi="宋体" w:hint="eastAsia"/>
                <w:szCs w:val="21"/>
                <w:highlight w:val="none"/>
              </w:rPr>
              <w:t>用户量程：</w:t>
            </w:r>
          </w:p>
          <w:p>
            <w:pPr>
              <w:rPr>
                <w:rFonts w:ascii="宋体" w:hAnsi="宋体"/>
                <w:szCs w:val="21"/>
              </w:rPr>
            </w:pPr>
            <w:r>
              <w:rPr>
                <w:rFonts w:ascii="宋体" w:hAnsi="宋体" w:hint="eastAsia"/>
                <w:szCs w:val="21"/>
              </w:rPr>
              <w:t>0～10至100ppb</w:t>
            </w:r>
          </w:p>
          <w:p>
            <w:pPr>
              <w:rPr>
                <w:rFonts w:ascii="宋体" w:hAnsi="宋体"/>
                <w:szCs w:val="21"/>
              </w:rPr>
            </w:pPr>
            <w:r>
              <w:rPr>
                <w:rFonts w:ascii="宋体" w:hAnsi="宋体" w:hint="eastAsia"/>
                <w:szCs w:val="21"/>
              </w:rPr>
              <w:t>0～20至200μg/m³</w:t>
            </w:r>
          </w:p>
          <w:p>
            <w:pPr>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最低检测限：0.05ppb（300s平均时间）</w:t>
            </w:r>
          </w:p>
          <w:p>
            <w:pPr>
              <w:rPr>
                <w:rFonts w:ascii="宋体" w:hAnsi="宋体"/>
                <w:szCs w:val="21"/>
              </w:rPr>
            </w:pPr>
            <w:r>
              <w:rPr>
                <w:rFonts w:ascii="宋体" w:hAnsi="宋体" w:hint="eastAsia"/>
                <w:szCs w:val="21"/>
              </w:rPr>
              <w:t>零点噪音：0.025ppbRMS（300s平均时间）</w:t>
            </w:r>
          </w:p>
          <w:p>
            <w:pPr>
              <w:rPr>
                <w:rFonts w:ascii="宋体" w:hAnsi="宋体"/>
                <w:szCs w:val="21"/>
              </w:rPr>
            </w:pPr>
            <w:r>
              <w:rPr>
                <w:rFonts w:ascii="宋体" w:hAnsi="宋体" w:hint="eastAsia"/>
                <w:szCs w:val="21"/>
              </w:rPr>
              <w:t>零点漂移（24h）：＜0.2ppb</w:t>
            </w:r>
          </w:p>
          <w:p>
            <w:pPr>
              <w:rPr>
                <w:rFonts w:ascii="宋体" w:hAnsi="宋体"/>
                <w:szCs w:val="21"/>
              </w:rPr>
            </w:pPr>
            <w:r>
              <w:rPr>
                <w:rFonts w:ascii="宋体" w:hAnsi="宋体" w:hint="eastAsia"/>
                <w:szCs w:val="21"/>
              </w:rPr>
              <w:t>跨度漂移（24h）：±1%满量程</w:t>
            </w:r>
          </w:p>
          <w:p>
            <w:pPr>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△精度：1%读数或0.2ppb（取大值）</w:t>
            </w:r>
          </w:p>
          <w:p>
            <w:pPr>
              <w:rPr>
                <w:rFonts w:ascii="宋体" w:hAnsi="宋体"/>
                <w:szCs w:val="21"/>
              </w:rPr>
            </w:pPr>
            <w:r>
              <w:rPr>
                <w:rFonts w:ascii="宋体" w:hAnsi="宋体" w:hint="eastAsia"/>
                <w:szCs w:val="21"/>
              </w:rPr>
              <w:t>线性：±1%满量程</w:t>
            </w:r>
          </w:p>
          <w:p>
            <w:pPr>
              <w:rPr>
                <w:rFonts w:ascii="宋体" w:hAnsi="宋体"/>
                <w:szCs w:val="21"/>
              </w:rPr>
            </w:pPr>
            <w:r>
              <w:rPr>
                <w:rFonts w:ascii="宋体" w:hAnsi="宋体" w:hint="eastAsia"/>
                <w:szCs w:val="21"/>
              </w:rPr>
              <w:t>采样流量：0.5L/min</w:t>
            </w:r>
          </w:p>
          <w:p>
            <w:pPr>
              <w:rPr>
                <w:rFonts w:ascii="宋体" w:hAnsi="宋体"/>
                <w:szCs w:val="21"/>
              </w:rPr>
            </w:pPr>
            <w:r>
              <w:rPr>
                <w:rFonts w:ascii="宋体" w:hAnsi="宋体" w:hint="eastAsia"/>
                <w:szCs w:val="21"/>
              </w:rPr>
              <w:t>(3)痕量一氧化碳分析仪</w:t>
            </w:r>
          </w:p>
          <w:p>
            <w:pPr>
              <w:rPr>
                <w:rFonts w:ascii="宋体" w:hAnsi="宋体"/>
                <w:szCs w:val="21"/>
                <w:highlight w:val="none"/>
              </w:rPr>
            </w:pPr>
            <w:r>
              <w:rPr>
                <w:rFonts w:ascii="宋体" w:hAnsi="宋体" w:hint="eastAsia"/>
                <w:szCs w:val="21"/>
                <w:highlight w:val="none"/>
              </w:rPr>
              <w:t>预置量程：</w:t>
            </w:r>
          </w:p>
          <w:p>
            <w:pPr>
              <w:rPr>
                <w:rFonts w:ascii="宋体" w:hAnsi="宋体"/>
                <w:szCs w:val="21"/>
              </w:rPr>
            </w:pPr>
            <w:r>
              <w:rPr>
                <w:rFonts w:ascii="宋体" w:hAnsi="宋体" w:hint="eastAsia"/>
                <w:szCs w:val="21"/>
              </w:rPr>
              <w:t>0～1、2、5、10、20、50、100、200、500、1000ppm</w:t>
            </w:r>
          </w:p>
          <w:p>
            <w:pPr>
              <w:rPr>
                <w:rFonts w:ascii="宋体" w:hAnsi="宋体"/>
                <w:szCs w:val="21"/>
              </w:rPr>
            </w:pPr>
            <w:r>
              <w:rPr>
                <w:rFonts w:ascii="宋体" w:hAnsi="宋体" w:hint="eastAsia"/>
                <w:szCs w:val="21"/>
              </w:rPr>
              <w:t>0～1、2、5、10、20、50、100、200、500、1000mg/m³</w:t>
            </w:r>
          </w:p>
          <w:p>
            <w:pPr>
              <w:rPr>
                <w:rFonts w:ascii="宋体" w:hAnsi="宋体"/>
                <w:szCs w:val="21"/>
                <w:highlight w:val="none"/>
              </w:rPr>
            </w:pPr>
            <w:r>
              <w:rPr>
                <w:rFonts w:ascii="宋体" w:hAnsi="宋体" w:hint="eastAsia"/>
                <w:szCs w:val="21"/>
                <w:highlight w:val="none"/>
              </w:rPr>
              <w:t>用户量程：</w:t>
            </w:r>
          </w:p>
          <w:p>
            <w:pPr>
              <w:rPr>
                <w:rFonts w:ascii="宋体" w:hAnsi="宋体"/>
                <w:szCs w:val="21"/>
              </w:rPr>
            </w:pPr>
            <w:r>
              <w:rPr>
                <w:rFonts w:ascii="宋体" w:hAnsi="宋体" w:hint="eastAsia"/>
                <w:szCs w:val="21"/>
              </w:rPr>
              <w:t>0～1至1000ppm</w:t>
            </w:r>
          </w:p>
          <w:p>
            <w:pPr>
              <w:rPr>
                <w:rFonts w:ascii="宋体" w:hAnsi="宋体"/>
                <w:szCs w:val="21"/>
              </w:rPr>
            </w:pPr>
            <w:r>
              <w:rPr>
                <w:rFonts w:ascii="宋体" w:hAnsi="宋体" w:hint="eastAsia"/>
                <w:szCs w:val="21"/>
              </w:rPr>
              <w:t>0～1至1000mg/m³</w:t>
            </w:r>
          </w:p>
          <w:p>
            <w:pPr>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最低检测限：0.04ppm（30s平均时间）</w:t>
            </w:r>
          </w:p>
          <w:p>
            <w:pPr>
              <w:rPr>
                <w:rFonts w:ascii="宋体" w:hAnsi="宋体"/>
                <w:szCs w:val="21"/>
              </w:rPr>
            </w:pPr>
            <w:r>
              <w:rPr>
                <w:rFonts w:ascii="宋体" w:hAnsi="宋体" w:hint="eastAsia"/>
                <w:szCs w:val="21"/>
              </w:rPr>
              <w:t>零点噪音：0.02ppmRMS（30s平均时间）</w:t>
            </w:r>
          </w:p>
          <w:p>
            <w:pPr>
              <w:rPr>
                <w:rFonts w:ascii="宋体" w:hAnsi="宋体"/>
                <w:szCs w:val="21"/>
              </w:rPr>
            </w:pPr>
            <w:r>
              <w:rPr>
                <w:rFonts w:ascii="宋体" w:hAnsi="宋体" w:hint="eastAsia"/>
                <w:szCs w:val="21"/>
              </w:rPr>
              <w:t>零点漂移（24h）：＜0.1ppm</w:t>
            </w:r>
          </w:p>
          <w:p>
            <w:pPr>
              <w:rPr>
                <w:rFonts w:ascii="宋体" w:hAnsi="宋体"/>
                <w:szCs w:val="21"/>
              </w:rPr>
            </w:pPr>
            <w:r>
              <w:rPr>
                <w:rFonts w:ascii="宋体" w:hAnsi="宋体" w:hint="eastAsia"/>
                <w:szCs w:val="21"/>
              </w:rPr>
              <w:t>跨度漂移（24h）：±1%满量程</w:t>
            </w:r>
          </w:p>
          <w:p>
            <w:pPr>
              <w:rPr>
                <w:rFonts w:ascii="宋体" w:hAnsi="宋体"/>
                <w:szCs w:val="21"/>
              </w:rPr>
            </w:pPr>
            <w:r>
              <w:rPr>
                <w:rFonts w:ascii="宋体" w:hAnsi="宋体" w:hint="eastAsia"/>
                <w:szCs w:val="21"/>
              </w:rPr>
              <w:t>线性：±1%满量程</w:t>
            </w:r>
          </w:p>
          <w:p>
            <w:pPr>
              <w:rPr>
                <w:rFonts w:ascii="宋体" w:hAnsi="宋体"/>
                <w:szCs w:val="21"/>
              </w:rPr>
            </w:pPr>
            <w:r>
              <w:rPr>
                <w:rFonts w:ascii="宋体" w:hAnsi="宋体" w:hint="eastAsia"/>
                <w:szCs w:val="21"/>
              </w:rPr>
              <w:t>采样流量：0.5L/min</w:t>
            </w:r>
          </w:p>
          <w:p>
            <w:pPr>
              <w:rPr>
                <w:rFonts w:ascii="宋体" w:hAnsi="宋体"/>
                <w:szCs w:val="21"/>
              </w:rPr>
            </w:pPr>
            <w:r>
              <w:rPr>
                <w:rFonts w:ascii="宋体" w:hAnsi="宋体" w:hint="eastAsia"/>
                <w:szCs w:val="21"/>
              </w:rPr>
              <w:t>(4)臭氧分析仪</w:t>
            </w:r>
          </w:p>
          <w:p>
            <w:pPr>
              <w:rPr>
                <w:rFonts w:ascii="宋体" w:hAnsi="宋体"/>
                <w:szCs w:val="21"/>
              </w:rPr>
            </w:pPr>
            <w:r>
              <w:rPr>
                <w:rFonts w:ascii="宋体" w:hAnsi="宋体" w:hint="eastAsia"/>
                <w:szCs w:val="21"/>
              </w:rPr>
              <w:t>预置量程：</w:t>
            </w:r>
          </w:p>
          <w:p>
            <w:pPr>
              <w:rPr>
                <w:rFonts w:ascii="宋体" w:hAnsi="宋体"/>
                <w:szCs w:val="21"/>
              </w:rPr>
            </w:pPr>
            <w:r>
              <w:rPr>
                <w:rFonts w:ascii="宋体" w:hAnsi="宋体" w:hint="eastAsia"/>
                <w:szCs w:val="21"/>
              </w:rPr>
              <w:t>0～0.05、0.1、0.2、0.5、1、2、5、10、20、50、100、200ppm</w:t>
            </w:r>
          </w:p>
          <w:p>
            <w:pPr>
              <w:rPr>
                <w:rFonts w:ascii="宋体" w:hAnsi="宋体"/>
                <w:szCs w:val="21"/>
              </w:rPr>
            </w:pPr>
            <w:r>
              <w:rPr>
                <w:rFonts w:ascii="宋体" w:hAnsi="宋体" w:hint="eastAsia"/>
                <w:szCs w:val="21"/>
              </w:rPr>
              <w:t>0～0.1、0.2、0.5、1、2、5、10、20、50、100、200、400mg/m³</w:t>
            </w:r>
          </w:p>
          <w:p>
            <w:pPr>
              <w:rPr>
                <w:rFonts w:ascii="宋体" w:hAnsi="宋体"/>
                <w:szCs w:val="21"/>
                <w:highlight w:val="none"/>
              </w:rPr>
            </w:pPr>
            <w:r>
              <w:rPr>
                <w:rFonts w:ascii="宋体" w:hAnsi="宋体" w:hint="eastAsia"/>
                <w:szCs w:val="21"/>
                <w:highlight w:val="none"/>
              </w:rPr>
              <w:t>用户量程：</w:t>
            </w:r>
          </w:p>
          <w:p>
            <w:pPr>
              <w:rPr>
                <w:rFonts w:ascii="宋体" w:hAnsi="宋体"/>
                <w:szCs w:val="21"/>
              </w:rPr>
            </w:pPr>
            <w:r>
              <w:rPr>
                <w:rFonts w:ascii="宋体" w:hAnsi="宋体" w:hint="eastAsia"/>
                <w:szCs w:val="21"/>
              </w:rPr>
              <w:t>0～0.05至200ppm</w:t>
            </w:r>
          </w:p>
          <w:p>
            <w:pPr>
              <w:rPr>
                <w:rFonts w:ascii="宋体" w:hAnsi="宋体"/>
                <w:szCs w:val="21"/>
              </w:rPr>
            </w:pPr>
            <w:r>
              <w:rPr>
                <w:rFonts w:ascii="宋体" w:hAnsi="宋体" w:hint="eastAsia"/>
                <w:szCs w:val="21"/>
              </w:rPr>
              <w:t>0～0.1至400mg/m³</w:t>
            </w:r>
          </w:p>
          <w:p>
            <w:pPr>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最低检测限：0.5ppb</w:t>
            </w:r>
          </w:p>
          <w:p>
            <w:pPr>
              <w:rPr>
                <w:rFonts w:ascii="宋体" w:hAnsi="宋体"/>
                <w:szCs w:val="21"/>
              </w:rPr>
            </w:pPr>
            <w:r>
              <w:rPr>
                <w:rFonts w:ascii="宋体" w:hAnsi="宋体" w:hint="eastAsia"/>
                <w:szCs w:val="21"/>
              </w:rPr>
              <w:t>零点噪音：0.25ppbRMS（60s平均时间）</w:t>
            </w:r>
          </w:p>
          <w:p>
            <w:pPr>
              <w:rPr>
                <w:rFonts w:ascii="宋体" w:hAnsi="宋体"/>
                <w:szCs w:val="21"/>
              </w:rPr>
            </w:pPr>
            <w:r>
              <w:rPr>
                <w:rFonts w:ascii="宋体" w:hAnsi="宋体" w:hint="eastAsia"/>
                <w:szCs w:val="21"/>
              </w:rPr>
              <w:t>零点漂移：＜1ppb/24h</w:t>
            </w:r>
          </w:p>
          <w:p>
            <w:pPr>
              <w:rPr>
                <w:rFonts w:ascii="宋体" w:hAnsi="宋体"/>
                <w:szCs w:val="21"/>
              </w:rPr>
            </w:pPr>
            <w:r>
              <w:rPr>
                <w:rFonts w:ascii="宋体" w:hAnsi="宋体" w:hint="eastAsia"/>
                <w:szCs w:val="21"/>
              </w:rPr>
              <w:t>跨度漂移：＜1%满量程/月</w:t>
            </w:r>
          </w:p>
          <w:p>
            <w:pPr>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△精度：≤1.0ppb</w:t>
            </w:r>
          </w:p>
          <w:p>
            <w:pPr>
              <w:rPr>
                <w:rFonts w:ascii="宋体" w:hAnsi="宋体"/>
                <w:szCs w:val="21"/>
              </w:rPr>
            </w:pPr>
            <w:r>
              <w:rPr>
                <w:rFonts w:ascii="宋体" w:hAnsi="宋体" w:hint="eastAsia"/>
                <w:szCs w:val="21"/>
              </w:rPr>
              <w:t>线性：±1%满量程</w:t>
            </w:r>
          </w:p>
          <w:p>
            <w:pPr>
              <w:rPr>
                <w:rFonts w:ascii="宋体" w:hAnsi="宋体"/>
                <w:szCs w:val="21"/>
              </w:rPr>
            </w:pPr>
            <w:r>
              <w:rPr>
                <w:rFonts w:ascii="宋体" w:hAnsi="宋体" w:hint="eastAsia"/>
                <w:szCs w:val="21"/>
              </w:rPr>
              <w:t>采样流量：1～3L/min</w:t>
            </w:r>
          </w:p>
          <w:p>
            <w:pPr>
              <w:rPr>
                <w:rFonts w:ascii="宋体" w:hAnsi="宋体"/>
                <w:szCs w:val="21"/>
              </w:rPr>
            </w:pPr>
            <w:r>
              <w:rPr>
                <w:rFonts w:ascii="宋体" w:hAnsi="宋体" w:hint="eastAsia"/>
                <w:szCs w:val="21"/>
              </w:rPr>
              <w:t>(5)臭氧标定仪</w:t>
            </w:r>
          </w:p>
          <w:p>
            <w:pPr>
              <w:rPr>
                <w:rFonts w:ascii="宋体" w:hAnsi="宋体"/>
                <w:szCs w:val="21"/>
              </w:rPr>
            </w:pPr>
            <w:r>
              <w:rPr>
                <w:rFonts w:ascii="宋体" w:hAnsi="宋体" w:hint="eastAsia"/>
                <w:szCs w:val="21"/>
              </w:rPr>
              <w:t>紫外光度计预置量程：</w:t>
            </w:r>
          </w:p>
          <w:p>
            <w:pPr>
              <w:rPr>
                <w:rFonts w:ascii="宋体" w:hAnsi="宋体"/>
                <w:szCs w:val="21"/>
              </w:rPr>
            </w:pPr>
            <w:r>
              <w:rPr>
                <w:rFonts w:ascii="宋体" w:hAnsi="宋体" w:hint="eastAsia"/>
                <w:szCs w:val="21"/>
              </w:rPr>
              <w:t>0～0.05、0.1、0.2、0.5、1.0、2.0、5.0ppm</w:t>
            </w:r>
          </w:p>
          <w:p>
            <w:pPr>
              <w:rPr>
                <w:rFonts w:ascii="宋体" w:hAnsi="宋体"/>
                <w:szCs w:val="21"/>
              </w:rPr>
            </w:pPr>
            <w:r>
              <w:rPr>
                <w:rFonts w:ascii="宋体" w:hAnsi="宋体" w:hint="eastAsia"/>
                <w:szCs w:val="21"/>
              </w:rPr>
              <w:t>0～0.1、0.2、0.5、1.0、2.0、5.0、10.0mg/m3</w:t>
            </w:r>
          </w:p>
          <w:p>
            <w:pPr>
              <w:rPr>
                <w:rFonts w:ascii="宋体" w:hAnsi="宋体"/>
                <w:szCs w:val="21"/>
              </w:rPr>
            </w:pPr>
            <w:r>
              <w:rPr>
                <w:rFonts w:ascii="宋体" w:hAnsi="宋体" w:hint="eastAsia"/>
                <w:szCs w:val="21"/>
              </w:rPr>
              <w:t>用户量程：</w:t>
            </w:r>
          </w:p>
          <w:p>
            <w:pPr>
              <w:rPr>
                <w:rFonts w:ascii="宋体" w:hAnsi="宋体"/>
                <w:szCs w:val="21"/>
              </w:rPr>
            </w:pPr>
            <w:r>
              <w:rPr>
                <w:rFonts w:ascii="宋体" w:hAnsi="宋体" w:hint="eastAsia"/>
                <w:szCs w:val="21"/>
              </w:rPr>
              <w:t>0～0.05至5.0ppm</w:t>
            </w:r>
          </w:p>
          <w:p>
            <w:pPr>
              <w:rPr>
                <w:rFonts w:ascii="宋体" w:hAnsi="宋体"/>
                <w:szCs w:val="21"/>
              </w:rPr>
            </w:pPr>
            <w:r>
              <w:rPr>
                <w:rFonts w:ascii="宋体" w:hAnsi="宋体" w:hint="eastAsia"/>
                <w:szCs w:val="21"/>
              </w:rPr>
              <w:t>0～0.1至10.0mg/m3</w:t>
            </w:r>
          </w:p>
          <w:p>
            <w:pPr>
              <w:rPr>
                <w:rFonts w:ascii="宋体" w:hAnsi="宋体"/>
                <w:szCs w:val="21"/>
              </w:rPr>
            </w:pPr>
            <w:r>
              <w:rPr>
                <w:rFonts w:ascii="宋体" w:hAnsi="宋体" w:hint="eastAsia"/>
                <w:szCs w:val="21"/>
              </w:rPr>
              <w:t>最低检测限：0.50ppb</w:t>
            </w:r>
          </w:p>
          <w:p>
            <w:pPr>
              <w:rPr>
                <w:rFonts w:ascii="宋体" w:hAnsi="宋体"/>
                <w:szCs w:val="21"/>
              </w:rPr>
            </w:pPr>
            <w:r>
              <w:rPr>
                <w:rFonts w:ascii="宋体" w:hAnsi="宋体" w:hint="eastAsia"/>
                <w:szCs w:val="21"/>
              </w:rPr>
              <w:t>零点噪音：0.25ppbRMS（60s 平均时间）</w:t>
            </w:r>
          </w:p>
          <w:p>
            <w:pPr>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△精度：1.0ppb</w:t>
            </w:r>
          </w:p>
          <w:p>
            <w:pPr>
              <w:rPr>
                <w:rFonts w:ascii="宋体" w:hAnsi="宋体"/>
                <w:szCs w:val="21"/>
              </w:rPr>
            </w:pPr>
            <w:r>
              <w:rPr>
                <w:rFonts w:ascii="宋体" w:hAnsi="宋体" w:hint="eastAsia"/>
                <w:szCs w:val="21"/>
              </w:rPr>
              <w:t>线性：±1%满量程</w:t>
            </w:r>
          </w:p>
          <w:p>
            <w:pPr>
              <w:rPr>
                <w:rFonts w:ascii="宋体" w:hAnsi="宋体"/>
                <w:szCs w:val="21"/>
              </w:rPr>
            </w:pPr>
            <w:r>
              <w:rPr>
                <w:rFonts w:ascii="宋体" w:hAnsi="宋体" w:hint="eastAsia"/>
                <w:szCs w:val="21"/>
              </w:rPr>
              <w:t>采样流量：1～3L/min</w:t>
            </w:r>
          </w:p>
          <w:p>
            <w:pPr>
              <w:rPr>
                <w:rFonts w:ascii="宋体" w:hAnsi="宋体"/>
                <w:szCs w:val="21"/>
              </w:rPr>
            </w:pPr>
            <w:r>
              <w:rPr>
                <w:rFonts w:ascii="宋体" w:hAnsi="宋体" w:hint="eastAsia"/>
                <w:szCs w:val="21"/>
              </w:rPr>
              <w:t>臭氧发生器输出：0.025～1.000ppm，3～4LPM</w:t>
            </w:r>
          </w:p>
          <w:p>
            <w:pPr>
              <w:rPr>
                <w:rFonts w:ascii="宋体" w:hAnsi="宋体"/>
                <w:szCs w:val="21"/>
              </w:rPr>
            </w:pPr>
            <w:r>
              <w:rPr>
                <w:rFonts w:ascii="宋体" w:hAnsi="宋体" w:hint="eastAsia"/>
                <w:szCs w:val="21"/>
              </w:rPr>
              <w:t>臭氧发生器响应：1分钟至最终值的98%或5ppb，取大值</w:t>
            </w:r>
          </w:p>
          <w:p>
            <w:pPr>
              <w:rPr>
                <w:rFonts w:ascii="宋体" w:hAnsi="宋体"/>
                <w:szCs w:val="21"/>
              </w:rPr>
            </w:pPr>
            <w:r>
              <w:rPr>
                <w:rFonts w:ascii="宋体" w:hAnsi="宋体" w:hint="eastAsia"/>
                <w:szCs w:val="21"/>
              </w:rPr>
              <w:t>臭氧发生器稳定度：±4ppb或±1%读数，取大值</w:t>
            </w:r>
          </w:p>
          <w:p>
            <w:pPr>
              <w:rPr>
                <w:rFonts w:ascii="宋体" w:hAnsi="宋体"/>
                <w:szCs w:val="21"/>
              </w:rPr>
            </w:pPr>
            <w:r>
              <w:rPr>
                <w:rFonts w:ascii="宋体" w:hAnsi="宋体" w:hint="eastAsia"/>
                <w:szCs w:val="21"/>
              </w:rPr>
              <w:t>(6)动态校准仪</w:t>
            </w:r>
          </w:p>
          <w:p>
            <w:pPr>
              <w:rPr>
                <w:rFonts w:ascii="宋体" w:hAnsi="宋体"/>
                <w:szCs w:val="21"/>
              </w:rPr>
            </w:pPr>
            <w:r>
              <w:rPr>
                <w:rFonts w:ascii="宋体" w:hAnsi="宋体" w:hint="eastAsia"/>
                <w:szCs w:val="21"/>
              </w:rPr>
              <w:t>流量测量准确度：±2%读数或1%满量程，取较小值（量程的20%到100%）</w:t>
            </w:r>
          </w:p>
          <w:p>
            <w:pPr>
              <w:rPr>
                <w:rFonts w:ascii="宋体" w:hAnsi="宋体"/>
                <w:szCs w:val="21"/>
              </w:rPr>
            </w:pPr>
            <w:r>
              <w:rPr>
                <w:rFonts w:ascii="宋体" w:hAnsi="宋体" w:hint="eastAsia"/>
                <w:szCs w:val="21"/>
              </w:rPr>
              <w:t>质量流量测量的线性：±0.5%满量程</w:t>
            </w:r>
          </w:p>
          <w:p>
            <w:pPr>
              <w:rPr>
                <w:rFonts w:ascii="宋体" w:hAnsi="宋体"/>
                <w:szCs w:val="21"/>
              </w:rPr>
            </w:pPr>
            <w:r>
              <w:rPr>
                <w:rFonts w:ascii="宋体" w:hAnsi="宋体" w:hint="eastAsia"/>
                <w:szCs w:val="21"/>
              </w:rPr>
              <w:t>△质量流量测量的重复性：±2%读数或1%满量程，取较小值（量程的20%到100%）</w:t>
            </w:r>
          </w:p>
          <w:p>
            <w:pPr>
              <w:rPr>
                <w:rFonts w:ascii="宋体" w:hAnsi="宋体"/>
                <w:szCs w:val="21"/>
              </w:rPr>
            </w:pPr>
            <w:r>
              <w:rPr>
                <w:rFonts w:ascii="宋体" w:hAnsi="宋体" w:hint="eastAsia"/>
                <w:szCs w:val="21"/>
              </w:rPr>
              <w:t>稀释气体流量范围：0～10SLPM，可选0～5/0～20SLPM</w:t>
            </w:r>
          </w:p>
          <w:p>
            <w:pPr>
              <w:rPr>
                <w:rFonts w:ascii="宋体" w:hAnsi="宋体"/>
                <w:szCs w:val="21"/>
              </w:rPr>
            </w:pPr>
            <w:r>
              <w:rPr>
                <w:rFonts w:ascii="宋体" w:hAnsi="宋体" w:hint="eastAsia"/>
                <w:szCs w:val="21"/>
              </w:rPr>
              <w:t>钢瓶气流量范围：0～100SCCM，可选0～50/0～200SCCM</w:t>
            </w:r>
          </w:p>
          <w:p>
            <w:pPr>
              <w:rPr>
                <w:rFonts w:ascii="宋体" w:hAnsi="宋体"/>
                <w:szCs w:val="21"/>
              </w:rPr>
            </w:pPr>
            <w:r>
              <w:rPr>
                <w:rFonts w:ascii="宋体" w:hAnsi="宋体" w:hint="eastAsia"/>
                <w:szCs w:val="21"/>
              </w:rPr>
              <w:t>(7)零气发生器</w:t>
            </w:r>
          </w:p>
          <w:p>
            <w:pPr>
              <w:rPr>
                <w:rFonts w:ascii="宋体" w:hAnsi="宋体"/>
                <w:szCs w:val="21"/>
              </w:rPr>
            </w:pPr>
            <w:r>
              <w:rPr>
                <w:rFonts w:ascii="宋体" w:hAnsi="宋体" w:hint="eastAsia"/>
                <w:szCs w:val="21"/>
              </w:rPr>
              <w:t>输出压力：10～60psi</w:t>
            </w:r>
          </w:p>
          <w:p>
            <w:pPr>
              <w:rPr>
                <w:rFonts w:ascii="宋体" w:hAnsi="宋体"/>
                <w:szCs w:val="21"/>
              </w:rPr>
            </w:pPr>
            <w:r>
              <w:rPr>
                <w:rFonts w:ascii="宋体" w:hAnsi="宋体" w:hint="eastAsia"/>
                <w:szCs w:val="21"/>
              </w:rPr>
              <w:t>流量：0～10L/min（标准），0～20L/min（选项）</w:t>
            </w:r>
          </w:p>
          <w:p>
            <w:pPr>
              <w:rPr>
                <w:rFonts w:ascii="宋体" w:hAnsi="宋体"/>
                <w:szCs w:val="21"/>
              </w:rPr>
            </w:pPr>
            <w:r>
              <w:rPr>
                <w:rFonts w:ascii="宋体" w:hAnsi="宋体" w:hint="eastAsia"/>
                <w:szCs w:val="21"/>
              </w:rPr>
              <w:t>露点：0℃</w:t>
            </w:r>
          </w:p>
          <w:p>
            <w:pPr>
              <w:rPr>
                <w:rFonts w:ascii="宋体" w:hAnsi="宋体"/>
                <w:szCs w:val="21"/>
              </w:rPr>
            </w:pPr>
            <w:r>
              <w:rPr>
                <w:rFonts w:ascii="宋体" w:hAnsi="宋体" w:hint="eastAsia"/>
                <w:szCs w:val="21"/>
                <w:highlight w:val="yellow"/>
                <w:lang w:val="en-US" w:eastAsia="zh-CN"/>
              </w:rPr>
              <w:t>#</w:t>
            </w:r>
            <w:r>
              <w:rPr>
                <w:rFonts w:ascii="宋体" w:hAnsi="宋体" w:hint="eastAsia"/>
                <w:szCs w:val="21"/>
                <w:highlight w:val="yellow"/>
              </w:rPr>
              <w:t>△零气纯度：SO2&lt;0.1ppb、NO&lt;0.1ppb、NO2&lt;0.1ppb、O3&lt;0.4ppb、H2S&lt;0.1ppb、NH3&lt;0.1ppb、CO（可选）&lt;0.02ppm</w:t>
            </w:r>
          </w:p>
        </w:tc>
      </w:tr>
      <w:tr>
        <w:tblPrEx>
          <w:tblW w:w="0" w:type="auto"/>
          <w:tblInd w:w="0" w:type="dxa"/>
          <w:tblCellMar>
            <w:top w:w="0" w:type="dxa"/>
            <w:left w:w="108" w:type="dxa"/>
            <w:bottom w:w="0" w:type="dxa"/>
            <w:right w:w="108" w:type="dxa"/>
          </w:tblCellMar>
        </w:tblPrEx>
        <w:tc>
          <w:tcPr>
            <w:tcW w:w="675" w:type="dxa"/>
            <w:vAlign w:val="center"/>
          </w:tcPr>
          <w:p>
            <w:pPr>
              <w:spacing w:line="360" w:lineRule="auto"/>
              <w:rPr>
                <w:rFonts w:ascii="宋体" w:hAnsi="宋体"/>
                <w:szCs w:val="21"/>
              </w:rPr>
            </w:pPr>
            <w:r>
              <w:rPr>
                <w:rFonts w:ascii="宋体" w:hAnsi="宋体" w:hint="eastAsia"/>
                <w:szCs w:val="21"/>
              </w:rPr>
              <w:t>2</w:t>
            </w:r>
          </w:p>
        </w:tc>
        <w:tc>
          <w:tcPr>
            <w:tcW w:w="2268" w:type="dxa"/>
            <w:vAlign w:val="center"/>
          </w:tcPr>
          <w:p>
            <w:pPr>
              <w:spacing w:line="360" w:lineRule="auto"/>
              <w:rPr>
                <w:rFonts w:ascii="宋体" w:hAnsi="宋体"/>
                <w:szCs w:val="21"/>
              </w:rPr>
            </w:pPr>
            <w:r>
              <w:rPr>
                <w:rFonts w:ascii="宋体" w:hAnsi="宋体" w:hint="eastAsia"/>
                <w:szCs w:val="21"/>
              </w:rPr>
              <w:t>标气气瓶</w:t>
            </w:r>
          </w:p>
        </w:tc>
        <w:tc>
          <w:tcPr>
            <w:tcW w:w="6060" w:type="dxa"/>
          </w:tcPr>
          <w:p>
            <w:pPr>
              <w:widowControl/>
              <w:rPr>
                <w:rFonts w:ascii="宋体" w:hAnsi="宋体"/>
                <w:szCs w:val="21"/>
                <w:highlight w:val="yellow"/>
              </w:rPr>
            </w:pPr>
            <w:r>
              <w:rPr>
                <w:rFonts w:ascii="宋体" w:hAnsi="宋体" w:hint="eastAsia"/>
                <w:szCs w:val="21"/>
                <w:highlight w:val="yellow"/>
                <w:lang w:val="en-US" w:eastAsia="zh-CN"/>
              </w:rPr>
              <w:t>#</w:t>
            </w:r>
            <w:r>
              <w:rPr>
                <w:rFonts w:ascii="宋体" w:hAnsi="宋体" w:hint="eastAsia"/>
                <w:szCs w:val="21"/>
                <w:highlight w:val="yellow"/>
              </w:rPr>
              <w:t>（1）瓶体材质：不锈钢或铝，内壁经处理，对标气含二氧化碳/甲烷温室气体浓度无影响；</w:t>
            </w:r>
          </w:p>
          <w:p>
            <w:pPr>
              <w:widowControl/>
              <w:rPr>
                <w:rFonts w:ascii="宋体" w:hAnsi="宋体"/>
                <w:szCs w:val="21"/>
              </w:rPr>
            </w:pPr>
            <w:r>
              <w:rPr>
                <w:rFonts w:ascii="宋体" w:hAnsi="宋体" w:hint="eastAsia"/>
                <w:szCs w:val="21"/>
              </w:rPr>
              <w:t>（2）容积：30L；</w:t>
            </w:r>
          </w:p>
          <w:p>
            <w:pPr>
              <w:spacing w:line="360" w:lineRule="auto"/>
              <w:rPr>
                <w:rFonts w:ascii="宋体" w:hAnsi="宋体"/>
                <w:szCs w:val="21"/>
              </w:rPr>
            </w:pPr>
            <w:r>
              <w:rPr>
                <w:rFonts w:ascii="宋体" w:hAnsi="宋体" w:hint="eastAsia"/>
                <w:szCs w:val="21"/>
                <w:highlight w:val="yellow"/>
                <w:lang w:val="en-US" w:eastAsia="zh-CN"/>
              </w:rPr>
              <w:t>#</w:t>
            </w:r>
            <w:r>
              <w:rPr>
                <w:rFonts w:ascii="宋体" w:hAnsi="宋体" w:hint="eastAsia"/>
                <w:szCs w:val="21"/>
                <w:highlight w:val="yellow"/>
              </w:rPr>
              <w:t>（3）内表面处理：机械抛光、电解抛光、硅烷化钝化等。</w:t>
            </w:r>
          </w:p>
        </w:tc>
      </w:tr>
    </w:tbl>
    <w:p>
      <w:pPr>
        <w:spacing w:line="360" w:lineRule="auto"/>
        <w:ind w:firstLine="420" w:firstLineChars="200"/>
        <w:rPr>
          <w:rFonts w:ascii="宋体" w:hAnsi="宋体"/>
          <w:szCs w:val="21"/>
        </w:rPr>
      </w:pPr>
      <w:r>
        <w:rPr>
          <w:rFonts w:ascii="宋体" w:hAnsi="宋体" w:hint="eastAsia"/>
          <w:szCs w:val="21"/>
        </w:rPr>
        <w:t>四、供货要求</w:t>
      </w:r>
    </w:p>
    <w:p>
      <w:pPr>
        <w:spacing w:line="360" w:lineRule="auto"/>
        <w:ind w:firstLine="420" w:firstLineChars="200"/>
        <w:rPr>
          <w:rFonts w:ascii="宋体" w:hAnsi="宋体" w:hint="eastAsia"/>
          <w:szCs w:val="21"/>
        </w:rPr>
      </w:pPr>
      <w:r>
        <w:rPr>
          <w:rFonts w:ascii="宋体" w:hAnsi="宋体" w:hint="eastAsia"/>
          <w:szCs w:val="21"/>
        </w:rPr>
        <w:t>供应商将所有设备运送到招标人指定地点（运输相关费用由供应商负责），并负责安装调试。 供货期</w:t>
      </w:r>
      <w:r>
        <w:rPr>
          <w:rFonts w:ascii="宋体" w:hAnsi="宋体" w:hint="eastAsia"/>
          <w:szCs w:val="21"/>
          <w:lang w:val="en-US" w:eastAsia="zh-CN"/>
        </w:rPr>
        <w:t>为合同签订之日365天内</w:t>
      </w:r>
      <w:r>
        <w:rPr>
          <w:rFonts w:ascii="宋体" w:hAnsi="宋体" w:hint="eastAsia"/>
          <w:szCs w:val="21"/>
        </w:rPr>
        <w:t>。</w:t>
      </w:r>
    </w:p>
    <w:p>
      <w:pPr>
        <w:numPr>
          <w:ilvl w:val="0"/>
          <w:numId w:val="5"/>
        </w:numPr>
        <w:spacing w:line="360" w:lineRule="auto"/>
        <w:ind w:firstLine="420" w:firstLineChars="200"/>
        <w:rPr>
          <w:rFonts w:ascii="宋体" w:hAnsi="宋体" w:hint="eastAsia"/>
          <w:szCs w:val="21"/>
        </w:rPr>
      </w:pPr>
      <w:r>
        <w:rPr>
          <w:rFonts w:ascii="宋体" w:hAnsi="宋体" w:hint="eastAsia"/>
          <w:szCs w:val="21"/>
          <w:lang w:val="en-US" w:eastAsia="zh-CN"/>
        </w:rPr>
        <w:t>验收要求</w:t>
      </w:r>
    </w:p>
    <w:p>
      <w:pPr>
        <w:numPr>
          <w:ilvl w:val="12"/>
          <w:numId w:val="0"/>
        </w:numPr>
        <w:spacing w:line="360" w:lineRule="auto"/>
        <w:ind w:firstLine="420" w:firstLineChars="200"/>
        <w:rPr>
          <w:rFonts w:ascii="宋体" w:eastAsia="宋体" w:hAnsi="宋体" w:hint="eastAsia"/>
          <w:szCs w:val="21"/>
        </w:rPr>
      </w:pPr>
      <w:r>
        <w:rPr>
          <w:rFonts w:ascii="宋体" w:hAnsi="宋体" w:hint="eastAsia"/>
          <w:szCs w:val="21"/>
          <w:lang w:val="en-US" w:eastAsia="zh-CN"/>
        </w:rPr>
        <w:t>设备到达指定地点后，由采购单位、供应商及相关方共同进行到货清点与外观检验。供应商需提供详细的装箱清单、设备出厂合格证明、原产地证明等必要文件。核对设备品牌、型号、规格、数量与合同及装箱单是否一致；检查设备及配件包装是否完好、外观有无明显破损、变形、受潮、锈蚀等缺陷。</w:t>
      </w:r>
      <w:r>
        <w:rPr>
          <w:rFonts w:ascii="Segoe UI" w:eastAsia="Segoe UI" w:hAnsi="Segoe UI" w:cs="Segoe UI"/>
          <w:i w:val="0"/>
          <w:iCs w:val="0"/>
          <w:caps w:val="0"/>
          <w:color w:val="404040"/>
          <w:spacing w:val="0"/>
          <w:sz w:val="24"/>
          <w:szCs w:val="24"/>
          <w:shd w:val="clear" w:color="auto" w:fill="FFFFFF"/>
        </w:rPr>
        <w:t>到货验收合格后，签署设备到货验收单</w:t>
      </w:r>
      <w:r>
        <w:rPr>
          <w:rFonts w:ascii="Segoe UI" w:eastAsia="宋体" w:hAnsi="Segoe UI" w:cs="Segoe UI" w:hint="eastAsia"/>
          <w:i w:val="0"/>
          <w:iCs w:val="0"/>
          <w:caps w:val="0"/>
          <w:color w:val="404040"/>
          <w:spacing w:val="0"/>
          <w:sz w:val="24"/>
          <w:szCs w:val="24"/>
          <w:shd w:val="clear" w:color="auto" w:fill="FFFFFF"/>
          <w:lang w:eastAsia="zh-CN"/>
        </w:rPr>
        <w:t>。</w:t>
      </w:r>
    </w:p>
    <w:p>
      <w:pPr>
        <w:numPr>
          <w:ilvl w:val="0"/>
          <w:numId w:val="0"/>
        </w:numPr>
        <w:spacing w:line="360" w:lineRule="auto"/>
        <w:ind w:firstLine="420" w:firstLineChars="200"/>
        <w:rPr>
          <w:rFonts w:ascii="宋体" w:eastAsia="宋体" w:hAnsi="宋体"/>
          <w:szCs w:val="21"/>
        </w:rPr>
      </w:pPr>
      <w:r>
        <w:rPr>
          <w:rFonts w:ascii="宋体" w:eastAsia="宋体" w:hAnsi="宋体" w:cstheme="minorBidi" w:hint="eastAsia"/>
          <w:kern w:val="2"/>
          <w:sz w:val="21"/>
          <w:szCs w:val="21"/>
          <w:lang w:val="en-US" w:eastAsia="zh-CN" w:bidi="ar-SA"/>
        </w:rPr>
        <w:t>六、</w:t>
      </w:r>
      <w:r>
        <w:rPr>
          <w:rFonts w:ascii="宋体" w:hAnsi="宋体" w:hint="eastAsia"/>
          <w:szCs w:val="21"/>
        </w:rPr>
        <w:t>技术服务和质保期服务要求</w:t>
      </w:r>
    </w:p>
    <w:p>
      <w:pPr>
        <w:spacing w:line="360" w:lineRule="auto"/>
        <w:ind w:left="210" w:leftChars="100"/>
        <w:rPr>
          <w:rFonts w:ascii="宋体" w:eastAsia="宋体" w:hAnsi="宋体"/>
          <w:szCs w:val="21"/>
        </w:rPr>
      </w:pPr>
      <w:r>
        <w:rPr>
          <w:rFonts w:ascii="宋体" w:eastAsia="宋体" w:hAnsi="宋体"/>
          <w:szCs w:val="21"/>
        </w:rPr>
        <w:t xml:space="preserve">（一）项目团队 </w:t>
      </w:r>
    </w:p>
    <w:p>
      <w:pPr>
        <w:spacing w:line="360" w:lineRule="auto"/>
        <w:ind w:firstLine="420" w:firstLineChars="200"/>
        <w:rPr>
          <w:rFonts w:ascii="宋体" w:eastAsia="宋体" w:hAnsi="宋体"/>
          <w:szCs w:val="21"/>
        </w:rPr>
      </w:pPr>
      <w:r>
        <w:rPr>
          <w:rFonts w:ascii="宋体" w:eastAsia="宋体" w:hAnsi="宋体"/>
          <w:szCs w:val="21"/>
        </w:rPr>
        <w:t xml:space="preserve">供应商为本项目设立专业团队，负责项目中全部设备的安装、调试、故障排除和质保期内的其他相关工作。其中供应商应确保团队的稳定性和专业性，项目经理应具有必要的项目管理 经验。 </w:t>
      </w:r>
    </w:p>
    <w:p>
      <w:pPr>
        <w:spacing w:line="360" w:lineRule="auto"/>
        <w:ind w:left="210" w:leftChars="100"/>
        <w:rPr>
          <w:rFonts w:ascii="宋体" w:eastAsia="宋体" w:hAnsi="宋体"/>
          <w:szCs w:val="21"/>
        </w:rPr>
      </w:pPr>
      <w:r>
        <w:rPr>
          <w:rFonts w:ascii="宋体" w:eastAsia="宋体" w:hAnsi="宋体"/>
          <w:szCs w:val="21"/>
        </w:rPr>
        <w:t xml:space="preserve">（二）技术支持 </w:t>
      </w:r>
    </w:p>
    <w:p>
      <w:pPr>
        <w:spacing w:line="360" w:lineRule="auto"/>
        <w:ind w:left="210" w:firstLine="420" w:leftChars="100" w:firstLineChars="200"/>
        <w:rPr>
          <w:rFonts w:ascii="宋体" w:eastAsia="宋体" w:hAnsi="宋体"/>
          <w:szCs w:val="21"/>
        </w:rPr>
      </w:pPr>
      <w:r>
        <w:rPr>
          <w:rFonts w:ascii="宋体" w:eastAsia="宋体" w:hAnsi="宋体"/>
          <w:szCs w:val="21"/>
        </w:rPr>
        <w:t>供应商提供完善的售后服务方案，服务方案包含不限于现场服务方案和远程技术指导方案等。</w:t>
      </w:r>
      <w:r>
        <w:rPr>
          <w:rFonts w:ascii="宋体" w:eastAsia="宋体" w:hAnsi="宋体" w:hint="eastAsia"/>
          <w:szCs w:val="21"/>
        </w:rPr>
        <w:t>同时，提供的货物应具备质量监视评估功能和网络安全监管功能。</w:t>
      </w:r>
      <w:r>
        <w:rPr>
          <w:rFonts w:ascii="宋体" w:eastAsia="宋体" w:hAnsi="宋体"/>
          <w:szCs w:val="21"/>
        </w:rPr>
        <w:t xml:space="preserve"> </w:t>
      </w:r>
    </w:p>
    <w:p>
      <w:pPr>
        <w:spacing w:line="360" w:lineRule="auto"/>
        <w:ind w:left="210" w:leftChars="100"/>
        <w:rPr>
          <w:rFonts w:ascii="宋体" w:eastAsia="宋体" w:hAnsi="宋体"/>
          <w:szCs w:val="21"/>
        </w:rPr>
      </w:pPr>
      <w:r>
        <w:rPr>
          <w:rFonts w:ascii="宋体" w:eastAsia="宋体" w:hAnsi="宋体"/>
          <w:szCs w:val="21"/>
        </w:rPr>
        <w:t xml:space="preserve">（三）技术资料 </w:t>
      </w:r>
    </w:p>
    <w:p>
      <w:pPr>
        <w:spacing w:line="360" w:lineRule="auto"/>
        <w:ind w:left="210" w:firstLine="420" w:leftChars="100" w:firstLineChars="200"/>
        <w:rPr>
          <w:rFonts w:ascii="宋体" w:eastAsia="宋体" w:hAnsi="宋体"/>
          <w:szCs w:val="21"/>
        </w:rPr>
      </w:pPr>
      <w:r>
        <w:rPr>
          <w:rFonts w:ascii="宋体" w:eastAsia="宋体" w:hAnsi="宋体"/>
          <w:szCs w:val="21"/>
        </w:rPr>
        <w:t xml:space="preserve">供应商向采购单位提供整套设备技术资料和用于维护使用的维护手册，含性能指标、系统 构成等详细的维修内容。 </w:t>
      </w:r>
    </w:p>
    <w:p>
      <w:pPr>
        <w:spacing w:line="360" w:lineRule="auto"/>
        <w:ind w:left="210" w:leftChars="100"/>
        <w:rPr>
          <w:rFonts w:ascii="宋体" w:eastAsia="宋体" w:hAnsi="宋体"/>
          <w:szCs w:val="21"/>
        </w:rPr>
      </w:pPr>
      <w:r>
        <w:rPr>
          <w:rFonts w:ascii="宋体" w:eastAsia="宋体" w:hAnsi="宋体"/>
          <w:szCs w:val="21"/>
        </w:rPr>
        <w:t xml:space="preserve">（四）技术培训 </w:t>
      </w:r>
    </w:p>
    <w:p>
      <w:pPr>
        <w:spacing w:line="360" w:lineRule="auto"/>
        <w:ind w:left="210" w:firstLine="420" w:leftChars="100" w:firstLineChars="200"/>
        <w:rPr>
          <w:rFonts w:ascii="宋体" w:eastAsia="宋体" w:hAnsi="宋体"/>
          <w:szCs w:val="21"/>
        </w:rPr>
      </w:pPr>
      <w:r>
        <w:rPr>
          <w:rFonts w:ascii="宋体" w:eastAsia="宋体" w:hAnsi="宋体"/>
          <w:szCs w:val="21"/>
        </w:rPr>
        <w:t xml:space="preserve">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 </w:t>
      </w:r>
    </w:p>
    <w:p>
      <w:pPr>
        <w:spacing w:line="360" w:lineRule="auto"/>
        <w:ind w:left="210" w:leftChars="100"/>
        <w:rPr>
          <w:rFonts w:ascii="宋体" w:eastAsia="宋体" w:hAnsi="宋体"/>
          <w:szCs w:val="21"/>
        </w:rPr>
      </w:pPr>
      <w:r>
        <w:rPr>
          <w:rFonts w:ascii="宋体" w:eastAsia="宋体" w:hAnsi="宋体"/>
          <w:szCs w:val="21"/>
        </w:rPr>
        <w:t xml:space="preserve">（五）质保服务 </w:t>
      </w:r>
    </w:p>
    <w:p>
      <w:pPr>
        <w:spacing w:line="360" w:lineRule="auto"/>
        <w:ind w:left="210" w:firstLine="420" w:leftChars="100" w:firstLineChars="200"/>
        <w:rPr>
          <w:rFonts w:ascii="宋体" w:eastAsia="宋体" w:hAnsi="宋体"/>
          <w:szCs w:val="21"/>
        </w:rPr>
      </w:pPr>
      <w:r>
        <w:rPr>
          <w:rFonts w:ascii="宋体" w:eastAsia="宋体" w:hAnsi="宋体"/>
          <w:szCs w:val="21"/>
        </w:rPr>
        <w:t>质保期：</w:t>
      </w:r>
      <w:r>
        <w:rPr>
          <w:rFonts w:ascii="宋体" w:eastAsia="宋体" w:hAnsi="宋体" w:hint="eastAsia"/>
          <w:szCs w:val="21"/>
          <w:lang w:val="en-US" w:eastAsia="zh-CN"/>
        </w:rPr>
        <w:t>设备安装完成起</w:t>
      </w:r>
      <w:r>
        <w:rPr>
          <w:rFonts w:ascii="宋体" w:eastAsia="宋体" w:hAnsi="宋体"/>
          <w:szCs w:val="21"/>
        </w:rPr>
        <w:t xml:space="preserve">1年。 </w:t>
      </w:r>
    </w:p>
    <w:p>
      <w:pPr>
        <w:spacing w:line="360" w:lineRule="auto"/>
        <w:ind w:left="210" w:firstLine="420" w:leftChars="100" w:firstLineChars="200"/>
        <w:rPr>
          <w:rFonts w:ascii="宋体" w:eastAsia="宋体" w:hAnsi="宋体"/>
          <w:szCs w:val="21"/>
        </w:rPr>
      </w:pPr>
      <w:r>
        <w:rPr>
          <w:rFonts w:ascii="宋体" w:eastAsia="宋体" w:hAnsi="宋体"/>
          <w:szCs w:val="21"/>
        </w:rPr>
        <w:t>供应商需对质保期（保内、保外）政策进行阐述或承诺，列明有偿服务和无偿服务内容。</w:t>
      </w:r>
    </w:p>
    <w:p>
      <w:pPr>
        <w:numPr>
          <w:ilvl w:val="0"/>
          <w:numId w:val="0"/>
        </w:numPr>
        <w:spacing w:line="360" w:lineRule="auto"/>
        <w:rPr>
          <w:rFonts w:ascii="宋体" w:hAnsi="宋体" w:hint="eastAsia"/>
          <w:szCs w:val="21"/>
        </w:rPr>
      </w:pP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2"/>
        <w:gridCol w:w="3277"/>
        <w:gridCol w:w="856"/>
        <w:gridCol w:w="1189"/>
        <w:gridCol w:w="1356"/>
        <w:gridCol w:w="856"/>
        <w:gridCol w:w="5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温室气体(CO2/CH4)标气标校系统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2,448,000.00</w:t>
            </w:r>
          </w:p>
        </w:tc>
        <w:tc>
          <w:tcPr/>
          <w:p>
            <w:pPr>
              <w:autoSpaceDE w:val="0"/>
              <w:jc w:val="center"/>
              <w:rPr>
                <w:rFonts w:asciiTheme="minorEastAsia" w:hAnsiTheme="minorEastAsia" w:cstheme="minorEastAsia" w:hint="eastAsia"/>
                <w:kern w:val="0"/>
                <w:szCs w:val="21"/>
              </w:rPr>
            </w:pPr>
            <w:r>
              <w:t>365</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反应性气体(NOx/SO2/CO/O3)标气标校系统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2,892,000.00</w:t>
            </w:r>
          </w:p>
        </w:tc>
        <w:tc>
          <w:tcPr/>
          <w:p>
            <w:pPr>
              <w:autoSpaceDE w:val="0"/>
              <w:jc w:val="center"/>
              <w:rPr>
                <w:rFonts w:asciiTheme="minorEastAsia" w:hAnsiTheme="minorEastAsia" w:cstheme="minorEastAsia" w:hint="eastAsia"/>
                <w:kern w:val="0"/>
                <w:szCs w:val="21"/>
              </w:rPr>
            </w:pPr>
            <w:r>
              <w:t>365</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5,340,000.00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1"/>
        <w:gridCol w:w="2318"/>
        <w:gridCol w:w="2581"/>
        <w:gridCol w:w="411"/>
        <w:gridCol w:w="937"/>
        <w:gridCol w:w="781"/>
        <w:gridCol w:w="674"/>
        <w:gridCol w:w="40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中国气象局气象探测中心(001023108)</w:t>
            </w:r>
          </w:p>
        </w:tc>
        <w:tc>
          <w:tcPr/>
          <w:p>
            <w:r>
              <w:t>反应性气体(NOx/SO2/CO/O3)标气标校系统</w:t>
            </w:r>
          </w:p>
        </w:tc>
        <w:tc>
          <w:tcPr/>
          <w:p>
            <w:r>
              <w:t>1</w:t>
            </w:r>
          </w:p>
        </w:tc>
        <w:tc>
          <w:tcPr/>
          <w:p>
            <w:r>
              <w:t>2892000.00</w:t>
            </w:r>
          </w:p>
        </w:tc>
        <w:tc>
          <w:tcPr>
            <w:vMerge w:val="restart"/>
          </w:tcPr>
          <w:p>
            <w:r>
              <w:t xml:space="preserve">5340000.00  </w:t>
            </w:r>
          </w:p>
        </w:tc>
        <w:tc>
          <w:tcPr/>
          <w:p/>
        </w:tc>
        <w:tc>
          <w:tcPr/>
          <w:p/>
        </w:tc>
      </w:tr>
      <w:tr>
        <w:tblPrEx>
          <w:tblW w:w="5000" w:type="pct"/>
          <w:tblCellMar>
            <w:left w:w="108" w:type="dxa"/>
            <w:right w:w="108" w:type="dxa"/>
          </w:tblCellMar>
        </w:tblPrEx>
        <w:tc>
          <w:tcPr/>
          <w:p>
            <w:r>
              <w:t>2</w:t>
            </w:r>
          </w:p>
        </w:tc>
        <w:tc>
          <w:tcPr>
            <w:vMerge/>
          </w:tcPr>
          <w:p>
            <w:r>
              <w:t>中国气象局气象探测中心(001023108)</w:t>
            </w:r>
          </w:p>
        </w:tc>
        <w:tc>
          <w:tcPr/>
          <w:p>
            <w:r>
              <w:t>温室气体(CO2/CH4)标气标校系统</w:t>
            </w:r>
          </w:p>
        </w:tc>
        <w:tc>
          <w:tcPr/>
          <w:p>
            <w:r>
              <w:t>1</w:t>
            </w:r>
          </w:p>
        </w:tc>
        <w:tc>
          <w:tcPr/>
          <w:p>
            <w:r>
              <w:t>2448000.00</w:t>
            </w:r>
          </w:p>
        </w:tc>
        <w:tc>
          <w:tcPr>
            <w:vMerge/>
          </w:tcPr>
          <w:p>
            <w:r>
              <w:t xml:space="preserve">5340000.00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6B88C1C"/>
    <w:multiLevelType w:val="singleLevel"/>
    <w:tmpl w:val="A6B88C1C"/>
    <w:lvl w:ilvl="0">
      <w:start w:val="5"/>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100A473"/>
    <w:multiLevelType w:val="singleLevel"/>
    <w:tmpl w:val="3100A473"/>
    <w:lvl w:ilvl="0">
      <w:start w:val="2"/>
      <w:numFmt w:val="chineseCounting"/>
      <w:suff w:val="nothing"/>
      <w:lvlText w:val="%1、"/>
      <w:lvlJc w:val="left"/>
      <w:rPr>
        <w:rFonts w:hint="eastAsia"/>
      </w:r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1"/>
  </w:num>
  <w:num w:numId="5">
    <w:abstractNumId w:val="0"/>
  </w:num>
  <w:num w:numId="6">
    <w:abstractNumId w:val="13"/>
  </w:num>
  <w:num w:numId="7">
    <w:abstractNumId w:val="14"/>
  </w:num>
  <w:num w:numId="8">
    <w:abstractNumId w:val="2"/>
  </w:num>
  <w:num w:numId="9">
    <w:abstractNumId w:val="6"/>
  </w:num>
  <w:num w:numId="10">
    <w:abstractNumId w:val="4"/>
  </w:num>
  <w:num w:numId="11">
    <w:abstractNumId w:val="3"/>
  </w:num>
  <w:num w:numId="12">
    <w:abstractNumId w:val="12"/>
  </w:num>
  <w:num w:numId="13">
    <w:abstractNumId w:val="1"/>
  </w:num>
  <w:num w:numId="14">
    <w:abstractNumId w:val="5"/>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widowControl/>
      <w:jc w:val="left"/>
    </w:pPr>
    <w:rPr>
      <w:rFonts w:asciiTheme="minorHAnsi" w:eastAsiaTheme="minorEastAsia" w:hAnsiTheme="minorHAnsi" w:cs="微软雅黑"/>
      <w:bCs/>
      <w:color w:val="000000"/>
      <w:sz w:val="24"/>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