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2025年四川盆地周边地区微小型X波段天气雷达采购项目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2025年四川盆地周边地区微小型X波段天气雷达采购项目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各采购单位所在省、区、市境内指定地点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2025年12月12日 00:00:00</w:t>
      </w:r>
      <w:bookmarkEnd w:id="26"/>
      <w:r>
        <w:rPr>
          <w:rFonts w:ascii="宋体" w:hint="eastAsia"/>
          <w:szCs w:val="21"/>
          <w:highlight w:val="none"/>
        </w:rPr>
        <w:t>至</w:t>
      </w:r>
      <w:bookmarkStart w:id="27" w:name="项目公告_signUpLastTime"/>
      <w:r>
        <w:rPr>
          <w:rFonts w:ascii="宋体" w:hint="eastAsia"/>
          <w:szCs w:val="21"/>
          <w:highlight w:val="none"/>
        </w:rPr>
        <w:t>2025年12月19日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028-87327019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成都市青羊区光华村街20号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不允许（仅针对以下产品：1、微小X波段雷达主机设备，2、微小X波段雷达设备基础建设安装、运输、供配电改造、防雷设施等不允许代理商投标）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（1）标的：微小X波段雷达主机设备，属于  工业 行业；（2）标的：微小X波段雷达设备基础建设安装、运输、供配电改造、防雷设施等，属于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372.000000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372.000000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此为在四川盆地周边区域拟建的4部雷达采购</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销售合同必须包括微小型X波段天气雷达主机设备，每提供1份合同得1分，最多得5分。否则不得分。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针对本项目采购的微小型X波段天气雷达主机设备，承诺每提前15天交货的得1分，最多得1分。否则不得分。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针对微小型X波段天气雷达主机设备，每提供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针对微小型X波段雷达主机设备，测试报告应涵盖极端气温、湿热、抗大风、电磁兼容性检查等内容，每包含一项得0.75分，最多得3分。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 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13355"/>
      <w:bookmarkStart w:id="63" w:name="_Toc374091441"/>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eastAsia="仿宋_GB2312" w:hAnsi="仿宋_GB2312" w:cs="仿宋_GB2312" w:hint="eastAsia"/>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天线用于辐射微波能量和接收目标后向散射微波功率。</w:t>
      </w:r>
      <w:bookmarkStart w:id="65" w:name="_Toc1460331067"/>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馈线主要用于传输发射信号和接收信号。</w:t>
      </w:r>
    </w:p>
    <w:bookmarkEnd w:id="62"/>
    <w:bookmarkEnd w:id="63"/>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3992212"/>
      <w:bookmarkStart w:id="69" w:name="_Hlk522863903"/>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bookmarkEnd w:id="67"/>
    <w:bookmarkEnd w:id="68"/>
    <w:bookmarkEnd w:id="69"/>
    <w:p>
      <w:pPr>
        <w:ind w:firstLine="560" w:firstLineChars="200"/>
        <w:outlineLvl w:val="4"/>
        <w:rPr>
          <w:rFonts w:ascii="仿宋_GB2312" w:eastAsia="仿宋_GB2312" w:hAnsi="仿宋_GB2312" w:cs="仿宋_GB2312" w:hint="eastAsia"/>
          <w:bCs/>
          <w:sz w:val="28"/>
          <w:szCs w:val="28"/>
        </w:rPr>
      </w:pPr>
      <w:bookmarkStart w:id="70" w:name="_Toc773431488"/>
      <w:r>
        <w:rPr>
          <w:rFonts w:ascii="仿宋_GB2312" w:eastAsia="仿宋_GB2312" w:hAnsi="仿宋_GB2312" w:cs="仿宋_GB2312" w:hint="eastAsia"/>
          <w:bCs/>
          <w:sz w:val="28"/>
          <w:szCs w:val="28"/>
        </w:rPr>
        <w:t>1.5发射机</w:t>
      </w:r>
      <w:bookmarkEnd w:id="70"/>
    </w:p>
    <w:p>
      <w:pPr>
        <w:ind w:firstLine="560" w:firstLineChars="200"/>
        <w:outlineLvl w:val="9"/>
        <w:rPr>
          <w:rFonts w:ascii="仿宋" w:eastAsia="仿宋" w:hAnsi="仿宋" w:hint="eastAsia"/>
          <w:sz w:val="28"/>
          <w:szCs w:val="28"/>
        </w:rPr>
      </w:pPr>
      <w:r>
        <w:rPr>
          <w:rFonts w:ascii="仿宋" w:eastAsia="仿宋" w:hAnsi="仿宋" w:hint="eastAsia"/>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1.6接收机</w:t>
      </w:r>
      <w:bookmarkEnd w:id="71"/>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接收机采用高集成度设计，由接收通道、频率源（本振）等组成。</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hint="eastAsia"/>
          <w:sz w:val="28"/>
          <w:szCs w:val="28"/>
        </w:rPr>
      </w:pPr>
      <w:r>
        <w:rPr>
          <w:rFonts w:ascii="仿宋" w:eastAsia="仿宋" w:hAnsi="仿宋" w:hint="eastAsia"/>
          <w:sz w:val="28"/>
          <w:szCs w:val="28"/>
        </w:rPr>
        <w:t>频率源为雷达各分机提供各种频率信号、本振信号、激励信号、参考时钟和测试信号，并以高稳定度的晶振作为频率基准。</w:t>
      </w:r>
      <w:bookmarkEnd w:id="72"/>
      <w:bookmarkStart w:id="73" w:name="_Toc28016954"/>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570" w:lineRule="exact"/>
        <w:ind w:firstLine="560" w:firstLineChars="200"/>
        <w:rPr>
          <w:rFonts w:ascii="仿宋_GB2312"/>
          <w:sz w:val="28"/>
          <w:szCs w:val="28"/>
        </w:rPr>
      </w:pPr>
      <w:r>
        <w:rPr>
          <w:rFonts w:ascii="仿宋" w:eastAsia="仿宋" w:hAnsi="仿宋" w:hint="eastAsia"/>
          <w:sz w:val="28"/>
          <w:szCs w:val="28"/>
        </w:rPr>
        <w:t>数字中频单元实现雷达中频信号高速采集、提供雷达定时触发、脉冲压缩、接收角码数据、上传I/Q和角码数据，以及雷达下变频处理、动态范围、同步定时及控制等功能</w:t>
      </w:r>
      <w:r>
        <w:rPr>
          <w:rFonts w:ascii="仿宋_GB2312" w:hint="eastAsia"/>
          <w:sz w:val="28"/>
          <w:szCs w:val="28"/>
        </w:rPr>
        <w:t>。</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数字中频单元布置于接收机内部。</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1.7.2信号处理软件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）、相关系数（ρ</w:t>
      </w:r>
      <w:r>
        <w:rPr>
          <w:rFonts w:ascii="仿宋" w:eastAsia="仿宋" w:hAnsi="仿宋" w:hint="eastAsia"/>
          <w:sz w:val="28"/>
          <w:szCs w:val="28"/>
          <w:vertAlign w:val="baseline"/>
        </w:rPr>
        <w:t>hv</w:t>
      </w:r>
      <w:r>
        <w:rPr>
          <w:rFonts w:ascii="仿宋" w:eastAsia="仿宋" w:hAnsi="仿宋" w:hint="eastAsia"/>
          <w:sz w:val="28"/>
          <w:szCs w:val="28"/>
        </w:rPr>
        <w:t>）等参数，具有速度退模糊和距离退折叠的能力。可向终端提供观测数据和状态信息等。具有地物、电磁干扰、风电干扰等非气象回波识别和抑制的能力。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1.7.3终端软件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lang w:val="en-US" w:eastAsia="zh-CN"/>
        </w:rPr>
        <w:t>h</w:t>
      </w:r>
      <w:r>
        <w:rPr>
          <w:rFonts w:ascii="仿宋" w:eastAsia="仿宋" w:hAnsi="仿宋" w:hint="eastAsia"/>
          <w:sz w:val="28"/>
          <w:szCs w:val="28"/>
        </w:rPr>
        <w:t>）天线座水平度：在伺服转台顶部预留测试位置或内置测试设备。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6"/>
        <w:rPr>
          <w:rFonts w:ascii="仿宋_GB2312" w:eastAsia="仿宋_GB2312" w:hAnsi="仿宋_GB2312" w:cs="仿宋_GB2312" w:hint="eastAsia"/>
          <w:b w:val="0"/>
          <w:bCs w:val="0"/>
          <w:sz w:val="28"/>
          <w:szCs w:val="28"/>
        </w:rPr>
      </w:pPr>
      <w:bookmarkStart w:id="74" w:name="_Toc522018069"/>
      <w:bookmarkStart w:id="75" w:name="_Toc522018392"/>
      <w:r>
        <w:rPr>
          <w:rFonts w:ascii="仿宋_GB2312" w:eastAsia="仿宋_GB2312" w:hAnsi="仿宋_GB2312" w:cs="仿宋_GB2312" w:hint="eastAsia"/>
          <w:b w:val="0"/>
          <w:bCs w:val="0"/>
          <w:sz w:val="28"/>
          <w:szCs w:val="28"/>
          <w:highlight w:val="none"/>
        </w:rPr>
        <w:t>1.7.3.1雷达系统监测</w:t>
      </w:r>
    </w:p>
    <w:p>
      <w:pPr>
        <w:spacing w:line="570" w:lineRule="exact"/>
        <w:ind w:firstLine="560" w:firstLineChars="200"/>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35"/>
        <w:gridCol w:w="3847"/>
        <w:gridCol w:w="3401"/>
      </w:tblGrid>
      <w:tr>
        <w:tblPrEx>
          <w:tblW w:w="8483" w:type="dxa"/>
          <w:jc w:val="center"/>
          <w:tblLayout w:type="fixed"/>
          <w:tblCellMar>
            <w:top w:w="0" w:type="dxa"/>
            <w:left w:w="108" w:type="dxa"/>
            <w:bottom w:w="0" w:type="dxa"/>
            <w:right w:w="108" w:type="dxa"/>
          </w:tblCellMar>
        </w:tblPrEx>
        <w:trPr>
          <w:trHeight w:val="397"/>
          <w:tblHeader/>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847"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40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80μs匹配滤波器损耗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sz w:val="24"/>
              </w:rPr>
              <w:t>在线监测参数</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39</w:t>
            </w:r>
          </w:p>
        </w:tc>
        <w:tc>
          <w:tcPr>
            <w:tcW w:w="3847"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401"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470"/>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80μs水平通道接收增益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47</w:t>
            </w:r>
          </w:p>
        </w:tc>
        <w:tc>
          <w:tcPr>
            <w:tcW w:w="3847" w:type="dxa"/>
            <w:tcBorders>
              <w:top w:val="nil"/>
              <w:left w:val="nil"/>
              <w:bottom w:val="single" w:sz="4" w:space="0" w:color="auto"/>
              <w:right w:val="single" w:sz="4" w:space="0" w:color="auto"/>
            </w:tcBorders>
            <w:vAlign w:val="center"/>
          </w:tcPr>
          <w:p>
            <w:pPr>
              <w:widowControl/>
              <w:jc w:val="left"/>
              <w:rPr>
                <w:rFonts w:ascii="仿宋_GB2312"/>
              </w:rPr>
            </w:pPr>
            <w:r>
              <w:rPr>
                <w:rFonts w:ascii="仿宋_GB2312" w:hint="eastAsia"/>
                <w:sz w:val="24"/>
              </w:rPr>
              <w:t>0.5μs垂直通道接收增益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80μs垂直通道接收增益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具备雷达运行与维护的远程支持能力，包括但不限于发射机峰值功率、接收通道增益等。</w:t>
      </w:r>
    </w:p>
    <w:bookmarkEnd w:id="74"/>
    <w:bookmarkEnd w:id="75"/>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1.7.3.3关键参数在线分析</w:t>
      </w:r>
    </w:p>
    <w:p>
      <w:pPr>
        <w:spacing w:line="570" w:lineRule="exact"/>
        <w:ind w:firstLine="560" w:firstLineChars="200"/>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bookmarkEnd w:id="76"/>
    <w:p>
      <w:pPr>
        <w:spacing w:line="570" w:lineRule="exact"/>
        <w:ind w:firstLine="560" w:firstLineChars="200"/>
        <w:rPr>
          <w:rFonts w:ascii="仿宋" w:eastAsia="仿宋" w:hAnsi="仿宋" w:hint="eastAsia"/>
          <w:sz w:val="28"/>
          <w:szCs w:val="28"/>
        </w:rPr>
      </w:pPr>
      <w:bookmarkStart w:id="77" w:name="_Toc524551142"/>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6"/>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widowControl/>
        <w:spacing w:line="570" w:lineRule="exact"/>
        <w:ind w:firstLine="560" w:firstLineChars="200"/>
        <w:jc w:val="left"/>
        <w:rPr>
          <w:rFonts w:ascii="仿宋_GB2312" w:hint="eastAsia"/>
          <w:sz w:val="28"/>
          <w:szCs w:val="28"/>
        </w:rPr>
      </w:pPr>
      <w:r>
        <w:rPr>
          <w:rFonts w:ascii="仿宋" w:eastAsia="仿宋" w:hAnsi="仿宋" w:hint="eastAsia"/>
          <w:sz w:val="28"/>
          <w:szCs w:val="28"/>
        </w:rPr>
        <w:t>雷达具备授时功能，可以通过网络授时或北斗卫星授时校准系统时间，授时精度优于1s。</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numPr>
          <w:ilvl w:val="0"/>
          <w:numId w:val="4"/>
        </w:num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技术指标</w:t>
      </w:r>
    </w:p>
    <w:p>
      <w:pPr>
        <w:jc w:val="center"/>
        <w:rPr>
          <w:rFonts w:eastAsia="方正小标宋简体"/>
          <w:sz w:val="28"/>
          <w:szCs w:val="28"/>
        </w:rPr>
      </w:pPr>
      <w:r>
        <w:rPr>
          <w:rFonts w:eastAsia="方正小标宋简体"/>
          <w:sz w:val="28"/>
          <w:szCs w:val="28"/>
        </w:rPr>
        <w:t xml:space="preserve"> </w:t>
      </w: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489"/>
        <w:gridCol w:w="2157"/>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9.1～9.5GHz范围内，间隔5MHz可选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≥15年</w:t>
            </w:r>
          </w:p>
        </w:tc>
      </w:tr>
      <w:tr>
        <w:tblPrEx>
          <w:tblW w:w="8760" w:type="dxa"/>
          <w:jc w:val="center"/>
          <w:tblLayout w:type="fixed"/>
          <w:tblCellMar>
            <w:top w:w="0" w:type="dxa"/>
            <w:left w:w="108" w:type="dxa"/>
            <w:bottom w:w="0" w:type="dxa"/>
            <w:right w:w="108" w:type="dxa"/>
          </w:tblCellMar>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定量≥35km</w:t>
            </w:r>
          </w:p>
        </w:tc>
      </w:tr>
      <w:tr>
        <w:tblPrEx>
          <w:tblW w:w="8760" w:type="dxa"/>
          <w:jc w:val="center"/>
          <w:tblLayout w:type="fixed"/>
          <w:tblCellMar>
            <w:top w:w="0" w:type="dxa"/>
            <w:left w:w="108" w:type="dxa"/>
            <w:bottom w:w="0" w:type="dxa"/>
            <w:right w:w="108" w:type="dxa"/>
          </w:tblCellMar>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≤500m</w:t>
            </w:r>
          </w:p>
        </w:tc>
      </w:tr>
      <w:tr>
        <w:tblPrEx>
          <w:tblW w:w="8760" w:type="dxa"/>
          <w:jc w:val="center"/>
          <w:tblLayout w:type="fixed"/>
          <w:tblCellMar>
            <w:top w:w="0" w:type="dxa"/>
            <w:left w:w="108" w:type="dxa"/>
            <w:bottom w:w="0" w:type="dxa"/>
            <w:right w:w="108" w:type="dxa"/>
          </w:tblCellMar>
        </w:tblPrEx>
        <w:trPr>
          <w:trHeight w:val="90"/>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分辨率</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≤75m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rPr>
              <w:t>测量范围</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0～+80dBZ</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±48m/s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0～16m/s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-7.9dB～+7.9dB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-180°～+180°</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-2°/km～+10°/km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0～1</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参数测量精度（标准差）</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≤1m/s</w:t>
            </w:r>
          </w:p>
        </w:tc>
      </w:tr>
      <w:tr>
        <w:tblPrEx>
          <w:tblW w:w="8760" w:type="dxa"/>
          <w:jc w:val="center"/>
          <w:tblLayout w:type="fixed"/>
          <w:tblCellMar>
            <w:top w:w="0" w:type="dxa"/>
            <w:left w:w="108" w:type="dxa"/>
            <w:bottom w:w="0" w:type="dxa"/>
            <w:right w:w="108" w:type="dxa"/>
          </w:tblCellMar>
        </w:tblPrEx>
        <w:trPr>
          <w:trHeight w:val="361"/>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≤1m/s</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≤0.5dB</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≤3°</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≤0.2°/km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≤0.01</w:t>
            </w:r>
          </w:p>
        </w:tc>
      </w:tr>
      <w:tr>
        <w:tblPrEx>
          <w:tblW w:w="8760" w:type="dxa"/>
          <w:jc w:val="center"/>
          <w:tblLayout w:type="fixed"/>
          <w:tblCellMar>
            <w:top w:w="0" w:type="dxa"/>
            <w:left w:w="108" w:type="dxa"/>
            <w:bottom w:w="0" w:type="dxa"/>
            <w:right w:w="108" w:type="dxa"/>
          </w:tblCellMar>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可探测的最小反射率因子（35km处，75m分辨率，同发同收）</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≤18dBZ</w:t>
            </w:r>
          </w:p>
        </w:tc>
      </w:tr>
      <w:tr>
        <w:tblPrEx>
          <w:tblW w:w="8760" w:type="dxa"/>
          <w:jc w:val="center"/>
          <w:tblLayout w:type="fixed"/>
          <w:tblCellMar>
            <w:top w:w="0" w:type="dxa"/>
            <w:left w:w="108" w:type="dxa"/>
            <w:bottom w:w="0" w:type="dxa"/>
            <w:right w:w="108" w:type="dxa"/>
          </w:tblCellMar>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实际地物抑制能力</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≥35dB</w:t>
            </w:r>
          </w:p>
        </w:tc>
      </w:tr>
      <w:tr>
        <w:tblPrEx>
          <w:tblW w:w="8760" w:type="dxa"/>
          <w:jc w:val="center"/>
          <w:tblLayout w:type="fixed"/>
          <w:tblCellMar>
            <w:top w:w="0" w:type="dxa"/>
            <w:left w:w="108" w:type="dxa"/>
            <w:bottom w:w="0" w:type="dxa"/>
            <w:right w:w="108" w:type="dxa"/>
          </w:tblCellMar>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highlight w:val="yellow"/>
              </w:rPr>
              <w:t>占用带宽</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≤30MHz</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滤波前回波强度、滤波后回波强度、径向速度、速度谱宽、差分反射率、差分传播相移、差分传播相移率、相关系数、信噪比</w:t>
            </w:r>
          </w:p>
        </w:tc>
      </w:tr>
      <w:tr>
        <w:tblPrEx>
          <w:tblW w:w="8760" w:type="dxa"/>
          <w:jc w:val="center"/>
          <w:tblLayout w:type="fixed"/>
          <w:tblCellMar>
            <w:top w:w="0" w:type="dxa"/>
            <w:left w:w="108" w:type="dxa"/>
            <w:bottom w:w="0" w:type="dxa"/>
            <w:right w:w="108" w:type="dxa"/>
          </w:tblCellMar>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单相AC220V±10%，或太阳能、风能等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int="eastAsia"/>
              </w:rPr>
            </w:pPr>
            <w:r>
              <w:rPr>
                <w:rFonts w:ascii="仿宋_GB2312" w:hint="eastAsia"/>
                <w:sz w:val="24"/>
                <w:highlight w:val="yellow"/>
              </w:rPr>
              <w:t>重量（标准配置，参考值）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≤100kg（含天线罩）</w:t>
            </w:r>
          </w:p>
        </w:tc>
      </w:tr>
      <w:tr>
        <w:tblPrEx>
          <w:tblW w:w="8760" w:type="dxa"/>
          <w:jc w:val="center"/>
          <w:tblLayout w:type="fixed"/>
          <w:tblCellMar>
            <w:top w:w="0" w:type="dxa"/>
            <w:left w:w="108" w:type="dxa"/>
            <w:bottom w:w="0" w:type="dxa"/>
            <w:right w:w="108" w:type="dxa"/>
          </w:tblCellMar>
        </w:tblPrEx>
        <w:trPr>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环境要求</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外界环境温度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-10～+40</w:t>
            </w:r>
            <w:r>
              <w:rPr>
                <w:rFonts w:ascii="仿宋_GB2312" w:hAnsi="宋体" w:cs="宋体" w:hint="eastAsia"/>
                <w:sz w:val="24"/>
              </w:rPr>
              <w:t>℃</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left w:val="single" w:sz="4" w:space="0" w:color="auto"/>
              <w:right w:val="single" w:sz="4" w:space="0" w:color="auto"/>
            </w:tcBorders>
            <w:vAlign w:val="center"/>
          </w:tcPr>
          <w:p>
            <w:pPr>
              <w:spacing w:line="380" w:lineRule="exac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-40～+60℃</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外界最大湿度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≤90%（+30</w:t>
            </w:r>
            <w:r>
              <w:rPr>
                <w:rFonts w:ascii="仿宋_GB2312" w:hAnsi="宋体" w:cs="宋体" w:hint="eastAsia"/>
                <w:sz w:val="24"/>
              </w:rPr>
              <w:t>℃</w:t>
            </w:r>
            <w:r>
              <w:rPr>
                <w:rFonts w:ascii="仿宋_GB2312" w:hint="eastAsia"/>
                <w:sz w:val="24"/>
              </w:rPr>
              <w:t>）</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海拔≤5000m</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防水、防霉、防盐雾</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整机功耗（峰值）</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≤800W</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发射机峰值功率月变化累计偏差（以现场安装后测试结果为基准，更换相关器件后重新标校）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±2dB范围内</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接收机增益月变化累计偏差</w:t>
            </w:r>
            <w:r>
              <w:rPr>
                <w:rFonts w:ascii="仿宋_GB2312" w:hint="eastAsia"/>
                <w:sz w:val="24"/>
              </w:rPr>
              <w:t>（以现场安装后测试结果为基准，更换相关器件后重新标校）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±3dB范围内</w:t>
            </w:r>
          </w:p>
        </w:tc>
      </w:tr>
      <w:tr>
        <w:tblPrEx>
          <w:tblW w:w="8760" w:type="dxa"/>
          <w:jc w:val="center"/>
          <w:tblLayout w:type="fixed"/>
          <w:tblCellMar>
            <w:top w:w="0" w:type="dxa"/>
            <w:left w:w="108" w:type="dxa"/>
            <w:bottom w:w="0" w:type="dxa"/>
            <w:right w:w="108" w:type="dxa"/>
          </w:tblCellMar>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≥5000h</w:t>
            </w:r>
          </w:p>
        </w:tc>
      </w:tr>
      <w:tr>
        <w:tblPrEx>
          <w:tblW w:w="8760" w:type="dxa"/>
          <w:jc w:val="center"/>
          <w:tblLayout w:type="fixed"/>
          <w:tblCellMar>
            <w:top w:w="0" w:type="dxa"/>
            <w:left w:w="108" w:type="dxa"/>
            <w:bottom w:w="0" w:type="dxa"/>
            <w:right w:w="108" w:type="dxa"/>
          </w:tblCellMar>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外部接口</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市电供电接口*1（航空插座）</w:t>
            </w:r>
          </w:p>
          <w:p>
            <w:pPr>
              <w:spacing w:line="380" w:lineRule="exact"/>
              <w:rPr>
                <w:rFonts w:ascii="仿宋_GB2312"/>
              </w:rPr>
            </w:pPr>
            <w:r>
              <w:rPr>
                <w:rFonts w:ascii="仿宋_GB2312" w:hint="eastAsia"/>
                <w:sz w:val="24"/>
              </w:rPr>
              <w:t>光纤通信接口*1（航空插座）</w:t>
            </w:r>
          </w:p>
          <w:p>
            <w:pPr>
              <w:spacing w:line="380" w:lineRule="exact"/>
              <w:rPr>
                <w:rFonts w:ascii="仿宋_GB2312"/>
              </w:rPr>
            </w:pPr>
            <w:r>
              <w:rPr>
                <w:rFonts w:ascii="仿宋_GB2312" w:hint="eastAsia"/>
                <w:sz w:val="24"/>
              </w:rPr>
              <w:t>网络通信接口*1（航空插座）</w:t>
            </w:r>
          </w:p>
          <w:p>
            <w:pPr>
              <w:spacing w:line="380" w:lineRule="exact"/>
              <w:rPr>
                <w:rFonts w:ascii="仿宋_GB2312"/>
              </w:rPr>
            </w:pPr>
            <w:r>
              <w:rPr>
                <w:rFonts w:ascii="仿宋_GB2312" w:hint="eastAsia"/>
                <w:sz w:val="24"/>
              </w:rPr>
              <w:t>USB接口*2</w:t>
            </w:r>
          </w:p>
          <w:p>
            <w:pPr>
              <w:spacing w:line="380" w:lineRule="exact"/>
              <w:rPr>
                <w:rFonts w:ascii="仿宋_GB2312"/>
              </w:rPr>
            </w:pPr>
            <w:r>
              <w:rPr>
                <w:rFonts w:ascii="仿宋_GB2312" w:hint="eastAsia"/>
                <w:sz w:val="24"/>
              </w:rPr>
              <w:t>HDMI接口*1</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雷达各初级电源与大地间绝缘电阻应大于1MΩ。</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机箱、机箱、插件和线缆等应有统一的编号和标记，符合国家标准。</w:t>
            </w:r>
          </w:p>
          <w:p>
            <w:pPr>
              <w:spacing w:line="380" w:lineRule="exact"/>
              <w:rPr>
                <w:rFonts w:ascii="仿宋_GB2312"/>
              </w:rPr>
            </w:pPr>
            <w:r>
              <w:rPr>
                <w:rFonts w:ascii="仿宋_GB2312" w:hint="eastAsia"/>
                <w:sz w:val="24"/>
              </w:rPr>
              <w:t>印制板、主要元器件等应在相应位置印有与电路图中项目代号相符的标记。</w:t>
            </w:r>
          </w:p>
          <w:p>
            <w:pPr>
              <w:spacing w:line="380" w:lineRule="exact"/>
              <w:rPr>
                <w:rFonts w:ascii="仿宋_GB2312"/>
              </w:rPr>
            </w:pPr>
            <w:r>
              <w:rPr>
                <w:rFonts w:ascii="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天线罩技术性能指标表</w:t>
      </w:r>
    </w:p>
    <w:tbl>
      <w:tblPr>
        <w:tblStyle w:val="TableNormal"/>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494"/>
        <w:gridCol w:w="5325"/>
      </w:tblGrid>
      <w:tr>
        <w:tblPrEx>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b/>
                <w:bCs/>
                <w:sz w:val="24"/>
              </w:rPr>
              <w:t>项目</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b/>
                <w:bCs/>
              </w:rPr>
            </w:pPr>
            <w:r>
              <w:rPr>
                <w:rFonts w:ascii="仿宋_GB2312" w:hint="eastAsia"/>
                <w:b/>
                <w:bCs/>
                <w:sz w:val="24"/>
              </w:rPr>
              <w:t>性能指标</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sz w:val="24"/>
              </w:rPr>
              <w:t>天线罩直径</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≤1.3m</w:t>
            </w:r>
          </w:p>
        </w:tc>
      </w:tr>
      <w:tr>
        <w:tblPrEx>
          <w:tblW w:w="8819" w:type="dxa"/>
          <w:jc w:val="center"/>
          <w:tblLayout w:type="fixed"/>
          <w:tblCellMar>
            <w:top w:w="0" w:type="dxa"/>
            <w:left w:w="108" w:type="dxa"/>
            <w:bottom w:w="0" w:type="dxa"/>
            <w:right w:w="108" w:type="dxa"/>
          </w:tblCellMar>
        </w:tblPrEx>
        <w:trPr>
          <w:trHeight w:val="344"/>
          <w:jc w:val="center"/>
        </w:trPr>
        <w:tc>
          <w:tcPr>
            <w:tcW w:w="3494"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抗风能力（阵风）</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60m/s不损坏</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射频损失</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≤1.2dB（双程）</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引入波束偏差</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≤0.05°</w:t>
            </w:r>
          </w:p>
        </w:tc>
      </w:tr>
      <w:tr>
        <w:tblPrEx>
          <w:tblW w:w="8819" w:type="dxa"/>
          <w:jc w:val="center"/>
          <w:tblLayout w:type="fixed"/>
          <w:tblCellMar>
            <w:top w:w="0" w:type="dxa"/>
            <w:left w:w="108" w:type="dxa"/>
            <w:bottom w:w="0" w:type="dxa"/>
            <w:right w:w="108" w:type="dxa"/>
          </w:tblCellMar>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引入波束展宽</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≤0.05°</w:t>
            </w:r>
          </w:p>
        </w:tc>
      </w:tr>
      <w:tr>
        <w:tblPrEx>
          <w:tblW w:w="8819" w:type="dxa"/>
          <w:jc w:val="center"/>
          <w:tblLayout w:type="fixed"/>
          <w:tblCellMar>
            <w:top w:w="0" w:type="dxa"/>
            <w:left w:w="108" w:type="dxa"/>
            <w:bottom w:w="0" w:type="dxa"/>
            <w:right w:w="108" w:type="dxa"/>
          </w:tblCellMar>
        </w:tblPrEx>
        <w:trPr>
          <w:trHeight w:val="33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引入交叉极化隔离度影响</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≤1.0dB</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823"/>
        <w:gridCol w:w="4953"/>
      </w:tblGrid>
      <w:tr>
        <w:tblPrEx>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382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95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76" w:type="dxa"/>
          <w:jc w:val="center"/>
          <w:tblLayout w:type="fixed"/>
          <w:tblCellMar>
            <w:top w:w="0" w:type="dxa"/>
            <w:left w:w="108" w:type="dxa"/>
            <w:bottom w:w="0" w:type="dxa"/>
            <w:right w:w="108" w:type="dxa"/>
          </w:tblCellMar>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776" w:type="dxa"/>
          <w:jc w:val="center"/>
          <w:tblLayout w:type="fixed"/>
          <w:tblCellMar>
            <w:top w:w="0" w:type="dxa"/>
            <w:left w:w="108" w:type="dxa"/>
            <w:bottom w:w="0" w:type="dxa"/>
            <w:right w:w="108" w:type="dxa"/>
          </w:tblCellMar>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776" w:type="dxa"/>
          <w:jc w:val="center"/>
          <w:tblLayout w:type="fixed"/>
          <w:tblCellMar>
            <w:top w:w="0" w:type="dxa"/>
            <w:left w:w="108" w:type="dxa"/>
            <w:bottom w:w="0" w:type="dxa"/>
            <w:right w:w="108" w:type="dxa"/>
          </w:tblCellMar>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反射面直径</w:t>
            </w:r>
            <w:r>
              <w:rPr>
                <w:rFonts w:eastAsia="方正小标宋简体" w:hint="eastAsia"/>
                <w:sz w:val="28"/>
                <w:szCs w:val="28"/>
                <w:highlight w:val="yellow"/>
                <w:lang w:val="en-US" w:eastAsia="zh-CN"/>
              </w:rPr>
              <w:t>#</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≤1m</w:t>
            </w:r>
          </w:p>
        </w:tc>
      </w:tr>
      <w:tr>
        <w:tblPrEx>
          <w:tblW w:w="8776" w:type="dxa"/>
          <w:jc w:val="center"/>
          <w:tblLayout w:type="fixed"/>
          <w:tblCellMar>
            <w:top w:w="0" w:type="dxa"/>
            <w:left w:w="108" w:type="dxa"/>
            <w:bottom w:w="0" w:type="dxa"/>
            <w:right w:w="108" w:type="dxa"/>
          </w:tblCellMar>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≤2.7°（含天线罩）</w:t>
            </w:r>
          </w:p>
        </w:tc>
      </w:tr>
      <w:tr>
        <w:tblPrEx>
          <w:tblW w:w="8776" w:type="dxa"/>
          <w:jc w:val="center"/>
          <w:tblLayout w:type="fixed"/>
          <w:tblCellMar>
            <w:top w:w="0" w:type="dxa"/>
            <w:left w:w="108" w:type="dxa"/>
            <w:bottom w:w="0" w:type="dxa"/>
            <w:right w:w="108" w:type="dxa"/>
          </w:tblCellMar>
        </w:tblPrEx>
        <w:trPr>
          <w:trHeight w:val="206"/>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≤2.7°（不含天线罩）</w:t>
            </w:r>
          </w:p>
        </w:tc>
      </w:tr>
      <w:tr>
        <w:tblPrEx>
          <w:tblW w:w="8776" w:type="dxa"/>
          <w:jc w:val="center"/>
          <w:tblLayout w:type="fixed"/>
          <w:tblCellMar>
            <w:top w:w="0" w:type="dxa"/>
            <w:left w:w="108" w:type="dxa"/>
            <w:bottom w:w="0" w:type="dxa"/>
            <w:right w:w="108" w:type="dxa"/>
          </w:tblCellMar>
        </w:tblPrEx>
        <w:trPr>
          <w:trHeight w:val="410"/>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≥34.4dB（含天线罩）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≥35dB（不含天线罩）</w:t>
            </w:r>
          </w:p>
        </w:tc>
      </w:tr>
      <w:tr>
        <w:tblPrEx>
          <w:tblW w:w="8776" w:type="dxa"/>
          <w:jc w:val="center"/>
          <w:tblLayout w:type="fixed"/>
          <w:tblCellMar>
            <w:top w:w="0" w:type="dxa"/>
            <w:left w:w="108" w:type="dxa"/>
            <w:bottom w:w="0" w:type="dxa"/>
            <w:right w:w="108" w:type="dxa"/>
          </w:tblCellMar>
        </w:tblPrEx>
        <w:trPr>
          <w:trHeight w:val="178"/>
          <w:jc w:val="center"/>
        </w:trPr>
        <w:tc>
          <w:tcPr>
            <w:tcW w:w="3823"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≤0.3dB</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≤-17dB（含天线罩）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≤-20dB（不含天线罩）</w:t>
            </w:r>
          </w:p>
        </w:tc>
      </w:tr>
      <w:tr>
        <w:tblPrEx>
          <w:tblW w:w="8776" w:type="dxa"/>
          <w:jc w:val="center"/>
          <w:tblLayout w:type="fixed"/>
          <w:tblCellMar>
            <w:top w:w="0" w:type="dxa"/>
            <w:left w:w="108" w:type="dxa"/>
            <w:bottom w:w="0" w:type="dxa"/>
            <w:right w:w="108" w:type="dxa"/>
          </w:tblCellMar>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≥30dB（含天线罩）</w:t>
            </w:r>
          </w:p>
        </w:tc>
      </w:tr>
      <w:tr>
        <w:tblPrEx>
          <w:tblW w:w="8776" w:type="dxa"/>
          <w:jc w:val="center"/>
          <w:tblLayout w:type="fixed"/>
          <w:tblCellMar>
            <w:top w:w="0" w:type="dxa"/>
            <w:left w:w="108" w:type="dxa"/>
            <w:bottom w:w="0" w:type="dxa"/>
            <w:right w:w="108" w:type="dxa"/>
          </w:tblCellMar>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≥30dB（不含天线罩）</w:t>
            </w:r>
          </w:p>
        </w:tc>
      </w:tr>
      <w:tr>
        <w:tblPrEx>
          <w:tblW w:w="8776" w:type="dxa"/>
          <w:jc w:val="center"/>
          <w:tblLayout w:type="fixed"/>
          <w:tblCellMar>
            <w:top w:w="0" w:type="dxa"/>
            <w:left w:w="108" w:type="dxa"/>
            <w:bottom w:w="0" w:type="dxa"/>
            <w:right w:w="108" w:type="dxa"/>
          </w:tblCellMar>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969"/>
        <w:gridCol w:w="3770"/>
      </w:tblGrid>
      <w:tr>
        <w:tblPrEx>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377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39" w:type="dxa"/>
          <w:jc w:val="center"/>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≤3dB</w:t>
            </w:r>
          </w:p>
        </w:tc>
      </w:tr>
      <w:tr>
        <w:tblPrEx>
          <w:tblW w:w="8739" w:type="dxa"/>
          <w:jc w:val="center"/>
          <w:tblLayout w:type="fixed"/>
          <w:tblCellMar>
            <w:top w:w="0" w:type="dxa"/>
            <w:left w:w="108" w:type="dxa"/>
            <w:bottom w:w="0" w:type="dxa"/>
            <w:right w:w="108" w:type="dxa"/>
          </w:tblCellMar>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40±1dB</w:t>
            </w:r>
          </w:p>
        </w:tc>
      </w:tr>
      <w:tr>
        <w:tblPrEx>
          <w:tblW w:w="8739" w:type="dxa"/>
          <w:jc w:val="center"/>
          <w:tblLayout w:type="fixed"/>
          <w:tblCellMar>
            <w:top w:w="0" w:type="dxa"/>
            <w:left w:w="108" w:type="dxa"/>
            <w:bottom w:w="0" w:type="dxa"/>
            <w:right w:w="108" w:type="dxa"/>
          </w:tblCellMar>
        </w:tblPrEx>
        <w:trPr>
          <w:trHeight w:val="39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≤1.5</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 xml:space="preserve"> 伺服转台技术性能指标表</w:t>
      </w:r>
    </w:p>
    <w:tbl>
      <w:tblPr>
        <w:tblStyle w:val="TableNormal"/>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51"/>
        <w:gridCol w:w="1225"/>
        <w:gridCol w:w="5291"/>
      </w:tblGrid>
      <w:tr>
        <w:tblPrEx>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5291" w:type="dxa"/>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667" w:type="dxa"/>
          <w:jc w:val="center"/>
          <w:tblLayout w:type="fixed"/>
          <w:tblCellMar>
            <w:top w:w="0" w:type="dxa"/>
            <w:left w:w="108" w:type="dxa"/>
            <w:bottom w:w="0" w:type="dxa"/>
            <w:right w:w="108" w:type="dxa"/>
          </w:tblCellMar>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0～360°连续扫描</w:t>
            </w:r>
          </w:p>
        </w:tc>
      </w:tr>
      <w:tr>
        <w:tblPrEx>
          <w:tblW w:w="8667" w:type="dxa"/>
          <w:jc w:val="center"/>
          <w:tblLayout w:type="fixed"/>
          <w:tblCellMar>
            <w:top w:w="0" w:type="dxa"/>
            <w:left w:w="108" w:type="dxa"/>
            <w:bottom w:w="0" w:type="dxa"/>
            <w:right w:w="108" w:type="dxa"/>
          </w:tblCellMar>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-2～+92°往返扫描</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highlight w:val="yellow"/>
              </w:rPr>
              <w:t>天线扫描速度</w:t>
            </w:r>
            <w:r>
              <w:rPr>
                <w:rFonts w:eastAsia="方正小标宋简体" w:hint="eastAsia"/>
                <w:sz w:val="28"/>
                <w:szCs w:val="28"/>
                <w:highlight w:val="yellow"/>
                <w:lang w:val="en-US" w:eastAsia="zh-CN"/>
              </w:rPr>
              <w:t>#</w:t>
            </w:r>
          </w:p>
        </w:tc>
        <w:tc>
          <w:tcPr>
            <w:tcW w:w="122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≥36°/s，≥6°/s误差≤5%</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≥12°/s，≥6°/s误差≤5%</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≥30°/s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≥10°/s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667" w:type="dxa"/>
          <w:jc w:val="center"/>
          <w:tblLayout w:type="fixed"/>
          <w:tblCellMar>
            <w:top w:w="0" w:type="dxa"/>
            <w:left w:w="108" w:type="dxa"/>
            <w:bottom w:w="0" w:type="dxa"/>
            <w:right w:w="108" w:type="dxa"/>
          </w:tblCellMar>
        </w:tblPrEx>
        <w:trPr>
          <w:trHeight w:val="49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w:t>
            </w:r>
          </w:p>
        </w:tc>
      </w:tr>
      <w:tr>
        <w:tblPrEx>
          <w:tblW w:w="8667" w:type="dxa"/>
          <w:jc w:val="center"/>
          <w:tblLayout w:type="fixed"/>
          <w:tblCellMar>
            <w:top w:w="0" w:type="dxa"/>
            <w:left w:w="108" w:type="dxa"/>
            <w:bottom w:w="0" w:type="dxa"/>
            <w:right w:w="108" w:type="dxa"/>
          </w:tblCellMar>
        </w:tblPrEx>
        <w:trPr>
          <w:trHeight w:val="45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≤0.2°</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≥14位</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≥14位</w:t>
            </w:r>
          </w:p>
        </w:tc>
      </w:tr>
      <w:tr>
        <w:tblPrEx>
          <w:tblW w:w="8667" w:type="dxa"/>
          <w:jc w:val="center"/>
          <w:tblLayout w:type="fixed"/>
          <w:tblCellMar>
            <w:top w:w="0" w:type="dxa"/>
            <w:left w:w="108" w:type="dxa"/>
            <w:bottom w:w="0" w:type="dxa"/>
            <w:right w:w="108" w:type="dxa"/>
          </w:tblCellMar>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702"/>
        <w:gridCol w:w="4961"/>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702"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脉冲峰值功率（总功率）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±0.2dB范围内</w:t>
            </w:r>
          </w:p>
        </w:tc>
      </w:tr>
      <w:tr>
        <w:tblPrEx>
          <w:tblW w:w="8663" w:type="dxa"/>
          <w:jc w:val="center"/>
          <w:tblLayout w:type="fixed"/>
          <w:tblCellMar>
            <w:top w:w="0" w:type="dxa"/>
            <w:left w:w="108" w:type="dxa"/>
            <w:bottom w:w="0" w:type="dxa"/>
            <w:right w:w="108" w:type="dxa"/>
          </w:tblCellMar>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±1dB范围内</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脉冲重复频率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0.5～200μs（可选）</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3" w:type="dxa"/>
          <w:jc w:val="center"/>
          <w:tblLayout w:type="fixed"/>
          <w:tblCellMar>
            <w:top w:w="0" w:type="dxa"/>
            <w:left w:w="108" w:type="dxa"/>
            <w:bottom w:w="0" w:type="dxa"/>
            <w:right w:w="108" w:type="dxa"/>
          </w:tblCellMar>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838"/>
        <w:gridCol w:w="1355"/>
        <w:gridCol w:w="4475"/>
      </w:tblGrid>
      <w:tr>
        <w:tblPrEx>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193"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噪声系数（带宽1MHz）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≤3dB（机外）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±0.3dB范围内</w:t>
            </w:r>
          </w:p>
          <w:p>
            <w:pPr>
              <w:spacing w:line="360" w:lineRule="exact"/>
              <w:rPr>
                <w:rFonts w:ascii="仿宋_GB2312"/>
              </w:rPr>
            </w:pPr>
            <w:r>
              <w:rPr>
                <w:rFonts w:ascii="仿宋_GB2312" w:hint="eastAsia"/>
                <w:sz w:val="24"/>
              </w:rPr>
              <w:t>（机外）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≥80dB（机外）</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ghlight w:val="yellow"/>
              </w:rPr>
            </w:pPr>
            <w:r>
              <w:rPr>
                <w:rFonts w:ascii="仿宋_GB2312" w:hint="eastAsia"/>
                <w:sz w:val="24"/>
                <w:highlight w:val="yellow"/>
              </w:rPr>
              <w:t>最小可测功率（灵敏度）</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≤-110dBm（带宽1MHz）</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机内外接收增益最大偏差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±2dB范围内</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接收增益波动（24小时，以现场安装后测试结果为基准，更换相关器件后重新标校）</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±2dB范围内</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≤-40dBc</w:t>
            </w:r>
          </w:p>
        </w:tc>
      </w:tr>
      <w:tr>
        <w:tblPrEx>
          <w:tblW w:w="8668" w:type="dxa"/>
          <w:jc w:val="center"/>
          <w:tblLayout w:type="fixed"/>
          <w:tblCellMar>
            <w:top w:w="0" w:type="dxa"/>
            <w:left w:w="108" w:type="dxa"/>
            <w:bottom w:w="0" w:type="dxa"/>
            <w:right w:w="108" w:type="dxa"/>
          </w:tblCellMar>
        </w:tblPrEx>
        <w:trPr>
          <w:trHeight w:val="357"/>
          <w:jc w:val="center"/>
        </w:trPr>
        <w:tc>
          <w:tcPr>
            <w:tcW w:w="2838"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≤-110dBc/Hz </w:t>
            </w:r>
          </w:p>
        </w:tc>
      </w:tr>
      <w:tr>
        <w:tblPrEx>
          <w:tblW w:w="8668" w:type="dxa"/>
          <w:jc w:val="center"/>
          <w:tblLayout w:type="fixed"/>
          <w:tblCellMar>
            <w:top w:w="0" w:type="dxa"/>
            <w:left w:w="108" w:type="dxa"/>
            <w:bottom w:w="0" w:type="dxa"/>
            <w:right w:w="108" w:type="dxa"/>
          </w:tblCellMar>
        </w:tblPrEx>
        <w:trPr>
          <w:trHeight w:val="418"/>
          <w:jc w:val="center"/>
        </w:trPr>
        <w:tc>
          <w:tcPr>
            <w:tcW w:w="2838"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≤-115dBc/Hz </w:t>
            </w:r>
          </w:p>
        </w:tc>
      </w:tr>
      <w:tr>
        <w:tblPrEx>
          <w:tblW w:w="8668" w:type="dxa"/>
          <w:jc w:val="center"/>
          <w:tblLayout w:type="fixed"/>
          <w:tblCellMar>
            <w:top w:w="0" w:type="dxa"/>
            <w:left w:w="108" w:type="dxa"/>
            <w:bottom w:w="0" w:type="dxa"/>
            <w:right w:w="108" w:type="dxa"/>
          </w:tblCellMar>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谐波和杂散抑制</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8" w:type="dxa"/>
          <w:jc w:val="center"/>
          <w:tblLayout w:type="fixed"/>
          <w:tblCellMar>
            <w:top w:w="0" w:type="dxa"/>
            <w:left w:w="108" w:type="dxa"/>
            <w:bottom w:w="0" w:type="dxa"/>
            <w:right w:w="108" w:type="dxa"/>
          </w:tblCellMar>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≥40dB</w:t>
            </w:r>
          </w:p>
        </w:tc>
      </w:tr>
      <w:tr>
        <w:tblPrEx>
          <w:tblW w:w="8668" w:type="dxa"/>
          <w:jc w:val="center"/>
          <w:tblLayout w:type="fixed"/>
          <w:tblCellMar>
            <w:top w:w="0" w:type="dxa"/>
            <w:left w:w="108" w:type="dxa"/>
            <w:bottom w:w="0" w:type="dxa"/>
            <w:right w:w="108" w:type="dxa"/>
          </w:tblCellMar>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数字中频单元技术性能指标表</w:t>
      </w:r>
    </w:p>
    <w:tbl>
      <w:tblPr>
        <w:tblStyle w:val="TableNormal"/>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600"/>
        <w:gridCol w:w="5050"/>
      </w:tblGrid>
      <w:tr>
        <w:tblPrEx>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600" w:type="dxa"/>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脉冲压缩主副瓣比</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脉压比≥100时，≥50dB</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≥500个</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支持脉冲数</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同一发射周期内最大支持3种脉冲宽度拼接补盲，可选脉冲宽度支持0.5μs</w:t>
            </w:r>
            <w:r>
              <w:rPr>
                <w:rFonts w:ascii="宋体" w:eastAsia="宋体" w:hAnsi="宋体" w:hint="eastAsia"/>
                <w:sz w:val="24"/>
              </w:rPr>
              <w:t>～</w:t>
            </w:r>
            <w:r>
              <w:rPr>
                <w:rFonts w:ascii="仿宋_GB2312" w:hint="eastAsia"/>
                <w:sz w:val="24"/>
              </w:rPr>
              <w:t>200μs</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650" w:type="dxa"/>
          <w:jc w:val="center"/>
          <w:tblLayout w:type="fixed"/>
          <w:tblCellMar>
            <w:top w:w="0" w:type="dxa"/>
            <w:left w:w="108" w:type="dxa"/>
            <w:bottom w:w="0" w:type="dxa"/>
            <w:right w:w="108" w:type="dxa"/>
          </w:tblCellMar>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信号处理算法</w:t>
      </w:r>
    </w:p>
    <w:tbl>
      <w:tblPr>
        <w:tblStyle w:val="TableNormal"/>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3"/>
        <w:gridCol w:w="2000"/>
        <w:gridCol w:w="5887"/>
      </w:tblGrid>
      <w:tr>
        <w:tblPrEx>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序号</w:t>
            </w:r>
          </w:p>
        </w:tc>
        <w:tc>
          <w:tcPr>
            <w:tcW w:w="4558"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算法名称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highlight w:val="yellow"/>
              </w:rPr>
              <w:t>杂波抑制</w:t>
            </w:r>
            <w:r>
              <w:rPr>
                <w:rFonts w:eastAsia="方正小标宋简体" w:hint="eastAsia"/>
                <w:sz w:val="28"/>
                <w:szCs w:val="28"/>
                <w:highlight w:val="yellow"/>
                <w:lang w:val="en-US" w:eastAsia="zh-CN"/>
              </w:rPr>
              <w:t>#</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3</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地杂波识别</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地杂波抑制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距离/速度退模糊</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双重频（DPRF）</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参差重频（SPRT）</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随机相位调制</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系统相位编码</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批处理</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分层处理</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13</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参数估计</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常规估计（反射率因子、径向速度、速度谱宽、差分反射率、差分传播相移、相关系数）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频域估计（反射率因子、径向速度、速度谱宽、差分反射率、差分传播相移、相关系数）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多阶相关估计（反射率因子、径向速度、速度谱宽、差分反射率、差分传播相移、相关系数）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线性规划估计、最小二乘估计等多种方式（差分传播相移率）</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门限设置</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信号质量指数（SQI）</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天气信号强度指数（SIG）</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杂波订正指数（CCOR）</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杂信比（CSR）</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信噪比（LOG）</w:t>
            </w:r>
          </w:p>
        </w:tc>
      </w:tr>
      <w:tr>
        <w:tblPrEx>
          <w:tblW w:w="4804" w:type="pct"/>
          <w:jc w:val="center"/>
          <w:tblLayout w:type="fixed"/>
          <w:tblCellMar>
            <w:top w:w="0" w:type="dxa"/>
            <w:left w:w="108" w:type="dxa"/>
            <w:bottom w:w="0" w:type="dxa"/>
            <w:right w:w="108" w:type="dxa"/>
          </w:tblCellMar>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szCs w:val="24"/>
              </w:rPr>
              <w:t>偏振</w:t>
            </w:r>
            <w:r>
              <w:rPr>
                <w:rFonts w:ascii="仿宋_GB2312" w:hAnsi="宋体" w:cs="宋体" w:hint="eastAsia"/>
                <w:kern w:val="0"/>
                <w:sz w:val="24"/>
                <w:szCs w:val="24"/>
              </w:rPr>
              <w:t>量信噪比（DPLOG）</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highlight w:val="yellow"/>
        </w:rPr>
      </w:pPr>
      <w:r>
        <w:rPr>
          <w:rFonts w:ascii="Times New Roman" w:eastAsia="方正小标宋简体" w:hAnsi="Times New Roman" w:cs="Times New Roman" w:hint="eastAsia"/>
          <w:sz w:val="28"/>
          <w:szCs w:val="28"/>
          <w:highlight w:val="yellow"/>
        </w:rPr>
        <w:t>雷达终端配置</w:t>
      </w:r>
      <w:r>
        <w:rPr>
          <w:rFonts w:ascii="Times New Roman" w:eastAsia="方正小标宋简体" w:hAnsi="Times New Roman" w:cs="Times New Roman" w:hint="eastAsia"/>
          <w:sz w:val="28"/>
          <w:szCs w:val="28"/>
          <w:highlight w:val="yellow"/>
          <w:lang w:val="en-US" w:eastAsia="zh-CN"/>
        </w:rPr>
        <w:t>#</w:t>
      </w:r>
    </w:p>
    <w:tbl>
      <w:tblPr>
        <w:tblStyle w:val="TableNormal"/>
        <w:tblW w:w="8655" w:type="dxa"/>
        <w:jc w:val="center"/>
        <w:tblCellMar>
          <w:top w:w="0" w:type="dxa"/>
          <w:left w:w="108" w:type="dxa"/>
          <w:bottom w:w="0" w:type="dxa"/>
          <w:right w:w="108" w:type="dxa"/>
        </w:tblCellMar>
      </w:tblPr>
      <w:tblGrid>
        <w:gridCol w:w="878"/>
        <w:gridCol w:w="1896"/>
        <w:gridCol w:w="5881"/>
      </w:tblGrid>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项目</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b/>
                <w:bCs/>
              </w:rPr>
            </w:pPr>
            <w:r>
              <w:rPr>
                <w:rFonts w:ascii="仿宋_GB2312" w:hint="eastAsia"/>
                <w:b/>
                <w:bCs/>
                <w:sz w:val="24"/>
                <w:szCs w:val="24"/>
              </w:rPr>
              <w:t>性能指标</w:t>
            </w:r>
          </w:p>
        </w:tc>
      </w:tr>
      <w:tr>
        <w:tblPrEx>
          <w:tblW w:w="865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1</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CPU</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不少于8核16线程，频率不低于2.8GHz</w:t>
            </w:r>
          </w:p>
        </w:tc>
      </w:tr>
      <w:tr>
        <w:tblPrEx>
          <w:tblW w:w="865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2</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内存</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不低于16GB DDR4</w:t>
            </w:r>
          </w:p>
        </w:tc>
      </w:tr>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固态硬盘</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不低于512GB</w:t>
            </w:r>
          </w:p>
        </w:tc>
      </w:tr>
      <w:tr>
        <w:tblPrEx>
          <w:tblW w:w="865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4</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操作系统</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国产信创系统</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highlight w:val="yellow"/>
        </w:rPr>
      </w:pPr>
      <w:r>
        <w:rPr>
          <w:rFonts w:ascii="Times New Roman" w:eastAsia="方正小标宋简体" w:hAnsi="Times New Roman" w:cs="Times New Roman" w:hint="eastAsia"/>
          <w:sz w:val="28"/>
          <w:szCs w:val="28"/>
          <w:highlight w:val="yellow"/>
        </w:rPr>
        <w:t>基本产品列表</w:t>
      </w:r>
      <w:r>
        <w:rPr>
          <w:rFonts w:ascii="Times New Roman" w:eastAsia="方正小标宋简体" w:hAnsi="Times New Roman" w:cs="Times New Roman" w:hint="eastAsia"/>
          <w:sz w:val="28"/>
          <w:szCs w:val="28"/>
          <w:highlight w:val="yellow"/>
          <w:lang w:val="en-US" w:eastAsia="zh-CN"/>
        </w:rPr>
        <w:t>#</w:t>
      </w:r>
    </w:p>
    <w:tbl>
      <w:tblPr>
        <w:tblStyle w:val="13"/>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3489"/>
      </w:tblGrid>
      <w:tr>
        <w:tblPrEx>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240" w:lineRule="auto"/>
              <w:jc w:val="center"/>
              <w:rPr>
                <w:rFonts w:ascii="仿宋_GB2312" w:hAnsi="等线"/>
                <w:b/>
              </w:rPr>
            </w:pPr>
            <w:r>
              <w:rPr>
                <w:rFonts w:ascii="仿宋_GB2312" w:hAnsi="等线" w:cs="Times New Roman" w:hint="eastAsia"/>
                <w:b/>
                <w:sz w:val="24"/>
                <w:szCs w:val="24"/>
              </w:rPr>
              <w:t>类别</w:t>
            </w:r>
          </w:p>
        </w:tc>
        <w:tc>
          <w:tcPr>
            <w:tcW w:w="2875" w:type="dxa"/>
            <w:vAlign w:val="center"/>
          </w:tcPr>
          <w:p>
            <w:pPr>
              <w:spacing w:line="240" w:lineRule="auto"/>
              <w:jc w:val="center"/>
              <w:rPr>
                <w:rFonts w:ascii="仿宋_GB2312" w:hAnsi="等线"/>
                <w:b/>
              </w:rPr>
            </w:pPr>
            <w:r>
              <w:rPr>
                <w:rFonts w:ascii="仿宋_GB2312" w:hAnsi="等线" w:cs="Times New Roman" w:hint="eastAsia"/>
                <w:b/>
                <w:sz w:val="24"/>
                <w:szCs w:val="24"/>
              </w:rPr>
              <w:t>产品名称</w:t>
            </w:r>
          </w:p>
        </w:tc>
        <w:tc>
          <w:tcPr>
            <w:tcW w:w="3489" w:type="dxa"/>
            <w:vAlign w:val="center"/>
          </w:tcPr>
          <w:p>
            <w:pPr>
              <w:spacing w:line="240" w:lineRule="auto"/>
              <w:jc w:val="center"/>
              <w:rPr>
                <w:rFonts w:ascii="仿宋_GB2312" w:hAnsi="等线"/>
                <w:b/>
              </w:rPr>
            </w:pPr>
            <w:r>
              <w:rPr>
                <w:rFonts w:ascii="仿宋_GB2312" w:hAnsi="等线" w:cs="Times New Roman" w:hint="eastAsia"/>
                <w:b/>
                <w:sz w:val="24"/>
                <w:szCs w:val="24"/>
              </w:rPr>
              <w:t>产品标识</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基础量</w:t>
            </w:r>
          </w:p>
          <w:p>
            <w:pPr>
              <w:spacing w:line="240" w:lineRule="auto"/>
              <w:jc w:val="center"/>
              <w:rPr>
                <w:rFonts w:ascii="仿宋_GB2312" w:hAnsi="等线"/>
              </w:rPr>
            </w:pPr>
            <w:r>
              <w:rPr>
                <w:rFonts w:ascii="仿宋_GB2312" w:hAnsi="等线" w:cs="Times New Roman" w:hint="eastAsia"/>
                <w:sz w:val="24"/>
                <w:szCs w:val="24"/>
              </w:rPr>
              <w:t>（9种）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滤波后反射率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径向速度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速度谱宽</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SW</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水平通道信噪比</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SNRH</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ZDR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差分传播相移</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PDP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差分传播相移率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KDP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相关系数</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CC</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垂直通道信噪比</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SNRV</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物理量</w:t>
            </w:r>
          </w:p>
          <w:p>
            <w:pPr>
              <w:spacing w:line="240" w:lineRule="auto"/>
              <w:jc w:val="center"/>
              <w:rPr>
                <w:rFonts w:ascii="仿宋_GB2312" w:hAnsi="等线"/>
              </w:rPr>
            </w:pPr>
            <w:r>
              <w:rPr>
                <w:rFonts w:ascii="仿宋_GB2312" w:hAnsi="等线" w:cs="Times New Roman" w:hint="eastAsia"/>
                <w:sz w:val="24"/>
                <w:szCs w:val="24"/>
              </w:rPr>
              <w:t>（1</w:t>
            </w:r>
            <w:r>
              <w:rPr>
                <w:rFonts w:ascii="仿宋_GB2312" w:hAnsi="等线" w:cs="Times New Roman"/>
                <w:sz w:val="24"/>
                <w:szCs w:val="24"/>
              </w:rPr>
              <w:t>0</w:t>
            </w:r>
            <w:r>
              <w:rPr>
                <w:rFonts w:ascii="仿宋_GB2312" w:hAnsi="等线" w:cs="Times New Roman" w:hint="eastAsia"/>
                <w:sz w:val="24"/>
                <w:szCs w:val="24"/>
              </w:rPr>
              <w:t>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组合反射率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CR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垂直积分液态水</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VIL</w:t>
            </w:r>
          </w:p>
        </w:tc>
      </w:tr>
      <w:tr>
        <w:tblPrEx>
          <w:tblW w:w="8592"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回波顶高</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ET</w:t>
            </w:r>
          </w:p>
        </w:tc>
      </w:tr>
      <w:tr>
        <w:tblPrEx>
          <w:tblW w:w="8592"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分层组合反射率</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LCR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风暴质心高度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RCH</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速度方位显示风廓线</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VWP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1小时累积降水量</w:t>
            </w:r>
          </w:p>
        </w:tc>
        <w:tc>
          <w:tcPr>
            <w:tcW w:w="3489" w:type="dxa"/>
            <w:vAlign w:val="center"/>
          </w:tcPr>
          <w:p>
            <w:pPr>
              <w:spacing w:line="240" w:lineRule="auto"/>
              <w:jc w:val="center"/>
              <w:rPr>
                <w:rFonts w:ascii="仿宋_GB2312" w:hAnsi="等线"/>
              </w:rPr>
            </w:pPr>
            <w:r>
              <w:rPr>
                <w:rFonts w:ascii="仿宋_GB2312" w:hAnsi="等线" w:cs="Times New Roman"/>
                <w:sz w:val="24"/>
                <w:szCs w:val="24"/>
              </w:rPr>
              <w:t>1</w:t>
            </w:r>
            <w:r>
              <w:rPr>
                <w:rFonts w:ascii="仿宋_GB2312" w:hAnsi="等线" w:cs="Times New Roman" w:hint="eastAsia"/>
                <w:sz w:val="24"/>
                <w:szCs w:val="24"/>
              </w:rPr>
              <w:t>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sz w:val="24"/>
                <w:szCs w:val="24"/>
              </w:rPr>
              <w:t>2</w:t>
            </w:r>
            <w:r>
              <w:rPr>
                <w:rFonts w:ascii="仿宋_GB2312" w:hAnsi="等线" w:cs="Times New Roman" w:hint="eastAsia"/>
                <w:sz w:val="24"/>
                <w:szCs w:val="24"/>
              </w:rPr>
              <w:t>小时累积降水量</w:t>
            </w:r>
          </w:p>
        </w:tc>
        <w:tc>
          <w:tcPr>
            <w:tcW w:w="3489" w:type="dxa"/>
            <w:vAlign w:val="center"/>
          </w:tcPr>
          <w:p>
            <w:pPr>
              <w:spacing w:line="240" w:lineRule="auto"/>
              <w:jc w:val="center"/>
              <w:rPr>
                <w:rFonts w:ascii="仿宋_GB2312" w:hAnsi="等线"/>
              </w:rPr>
            </w:pPr>
            <w:r>
              <w:rPr>
                <w:rFonts w:ascii="仿宋_GB2312" w:hAnsi="等线" w:cs="Times New Roman"/>
                <w:sz w:val="24"/>
                <w:szCs w:val="24"/>
              </w:rPr>
              <w:t>2</w:t>
            </w:r>
            <w:r>
              <w:rPr>
                <w:rFonts w:ascii="仿宋_GB2312" w:hAnsi="等线" w:cs="Times New Roman" w:hint="eastAsia"/>
                <w:sz w:val="24"/>
                <w:szCs w:val="24"/>
              </w:rPr>
              <w:t>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N小时累积降水量</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NHP</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风暴相对径向速度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SRM</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识别产品</w:t>
            </w:r>
          </w:p>
          <w:p>
            <w:pPr>
              <w:spacing w:line="240" w:lineRule="auto"/>
              <w:jc w:val="center"/>
              <w:rPr>
                <w:rFonts w:ascii="仿宋_GB2312" w:hAnsi="等线"/>
              </w:rPr>
            </w:pPr>
            <w:r>
              <w:rPr>
                <w:rFonts w:ascii="仿宋_GB2312" w:hAnsi="等线" w:cs="Times New Roman" w:hint="eastAsia"/>
                <w:sz w:val="24"/>
                <w:szCs w:val="24"/>
              </w:rPr>
              <w:t>（6种）</w:t>
            </w: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冰雹指数</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HI</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风暴追踪信息</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STI</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中气旋</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M</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雷暴大风</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TD</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短时强降水</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HR</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水凝物分类</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HCL</w:t>
            </w:r>
          </w:p>
        </w:tc>
      </w:tr>
      <w:tr>
        <w:tblPrEx>
          <w:tblW w:w="8592" w:type="dxa"/>
          <w:jc w:val="center"/>
          <w:tblLayout w:type="fixed"/>
          <w:tblCellMar>
            <w:top w:w="0" w:type="dxa"/>
            <w:left w:w="108" w:type="dxa"/>
            <w:bottom w:w="0" w:type="dxa"/>
            <w:right w:w="108" w:type="dxa"/>
          </w:tblCellMar>
        </w:tblPrEx>
        <w:trPr>
          <w:cantSplit/>
          <w:trHeight w:val="424"/>
          <w:jc w:val="center"/>
        </w:trPr>
        <w:tc>
          <w:tcPr>
            <w:tcW w:w="2228" w:type="dxa"/>
            <w:vMerge w:val="restart"/>
            <w:vAlign w:val="center"/>
          </w:tcPr>
          <w:p>
            <w:pPr>
              <w:spacing w:line="240" w:lineRule="auto"/>
              <w:jc w:val="center"/>
              <w:rPr>
                <w:rFonts w:ascii="仿宋_GB2312" w:hAnsi="等线"/>
              </w:rPr>
            </w:pPr>
            <w:r>
              <w:rPr>
                <w:rFonts w:ascii="仿宋_GB2312" w:hAnsi="等线" w:cs="Times New Roman" w:hint="eastAsia"/>
                <w:sz w:val="24"/>
                <w:szCs w:val="24"/>
              </w:rPr>
              <w:t>告警产品</w:t>
            </w:r>
          </w:p>
          <w:p>
            <w:pPr>
              <w:spacing w:line="240" w:lineRule="auto"/>
              <w:jc w:val="center"/>
              <w:rPr>
                <w:rFonts w:ascii="仿宋_GB2312" w:hAnsi="等线"/>
              </w:rPr>
            </w:pPr>
            <w:r>
              <w:rPr>
                <w:rFonts w:ascii="仿宋_GB2312" w:hAnsi="等线" w:cs="Times New Roman" w:hint="eastAsia"/>
                <w:sz w:val="24"/>
                <w:szCs w:val="24"/>
              </w:rPr>
              <w:t>（2种）</w:t>
            </w:r>
          </w:p>
        </w:tc>
        <w:tc>
          <w:tcPr>
            <w:tcW w:w="2875" w:type="dxa"/>
            <w:vAlign w:val="center"/>
          </w:tcPr>
          <w:p>
            <w:pPr>
              <w:spacing w:line="240" w:lineRule="auto"/>
              <w:jc w:val="center"/>
              <w:rPr>
                <w:rFonts w:ascii="仿宋_GB2312" w:hAnsi="等线"/>
              </w:rPr>
            </w:pPr>
            <w:r>
              <w:rPr>
                <w:rFonts w:ascii="仿宋_GB2312" w:hAnsi="等线" w:cs="Times New Roman"/>
                <w:sz w:val="24"/>
                <w:szCs w:val="24"/>
              </w:rPr>
              <w:t>冰雹强度趋势</w:t>
            </w:r>
            <w:r>
              <w:rPr>
                <w:rFonts w:ascii="仿宋_GB2312" w:hAnsi="等线" w:cs="Times New Roman" w:hint="eastAsia"/>
                <w:sz w:val="24"/>
                <w:szCs w:val="24"/>
              </w:rPr>
              <w:t>告警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MESHT</w:t>
            </w:r>
          </w:p>
        </w:tc>
      </w:tr>
      <w:tr>
        <w:tblPrEx>
          <w:tblW w:w="8592"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240" w:lineRule="auto"/>
              <w:jc w:val="center"/>
              <w:rPr>
                <w:rFonts w:ascii="仿宋_GB2312" w:hAnsi="等线"/>
              </w:rPr>
            </w:pPr>
          </w:p>
        </w:tc>
        <w:tc>
          <w:tcPr>
            <w:tcW w:w="2875" w:type="dxa"/>
            <w:vAlign w:val="center"/>
          </w:tcPr>
          <w:p>
            <w:pPr>
              <w:spacing w:line="240" w:lineRule="auto"/>
              <w:jc w:val="center"/>
              <w:rPr>
                <w:rFonts w:ascii="仿宋_GB2312" w:hAnsi="等线"/>
              </w:rPr>
            </w:pPr>
            <w:r>
              <w:rPr>
                <w:rFonts w:ascii="仿宋_GB2312" w:hAnsi="等线" w:cs="Times New Roman" w:hint="eastAsia"/>
                <w:sz w:val="24"/>
                <w:szCs w:val="24"/>
              </w:rPr>
              <w:t>降雨强度告警</w:t>
            </w:r>
          </w:p>
        </w:tc>
        <w:tc>
          <w:tcPr>
            <w:tcW w:w="3489" w:type="dxa"/>
            <w:vAlign w:val="center"/>
          </w:tcPr>
          <w:p>
            <w:pPr>
              <w:spacing w:line="240" w:lineRule="auto"/>
              <w:jc w:val="center"/>
              <w:rPr>
                <w:rFonts w:ascii="仿宋_GB2312" w:hAnsi="等线"/>
              </w:rPr>
            </w:pPr>
            <w:r>
              <w:rPr>
                <w:rFonts w:ascii="仿宋_GB2312" w:hAnsi="等线" w:cs="Times New Roman" w:hint="eastAsia"/>
                <w:sz w:val="24"/>
                <w:szCs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eastAsia="方正小标宋简体" w:hint="eastAsia"/>
          <w:sz w:val="28"/>
          <w:szCs w:val="28"/>
        </w:rPr>
      </w:pPr>
      <w:r>
        <w:rPr>
          <w:rFonts w:ascii="Times New Roman" w:eastAsia="方正小标宋简体" w:hAnsi="Times New Roman" w:cs="Times New Roman" w:hint="eastAsia"/>
          <w:sz w:val="28"/>
          <w:szCs w:val="28"/>
        </w:rPr>
        <w:t>产品终端配置</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1）用户端至少配置2台产品终端，负责产品制作及数据归档。</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2）终端应支持国产信创系统。</w:t>
      </w:r>
    </w:p>
    <w:p>
      <w:pPr>
        <w:spacing w:line="570" w:lineRule="exact"/>
        <w:ind w:firstLine="560" w:firstLineChars="200"/>
        <w:rPr>
          <w:rFonts w:ascii="仿宋" w:eastAsia="仿宋" w:hAnsi="仿宋" w:hint="eastAsia"/>
          <w:sz w:val="28"/>
          <w:szCs w:val="28"/>
          <w:highlight w:val="none"/>
        </w:rPr>
      </w:pPr>
      <w:r>
        <w:rPr>
          <w:rFonts w:ascii="仿宋" w:eastAsia="仿宋" w:hAnsi="仿宋" w:cs="Times New Roman" w:hint="eastAsia"/>
          <w:sz w:val="28"/>
          <w:szCs w:val="28"/>
          <w:highlight w:val="none"/>
        </w:rPr>
        <w:t>3）产品终端数据处理能力应满足产品制作整体耗时小于雷达最短体扫用时，避免造成数据积压。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highlight w:val="none"/>
        </w:rPr>
        <w:t>4）产品终端能存储不少于1年的天气雷达标准格式基数据及3个月的雷达产品。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240" w:lineRule="auto"/>
        <w:ind w:firstLine="560" w:firstLineChars="200"/>
        <w:outlineLvl w:val="3"/>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4.1培训</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w:t>
      </w:r>
      <w:r>
        <w:rPr>
          <w:rFonts w:ascii="仿宋" w:eastAsia="仿宋" w:hAnsi="仿宋" w:cs="Times New Roman" w:hint="eastAsia"/>
          <w:sz w:val="28"/>
          <w:szCs w:val="28"/>
          <w:lang w:eastAsia="zh-CN"/>
        </w:rPr>
        <w:t>（</w:t>
      </w:r>
      <w:r>
        <w:rPr>
          <w:rFonts w:ascii="仿宋" w:eastAsia="仿宋" w:hAnsi="仿宋" w:cs="Times New Roman" w:hint="eastAsia"/>
          <w:sz w:val="28"/>
          <w:szCs w:val="28"/>
          <w:lang w:val="en-US" w:eastAsia="zh-CN"/>
        </w:rPr>
        <w:t>40课时</w:t>
      </w:r>
      <w:r>
        <w:rPr>
          <w:rFonts w:ascii="仿宋" w:eastAsia="仿宋" w:hAnsi="仿宋" w:cs="Times New Roman" w:hint="eastAsia"/>
          <w:sz w:val="28"/>
          <w:szCs w:val="28"/>
          <w:lang w:eastAsia="zh-CN"/>
        </w:rPr>
        <w:t>）</w:t>
      </w:r>
      <w:r>
        <w:rPr>
          <w:rFonts w:ascii="仿宋" w:eastAsia="仿宋" w:hAnsi="仿宋" w:cs="Times New Roman" w:hint="eastAsia"/>
          <w:sz w:val="28"/>
          <w:szCs w:val="28"/>
        </w:rPr>
        <w:t>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8）掌握仪器仪表使用方法。</w:t>
      </w:r>
    </w:p>
    <w:p>
      <w:pPr>
        <w:spacing w:line="240" w:lineRule="auto"/>
        <w:ind w:firstLine="560" w:firstLineChars="200"/>
        <w:outlineLvl w:val="3"/>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提供服务，确保设备稳定运行，以及自验收合格后8年的整机及雷达分系统质保服务等。</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hint="eastAsia"/>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spacing w:line="240" w:lineRule="auto"/>
        <w:ind w:firstLine="560" w:firstLineChars="200"/>
        <w:outlineLvl w:val="3"/>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w:t>
      </w:r>
      <w:r>
        <w:rPr>
          <w:rFonts w:ascii="仿宋_GB2312" w:eastAsia="仿宋_GB2312" w:hAnsi="仿宋_GB2312" w:cs="仿宋_GB2312" w:hint="eastAsia"/>
          <w:bCs/>
          <w:sz w:val="28"/>
          <w:szCs w:val="28"/>
          <w:highlight w:val="yellow"/>
          <w:lang w:val="en-US" w:eastAsia="zh-CN"/>
        </w:rPr>
        <w:t xml:space="preserve">3 </w:t>
      </w:r>
      <w:r>
        <w:rPr>
          <w:rFonts w:ascii="仿宋_GB2312" w:eastAsia="仿宋_GB2312" w:hAnsi="仿宋_GB2312" w:cs="仿宋_GB2312" w:hint="eastAsia"/>
          <w:bCs/>
          <w:sz w:val="28"/>
          <w:szCs w:val="28"/>
          <w:highlight w:val="yellow"/>
        </w:rPr>
        <w:t>软件调试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9"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w:t>
      </w:r>
      <w:r>
        <w:rPr>
          <w:rFonts w:ascii="仿宋" w:eastAsia="仿宋" w:hAnsi="仿宋" w:cs="Times New Roman" w:hint="eastAsia"/>
          <w:color w:val="auto"/>
          <w:sz w:val="28"/>
          <w:szCs w:val="28"/>
        </w:rPr>
        <w:t>波段天气雷达现场验收规定（试行）》等文件的要求开展检验考核。同时，采购人可根据合同以及采购人的有关规定</w:t>
      </w:r>
      <w:r>
        <w:rPr>
          <w:rFonts w:ascii="仿宋" w:eastAsia="仿宋" w:hAnsi="仿宋" w:cs="Times New Roman" w:hint="eastAsia"/>
          <w:color w:val="auto"/>
          <w:sz w:val="28"/>
          <w:szCs w:val="28"/>
          <w:highlight w:val="none"/>
        </w:rPr>
        <w:t>修改完善验收文件</w:t>
      </w:r>
      <w:r>
        <w:rPr>
          <w:rFonts w:ascii="仿宋" w:eastAsia="仿宋" w:hAnsi="仿宋" w:hint="eastAsia"/>
          <w:color w:val="auto"/>
          <w:sz w:val="28"/>
          <w:szCs w:val="28"/>
        </w:rPr>
        <w:t>，经双方确认后作为验收依据</w:t>
      </w:r>
      <w:r>
        <w:rPr>
          <w:rFonts w:ascii="仿宋" w:eastAsia="仿宋" w:hAnsi="仿宋" w:cs="Times New Roman" w:hint="eastAsia"/>
          <w:color w:val="auto"/>
          <w:sz w:val="28"/>
          <w:szCs w:val="28"/>
          <w:highlight w:val="none"/>
        </w:rPr>
        <w:t>。</w:t>
      </w:r>
    </w:p>
    <w:bookmarkEnd w:id="79"/>
    <w:p>
      <w:pPr>
        <w:spacing w:line="240" w:lineRule="auto"/>
        <w:ind w:firstLine="560" w:firstLineChars="200"/>
        <w:outlineLvl w:val="2"/>
        <w:rPr>
          <w:rFonts w:ascii="仿宋" w:eastAsia="仿宋" w:hAnsi="仿宋" w:cs="仿宋" w:hint="eastAsia"/>
          <w:sz w:val="28"/>
          <w:szCs w:val="20"/>
        </w:rPr>
      </w:pPr>
      <w:r>
        <w:rPr>
          <w:rFonts w:ascii="仿宋_GB2312" w:eastAsia="仿宋_GB2312" w:hAnsi="仿宋_GB2312" w:cs="仿宋_GB2312" w:hint="eastAsia"/>
          <w:bCs/>
          <w:sz w:val="28"/>
          <w:szCs w:val="28"/>
          <w:highlight w:val="none"/>
        </w:rPr>
        <w:t>六 其他要求</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1"/>
        <w:gridCol w:w="2173"/>
        <w:gridCol w:w="1034"/>
        <w:gridCol w:w="1438"/>
        <w:gridCol w:w="1640"/>
        <w:gridCol w:w="1034"/>
        <w:gridCol w:w="61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X波段双线偏振多普勒天气雷达（简易型）</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3,720,000.00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3,720,000.00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2"/>
        <w:gridCol w:w="1930"/>
        <w:gridCol w:w="525"/>
        <w:gridCol w:w="152"/>
        <w:gridCol w:w="347"/>
        <w:gridCol w:w="289"/>
        <w:gridCol w:w="444"/>
        <w:gridCol w:w="468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四川省气象探测数据中心（四川省气象技术装备中心、四川省气象档案馆）(001016051)</w:t>
            </w:r>
          </w:p>
        </w:tc>
        <w:tc>
          <w:tcPr/>
          <w:p>
            <w:r>
              <w:t>X波段双线偏振多普勒天气雷达（简易型）</w:t>
            </w:r>
          </w:p>
        </w:tc>
        <w:tc>
          <w:tcPr/>
          <w:p>
            <w:r>
              <w:t>4</w:t>
            </w:r>
          </w:p>
        </w:tc>
        <w:tc>
          <w:tcPr/>
          <w:p>
            <w:r>
              <w:t>3720000.00</w:t>
            </w:r>
          </w:p>
        </w:tc>
        <w:tc>
          <w:tcPr/>
          <w:p>
            <w:r>
              <w:t xml:space="preserve">3720000.00  </w:t>
            </w:r>
          </w:p>
        </w:tc>
        <w:tc>
          <w:tcPr/>
          <w:p>
            <w:r>
              <w:t>四川省内指定地点</w:t>
            </w:r>
          </w:p>
        </w:tc>
        <w:tc>
          <w:tcPr/>
          <w:p>
            <w:r>
              <w:t>四川省气象探测数据中心（四川省气象技术装备中心、四川省气象档案馆）（联系人：陈中钰，电话：18010521893）；此预算包括主机设备320万元、及设备基础建设、安装、转运、防雷、供电供网改造等费用52万元</w:t>
            </w:r>
          </w:p>
        </w:tc>
      </w:tr>
    </w:tbl>
    <w:p w:rsidR="00A77B3E"/>
    <w:p>
      <w:pPr>
        <w:spacing w:line="360" w:lineRule="auto"/>
        <w:rPr>
          <w:rFonts w:ascii="宋体" w:hAnsi="宋体"/>
          <w:szCs w:val="21"/>
        </w:rPr>
      </w:pPr>
      <w:bookmarkEnd w:id="8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本采购项目为：</w:t>
      </w:r>
      <w:r>
        <w:rPr>
          <w:rFonts w:ascii="仿宋" w:eastAsia="仿宋" w:hAnsi="仿宋" w:cs="仿宋" w:hint="eastAsia"/>
          <w:sz w:val="28"/>
          <w:szCs w:val="20"/>
        </w:rPr>
        <w:t>2025年四川等8省（区、市）微小型X波段天气雷达建设</w:t>
      </w:r>
      <w:r>
        <w:rPr>
          <w:rFonts w:ascii="仿宋" w:eastAsia="仿宋" w:hAnsi="仿宋" w:cs="仿宋" w:hint="eastAsia"/>
          <w:sz w:val="28"/>
          <w:szCs w:val="20"/>
          <w:lang w:val="en-US" w:eastAsia="zh-CN"/>
        </w:rPr>
        <w:t>项目中，在四川盆地周边区域拟建的4套雷达主机设备及设备基础建设安装、运输、供配电改造、防雷设施等，旨在采购一种成本低、功耗小、轻巧的微小型X波段天气雷达，并在没有机房的情况下、可提供简易机房维持雷达正常运行，填补位置偏远、交通不便的主要天气系统上游地区监测盲区，提升流域、山地、丘陵等现有雷达观测盲区对特定方位灾害天气的监测能力，提高灾害易发区短时临近预报能力。</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所采购的微小型X波段天气雷达为简易型，需适应极端气温环境下的正常运行。厂家需提供雷达吊装、安装等服务。</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40</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四川省境内指定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设备支持可无缝接入</w:t>
      </w:r>
      <w:r>
        <w:rPr>
          <w:rFonts w:ascii="仿宋" w:eastAsia="仿宋" w:hAnsi="仿宋" w:cs="仿宋" w:hint="eastAsia"/>
          <w:sz w:val="28"/>
          <w:szCs w:val="20"/>
          <w:lang w:val="en-US" w:eastAsia="zh-CN"/>
        </w:rPr>
        <w:t>气象局内网</w:t>
      </w:r>
      <w:r>
        <w:rPr>
          <w:rFonts w:ascii="仿宋" w:eastAsia="仿宋" w:hAnsi="仿宋" w:cs="仿宋" w:hint="eastAsia"/>
          <w:sz w:val="28"/>
          <w:szCs w:val="20"/>
        </w:rPr>
        <w:t>系统</w:t>
      </w:r>
      <w:r>
        <w:rPr>
          <w:rFonts w:ascii="仿宋" w:eastAsia="仿宋" w:hAnsi="仿宋" w:cs="仿宋" w:hint="eastAsia"/>
          <w:sz w:val="28"/>
          <w:szCs w:val="20"/>
          <w:lang w:val="en-US" w:eastAsia="zh-CN"/>
        </w:rPr>
        <w:t>及天擎</w:t>
      </w:r>
      <w:r>
        <w:rPr>
          <w:rFonts w:ascii="仿宋" w:eastAsia="仿宋" w:hAnsi="仿宋" w:cs="仿宋" w:hint="eastAsia"/>
          <w:sz w:val="28"/>
          <w:szCs w:val="20"/>
        </w:rPr>
        <w:t>，实现与</w:t>
      </w:r>
      <w:r>
        <w:rPr>
          <w:rFonts w:ascii="仿宋" w:eastAsia="仿宋" w:hAnsi="仿宋" w:cs="仿宋" w:hint="eastAsia"/>
          <w:sz w:val="28"/>
          <w:szCs w:val="20"/>
          <w:lang w:val="en-US" w:eastAsia="zh-CN"/>
        </w:rPr>
        <w:t>各业务</w:t>
      </w:r>
      <w:r>
        <w:rPr>
          <w:rFonts w:ascii="仿宋" w:eastAsia="仿宋" w:hAnsi="仿宋" w:cs="仿宋" w:hint="eastAsia"/>
          <w:sz w:val="28"/>
          <w:szCs w:val="20"/>
        </w:rPr>
        <w:t>平台</w:t>
      </w:r>
      <w:r>
        <w:rPr>
          <w:rFonts w:ascii="仿宋" w:eastAsia="仿宋" w:hAnsi="仿宋" w:cs="仿宋" w:hint="eastAsia"/>
          <w:sz w:val="28"/>
          <w:szCs w:val="20"/>
          <w:lang w:val="en-US" w:eastAsia="zh-CN"/>
        </w:rPr>
        <w:t>的</w:t>
      </w:r>
      <w:r>
        <w:rPr>
          <w:rFonts w:ascii="仿宋" w:eastAsia="仿宋" w:hAnsi="仿宋" w:cs="仿宋" w:hint="eastAsia"/>
          <w:sz w:val="28"/>
          <w:szCs w:val="20"/>
        </w:rPr>
        <w:t>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lang w:val="en-US" w:eastAsia="zh-CN"/>
        </w:rPr>
        <w:t xml:space="preserve">    </w:t>
      </w: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D6089F">
      <w:pPr>
        <w:tabs>
          <w:tab w:val="left" w:pos="1573"/>
        </w:tabs>
        <w:adjustRightInd w:val="0"/>
        <w:snapToGrid w:val="0"/>
        <w:spacing w:line="360" w:lineRule="auto"/>
        <w:jc w:val="center"/>
        <w:outlineLvl w:val="1"/>
        <w:rPr>
          <w:b/>
          <w:bCs/>
          <w:sz w:val="30"/>
          <w:szCs w:val="30"/>
        </w:rPr>
      </w:pPr>
      <w:bookmarkStart w:id="8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6089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5716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6089F">
            <w:pPr>
              <w:rPr>
                <w:sz w:val="18"/>
                <w:szCs w:val="18"/>
              </w:rPr>
            </w:pPr>
            <w:r>
              <w:rPr>
                <w:rFonts w:hint="eastAsia"/>
                <w:sz w:val="18"/>
                <w:szCs w:val="18"/>
              </w:rPr>
              <w:t>序号</w:t>
            </w:r>
          </w:p>
        </w:tc>
        <w:tc>
          <w:tcPr>
            <w:tcW w:w="898" w:type="dxa"/>
            <w:vAlign w:val="center"/>
          </w:tcPr>
          <w:p w:rsidR="00D6089F">
            <w:pPr>
              <w:jc w:val="center"/>
              <w:rPr>
                <w:sz w:val="18"/>
                <w:szCs w:val="18"/>
              </w:rPr>
            </w:pPr>
            <w:r>
              <w:rPr>
                <w:rFonts w:hint="eastAsia"/>
                <w:sz w:val="18"/>
                <w:szCs w:val="18"/>
              </w:rPr>
              <w:t>对应</w:t>
            </w:r>
          </w:p>
          <w:p w:rsidR="00D6089F">
            <w:pPr>
              <w:jc w:val="center"/>
              <w:rPr>
                <w:sz w:val="18"/>
                <w:szCs w:val="18"/>
              </w:rPr>
            </w:pPr>
            <w:r>
              <w:rPr>
                <w:rFonts w:hint="eastAsia"/>
                <w:sz w:val="18"/>
                <w:szCs w:val="18"/>
              </w:rPr>
              <w:t>条款号</w:t>
            </w:r>
          </w:p>
        </w:tc>
        <w:tc>
          <w:tcPr>
            <w:tcW w:w="7347" w:type="dxa"/>
            <w:vAlign w:val="center"/>
          </w:tcPr>
          <w:p w:rsidR="00D6089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57166">
        <w:tblPrEx>
          <w:tblW w:w="8789" w:type="dxa"/>
          <w:tblLayout w:type="fixed"/>
          <w:tblLook w:val="04A0"/>
        </w:tblPrEx>
        <w:trPr>
          <w:cantSplit/>
        </w:trPr>
        <w:tc>
          <w:tcPr>
            <w:tcW w:w="8789" w:type="dxa"/>
            <w:gridSpan w:val="3"/>
            <w:vAlign w:val="center"/>
          </w:tcPr>
          <w:p w:rsidR="00D6089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57166">
        <w:tblPrEx>
          <w:tblW w:w="8789" w:type="dxa"/>
          <w:tblLayout w:type="fixed"/>
          <w:tblLook w:val="04A0"/>
        </w:tblPrEx>
        <w:trPr>
          <w:cantSplit/>
        </w:trPr>
        <w:tc>
          <w:tcPr>
            <w:tcW w:w="544" w:type="dxa"/>
            <w:vAlign w:val="center"/>
          </w:tcPr>
          <w:p w:rsidR="00D6089F">
            <w:pPr>
              <w:numPr>
                <w:ilvl w:val="0"/>
                <w:numId w:val="14"/>
              </w:numPr>
              <w:rPr>
                <w:rFonts w:ascii="宋体" w:hAnsi="宋体"/>
                <w:sz w:val="18"/>
                <w:szCs w:val="18"/>
              </w:rPr>
            </w:pPr>
          </w:p>
        </w:tc>
        <w:tc>
          <w:tcPr>
            <w:tcW w:w="898" w:type="dxa"/>
            <w:vAlign w:val="center"/>
          </w:tcPr>
          <w:p w:rsidR="00D6089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D6089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E57166">
        <w:tblPrEx>
          <w:tblW w:w="8789" w:type="dxa"/>
          <w:tblLayout w:type="fixed"/>
          <w:tblLook w:val="04A0"/>
        </w:tblPrEx>
        <w:trPr>
          <w:cantSplit/>
        </w:trPr>
        <w:tc>
          <w:tcPr>
            <w:tcW w:w="8789" w:type="dxa"/>
            <w:gridSpan w:val="3"/>
            <w:vAlign w:val="center"/>
          </w:tcPr>
          <w:p w:rsidR="00D6089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57166">
        <w:tblPrEx>
          <w:tblW w:w="8789" w:type="dxa"/>
          <w:tblLayout w:type="fixed"/>
          <w:tblLook w:val="04A0"/>
        </w:tblPrEx>
        <w:trPr>
          <w:cantSplit/>
        </w:trPr>
        <w:tc>
          <w:tcPr>
            <w:tcW w:w="544" w:type="dxa"/>
            <w:vAlign w:val="center"/>
          </w:tcPr>
          <w:p w:rsidR="00D6089F">
            <w:pPr>
              <w:numPr>
                <w:ilvl w:val="0"/>
                <w:numId w:val="14"/>
              </w:numPr>
              <w:rPr>
                <w:rFonts w:ascii="宋体" w:hAnsi="宋体"/>
                <w:sz w:val="18"/>
                <w:szCs w:val="18"/>
              </w:rPr>
            </w:pPr>
          </w:p>
        </w:tc>
        <w:tc>
          <w:tcPr>
            <w:tcW w:w="898" w:type="dxa"/>
            <w:vAlign w:val="center"/>
          </w:tcPr>
          <w:p w:rsidR="00D6089F">
            <w:pPr>
              <w:jc w:val="center"/>
              <w:rPr>
                <w:rFonts w:ascii="宋体" w:hAnsi="宋体"/>
                <w:sz w:val="18"/>
                <w:szCs w:val="18"/>
              </w:rPr>
            </w:pPr>
            <w:r>
              <w:rPr>
                <w:rFonts w:ascii="宋体" w:hAnsi="宋体"/>
                <w:sz w:val="18"/>
                <w:szCs w:val="18"/>
              </w:rPr>
              <w:t>4.2</w:t>
            </w:r>
          </w:p>
        </w:tc>
        <w:tc>
          <w:tcPr>
            <w:tcW w:w="7347" w:type="dxa"/>
            <w:vAlign w:val="center"/>
          </w:tcPr>
          <w:p w:rsidR="00E57166" w:rsidRPr="00E57166" w:rsidP="00E57166">
            <w:pPr>
              <w:spacing w:line="340" w:lineRule="exact"/>
              <w:ind w:firstLine="480" w:firstLineChars="200"/>
              <w:outlineLvl w:val="3"/>
              <w:rPr>
                <w:rFonts w:ascii="仿宋_GB2312" w:eastAsia="仿宋_GB2312" w:hAnsi="仿宋_GB2312" w:cs="仿宋_GB2312"/>
                <w:bCs/>
                <w:szCs w:val="28"/>
                <w:highlight w:val="yellow"/>
              </w:rPr>
            </w:pPr>
            <w:r w:rsidRPr="00E57166">
              <w:rPr>
                <w:rFonts w:ascii="仿宋_GB2312" w:eastAsia="仿宋_GB2312" w:hAnsi="仿宋_GB2312" w:cs="仿宋_GB2312" w:hint="eastAsia"/>
                <w:bCs/>
                <w:sz w:val="24"/>
                <w:szCs w:val="28"/>
                <w:highlight w:val="yellow"/>
              </w:rPr>
              <w:t>质保期服务</w:t>
            </w:r>
          </w:p>
          <w:p w:rsidR="00D6089F" w:rsidRPr="00E57166" w:rsidP="00E57166">
            <w:pPr>
              <w:spacing w:line="340" w:lineRule="exact"/>
              <w:ind w:firstLine="480" w:firstLineChars="200"/>
              <w:rPr>
                <w:rFonts w:ascii="仿宋" w:eastAsia="仿宋" w:hAnsi="仿宋" w:hint="eastAsia"/>
                <w:sz w:val="28"/>
                <w:szCs w:val="28"/>
              </w:rPr>
            </w:pPr>
            <w:r w:rsidRPr="00E57166">
              <w:rPr>
                <w:rFonts w:ascii="仿宋" w:eastAsia="仿宋" w:hAnsi="仿宋" w:hint="eastAsia"/>
                <w:sz w:val="24"/>
                <w:szCs w:val="28"/>
                <w:highlight w:val="yellow"/>
              </w:rPr>
              <w:t>*中标方按照中国气象局有关要求和双方协商约定的内容提供服务，确保设备稳定运行，以及自验收合格后8年的整机及雷达分系统质保服务等。</w:t>
            </w:r>
          </w:p>
        </w:tc>
      </w:tr>
      <w:tr w:rsidTr="00E57166">
        <w:tblPrEx>
          <w:tblW w:w="8789" w:type="dxa"/>
          <w:tblLayout w:type="fixed"/>
          <w:tblLook w:val="04A0"/>
        </w:tblPrEx>
        <w:trPr>
          <w:cantSplit/>
        </w:trPr>
        <w:tc>
          <w:tcPr>
            <w:tcW w:w="544" w:type="dxa"/>
            <w:vAlign w:val="center"/>
          </w:tcPr>
          <w:p w:rsidR="00E57166">
            <w:pPr>
              <w:numPr>
                <w:ilvl w:val="0"/>
                <w:numId w:val="14"/>
              </w:numPr>
              <w:rPr>
                <w:rFonts w:ascii="宋体" w:hAnsi="宋体"/>
                <w:sz w:val="18"/>
                <w:szCs w:val="18"/>
              </w:rPr>
            </w:pPr>
          </w:p>
        </w:tc>
        <w:tc>
          <w:tcPr>
            <w:tcW w:w="898" w:type="dxa"/>
            <w:vAlign w:val="center"/>
          </w:tcPr>
          <w:p w:rsidR="00E57166">
            <w:pPr>
              <w:jc w:val="center"/>
              <w:rPr>
                <w:rFonts w:ascii="宋体" w:hAnsi="宋体"/>
                <w:sz w:val="18"/>
                <w:szCs w:val="18"/>
              </w:rPr>
            </w:pPr>
            <w:r>
              <w:rPr>
                <w:rFonts w:ascii="宋体" w:hAnsi="宋体" w:hint="eastAsia"/>
                <w:sz w:val="18"/>
                <w:szCs w:val="18"/>
              </w:rPr>
              <w:t>4.3</w:t>
            </w:r>
          </w:p>
        </w:tc>
        <w:tc>
          <w:tcPr>
            <w:tcW w:w="7347" w:type="dxa"/>
            <w:vAlign w:val="center"/>
          </w:tcPr>
          <w:p w:rsidR="00E57166" w:rsidRPr="00E57166" w:rsidP="00E57166">
            <w:pPr>
              <w:spacing w:line="340" w:lineRule="exact"/>
              <w:ind w:firstLine="480" w:firstLineChars="200"/>
              <w:outlineLvl w:val="3"/>
              <w:rPr>
                <w:rFonts w:ascii="仿宋" w:eastAsia="仿宋" w:hAnsi="仿宋" w:cs="仿宋"/>
                <w:szCs w:val="28"/>
                <w:highlight w:val="yellow"/>
              </w:rPr>
            </w:pPr>
            <w:r w:rsidRPr="00E57166">
              <w:rPr>
                <w:rFonts w:ascii="仿宋_GB2312" w:eastAsia="仿宋_GB2312" w:hAnsi="仿宋_GB2312" w:cs="仿宋_GB2312" w:hint="eastAsia"/>
                <w:bCs/>
                <w:sz w:val="24"/>
                <w:szCs w:val="28"/>
                <w:highlight w:val="yellow"/>
              </w:rPr>
              <w:t>软件调试</w:t>
            </w:r>
          </w:p>
          <w:p w:rsidR="00E57166" w:rsidRPr="00E57166" w:rsidP="00E57166">
            <w:pPr>
              <w:spacing w:line="340" w:lineRule="exact"/>
              <w:ind w:firstLine="480" w:firstLineChars="200"/>
              <w:rPr>
                <w:rFonts w:ascii="仿宋" w:eastAsia="仿宋" w:hAnsi="仿宋" w:hint="eastAsia"/>
                <w:szCs w:val="28"/>
              </w:rPr>
            </w:pPr>
            <w:r w:rsidRPr="00E57166">
              <w:rPr>
                <w:rFonts w:ascii="仿宋" w:eastAsia="仿宋" w:hAnsi="仿宋" w:hint="eastAsia"/>
                <w:sz w:val="24"/>
                <w:szCs w:val="28"/>
                <w:highlight w:val="yellow"/>
              </w:rPr>
              <w:t>*中标方需配合采</w:t>
            </w:r>
            <w:r w:rsidRPr="00E57166">
              <w:rPr>
                <w:rFonts w:ascii="仿宋" w:eastAsia="仿宋" w:hAnsi="仿宋" w:hint="eastAsia"/>
                <w:sz w:val="24"/>
                <w:szCs w:val="28"/>
                <w:highlight w:val="yellow"/>
              </w:rPr>
              <w:t>购方，完成配套软件的安装调试，保证上站后能够安全稳定运行。投标方须提供承诺函。</w:t>
            </w:r>
          </w:p>
        </w:tc>
      </w:tr>
    </w:tbl>
    <w:p w:rsidR="00D6089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D6089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8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8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1</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签订合同后，甲方向乙方支付合同总额的70%；（2）现场安装测试后，甲方向乙方支付合同总额的25%；（3</w:t>
      </w:r>
      <w:r>
        <w:rPr>
          <w:rFonts w:ascii="宋体" w:hAnsi="宋体" w:hint="eastAsia"/>
          <w:szCs w:val="21"/>
          <w:highlight w:val="none"/>
          <w:u w:val="single"/>
          <w:lang w:val="en-US" w:eastAsia="zh-CN"/>
        </w:rPr>
        <w:t>）现场验收后，甲方向乙方支付合同总额的5%</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2" w:name="_Toc27624"/>
      <w:r>
        <w:rPr>
          <w:rFonts w:ascii="黑体" w:hAnsi="黑体" w:hint="eastAsia"/>
          <w:b w:val="0"/>
          <w:bCs w:val="0"/>
          <w:sz w:val="28"/>
          <w:szCs w:val="28"/>
          <w:highlight w:val="none"/>
        </w:rPr>
        <w:t>第二节 政府采购合同通用条款</w:t>
      </w:r>
      <w:bookmarkEnd w:id="9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8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000" w:usb1="0000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87">
    <w:panose1 w:val="02010609030101010101"/>
    <w:charset w:val="86"/>
    <w:family w:val="auto"/>
    <w:pitch w:val="default"/>
    <w:sig w:usb0="00000001" w:usb1="080E0000" w:usb2="00000000" w:usb3="00000000" w:csb0="00040000" w:csb1="00000000"/>
  </w:font>
  <w:font w:name="WPSEMBED88">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A98919"/>
    <w:multiLevelType w:val="singleLevel"/>
    <w:tmpl w:val="BAA98919"/>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89F"/>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57166"/>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