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青海省人工影响天气水资源保障工程-机动集成作业系统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ZQCD-26092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青海省人工影响天气水资源保障工程-机动集成作业系统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ZQCD-26092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合同签订后240天内交货，270天内完成安装调试并具备验收条件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采购方指定地点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2026年06月05日 00:00:00</w:t>
      </w:r>
      <w:bookmarkEnd w:id="26"/>
      <w:r>
        <w:rPr>
          <w:rFonts w:ascii="宋体" w:hint="eastAsia"/>
          <w:szCs w:val="21"/>
          <w:highlight w:val="none"/>
        </w:rPr>
        <w:t>至</w:t>
      </w:r>
      <w:bookmarkStart w:id="27" w:name="项目公告_signUpLastTime"/>
      <w:r>
        <w:rPr>
          <w:rFonts w:ascii="宋体" w:hint="eastAsia"/>
          <w:szCs w:val="21"/>
          <w:highlight w:val="none"/>
        </w:rPr>
        <w:t>2026年06月12日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2026年06月26日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hint="eastAsia"/>
          <w:bCs/>
          <w:szCs w:val="21"/>
          <w:highlight w:val="none"/>
          <w:u w:val="singl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郭世钰</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0971-6136071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允许（仅针对以下产品：机动集成作业系统允许代理商投标）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设有，核心产品为机动集成作业系统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激光云高仪，2、全固态Ka波段双偏振云雷达，3、自动气象站具有中国气象局颁发的有效期内的自动气象站《气象专用技术装备使用许可证》或经中国气象局综合观测司批准设计定型的设备（非便携式自动气象站、海滨自动气象站）</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（1）标的：青海省人工影响天气水资源保障工程—机动集成作业系统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1、投标人具有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销售合同必须包括投标人承接过集成类项目，每提供1份合同得1分，最多得5分。否则不得分。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中标人针对本项目采购的货物，承诺每提前10天交货的得1分，最多得3分，否则不得分。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(5)</w:t>
            </w:r>
          </w:p>
        </w:tc>
        <w:tc>
          <w:tcPr/>
          <w:p>
            <w:r>
              <w:t>评审标准：</w:t>
            </w:r>
          </w:p>
          <w:p>
            <w:r>
              <w:t xml:space="preserve">1、投标人为本项目拟派的服务团队中项目经理应具有3年以上相关工作经验的得3分；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(39)</w:t>
            </w:r>
          </w:p>
        </w:tc>
        <w:tc>
          <w:tcPr/>
          <w:p>
            <w:r>
              <w:t>评审标准：</w:t>
            </w:r>
          </w:p>
          <w:p>
            <w:r>
              <w:t>标注#的重要指标共13项，每满足1项（如有多个下级指标，则每个下级指标均应满足）得3分，满分39分。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项目信息安全管理方案（主观分）</w:t>
            </w:r>
          </w:p>
        </w:tc>
        <w:tc>
          <w:tcPr/>
          <w:p>
            <w:r>
              <w:t>勾选打分</w:t>
            </w:r>
            <w:r>
              <w:t>(3)</w:t>
            </w:r>
          </w:p>
        </w:tc>
        <w:tc>
          <w:tcPr/>
          <w:p>
            <w:r>
              <w:t>评审标准：</w:t>
            </w:r>
          </w:p>
          <w:p>
            <w:r>
              <w:t>一档0分</w:t>
              <w:cr/>
              <w:t>二档1分</w:t>
              <w:cr/>
              <w:t>三档2分</w:t>
              <w:cr/>
              <w:t>四档3分</w:t>
            </w:r>
          </w:p>
          <w:p>
            <w:r>
              <w:t>评审标准说明：</w:t>
            </w:r>
          </w:p>
          <w:p>
            <w:r>
              <w:t>根据投标人提供的项目信息安全管理方案进行分，具体评分标准如下：</w:t>
              <w:cr/>
              <w:t>一档：未提供信息安全管理方案。</w:t>
              <w:cr/>
              <w:t>二档：信息安全管理方案基本能按照招标文件的要求进行响应，基本满足采购文件的需求。</w:t>
              <w:cr/>
              <w:t>三档：信息安全管理方案基本能按照招标文件的要求进行响应，基本满足采购文件的需求但针对性较差。</w:t>
              <w:cr/>
              <w:t>四档：信息安全管理方案完全符合招标文件要求，针对性强，信息安全管理操作规程和信息安全控制策略详细完善，完全满足招标文件需求。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800AF2">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eastAsia="宋体" w:hAnsi="宋体" w:cs="Times New Roman" w:hint="eastAsia"/>
          <w:b/>
          <w:sz w:val="30"/>
          <w:szCs w:val="30"/>
        </w:rPr>
        <w:t>第七章  采购需求</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一、项目概况</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为提升青海人工影响天气作业基础能力，初步形成安全人影、科学人影、生态人影的青海生态补水型人工影响天气作业服务保障体系。通过项目建设扩大人工影响天气设备及作业装备覆盖率，提升青海人工影响天气气象科技能力现代化和社会服务现代化水平，充分发挥人工影响天气气象防灾减灾第一道防线作用，提升重大活动、重大应急保障能力，更加合理高效的开发利用空中云水资源，最大限度地减轻和避免干旱、森林火灾等灾害对青海经济社会发展造成的影响，为建设青海生态文明高地提供有力保障。为提升青海省重大服务、重要应急一站式系统化人工影响天气保障能力，建设机动集成作业系统1套，包含探测模组、指挥模组、作业模组、作业保障模组各1套。</w:t>
      </w:r>
    </w:p>
    <w:p w:rsidR="007E04AC" w:rsidP="007E04AC">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二、设备需求一览表</w:t>
      </w:r>
    </w:p>
    <w:tbl>
      <w:tblPr>
        <w:tblStyle w:val="TableGrid"/>
        <w:tblW w:w="0" w:type="auto"/>
        <w:tblInd w:w="-39" w:type="dxa"/>
        <w:tblCellMar>
          <w:top w:w="0" w:type="dxa"/>
          <w:left w:w="108" w:type="dxa"/>
          <w:bottom w:w="0" w:type="dxa"/>
          <w:right w:w="108" w:type="dxa"/>
        </w:tblCellMar>
        <w:tblLook w:val="04A0"/>
      </w:tblPr>
      <w:tblGrid>
        <w:gridCol w:w="529"/>
        <w:gridCol w:w="2380"/>
        <w:gridCol w:w="444"/>
        <w:gridCol w:w="1155"/>
        <w:gridCol w:w="2210"/>
        <w:gridCol w:w="1843"/>
      </w:tblGrid>
      <w:tr>
        <w:tblPrEx>
          <w:tblW w:w="0" w:type="auto"/>
          <w:tblInd w:w="-39" w:type="dxa"/>
          <w:tblCellMar>
            <w:top w:w="0" w:type="dxa"/>
            <w:left w:w="108" w:type="dxa"/>
            <w:bottom w:w="0" w:type="dxa"/>
            <w:right w:w="108" w:type="dxa"/>
          </w:tblCellMar>
          <w:tblLook w:val="04A0"/>
        </w:tblPrEx>
        <w:tc>
          <w:tcPr>
            <w:tcW w:w="466" w:type="dxa"/>
          </w:tcPr>
          <w:p w:rsidR="00800AF2">
            <w:pPr>
              <w:autoSpaceDE w:val="0"/>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1131" w:type="dxa"/>
          </w:tcPr>
          <w:p w:rsidR="00800AF2">
            <w:pPr>
              <w:autoSpaceDE w:val="0"/>
              <w:jc w:val="center"/>
              <w:rPr>
                <w:rFonts w:ascii="宋体" w:eastAsia="宋体" w:hAnsi="宋体" w:cs="宋体" w:hint="eastAsia"/>
                <w:kern w:val="0"/>
                <w:szCs w:val="21"/>
              </w:rPr>
            </w:pPr>
            <w:r>
              <w:rPr>
                <w:rFonts w:ascii="宋体" w:eastAsia="宋体" w:hAnsi="宋体" w:cs="宋体" w:hint="eastAsia"/>
                <w:kern w:val="0"/>
                <w:szCs w:val="21"/>
              </w:rPr>
              <w:t>设备名称</w:t>
            </w:r>
          </w:p>
        </w:tc>
        <w:tc>
          <w:tcPr>
            <w:tcW w:w="462" w:type="dxa"/>
          </w:tcPr>
          <w:p w:rsidR="00800AF2">
            <w:pPr>
              <w:autoSpaceDE w:val="0"/>
              <w:jc w:val="center"/>
              <w:rPr>
                <w:rFonts w:ascii="宋体" w:eastAsia="宋体" w:hAnsi="宋体" w:cs="宋体" w:hint="eastAsia"/>
                <w:kern w:val="0"/>
                <w:szCs w:val="21"/>
              </w:rPr>
            </w:pPr>
            <w:r>
              <w:rPr>
                <w:rFonts w:ascii="宋体" w:eastAsia="宋体" w:hAnsi="宋体" w:cs="宋体" w:hint="eastAsia"/>
                <w:kern w:val="0"/>
                <w:szCs w:val="21"/>
              </w:rPr>
              <w:t>采购数量</w:t>
            </w:r>
          </w:p>
        </w:tc>
        <w:tc>
          <w:tcPr>
            <w:tcW w:w="957" w:type="dxa"/>
          </w:tcPr>
          <w:p w:rsidR="00800AF2">
            <w:pPr>
              <w:autoSpaceDE w:val="0"/>
              <w:jc w:val="center"/>
              <w:rPr>
                <w:rFonts w:ascii="宋体" w:eastAsia="宋体" w:hAnsi="宋体" w:cs="宋体" w:hint="eastAsia"/>
                <w:kern w:val="0"/>
                <w:szCs w:val="21"/>
              </w:rPr>
            </w:pPr>
            <w:r>
              <w:rPr>
                <w:rFonts w:ascii="宋体" w:eastAsia="宋体" w:hAnsi="宋体" w:cs="宋体" w:hint="eastAsia"/>
                <w:kern w:val="0"/>
                <w:szCs w:val="21"/>
              </w:rPr>
              <w:t>计量单位</w:t>
            </w:r>
          </w:p>
        </w:tc>
        <w:tc>
          <w:tcPr>
            <w:tcW w:w="3124" w:type="dxa"/>
          </w:tcPr>
          <w:p w:rsidR="00800AF2">
            <w:pPr>
              <w:autoSpaceDE w:val="0"/>
              <w:jc w:val="center"/>
              <w:rPr>
                <w:rFonts w:ascii="宋体" w:eastAsia="宋体" w:hAnsi="宋体" w:cs="宋体" w:hint="eastAsia"/>
                <w:kern w:val="0"/>
                <w:szCs w:val="21"/>
              </w:rPr>
            </w:pPr>
            <w:r>
              <w:rPr>
                <w:rFonts w:ascii="宋体" w:eastAsia="宋体" w:hAnsi="宋体" w:cs="宋体" w:hint="eastAsia"/>
                <w:kern w:val="0"/>
                <w:szCs w:val="21"/>
              </w:rPr>
              <w:t>采购预算（元）</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备注</w:t>
            </w: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移动式方舱</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850,000.00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包括设备舱、工作舱、空调系统、供电系统、录像设备、便携式大气参数探测设备存储舱以及预留的外部设备信息采集接口，主要提供各设备安装空间并提供基础工作条件。支持北斗全球导航定位系统、4G/5G移动通信、卫星通信等功能，自动调平。</w:t>
            </w: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2</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X</w:t>
            </w:r>
            <w:r>
              <w:rPr>
                <w:rFonts w:ascii="Calibri" w:eastAsia="宋体" w:hAnsi="Calibri" w:cs="Times New Roman"/>
                <w:szCs w:val="22"/>
              </w:rPr>
              <w:t>波段相控阵雷达</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8,100,000.00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3</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六要素气象站</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250,000.00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4</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毫米波测云雷达</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2,200,000.00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5</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激光云高仪</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w:t>
            </w:r>
            <w:r>
              <w:rPr>
                <w:rFonts w:ascii="Calibri" w:eastAsia="宋体" w:hAnsi="Calibri" w:cs="Times New Roman"/>
                <w:szCs w:val="22"/>
              </w:rPr>
              <w:t>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500,000.00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6</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小型旋翼无人机</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400,000.00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7</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载车平台</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480,000.00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8</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任务舱方舱</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780,000.00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任务舱包括设备舱、工作舱、空调系统、供电系统、录像设备、便携式大气参数探测设备存储舱以及预留的外部设备信息采集接口，主要提供各设备安装空间并提供基础工作条件。支持北斗全球导航定位系统、4G/5G移动通信、卫星通信等功能，自动调平。</w:t>
            </w: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9</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气象信息处理和显控席位</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300,000.00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10</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人工影响天气决策支持数据接收处理分析平台</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800,000.00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包括：视讯终端、图形工作站、机架式服务器、磁盘阵列、KVM一体机、显示器、大屏幕显示器、KVM切换器、千兆交换机（含光模块）、防火墙（含路由器）等</w:t>
            </w: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移动式火箭发射装置</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3</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375,000.00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12</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作业设备储运方舱</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850,000.00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包括舱体结构、门、窗、空调、加热器、换气扇、机柜、机柜减震及固定机构、供电电缆、光缆、电源及信号孔门(含接插件)、照明系统、随舱工具等。</w:t>
            </w: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13</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弹药临时储运箱</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3</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w:t>
            </w:r>
            <w:r>
              <w:rPr>
                <w:rFonts w:ascii="Calibri" w:eastAsia="宋体" w:hAnsi="Calibri" w:cs="Times New Roman"/>
                <w:szCs w:val="22"/>
              </w:rPr>
              <w:t>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210,000.00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14</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火箭作业安全监控终端</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3</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39,000.00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15</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液压转运平台</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3</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21,000.00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16</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无线安全锁定发控器</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3</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45,000.00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17</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任务舱舱体</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700,000.00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18</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监控子系统</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200,000.00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含舱内摄像机、舱外摄像机、视频监控主机、温湿度传感器、烟雾传感器、声光报警器。</w:t>
            </w: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19</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工作生活单元</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1</w:t>
            </w:r>
          </w:p>
        </w:tc>
        <w:tc>
          <w:tcPr>
            <w:tcW w:w="0" w:type="auto"/>
          </w:tcPr>
          <w:p w:rsidR="00800AF2">
            <w:pPr>
              <w:autoSpaceDE w:val="0"/>
              <w:jc w:val="center"/>
              <w:rPr>
                <w:rFonts w:ascii="宋体" w:eastAsia="宋体" w:hAnsi="宋体" w:cs="宋体" w:hint="eastAsia"/>
                <w:kern w:val="0"/>
                <w:szCs w:val="21"/>
              </w:rPr>
            </w:pPr>
            <w:r>
              <w:rPr>
                <w:rFonts w:ascii="Calibri" w:eastAsia="宋体" w:hAnsi="Calibri" w:cs="Times New Roman"/>
                <w:szCs w:val="22"/>
              </w:rPr>
              <w:t>台（套、个）</w:t>
            </w:r>
          </w:p>
        </w:tc>
        <w:tc>
          <w:tcPr>
            <w:tcW w:w="3124" w:type="dxa"/>
          </w:tcPr>
          <w:p w:rsidR="00800AF2">
            <w:pPr>
              <w:autoSpaceDE w:val="0"/>
              <w:jc w:val="center"/>
              <w:rPr>
                <w:rFonts w:ascii="宋体" w:eastAsia="宋体" w:hAnsi="宋体" w:cs="宋体" w:hint="eastAsia"/>
                <w:kern w:val="0"/>
                <w:szCs w:val="21"/>
              </w:rPr>
            </w:pPr>
            <w:r>
              <w:rPr>
                <w:rFonts w:ascii="Calibri" w:eastAsia="宋体" w:hAnsi="Calibri" w:cs="Times New Roman"/>
                <w:szCs w:val="22"/>
              </w:rPr>
              <w:t>700,000.00</w:t>
            </w:r>
          </w:p>
        </w:tc>
        <w:tc>
          <w:tcPr>
            <w:tcW w:w="2902" w:type="dxa"/>
          </w:tcPr>
          <w:p w:rsidR="00800AF2">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顶置空调、饮水机、冰箱、电视机、折叠座椅、文件柜、灭火器、设备机柜、医疗急救箱、激光打印机、厨房工作台、电磁炉、微波炉、热水器、洗手池、坐便器、净水箱、灰水箱等。双层卧铺床、办公桌、顶置空调、行李柜等。</w:t>
            </w:r>
          </w:p>
        </w:tc>
      </w:tr>
      <w:tr>
        <w:tblPrEx>
          <w:tblW w:w="0" w:type="auto"/>
          <w:tblInd w:w="-39" w:type="dxa"/>
          <w:tblCellMar>
            <w:top w:w="0" w:type="dxa"/>
            <w:left w:w="108" w:type="dxa"/>
            <w:bottom w:w="0" w:type="dxa"/>
            <w:right w:w="108" w:type="dxa"/>
          </w:tblCellMar>
          <w:tblLook w:val="04A0"/>
        </w:tblPrEx>
        <w:tc>
          <w:tcPr>
            <w:tcW w:w="0" w:type="auto"/>
          </w:tcPr>
          <w:p w:rsidR="00800AF2">
            <w:pPr>
              <w:autoSpaceDE w:val="0"/>
              <w:jc w:val="center"/>
              <w:rPr>
                <w:rFonts w:ascii="Calibri" w:eastAsia="宋体" w:hAnsi="Calibri" w:cs="Times New Roman"/>
                <w:szCs w:val="22"/>
              </w:rPr>
            </w:pPr>
            <w:r>
              <w:rPr>
                <w:rFonts w:ascii="Calibri" w:eastAsia="宋体" w:hAnsi="Calibri" w:cs="Times New Roman" w:hint="eastAsia"/>
                <w:szCs w:val="22"/>
              </w:rPr>
              <w:t>合计</w:t>
            </w:r>
          </w:p>
        </w:tc>
        <w:tc>
          <w:tcPr>
            <w:tcW w:w="8576" w:type="dxa"/>
            <w:gridSpan w:val="5"/>
          </w:tcPr>
          <w:p w:rsidR="00800AF2">
            <w:pPr>
              <w:autoSpaceDE w:val="0"/>
              <w:autoSpaceDN w:val="0"/>
              <w:adjustRightInd w:val="0"/>
              <w:spacing w:before="48"/>
              <w:ind w:right="-20"/>
              <w:jc w:val="center"/>
              <w:rPr>
                <w:rFonts w:ascii="宋体" w:eastAsia="宋体" w:hAnsi="宋体" w:cs="宋体" w:hint="eastAsia"/>
                <w:kern w:val="0"/>
                <w:szCs w:val="21"/>
              </w:rPr>
            </w:pPr>
            <w:r>
              <w:rPr>
                <w:rFonts w:ascii="Calibri" w:eastAsia="宋体" w:hAnsi="Calibri" w:cs="Times New Roman"/>
                <w:szCs w:val="21"/>
              </w:rPr>
              <w:t>17,800,000.00</w:t>
            </w:r>
          </w:p>
        </w:tc>
      </w:tr>
    </w:tbl>
    <w:p w:rsidR="00800AF2">
      <w:pPr>
        <w:spacing w:line="360" w:lineRule="auto"/>
        <w:ind w:firstLine="420" w:firstLineChars="200"/>
        <w:rPr>
          <w:rFonts w:ascii="宋体" w:eastAsia="宋体" w:hAnsi="宋体" w:cs="Times New Roman" w:hint="eastAsia"/>
          <w:szCs w:val="21"/>
        </w:rPr>
      </w:pP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三、技术服务和质保期服务要求</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1.售后服务</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（1）投标人对所有设备提供自验收合格后8年的免费质保服务，需提供设备质保承诺函原件。</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质保期内，设备供应商服务时间应为7×24小时，当投标产品或软件遭到损坏或出现故障时，接到报修后2小时内响应，24小时内到达现场，48小时内修复；48小时内无法修复的，提供不低于原规格的备用设备。</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（3）投标人应保证在规定的工期内完成项目工作，保证项目质量。</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（4）如确需上门服务的，在接到问题报告后48小时内成交供应商应派人到达现场。</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（5）投标人应终身向用户免费提供电话、传真、电子邮件技术支持服务。</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（6）质保期过后，设备供应商仍有义务提供技术服务（包括提供设备维护、备件等）。</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（7）投标人需提供详细售后服务方案，包括设备售后服务组织机构、人员组成、技术支持文档等。其中，售后服务组织机构设置合理，人员技术能力强，技术文档内容全面。</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（8）投标人提供相关设施所需4G/5G流量卡(含8年流量费)、卫星通信服务费（8年）并提供承诺函。</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（9）投标人提供8年北斗服务费并提供承诺函。</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质保期（免费保修期）：自验收合格之日起至少8年，期间因非人为因素导致的任何故障、缺陷，乙方应免费维修、更换零部件，并承担全部费用（含人工、备件、差旅、流量等）。并提供上述质保期承诺函。</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2.验收</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验收分出厂检验、安装调试检验与最终验收三个阶段。</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（1）出厂检验：系统设备生产完成，进行出厂验收，投标人在本合同货物交付给招标人时，必须同时向招标人提交《产品质量合格证》。</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安装调试检验：投标人在货物到货之前须提供一份详细的货物清单及验收方案报告。投标人应以书面形式通知招标人所要完成的工作和准备、进行验收的项目种类及验收开始时间，此通知书需经招标人认定后方可执行。招标人与投标人一起对所验收的项目进行测试。货物安装调试过程，投标人应作详细检验记录，并将检验记录提交给招标人。</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（3）最终验收：货物安装调试和试运行结束后，双方按合同有关规定的标准和要求进行验收。验收应对设备的各项功能、性能及技术指标进行测试。</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投标人负责提供验收测试所需的人力、专用测试设备、特殊工具、附加备件和其他的材料。</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验收合格的基本条件：设备、零备件及设备文档齐全；在24小时考机期间设备性能和技术参数达到合同要求；设备通过验收测试，并处于良好运行状态。</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验收各方应在验收报告上签署确认。</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验收所发生的一切费用由投标人承担。 </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3.培训</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（1）投标人对每套投标产品提供至少2次技术培训，培训内容包括设备安装、使用、日常维护、观测原理及产品应用，培训时间及地点双方协商确定。</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（2）投标人需提供详细技术服务方案，包括但不限于：设备安装建设规范、设备工作</w:t>
      </w:r>
      <w:r>
        <w:rPr>
          <w:rFonts w:ascii="宋体" w:eastAsia="宋体" w:hAnsi="宋体" w:cs="Times New Roman" w:hint="eastAsia"/>
          <w:szCs w:val="21"/>
        </w:rPr>
        <w:t>原理、设备部件结构组成、设备操作手册、设备运行维护手册、设备软件使用手册、相关产品算法说明文档等。</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4.交货期</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合同签订后240天内交货，270天内完成安装调试并具备验收条件。</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四、检验考核要求</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1.外包装应：标志齐全、清晰，无错漏；箱体整洁、完整，无缺损；按规定紧固包装，没有突出尖状物。</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外包装箱上通常应有以下标志：1）产品型号、名称、数量、生产厂家名称及详细地址；2）执行的产品标准号；3）箱体外形尺寸；4）重量；5）出厂日期；6）需要时还应标明发站、到站及收货单位；7）具有“小心轻放”、“向上”、“怕雨”等包装储运图示标志。</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3.内包装有合格证及装箱单；配套齐全、正确、完整，无损伤无差错。</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4.运输：出厂验收合格后，中标单位负责将产品运输到用户指定的地点，运输过程应当遵守国家有关管理的法律、法规。</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5.设备出厂前，需按照出厂测试大纲进行技术指标测试；系统安装、调试完成后，应严格按照现场测试大纲要求对系统进行全面的测试、标定，合格后设备投入业务试运行。</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投标人须负责对货物的现场安装、调试和其它服务。合同所订货物到达采购人指定地点后，投标人应在接到采购人通知后指派合格的技术人员到指定地点进行安装调试。如因投标人责任而造成的延期，所有因安装延期而产生的费用由投标人负担。货物运抵现场后，采购人将对货物的质量、规格、数量进行检验，如发现货物的规格或数量或两者都与合同不符，采购人有权向投标人提出索赔。</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8.投标人人员在现场安装调试培训期间，其食宿、交通等费用均自行承担。</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由投标人负责设备安装、调试等工作，用户方负责提供安装场地、供电及通讯，设备安装调试、验收等相关工作,费用由中标供货商负责。设备布设地点为野外，需要进行多次转运，相关费用在投标报价中包含。设备不合格或不符合质量要求，供应商除无条件退货、返工外，还应承担采购人的一切损失。</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10.四套模组均能利用本项目采购的载车平台运输并合法上路。</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11.投标人保证派出的服务人员已经过专业培训，对采购范围内设备的维修保养具有丰</w:t>
      </w:r>
      <w:r>
        <w:rPr>
          <w:rFonts w:ascii="宋体" w:eastAsia="宋体" w:hAnsi="宋体" w:cs="Times New Roman" w:hint="eastAsia"/>
          <w:szCs w:val="21"/>
        </w:rPr>
        <w:t>富经验。</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12.投标人应计划好在服务人员不足时补充足够人员，遇突发性工作或事故检修时可调配的技术支援人员，以保证各项工作按工期、质量等要求顺利进行。若因投标人不能满足安全生产要求时，采购人有权组织其他单位参与工作，所产生的各项费用从投标人合同费用中扣除。</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13.当采购人有合理理由认为任何服务人员不符合本项目要求时，采购人有权要求投标人更换服务人员，投标人应无条件配合。</w:t>
      </w:r>
    </w:p>
    <w:p w:rsidR="00800AF2">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五、技术性能指标</w:t>
      </w:r>
    </w:p>
    <w:p w:rsidR="00800AF2">
      <w:pPr>
        <w:spacing w:line="560" w:lineRule="exact"/>
        <w:ind w:firstLine="420" w:firstLineChars="200"/>
        <w:outlineLvl w:val="1"/>
        <w:rPr>
          <w:rFonts w:ascii="宋体" w:eastAsia="宋体" w:hAnsi="宋体" w:cs="宋体" w:hint="eastAsia"/>
          <w:bCs/>
          <w:color w:val="000000"/>
          <w:szCs w:val="21"/>
        </w:rPr>
      </w:pPr>
      <w:bookmarkStart w:id="60" w:name="_Toc8517"/>
      <w:r>
        <w:rPr>
          <w:rFonts w:ascii="宋体" w:eastAsia="宋体" w:hAnsi="宋体" w:cs="宋体" w:hint="eastAsia"/>
          <w:bCs/>
          <w:color w:val="000000"/>
          <w:szCs w:val="21"/>
        </w:rPr>
        <w:t>5.1探测模组</w:t>
      </w:r>
      <w:bookmarkEnd w:id="60"/>
    </w:p>
    <w:p w:rsidR="00800AF2">
      <w:pPr>
        <w:spacing w:line="560" w:lineRule="exact"/>
        <w:ind w:firstLine="420" w:firstLineChars="200"/>
        <w:outlineLvl w:val="2"/>
        <w:rPr>
          <w:rFonts w:ascii="宋体" w:eastAsia="宋体" w:hAnsi="宋体" w:cs="宋体" w:hint="eastAsia"/>
          <w:bCs/>
          <w:color w:val="000000"/>
          <w:szCs w:val="21"/>
        </w:rPr>
      </w:pPr>
      <w:bookmarkStart w:id="61" w:name="_Toc12356"/>
      <w:r>
        <w:rPr>
          <w:rFonts w:ascii="宋体" w:eastAsia="宋体" w:hAnsi="宋体" w:cs="宋体" w:hint="eastAsia"/>
          <w:bCs/>
          <w:color w:val="000000"/>
          <w:szCs w:val="21"/>
        </w:rPr>
        <w:t>5.1.1功能要求</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探测模组应具备以下功能：</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（1）能够探测暴雨、冰雹、大面积降雨等自然天气现象，有效、精准监测中小尺度强对流天气。</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（2）能够对天顶云底高和分层云高进行观测。</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（3）能够对云的垂直和水平结构进行观测，获取云厚、云高、云粒子大小、滴谱分布等多种宏微观参数，为云的数值模拟和作业条件预报提供可靠的资料和信息。</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（4）能够对作业范围内温度、相对湿度、气压、风速、风向、降水量等气象要素进行实时观测。</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（5）能够根据观测需求对空中温度、湿度、气压等气象要素进行观测。</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（6）支持北斗全球导航定位系统、有线通 4G/5G 移动网络通信、卫星通信等功能。</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（7）应具备市电与自备供电两种供电方式，并能相互切换。</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（8）做好强弱电隔离、线缆屏蔽保护等设计，确保车载设备运行时不相互影响，多种通信天线工作时不相互干扰。</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9）应采用先进成熟的载车和车载设备、设施。固定在车内使用的设备应安装在机柜中，并采取有效减震措施；无法安装在机柜中的设备，应采取可靠固定措施；非固定在车上使用的设备，应放置于适当位置，并应有临时固定保护措施；所有接插件应采取紧固措施。</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（10）设备、设施、线缆和接插件应采用符合国家标准、国家军用标准的标准件和通用件；应具有故障告警和检测措施。</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（11）市电可保证连续不间断工作，油电工作时间＞8h。</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（12）探测模组与指挥模组和省级指挥中心之间支持 4G/5G 移动网络通信、卫星通信、有线通信等方式进行通信，且需配置网关、路由、网络通道切换等功能，方便用户根据实际使用需要实现切换。</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（13）通过主控服务器中的主控软件 VLAN 接口或其他方式，可以实现三条外部有有线网络、4G/5G 移动网络、卫星通信择其一快速切换。同时，通过配置和探测模组内部局域网相同的网段，也能实现将网络设备接入探测模组内部局域网络进行功能拓展。需在 VPN 用户端网关位置部署防火墙，以此管控 VPN 接入流量，并联动入侵检测、终端安全设备，实现 VPN 接入链路的边界安全防护。</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5.1.2信息传输要求</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观测数据可通过4G/5G移动网络通信、卫星通信和北斗通信方式进行信息传输与指令互通。可独立通过系统自身软件或依据上级指令形成作业计划、作业方案，并组织对局部地区开展作业。实时采集任务执行区域气象参数变化情况，进行作业效果评估并上传到“天工”平台。</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5.1.3接口要求</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具备4G/5G移动网络通信、卫星通信和北斗定位，系统可通过上述通信方式进行信息传输与指令互通。实时采集任务执行区域气象参数变化情况，进行作业效果评估并上传到“天工”平台。</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电源：满足国家标准；</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控制：RS232；RS485;RJ45；</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传输：RJ45；光纤；5G；卫星通信；</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视频：HDMI;SDI;</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音频：卡侬；RCA</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各模组之间信息畅通，模组内部数据集中、系统集成、接口标准通用，各模组能够实时接入“天工”平台，实现无缝对接国家级、省级和市州级任务需求。</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5.1.4结构</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移动式方舱：移动式方舱包括设备舱、工作舱、空调系统、供电系统、录像设备、方舱升降机构、电动天窗、方舱调平仪和便携式大气参数探测设备存储舱以及预留的外部设备信息采集接口等，主要提供各设备安装空间并提供基础工作条件。支持北斗全球导航定位系统、4G/5G移动通信、卫星通信等功能。方舱外形尺寸需满足配备设备要求。方舱内部配置大屏显示器，转接口。操作座席，打印机和储存柜，10孔电源插座。</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方舱采用钢骨架铝蒙皮舱体结构，舱体外壁板采用铝合金板，内外壁夹层采用聚氨酯发泡结构设计。外面板选用强度高、重量轻的铝合金整板，板材厚度3mm，中间层填充硬质聚氨酯发泡，会议舱内面板为木质软包、设备舱内面为小花纹铝板，骨架用矩形管焊接而成，采用结构胶粘接技术，接缝采用氩弧焊接形成舱体壁板，表面平整、美观，在热传导、气密、水密等方面具有良好的性能指标，满足抗冲击要求并具有阻燃自熄性能。舱体壁板通过角件、包角弯角等连接件的焊接、粘接和螺栓连接等形式，形成稳定性好、强度高、抗变形、密封性好、表面平整度高的方舱舱体。</w:t>
      </w:r>
    </w:p>
    <w:p w:rsidR="00800AF2">
      <w:pPr>
        <w:spacing w:line="560" w:lineRule="exact"/>
        <w:ind w:firstLine="420" w:firstLineChars="200"/>
        <w:outlineLvl w:val="2"/>
        <w:rPr>
          <w:rFonts w:ascii="宋体" w:eastAsia="宋体" w:hAnsi="宋体" w:cs="宋体" w:hint="eastAsia"/>
          <w:bCs/>
          <w:color w:val="000000"/>
          <w:szCs w:val="21"/>
        </w:rPr>
      </w:pPr>
      <w:r>
        <w:rPr>
          <w:rFonts w:ascii="宋体" w:eastAsia="宋体" w:hAnsi="宋体" w:cs="宋体" w:hint="eastAsia"/>
          <w:bCs/>
          <w:color w:val="000000"/>
          <w:szCs w:val="21"/>
        </w:rPr>
        <w:t>5.1.5技术性能要求</w:t>
      </w:r>
      <w:bookmarkEnd w:id="61"/>
    </w:p>
    <w:p w:rsidR="00800AF2">
      <w:pPr>
        <w:spacing w:line="560" w:lineRule="exact"/>
        <w:ind w:firstLine="420" w:firstLineChars="200"/>
        <w:outlineLvl w:val="3"/>
        <w:rPr>
          <w:rFonts w:ascii="宋体" w:eastAsia="宋体" w:hAnsi="宋体" w:cs="宋体" w:hint="eastAsia"/>
          <w:bCs/>
          <w:color w:val="000000"/>
          <w:szCs w:val="21"/>
        </w:rPr>
      </w:pPr>
      <w:bookmarkStart w:id="62" w:name="_Toc1285"/>
      <w:r>
        <w:rPr>
          <w:rFonts w:ascii="宋体" w:eastAsia="宋体" w:hAnsi="宋体" w:cs="宋体" w:hint="eastAsia"/>
          <w:bCs/>
          <w:color w:val="000000"/>
          <w:szCs w:val="21"/>
        </w:rPr>
        <w:t>5.1.5.1移动式方舱</w:t>
      </w:r>
      <w:bookmarkEnd w:id="62"/>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5.1.5.1.1移动式方舱主箱体</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直角方舱，外形宽度≥6058mm×2438mm×2591mm且长度≤9000mm，配备八个角安装方舱角件，厢体按钢骨架铝合金蒙皮进行设计，外蒙皮选用厚度≥3mm铝板，选用高密度的阻燃聚氨酯泡沫作为夹芯层（隔热芯材），大板中所用的骨架为钢骨架焊接而成，内外蒙皮与骨架粘接固定,厢体骨架整体电泳处理，以保证骨架的防腐能力。内饰型材及外包型材、门结构采用阳极氧化处理铝型材，其外型美观，防腐耐用。各开孔和承重处均设置骨架的预埋</w:t>
      </w:r>
      <w:r>
        <w:rPr>
          <w:rFonts w:ascii="宋体" w:eastAsia="宋体" w:hAnsi="宋体" w:cs="宋体" w:hint="eastAsia"/>
          <w:bCs/>
          <w:color w:val="000000"/>
          <w:szCs w:val="21"/>
        </w:rPr>
        <w:t>件，满足车厢的承重要求和安装要求。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5.1.5.1.2方舱主箱体配套设施</w:t>
      </w:r>
    </w:p>
    <w:p w:rsidR="00800AF2">
      <w:pPr>
        <w:jc w:val="center"/>
        <w:rPr>
          <w:rFonts w:ascii="宋体" w:eastAsia="宋体" w:hAnsi="宋体" w:cs="宋体" w:hint="eastAsia"/>
          <w:szCs w:val="21"/>
        </w:rPr>
      </w:pPr>
      <w:bookmarkStart w:id="63" w:name="_Hlk214009838"/>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w:t>
      </w:r>
      <w:r>
        <w:rPr>
          <w:rFonts w:ascii="宋体" w:eastAsia="宋体" w:hAnsi="宋体" w:cs="宋体" w:hint="eastAsia"/>
          <w:szCs w:val="21"/>
        </w:rPr>
        <w:fldChar w:fldCharType="end"/>
      </w:r>
      <w:r>
        <w:rPr>
          <w:rFonts w:ascii="宋体" w:eastAsia="宋体" w:hAnsi="宋体" w:cs="宋体" w:hint="eastAsia"/>
          <w:szCs w:val="21"/>
        </w:rPr>
        <w:t>方舱主箱体技术性能要求表</w:t>
      </w:r>
    </w:p>
    <w:tbl>
      <w:tblPr>
        <w:tblStyle w:val="TableNormal"/>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4"/>
        <w:gridCol w:w="6692"/>
      </w:tblGrid>
      <w:tr>
        <w:tblPrEx>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99"/>
        </w:trPr>
        <w:tc>
          <w:tcPr>
            <w:tcW w:w="1080"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391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技术性能要求</w:t>
            </w:r>
          </w:p>
        </w:tc>
      </w:tr>
      <w:bookmarkEnd w:id="63"/>
      <w:tr>
        <w:tblPrEx>
          <w:tblW w:w="5008" w:type="pct"/>
          <w:tblLook w:val="04A0"/>
        </w:tblPrEx>
        <w:trPr>
          <w:trHeight w:val="699"/>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舱体自卸举升机构</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配备1套舱体自卸举升机构。</w:t>
            </w:r>
            <w:r>
              <w:rPr>
                <w:rFonts w:ascii="宋体" w:eastAsia="宋体" w:hAnsi="宋体" w:cs="宋体" w:hint="eastAsia"/>
                <w:szCs w:val="21"/>
              </w:rPr>
              <w:br/>
              <w:t>a）额定提升重量：≥满足舱体设计使用重量要求，并具备30%以上冗余能力；</w:t>
            </w:r>
            <w:r>
              <w:rPr>
                <w:rFonts w:ascii="宋体" w:eastAsia="宋体" w:hAnsi="宋体" w:cs="宋体" w:hint="eastAsia"/>
                <w:szCs w:val="21"/>
              </w:rPr>
              <w:br/>
              <w:t>b）额定举升高度：≥1500mm；</w:t>
            </w:r>
            <w:r>
              <w:rPr>
                <w:rFonts w:ascii="宋体" w:eastAsia="宋体" w:hAnsi="宋体" w:cs="宋体" w:hint="eastAsia"/>
                <w:szCs w:val="21"/>
              </w:rPr>
              <w:br/>
              <w:t>c）升降时间(单程)：≤15min；</w:t>
            </w:r>
            <w:r>
              <w:rPr>
                <w:rFonts w:ascii="宋体" w:eastAsia="宋体" w:hAnsi="宋体" w:cs="宋体" w:hint="eastAsia"/>
                <w:szCs w:val="21"/>
              </w:rPr>
              <w:br/>
              <w:t>d）调平时间：≤3min（6m长方舱所需时间）；</w:t>
            </w:r>
            <w:r>
              <w:rPr>
                <w:rFonts w:ascii="宋体" w:eastAsia="宋体" w:hAnsi="宋体" w:cs="宋体" w:hint="eastAsia"/>
                <w:szCs w:val="21"/>
              </w:rPr>
              <w:br/>
              <w:t>e）调平精度：≤0.1度；</w:t>
            </w:r>
            <w:r>
              <w:rPr>
                <w:rFonts w:ascii="宋体" w:eastAsia="宋体" w:hAnsi="宋体" w:cs="宋体" w:hint="eastAsia"/>
                <w:szCs w:val="21"/>
              </w:rPr>
              <w:br/>
              <w:t>f）工作方式：液压或液压或电动（可手动）；</w:t>
            </w:r>
          </w:p>
          <w:p w:rsidR="00800AF2">
            <w:pPr>
              <w:spacing w:line="360" w:lineRule="auto"/>
              <w:rPr>
                <w:rFonts w:ascii="宋体" w:eastAsia="宋体" w:hAnsi="宋体" w:cs="宋体" w:hint="eastAsia"/>
                <w:szCs w:val="21"/>
              </w:rPr>
            </w:pPr>
            <w:r>
              <w:rPr>
                <w:rFonts w:ascii="宋体" w:eastAsia="宋体" w:hAnsi="宋体" w:cs="宋体" w:hint="eastAsia"/>
                <w:szCs w:val="21"/>
              </w:rPr>
              <w:t>g）升降电机满足高寒地区使用。</w:t>
            </w:r>
          </w:p>
        </w:tc>
      </w:tr>
      <w:tr>
        <w:tblPrEx>
          <w:tblW w:w="5008" w:type="pct"/>
          <w:tblLook w:val="04A0"/>
        </w:tblPrEx>
        <w:trPr>
          <w:trHeight w:val="9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电动滑盖</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在毫米波云雷达舱顶设置电动滑盖，设备存放时密封存储，使用时电动滑移打开。</w:t>
            </w:r>
          </w:p>
          <w:p w:rsidR="00800AF2">
            <w:pPr>
              <w:spacing w:line="360" w:lineRule="auto"/>
              <w:rPr>
                <w:rFonts w:ascii="宋体" w:eastAsia="宋体" w:hAnsi="宋体" w:cs="宋体" w:hint="eastAsia"/>
                <w:szCs w:val="21"/>
              </w:rPr>
            </w:pPr>
            <w:r>
              <w:rPr>
                <w:rFonts w:ascii="宋体" w:eastAsia="宋体" w:hAnsi="宋体" w:cs="宋体" w:hint="eastAsia"/>
                <w:szCs w:val="21"/>
              </w:rPr>
              <w:t>a) 滑盖可电动操作，同时具有手动功能；</w:t>
            </w:r>
          </w:p>
          <w:p w:rsidR="00800AF2">
            <w:pPr>
              <w:spacing w:line="360" w:lineRule="auto"/>
              <w:rPr>
                <w:rFonts w:ascii="宋体" w:eastAsia="宋体" w:hAnsi="宋体" w:cs="宋体" w:hint="eastAsia"/>
                <w:szCs w:val="21"/>
              </w:rPr>
            </w:pPr>
            <w:r>
              <w:rPr>
                <w:rFonts w:ascii="宋体" w:eastAsia="宋体" w:hAnsi="宋体" w:cs="宋体" w:hint="eastAsia"/>
                <w:szCs w:val="21"/>
              </w:rPr>
              <w:t>b) 滑盖移动速度：≥6mm/s；</w:t>
            </w:r>
          </w:p>
          <w:p w:rsidR="00800AF2">
            <w:pPr>
              <w:spacing w:line="360" w:lineRule="auto"/>
              <w:rPr>
                <w:rFonts w:ascii="宋体" w:eastAsia="宋体" w:hAnsi="宋体" w:cs="宋体" w:hint="eastAsia"/>
                <w:szCs w:val="21"/>
              </w:rPr>
            </w:pPr>
            <w:r>
              <w:rPr>
                <w:rFonts w:ascii="宋体" w:eastAsia="宋体" w:hAnsi="宋体" w:cs="宋体" w:hint="eastAsia"/>
                <w:szCs w:val="21"/>
              </w:rPr>
              <w:t>c) 滑盖开关时间：≤7min；</w:t>
            </w:r>
          </w:p>
          <w:p w:rsidR="00800AF2">
            <w:pPr>
              <w:spacing w:line="360" w:lineRule="auto"/>
              <w:rPr>
                <w:rFonts w:ascii="宋体" w:eastAsia="宋体" w:hAnsi="宋体" w:cs="宋体" w:hint="eastAsia"/>
                <w:szCs w:val="21"/>
              </w:rPr>
            </w:pPr>
            <w:r>
              <w:rPr>
                <w:rFonts w:ascii="宋体" w:eastAsia="宋体" w:hAnsi="宋体" w:cs="宋体" w:hint="eastAsia"/>
                <w:szCs w:val="21"/>
              </w:rPr>
              <w:t>d) 雷达升降过程和升顶到位期间舱顶滑盖电机具有防雨功能；</w:t>
            </w:r>
          </w:p>
          <w:p w:rsidR="00800AF2">
            <w:pPr>
              <w:spacing w:line="360" w:lineRule="auto"/>
              <w:rPr>
                <w:rFonts w:ascii="宋体" w:eastAsia="宋体" w:hAnsi="宋体" w:cs="宋体" w:hint="eastAsia"/>
                <w:szCs w:val="21"/>
              </w:rPr>
            </w:pPr>
            <w:r>
              <w:rPr>
                <w:rFonts w:ascii="宋体" w:eastAsia="宋体" w:hAnsi="宋体" w:cs="宋体" w:hint="eastAsia"/>
                <w:szCs w:val="21"/>
              </w:rPr>
              <w:t>e) 滑盖保护，设置机械限位保护及系统软件保护，软件保护的到位传感器采用双冗余设计；</w:t>
            </w:r>
          </w:p>
          <w:p w:rsidR="00800AF2">
            <w:pPr>
              <w:spacing w:line="360" w:lineRule="auto"/>
              <w:rPr>
                <w:rFonts w:ascii="宋体" w:eastAsia="宋体" w:hAnsi="宋体" w:cs="宋体" w:hint="eastAsia"/>
                <w:szCs w:val="21"/>
              </w:rPr>
            </w:pPr>
            <w:r>
              <w:rPr>
                <w:rFonts w:ascii="宋体" w:eastAsia="宋体" w:hAnsi="宋体" w:cs="宋体" w:hint="eastAsia"/>
                <w:szCs w:val="21"/>
              </w:rPr>
              <w:t>f) 滑盖机构要求操作简单、方便，维修方便；</w:t>
            </w:r>
          </w:p>
          <w:p w:rsidR="00800AF2">
            <w:pPr>
              <w:spacing w:line="360" w:lineRule="auto"/>
              <w:rPr>
                <w:rFonts w:ascii="宋体" w:eastAsia="宋体" w:hAnsi="宋体" w:cs="宋体" w:hint="eastAsia"/>
                <w:szCs w:val="21"/>
              </w:rPr>
            </w:pPr>
            <w:r>
              <w:rPr>
                <w:rFonts w:ascii="宋体" w:eastAsia="宋体" w:hAnsi="宋体" w:cs="宋体" w:hint="eastAsia"/>
                <w:szCs w:val="21"/>
              </w:rPr>
              <w:t>g) 滑盖打开、关闭到位时设置机械限位，防止滑盖脱轨；</w:t>
            </w:r>
          </w:p>
          <w:p w:rsidR="00800AF2">
            <w:pPr>
              <w:spacing w:line="360" w:lineRule="auto"/>
              <w:rPr>
                <w:rFonts w:ascii="宋体" w:eastAsia="宋体" w:hAnsi="宋体" w:cs="宋体" w:hint="eastAsia"/>
                <w:szCs w:val="21"/>
              </w:rPr>
            </w:pPr>
            <w:r>
              <w:rPr>
                <w:rFonts w:ascii="宋体" w:eastAsia="宋体" w:hAnsi="宋体" w:cs="宋体" w:hint="eastAsia"/>
                <w:szCs w:val="21"/>
              </w:rPr>
              <w:t>h) 滑盖关闭后具有防雨功能；</w:t>
            </w:r>
          </w:p>
          <w:p w:rsidR="00800AF2">
            <w:pPr>
              <w:spacing w:line="360" w:lineRule="auto"/>
              <w:rPr>
                <w:rFonts w:ascii="宋体" w:eastAsia="宋体" w:hAnsi="宋体" w:cs="宋体" w:hint="eastAsia"/>
                <w:szCs w:val="21"/>
              </w:rPr>
            </w:pPr>
            <w:r>
              <w:rPr>
                <w:rFonts w:ascii="宋体" w:eastAsia="宋体" w:hAnsi="宋体" w:cs="宋体" w:hint="eastAsia"/>
                <w:szCs w:val="21"/>
              </w:rPr>
              <w:t>i</w:t>
            </w:r>
            <w:r>
              <w:rPr>
                <w:rFonts w:ascii="宋体" w:eastAsia="宋体" w:hAnsi="宋体" w:cs="宋体" w:hint="eastAsia"/>
                <w:szCs w:val="21"/>
              </w:rPr>
              <w:t>) 滑盖轨道采用防锈设计，满足高寒地区使用。</w:t>
            </w:r>
          </w:p>
        </w:tc>
      </w:tr>
      <w:tr>
        <w:tblPrEx>
          <w:tblW w:w="5008" w:type="pct"/>
          <w:tblLook w:val="04A0"/>
        </w:tblPrEx>
        <w:trPr>
          <w:trHeight w:val="699"/>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举升平台</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a)升降平台行程：≥1900mm；</w:t>
            </w:r>
          </w:p>
          <w:p w:rsidR="00800AF2">
            <w:pPr>
              <w:spacing w:line="360" w:lineRule="auto"/>
              <w:rPr>
                <w:rFonts w:ascii="宋体" w:eastAsia="宋体" w:hAnsi="宋体" w:cs="宋体" w:hint="eastAsia"/>
                <w:szCs w:val="21"/>
              </w:rPr>
            </w:pPr>
            <w:r>
              <w:rPr>
                <w:rFonts w:ascii="宋体" w:eastAsia="宋体" w:hAnsi="宋体" w:cs="宋体" w:hint="eastAsia"/>
                <w:szCs w:val="21"/>
              </w:rPr>
              <w:t>b)升降平台移动速度：≥4mm/s；</w:t>
            </w:r>
          </w:p>
          <w:p w:rsidR="00800AF2">
            <w:pPr>
              <w:spacing w:line="360" w:lineRule="auto"/>
              <w:rPr>
                <w:rFonts w:ascii="宋体" w:eastAsia="宋体" w:hAnsi="宋体" w:cs="宋体" w:hint="eastAsia"/>
                <w:szCs w:val="21"/>
              </w:rPr>
            </w:pPr>
            <w:r>
              <w:rPr>
                <w:rFonts w:ascii="宋体" w:eastAsia="宋体" w:hAnsi="宋体" w:cs="宋体" w:hint="eastAsia"/>
                <w:szCs w:val="21"/>
              </w:rPr>
              <w:t>c)升降平台-承载能力：≥1.5吨；</w:t>
            </w:r>
          </w:p>
          <w:p w:rsidR="00800AF2">
            <w:pPr>
              <w:spacing w:line="360" w:lineRule="auto"/>
              <w:rPr>
                <w:rFonts w:ascii="宋体" w:eastAsia="宋体" w:hAnsi="宋体" w:cs="宋体" w:hint="eastAsia"/>
                <w:szCs w:val="21"/>
              </w:rPr>
            </w:pPr>
            <w:r>
              <w:rPr>
                <w:rFonts w:ascii="宋体" w:eastAsia="宋体" w:hAnsi="宋体" w:cs="宋体" w:hint="eastAsia"/>
                <w:szCs w:val="21"/>
              </w:rPr>
              <w:t>d)平台升降时间≤8min；</w:t>
            </w:r>
          </w:p>
          <w:p w:rsidR="00800AF2">
            <w:pPr>
              <w:spacing w:line="360" w:lineRule="auto"/>
              <w:rPr>
                <w:rFonts w:ascii="宋体" w:eastAsia="宋体" w:hAnsi="宋体" w:cs="宋体" w:hint="eastAsia"/>
                <w:szCs w:val="21"/>
              </w:rPr>
            </w:pPr>
            <w:r>
              <w:rPr>
                <w:rFonts w:ascii="宋体" w:eastAsia="宋体" w:hAnsi="宋体" w:cs="宋体" w:hint="eastAsia"/>
                <w:szCs w:val="21"/>
              </w:rPr>
              <w:t>e)升降平台接水盒接水量：≥6mm/s；</w:t>
            </w:r>
          </w:p>
          <w:p w:rsidR="00800AF2">
            <w:pPr>
              <w:spacing w:line="360" w:lineRule="auto"/>
              <w:rPr>
                <w:rFonts w:ascii="宋体" w:eastAsia="宋体" w:hAnsi="宋体" w:cs="宋体" w:hint="eastAsia"/>
                <w:szCs w:val="21"/>
              </w:rPr>
            </w:pPr>
            <w:r>
              <w:rPr>
                <w:rFonts w:ascii="宋体" w:eastAsia="宋体" w:hAnsi="宋体" w:cs="宋体" w:hint="eastAsia"/>
                <w:szCs w:val="21"/>
              </w:rPr>
              <w:t>f)电机防护等级≥IP67；</w:t>
            </w:r>
          </w:p>
          <w:p w:rsidR="00800AF2">
            <w:pPr>
              <w:spacing w:line="360" w:lineRule="auto"/>
              <w:rPr>
                <w:rFonts w:ascii="宋体" w:eastAsia="宋体" w:hAnsi="宋体" w:cs="宋体" w:hint="eastAsia"/>
                <w:szCs w:val="21"/>
              </w:rPr>
            </w:pPr>
            <w:r>
              <w:rPr>
                <w:rFonts w:ascii="宋体" w:eastAsia="宋体" w:hAnsi="宋体" w:cs="宋体" w:hint="eastAsia"/>
                <w:szCs w:val="21"/>
              </w:rPr>
              <w:t>g)安全操作保护：雷达未回正时或天线未顶置时不能下降，举升机构操作将被车载主控服务器禁用，雷达未升顶时不能进行伺服动作，雷达伺服动作功能将被车载主控服务器禁用，举升机构舱顶滑盖、举升平台等设备到位、禁用/解禁、诊断、运行状态应通过通讯接口实时上传给车载主控软件，用户可实时监控模组架设状态；</w:t>
            </w:r>
          </w:p>
          <w:p w:rsidR="00800AF2">
            <w:pPr>
              <w:spacing w:line="360" w:lineRule="auto"/>
              <w:rPr>
                <w:rFonts w:ascii="宋体" w:eastAsia="宋体" w:hAnsi="宋体" w:cs="宋体" w:hint="eastAsia"/>
                <w:szCs w:val="21"/>
              </w:rPr>
            </w:pPr>
            <w:r>
              <w:rPr>
                <w:rFonts w:ascii="宋体" w:eastAsia="宋体" w:hAnsi="宋体" w:cs="宋体" w:hint="eastAsia"/>
                <w:szCs w:val="21"/>
              </w:rPr>
              <w:t>h)升降保护：设置机械限位保护及系统软件保护,软件保护的到位传感器采用双冗余设计；</w:t>
            </w:r>
          </w:p>
          <w:p w:rsidR="00800AF2">
            <w:pPr>
              <w:spacing w:line="360" w:lineRule="auto"/>
              <w:rPr>
                <w:rFonts w:ascii="宋体" w:eastAsia="宋体" w:hAnsi="宋体" w:cs="宋体" w:hint="eastAsia"/>
                <w:szCs w:val="21"/>
              </w:rPr>
            </w:pPr>
            <w:r>
              <w:rPr>
                <w:rFonts w:ascii="宋体" w:eastAsia="宋体" w:hAnsi="宋体" w:cs="宋体" w:hint="eastAsia"/>
                <w:szCs w:val="21"/>
              </w:rPr>
              <w:t>i</w:t>
            </w:r>
            <w:r>
              <w:rPr>
                <w:rFonts w:ascii="宋体" w:eastAsia="宋体" w:hAnsi="宋体" w:cs="宋体" w:hint="eastAsia"/>
                <w:szCs w:val="21"/>
              </w:rPr>
              <w:t>)操作方式：电动/手动；</w:t>
            </w:r>
          </w:p>
          <w:p w:rsidR="00800AF2">
            <w:pPr>
              <w:spacing w:line="360" w:lineRule="auto"/>
              <w:rPr>
                <w:rFonts w:ascii="宋体" w:eastAsia="宋体" w:hAnsi="宋体" w:cs="宋体" w:hint="eastAsia"/>
                <w:szCs w:val="21"/>
              </w:rPr>
            </w:pPr>
            <w:r>
              <w:rPr>
                <w:rFonts w:ascii="宋体" w:eastAsia="宋体" w:hAnsi="宋体" w:cs="宋体" w:hint="eastAsia"/>
                <w:szCs w:val="21"/>
              </w:rPr>
              <w:t>j）具备限位功能和限位提示。</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登舱门</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侧开门开启角度≥90°，采用三点锁紧机构，入户门配备机械锁，在舱内能够将门打开。</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采光窗</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汽车用双层钢化玻璃，推拉窗；推拉灵活，无卡滞现象。</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发电机检修门</w:t>
            </w:r>
          </w:p>
        </w:tc>
        <w:tc>
          <w:tcPr>
            <w:tcW w:w="3919" w:type="pct"/>
            <w:vAlign w:val="center"/>
          </w:tcPr>
          <w:p w:rsidR="00800AF2">
            <w:pPr>
              <w:spacing w:line="360" w:lineRule="auto"/>
              <w:rPr>
                <w:rFonts w:ascii="宋体" w:eastAsia="宋体" w:hAnsi="宋体" w:cs="宋体" w:hint="eastAsia"/>
                <w:szCs w:val="21"/>
              </w:rPr>
            </w:pPr>
            <w:bookmarkStart w:id="64" w:name="OLE_LINK9"/>
            <w:r>
              <w:rPr>
                <w:rFonts w:ascii="宋体" w:eastAsia="宋体" w:hAnsi="宋体" w:cs="宋体" w:hint="eastAsia"/>
                <w:szCs w:val="21"/>
              </w:rPr>
              <w:t>采用高强度铝合金结构，门板上配备百叶窗式格栅，用于设备通风散热</w:t>
            </w:r>
            <w:bookmarkEnd w:id="64"/>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采光窗帘</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采用避光防蚊一体式窗帘。</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设备机柜</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标准19英寸机架，表面喷塑，包含安装件、减震等，尺寸符合设备上装要求。</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舱体地板</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竹地板打底，会议区和操作区表面铺地板革，发电机区、毫米波云雷达安装区域铺设花纹铝板，雷达等设备安装区域设计排水功能，避免积水流向舱室隔断墙。</w:t>
            </w:r>
          </w:p>
        </w:tc>
      </w:tr>
      <w:tr>
        <w:tblPrEx>
          <w:tblW w:w="5008" w:type="pct"/>
          <w:tblLook w:val="04A0"/>
        </w:tblPrEx>
        <w:trPr>
          <w:trHeight w:val="52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舱内基础内饰</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对厢体内部进行平整处理，会议区和操作区表面喷漆或软包装饰，发电区、雷达等设备安装区域墙面喷漆处理。</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机柜台面</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采用环保免漆板制作。</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操作员座椅</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可旋转、前后滑移。</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油漆及外饰</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专业烤漆房烤漆，外观贴字根据采购人需求订制。</w:t>
            </w:r>
          </w:p>
        </w:tc>
      </w:tr>
      <w:tr>
        <w:tblPrEx>
          <w:tblW w:w="5008" w:type="pct"/>
          <w:tblLook w:val="04A0"/>
        </w:tblPrEx>
        <w:trPr>
          <w:trHeight w:val="52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车内外照明系统</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车内外LED照明灯满足工作及车外场地照明需求。</w:t>
            </w:r>
          </w:p>
        </w:tc>
      </w:tr>
      <w:tr>
        <w:tblPrEx>
          <w:tblW w:w="5008" w:type="pct"/>
          <w:tblLook w:val="04A0"/>
        </w:tblPrEx>
        <w:trPr>
          <w:trHeight w:val="280"/>
        </w:trPr>
        <w:tc>
          <w:tcPr>
            <w:tcW w:w="1080"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其他辅助</w:t>
            </w:r>
          </w:p>
        </w:tc>
        <w:tc>
          <w:tcPr>
            <w:tcW w:w="391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a）配备灭火器（含灭火器及安装件，类型：七氟丙烷/二氧化碳（可用于精密仪器灭火；浓度：≥99%；规格：4kg（手提式）；灭火级别：</w:t>
            </w:r>
            <w:r>
              <w:rPr>
                <w:rFonts w:ascii="宋体" w:eastAsia="宋体" w:hAnsi="宋体" w:cs="宋体" w:hint="eastAsia"/>
                <w:szCs w:val="21"/>
              </w:rPr>
              <w:t>1A-34B-CE；认证：CCCF（中国消防产品认证）。</w:t>
            </w:r>
          </w:p>
          <w:p w:rsidR="00800AF2">
            <w:pPr>
              <w:spacing w:line="360" w:lineRule="auto"/>
              <w:rPr>
                <w:rFonts w:ascii="宋体" w:eastAsia="宋体" w:hAnsi="宋体" w:cs="宋体" w:hint="eastAsia"/>
                <w:szCs w:val="21"/>
              </w:rPr>
            </w:pPr>
            <w:r>
              <w:rPr>
                <w:rFonts w:ascii="宋体" w:eastAsia="宋体" w:hAnsi="宋体" w:cs="宋体" w:hint="eastAsia"/>
                <w:szCs w:val="21"/>
              </w:rPr>
              <w:t>b）电器辅材：车内布线、集成制作等附件耗材，包含波纹管、胶带、扎带、接插件等均满足防冻要求。</w:t>
            </w:r>
          </w:p>
          <w:p w:rsidR="00800AF2">
            <w:pPr>
              <w:spacing w:line="360" w:lineRule="auto"/>
              <w:rPr>
                <w:rFonts w:ascii="宋体" w:eastAsia="宋体" w:hAnsi="宋体" w:cs="宋体" w:hint="eastAsia"/>
                <w:szCs w:val="21"/>
              </w:rPr>
            </w:pPr>
            <w:r>
              <w:rPr>
                <w:rFonts w:ascii="宋体" w:eastAsia="宋体" w:hAnsi="宋体" w:cs="宋体" w:hint="eastAsia"/>
                <w:szCs w:val="21"/>
              </w:rPr>
              <w:t>c）杂件辅料：专用辅料，定制。</w:t>
            </w:r>
          </w:p>
          <w:p w:rsidR="00800AF2">
            <w:pPr>
              <w:spacing w:line="360" w:lineRule="auto"/>
              <w:rPr>
                <w:rFonts w:ascii="宋体" w:eastAsia="宋体" w:hAnsi="宋体" w:cs="宋体" w:hint="eastAsia"/>
                <w:szCs w:val="21"/>
              </w:rPr>
            </w:pPr>
            <w:r>
              <w:rPr>
                <w:rFonts w:ascii="宋体" w:eastAsia="宋体" w:hAnsi="宋体" w:cs="宋体" w:hint="eastAsia"/>
                <w:szCs w:val="21"/>
              </w:rPr>
              <w:t>d）车内照明系统：车内LED照明灯。</w:t>
            </w:r>
          </w:p>
          <w:p w:rsidR="00800AF2">
            <w:pPr>
              <w:spacing w:line="360" w:lineRule="auto"/>
              <w:rPr>
                <w:rFonts w:ascii="宋体" w:eastAsia="宋体" w:hAnsi="宋体" w:cs="宋体" w:hint="eastAsia"/>
                <w:szCs w:val="21"/>
              </w:rPr>
            </w:pPr>
            <w:r>
              <w:rPr>
                <w:rFonts w:ascii="宋体" w:eastAsia="宋体" w:hAnsi="宋体" w:cs="宋体" w:hint="eastAsia"/>
                <w:szCs w:val="21"/>
              </w:rPr>
              <w:t>e）车外照明：防水、防冻、防风LED灯源，满足车外照明。</w:t>
            </w:r>
          </w:p>
          <w:p w:rsidR="00800AF2">
            <w:pPr>
              <w:spacing w:line="360" w:lineRule="auto"/>
              <w:rPr>
                <w:rFonts w:ascii="宋体" w:eastAsia="宋体" w:hAnsi="宋体" w:cs="宋体" w:hint="eastAsia"/>
                <w:szCs w:val="21"/>
              </w:rPr>
            </w:pPr>
            <w:r>
              <w:rPr>
                <w:rFonts w:ascii="宋体" w:eastAsia="宋体" w:hAnsi="宋体" w:cs="宋体" w:hint="eastAsia"/>
                <w:szCs w:val="21"/>
              </w:rPr>
              <w:t>f）空调系统：配备冷暖空调≥1.5匹（空调制冷剂应使用不可燃冷媒或配备泄漏检测系统）、暖风机1套满足工作舱环境使用要求。</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5.1.5.1.3.供电系统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方舱具备1路380V或1路220V市电供电，1路发电机供电供电接口，做好标识。供电方式可以切换。满足市电、发电机、UPS不间断供电要求。通过舱体对外提供供电及接地的转接板，当外部电源接至转接板后，内部通过配电箱给各设备供电。</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w:t>
      </w:r>
      <w:r>
        <w:rPr>
          <w:rFonts w:ascii="宋体" w:eastAsia="宋体" w:hAnsi="宋体" w:cs="宋体" w:hint="eastAsia"/>
          <w:szCs w:val="21"/>
        </w:rPr>
        <w:fldChar w:fldCharType="end"/>
      </w:r>
      <w:r>
        <w:rPr>
          <w:rFonts w:ascii="宋体" w:eastAsia="宋体" w:hAnsi="宋体" w:cs="宋体" w:hint="eastAsia"/>
          <w:szCs w:val="21"/>
        </w:rPr>
        <w:t>供电系统技术性能要求表</w:t>
      </w:r>
    </w:p>
    <w:tbl>
      <w:tblPr>
        <w:tblStyle w:val="TableNormal"/>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6705"/>
      </w:tblGrid>
      <w:tr>
        <w:tblPrEx>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80"/>
        </w:trPr>
        <w:tc>
          <w:tcPr>
            <w:tcW w:w="107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3921"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技术性能要求</w:t>
            </w:r>
          </w:p>
        </w:tc>
      </w:tr>
      <w:tr>
        <w:tblPrEx>
          <w:tblW w:w="5015" w:type="pct"/>
          <w:tblLook w:val="04A0"/>
        </w:tblPrEx>
        <w:trPr>
          <w:trHeight w:val="780"/>
        </w:trPr>
        <w:tc>
          <w:tcPr>
            <w:tcW w:w="107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市电接入</w:t>
            </w:r>
          </w:p>
        </w:tc>
        <w:tc>
          <w:tcPr>
            <w:tcW w:w="392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具备1路供电电压380×（1±10%）V、频率50×（1±5%）Hz或2路供电电压220×（1±10%）V、频率50×（1±5%）Hz，供电总功率不低于20kW，配备满足功率的手动或电动市电线缆轴长度≮50米，并配备50米延长线，具备延长接头；配备满足功率的市电对接插头。</w:t>
            </w:r>
          </w:p>
        </w:tc>
      </w:tr>
      <w:tr>
        <w:tblPrEx>
          <w:tblW w:w="5015" w:type="pct"/>
          <w:tblLook w:val="04A0"/>
        </w:tblPrEx>
        <w:trPr>
          <w:trHeight w:val="1820"/>
        </w:trPr>
        <w:tc>
          <w:tcPr>
            <w:tcW w:w="107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静音发电机</w:t>
            </w:r>
          </w:p>
        </w:tc>
        <w:tc>
          <w:tcPr>
            <w:tcW w:w="392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a)额定频率：可满足方舱内所有用电设备正常运行，并预留不低于30%功率冗余；</w:t>
            </w:r>
            <w:r>
              <w:rPr>
                <w:rFonts w:ascii="宋体" w:eastAsia="宋体" w:hAnsi="宋体" w:cs="宋体" w:hint="eastAsia"/>
                <w:szCs w:val="21"/>
              </w:rPr>
              <w:br/>
              <w:t>b) 额定输出功率：≮20KW，满足高原高海拔使用（＞3500m）；</w:t>
            </w:r>
            <w:r>
              <w:rPr>
                <w:rFonts w:ascii="宋体" w:eastAsia="宋体" w:hAnsi="宋体" w:cs="宋体" w:hint="eastAsia"/>
                <w:szCs w:val="21"/>
              </w:rPr>
              <w:br/>
              <w:t>c) 额定电压：230V或400V；</w:t>
            </w:r>
            <w:r>
              <w:rPr>
                <w:rFonts w:ascii="宋体" w:eastAsia="宋体" w:hAnsi="宋体" w:cs="宋体" w:hint="eastAsia"/>
                <w:szCs w:val="21"/>
              </w:rPr>
              <w:br/>
              <w:t>d) 机组连续运行时间：≥8h；</w:t>
            </w:r>
            <w:r>
              <w:rPr>
                <w:rFonts w:ascii="宋体" w:eastAsia="宋体" w:hAnsi="宋体" w:cs="宋体" w:hint="eastAsia"/>
                <w:szCs w:val="21"/>
              </w:rPr>
              <w:br/>
              <w:t>e) 噪音（1m处）：≤75 dB(A)；</w:t>
            </w:r>
          </w:p>
          <w:p w:rsidR="00800AF2">
            <w:pPr>
              <w:spacing w:line="360" w:lineRule="auto"/>
              <w:rPr>
                <w:rFonts w:ascii="宋体" w:eastAsia="宋体" w:hAnsi="宋体" w:cs="宋体" w:hint="eastAsia"/>
                <w:szCs w:val="21"/>
              </w:rPr>
            </w:pPr>
            <w:r>
              <w:rPr>
                <w:rFonts w:ascii="宋体" w:eastAsia="宋体" w:hAnsi="宋体" w:cs="宋体" w:hint="eastAsia"/>
                <w:szCs w:val="21"/>
              </w:rPr>
              <w:t>f) 开启方式：支持电启动和手动启动。</w:t>
            </w:r>
          </w:p>
        </w:tc>
      </w:tr>
      <w:tr>
        <w:tblPrEx>
          <w:tblW w:w="5015" w:type="pct"/>
          <w:tblLook w:val="04A0"/>
        </w:tblPrEx>
        <w:trPr>
          <w:trHeight w:val="54"/>
        </w:trPr>
        <w:tc>
          <w:tcPr>
            <w:tcW w:w="107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UPS不间断电源</w:t>
            </w:r>
          </w:p>
        </w:tc>
        <w:tc>
          <w:tcPr>
            <w:tcW w:w="3921" w:type="pct"/>
            <w:vAlign w:val="center"/>
          </w:tcPr>
          <w:p w:rsidR="00800AF2">
            <w:pPr>
              <w:numPr>
                <w:ilvl w:val="0"/>
                <w:numId w:val="4"/>
              </w:numPr>
              <w:spacing w:line="360" w:lineRule="auto"/>
              <w:rPr>
                <w:rFonts w:ascii="宋体" w:eastAsia="宋体" w:hAnsi="宋体" w:cs="宋体" w:hint="eastAsia"/>
                <w:szCs w:val="21"/>
              </w:rPr>
            </w:pPr>
            <w:r>
              <w:rPr>
                <w:rFonts w:ascii="宋体" w:eastAsia="宋体" w:hAnsi="宋体" w:cs="宋体" w:hint="eastAsia"/>
                <w:szCs w:val="21"/>
              </w:rPr>
              <w:t>频率范围 （HZ）：50/60±10%；</w:t>
            </w:r>
          </w:p>
          <w:p w:rsidR="00800AF2">
            <w:pPr>
              <w:spacing w:line="360" w:lineRule="auto"/>
              <w:rPr>
                <w:rFonts w:ascii="宋体" w:eastAsia="宋体" w:hAnsi="宋体" w:cs="宋体" w:hint="eastAsia"/>
                <w:szCs w:val="21"/>
              </w:rPr>
            </w:pPr>
            <w:r>
              <w:rPr>
                <w:rFonts w:ascii="宋体" w:eastAsia="宋体" w:hAnsi="宋体" w:cs="宋体" w:hint="eastAsia"/>
                <w:szCs w:val="21"/>
              </w:rPr>
              <w:t>b) 输出功率因数：≥0.9；</w:t>
            </w:r>
          </w:p>
          <w:p w:rsidR="00800AF2">
            <w:pPr>
              <w:spacing w:line="360" w:lineRule="auto"/>
              <w:rPr>
                <w:rFonts w:ascii="宋体" w:eastAsia="宋体" w:hAnsi="宋体" w:cs="宋体" w:hint="eastAsia"/>
                <w:szCs w:val="21"/>
              </w:rPr>
            </w:pPr>
            <w:r>
              <w:rPr>
                <w:rFonts w:ascii="宋体" w:eastAsia="宋体" w:hAnsi="宋体" w:cs="宋体" w:hint="eastAsia"/>
                <w:szCs w:val="21"/>
              </w:rPr>
              <w:t>c) 输出功率：额定容量可满足方舱内所有用电设备正常运行及不低于</w:t>
            </w:r>
            <w:r>
              <w:rPr>
                <w:rFonts w:ascii="宋体" w:eastAsia="宋体" w:hAnsi="宋体" w:cs="宋体" w:hint="eastAsia"/>
                <w:szCs w:val="21"/>
              </w:rPr>
              <w:t>30%冗余储备；</w:t>
            </w:r>
          </w:p>
          <w:p w:rsidR="00800AF2">
            <w:pPr>
              <w:spacing w:line="360" w:lineRule="auto"/>
              <w:rPr>
                <w:rFonts w:ascii="宋体" w:eastAsia="宋体" w:hAnsi="宋体" w:cs="宋体" w:hint="eastAsia"/>
                <w:szCs w:val="21"/>
              </w:rPr>
            </w:pPr>
            <w:r>
              <w:rPr>
                <w:rFonts w:ascii="宋体" w:eastAsia="宋体" w:hAnsi="宋体" w:cs="宋体" w:hint="eastAsia"/>
                <w:szCs w:val="21"/>
              </w:rPr>
              <w:t>d) 输出电压：208/220/230/240±1%；</w:t>
            </w:r>
          </w:p>
          <w:p w:rsidR="00800AF2">
            <w:pPr>
              <w:spacing w:line="360" w:lineRule="auto"/>
              <w:rPr>
                <w:rFonts w:ascii="宋体" w:eastAsia="宋体" w:hAnsi="宋体" w:cs="宋体" w:hint="eastAsia"/>
                <w:szCs w:val="21"/>
              </w:rPr>
            </w:pPr>
            <w:r>
              <w:rPr>
                <w:rFonts w:ascii="宋体" w:eastAsia="宋体" w:hAnsi="宋体" w:cs="宋体" w:hint="eastAsia"/>
                <w:szCs w:val="21"/>
              </w:rPr>
              <w:t>e) 具备稳压功能，并在市电断电或电压不稳定的情况下，保证整套模组系统能够正常运行至少2小时；</w:t>
            </w:r>
          </w:p>
          <w:p w:rsidR="00800AF2">
            <w:pPr>
              <w:spacing w:line="360" w:lineRule="auto"/>
              <w:rPr>
                <w:rFonts w:ascii="宋体" w:eastAsia="宋体" w:hAnsi="宋体" w:cs="宋体" w:hint="eastAsia"/>
                <w:szCs w:val="21"/>
              </w:rPr>
            </w:pPr>
            <w:r>
              <w:rPr>
                <w:rFonts w:ascii="宋体" w:eastAsia="宋体" w:hAnsi="宋体" w:cs="宋体" w:hint="eastAsia"/>
                <w:szCs w:val="21"/>
              </w:rPr>
              <w:t>f) 在线式UPS电源。</w:t>
            </w:r>
          </w:p>
        </w:tc>
      </w:tr>
      <w:tr>
        <w:tblPrEx>
          <w:tblW w:w="5015" w:type="pct"/>
          <w:tblLook w:val="04A0"/>
        </w:tblPrEx>
        <w:trPr>
          <w:trHeight w:val="520"/>
        </w:trPr>
        <w:tc>
          <w:tcPr>
            <w:tcW w:w="107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配电箱</w:t>
            </w:r>
          </w:p>
        </w:tc>
        <w:tc>
          <w:tcPr>
            <w:tcW w:w="392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集中式电源管理系统，含电源漏电保护、支路开关、指示灯、电源电压电流显示等，开关分别控制空调、设备用电等；配电盘面板为数控机床加工，表面喷塑处理，配备盖板以防误触。</w:t>
            </w:r>
          </w:p>
        </w:tc>
      </w:tr>
      <w:tr>
        <w:tblPrEx>
          <w:tblW w:w="5015" w:type="pct"/>
          <w:tblLook w:val="04A0"/>
        </w:tblPrEx>
        <w:trPr>
          <w:trHeight w:val="520"/>
        </w:trPr>
        <w:tc>
          <w:tcPr>
            <w:tcW w:w="1078" w:type="pct"/>
            <w:vAlign w:val="center"/>
          </w:tcPr>
          <w:p w:rsidR="00800AF2">
            <w:pPr>
              <w:spacing w:line="360" w:lineRule="auto"/>
              <w:contextualSpacing/>
              <w:rPr>
                <w:rFonts w:ascii="宋体" w:eastAsia="宋体" w:hAnsi="宋体" w:cs="宋体" w:hint="eastAsia"/>
                <w:szCs w:val="21"/>
              </w:rPr>
            </w:pPr>
            <w:r>
              <w:rPr>
                <w:rFonts w:ascii="宋体" w:eastAsia="宋体" w:hAnsi="宋体" w:cs="宋体" w:hint="eastAsia"/>
                <w:szCs w:val="21"/>
              </w:rPr>
              <w:t>舱体接地系统</w:t>
            </w:r>
          </w:p>
        </w:tc>
        <w:tc>
          <w:tcPr>
            <w:tcW w:w="392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含接地桩、接地线、静电地拖、电源防浪涌装置。</w:t>
            </w:r>
          </w:p>
        </w:tc>
      </w:tr>
      <w:tr>
        <w:tblPrEx>
          <w:tblW w:w="5015" w:type="pct"/>
          <w:tblLook w:val="04A0"/>
        </w:tblPrEx>
        <w:trPr>
          <w:trHeight w:val="280"/>
        </w:trPr>
        <w:tc>
          <w:tcPr>
            <w:tcW w:w="107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对外接口板</w:t>
            </w:r>
          </w:p>
        </w:tc>
        <w:tc>
          <w:tcPr>
            <w:tcW w:w="392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含电源、网络、数据传输接口、对外信息接口。</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5.1.5.1.4.视频采集及显示系统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配备舱顶云台摄像机、舱内摄像机、硬盘录像机、大屏显示器、混切矩阵、应急和备份便携式工作站，功能要求见下表。</w:t>
      </w:r>
    </w:p>
    <w:p w:rsidR="00800AF2">
      <w:pPr>
        <w:jc w:val="center"/>
        <w:rPr>
          <w:rFonts w:ascii="宋体" w:eastAsia="宋体" w:hAnsi="宋体" w:cs="宋体" w:hint="eastAsia"/>
          <w:szCs w:val="21"/>
        </w:rPr>
      </w:pPr>
      <w:bookmarkStart w:id="65" w:name="_Hlk214011299"/>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w:t>
      </w:r>
      <w:r>
        <w:rPr>
          <w:rFonts w:ascii="宋体" w:eastAsia="宋体" w:hAnsi="宋体" w:cs="宋体" w:hint="eastAsia"/>
          <w:szCs w:val="21"/>
        </w:rPr>
        <w:fldChar w:fldCharType="end"/>
      </w:r>
      <w:r>
        <w:rPr>
          <w:rFonts w:ascii="宋体" w:eastAsia="宋体" w:hAnsi="宋体" w:cs="宋体" w:hint="eastAsia"/>
          <w:szCs w:val="21"/>
        </w:rPr>
        <w:t>视频采集及显示系统技术性能要求表</w:t>
      </w:r>
    </w:p>
    <w:tbl>
      <w:tblPr>
        <w:tblStyle w:val="TableNormal"/>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5"/>
        <w:gridCol w:w="6715"/>
      </w:tblGrid>
      <w:tr>
        <w:tblPrEx>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108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设备名称</w:t>
            </w:r>
          </w:p>
        </w:tc>
        <w:tc>
          <w:tcPr>
            <w:tcW w:w="3917" w:type="pct"/>
            <w:vAlign w:val="center"/>
          </w:tcPr>
          <w:p w:rsidR="00800AF2">
            <w:pPr>
              <w:widowControl/>
              <w:spacing w:line="360" w:lineRule="auto"/>
              <w:jc w:val="center"/>
              <w:rPr>
                <w:rFonts w:ascii="宋体" w:eastAsia="宋体" w:hAnsi="宋体" w:cs="宋体" w:hint="eastAsia"/>
                <w:szCs w:val="21"/>
              </w:rPr>
            </w:pPr>
            <w:r>
              <w:rPr>
                <w:rFonts w:ascii="宋体" w:eastAsia="宋体" w:hAnsi="宋体" w:cs="宋体" w:hint="eastAsia"/>
                <w:szCs w:val="21"/>
              </w:rPr>
              <w:t>技术性能要求</w:t>
            </w:r>
          </w:p>
        </w:tc>
      </w:tr>
      <w:bookmarkEnd w:id="65"/>
      <w:tr>
        <w:tblPrEx>
          <w:tblW w:w="5028" w:type="pct"/>
          <w:tblLook w:val="04A0"/>
        </w:tblPrEx>
        <w:trPr>
          <w:trHeight w:val="280"/>
        </w:trPr>
        <w:tc>
          <w:tcPr>
            <w:tcW w:w="108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舱顶云台摄像机</w:t>
            </w:r>
          </w:p>
        </w:tc>
        <w:tc>
          <w:tcPr>
            <w:tcW w:w="3917" w:type="pct"/>
            <w:vAlign w:val="center"/>
          </w:tcPr>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 xml:space="preserve">图像传感器：1/1.8″2.0MP逐行扫描CMOS； </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 xml:space="preserve">镜头倍数：20倍光学变焦； </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 xml:space="preserve">焦距(mm)：f4.5～86mm； </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光圈：Fw1.6～Ft3.4；</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水平角度：360°无限位旋转；</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 xml:space="preserve">垂直角度：+90°～-90°； </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 xml:space="preserve">防护等级：≥IP66； </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 xml:space="preserve">电机带断电自锁功能； </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支持接入全车视频监控系统；</w:t>
            </w:r>
          </w:p>
          <w:p w:rsidR="00800AF2">
            <w:pPr>
              <w:widowControl/>
              <w:numPr>
                <w:ilvl w:val="0"/>
                <w:numId w:val="5"/>
              </w:numPr>
              <w:spacing w:line="360" w:lineRule="auto"/>
              <w:rPr>
                <w:rFonts w:ascii="宋体" w:eastAsia="宋体" w:hAnsi="宋体" w:cs="宋体" w:hint="eastAsia"/>
                <w:szCs w:val="21"/>
              </w:rPr>
            </w:pPr>
            <w:r>
              <w:rPr>
                <w:rFonts w:ascii="宋体" w:eastAsia="宋体" w:hAnsi="宋体" w:cs="宋体" w:hint="eastAsia"/>
                <w:szCs w:val="21"/>
              </w:rPr>
              <w:t>支持夜间补光。</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摄像机云台参数提供国家权威检测机构出具的CANS检测报告。</w:t>
            </w:r>
          </w:p>
        </w:tc>
      </w:tr>
      <w:tr>
        <w:tblPrEx>
          <w:tblW w:w="5028" w:type="pct"/>
          <w:tblLook w:val="04A0"/>
        </w:tblPrEx>
        <w:trPr>
          <w:trHeight w:val="280"/>
        </w:trPr>
        <w:tc>
          <w:tcPr>
            <w:tcW w:w="108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舱内摄像机</w:t>
            </w:r>
          </w:p>
        </w:tc>
        <w:tc>
          <w:tcPr>
            <w:tcW w:w="3917" w:type="pct"/>
            <w:vAlign w:val="center"/>
          </w:tcPr>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成像设备：1/2.8-type Exmor CMOS；</w:t>
            </w:r>
          </w:p>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镜头：20倍光学变焦，12倍数字变焦，f=4.7mm—-94.0mm；</w:t>
            </w:r>
          </w:p>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光圈：F1.6 to F3.5；</w:t>
            </w:r>
          </w:p>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平移：±170°（最高速度为100°/秒）；</w:t>
            </w:r>
          </w:p>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俯仰：+90°/-20°（最高速度为90°/秒）；</w:t>
            </w:r>
          </w:p>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视频输出：HD-SDI SD—VBS；</w:t>
            </w:r>
          </w:p>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支持夜间补光；</w:t>
            </w:r>
          </w:p>
          <w:p w:rsidR="00800AF2">
            <w:pPr>
              <w:widowControl/>
              <w:numPr>
                <w:ilvl w:val="0"/>
                <w:numId w:val="6"/>
              </w:numPr>
              <w:spacing w:line="360" w:lineRule="auto"/>
              <w:rPr>
                <w:rFonts w:ascii="宋体" w:eastAsia="宋体" w:hAnsi="宋体" w:cs="宋体" w:hint="eastAsia"/>
                <w:szCs w:val="21"/>
              </w:rPr>
            </w:pPr>
            <w:r>
              <w:rPr>
                <w:rFonts w:ascii="宋体" w:eastAsia="宋体" w:hAnsi="宋体" w:cs="宋体" w:hint="eastAsia"/>
                <w:szCs w:val="21"/>
              </w:rPr>
              <w:t>支持接入全车视频监控系统。</w:t>
            </w:r>
          </w:p>
        </w:tc>
      </w:tr>
      <w:tr>
        <w:tblPrEx>
          <w:tblW w:w="5028" w:type="pct"/>
          <w:tblLook w:val="04A0"/>
        </w:tblPrEx>
        <w:trPr>
          <w:trHeight w:val="280"/>
        </w:trPr>
        <w:tc>
          <w:tcPr>
            <w:tcW w:w="108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硬盘录像机</w:t>
            </w:r>
          </w:p>
        </w:tc>
        <w:tc>
          <w:tcPr>
            <w:tcW w:w="3917" w:type="pct"/>
            <w:vAlign w:val="center"/>
          </w:tcPr>
          <w:p w:rsidR="00800AF2">
            <w:pPr>
              <w:widowControl/>
              <w:numPr>
                <w:ilvl w:val="0"/>
                <w:numId w:val="7"/>
              </w:numPr>
              <w:spacing w:line="360" w:lineRule="auto"/>
              <w:rPr>
                <w:rFonts w:ascii="宋体" w:eastAsia="宋体" w:hAnsi="宋体" w:cs="宋体" w:hint="eastAsia"/>
                <w:szCs w:val="21"/>
              </w:rPr>
            </w:pPr>
            <w:r>
              <w:rPr>
                <w:rFonts w:ascii="宋体" w:eastAsia="宋体" w:hAnsi="宋体" w:cs="宋体" w:hint="eastAsia"/>
                <w:szCs w:val="21"/>
              </w:rPr>
              <w:t xml:space="preserve">支持4路1080P视频输入； </w:t>
            </w:r>
          </w:p>
          <w:p w:rsidR="00800AF2">
            <w:pPr>
              <w:widowControl/>
              <w:numPr>
                <w:ilvl w:val="0"/>
                <w:numId w:val="7"/>
              </w:numPr>
              <w:spacing w:line="360" w:lineRule="auto"/>
              <w:rPr>
                <w:rFonts w:ascii="宋体" w:eastAsia="宋体" w:hAnsi="宋体" w:cs="宋体" w:hint="eastAsia"/>
                <w:szCs w:val="21"/>
              </w:rPr>
            </w:pPr>
            <w:r>
              <w:rPr>
                <w:rFonts w:ascii="宋体" w:eastAsia="宋体" w:hAnsi="宋体" w:cs="宋体" w:hint="eastAsia"/>
                <w:szCs w:val="21"/>
              </w:rPr>
              <w:t xml:space="preserve">支持1个2.5寸SATA 硬盘，容量≥4T； </w:t>
            </w:r>
          </w:p>
          <w:p w:rsidR="00800AF2">
            <w:pPr>
              <w:widowControl/>
              <w:numPr>
                <w:ilvl w:val="0"/>
                <w:numId w:val="7"/>
              </w:numPr>
              <w:spacing w:line="360" w:lineRule="auto"/>
              <w:rPr>
                <w:rFonts w:ascii="宋体" w:eastAsia="宋体" w:hAnsi="宋体" w:cs="宋体" w:hint="eastAsia"/>
                <w:szCs w:val="21"/>
              </w:rPr>
            </w:pPr>
            <w:r>
              <w:rPr>
                <w:rFonts w:ascii="宋体" w:eastAsia="宋体" w:hAnsi="宋体" w:cs="宋体" w:hint="eastAsia"/>
                <w:szCs w:val="21"/>
              </w:rPr>
              <w:t>支持H.265/H.264压缩模式。</w:t>
            </w:r>
          </w:p>
        </w:tc>
      </w:tr>
      <w:tr>
        <w:tblPrEx>
          <w:tblW w:w="5028" w:type="pct"/>
          <w:tblLook w:val="04A0"/>
        </w:tblPrEx>
        <w:trPr>
          <w:trHeight w:val="280"/>
        </w:trPr>
        <w:tc>
          <w:tcPr>
            <w:tcW w:w="108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综合显示器</w:t>
            </w:r>
          </w:p>
        </w:tc>
        <w:tc>
          <w:tcPr>
            <w:tcW w:w="3917" w:type="pct"/>
            <w:vAlign w:val="center"/>
          </w:tcPr>
          <w:p w:rsidR="00800AF2">
            <w:pPr>
              <w:widowControl/>
              <w:numPr>
                <w:ilvl w:val="0"/>
                <w:numId w:val="8"/>
              </w:numPr>
              <w:spacing w:line="360" w:lineRule="auto"/>
              <w:rPr>
                <w:rFonts w:ascii="宋体" w:eastAsia="宋体" w:hAnsi="宋体" w:cs="宋体" w:hint="eastAsia"/>
                <w:szCs w:val="21"/>
              </w:rPr>
            </w:pPr>
            <w:r>
              <w:rPr>
                <w:rFonts w:ascii="宋体" w:eastAsia="宋体" w:hAnsi="宋体" w:cs="宋体" w:hint="eastAsia"/>
                <w:szCs w:val="21"/>
              </w:rPr>
              <w:t xml:space="preserve">不小于32英寸； </w:t>
            </w:r>
          </w:p>
          <w:p w:rsidR="00800AF2">
            <w:pPr>
              <w:widowControl/>
              <w:numPr>
                <w:ilvl w:val="0"/>
                <w:numId w:val="8"/>
              </w:numPr>
              <w:spacing w:line="360" w:lineRule="auto"/>
              <w:rPr>
                <w:rFonts w:ascii="宋体" w:eastAsia="宋体" w:hAnsi="宋体" w:cs="宋体" w:hint="eastAsia"/>
                <w:szCs w:val="21"/>
              </w:rPr>
            </w:pPr>
            <w:r>
              <w:rPr>
                <w:rFonts w:ascii="宋体" w:eastAsia="宋体" w:hAnsi="宋体" w:cs="宋体" w:hint="eastAsia"/>
                <w:szCs w:val="21"/>
              </w:rPr>
              <w:t xml:space="preserve">分辨率:不低于1080P； </w:t>
            </w:r>
          </w:p>
          <w:p w:rsidR="00800AF2">
            <w:pPr>
              <w:widowControl/>
              <w:numPr>
                <w:ilvl w:val="0"/>
                <w:numId w:val="8"/>
              </w:numPr>
              <w:spacing w:line="360" w:lineRule="auto"/>
              <w:rPr>
                <w:rFonts w:ascii="宋体" w:eastAsia="宋体" w:hAnsi="宋体" w:cs="宋体" w:hint="eastAsia"/>
                <w:szCs w:val="21"/>
              </w:rPr>
            </w:pPr>
            <w:r>
              <w:rPr>
                <w:rFonts w:ascii="宋体" w:eastAsia="宋体" w:hAnsi="宋体" w:cs="宋体" w:hint="eastAsia"/>
                <w:szCs w:val="21"/>
              </w:rPr>
              <w:t>根据方舱宽高合理设计中间1大两侧各2小，共5屏。</w:t>
            </w:r>
          </w:p>
        </w:tc>
      </w:tr>
      <w:tr>
        <w:tblPrEx>
          <w:tblW w:w="5028" w:type="pct"/>
          <w:tblLook w:val="04A0"/>
        </w:tblPrEx>
        <w:trPr>
          <w:trHeight w:val="280"/>
        </w:trPr>
        <w:tc>
          <w:tcPr>
            <w:tcW w:w="108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混切矩阵</w:t>
            </w:r>
          </w:p>
        </w:tc>
        <w:tc>
          <w:tcPr>
            <w:tcW w:w="3917" w:type="pct"/>
            <w:vAlign w:val="center"/>
          </w:tcPr>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全数字化切换；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输入不少于10路信号，输出不少于8路信号；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任意信号输入输出；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实时无缝切换；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输入信号分辨率自适应，输出分辨率可调；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支持模拟音频输入和输出；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支持对外接口RS232和以太网控制，开放控制协议，方便第三方串口控制；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 xml:space="preserve">支持断电现场保护； </w:t>
            </w:r>
          </w:p>
          <w:p w:rsidR="00800AF2">
            <w:pPr>
              <w:widowControl/>
              <w:numPr>
                <w:ilvl w:val="0"/>
                <w:numId w:val="9"/>
              </w:numPr>
              <w:spacing w:line="360" w:lineRule="auto"/>
              <w:rPr>
                <w:rFonts w:ascii="宋体" w:eastAsia="宋体" w:hAnsi="宋体" w:cs="宋体" w:hint="eastAsia"/>
                <w:szCs w:val="21"/>
              </w:rPr>
            </w:pPr>
            <w:r>
              <w:rPr>
                <w:rFonts w:ascii="宋体" w:eastAsia="宋体" w:hAnsi="宋体" w:cs="宋体" w:hint="eastAsia"/>
                <w:szCs w:val="21"/>
              </w:rPr>
              <w:t>标准插卡式工业机箱。</w:t>
            </w:r>
          </w:p>
        </w:tc>
      </w:tr>
      <w:tr>
        <w:tblPrEx>
          <w:tblW w:w="5028" w:type="pct"/>
          <w:tblLook w:val="04A0"/>
        </w:tblPrEx>
        <w:trPr>
          <w:trHeight w:val="280"/>
        </w:trPr>
        <w:tc>
          <w:tcPr>
            <w:tcW w:w="108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应急和备份便携式工作站</w:t>
            </w:r>
          </w:p>
        </w:tc>
        <w:tc>
          <w:tcPr>
            <w:tcW w:w="3917" w:type="pct"/>
            <w:vAlign w:val="center"/>
          </w:tcPr>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 xml:space="preserve">内核数：≥16； </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总线程数：≥22；</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处理器基础频率：≥1.60GHz；</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最大睿频频率：≥4.20GHz；</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屏幕约16英寸，搭载FHD+分辨率（1920×1200）；</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内存≥32GB，可扩展至96GB；</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固态硬盘≥4TB；</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包含网络、HDMI等基础配置；</w:t>
            </w:r>
          </w:p>
          <w:p w:rsidR="00800AF2">
            <w:pPr>
              <w:widowControl/>
              <w:numPr>
                <w:ilvl w:val="0"/>
                <w:numId w:val="10"/>
              </w:numPr>
              <w:spacing w:line="360" w:lineRule="auto"/>
              <w:rPr>
                <w:rFonts w:ascii="宋体" w:eastAsia="宋体" w:hAnsi="宋体" w:cs="宋体" w:hint="eastAsia"/>
                <w:szCs w:val="21"/>
              </w:rPr>
            </w:pPr>
            <w:r>
              <w:rPr>
                <w:rFonts w:ascii="宋体" w:eastAsia="宋体" w:hAnsi="宋体" w:cs="宋体" w:hint="eastAsia"/>
                <w:szCs w:val="21"/>
              </w:rPr>
              <w:t>安装和备份方舱所有软件系统。</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5.1.5.1.5 通信传输系统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配备北斗全球导航定位系统、4G/5G移动通信、卫星通信等功能，具备与指挥模组近距离有线数据传输的能力，在VPN用户端网关位置部署防火墙，以此管控VPN接入流量，并联动入侵检测、终端安全设备，实现VPN接入链路的边界安全防护。</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w:t>
      </w:r>
      <w:r>
        <w:rPr>
          <w:rFonts w:ascii="宋体" w:eastAsia="宋体" w:hAnsi="宋体" w:cs="宋体" w:hint="eastAsia"/>
          <w:szCs w:val="21"/>
        </w:rPr>
        <w:fldChar w:fldCharType="end"/>
      </w:r>
      <w:r>
        <w:rPr>
          <w:rFonts w:ascii="宋体" w:eastAsia="宋体" w:hAnsi="宋体" w:cs="宋体" w:hint="eastAsia"/>
          <w:szCs w:val="21"/>
        </w:rPr>
        <w:t>通信传输系统技术性能要求表</w:t>
      </w:r>
    </w:p>
    <w:tbl>
      <w:tblPr>
        <w:tblStyle w:val="TableNormal"/>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5"/>
        <w:gridCol w:w="6693"/>
      </w:tblGrid>
      <w:tr>
        <w:tblPrEx>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108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设备名称</w:t>
            </w:r>
          </w:p>
        </w:tc>
        <w:tc>
          <w:tcPr>
            <w:tcW w:w="3914"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技术性能要求</w:t>
            </w:r>
          </w:p>
        </w:tc>
      </w:tr>
      <w:tr>
        <w:tblPrEx>
          <w:tblW w:w="5015" w:type="pct"/>
          <w:tblLook w:val="04A0"/>
        </w:tblPrEx>
        <w:trPr>
          <w:trHeight w:val="280"/>
        </w:trPr>
        <w:tc>
          <w:tcPr>
            <w:tcW w:w="108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北斗传输设备</w:t>
            </w:r>
          </w:p>
        </w:tc>
        <w:tc>
          <w:tcPr>
            <w:tcW w:w="3914" w:type="pct"/>
            <w:vAlign w:val="center"/>
          </w:tcPr>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 xml:space="preserve">定位功能：具备支持单独使用北斗定位功能； </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定位精度：≤5m；测速精度：≤0.2m/s；</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 xml:space="preserve">首次定位时间：冷启动≤120秒，热启动≤10秒； </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接收频率：支持北斗B1频段；</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 xml:space="preserve">捕获灵敏度：≤-133dBm；跟踪灵敏度：≤-147dBm； </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接收波束个数：北斗二号≥10个，北斗三号≥14个；</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 xml:space="preserve">发射频点：Lf1、Lf2； </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支持北斗三号系统，支持北斗三号区域短报文通信服务；</w:t>
            </w:r>
          </w:p>
          <w:p w:rsidR="00800AF2">
            <w:pPr>
              <w:widowControl/>
              <w:numPr>
                <w:ilvl w:val="0"/>
                <w:numId w:val="11"/>
              </w:numPr>
              <w:spacing w:line="360" w:lineRule="auto"/>
              <w:rPr>
                <w:rFonts w:ascii="宋体" w:eastAsia="宋体" w:hAnsi="宋体" w:cs="宋体" w:hint="eastAsia"/>
                <w:szCs w:val="21"/>
              </w:rPr>
            </w:pPr>
            <w:r>
              <w:rPr>
                <w:rFonts w:ascii="宋体" w:eastAsia="宋体" w:hAnsi="宋体" w:cs="宋体" w:hint="eastAsia"/>
                <w:szCs w:val="21"/>
              </w:rPr>
              <w:t>i</w:t>
            </w:r>
            <w:r>
              <w:rPr>
                <w:rFonts w:ascii="宋体" w:eastAsia="宋体" w:hAnsi="宋体" w:cs="宋体" w:hint="eastAsia"/>
                <w:szCs w:val="21"/>
              </w:rPr>
              <w:t>)防护等级：≥IP67。</w:t>
            </w:r>
          </w:p>
        </w:tc>
      </w:tr>
      <w:tr>
        <w:tblPrEx>
          <w:tblW w:w="5015" w:type="pct"/>
          <w:tblLook w:val="04A0"/>
        </w:tblPrEx>
        <w:trPr>
          <w:trHeight w:val="280"/>
        </w:trPr>
        <w:tc>
          <w:tcPr>
            <w:tcW w:w="108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5G路由器</w:t>
            </w:r>
          </w:p>
        </w:tc>
        <w:tc>
          <w:tcPr>
            <w:tcW w:w="3914" w:type="pct"/>
            <w:vAlign w:val="center"/>
          </w:tcPr>
          <w:p w:rsidR="00800AF2">
            <w:pPr>
              <w:widowControl/>
              <w:spacing w:line="360" w:lineRule="auto"/>
              <w:rPr>
                <w:rFonts w:ascii="宋体" w:eastAsia="宋体" w:hAnsi="宋体" w:cs="宋体" w:hint="eastAsia"/>
                <w:szCs w:val="21"/>
              </w:rPr>
            </w:pPr>
            <w:r>
              <w:rPr>
                <w:rFonts w:ascii="宋体" w:eastAsia="宋体" w:hAnsi="宋体" w:cs="宋体" w:hint="eastAsia"/>
                <w:szCs w:val="21"/>
              </w:rPr>
              <w:t>a) 网络制式：5G/SA&amp;NSA   4G/LTE  3G/UMTS；</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b) 网络频段：5G NR  FDD: n1/28,TDD: n78/79/41</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           4G LTE  FDD: B1/3/5/8,TDD：B34/39/40/41</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           3G UMTS  W1/2/5/8</w:t>
            </w:r>
          </w:p>
          <w:p w:rsidR="00800AF2">
            <w:pPr>
              <w:widowControl/>
              <w:numPr>
                <w:ilvl w:val="0"/>
                <w:numId w:val="8"/>
              </w:numPr>
              <w:spacing w:line="360" w:lineRule="auto"/>
              <w:rPr>
                <w:rFonts w:ascii="宋体" w:eastAsia="宋体" w:hAnsi="宋体" w:cs="宋体" w:hint="eastAsia"/>
                <w:szCs w:val="21"/>
              </w:rPr>
            </w:pPr>
            <w:r>
              <w:rPr>
                <w:rFonts w:ascii="宋体" w:eastAsia="宋体" w:hAnsi="宋体" w:cs="宋体" w:hint="eastAsia"/>
                <w:szCs w:val="21"/>
              </w:rPr>
              <w:t>网口：两个千兆网口</w:t>
            </w:r>
          </w:p>
        </w:tc>
      </w:tr>
      <w:tr>
        <w:tblPrEx>
          <w:tblW w:w="5015" w:type="pct"/>
          <w:tblLook w:val="04A0"/>
        </w:tblPrEx>
        <w:trPr>
          <w:trHeight w:val="280"/>
        </w:trPr>
        <w:tc>
          <w:tcPr>
            <w:tcW w:w="108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4G/5G传输设备</w:t>
            </w:r>
          </w:p>
        </w:tc>
        <w:tc>
          <w:tcPr>
            <w:tcW w:w="391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 xml:space="preserve">a)理论带宽（上行）： NRSA独立组网：≥Max.1Gbps NRNSA非独立组网：≥Max.575Mbps LTE：≥150Mbps </w:t>
            </w:r>
          </w:p>
          <w:p w:rsidR="00800AF2">
            <w:pPr>
              <w:spacing w:line="360" w:lineRule="auto"/>
              <w:rPr>
                <w:rFonts w:ascii="宋体" w:eastAsia="宋体" w:hAnsi="宋体" w:cs="宋体" w:hint="eastAsia"/>
                <w:szCs w:val="21"/>
              </w:rPr>
            </w:pPr>
            <w:r>
              <w:rPr>
                <w:rFonts w:ascii="宋体" w:eastAsia="宋体" w:hAnsi="宋体" w:cs="宋体" w:hint="eastAsia"/>
                <w:szCs w:val="21"/>
              </w:rPr>
              <w:t>b)2根外置可拆2.4～2.5GHzWi-Fi双频天线；4根外置可拆5G全频天线。</w:t>
            </w:r>
          </w:p>
        </w:tc>
      </w:tr>
      <w:tr>
        <w:tblPrEx>
          <w:tblW w:w="5015" w:type="pct"/>
          <w:tblLook w:val="04A0"/>
        </w:tblPrEx>
        <w:trPr>
          <w:trHeight w:val="280"/>
        </w:trPr>
        <w:tc>
          <w:tcPr>
            <w:tcW w:w="108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千兆交换机（含光模块）</w:t>
            </w:r>
          </w:p>
        </w:tc>
        <w:tc>
          <w:tcPr>
            <w:tcW w:w="391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支持不少于24个10/100/1000Base-TX 以太网端口，4个千兆SFP；IP 路由：支持IPv4和IPv6的三层路由功能。</w:t>
            </w:r>
          </w:p>
        </w:tc>
      </w:tr>
      <w:tr>
        <w:tblPrEx>
          <w:tblW w:w="5015" w:type="pct"/>
          <w:tblLook w:val="04A0"/>
        </w:tblPrEx>
        <w:trPr>
          <w:trHeight w:val="280"/>
        </w:trPr>
        <w:tc>
          <w:tcPr>
            <w:tcW w:w="1085" w:type="pct"/>
            <w:vAlign w:val="center"/>
          </w:tcPr>
          <w:p w:rsidR="00800AF2">
            <w:pPr>
              <w:spacing w:line="360" w:lineRule="auto"/>
              <w:jc w:val="left"/>
              <w:rPr>
                <w:rFonts w:ascii="宋体" w:eastAsia="宋体" w:hAnsi="宋体" w:cs="宋体" w:hint="eastAsia"/>
                <w:szCs w:val="21"/>
              </w:rPr>
            </w:pPr>
            <w:r>
              <w:rPr>
                <w:rFonts w:ascii="宋体" w:eastAsia="宋体" w:hAnsi="宋体" w:cs="宋体" w:hint="eastAsia"/>
                <w:szCs w:val="21"/>
              </w:rPr>
              <w:t>便携式卫星通信系统</w:t>
            </w:r>
          </w:p>
        </w:tc>
        <w:tc>
          <w:tcPr>
            <w:tcW w:w="3914" w:type="pct"/>
            <w:vAlign w:val="center"/>
          </w:tcPr>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具备气象“专网”和“高通量互联网”双网模式；</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卫星在“高通量互联网”模式下实现上行速率≥4Mbps，下行速 率</w:t>
            </w:r>
            <w:r>
              <w:rPr>
                <w:rFonts w:ascii="宋体" w:eastAsia="宋体" w:hAnsi="宋体" w:cs="宋体" w:hint="eastAsia"/>
                <w:szCs w:val="21"/>
              </w:rPr>
              <w:t xml:space="preserve">≥9Mbps； </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 xml:space="preserve">采用Ku波段卫星天线； </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配会议终端、会议摄像机、拾音系统和扬声器，用于卫星条件下现场音视频会商。</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定位方式：GPS 北斗双模+手动输入</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发射频率：13.75～14.50 GHz</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接收频率：10.70～12.75 GHz</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天线供电：内置230Wh锂电池、内置150Wh+外置可拆卸150Wh（外置选配）和无电池三种方案可选，上述各种方式均支持100～240VAC(47～63Hz)转 29.4V 充供电适配器供电</w:t>
            </w:r>
          </w:p>
          <w:p w:rsidR="00800AF2">
            <w:pPr>
              <w:widowControl/>
              <w:numPr>
                <w:ilvl w:val="0"/>
                <w:numId w:val="12"/>
              </w:numPr>
              <w:spacing w:line="360" w:lineRule="auto"/>
              <w:rPr>
                <w:rFonts w:ascii="宋体" w:eastAsia="宋体" w:hAnsi="宋体" w:cs="宋体" w:hint="eastAsia"/>
                <w:szCs w:val="21"/>
              </w:rPr>
            </w:pPr>
            <w:r>
              <w:rPr>
                <w:rFonts w:ascii="宋体" w:eastAsia="宋体" w:hAnsi="宋体" w:cs="宋体" w:hint="eastAsia"/>
                <w:szCs w:val="21"/>
              </w:rPr>
              <w:t>内置模块化网络频谱仪</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①频率范围：950MHz ～ 1750MHz</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②扫频宽度：1MHz ～ 50MHz </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③调谐步长：50Hz ～ 1MHz </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④输入信号范围：-80dBm ～ -25dBm</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⑤频率响应：±1.5dB</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⑥噪声电平：-135dBm</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⑦输入端口驻波比：&lt;2.0：1</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⑧控制：嵌入式Web控制方式，采用PC、PAD、手机可监看频谱状态</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⑨支持嵌入式Web控制方式，无需专用APP，支持手机和笔记本等无线终端控制能力。</w:t>
            </w:r>
          </w:p>
          <w:p w:rsidR="00800AF2">
            <w:pPr>
              <w:widowControl/>
              <w:spacing w:line="360" w:lineRule="auto"/>
              <w:ind w:firstLine="420" w:firstLineChars="200"/>
              <w:rPr>
                <w:rFonts w:ascii="宋体" w:eastAsia="宋体" w:hAnsi="宋体" w:cs="宋体" w:hint="eastAsia"/>
                <w:szCs w:val="21"/>
              </w:rPr>
            </w:pPr>
            <w:r>
              <w:rPr>
                <w:rFonts w:ascii="宋体" w:eastAsia="宋体" w:hAnsi="宋体" w:cs="宋体" w:hint="eastAsia"/>
                <w:szCs w:val="21"/>
              </w:rPr>
              <w:t>产品符合GJB标准高低温、淋雨、湿热、盐雾、振动、冲击等试验要求，符合GB/T外壳防护等级IP66或以上要求，并出具第三方检测报告。</w:t>
            </w:r>
          </w:p>
        </w:tc>
      </w:tr>
      <w:tr>
        <w:tblPrEx>
          <w:tblW w:w="5015" w:type="pct"/>
          <w:tblLook w:val="04A0"/>
        </w:tblPrEx>
        <w:trPr>
          <w:trHeight w:val="280"/>
        </w:trPr>
        <w:tc>
          <w:tcPr>
            <w:tcW w:w="1085" w:type="pct"/>
            <w:vAlign w:val="center"/>
          </w:tcPr>
          <w:p w:rsidR="00800AF2">
            <w:pPr>
              <w:spacing w:line="360" w:lineRule="auto"/>
              <w:jc w:val="left"/>
              <w:rPr>
                <w:rFonts w:ascii="宋体" w:eastAsia="宋体" w:hAnsi="宋体" w:cs="宋体" w:hint="eastAsia"/>
                <w:szCs w:val="21"/>
              </w:rPr>
            </w:pPr>
            <w:r>
              <w:rPr>
                <w:rFonts w:ascii="宋体" w:eastAsia="宋体" w:hAnsi="宋体" w:cs="宋体" w:hint="eastAsia"/>
                <w:szCs w:val="21"/>
              </w:rPr>
              <w:t>便携式通信终端箱</w:t>
            </w:r>
          </w:p>
        </w:tc>
        <w:tc>
          <w:tcPr>
            <w:tcW w:w="3914" w:type="pct"/>
            <w:vAlign w:val="center"/>
          </w:tcPr>
          <w:p w:rsidR="00800AF2">
            <w:pPr>
              <w:widowControl/>
              <w:spacing w:line="360" w:lineRule="auto"/>
              <w:rPr>
                <w:rFonts w:ascii="宋体" w:eastAsia="宋体" w:hAnsi="宋体" w:cs="宋体" w:hint="eastAsia"/>
                <w:szCs w:val="21"/>
              </w:rPr>
            </w:pPr>
            <w:r>
              <w:rPr>
                <w:rFonts w:ascii="宋体" w:eastAsia="宋体" w:hAnsi="宋体" w:cs="宋体" w:hint="eastAsia"/>
                <w:szCs w:val="21"/>
              </w:rPr>
              <w:t>a)显示屏：3*15.6英寸工业级液晶显示屏，阳光下可视显示内容，可分别显示内置计算机画面、视频会议终端画面、本地预览（不少于2路接口板视频输入、本地摄像头及计算机扩展屏）画面，本地预览的画面可作为视频源送入视频终端。</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b)内置摄像头：宽动态，≥200万像素，支持1920*1080分辨率，视场</w:t>
            </w:r>
            <w:r>
              <w:rPr>
                <w:rFonts w:ascii="宋体" w:eastAsia="宋体" w:hAnsi="宋体" w:cs="宋体" w:hint="eastAsia"/>
                <w:szCs w:val="21"/>
              </w:rPr>
              <w:t>角/焦距：77°/4.262mm。</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c)内置话筒：配备阵列式智能降噪拾音系统，可与接口板音频输入一同经过数字混音器送入视频会议终端，可通过中控系统调节音量输入的大小。</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d)内置扬声器：全频段高保真扬声器。</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e)视频会议终端：实现会商功能，具备H.265 1080P双流音视频媒体处理能力，提供至臻会议体验。</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f)公网路由器：支持移动、电信、联通三大运营商4G/5G移动通信网络，工业级。</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g)计算机：</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内核数：≥8</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总线程数：≥16</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处理器基础频率：≥1.60GHz</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最大睿频频率：≥4.20GHz</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h)视频矩阵及功能</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广播级不少于4入4出高清视频矩阵</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可在视频会议期间，将内置摄像头采集的画面、接口板两路高清输入视 频的画面及内置计算机的画面经视频会议传送到指挥中心</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i</w:t>
            </w:r>
            <w:r>
              <w:rPr>
                <w:rFonts w:ascii="宋体" w:eastAsia="宋体" w:hAnsi="宋体" w:cs="宋体" w:hint="eastAsia"/>
                <w:szCs w:val="21"/>
              </w:rPr>
              <w:t>)画面分割器及功能</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广播级4入1出高清画面分割器</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可对内置摄像头采集的画面、接口板两路高清输入视频的画面及内置计算机的画面进行预览，随时送入视频会议。</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j)中控系统</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通过内置工业级电容触控终端实现以下功能：</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分设备电源控制</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分设备实时功耗监测</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视频会议控制及画面切换</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内置话筒及外接话筒音量调节及开关</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箱内温湿度监控及散热风机转速自动调整等</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k)电源系统</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100～240VAC宽电压输入，具备过压及短路保护功能。</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l)网络系统</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支持ERPS环网，网络故障自愈时间小于 20ms</w:t>
            </w:r>
          </w:p>
        </w:tc>
      </w:tr>
    </w:tbl>
    <w:p w:rsidR="00800AF2">
      <w:pPr>
        <w:spacing w:line="560" w:lineRule="exact"/>
        <w:ind w:firstLine="420" w:firstLineChars="200"/>
        <w:outlineLvl w:val="3"/>
        <w:rPr>
          <w:rFonts w:ascii="宋体" w:eastAsia="宋体" w:hAnsi="宋体" w:cs="宋体" w:hint="eastAsia"/>
          <w:bCs/>
          <w:color w:val="000000"/>
          <w:szCs w:val="21"/>
        </w:rPr>
      </w:pPr>
      <w:bookmarkStart w:id="66" w:name="_Toc14999"/>
      <w:r>
        <w:rPr>
          <w:rFonts w:ascii="宋体" w:eastAsia="宋体" w:hAnsi="宋体" w:cs="宋体" w:hint="eastAsia"/>
          <w:bCs/>
          <w:color w:val="000000"/>
          <w:szCs w:val="21"/>
        </w:rPr>
        <w:t>5.1.5.2 X波段相控阵雷达</w:t>
      </w:r>
      <w:bookmarkEnd w:id="66"/>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5.1.5.2.1 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X波段双线偏振一维平面相控阵天气雷达采用双线偏振同发同收全相参体制。应包括双发双收方式，即同时发射水平、垂直线偏振波，同时接收水平、垂直线偏振波。单发双收方式，即发射水平线偏振波，同时接收水平、垂直线偏振波；或发射垂直线偏振波，同时接收水平、垂直线偏振波。</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雷达应具有自动或人工干预检测和标定功能，并可根据标定结果对探测数据进行必要的修正以保证其准确性。</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X波段双线偏振一维平面相控阵天气雷达采用全固态数字收发单元、大动态数字接收机、低副瓣数字波束平面相控阵天线、实时图像显示等技术，具有高灵敏度、高可靠性、使用维护方便等特点。系统可连续自动运行，能在预置的扫描策略控制下覆盖指定体积空间以获得探测数据。雷达可根据标定结果对探测数据进行必要的修正以保证其准确性，并具备下列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（1）产生微波脉冲信号并以双线偏振的形式发射的功能；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（2）以双线偏振的形式接收，对气象回波进行处理，产生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高质量数据的功能；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（3）在线和离线标定功能（包含脉压得益、脉压损失、幅</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相校正等），实现关键参数的监测与校正；</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（4）自动故障检测和告警功能；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（5）在本地和远程系统间自动实时传输数据和接受其指令</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的功能；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（6）远程控制与实时监测功能；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（7）组网协同控制功能，能够通过网络发送指令控制并调</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整雷达扫描策略；</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（8）通过参数设置实现基于径向的扫描策略；</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（9）能够按照要求的格式存储至少 4min 每个接收通道波束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合成前和合成后的 I/Q 数据；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（10）须选用具备《气象专用技术装备使用许可证》的X波段相控阵雷达设备。</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（11）雷达系统结构布局的设计在保证可靠性的条件下，确定最小可更 换单元，故障定位需能够定位到最小可更换单元，采用更换最小可更换单元的方法进行维修。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（12）雷达系统的各模块与组件还应设置必要的工作状态指示，便于维修时检测。各模块、组件的装配应具有良好的可靠性，采用简单的通用工具即可进行维修操作。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（13）雷达系统中凡是需要维护或修理的部件均应设置观察窗口或检测点。</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（14）雷达系统各分机和组件应充分贯彻通用化、系列化、组合化设计原则，结合机内测试装置（BITE），保证雷达系统的高可靠性工作。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（15）雷达系统中使用的元器件，无论在模拟还是数字电路中，优先选用集成电路进行设计；特别是数字电路，采用大规模和超大规模集成电路。</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（16）在通用元器件选用上，应选用高可靠性产品。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（17）雷达各分系统应具有体积小、重量轻、工作安全以及效率高等优点。</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（18）在雷达系统的设计中，按照电磁兼容性设计标准要求进行，严格区分模拟地、数字地及安全地的接线关系，采取有效的电磁屏蔽措施。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5.1.5.2.2 结构</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一套完整的X 波段双线偏振一维相控阵天气雷达包括：双线偏振相控阵阵列天线、伺服系统、收发单元、标定单元、波束控制与合成单元、信号处理单元、监控与显示单元和附属设备等。</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雷达本地系统主要包含双线偏振相控阵阵列天线、收发单元、波束控制与合成单元、标</w:t>
      </w:r>
      <w:r>
        <w:rPr>
          <w:rFonts w:ascii="宋体" w:eastAsia="宋体" w:hAnsi="宋体" w:cs="宋体" w:hint="eastAsia"/>
          <w:szCs w:val="21"/>
        </w:rPr>
        <w:t>定单元、伺服系统、信号处理单元和监控与显示单元。其中，收发单元、标定单元、波束控制与合成单元负责双线偏振相控阵雷达的波束指向和信号收发，而系统其余单元则负责雷达天线转动控制、信号处理和监控功能。其结构设计符合通用商业产品的设计标准。</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雷达天伺馈系统从结构上分为两部分：天线、天线座（含汇流环）。</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天线座与天线之间通过两个铰支座和铰轴联接，在天线背部和天线座之间安装电动推杆，实现天线俯仰角度的调整功能。</w:t>
      </w:r>
    </w:p>
    <w:p w:rsidR="00800AF2">
      <w:pPr>
        <w:numPr>
          <w:ilvl w:val="0"/>
          <w:numId w:val="13"/>
        </w:numPr>
        <w:spacing w:line="360" w:lineRule="auto"/>
        <w:rPr>
          <w:rFonts w:ascii="宋体" w:eastAsia="宋体" w:hAnsi="宋体" w:cs="宋体" w:hint="eastAsia"/>
          <w:kern w:val="0"/>
          <w:szCs w:val="21"/>
        </w:rPr>
      </w:pPr>
      <w:r>
        <w:rPr>
          <w:rFonts w:ascii="宋体" w:eastAsia="宋体" w:hAnsi="宋体" w:cs="宋体" w:hint="eastAsia"/>
          <w:kern w:val="0"/>
          <w:szCs w:val="21"/>
        </w:rPr>
        <w:t>方位：0～360°；</w:t>
      </w:r>
    </w:p>
    <w:p w:rsidR="00800AF2">
      <w:pPr>
        <w:numPr>
          <w:ilvl w:val="0"/>
          <w:numId w:val="13"/>
        </w:numPr>
        <w:spacing w:line="360" w:lineRule="auto"/>
        <w:rPr>
          <w:rFonts w:ascii="宋体" w:eastAsia="宋体" w:hAnsi="宋体" w:cs="宋体" w:hint="eastAsia"/>
          <w:kern w:val="0"/>
          <w:szCs w:val="21"/>
        </w:rPr>
      </w:pPr>
      <w:r>
        <w:rPr>
          <w:rFonts w:ascii="宋体" w:eastAsia="宋体" w:hAnsi="宋体" w:cs="宋体" w:hint="eastAsia"/>
          <w:kern w:val="0"/>
          <w:szCs w:val="21"/>
        </w:rPr>
        <w:t>俯仰：-2°～+90°；</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天线部分集成了射频辐射单元及数字收发系统；方位天线座集成箱体，中间箱体内部安装有频综模块、标校模块、DBF模块和加电控制组合。</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环境冷风分别从箱体三个侧面进入箱体内部，分别吸收各组合热量后，从右侧出风口排出箱体，实现散热循环。</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垂直升降机构主要用于实现天伺馈系统垂直升降操作，使雷达具有更好的探测视野和探测性能。主要技术要求如下：</w:t>
      </w:r>
    </w:p>
    <w:p w:rsidR="00800AF2">
      <w:pPr>
        <w:numPr>
          <w:ilvl w:val="0"/>
          <w:numId w:val="14"/>
        </w:numPr>
        <w:spacing w:line="360" w:lineRule="auto"/>
        <w:rPr>
          <w:rFonts w:ascii="宋体" w:eastAsia="宋体" w:hAnsi="宋体" w:cs="宋体" w:hint="eastAsia"/>
          <w:kern w:val="0"/>
          <w:szCs w:val="21"/>
        </w:rPr>
      </w:pPr>
      <w:r>
        <w:rPr>
          <w:rFonts w:ascii="宋体" w:eastAsia="宋体" w:hAnsi="宋体" w:cs="宋体" w:hint="eastAsia"/>
          <w:kern w:val="0"/>
          <w:szCs w:val="21"/>
        </w:rPr>
        <w:t>举高方式：垂直升降模式；</w:t>
      </w:r>
    </w:p>
    <w:p w:rsidR="00800AF2">
      <w:pPr>
        <w:numPr>
          <w:ilvl w:val="0"/>
          <w:numId w:val="14"/>
        </w:numPr>
        <w:spacing w:line="360" w:lineRule="auto"/>
        <w:rPr>
          <w:rFonts w:ascii="宋体" w:eastAsia="宋体" w:hAnsi="宋体" w:cs="宋体" w:hint="eastAsia"/>
          <w:kern w:val="0"/>
          <w:szCs w:val="21"/>
        </w:rPr>
      </w:pPr>
      <w:r>
        <w:rPr>
          <w:rFonts w:ascii="宋体" w:eastAsia="宋体" w:hAnsi="宋体" w:cs="宋体" w:hint="eastAsia"/>
          <w:kern w:val="0"/>
          <w:szCs w:val="21"/>
        </w:rPr>
        <w:t>举升设备重量：≥600kg；</w:t>
      </w:r>
    </w:p>
    <w:p w:rsidR="00800AF2">
      <w:pPr>
        <w:numPr>
          <w:ilvl w:val="0"/>
          <w:numId w:val="14"/>
        </w:numPr>
        <w:spacing w:line="360" w:lineRule="auto"/>
        <w:rPr>
          <w:rFonts w:ascii="宋体" w:eastAsia="宋体" w:hAnsi="宋体" w:cs="宋体" w:hint="eastAsia"/>
          <w:kern w:val="0"/>
          <w:szCs w:val="21"/>
        </w:rPr>
      </w:pPr>
      <w:r>
        <w:rPr>
          <w:rFonts w:ascii="宋体" w:eastAsia="宋体" w:hAnsi="宋体" w:cs="宋体" w:hint="eastAsia"/>
          <w:kern w:val="0"/>
          <w:szCs w:val="21"/>
        </w:rPr>
        <w:t>天伺馈系统引出的电缆通过垂直升降机构上的拖链盒装置连接到电子设备方舱，保证系统外观整洁；</w:t>
      </w:r>
    </w:p>
    <w:p w:rsidR="00800AF2">
      <w:pPr>
        <w:numPr>
          <w:ilvl w:val="0"/>
          <w:numId w:val="14"/>
        </w:numPr>
        <w:spacing w:line="360" w:lineRule="auto"/>
        <w:rPr>
          <w:rFonts w:ascii="宋体" w:eastAsia="宋体" w:hAnsi="宋体" w:cs="宋体" w:hint="eastAsia"/>
          <w:kern w:val="0"/>
          <w:szCs w:val="21"/>
        </w:rPr>
      </w:pPr>
      <w:r>
        <w:rPr>
          <w:rFonts w:ascii="宋体" w:eastAsia="宋体" w:hAnsi="宋体" w:cs="宋体" w:hint="eastAsia"/>
          <w:kern w:val="0"/>
          <w:szCs w:val="21"/>
        </w:rPr>
        <w:t>具有安全保障措施，紧急情况下能够停止升降，保障人员设备安全；</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雷达升降机构采用剪刀式升降装置，举高探测时四周通过加装钢丝绳索提升整体抗风性能。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 技术性能要求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5.1.5.2.3.1总体技术性能要求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X波段相控阵雷达总体技术性能要求见下表：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5</w:t>
      </w:r>
      <w:r>
        <w:rPr>
          <w:rFonts w:ascii="宋体" w:eastAsia="宋体" w:hAnsi="宋体" w:cs="宋体" w:hint="eastAsia"/>
          <w:szCs w:val="21"/>
        </w:rPr>
        <w:fldChar w:fldCharType="end"/>
      </w:r>
      <w:r>
        <w:rPr>
          <w:rFonts w:ascii="宋体" w:eastAsia="宋体" w:hAnsi="宋体" w:cs="宋体" w:hint="eastAsia"/>
          <w:bCs/>
          <w:color w:val="000000"/>
          <w:szCs w:val="21"/>
        </w:rPr>
        <w:t>总体技术指标表</w:t>
      </w:r>
    </w:p>
    <w:tbl>
      <w:tblPr>
        <w:tblStyle w:val="TableNormal"/>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6"/>
        <w:gridCol w:w="2109"/>
        <w:gridCol w:w="4926"/>
      </w:tblGrid>
      <w:tr>
        <w:tblPrEx>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0"/>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项目</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性能指标</w:t>
            </w:r>
          </w:p>
        </w:tc>
      </w:tr>
      <w:tr>
        <w:tblPrEx>
          <w:tblW w:w="7971" w:type="dxa"/>
          <w:jc w:val="center"/>
          <w:tblLook w:val="04A0"/>
        </w:tblPrEx>
        <w:trPr>
          <w:trHeight w:val="415"/>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雷达体制</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双线偏振一维全固态数字平面相控阵体制</w:t>
            </w:r>
          </w:p>
        </w:tc>
      </w:tr>
      <w:tr>
        <w:tblPrEx>
          <w:tblW w:w="7971" w:type="dxa"/>
          <w:jc w:val="center"/>
          <w:tblLook w:val="04A0"/>
        </w:tblPrEx>
        <w:trPr>
          <w:trHeight w:val="415"/>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收发模式</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双发双收、单发双收、宽发窄收、窄发窄收</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工作频率</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9.3～9.5GHz，点频工作</w:t>
            </w:r>
          </w:p>
        </w:tc>
      </w:tr>
      <w:tr>
        <w:tblPrEx>
          <w:tblW w:w="7971" w:type="dxa"/>
          <w:jc w:val="center"/>
          <w:tblLook w:val="04A0"/>
        </w:tblPrEx>
        <w:trPr>
          <w:trHeight w:val="219"/>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整机寿命</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≥15年</w:t>
            </w:r>
          </w:p>
        </w:tc>
      </w:tr>
      <w:tr>
        <w:tblPrEx>
          <w:tblW w:w="7971" w:type="dxa"/>
          <w:jc w:val="center"/>
          <w:tblLook w:val="04A0"/>
        </w:tblPrEx>
        <w:trPr>
          <w:trHeight w:val="40"/>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探测距离范围</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highlight w:val="yellow"/>
              </w:rPr>
            </w:pPr>
            <w:r>
              <w:rPr>
                <w:rFonts w:ascii="宋体" w:eastAsia="宋体" w:hAnsi="宋体" w:cs="宋体" w:hint="eastAsia"/>
                <w:szCs w:val="21"/>
                <w:highlight w:val="yellow"/>
              </w:rPr>
              <w:t>#强度：警戒≥120km</w:t>
            </w:r>
          </w:p>
          <w:p w:rsidR="00800AF2">
            <w:pPr>
              <w:spacing w:line="560" w:lineRule="exact"/>
              <w:rPr>
                <w:rFonts w:ascii="宋体" w:eastAsia="宋体" w:hAnsi="宋体" w:cs="宋体" w:hint="eastAsia"/>
                <w:szCs w:val="21"/>
                <w:highlight w:val="yellow"/>
              </w:rPr>
            </w:pPr>
            <w:r>
              <w:rPr>
                <w:rFonts w:ascii="宋体" w:eastAsia="宋体" w:hAnsi="宋体" w:cs="宋体" w:hint="eastAsia"/>
                <w:szCs w:val="21"/>
                <w:highlight w:val="yellow"/>
              </w:rPr>
              <w:t>#定量≥60km</w:t>
            </w:r>
          </w:p>
          <w:p w:rsidR="00800AF2">
            <w:pPr>
              <w:spacing w:line="560" w:lineRule="exact"/>
              <w:rPr>
                <w:rFonts w:ascii="宋体" w:eastAsia="宋体" w:hAnsi="宋体" w:cs="宋体" w:hint="eastAsia"/>
                <w:szCs w:val="21"/>
              </w:rPr>
            </w:pPr>
            <w:r>
              <w:rPr>
                <w:rFonts w:ascii="宋体" w:eastAsia="宋体" w:hAnsi="宋体" w:cs="宋体" w:hint="eastAsia"/>
                <w:szCs w:val="21"/>
              </w:rPr>
              <w:t>速度：≥60km</w:t>
            </w:r>
          </w:p>
          <w:p w:rsidR="00800AF2">
            <w:pPr>
              <w:spacing w:line="560" w:lineRule="exact"/>
              <w:rPr>
                <w:rFonts w:ascii="宋体" w:eastAsia="宋体" w:hAnsi="宋体" w:cs="宋体" w:hint="eastAsia"/>
                <w:szCs w:val="21"/>
              </w:rPr>
            </w:pPr>
            <w:r>
              <w:rPr>
                <w:rFonts w:ascii="宋体" w:eastAsia="宋体" w:hAnsi="宋体" w:cs="宋体" w:hint="eastAsia"/>
                <w:szCs w:val="21"/>
              </w:rPr>
              <w:t>谱宽：≥60km</w:t>
            </w:r>
          </w:p>
          <w:p w:rsidR="00800AF2">
            <w:pPr>
              <w:spacing w:line="560" w:lineRule="exact"/>
              <w:rPr>
                <w:rFonts w:ascii="宋体" w:eastAsia="宋体" w:hAnsi="宋体" w:cs="宋体" w:hint="eastAsia"/>
                <w:szCs w:val="21"/>
              </w:rPr>
            </w:pPr>
            <w:r>
              <w:rPr>
                <w:rFonts w:ascii="宋体" w:eastAsia="宋体" w:hAnsi="宋体" w:cs="宋体" w:hint="eastAsia"/>
                <w:szCs w:val="21"/>
              </w:rPr>
              <w:t>极化参数：≥60km</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近距离盲区范围</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≤300米</w:t>
            </w:r>
          </w:p>
        </w:tc>
      </w:tr>
      <w:tr>
        <w:tblPrEx>
          <w:tblW w:w="7971" w:type="dxa"/>
          <w:jc w:val="center"/>
          <w:tblLook w:val="04A0"/>
        </w:tblPrEx>
        <w:trPr>
          <w:jc w:val="center"/>
        </w:trPr>
        <w:tc>
          <w:tcPr>
            <w:tcW w:w="3045" w:type="dxa"/>
            <w:gridSpan w:val="2"/>
            <w:vMerge w:val="restart"/>
            <w:tcBorders>
              <w:top w:val="single" w:sz="4" w:space="0" w:color="auto"/>
              <w:left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可探测的最小反射率因子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≤8dBZ（3千米处、脉宽0.5μs、分辨率75m、法向、单极化）</w:t>
            </w:r>
          </w:p>
        </w:tc>
      </w:tr>
      <w:tr>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≤5dBZ（12千米处、脉宽20μs、分辨率75m、法向、单极化）</w:t>
            </w:r>
          </w:p>
        </w:tc>
      </w:tr>
      <w:tr>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≤11dBZ（50千米处、脉宽100μs、分辨率75m、法向、单极化）</w:t>
            </w:r>
          </w:p>
        </w:tc>
      </w:tr>
      <w:tr>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≤16dBZ（3千米处、脉宽0.5μs、分辨率75m、发射4倍波束展宽、单极化）</w:t>
            </w:r>
          </w:p>
        </w:tc>
      </w:tr>
      <w:tr>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≤13dBZ（12千米处、脉宽20μs、分辨率75m、发射4倍波束展宽、单极化）</w:t>
            </w:r>
          </w:p>
        </w:tc>
      </w:tr>
      <w:tr>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≤19dBZ（50千米处、脉宽100μs、分辨率75m、发射4倍波束展宽、单极化）</w:t>
            </w:r>
          </w:p>
        </w:tc>
      </w:tr>
      <w:tr>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≤19dBZ（3千米处、脉宽0.5μs、分辨率75m、发射8倍波束展宽、单极化）</w:t>
            </w:r>
          </w:p>
        </w:tc>
      </w:tr>
      <w:tr>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≤16dBZ（12千米处、脉宽20μs、分辨率75m、发射8倍波束展宽、单极化）</w:t>
            </w:r>
          </w:p>
        </w:tc>
      </w:tr>
      <w:tr>
        <w:tblPrEx>
          <w:tblW w:w="7971" w:type="dxa"/>
          <w:jc w:val="center"/>
          <w:tblLook w:val="04A0"/>
        </w:tblPrEx>
        <w:trPr>
          <w:jc w:val="center"/>
        </w:trPr>
        <w:tc>
          <w:tcPr>
            <w:tcW w:w="3045" w:type="dxa"/>
            <w:gridSpan w:val="2"/>
            <w:vMerge/>
            <w:tcBorders>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≤22dBZ（50千米处、脉宽100μs、分辨率75m、发射8倍波束展宽、单极化）</w:t>
            </w:r>
          </w:p>
        </w:tc>
      </w:tr>
      <w:tr>
        <w:tblPrEx>
          <w:tblW w:w="7971" w:type="dxa"/>
          <w:jc w:val="center"/>
          <w:tblLook w:val="04A0"/>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测量范围</w:t>
            </w: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-15dBZ～+80dBZ</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±60m/s</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0m/s～16m/s</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-7.9dB～+7.9dB</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-180°～+180°</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-2°/km～+20°/km</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0～1</w:t>
            </w:r>
          </w:p>
        </w:tc>
      </w:tr>
      <w:tr>
        <w:tblPrEx>
          <w:tblW w:w="7971" w:type="dxa"/>
          <w:jc w:val="center"/>
          <w:tblLook w:val="04A0"/>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参数测量精度（标准差）</w:t>
            </w: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≤1dB</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≤1m/s</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≤1m/s</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距离</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≤30m</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≤0.2dB</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≤3°</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≤0.2°/km</w:t>
            </w:r>
          </w:p>
        </w:tc>
      </w:tr>
      <w:tr>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≤0.01</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距离分辨率</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≤75m</w:t>
            </w:r>
          </w:p>
        </w:tc>
      </w:tr>
      <w:tr>
        <w:tblPrEx>
          <w:tblW w:w="7971" w:type="dxa"/>
          <w:jc w:val="center"/>
          <w:tblLook w:val="04A0"/>
        </w:tblPrEx>
        <w:trPr>
          <w:jc w:val="center"/>
        </w:trPr>
        <w:tc>
          <w:tcPr>
            <w:tcW w:w="936" w:type="dxa"/>
            <w:vMerge w:val="restart"/>
            <w:tcBorders>
              <w:top w:val="single" w:sz="4" w:space="0" w:color="auto"/>
              <w:left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数据分辨力</w:t>
            </w: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方位角和俯仰角</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≤0.01°</w:t>
            </w:r>
          </w:p>
        </w:tc>
      </w:tr>
      <w:tr>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≤0.1dB</w:t>
            </w:r>
          </w:p>
        </w:tc>
      </w:tr>
      <w:tr>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≤0.1m/s</w:t>
            </w:r>
          </w:p>
        </w:tc>
      </w:tr>
      <w:tr>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≤0.1m/s</w:t>
            </w:r>
          </w:p>
        </w:tc>
      </w:tr>
      <w:tr>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≤0.01dB</w:t>
            </w:r>
          </w:p>
        </w:tc>
      </w:tr>
      <w:tr>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≤0.1°</w:t>
            </w:r>
          </w:p>
        </w:tc>
      </w:tr>
      <w:tr>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≤0.01°/km</w:t>
            </w:r>
          </w:p>
        </w:tc>
      </w:tr>
      <w:tr>
        <w:tblPrEx>
          <w:tblW w:w="7971" w:type="dxa"/>
          <w:jc w:val="center"/>
          <w:tblLook w:val="04A0"/>
        </w:tblPrEx>
        <w:trPr>
          <w:jc w:val="center"/>
        </w:trPr>
        <w:tc>
          <w:tcPr>
            <w:tcW w:w="936" w:type="dxa"/>
            <w:vMerge/>
            <w:tcBorders>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≤0.001</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系统噪声系数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≤3.5dB（脉宽1μs，带宽1MHz）</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系统线性动态范围</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≥95dB（脉宽1μs，带宽1MHz）</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系统相位噪声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≤0.1°（脉宽1μs，带宽1MHz）</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实际地物对消能力</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≥50dB</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输出参数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强度、速度、谱宽、差分反射率因子、差分传播相移、差分传播相移率、相关系数、信噪比</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电源要求</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三相AC380V±10%，50Hz±5%</w:t>
            </w:r>
          </w:p>
          <w:p w:rsidR="00800AF2">
            <w:pPr>
              <w:spacing w:line="560" w:lineRule="exact"/>
              <w:rPr>
                <w:rFonts w:ascii="宋体" w:eastAsia="宋体" w:hAnsi="宋体" w:cs="宋体" w:hint="eastAsia"/>
                <w:szCs w:val="21"/>
              </w:rPr>
            </w:pPr>
            <w:r>
              <w:rPr>
                <w:rFonts w:ascii="宋体" w:eastAsia="宋体" w:hAnsi="宋体" w:cs="宋体" w:hint="eastAsia"/>
                <w:szCs w:val="21"/>
              </w:rPr>
              <w:t>或单相AC220V±10%，50Hz±5%</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重量</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≤3吨</w:t>
            </w:r>
          </w:p>
        </w:tc>
      </w:tr>
      <w:tr>
        <w:tblPrEx>
          <w:tblW w:w="7971" w:type="dxa"/>
          <w:jc w:val="center"/>
          <w:tblLook w:val="04A0"/>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环境要求</w:t>
            </w: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环境温度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室内：0～+40℃</w:t>
            </w:r>
          </w:p>
          <w:p w:rsidR="00800AF2">
            <w:pPr>
              <w:spacing w:line="560" w:lineRule="exact"/>
              <w:rPr>
                <w:rFonts w:ascii="宋体" w:eastAsia="宋体" w:hAnsi="宋体" w:cs="宋体" w:hint="eastAsia"/>
                <w:szCs w:val="21"/>
              </w:rPr>
            </w:pPr>
            <w:r>
              <w:rPr>
                <w:rFonts w:ascii="宋体" w:eastAsia="宋体" w:hAnsi="宋体" w:cs="宋体" w:hint="eastAsia"/>
                <w:szCs w:val="21"/>
              </w:rPr>
              <w:t>室外：-40～+50℃</w:t>
            </w:r>
          </w:p>
        </w:tc>
      </w:tr>
      <w:tr>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贮存温度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-40～+60℃</w:t>
            </w:r>
          </w:p>
        </w:tc>
      </w:tr>
      <w:tr>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环境最大湿度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室内：≤90%（+30℃）</w:t>
            </w:r>
          </w:p>
          <w:p w:rsidR="00800AF2">
            <w:pPr>
              <w:spacing w:line="560" w:lineRule="exact"/>
              <w:rPr>
                <w:rFonts w:ascii="宋体" w:eastAsia="宋体" w:hAnsi="宋体" w:cs="宋体" w:hint="eastAsia"/>
                <w:szCs w:val="21"/>
              </w:rPr>
            </w:pPr>
            <w:r>
              <w:rPr>
                <w:rFonts w:ascii="宋体" w:eastAsia="宋体" w:hAnsi="宋体" w:cs="宋体" w:hint="eastAsia"/>
                <w:szCs w:val="21"/>
              </w:rPr>
              <w:t>室外：≤95%（+35℃）</w:t>
            </w:r>
          </w:p>
        </w:tc>
      </w:tr>
      <w:tr>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工作高度</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海拔高度：≤5000m</w:t>
            </w:r>
          </w:p>
        </w:tc>
      </w:tr>
      <w:tr>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冲击、振动、淋雨</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符合国家有关部门规定，且满足野外运输要求。</w:t>
            </w:r>
          </w:p>
        </w:tc>
      </w:tr>
      <w:tr>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抗干扰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电源干扰、电磁干扰、无线电频率干扰</w:t>
            </w:r>
          </w:p>
        </w:tc>
      </w:tr>
      <w:tr>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其它</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防水、防霉、防盐雾</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平均严重故障间隔时间（MTBCF）</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≥5000h</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平均故障修复时间</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≤0.5h</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架设方式</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固定架设</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雷达整机功耗</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≤15kW</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连续工作时间</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无人值守7×24h工作</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微波辐射安全性</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电磁辐射暴露限制应符合GJB5313A-2017的要求。</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安全标记</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雷达高压部位、微波泄漏部位、机械转动部位应有清晰、醒目的安全警示标记。</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互换性</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雷达备份零件、部件、组件和功能单元均能在现场更换，无需调整而正常工作。</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电磁兼容性</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雷达具有市电滤波和防电磁干扰的能力，设置静电屏蔽、磁屏蔽、电磁屏蔽，模拟地线、数字地线和安全地线严格分开。</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安全性</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雷达应有安全性设计,确保雷达按规定条件进行制造、安装、运输、贮存、使用和维护时的人身安全和设备安全。</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防雷要求</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雷达电源线输入端应加装防雷滤波器，室外电缆一律采用屏蔽电缆。</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绝缘性</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雷达各初级电源与大地间绝缘电阻应大于1MΩ。</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外观质量</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外观应协调一致。外表面应无凹痕、碰伤、裂痕和变形等缺陷；镀涂层不起泡、龟裂和脱落；金属零件无锈蚀、毛刺及其它机械损伤。</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标记与代号</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机柜、机箱、插件和线缆等应有统一的编号和标记，符合国家标准。</w:t>
            </w:r>
          </w:p>
          <w:p w:rsidR="00800AF2">
            <w:pPr>
              <w:spacing w:line="560" w:lineRule="exact"/>
              <w:rPr>
                <w:rFonts w:ascii="宋体" w:eastAsia="宋体" w:hAnsi="宋体" w:cs="宋体" w:hint="eastAsia"/>
                <w:szCs w:val="21"/>
              </w:rPr>
            </w:pPr>
            <w:r>
              <w:rPr>
                <w:rFonts w:ascii="宋体" w:eastAsia="宋体" w:hAnsi="宋体" w:cs="宋体" w:hint="eastAsia"/>
                <w:szCs w:val="21"/>
              </w:rPr>
              <w:t>印制板、主要元器件等应在相应位置印有与电路图中项目代号相符的标记。</w:t>
            </w:r>
          </w:p>
          <w:p w:rsidR="00800AF2">
            <w:pPr>
              <w:spacing w:line="560" w:lineRule="exact"/>
              <w:rPr>
                <w:rFonts w:ascii="宋体" w:eastAsia="宋体" w:hAnsi="宋体" w:cs="宋体" w:hint="eastAsia"/>
                <w:szCs w:val="21"/>
              </w:rPr>
            </w:pPr>
            <w:r>
              <w:rPr>
                <w:rFonts w:ascii="宋体" w:eastAsia="宋体" w:hAnsi="宋体" w:cs="宋体" w:hint="eastAsia"/>
                <w:szCs w:val="21"/>
              </w:rPr>
              <w:t>标记的文字、字母和符号应完整、规范、清晰和牢</w:t>
            </w:r>
            <w:r>
              <w:rPr>
                <w:rFonts w:ascii="宋体" w:eastAsia="宋体" w:hAnsi="宋体" w:cs="宋体" w:hint="eastAsia"/>
                <w:szCs w:val="21"/>
              </w:rPr>
              <w:t>固，且便于识读。</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环境噪声要求</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天线罩内噪声不大于85dB，终端操作室噪声不大于65dB。</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雷达应有的铭牌包括的内容</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雷达的名称、型号(代号)；出厂编号；出厂年月；制造厂商标。</w:t>
            </w:r>
          </w:p>
        </w:tc>
      </w:tr>
      <w:tr>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质保</w:t>
            </w:r>
          </w:p>
        </w:tc>
        <w:tc>
          <w:tcPr>
            <w:tcW w:w="4926" w:type="dxa"/>
            <w:tcBorders>
              <w:top w:val="single" w:sz="4" w:space="0" w:color="auto"/>
              <w:left w:val="single" w:sz="4" w:space="0" w:color="auto"/>
              <w:bottom w:val="single" w:sz="4" w:space="0" w:color="auto"/>
              <w:right w:val="single" w:sz="4" w:space="0" w:color="auto"/>
            </w:tcBorders>
            <w:vAlign w:val="center"/>
          </w:tcPr>
          <w:p w:rsidR="00800AF2">
            <w:pPr>
              <w:spacing w:line="560" w:lineRule="exact"/>
              <w:rPr>
                <w:rFonts w:ascii="宋体" w:eastAsia="宋体" w:hAnsi="宋体" w:cs="宋体" w:hint="eastAsia"/>
                <w:szCs w:val="21"/>
              </w:rPr>
            </w:pPr>
            <w:r>
              <w:rPr>
                <w:rFonts w:ascii="宋体" w:eastAsia="宋体" w:hAnsi="宋体" w:cs="宋体" w:hint="eastAsia"/>
                <w:szCs w:val="21"/>
              </w:rPr>
              <w:t xml:space="preserve">≥8年 </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5.1.5.2.3.2天线</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天线采用双线偏振平面相控阵天线，用于辐射微波能量和接收目标后向散射的微波信号。天线采用有源形式，天线与分布式数字收发单元相连接，通过控制各个信号通道幅度和相位，实现波束在垂直方向上的电子扫描，覆盖-2°～+60°扫描范围。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6</w:t>
      </w:r>
      <w:r>
        <w:rPr>
          <w:rFonts w:ascii="宋体" w:eastAsia="宋体" w:hAnsi="宋体" w:cs="宋体" w:hint="eastAsia"/>
          <w:szCs w:val="21"/>
        </w:rPr>
        <w:fldChar w:fldCharType="end"/>
      </w:r>
      <w:r>
        <w:rPr>
          <w:rFonts w:ascii="宋体" w:eastAsia="宋体" w:hAnsi="宋体" w:cs="宋体" w:hint="eastAsia"/>
          <w:bCs/>
          <w:color w:val="000000"/>
          <w:szCs w:val="21"/>
        </w:rPr>
        <w:t>天线技术性能指标表</w:t>
      </w:r>
    </w:p>
    <w:tbl>
      <w:tblPr>
        <w:tblStyle w:val="TableNormal"/>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89"/>
        <w:gridCol w:w="5056"/>
      </w:tblGrid>
      <w:tr>
        <w:tblPrEx>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24"/>
          <w:jc w:val="center"/>
        </w:trPr>
        <w:tc>
          <w:tcPr>
            <w:tcW w:w="268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505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天线形式</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平面双线偏振相控阵天线</w:t>
            </w:r>
          </w:p>
        </w:tc>
      </w:tr>
      <w:tr>
        <w:tblPrEx>
          <w:tblW w:w="7745" w:type="dxa"/>
          <w:jc w:val="center"/>
          <w:tblLayout w:type="fixed"/>
          <w:tblLook w:val="04A0"/>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极化方式</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线性水平、垂直极化</w:t>
            </w:r>
          </w:p>
        </w:tc>
      </w:tr>
      <w:tr>
        <w:tblPrEx>
          <w:tblW w:w="7745" w:type="dxa"/>
          <w:jc w:val="center"/>
          <w:tblLayout w:type="fixed"/>
          <w:tblLook w:val="04A0"/>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方位波束宽度（水平极化和垂直极化）</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发射、接收均≤1.8°</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电扫波束宽度（水平极化和垂直极化）</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发射、接收均法向≤1.8°</w:t>
            </w:r>
          </w:p>
          <w:p w:rsidR="00800AF2">
            <w:pPr>
              <w:spacing w:line="360" w:lineRule="auto"/>
              <w:rPr>
                <w:rFonts w:ascii="宋体" w:eastAsia="宋体" w:hAnsi="宋体" w:cs="宋体" w:hint="eastAsia"/>
                <w:szCs w:val="21"/>
              </w:rPr>
            </w:pPr>
            <w:r>
              <w:rPr>
                <w:rFonts w:ascii="宋体" w:eastAsia="宋体" w:hAnsi="宋体" w:cs="宋体" w:hint="eastAsia"/>
                <w:szCs w:val="21"/>
              </w:rPr>
              <w:t>偏离法向±20°H面和E面发射、接收均≤1.91°</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发射增益（法向、不含馈线）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≥38.5dB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发射增益（偏离法向±20°、不含馈线）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≥37.5dB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发射增益（发射4倍波束展宽、不含馈线）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≥30.5dB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发射增益（发射8倍波束展宽、不含馈线）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≥27.5dB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发射增益波动（发射4倍波</w:t>
            </w:r>
            <w:r>
              <w:rPr>
                <w:rFonts w:ascii="宋体" w:eastAsia="宋体" w:hAnsi="宋体" w:cs="宋体" w:hint="eastAsia"/>
                <w:szCs w:val="21"/>
              </w:rPr>
              <w:t>束展宽）</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发射增益波动（发射8倍波束展宽）</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接收增益（法向、不含馈线）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≥37.5dB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接收增益（偏离法向±20°、不含馈线）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≥36.5dB</w:t>
            </w:r>
          </w:p>
        </w:tc>
      </w:tr>
      <w:tr>
        <w:tblPrEx>
          <w:tblW w:w="7745" w:type="dxa"/>
          <w:jc w:val="center"/>
          <w:tblLayout w:type="fixed"/>
          <w:tblLook w:val="04A0"/>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方位方向最大副瓣电平</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发射、接收均≤-30dB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交叉极化隔离度</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发射、接收均满足且偏离法向±10°≥35dB</w:t>
            </w:r>
          </w:p>
          <w:p w:rsidR="00800AF2">
            <w:pPr>
              <w:spacing w:line="360" w:lineRule="auto"/>
              <w:rPr>
                <w:rFonts w:ascii="宋体" w:eastAsia="宋体" w:hAnsi="宋体" w:cs="宋体" w:hint="eastAsia"/>
                <w:szCs w:val="21"/>
              </w:rPr>
            </w:pPr>
            <w:r>
              <w:rPr>
                <w:rFonts w:ascii="宋体" w:eastAsia="宋体" w:hAnsi="宋体" w:cs="宋体" w:hint="eastAsia"/>
                <w:szCs w:val="21"/>
              </w:rPr>
              <w:t>发射、接收均满足且偏离法向±10°～±20°≥33dB</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双极化波束宽度差异</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H面和E面发射、接收均≤波束宽度*5%</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双极化波束指向一致性</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发射、接收均≤波束宽度*5%</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驻波比</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≤1.5</w:t>
            </w:r>
          </w:p>
        </w:tc>
      </w:tr>
      <w:tr>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800AF2">
            <w:pPr>
              <w:spacing w:line="400" w:lineRule="exact"/>
              <w:rPr>
                <w:rFonts w:ascii="宋体" w:eastAsia="宋体" w:hAnsi="宋体" w:cs="宋体" w:hint="eastAsia"/>
                <w:szCs w:val="21"/>
              </w:rPr>
            </w:pPr>
            <w:r>
              <w:rPr>
                <w:rFonts w:ascii="宋体" w:eastAsia="宋体" w:hAnsi="宋体" w:cs="宋体" w:hint="eastAsia"/>
                <w:szCs w:val="21"/>
              </w:rPr>
              <w:t>抗风能力（阵风）</w:t>
            </w:r>
          </w:p>
        </w:tc>
        <w:tc>
          <w:tcPr>
            <w:tcW w:w="5056" w:type="dxa"/>
            <w:tcBorders>
              <w:top w:val="single" w:sz="4" w:space="0" w:color="auto"/>
              <w:left w:val="single" w:sz="4" w:space="0" w:color="auto"/>
              <w:bottom w:val="single" w:sz="4" w:space="0" w:color="auto"/>
              <w:right w:val="single" w:sz="4" w:space="0" w:color="auto"/>
            </w:tcBorders>
            <w:vAlign w:val="center"/>
          </w:tcPr>
          <w:p w:rsidR="00800AF2">
            <w:pPr>
              <w:spacing w:line="400" w:lineRule="exact"/>
              <w:rPr>
                <w:rFonts w:ascii="宋体" w:eastAsia="宋体" w:hAnsi="宋体" w:cs="宋体" w:hint="eastAsia"/>
                <w:szCs w:val="21"/>
              </w:rPr>
            </w:pPr>
            <w:r>
              <w:rPr>
                <w:rFonts w:ascii="宋体" w:eastAsia="宋体" w:hAnsi="宋体" w:cs="宋体" w:hint="eastAsia"/>
                <w:szCs w:val="21"/>
              </w:rPr>
              <w:t>平板天线罩：8级风正常工作，10级风不损坏。</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5.1.5.2.3.3伺服</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方位方向采用机械扫描，方位控制选用数字式伺服系统，高精度伺服电机驱动，实现360°连续旋转扫描。雷达应支持平面位置扫描、体积扫描、扇形扫描、定点扫描等多种扫描方式，各种扫描方式均由软件控制完成。俯仰方向机械转动采用电机驱动，伺服应具备使天线阵面法向在俯仰0°～90°转动和定位的能力。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7</w:t>
      </w:r>
      <w:r>
        <w:rPr>
          <w:rFonts w:ascii="宋体" w:eastAsia="宋体" w:hAnsi="宋体" w:cs="宋体" w:hint="eastAsia"/>
          <w:szCs w:val="21"/>
        </w:rPr>
        <w:fldChar w:fldCharType="end"/>
      </w:r>
      <w:r>
        <w:rPr>
          <w:rFonts w:ascii="宋体" w:eastAsia="宋体" w:hAnsi="宋体" w:cs="宋体" w:hint="eastAsia"/>
          <w:bCs/>
          <w:color w:val="000000"/>
          <w:szCs w:val="21"/>
        </w:rPr>
        <w:t>天线阵面和伺服系统技术性能指标表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51"/>
        <w:gridCol w:w="1672"/>
        <w:gridCol w:w="445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60"/>
          <w:jc w:val="center"/>
        </w:trPr>
        <w:tc>
          <w:tcPr>
            <w:tcW w:w="3823"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4457"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0" w:type="auto"/>
          <w:jc w:val="center"/>
          <w:tblLayout w:type="fixed"/>
          <w:tblLook w:val="04A0"/>
        </w:tblPrEx>
        <w:trPr>
          <w:trHeight w:val="160"/>
          <w:jc w:val="center"/>
        </w:trPr>
        <w:tc>
          <w:tcPr>
            <w:tcW w:w="3823"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波束扫描方式</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平面位置扫描、体积扫描、扇形扫描、定点扫描、用户自定义</w:t>
            </w:r>
          </w:p>
        </w:tc>
      </w:tr>
      <w:tr>
        <w:tblPrEx>
          <w:tblW w:w="0" w:type="auto"/>
          <w:jc w:val="center"/>
          <w:tblLayout w:type="fixed"/>
          <w:tblLook w:val="04A0"/>
        </w:tblPrEx>
        <w:trPr>
          <w:trHeight w:val="160"/>
          <w:jc w:val="center"/>
        </w:trPr>
        <w:tc>
          <w:tcPr>
            <w:tcW w:w="2151"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波束扫描范围</w:t>
            </w:r>
          </w:p>
        </w:tc>
        <w:tc>
          <w:tcPr>
            <w:tcW w:w="167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方位机械扫描</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0～360°连续扫描</w:t>
            </w:r>
          </w:p>
        </w:tc>
      </w:tr>
      <w:tr>
        <w:tblPrEx>
          <w:tblW w:w="0" w:type="auto"/>
          <w:jc w:val="center"/>
          <w:tblLayout w:type="fixed"/>
          <w:tblLook w:val="04A0"/>
        </w:tblPrEx>
        <w:trPr>
          <w:trHeight w:val="160"/>
          <w:jc w:val="center"/>
        </w:trPr>
        <w:tc>
          <w:tcPr>
            <w:tcW w:w="2151" w:type="dxa"/>
            <w:vMerge/>
            <w:vAlign w:val="center"/>
          </w:tcPr>
          <w:p w:rsidR="00800AF2">
            <w:pPr>
              <w:spacing w:line="360" w:lineRule="auto"/>
              <w:rPr>
                <w:rFonts w:ascii="宋体" w:eastAsia="宋体" w:hAnsi="宋体" w:cs="宋体" w:hint="eastAsia"/>
                <w:szCs w:val="21"/>
              </w:rPr>
            </w:pPr>
          </w:p>
        </w:tc>
        <w:tc>
          <w:tcPr>
            <w:tcW w:w="167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俯仰电子扫描</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-2～+60°</w:t>
            </w:r>
          </w:p>
        </w:tc>
      </w:tr>
      <w:tr>
        <w:tblPrEx>
          <w:tblW w:w="0" w:type="auto"/>
          <w:jc w:val="center"/>
          <w:tblLayout w:type="fixed"/>
          <w:tblLook w:val="04A0"/>
        </w:tblPrEx>
        <w:trPr>
          <w:trHeight w:val="160"/>
          <w:jc w:val="center"/>
        </w:trPr>
        <w:tc>
          <w:tcPr>
            <w:tcW w:w="2151" w:type="dxa"/>
            <w:vMerge/>
            <w:vAlign w:val="center"/>
          </w:tcPr>
          <w:p w:rsidR="00800AF2">
            <w:pPr>
              <w:spacing w:line="360" w:lineRule="auto"/>
              <w:rPr>
                <w:rFonts w:ascii="宋体" w:eastAsia="宋体" w:hAnsi="宋体" w:cs="宋体" w:hint="eastAsia"/>
                <w:szCs w:val="21"/>
              </w:rPr>
            </w:pPr>
          </w:p>
        </w:tc>
        <w:tc>
          <w:tcPr>
            <w:tcW w:w="167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俯仰机械调整</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天线阵面法向0～+90°</w:t>
            </w:r>
          </w:p>
        </w:tc>
      </w:tr>
      <w:tr>
        <w:tblPrEx>
          <w:tblW w:w="0" w:type="auto"/>
          <w:jc w:val="center"/>
          <w:tblLayout w:type="fixed"/>
          <w:tblLook w:val="04A0"/>
        </w:tblPrEx>
        <w:trPr>
          <w:trHeight w:val="315"/>
          <w:jc w:val="center"/>
        </w:trPr>
        <w:tc>
          <w:tcPr>
            <w:tcW w:w="21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天线阵面扫描速度</w:t>
            </w:r>
          </w:p>
        </w:tc>
        <w:tc>
          <w:tcPr>
            <w:tcW w:w="167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方位</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0～36°/s，≥6°/s时误差不大于5%</w:t>
            </w:r>
          </w:p>
        </w:tc>
      </w:tr>
      <w:tr>
        <w:tblPrEx>
          <w:tblW w:w="0" w:type="auto"/>
          <w:jc w:val="center"/>
          <w:tblLayout w:type="fixed"/>
          <w:tblLook w:val="04A0"/>
        </w:tblPrEx>
        <w:trPr>
          <w:trHeight w:val="305"/>
          <w:jc w:val="center"/>
        </w:trPr>
        <w:tc>
          <w:tcPr>
            <w:tcW w:w="2151"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波束指向误差</w:t>
            </w:r>
          </w:p>
        </w:tc>
        <w:tc>
          <w:tcPr>
            <w:tcW w:w="167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方位</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≤0.05°</w:t>
            </w:r>
          </w:p>
        </w:tc>
      </w:tr>
      <w:tr>
        <w:tblPrEx>
          <w:tblW w:w="0" w:type="auto"/>
          <w:jc w:val="center"/>
          <w:tblLayout w:type="fixed"/>
          <w:tblLook w:val="04A0"/>
        </w:tblPrEx>
        <w:trPr>
          <w:trHeight w:val="256"/>
          <w:jc w:val="center"/>
        </w:trPr>
        <w:tc>
          <w:tcPr>
            <w:tcW w:w="2151" w:type="dxa"/>
            <w:vMerge/>
            <w:vAlign w:val="center"/>
          </w:tcPr>
          <w:p w:rsidR="00800AF2">
            <w:pPr>
              <w:spacing w:line="360" w:lineRule="auto"/>
              <w:rPr>
                <w:rFonts w:ascii="宋体" w:eastAsia="宋体" w:hAnsi="宋体" w:cs="宋体" w:hint="eastAsia"/>
                <w:szCs w:val="21"/>
              </w:rPr>
            </w:pPr>
          </w:p>
        </w:tc>
        <w:tc>
          <w:tcPr>
            <w:tcW w:w="167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俯仰</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≤0.05°</w:t>
            </w:r>
          </w:p>
        </w:tc>
      </w:tr>
      <w:tr>
        <w:tblPrEx>
          <w:tblW w:w="0" w:type="auto"/>
          <w:jc w:val="center"/>
          <w:tblLayout w:type="fixed"/>
          <w:tblLook w:val="04A0"/>
        </w:tblPrEx>
        <w:trPr>
          <w:trHeight w:val="288"/>
          <w:jc w:val="center"/>
        </w:trPr>
        <w:tc>
          <w:tcPr>
            <w:tcW w:w="21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伺服控制误差</w:t>
            </w:r>
          </w:p>
        </w:tc>
        <w:tc>
          <w:tcPr>
            <w:tcW w:w="167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方位</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≤0.05°</w:t>
            </w:r>
          </w:p>
        </w:tc>
      </w:tr>
      <w:tr>
        <w:tblPrEx>
          <w:tblW w:w="0" w:type="auto"/>
          <w:jc w:val="center"/>
          <w:tblLayout w:type="fixed"/>
          <w:tblLook w:val="04A0"/>
        </w:tblPrEx>
        <w:trPr>
          <w:trHeight w:val="288"/>
          <w:jc w:val="center"/>
        </w:trPr>
        <w:tc>
          <w:tcPr>
            <w:tcW w:w="3823"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天线座水平度</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≤30″</w:t>
            </w:r>
          </w:p>
        </w:tc>
      </w:tr>
      <w:tr>
        <w:tblPrEx>
          <w:tblW w:w="0" w:type="auto"/>
          <w:jc w:val="center"/>
          <w:tblLayout w:type="fixed"/>
          <w:tblLook w:val="04A0"/>
        </w:tblPrEx>
        <w:trPr>
          <w:trHeight w:val="160"/>
          <w:jc w:val="center"/>
        </w:trPr>
        <w:tc>
          <w:tcPr>
            <w:tcW w:w="3823"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天线阵面控制字长</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≥16位</w:t>
            </w:r>
          </w:p>
        </w:tc>
      </w:tr>
      <w:tr>
        <w:tblPrEx>
          <w:tblW w:w="0" w:type="auto"/>
          <w:jc w:val="center"/>
          <w:tblLayout w:type="fixed"/>
          <w:tblLook w:val="04A0"/>
        </w:tblPrEx>
        <w:trPr>
          <w:trHeight w:val="160"/>
          <w:jc w:val="center"/>
        </w:trPr>
        <w:tc>
          <w:tcPr>
            <w:tcW w:w="3823"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角度编码器字长</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≥16位</w:t>
            </w:r>
          </w:p>
        </w:tc>
      </w:tr>
      <w:tr>
        <w:tblPrEx>
          <w:tblW w:w="0" w:type="auto"/>
          <w:jc w:val="center"/>
          <w:tblLayout w:type="fixed"/>
          <w:tblLook w:val="04A0"/>
        </w:tblPrEx>
        <w:trPr>
          <w:trHeight w:val="160"/>
          <w:jc w:val="center"/>
        </w:trPr>
        <w:tc>
          <w:tcPr>
            <w:tcW w:w="3823"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安全与保护</w:t>
            </w:r>
          </w:p>
        </w:tc>
        <w:tc>
          <w:tcPr>
            <w:tcW w:w="445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天线阵面应设有辅助支撑锁定机构，以保证其在运输架设时的安全性和稳定性。天线阵面的方位和俯仰运转系统中应具有安全保护措施并具备锁定功能。</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5.1.5.2.3.4发射单元</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雷达采用分布式发射结构，每一个发射单元与对应天线单元相连接，通过有源方式在空间进行功率合成。雷达发射单元主要由上变频链路、功率放大器、收发开关、电源、故障检测及保护电路组成，用于产生雷达系统所需要的大功率射频信号。</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雷达发射单元采用全固态放大链功率合成的方式，将激励信号通过功率放大后，输出大功率微波信号。分布式发射单元输出的微波功率信号送入天线的每一个辐射单元，由天线向空间辐射；接收雷达监控单元的控制指令，完成对发射单元的各种控制，并向监控单元反馈发射单元的工作状态和故障信息。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8</w:t>
      </w:r>
      <w:r>
        <w:rPr>
          <w:rFonts w:ascii="宋体" w:eastAsia="宋体" w:hAnsi="宋体" w:cs="宋体" w:hint="eastAsia"/>
          <w:szCs w:val="21"/>
        </w:rPr>
        <w:fldChar w:fldCharType="end"/>
      </w:r>
      <w:r>
        <w:rPr>
          <w:rFonts w:ascii="宋体" w:eastAsia="宋体" w:hAnsi="宋体" w:cs="宋体" w:hint="eastAsia"/>
          <w:bCs/>
          <w:color w:val="000000"/>
          <w:szCs w:val="21"/>
        </w:rPr>
        <w:t>发射单元技术性能指标表</w:t>
      </w:r>
    </w:p>
    <w:tbl>
      <w:tblPr>
        <w:tblStyle w:val="TableNormal"/>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12"/>
        <w:gridCol w:w="1385"/>
        <w:gridCol w:w="4962"/>
      </w:tblGrid>
      <w:tr>
        <w:tblPrEx>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25"/>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4962"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359" w:type="dxa"/>
          <w:jc w:val="center"/>
          <w:tblLayout w:type="fixed"/>
          <w:tblLook w:val="04A0"/>
        </w:tblPrEx>
        <w:trPr>
          <w:trHeight w:val="634"/>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发射通道形式</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全固态分布式</w:t>
            </w:r>
          </w:p>
        </w:tc>
      </w:tr>
      <w:tr>
        <w:tblPrEx>
          <w:tblW w:w="8359" w:type="dxa"/>
          <w:jc w:val="center"/>
          <w:tblLayout w:type="fixed"/>
          <w:tblLook w:val="04A0"/>
        </w:tblPrEx>
        <w:trPr>
          <w:trHeight w:val="634"/>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脉冲峰值功率（单极化）</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≥1000W</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EIRP（法向、单极化）</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≥96.5dBm</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EIRP（±20°、单极化）</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≥95.5dBm</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EIRP（4倍波束展宽、单极化）</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≥88.5dBm</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EIRP（8倍波束展宽、单极化）</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≥85.5dBm</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校准后EIRP偏差</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≤0.8dB</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最大发射占空比</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≥20%</w:t>
            </w:r>
          </w:p>
        </w:tc>
      </w:tr>
      <w:tr>
        <w:tblPrEx>
          <w:tblW w:w="8359" w:type="dxa"/>
          <w:jc w:val="center"/>
          <w:tblLayout w:type="fixed"/>
          <w:tblLook w:val="04A0"/>
        </w:tblPrEx>
        <w:trPr>
          <w:trHeight w:val="355"/>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发射脉冲宽度</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0.2～200μs可选，典型脉冲宽度包括0.5μs、1.0μs、2.0μs、10μs、20μs、40μs、80μs等。</w:t>
            </w:r>
          </w:p>
          <w:p w:rsidR="00800AF2">
            <w:pPr>
              <w:spacing w:line="360" w:lineRule="auto"/>
              <w:rPr>
                <w:rFonts w:ascii="宋体" w:eastAsia="宋体" w:hAnsi="宋体" w:cs="宋体" w:hint="eastAsia"/>
                <w:szCs w:val="21"/>
              </w:rPr>
            </w:pPr>
            <w:r>
              <w:rPr>
                <w:rFonts w:ascii="宋体" w:eastAsia="宋体" w:hAnsi="宋体" w:cs="宋体" w:hint="eastAsia"/>
                <w:szCs w:val="21"/>
              </w:rPr>
              <w:t>脉冲宽度≥0.5μs时，上升沿：≤200ns，下降沿：≤200ns。</w:t>
            </w:r>
          </w:p>
          <w:p w:rsidR="00800AF2">
            <w:pPr>
              <w:spacing w:line="360" w:lineRule="auto"/>
              <w:rPr>
                <w:rFonts w:ascii="宋体" w:eastAsia="宋体" w:hAnsi="宋体" w:cs="宋体" w:hint="eastAsia"/>
                <w:szCs w:val="21"/>
              </w:rPr>
            </w:pPr>
            <w:r>
              <w:rPr>
                <w:rFonts w:ascii="宋体" w:eastAsia="宋体" w:hAnsi="宋体" w:cs="宋体" w:hint="eastAsia"/>
                <w:szCs w:val="21"/>
              </w:rPr>
              <w:t>脉冲宽度≥1.0μs时，顶降：≤5%。</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脉冲重复频率</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300～5000Hz</w:t>
            </w:r>
          </w:p>
        </w:tc>
      </w:tr>
      <w:tr>
        <w:tblPrEx>
          <w:tblW w:w="8359" w:type="dxa"/>
          <w:jc w:val="center"/>
          <w:tblLayout w:type="fixed"/>
          <w:tblLook w:val="04A0"/>
        </w:tblPrEx>
        <w:trPr>
          <w:trHeight w:val="355"/>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输出端极限改善因子</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≥52dB（重复频率1000Hz、脉冲宽度1μs、带宽1MHz）</w:t>
            </w:r>
          </w:p>
        </w:tc>
      </w:tr>
      <w:tr>
        <w:tblPrEx>
          <w:tblW w:w="8359" w:type="dxa"/>
          <w:jc w:val="center"/>
          <w:tblLayout w:type="fixed"/>
          <w:tblLook w:val="04A0"/>
        </w:tblPrEx>
        <w:trPr>
          <w:trHeight w:val="572"/>
          <w:jc w:val="center"/>
        </w:trPr>
        <w:tc>
          <w:tcPr>
            <w:tcW w:w="2012"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频谱特性（距中心频率频谱线衰减量-40dB处）</w:t>
            </w:r>
          </w:p>
        </w:tc>
        <w:tc>
          <w:tcPr>
            <w:tcW w:w="138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左频偏</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≥-15MHz（脉宽1μs，带宽1MHz）</w:t>
            </w:r>
          </w:p>
        </w:tc>
      </w:tr>
      <w:tr>
        <w:tblPrEx>
          <w:tblW w:w="8359" w:type="dxa"/>
          <w:jc w:val="center"/>
          <w:tblLayout w:type="fixed"/>
          <w:tblLook w:val="04A0"/>
        </w:tblPrEx>
        <w:trPr>
          <w:trHeight w:val="342"/>
          <w:jc w:val="center"/>
        </w:trPr>
        <w:tc>
          <w:tcPr>
            <w:tcW w:w="2012" w:type="dxa"/>
            <w:vMerge/>
            <w:vAlign w:val="center"/>
          </w:tcPr>
          <w:p w:rsidR="00800AF2">
            <w:pPr>
              <w:spacing w:line="360" w:lineRule="auto"/>
              <w:rPr>
                <w:rFonts w:ascii="宋体" w:eastAsia="宋体" w:hAnsi="宋体" w:cs="宋体" w:hint="eastAsia"/>
                <w:szCs w:val="21"/>
              </w:rPr>
            </w:pPr>
          </w:p>
        </w:tc>
        <w:tc>
          <w:tcPr>
            <w:tcW w:w="138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右频偏</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≤15MHz（脉宽1μs，带宽1MHz）</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谐波和杂散抑制</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≥40dB</w:t>
            </w:r>
          </w:p>
        </w:tc>
      </w:tr>
      <w:tr>
        <w:tblPrEx>
          <w:tblW w:w="8359" w:type="dxa"/>
          <w:jc w:val="center"/>
          <w:tblLayout w:type="fixed"/>
          <w:tblLook w:val="04A0"/>
        </w:tblPrEx>
        <w:trPr>
          <w:trHeight w:val="342"/>
          <w:jc w:val="center"/>
        </w:trPr>
        <w:tc>
          <w:tcPr>
            <w:tcW w:w="3397"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故障检测和保护</w:t>
            </w:r>
          </w:p>
        </w:tc>
        <w:tc>
          <w:tcPr>
            <w:tcW w:w="496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发生过温，过压，过流等情况时可报警并实现自保，输出功率低时输出报警信号</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5.1.5.2.3.5接收单元</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雷达采用分布式接收结构，每一个接收单元与相对应天线单元相连接。接收单元主要完成回波信号的低噪声放大、滤波、下变频和数字中频采样；接收雷达监控单元的控制指令，完成对接收单元的各种控制，并向监控单元反馈接收单元的工作状态和故障信息。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9</w:t>
      </w:r>
      <w:r>
        <w:rPr>
          <w:rFonts w:ascii="宋体" w:eastAsia="宋体" w:hAnsi="宋体" w:cs="宋体" w:hint="eastAsia"/>
          <w:szCs w:val="21"/>
        </w:rPr>
        <w:fldChar w:fldCharType="end"/>
      </w:r>
      <w:r>
        <w:rPr>
          <w:rFonts w:ascii="宋体" w:eastAsia="宋体" w:hAnsi="宋体" w:cs="宋体" w:hint="eastAsia"/>
          <w:bCs/>
          <w:color w:val="000000"/>
          <w:szCs w:val="21"/>
        </w:rPr>
        <w:t>接收单元技术性能指标表</w:t>
      </w:r>
    </w:p>
    <w:tbl>
      <w:tblPr>
        <w:tblStyle w:val="TableNormal"/>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87"/>
        <w:gridCol w:w="4877"/>
      </w:tblGrid>
      <w:tr>
        <w:tblPrEx>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364" w:type="dxa"/>
          <w:jc w:val="center"/>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G/T（法向、带宽1MHz）</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≥6.5dB/K</w:t>
            </w:r>
          </w:p>
        </w:tc>
      </w:tr>
      <w:tr>
        <w:tblPrEx>
          <w:tblW w:w="8364" w:type="dxa"/>
          <w:jc w:val="center"/>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G/T（±20°、带宽1MHz）</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≥5.5dB/K</w:t>
            </w:r>
          </w:p>
        </w:tc>
      </w:tr>
      <w:tr>
        <w:tblPrEx>
          <w:tblW w:w="8364" w:type="dxa"/>
          <w:jc w:val="center"/>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校准后G/T偏差</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≤0.8dB</w:t>
            </w:r>
          </w:p>
        </w:tc>
      </w:tr>
      <w:tr>
        <w:tblPrEx>
          <w:tblW w:w="8364" w:type="dxa"/>
          <w:jc w:val="center"/>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噪声系数</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≤3dB（脉宽1μs，带宽1MHz）</w:t>
            </w:r>
          </w:p>
        </w:tc>
      </w:tr>
      <w:tr>
        <w:tblPrEx>
          <w:tblW w:w="8364" w:type="dxa"/>
          <w:jc w:val="center"/>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线性动态范围</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≥77dB（脉宽1μs，带宽1MHz）</w:t>
            </w:r>
          </w:p>
        </w:tc>
      </w:tr>
      <w:tr>
        <w:tblPrEx>
          <w:tblW w:w="8364" w:type="dxa"/>
          <w:jc w:val="center"/>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最小可测功率（灵敏度）</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≤-110dBm（脉宽1μs，带宽1MHz）</w:t>
            </w:r>
          </w:p>
        </w:tc>
      </w:tr>
      <w:tr>
        <w:tblPrEx>
          <w:tblW w:w="8364" w:type="dxa"/>
          <w:jc w:val="center"/>
          <w:tblLayout w:type="fixed"/>
          <w:tblLook w:val="04A0"/>
        </w:tblPrEx>
        <w:trPr>
          <w:jc w:val="center"/>
        </w:trPr>
        <w:tc>
          <w:tcPr>
            <w:tcW w:w="348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镜频抑制度</w:t>
            </w:r>
          </w:p>
        </w:tc>
        <w:tc>
          <w:tcPr>
            <w:tcW w:w="4877"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≥60dBc</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5.1.5.2.3.6数字波束控制与合成</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字波束控制与合成单元可根据终端指令控制每个收发单元的幅度和相位，使波束在工作范围内精准指向；幅度/相位控制应支持多种加权模式，使雷达的收发旁瓣受控，适用于不同场合；具备同时多波束接收能力，并可完成接收多波束数字合成。具备空间波束捷变功能。所有单元的波束控制与合成都应该是独立的。</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波束控制和合成在数字域上完成，并应具备宽发窄收和窄发窄收能力。能够对每个单元的幅相测量值进行处理，并能够记录和输出订正前和订正后的数据。能够对宽发导致的发射天线方向图变化进行订正。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10</w:t>
      </w:r>
      <w:r>
        <w:rPr>
          <w:rFonts w:ascii="宋体" w:eastAsia="宋体" w:hAnsi="宋体" w:cs="宋体" w:hint="eastAsia"/>
          <w:szCs w:val="21"/>
        </w:rPr>
        <w:fldChar w:fldCharType="end"/>
      </w:r>
      <w:r>
        <w:rPr>
          <w:rFonts w:ascii="宋体" w:eastAsia="宋体" w:hAnsi="宋体" w:cs="宋体" w:hint="eastAsia"/>
          <w:szCs w:val="21"/>
        </w:rPr>
        <w:t xml:space="preserve"> </w:t>
      </w:r>
      <w:r>
        <w:rPr>
          <w:rFonts w:ascii="宋体" w:eastAsia="宋体" w:hAnsi="宋体" w:cs="宋体" w:hint="eastAsia"/>
          <w:bCs/>
          <w:color w:val="000000"/>
          <w:szCs w:val="21"/>
        </w:rPr>
        <w:t>数字波束控制与合成单元技术性能指标表</w:t>
      </w:r>
    </w:p>
    <w:tbl>
      <w:tblPr>
        <w:tblStyle w:val="TableNormal"/>
        <w:tblW w:w="8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1"/>
        <w:gridCol w:w="3532"/>
      </w:tblGrid>
      <w:tr>
        <w:tblPrEx>
          <w:tblW w:w="8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4"/>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063" w:type="dxa"/>
          <w:jc w:val="center"/>
          <w:tblLook w:val="04A0"/>
        </w:tblPrEx>
        <w:trPr>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波束控制和合成形式</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数字域</w:t>
            </w:r>
          </w:p>
        </w:tc>
      </w:tr>
      <w:tr>
        <w:tblPrEx>
          <w:tblW w:w="8063" w:type="dxa"/>
          <w:jc w:val="center"/>
          <w:tblLook w:val="04A0"/>
        </w:tblPrEx>
        <w:trPr>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波束控制精度（基于波束宽度）</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w:t>
            </w:r>
          </w:p>
        </w:tc>
      </w:tr>
      <w:tr>
        <w:tblPrEx>
          <w:tblW w:w="8063" w:type="dxa"/>
          <w:jc w:val="center"/>
          <w:tblLook w:val="04A0"/>
        </w:tblPrEx>
        <w:trPr>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电扫方向上双线偏振波束指向误差（基于波束宽度）</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w:t>
            </w:r>
          </w:p>
        </w:tc>
      </w:tr>
      <w:tr>
        <w:tblPrEx>
          <w:tblW w:w="8063" w:type="dxa"/>
          <w:jc w:val="center"/>
          <w:tblLook w:val="04A0"/>
        </w:tblPrEx>
        <w:trPr>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电扫方向上双线偏振3dB波束宽度误差（基于波束宽度）</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w:t>
            </w:r>
          </w:p>
        </w:tc>
      </w:tr>
      <w:tr>
        <w:tblPrEx>
          <w:tblW w:w="8063" w:type="dxa"/>
          <w:jc w:val="center"/>
          <w:tblLook w:val="04A0"/>
        </w:tblPrEx>
        <w:trPr>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同时接收波束数（单极化）</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≥16个波束</w:t>
            </w:r>
          </w:p>
        </w:tc>
      </w:tr>
      <w:tr>
        <w:tblPrEx>
          <w:tblW w:w="8063" w:type="dxa"/>
          <w:jc w:val="center"/>
          <w:tblLook w:val="04A0"/>
        </w:tblPrEx>
        <w:trPr>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电扫方向发射最大副瓣电平</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≤-23dB</w:t>
            </w:r>
          </w:p>
        </w:tc>
      </w:tr>
      <w:tr>
        <w:tblPrEx>
          <w:tblW w:w="8063" w:type="dxa"/>
          <w:jc w:val="center"/>
          <w:tblLook w:val="04A0"/>
        </w:tblPrEx>
        <w:trPr>
          <w:jc w:val="center"/>
        </w:trPr>
        <w:tc>
          <w:tcPr>
            <w:tcW w:w="45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电扫方向接收最大副瓣电平</w:t>
            </w:r>
          </w:p>
        </w:tc>
        <w:tc>
          <w:tcPr>
            <w:tcW w:w="3532"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≤-35dB</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5.1.5.2.3.7信号处理单元</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信号处理单元具有多普勒和双线偏振信号的处理能力。信号处理主要包括脉冲压缩处理、积分处理、脉冲对处理（PPP）和快速傅里叶变换（FFT），可输出强度Z（滤波前和滤波后）、径向速度V、速度谱宽W、差分反射率因子ZDR、差分传播相移ΦDP、差分传播相移率KDP、相关系数ρhv和信噪比SNR等数据，同时具有速度退模糊和距离退折叠的能力。该模块还能向终端提供观测数据和状态信息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信号处理单元对信号强度的估算，在距离上采用可由用户选择的按库累积平均，在方位</w:t>
      </w:r>
      <w:r>
        <w:rPr>
          <w:rFonts w:ascii="宋体" w:eastAsia="宋体" w:hAnsi="宋体" w:cs="宋体" w:hint="eastAsia"/>
          <w:bCs/>
          <w:color w:val="000000"/>
          <w:szCs w:val="21"/>
        </w:rPr>
        <w:t>角上采用累积平均。径向速度、速度谱宽的估算采用PPP、FFT或其他等效算法，并可使用双重频进行扫描。具有地物、电磁干扰、风电场等非气象回波识别和抑制的能力。具体指标见下表。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11</w:t>
      </w:r>
      <w:r>
        <w:rPr>
          <w:rFonts w:ascii="宋体" w:eastAsia="宋体" w:hAnsi="宋体" w:cs="宋体" w:hint="eastAsia"/>
          <w:szCs w:val="21"/>
        </w:rPr>
        <w:fldChar w:fldCharType="end"/>
      </w:r>
      <w:r>
        <w:rPr>
          <w:rFonts w:ascii="宋体" w:eastAsia="宋体" w:hAnsi="宋体" w:cs="宋体" w:hint="eastAsia"/>
          <w:bCs/>
          <w:color w:val="000000"/>
          <w:szCs w:val="21"/>
        </w:rPr>
        <w:t>信号处理单元技术性能指标表</w:t>
      </w:r>
    </w:p>
    <w:tbl>
      <w:tblPr>
        <w:tblStyle w:val="TableNormal"/>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9"/>
        <w:gridCol w:w="5528"/>
      </w:tblGrid>
      <w:tr>
        <w:tblPrEx>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最大脉冲压缩比</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≥100</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脉冲压缩主副瓣比</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≥50dB（脉压比≥100）</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脉冲累计平均次数</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16～512可选</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强度、速度处理方式</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FFT/PPP处理</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相关系数处理方式</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一阶相关或多阶相关</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距离退模糊方法</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相位编码或其他等效方法</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速度退模糊方法</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双重频或其他等效方法</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非气象回波识别和抑制</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具有电磁干扰、风电干扰及其它干扰的自动处理能力</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参数估计</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合理方法处理多脉宽条件下参数估算</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地物抑制</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深度学习或其他等效方法</w:t>
            </w:r>
          </w:p>
        </w:tc>
      </w:tr>
      <w:tr>
        <w:tblPrEx>
          <w:tblW w:w="8107" w:type="dxa"/>
          <w:jc w:val="center"/>
          <w:tblLook w:val="04A0"/>
        </w:tblPrEx>
        <w:trPr>
          <w:jc w:val="center"/>
        </w:trPr>
        <w:tc>
          <w:tcPr>
            <w:tcW w:w="2579"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故障检测和保护</w:t>
            </w:r>
          </w:p>
        </w:tc>
        <w:tc>
          <w:tcPr>
            <w:tcW w:w="552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数据丢包，参数输出等故障</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5.1.5.2.3.8雷达标定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系统应具有通过机内外仪表等设备开展系统主要参数指标的自动测试及标定的功能。标定功能按照在线标定、离线标定两类进行设计。雷达根据预先设置的测试程序，自动完成各项参数的测试和结果存储。标定结果设有独立告警门限并在记录文件中保存，在本地可保存不少于6个月的数据，并可在固定目录下查看历史标定记录。</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1.在线标定：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（1）收发单元标定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每个收发单元具备收发幅相测试能力，标定周期可任意设置，做完一次包含所有单元标定的时间不超过4min。</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收发单元在线标定项包括但不限于发射峰值功率、接收噪声系数、相位噪声等。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（2）系统标定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系统在线标定应能够使用每个收发单元的测试数据通过特定算法形成系统标定结果，标定项目包括但不限于发射峰值功率、接收噪声系数、接收动态范围、系统相位噪声、回波强度、滤波前后功率比、径向速度、差分反射率因子、差分传播相移、通道间幅相一致性、标定常数等。雷达可依据标定结果自动修正偏差，提高雷达探测准确度。</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2.离线标定：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（1）收发单元标定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收发单元离线标定项包括但不限于发射脉冲宽度、发射峰值功率、发射信号相位、发射脉冲射频频谱、发射输出极限改善因子、接收噪声系数、最小可测功率、接收动态范围、相位噪声等。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根据离线标定结果订正在线标定误差。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（2）系统标定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系统离线标定主要采用远场方式，根据离线标定结果订正在线标定误差。标定项包括但不限于天线波束指向误差、发射脉冲宽度、EIRP、发射脉冲射频频谱、发射输出极限改善因子、G/T、最小可测功率、接收动态范围、脉冲压缩主副瓣比、系统相位噪声、地物对消能力、回波强度、径向速度、差分反射率因子、差分传播相移等。主要测试项目及测试方法包括：</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天线波束指向误差：采用太阳作为信号源或使用等效方法检查天线波束指向误差。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发射脉冲宽度、EIRP、发射脉冲射频频谱、发射输出极限改善因子、G/T、最小可测功率、接收动态范围、脉冲压缩主副瓣比、系统相位噪声、回波强度、径向速度、差分反射率因子、差分传播相移：使用专用测量设备。</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地物对消能力：比较对消前和对消后的回波强度，检查系统对实际地物的抑制能力。</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金属球标定：使用标准反射金属球对回波强度、差分反射率因子、差分传播相移、相关系数进行标定。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天顶法：采用小雨滴作为球形散射体检查两个极化的一致性。</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5.1.5.2.3.9监控与显示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1.雷达及附属设备监测：</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具备本地和远程在线监测，显示雷达自动测试结果，并上传基础参数的能力，其中基础参数包括但不限于：雷达静态参数、雷达运行模式参数、雷达在线标定参数等。完整记录适配参数变更、软件更迭等信息。雷达机内测试设备应实时监测对雷达工作有影响的因素，并根据影响情况分为有影响和严重影响两类，分别对应于一般告警和自动停机告警两种，并自动存储、上传工作状态和告警信息。对雷达运行环境状态参数进行在线采集、监测、显示、记录并上传，上传参数包括但不限于天线阵面温度、底座温度。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12</w:t>
      </w:r>
      <w:r>
        <w:rPr>
          <w:rFonts w:ascii="宋体" w:eastAsia="宋体" w:hAnsi="宋体" w:cs="宋体" w:hint="eastAsia"/>
          <w:szCs w:val="21"/>
        </w:rPr>
        <w:fldChar w:fldCharType="end"/>
      </w:r>
      <w:r>
        <w:rPr>
          <w:rFonts w:ascii="宋体" w:eastAsia="宋体" w:hAnsi="宋体" w:cs="宋体" w:hint="eastAsia"/>
          <w:bCs/>
          <w:color w:val="000000"/>
          <w:szCs w:val="21"/>
        </w:rPr>
        <w:t>上传参数列表</w:t>
      </w:r>
    </w:p>
    <w:tbl>
      <w:tblPr>
        <w:tblStyle w:val="TableNormal"/>
        <w:tblW w:w="8367" w:type="dxa"/>
        <w:jc w:val="center"/>
        <w:tblLook w:val="04A0"/>
      </w:tblPr>
      <w:tblGrid>
        <w:gridCol w:w="936"/>
        <w:gridCol w:w="3746"/>
        <w:gridCol w:w="3685"/>
      </w:tblGrid>
      <w:tr>
        <w:tblPrEx>
          <w:tblW w:w="8367" w:type="dxa"/>
          <w:jc w:val="center"/>
          <w:tblLook w:val="04A0"/>
        </w:tblPrEx>
        <w:trPr>
          <w:trHeight w:val="394"/>
          <w:tblHeader/>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序号</w:t>
            </w:r>
          </w:p>
        </w:tc>
        <w:tc>
          <w:tcPr>
            <w:tcW w:w="3746" w:type="dxa"/>
            <w:tcBorders>
              <w:top w:val="single" w:sz="4" w:space="0" w:color="auto"/>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上传参数</w:t>
            </w:r>
          </w:p>
        </w:tc>
        <w:tc>
          <w:tcPr>
            <w:tcW w:w="3685" w:type="dxa"/>
            <w:tcBorders>
              <w:top w:val="single" w:sz="4" w:space="0" w:color="auto"/>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备注</w:t>
            </w:r>
          </w:p>
        </w:tc>
      </w:tr>
      <w:tr>
        <w:tblPrEx>
          <w:tblW w:w="8367" w:type="dxa"/>
          <w:jc w:val="center"/>
          <w:tblLook w:val="04A0"/>
        </w:tblPrEx>
        <w:trPr>
          <w:trHeight w:val="394"/>
          <w:jc w:val="center"/>
        </w:trPr>
        <w:tc>
          <w:tcPr>
            <w:tcW w:w="8367" w:type="dxa"/>
            <w:gridSpan w:val="3"/>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雷达静态参数</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雷达站号</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站点名称</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纬度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经度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天线高度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天线阵面中心高度，单位：m</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地面高度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单位：m</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雷达类型</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8</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雷达型号</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9</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终端软件版本号</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监控软件</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10</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工作频率</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单位：MHz</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11</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水平通道发射增益</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12</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垂直通道发射增益</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13</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水平通道接收增益</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14</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垂直通道接收增益</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15</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水平极化发射波束宽度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16</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垂直极化发射波束宽度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17</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水平极化接收波束宽度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18</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垂直极化接收波束宽度</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19</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发射馈线损耗</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20</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接收馈线损耗</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21</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其他损耗</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8367" w:type="dxa"/>
            <w:gridSpan w:val="3"/>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雷达运行模式参数</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22</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日期</w:t>
            </w:r>
          </w:p>
        </w:tc>
        <w:tc>
          <w:tcPr>
            <w:tcW w:w="3685"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23</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时间</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24</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体扫模式</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25</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控制权标志</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本控、遥控</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26</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系统状态</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正常、可用、需维护、故障、关机</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27</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上传状态数据格式版本号</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28</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雷达标记</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相控阵、多普勒、双偏振</w:t>
            </w:r>
          </w:p>
        </w:tc>
      </w:tr>
      <w:tr>
        <w:tblPrEx>
          <w:tblW w:w="8367" w:type="dxa"/>
          <w:jc w:val="center"/>
          <w:tblLook w:val="04A0"/>
        </w:tblPrEx>
        <w:trPr>
          <w:trHeight w:val="394"/>
          <w:jc w:val="center"/>
        </w:trPr>
        <w:tc>
          <w:tcPr>
            <w:tcW w:w="8367" w:type="dxa"/>
            <w:gridSpan w:val="3"/>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雷达运行环境参数</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29</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阵面温度</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30</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各组件温度</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31</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底座温度</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32</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组件总电压</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单位：V</w:t>
            </w:r>
          </w:p>
        </w:tc>
      </w:tr>
      <w:tr>
        <w:tblPrEx>
          <w:tblW w:w="8367" w:type="dxa"/>
          <w:jc w:val="center"/>
          <w:tblLook w:val="04A0"/>
        </w:tblPrEx>
        <w:trPr>
          <w:trHeight w:val="57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33</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组件总电流</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单位：A</w:t>
            </w:r>
          </w:p>
        </w:tc>
      </w:tr>
      <w:tr>
        <w:tblPrEx>
          <w:tblW w:w="8367" w:type="dxa"/>
          <w:jc w:val="center"/>
          <w:tblLook w:val="04A0"/>
        </w:tblPrEx>
        <w:trPr>
          <w:trHeight w:val="57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34</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各组件功率</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w:t>
            </w:r>
          </w:p>
        </w:tc>
      </w:tr>
      <w:tr>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35</w:t>
            </w:r>
          </w:p>
        </w:tc>
        <w:tc>
          <w:tcPr>
            <w:tcW w:w="3746" w:type="dxa"/>
            <w:tcBorders>
              <w:top w:val="nil"/>
              <w:left w:val="nil"/>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各组件工作状态</w:t>
            </w:r>
          </w:p>
        </w:tc>
        <w:tc>
          <w:tcPr>
            <w:tcW w:w="3685" w:type="dxa"/>
            <w:tcBorders>
              <w:top w:val="nil"/>
              <w:left w:val="nil"/>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正常、警告、故障</w:t>
            </w:r>
          </w:p>
        </w:tc>
      </w:tr>
      <w:tr>
        <w:tblPrEx>
          <w:tblW w:w="8367" w:type="dxa"/>
          <w:jc w:val="center"/>
          <w:tblLook w:val="04A0"/>
        </w:tblPrEx>
        <w:trPr>
          <w:trHeight w:val="394"/>
          <w:jc w:val="center"/>
        </w:trPr>
        <w:tc>
          <w:tcPr>
            <w:tcW w:w="8367" w:type="dxa"/>
            <w:gridSpan w:val="3"/>
            <w:tcBorders>
              <w:top w:val="nil"/>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雷达在线标定参数</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36</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水平通道滤波前回波强度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r>
              <w:rPr>
                <w:rFonts w:ascii="宋体" w:eastAsia="宋体" w:hAnsi="宋体" w:cs="宋体" w:hint="eastAsia"/>
                <w:spacing w:val="10"/>
                <w:szCs w:val="21"/>
                <w:lang w:bidi="en-US"/>
              </w:rPr>
              <w:t>dBZ</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37</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水平通道滤波后回波强度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r>
              <w:rPr>
                <w:rFonts w:ascii="宋体" w:eastAsia="宋体" w:hAnsi="宋体" w:cs="宋体" w:hint="eastAsia"/>
                <w:spacing w:val="10"/>
                <w:szCs w:val="21"/>
                <w:lang w:bidi="en-US"/>
              </w:rPr>
              <w:t>dBZ</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38</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垂直通道滤波前回波强度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r>
              <w:rPr>
                <w:rFonts w:ascii="宋体" w:eastAsia="宋体" w:hAnsi="宋体" w:cs="宋体" w:hint="eastAsia"/>
                <w:spacing w:val="10"/>
                <w:szCs w:val="21"/>
                <w:lang w:bidi="en-US"/>
              </w:rPr>
              <w:t>dBZ</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39</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垂直通道滤波后回波强度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r>
              <w:rPr>
                <w:rFonts w:ascii="宋体" w:eastAsia="宋体" w:hAnsi="宋体" w:cs="宋体" w:hint="eastAsia"/>
                <w:spacing w:val="10"/>
                <w:szCs w:val="21"/>
                <w:lang w:bidi="en-US"/>
              </w:rPr>
              <w:t>dBZ</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40</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各水平极化单元峰值功率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41</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各垂直极化单元峰值功率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42</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单位：μs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43</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单位：μs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44</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水平极化长脉冲宽度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单位：μs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45</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单位：μs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46</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单位：μs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47</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垂直极化长脉冲宽度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单位：μs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48</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49</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50</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水平极化长脉冲噪声系数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51</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52</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53</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垂直极化长脉冲噪声系数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54</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反射率因子期望值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r>
              <w:rPr>
                <w:rFonts w:ascii="宋体" w:eastAsia="宋体" w:hAnsi="宋体" w:cs="宋体" w:hint="eastAsia"/>
                <w:spacing w:val="10"/>
                <w:szCs w:val="21"/>
                <w:lang w:bidi="en-US"/>
              </w:rPr>
              <w:t>dBZ</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55</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反射率因子测量值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r>
              <w:rPr>
                <w:rFonts w:ascii="宋体" w:eastAsia="宋体" w:hAnsi="宋体" w:cs="宋体" w:hint="eastAsia"/>
                <w:spacing w:val="10"/>
                <w:szCs w:val="21"/>
                <w:lang w:bidi="en-US"/>
              </w:rPr>
              <w:t>dBZ</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56</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速度期望值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单位：m/s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57</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速度测量值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单位：m/s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58</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谱宽期望值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单位：m/s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59</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谱宽测量值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单位：m/s</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60</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ZDR标定值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61</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ΦDP标定值</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62</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短脉冲系统标定常数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63</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中脉冲系统标定常数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64</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长脉冲系统标定常数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65</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其他脉冲宽度系统标定常数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66</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各发射单元幅度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67</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各发射单元相位</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68</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各接收单元幅度</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69</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各接收单元相位</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70</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水平极化系统发射功率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71</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垂直极化系统发射功率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72</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水平极化系统接收增益</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73</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垂直极化系统接收增益</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74</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各水平极化单元相位噪声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75</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各垂直极化单元相位噪声</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76</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各水平极化单元不同脉宽噪声电平</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r>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77</w:t>
            </w:r>
          </w:p>
        </w:tc>
        <w:tc>
          <w:tcPr>
            <w:tcW w:w="3746" w:type="dxa"/>
            <w:tcBorders>
              <w:top w:val="single" w:sz="4" w:space="0" w:color="auto"/>
              <w:left w:val="single" w:sz="4" w:space="0" w:color="auto"/>
              <w:bottom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各垂直极化单元不同脉宽噪声电平</w:t>
            </w:r>
          </w:p>
        </w:tc>
        <w:tc>
          <w:tcPr>
            <w:tcW w:w="3685"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单位：dB</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2.远程控制：</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具备本地、远程监视和遥控能力，包括但不限于控制开关机、观测模式切换、查看标定结果、修改适配参数等。具有软件远程升级功能，并具有雷达运行与维护的远程支持能力，</w:t>
      </w:r>
      <w:r>
        <w:rPr>
          <w:rFonts w:ascii="宋体" w:eastAsia="宋体" w:hAnsi="宋体" w:cs="宋体" w:hint="eastAsia"/>
          <w:bCs/>
          <w:color w:val="000000"/>
          <w:szCs w:val="21"/>
        </w:rPr>
        <w:t>测试项包括但不限于伺服角度控制误差、天线波束指向误差、发射峰值功率、接收噪声系数、接收动态范围、脉冲压缩主副瓣比、系统相位噪声、滤波前后功率比、回波强度、径向速度、差分反射率因子、差分传播相移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3.设备级质控及气象产品显示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对基数据进行设备级质控，包括滤波、杂波校正因子（CCOR）门限、电磁干扰抑制、速度退模糊、距离退折叠、异常回波标记等。质控前后的基数据都具备存储功能。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雷达能够输出强度（Z）、速度（V）、谱宽（W）、差分反射率因子（ZDR）、差分传播相移（ΦDP）、差分传播相移率（KDP）、相关系数（ρhv）、信噪比（SNR）等基本量，在单发双收模式下能够输出退偏振比（LDR）。</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雷达通过图形、图像方式将产品提供给用户，作天气现象分析和预报使用。</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（1）气象产品实时图形显示；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（2）具备对监测的所有参数显示及超限告警提示显示功能等；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（3）气象产品查询；</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（4）鼠标位置显示，数值及产品信息显示；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（5）数据分层显示；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（6）多仰角、多要素同时显示功能；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（7）游标显示（方位、距离、高度和数值等）。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4.授时</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能够通过卫星授时或网络授时定期校准时间，使雷达时间准确度优于1s。</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5.1.5.2.3.10气象产品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1.数据质量控制</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质量控制算法不少于7种，利用不少于3年的雷达标准数据集进行评估，算法质量需满足指标要求，具体见下表。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13</w:t>
      </w:r>
      <w:r>
        <w:rPr>
          <w:rFonts w:ascii="宋体" w:eastAsia="宋体" w:hAnsi="宋体" w:cs="宋体" w:hint="eastAsia"/>
          <w:szCs w:val="21"/>
        </w:rPr>
        <w:fldChar w:fldCharType="end"/>
      </w:r>
      <w:r>
        <w:rPr>
          <w:rFonts w:ascii="宋体" w:eastAsia="宋体" w:hAnsi="宋体" w:cs="宋体" w:hint="eastAsia"/>
          <w:bCs/>
          <w:color w:val="000000"/>
          <w:szCs w:val="21"/>
        </w:rPr>
        <w:t>质控算法列表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
        <w:gridCol w:w="4606"/>
        <w:gridCol w:w="317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113"/>
          <w:jc w:val="center"/>
        </w:trPr>
        <w:tc>
          <w:tcPr>
            <w:tcW w:w="739" w:type="dxa"/>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序号</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算法名称</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指标要求</w:t>
            </w:r>
          </w:p>
        </w:tc>
      </w:tr>
      <w:tr>
        <w:tblPrEx>
          <w:tblW w:w="8522" w:type="dxa"/>
          <w:jc w:val="center"/>
          <w:tblLook w:val="04A0"/>
        </w:tblPrEx>
        <w:trPr>
          <w:trHeight w:val="113"/>
          <w:jc w:val="center"/>
        </w:trPr>
        <w:tc>
          <w:tcPr>
            <w:tcW w:w="739"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1</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反射率因子衰减订正</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衰减订正后，与相邻S</w:t>
            </w:r>
            <w:r>
              <w:rPr>
                <w:rFonts w:ascii="宋体" w:eastAsia="宋体" w:hAnsi="宋体" w:cs="宋体" w:hint="eastAsia"/>
                <w:spacing w:val="10"/>
                <w:szCs w:val="21"/>
                <w:lang w:bidi="en-US"/>
              </w:rPr>
              <w:t>波段雷达相比平均偏差≤2.5dB</w:t>
            </w:r>
          </w:p>
        </w:tc>
      </w:tr>
      <w:tr>
        <w:tblPrEx>
          <w:tblW w:w="8522" w:type="dxa"/>
          <w:jc w:val="center"/>
          <w:tblLook w:val="04A0"/>
        </w:tblPrEx>
        <w:trPr>
          <w:trHeight w:val="113"/>
          <w:jc w:val="center"/>
        </w:trPr>
        <w:tc>
          <w:tcPr>
            <w:tcW w:w="739"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2</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差分反射率因子衰减订正</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衰减订正后，与相邻S波段雷达相比平均偏差≤0.5dB</w:t>
            </w:r>
          </w:p>
        </w:tc>
      </w:tr>
      <w:tr>
        <w:tblPrEx>
          <w:tblW w:w="8522" w:type="dxa"/>
          <w:jc w:val="center"/>
          <w:tblLook w:val="04A0"/>
        </w:tblPrEx>
        <w:trPr>
          <w:trHeight w:val="113"/>
          <w:jc w:val="center"/>
        </w:trPr>
        <w:tc>
          <w:tcPr>
            <w:tcW w:w="739"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3</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地物、超折射、海浪等非降水回波消除</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非降水回波识别准确率≥90%，且降水回波误判率≤5%</w:t>
            </w:r>
          </w:p>
        </w:tc>
      </w:tr>
      <w:tr>
        <w:tblPrEx>
          <w:tblW w:w="8522" w:type="dxa"/>
          <w:jc w:val="center"/>
          <w:tblLook w:val="04A0"/>
        </w:tblPrEx>
        <w:trPr>
          <w:trHeight w:val="113"/>
          <w:jc w:val="center"/>
        </w:trPr>
        <w:tc>
          <w:tcPr>
            <w:tcW w:w="739"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4</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径向干扰剔除</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径向干扰识别准确率≥90%，且降水回波误判率≤5%</w:t>
            </w:r>
          </w:p>
        </w:tc>
      </w:tr>
      <w:tr>
        <w:tblPrEx>
          <w:tblW w:w="8522" w:type="dxa"/>
          <w:jc w:val="center"/>
          <w:tblLook w:val="04A0"/>
        </w:tblPrEx>
        <w:trPr>
          <w:trHeight w:val="113"/>
          <w:jc w:val="center"/>
        </w:trPr>
        <w:tc>
          <w:tcPr>
            <w:tcW w:w="739"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5</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径向速度退模糊</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速度退模糊正确率≥90%，且标准偏差≤2m/s</w:t>
            </w:r>
          </w:p>
        </w:tc>
      </w:tr>
      <w:tr>
        <w:tblPrEx>
          <w:tblW w:w="8522" w:type="dxa"/>
          <w:jc w:val="center"/>
          <w:tblLook w:val="04A0"/>
        </w:tblPrEx>
        <w:trPr>
          <w:trHeight w:val="113"/>
          <w:jc w:val="center"/>
        </w:trPr>
        <w:tc>
          <w:tcPr>
            <w:tcW w:w="739"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6</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差分相移退折叠</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退折叠正确率≥95%</w:t>
            </w:r>
          </w:p>
        </w:tc>
      </w:tr>
      <w:tr>
        <w:tblPrEx>
          <w:tblW w:w="8522" w:type="dxa"/>
          <w:jc w:val="center"/>
          <w:tblLook w:val="04A0"/>
        </w:tblPrEx>
        <w:trPr>
          <w:trHeight w:val="113"/>
          <w:jc w:val="center"/>
        </w:trPr>
        <w:tc>
          <w:tcPr>
            <w:tcW w:w="739"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7</w:t>
            </w:r>
          </w:p>
        </w:tc>
        <w:tc>
          <w:tcPr>
            <w:tcW w:w="4606" w:type="dxa"/>
            <w:noWrap/>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差分传播相移率估算</w:t>
            </w:r>
          </w:p>
        </w:tc>
        <w:tc>
          <w:tcPr>
            <w:tcW w:w="3177" w:type="dxa"/>
            <w:vAlign w:val="center"/>
          </w:tcPr>
          <w:p w:rsidR="00800AF2">
            <w:pPr>
              <w:snapToGrid w:val="0"/>
              <w:spacing w:line="300" w:lineRule="auto"/>
              <w:ind w:firstLine="520"/>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满足合理性评估要求</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2.气象产品种类</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气象产品应包含但不限于以下内容，可以根据雷达实际用途进行扩展。</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（1）基本产品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基本产品不少于10种，具体见下表。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14</w:t>
      </w:r>
      <w:r>
        <w:rPr>
          <w:rFonts w:ascii="宋体" w:eastAsia="宋体" w:hAnsi="宋体" w:cs="宋体" w:hint="eastAsia"/>
          <w:szCs w:val="21"/>
        </w:rPr>
        <w:fldChar w:fldCharType="end"/>
      </w:r>
      <w:r>
        <w:rPr>
          <w:rFonts w:ascii="宋体" w:eastAsia="宋体" w:hAnsi="宋体" w:cs="宋体" w:hint="eastAsia"/>
          <w:bCs/>
          <w:color w:val="000000"/>
          <w:szCs w:val="21"/>
        </w:rPr>
        <w:t>基本产品列表</w:t>
      </w:r>
    </w:p>
    <w:tbl>
      <w:tblPr>
        <w:tblStyle w:val="TableNormal"/>
        <w:tblW w:w="5740" w:type="dxa"/>
        <w:jc w:val="center"/>
        <w:tblLook w:val="04A0"/>
      </w:tblPr>
      <w:tblGrid>
        <w:gridCol w:w="878"/>
        <w:gridCol w:w="2878"/>
        <w:gridCol w:w="1984"/>
      </w:tblGrid>
      <w:tr>
        <w:tblPrEx>
          <w:tblW w:w="5740" w:type="dxa"/>
          <w:jc w:val="center"/>
          <w:tblLook w:val="04A0"/>
        </w:tblPrEx>
        <w:trPr>
          <w:trHeight w:val="113"/>
          <w:tblHeader/>
          <w:jc w:val="center"/>
        </w:trPr>
        <w:tc>
          <w:tcPr>
            <w:tcW w:w="878" w:type="dxa"/>
            <w:tcBorders>
              <w:top w:val="single" w:sz="4" w:space="0" w:color="auto"/>
              <w:left w:val="single" w:sz="4" w:space="0" w:color="auto"/>
              <w:bottom w:val="single" w:sz="4" w:space="0" w:color="auto"/>
              <w:right w:val="nil"/>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序号</w:t>
            </w:r>
          </w:p>
        </w:tc>
        <w:tc>
          <w:tcPr>
            <w:tcW w:w="2878" w:type="dxa"/>
            <w:tcBorders>
              <w:top w:val="single" w:sz="4" w:space="0" w:color="auto"/>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产品名称</w:t>
            </w:r>
          </w:p>
        </w:tc>
        <w:tc>
          <w:tcPr>
            <w:tcW w:w="1984"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产品标识</w:t>
            </w:r>
          </w:p>
        </w:tc>
      </w:tr>
      <w:tr>
        <w:tblPrEx>
          <w:tblW w:w="5740" w:type="dxa"/>
          <w:jc w:val="center"/>
          <w:tblLook w:val="04A0"/>
        </w:tblPrEx>
        <w:trPr>
          <w:trHeight w:val="113"/>
          <w:jc w:val="center"/>
        </w:trPr>
        <w:tc>
          <w:tcPr>
            <w:tcW w:w="878" w:type="dxa"/>
            <w:tcBorders>
              <w:top w:val="single" w:sz="4" w:space="0" w:color="auto"/>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1</w:t>
            </w:r>
          </w:p>
        </w:tc>
        <w:tc>
          <w:tcPr>
            <w:tcW w:w="2878" w:type="dxa"/>
            <w:tcBorders>
              <w:top w:val="single" w:sz="4" w:space="0" w:color="auto"/>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滤波前回波强度</w:t>
            </w:r>
          </w:p>
        </w:tc>
        <w:tc>
          <w:tcPr>
            <w:tcW w:w="1984"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TR</w:t>
            </w:r>
          </w:p>
        </w:tc>
      </w:tr>
      <w:tr>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2</w:t>
            </w:r>
          </w:p>
        </w:tc>
        <w:tc>
          <w:tcPr>
            <w:tcW w:w="2878" w:type="dxa"/>
            <w:tcBorders>
              <w:top w:val="nil"/>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滤波后回波强度</w:t>
            </w:r>
          </w:p>
        </w:tc>
        <w:tc>
          <w:tcPr>
            <w:tcW w:w="1984" w:type="dxa"/>
            <w:tcBorders>
              <w:top w:val="nil"/>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R</w:t>
            </w:r>
          </w:p>
        </w:tc>
      </w:tr>
      <w:tr>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3</w:t>
            </w:r>
          </w:p>
        </w:tc>
        <w:tc>
          <w:tcPr>
            <w:tcW w:w="2878" w:type="dxa"/>
            <w:tcBorders>
              <w:top w:val="nil"/>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径向速度</w:t>
            </w:r>
          </w:p>
        </w:tc>
        <w:tc>
          <w:tcPr>
            <w:tcW w:w="1984" w:type="dxa"/>
            <w:tcBorders>
              <w:top w:val="nil"/>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V</w:t>
            </w:r>
          </w:p>
        </w:tc>
      </w:tr>
      <w:tr>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4</w:t>
            </w:r>
          </w:p>
        </w:tc>
        <w:tc>
          <w:tcPr>
            <w:tcW w:w="2878" w:type="dxa"/>
            <w:tcBorders>
              <w:top w:val="nil"/>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速度谱宽</w:t>
            </w:r>
          </w:p>
        </w:tc>
        <w:tc>
          <w:tcPr>
            <w:tcW w:w="1984" w:type="dxa"/>
            <w:tcBorders>
              <w:top w:val="nil"/>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SW</w:t>
            </w:r>
          </w:p>
        </w:tc>
      </w:tr>
      <w:tr>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5</w:t>
            </w:r>
          </w:p>
        </w:tc>
        <w:tc>
          <w:tcPr>
            <w:tcW w:w="2878" w:type="dxa"/>
            <w:tcBorders>
              <w:top w:val="nil"/>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差分反射率因子</w:t>
            </w:r>
          </w:p>
        </w:tc>
        <w:tc>
          <w:tcPr>
            <w:tcW w:w="1984" w:type="dxa"/>
            <w:tcBorders>
              <w:top w:val="nil"/>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ZDR</w:t>
            </w:r>
          </w:p>
        </w:tc>
      </w:tr>
      <w:tr>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6</w:t>
            </w:r>
          </w:p>
        </w:tc>
        <w:tc>
          <w:tcPr>
            <w:tcW w:w="2878" w:type="dxa"/>
            <w:tcBorders>
              <w:top w:val="nil"/>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差分传播相移</w:t>
            </w:r>
          </w:p>
        </w:tc>
        <w:tc>
          <w:tcPr>
            <w:tcW w:w="1984" w:type="dxa"/>
            <w:tcBorders>
              <w:top w:val="nil"/>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PDP</w:t>
            </w:r>
          </w:p>
        </w:tc>
      </w:tr>
      <w:tr>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7</w:t>
            </w:r>
          </w:p>
        </w:tc>
        <w:tc>
          <w:tcPr>
            <w:tcW w:w="2878" w:type="dxa"/>
            <w:tcBorders>
              <w:top w:val="nil"/>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差分传播相移率</w:t>
            </w:r>
          </w:p>
        </w:tc>
        <w:tc>
          <w:tcPr>
            <w:tcW w:w="1984" w:type="dxa"/>
            <w:tcBorders>
              <w:top w:val="nil"/>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KDP</w:t>
            </w:r>
          </w:p>
        </w:tc>
      </w:tr>
      <w:tr>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8</w:t>
            </w:r>
          </w:p>
        </w:tc>
        <w:tc>
          <w:tcPr>
            <w:tcW w:w="2878" w:type="dxa"/>
            <w:tcBorders>
              <w:top w:val="nil"/>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相关系数</w:t>
            </w:r>
          </w:p>
        </w:tc>
        <w:tc>
          <w:tcPr>
            <w:tcW w:w="1984" w:type="dxa"/>
            <w:tcBorders>
              <w:top w:val="nil"/>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CC</w:t>
            </w:r>
          </w:p>
        </w:tc>
      </w:tr>
      <w:tr>
        <w:tblPrEx>
          <w:tblW w:w="5740" w:type="dxa"/>
          <w:jc w:val="center"/>
          <w:tblLook w:val="04A0"/>
        </w:tblPrEx>
        <w:trPr>
          <w:trHeight w:val="113"/>
          <w:jc w:val="center"/>
        </w:trPr>
        <w:tc>
          <w:tcPr>
            <w:tcW w:w="878" w:type="dxa"/>
            <w:tcBorders>
              <w:top w:val="single" w:sz="4" w:space="0" w:color="auto"/>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9</w:t>
            </w:r>
          </w:p>
        </w:tc>
        <w:tc>
          <w:tcPr>
            <w:tcW w:w="2878" w:type="dxa"/>
            <w:tcBorders>
              <w:top w:val="single" w:sz="4" w:space="0" w:color="auto"/>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水平通道信噪比</w:t>
            </w:r>
          </w:p>
        </w:tc>
        <w:tc>
          <w:tcPr>
            <w:tcW w:w="1984"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SNRH</w:t>
            </w:r>
          </w:p>
        </w:tc>
      </w:tr>
      <w:tr>
        <w:tblPrEx>
          <w:tblW w:w="5740" w:type="dxa"/>
          <w:jc w:val="center"/>
          <w:tblLook w:val="04A0"/>
        </w:tblPrEx>
        <w:trPr>
          <w:trHeight w:val="113"/>
          <w:jc w:val="center"/>
        </w:trPr>
        <w:tc>
          <w:tcPr>
            <w:tcW w:w="878" w:type="dxa"/>
            <w:tcBorders>
              <w:top w:val="single" w:sz="4" w:space="0" w:color="auto"/>
              <w:left w:val="single" w:sz="4" w:space="0" w:color="auto"/>
              <w:bottom w:val="single" w:sz="4" w:space="0" w:color="auto"/>
              <w:right w:val="nil"/>
            </w:tcBorders>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10</w:t>
            </w:r>
          </w:p>
        </w:tc>
        <w:tc>
          <w:tcPr>
            <w:tcW w:w="2878" w:type="dxa"/>
            <w:tcBorders>
              <w:top w:val="single" w:sz="4" w:space="0" w:color="auto"/>
              <w:left w:val="single" w:sz="4" w:space="0" w:color="auto"/>
              <w:bottom w:val="single" w:sz="4" w:space="0" w:color="auto"/>
              <w:right w:val="nil"/>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垂直通道信噪比</w:t>
            </w:r>
          </w:p>
        </w:tc>
        <w:tc>
          <w:tcPr>
            <w:tcW w:w="1984"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ind w:firstLine="520"/>
              <w:rPr>
                <w:rFonts w:ascii="宋体" w:eastAsia="宋体" w:hAnsi="宋体" w:cs="宋体" w:hint="eastAsia"/>
                <w:spacing w:val="10"/>
                <w:szCs w:val="21"/>
                <w:lang w:bidi="en-US"/>
              </w:rPr>
            </w:pPr>
            <w:r>
              <w:rPr>
                <w:rFonts w:ascii="宋体" w:eastAsia="宋体" w:hAnsi="宋体" w:cs="宋体" w:hint="eastAsia"/>
                <w:spacing w:val="10"/>
                <w:szCs w:val="21"/>
                <w:lang w:bidi="en-US"/>
              </w:rPr>
              <w:t>SNRV</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（2）二次产品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二次产品包括物理量产品和识别类产品2类，其中物理量产品不少于14种、识别类产品不少于9种。如下表所示。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二次产品需利用不少于3年的雷达标准数据集，对产品的合理性进行评估，即利用探测</w:t>
      </w:r>
      <w:r>
        <w:rPr>
          <w:rFonts w:ascii="宋体" w:eastAsia="宋体" w:hAnsi="宋体" w:cs="宋体" w:hint="eastAsia"/>
          <w:bCs/>
          <w:color w:val="000000"/>
          <w:szCs w:val="21"/>
        </w:rPr>
        <w:t>覆盖区域重叠的最相邻机械扫描雷达生成的对应产品进行一致性、连续性对比，判断产品的变化是否一致，前后时序变化是否连续等。</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15</w:t>
      </w:r>
      <w:r>
        <w:rPr>
          <w:rFonts w:ascii="宋体" w:eastAsia="宋体" w:hAnsi="宋体" w:cs="宋体" w:hint="eastAsia"/>
          <w:szCs w:val="21"/>
        </w:rPr>
        <w:fldChar w:fldCharType="end"/>
      </w:r>
      <w:r>
        <w:rPr>
          <w:rFonts w:ascii="宋体" w:eastAsia="宋体" w:hAnsi="宋体" w:cs="宋体" w:hint="eastAsia"/>
          <w:bCs/>
          <w:color w:val="000000"/>
          <w:szCs w:val="21"/>
        </w:rPr>
        <w:t>二次产品列表</w:t>
      </w:r>
    </w:p>
    <w:tbl>
      <w:tblPr>
        <w:tblStyle w:val="TableNormal"/>
        <w:tblW w:w="8217" w:type="dxa"/>
        <w:jc w:val="center"/>
        <w:tblLook w:val="04A0"/>
      </w:tblPr>
      <w:tblGrid>
        <w:gridCol w:w="817"/>
        <w:gridCol w:w="1392"/>
        <w:gridCol w:w="4094"/>
        <w:gridCol w:w="1914"/>
      </w:tblGrid>
      <w:tr>
        <w:tblPrEx>
          <w:tblW w:w="8217" w:type="dxa"/>
          <w:jc w:val="center"/>
          <w:tblLook w:val="04A0"/>
        </w:tblPrEx>
        <w:trPr>
          <w:trHeight w:val="300"/>
          <w:tblHeader/>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序号</w:t>
            </w:r>
          </w:p>
        </w:tc>
        <w:tc>
          <w:tcPr>
            <w:tcW w:w="1392" w:type="dxa"/>
            <w:tcBorders>
              <w:top w:val="single" w:sz="4" w:space="0" w:color="auto"/>
              <w:left w:val="single" w:sz="4" w:space="0" w:color="auto"/>
              <w:bottom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类别</w:t>
            </w: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产品名称</w:t>
            </w:r>
          </w:p>
        </w:tc>
        <w:tc>
          <w:tcPr>
            <w:tcW w:w="1914" w:type="dxa"/>
            <w:tcBorders>
              <w:top w:val="single" w:sz="4" w:space="0" w:color="auto"/>
              <w:left w:val="single" w:sz="4" w:space="0" w:color="auto"/>
              <w:bottom w:val="single" w:sz="4" w:space="0" w:color="auto"/>
              <w:right w:val="single" w:sz="4" w:space="0" w:color="auto"/>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产品标识</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w:t>
            </w:r>
          </w:p>
        </w:tc>
        <w:tc>
          <w:tcPr>
            <w:tcW w:w="1392" w:type="dxa"/>
            <w:vMerge w:val="restart"/>
            <w:tcBorders>
              <w:top w:val="single" w:sz="4" w:space="0" w:color="auto"/>
              <w:left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p>
          <w:p w:rsidR="00800AF2">
            <w:pPr>
              <w:snapToGrid w:val="0"/>
              <w:spacing w:line="300" w:lineRule="auto"/>
              <w:rPr>
                <w:rFonts w:ascii="宋体" w:eastAsia="宋体" w:hAnsi="宋体" w:cs="宋体" w:hint="eastAsia"/>
                <w:spacing w:val="10"/>
                <w:szCs w:val="21"/>
                <w:lang w:bidi="en-US"/>
              </w:rPr>
            </w:pPr>
          </w:p>
          <w:p w:rsidR="00800AF2">
            <w:pPr>
              <w:snapToGrid w:val="0"/>
              <w:spacing w:line="300" w:lineRule="auto"/>
              <w:rPr>
                <w:rFonts w:ascii="宋体" w:eastAsia="宋体" w:hAnsi="宋体" w:cs="宋体" w:hint="eastAsia"/>
                <w:spacing w:val="10"/>
                <w:szCs w:val="21"/>
                <w:lang w:bidi="en-US"/>
              </w:rPr>
            </w:pPr>
          </w:p>
          <w:p w:rsidR="00800AF2">
            <w:pPr>
              <w:snapToGrid w:val="0"/>
              <w:spacing w:line="300" w:lineRule="auto"/>
              <w:rPr>
                <w:rFonts w:ascii="宋体" w:eastAsia="宋体" w:hAnsi="宋体" w:cs="宋体" w:hint="eastAsia"/>
                <w:spacing w:val="10"/>
                <w:szCs w:val="21"/>
                <w:lang w:bidi="en-US"/>
              </w:rPr>
            </w:pPr>
          </w:p>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物理量产品</w:t>
            </w: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回波顶高</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ET</w:t>
            </w:r>
          </w:p>
        </w:tc>
      </w:tr>
      <w:tr>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nil"/>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回波底高</w:t>
            </w:r>
          </w:p>
        </w:tc>
        <w:tc>
          <w:tcPr>
            <w:tcW w:w="1914" w:type="dxa"/>
            <w:tcBorders>
              <w:top w:val="nil"/>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EB</w:t>
            </w:r>
          </w:p>
        </w:tc>
      </w:tr>
      <w:tr>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nil"/>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垂直积分液态水</w:t>
            </w:r>
          </w:p>
        </w:tc>
        <w:tc>
          <w:tcPr>
            <w:tcW w:w="1914" w:type="dxa"/>
            <w:tcBorders>
              <w:top w:val="nil"/>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VIL</w:t>
            </w:r>
          </w:p>
        </w:tc>
      </w:tr>
      <w:tr>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4</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nil"/>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最强回波高度</w:t>
            </w:r>
          </w:p>
        </w:tc>
        <w:tc>
          <w:tcPr>
            <w:tcW w:w="1914" w:type="dxa"/>
            <w:tcBorders>
              <w:top w:val="nil"/>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HMAX</w:t>
            </w:r>
          </w:p>
        </w:tc>
      </w:tr>
      <w:tr>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5</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nil"/>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组合反射率</w:t>
            </w:r>
          </w:p>
        </w:tc>
        <w:tc>
          <w:tcPr>
            <w:tcW w:w="1914" w:type="dxa"/>
            <w:tcBorders>
              <w:top w:val="nil"/>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CR</w:t>
            </w:r>
          </w:p>
        </w:tc>
      </w:tr>
      <w:tr>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6</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nil"/>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反射率等高平面位置显示</w:t>
            </w:r>
          </w:p>
        </w:tc>
        <w:tc>
          <w:tcPr>
            <w:tcW w:w="1914" w:type="dxa"/>
            <w:tcBorders>
              <w:top w:val="nil"/>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CAP</w:t>
            </w:r>
          </w:p>
        </w:tc>
      </w:tr>
      <w:tr>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7</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nil"/>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速度方位显示</w:t>
            </w:r>
          </w:p>
        </w:tc>
        <w:tc>
          <w:tcPr>
            <w:tcW w:w="1914" w:type="dxa"/>
            <w:tcBorders>
              <w:top w:val="nil"/>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VAD</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8</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速度方位显示风廓线</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VWP</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9</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OHP</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10</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3小时累积降水量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THP</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11</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N小时累积降水量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NHP</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12</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质心高度</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RCH</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13</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风场反演</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WIND</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14</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风暴相对径向速度</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SRM</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15</w:t>
            </w:r>
          </w:p>
        </w:tc>
        <w:tc>
          <w:tcPr>
            <w:tcW w:w="1392" w:type="dxa"/>
            <w:vMerge w:val="restart"/>
            <w:tcBorders>
              <w:top w:val="single" w:sz="4" w:space="0" w:color="auto"/>
              <w:left w:val="single" w:sz="4" w:space="0" w:color="auto"/>
              <w:right w:val="single" w:sz="4" w:space="0" w:color="auto"/>
            </w:tcBorders>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识别类产品</w:t>
            </w: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冰雹指数</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HI</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16</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风暴追踪信息</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STI</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17</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风暴结构分析</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SS</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18</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中尺度气旋</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M</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19</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龙卷涡旋特征</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TVS</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20</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粒子相态识别</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HCL</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21</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融化层识别</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ML</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22</w:t>
            </w:r>
          </w:p>
        </w:tc>
        <w:tc>
          <w:tcPr>
            <w:tcW w:w="1392" w:type="dxa"/>
            <w:vMerge/>
            <w:tcBorders>
              <w:left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雷暴大风</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TS</w:t>
            </w:r>
          </w:p>
        </w:tc>
      </w:tr>
      <w:tr>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23</w:t>
            </w:r>
          </w:p>
        </w:tc>
        <w:tc>
          <w:tcPr>
            <w:tcW w:w="1392" w:type="dxa"/>
            <w:vMerge/>
            <w:tcBorders>
              <w:left w:val="single" w:sz="4" w:space="0" w:color="auto"/>
              <w:bottom w:val="single" w:sz="4" w:space="0" w:color="auto"/>
              <w:right w:val="single" w:sz="4" w:space="0" w:color="auto"/>
            </w:tcBorders>
          </w:tcPr>
          <w:p w:rsidR="00800AF2">
            <w:pPr>
              <w:snapToGrid w:val="0"/>
              <w:spacing w:line="300" w:lineRule="auto"/>
              <w:rPr>
                <w:rFonts w:ascii="宋体" w:eastAsia="宋体" w:hAnsi="宋体" w:cs="宋体" w:hint="eastAsia"/>
                <w:spacing w:val="10"/>
                <w:szCs w:val="21"/>
                <w:lang w:bidi="en-US"/>
              </w:rPr>
            </w:pPr>
          </w:p>
        </w:tc>
        <w:tc>
          <w:tcPr>
            <w:tcW w:w="4094" w:type="dxa"/>
            <w:tcBorders>
              <w:top w:val="single" w:sz="4" w:space="0" w:color="auto"/>
              <w:left w:val="single" w:sz="4" w:space="0" w:color="auto"/>
              <w:bottom w:val="single" w:sz="4" w:space="0" w:color="auto"/>
              <w:right w:val="nil"/>
            </w:tcBorders>
            <w:noWrap/>
            <w:vAlign w:val="center"/>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双偏振定量降水估测</w:t>
            </w:r>
          </w:p>
        </w:tc>
        <w:tc>
          <w:tcPr>
            <w:tcW w:w="1914" w:type="dxa"/>
            <w:tcBorders>
              <w:top w:val="single" w:sz="4" w:space="0" w:color="auto"/>
              <w:left w:val="single" w:sz="4" w:space="0" w:color="auto"/>
              <w:bottom w:val="single" w:sz="4" w:space="0" w:color="auto"/>
              <w:right w:val="single" w:sz="4" w:space="0" w:color="auto"/>
            </w:tcBorders>
            <w:noWrap/>
            <w:vAlign w:val="bottom"/>
          </w:tcPr>
          <w:p w:rsidR="00800AF2">
            <w:pPr>
              <w:snapToGrid w:val="0"/>
              <w:spacing w:line="300" w:lineRule="auto"/>
              <w:rPr>
                <w:rFonts w:ascii="宋体" w:eastAsia="宋体" w:hAnsi="宋体" w:cs="宋体" w:hint="eastAsia"/>
                <w:spacing w:val="10"/>
                <w:szCs w:val="21"/>
                <w:lang w:bidi="en-US"/>
              </w:rPr>
            </w:pPr>
            <w:r>
              <w:rPr>
                <w:rFonts w:ascii="宋体" w:eastAsia="宋体" w:hAnsi="宋体" w:cs="宋体" w:hint="eastAsia"/>
                <w:spacing w:val="10"/>
                <w:szCs w:val="21"/>
                <w:lang w:bidi="en-US"/>
              </w:rPr>
              <w:t>QPE</w:t>
            </w:r>
          </w:p>
        </w:tc>
      </w:tr>
    </w:tbl>
    <w:p w:rsidR="00800AF2">
      <w:pPr>
        <w:spacing w:line="560" w:lineRule="exact"/>
        <w:ind w:firstLine="420" w:firstLineChars="200"/>
        <w:rPr>
          <w:rFonts w:ascii="宋体" w:eastAsia="宋体" w:hAnsi="宋体" w:cs="宋体" w:hint="eastAsia"/>
          <w:bCs/>
          <w:color w:val="000000"/>
          <w:szCs w:val="21"/>
          <w:highlight w:val="yellow"/>
        </w:rPr>
      </w:pPr>
      <w:r>
        <w:rPr>
          <w:rFonts w:ascii="宋体" w:eastAsia="宋体" w:hAnsi="宋体" w:cs="宋体" w:hint="eastAsia"/>
          <w:bCs/>
          <w:color w:val="000000"/>
          <w:szCs w:val="21"/>
          <w:highlight w:val="yellow"/>
        </w:rPr>
        <w:t>（3）软件功能要求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终端软件由雷达监控软件、雷达标校软件、雷达控制软件及雷达数据传输软件组成，其主要功能为雷达及附属设备监测、远程雷达控制、关键参数在线分析、基数据质控和显示、系统授时等。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1）雷达监控软件具备雷达系统状态监控功能，以保障雷达数据质量、业务传输、数据管理和雷达设备安全。雷达监控系统采用统一远程控制接口，实现与国家级业务平台安全对接。</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2）雷达标校软件具备在线标校和离线标校功能，标校结果要有独立报警门限并在记录文件中保存，可以在雷达终端上查看雷达系统长期的标校记录。</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A）在线标校参数主要包括发射机峰值功率、接收机噪声系数和噪声电平、相位噪声、回波强度、径向速度、差分反射率、差分传播相移、系统标定常数（</w:t>
      </w:r>
      <w:r>
        <w:rPr>
          <w:rFonts w:ascii="宋体" w:eastAsia="宋体" w:hAnsi="宋体" w:cs="宋体" w:hint="eastAsia"/>
          <w:bCs/>
          <w:color w:val="000000"/>
          <w:szCs w:val="21"/>
        </w:rPr>
        <w:t>Syscal</w:t>
      </w:r>
      <w:r>
        <w:rPr>
          <w:rFonts w:ascii="宋体" w:eastAsia="宋体" w:hAnsi="宋体" w:cs="宋体" w:hint="eastAsia"/>
          <w:bCs/>
          <w:color w:val="000000"/>
          <w:szCs w:val="21"/>
        </w:rPr>
        <w:t>）等，系统标定常数计算过程中使用的参数须包括但不限于雷达波长、发射机峰值功率、脉冲宽度、水平和垂直波束宽度、复折射指数（|(m2-1)/(m2+2)|）、匹配滤波器损耗、收发支路总损耗、天线增益、天线罩双程损耗。</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a）发射机脉冲宽度、峰值功率、频谱特性、输出端极限改善因子：发射机输出端测量；</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b）接收机噪声系数、最小可测功率、动态范围、回波强度定标检验、径向速度测量检验、双偏振参数检验：在接收机前端（低噪声放大器）注入信号，在A/D后测量，在终端显示测量结果；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c）脉冲压缩主副瓣比：软件自动分别测试脉压比≥100和＜100的主副瓣比；</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d）地物对消能力：比较对消前和对消后的回波强度，检查系统对实际地物的抑制能力；</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e）天顶标定：采用小雨滴作为球形散射体检查两个通道的一致性；</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f）金属球法：采用金属球作为标准器检查回波强度、差分反射率等雷达关键指标的探测准确性；</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g）天线波束指向误差：采用太阳法或其他等效方法进行检查；</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h）射频激励信号（RFD）：可通过机外仪表进行输出功率测试。</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i</w:t>
      </w:r>
      <w:r>
        <w:rPr>
          <w:rFonts w:ascii="宋体" w:eastAsia="宋体" w:hAnsi="宋体" w:cs="宋体" w:hint="eastAsia"/>
          <w:bCs/>
          <w:color w:val="000000"/>
          <w:szCs w:val="21"/>
        </w:rPr>
        <w:t>）天线座水平度：在伺服转台预留测试位置或内置测试设备。</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雷达控制软件有预置的多种观测模式，同时支持自定义扫描任务功能，可进行仰角、天线转速、重复频率、采样数等参数配置，用户可以根据观测需要定制新任务。修改适配参数须输入密码并严格限制报警门限。在扇扫状态下，基数据双向记录。</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可利用多台同型X波段双偏振有源相控阵天气雷达可以搭建起组网协同观测系统，利用组网协同式观测技术和软件，实现雷达组网协同式观测。协同观测系统可以让多台雷达几乎同时扫过同一个区域，实现重点区域的超精细化监测，从而实现高精度的风暴三维风场的反演。</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 xml:space="preserve">6）对回波强度（Z）、径向速度（V）、速度谱宽（W）、差分反射率（ZDR）、差分传播相移（ΦDP）、差分传播相移率（KDP）、相关系数（ρhv）等基本量进行质控，质控包括滤波、杂波校正因子（CCOR）门限、电磁干扰抑制、风电干扰抑制、速度退模糊、距离退折叠、异常回波标记等，质控前后的基数据都具备存储功能。在雷达终端上需具备以下功能： </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数据处理功能：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基数据自动处理，按照要求的格式进行存储，台站端至少可以存储近1年的基数据。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显示功能：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a）回波数据种类、时间选择并显示；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b）监测的所有参数显示及超限告警提示显示；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c）鼠标悬浮显示；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d）数据分层控制显示；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e）图像处理显示，具有多仰角多要素同时显示。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产品显示：平面位置产品、距离高度产品、等高面位置产品、二次产品等显示功能。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分屏显示：二分屏、四分屏等分屏显示功能、支持光标联动信息显示。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垂直剖面：基本产品任意垂直剖面显示功能，支持折线剖面，可同时显示多个产品，可保存图像。</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最大值显示：体扫各层反射率垂直、东西、南北三个方向最大值可投影显示。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图形缩放、拖曳：产品图像可放大缩小，拖曳移动。</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图像保存：产品图像可保存为图片格式，分辨率可调。</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动态展示：支持产品时序播放、动图制作。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地图加载：产品显示可加载离线地图文件，同时应支持API接口获取在线瓦片，底图包括但不限于地图、地形、影像，支持各级界线、名称显隐。</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测距功能：产品显示界面可显示两点间距离、折线距离。</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游标引导：游标所在点的经纬度、方位、距离、高度、产品数值、地理位置等信息显示。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产品色标：提供默认配色，支持自定义配色。</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阈值过滤：显示阈值范围内数据，过滤超限数据；可单一范围显隐；可调整产品透明度。</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自动刷新：可启停的自动显示最新产品数据。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状态监控：包括数据接收、产品制作、产品传输状态监控。</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数据归档：本地或异地产品数据归档，支持定时清理。</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数据上传：产品数据多节点上传，支持恢复网络后自动补传、手动补传。</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算法参数：算法参数可本地化调整。</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算法接口：支持外部算法接入，使用统一数据接口调用。</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系统日志：包括软件运行日志、数据接收日志、产品生成日志、数据上传日志、告警日志、预警日志。</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日志查询：可按日期、类型、关键词等方式查询系统日志。</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多用户并发：每个产品生成终端应至少能够满足30位用户同时访问。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数据库接口：可从天擎等数据库的接口获取雷达基数据作为数据源。</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快捷操作：可通过键盘进行产品切换、时间切换、仰角层切换等快捷操作。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关注点标记：设定不同类型的关注点，可设置备注信息并保存；可单选、多选、分类选择叠加在产品上进行显示；可设定关注点预警范围。支持关注点信息导入导出。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7）具备人影一体化决策平台，可实现实时监测预警，实时监测云体动态，提供预警和作业点推荐；可基于数据分析自动推荐作业站点，即时生成作业方案，一键下达指令；可自动化评估系统实时分析作业效果，支持人机交互效果检验，生成相应报告；可实现作业过程智能化数字化可视化管理，支持历史作业回顾与效果报告下载；可实现雷达数据三维可视化与冰雹智能预警。</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（8）软件运行环境要求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雷达应至少配置1台独立产品终端，负责产品制作及数据归档。应支持国产化操作系统。产品终端数据处理能力应满足产品制作整体耗时小于雷达最短体扫用时，避免造成数据积压。产品终端能存储不少于3个月的基数据及对应雷达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5.1.5.2.4 设备配置</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16</w:t>
      </w:r>
      <w:r>
        <w:rPr>
          <w:rFonts w:ascii="宋体" w:eastAsia="宋体" w:hAnsi="宋体" w:cs="宋体" w:hint="eastAsia"/>
          <w:szCs w:val="21"/>
        </w:rPr>
        <w:fldChar w:fldCharType="end"/>
      </w:r>
      <w:r>
        <w:rPr>
          <w:rFonts w:ascii="宋体" w:eastAsia="宋体" w:hAnsi="宋体" w:cs="宋体" w:hint="eastAsia"/>
          <w:bCs/>
          <w:color w:val="000000"/>
          <w:szCs w:val="21"/>
        </w:rPr>
        <w:t>设备配置表</w:t>
      </w:r>
    </w:p>
    <w:tbl>
      <w:tblPr>
        <w:tblStyle w:val="TableNormal"/>
        <w:tblW w:w="48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87"/>
        <w:gridCol w:w="2477"/>
        <w:gridCol w:w="828"/>
        <w:gridCol w:w="717"/>
        <w:gridCol w:w="2386"/>
      </w:tblGrid>
      <w:tr>
        <w:tblPrEx>
          <w:tblW w:w="48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49"/>
          <w:jc w:val="center"/>
        </w:trPr>
        <w:tc>
          <w:tcPr>
            <w:tcW w:w="1137" w:type="pct"/>
            <w:noWrap/>
            <w:vAlign w:val="center"/>
          </w:tcPr>
          <w:p w:rsidR="00800AF2">
            <w:pPr>
              <w:jc w:val="center"/>
              <w:rPr>
                <w:rFonts w:ascii="宋体" w:eastAsia="宋体" w:hAnsi="宋体" w:cs="宋体" w:hint="eastAsia"/>
                <w:b/>
                <w:bCs/>
                <w:szCs w:val="21"/>
              </w:rPr>
            </w:pPr>
            <w:r>
              <w:rPr>
                <w:rFonts w:ascii="宋体" w:eastAsia="宋体" w:hAnsi="宋体" w:cs="宋体" w:hint="eastAsia"/>
                <w:b/>
                <w:bCs/>
                <w:szCs w:val="21"/>
              </w:rPr>
              <w:t>大项</w:t>
            </w:r>
          </w:p>
        </w:tc>
        <w:tc>
          <w:tcPr>
            <w:tcW w:w="1493" w:type="pct"/>
            <w:noWrap/>
            <w:vAlign w:val="center"/>
          </w:tcPr>
          <w:p w:rsidR="00800AF2">
            <w:pPr>
              <w:jc w:val="center"/>
              <w:rPr>
                <w:rFonts w:ascii="宋体" w:eastAsia="宋体" w:hAnsi="宋体" w:cs="宋体" w:hint="eastAsia"/>
                <w:b/>
                <w:bCs/>
                <w:szCs w:val="21"/>
              </w:rPr>
            </w:pPr>
            <w:r>
              <w:rPr>
                <w:rFonts w:ascii="宋体" w:eastAsia="宋体" w:hAnsi="宋体" w:cs="宋体" w:hint="eastAsia"/>
                <w:b/>
                <w:bCs/>
                <w:szCs w:val="21"/>
              </w:rPr>
              <w:t>子项</w:t>
            </w:r>
          </w:p>
        </w:tc>
        <w:tc>
          <w:tcPr>
            <w:tcW w:w="499" w:type="pct"/>
            <w:noWrap/>
            <w:vAlign w:val="center"/>
          </w:tcPr>
          <w:p w:rsidR="00800AF2">
            <w:pPr>
              <w:ind w:left="0" w:hanging="63" w:leftChars="-30" w:hangingChars="30"/>
              <w:jc w:val="center"/>
              <w:rPr>
                <w:rFonts w:ascii="宋体" w:eastAsia="宋体" w:hAnsi="宋体" w:cs="宋体" w:hint="eastAsia"/>
                <w:b/>
                <w:bCs/>
                <w:szCs w:val="21"/>
              </w:rPr>
            </w:pPr>
            <w:r>
              <w:rPr>
                <w:rFonts w:ascii="宋体" w:eastAsia="宋体" w:hAnsi="宋体" w:cs="宋体" w:hint="eastAsia"/>
                <w:b/>
                <w:bCs/>
                <w:szCs w:val="21"/>
              </w:rPr>
              <w:t>单位</w:t>
            </w:r>
          </w:p>
        </w:tc>
        <w:tc>
          <w:tcPr>
            <w:tcW w:w="432" w:type="pct"/>
            <w:noWrap/>
            <w:vAlign w:val="center"/>
          </w:tcPr>
          <w:p w:rsidR="00800AF2">
            <w:pPr>
              <w:jc w:val="center"/>
              <w:rPr>
                <w:rFonts w:ascii="宋体" w:eastAsia="宋体" w:hAnsi="宋体" w:cs="宋体" w:hint="eastAsia"/>
                <w:b/>
                <w:bCs/>
                <w:szCs w:val="21"/>
              </w:rPr>
            </w:pPr>
            <w:r>
              <w:rPr>
                <w:rFonts w:ascii="宋体" w:eastAsia="宋体" w:hAnsi="宋体" w:cs="宋体" w:hint="eastAsia"/>
                <w:b/>
                <w:bCs/>
                <w:szCs w:val="21"/>
              </w:rPr>
              <w:t>数量</w:t>
            </w:r>
          </w:p>
        </w:tc>
        <w:tc>
          <w:tcPr>
            <w:tcW w:w="1438" w:type="pct"/>
            <w:noWrap/>
            <w:vAlign w:val="center"/>
          </w:tcPr>
          <w:p w:rsidR="00800AF2">
            <w:pPr>
              <w:jc w:val="center"/>
              <w:rPr>
                <w:rFonts w:ascii="宋体" w:eastAsia="宋体" w:hAnsi="宋体" w:cs="宋体" w:hint="eastAsia"/>
                <w:b/>
                <w:bCs/>
                <w:szCs w:val="21"/>
              </w:rPr>
            </w:pPr>
            <w:r>
              <w:rPr>
                <w:rFonts w:ascii="宋体" w:eastAsia="宋体" w:hAnsi="宋体" w:cs="宋体" w:hint="eastAsia"/>
                <w:b/>
                <w:bCs/>
                <w:szCs w:val="21"/>
              </w:rPr>
              <w:t>详细配置</w:t>
            </w:r>
          </w:p>
        </w:tc>
      </w:tr>
      <w:tr>
        <w:tblPrEx>
          <w:tblW w:w="4867" w:type="pct"/>
          <w:jc w:val="center"/>
          <w:tblLook w:val="04A0"/>
        </w:tblPrEx>
        <w:trPr>
          <w:trHeight w:val="288"/>
          <w:jc w:val="center"/>
        </w:trPr>
        <w:tc>
          <w:tcPr>
            <w:tcW w:w="1137" w:type="pct"/>
            <w:vMerge w:val="restart"/>
            <w:noWrap/>
            <w:vAlign w:val="center"/>
          </w:tcPr>
          <w:p w:rsidR="00800AF2">
            <w:pPr>
              <w:rPr>
                <w:rFonts w:ascii="宋体" w:eastAsia="宋体" w:hAnsi="宋体" w:cs="宋体" w:hint="eastAsia"/>
                <w:szCs w:val="21"/>
              </w:rPr>
            </w:pPr>
          </w:p>
          <w:p w:rsidR="00800AF2">
            <w:pPr>
              <w:jc w:val="center"/>
              <w:rPr>
                <w:rFonts w:ascii="宋体" w:eastAsia="宋体" w:hAnsi="宋体" w:cs="宋体" w:hint="eastAsia"/>
                <w:szCs w:val="21"/>
              </w:rPr>
            </w:pPr>
            <w:r>
              <w:rPr>
                <w:rFonts w:ascii="宋体" w:eastAsia="宋体" w:hAnsi="宋体" w:cs="宋体" w:hint="eastAsia"/>
                <w:szCs w:val="21"/>
              </w:rPr>
              <w:t>X波段相控阵雷达</w:t>
            </w:r>
          </w:p>
        </w:tc>
        <w:tc>
          <w:tcPr>
            <w:tcW w:w="1493" w:type="pct"/>
            <w:noWrap/>
            <w:vAlign w:val="center"/>
          </w:tcPr>
          <w:p w:rsidR="00800AF2">
            <w:pPr>
              <w:rPr>
                <w:rFonts w:ascii="宋体" w:eastAsia="宋体" w:hAnsi="宋体" w:cs="宋体" w:hint="eastAsia"/>
                <w:szCs w:val="21"/>
              </w:rPr>
            </w:pPr>
            <w:r>
              <w:rPr>
                <w:rFonts w:ascii="宋体" w:eastAsia="宋体" w:hAnsi="宋体" w:cs="宋体" w:hint="eastAsia"/>
                <w:szCs w:val="21"/>
              </w:rPr>
              <w:t>天馈分系统</w:t>
            </w:r>
          </w:p>
        </w:tc>
        <w:tc>
          <w:tcPr>
            <w:tcW w:w="499" w:type="pct"/>
            <w:noWrap/>
            <w:vAlign w:val="center"/>
          </w:tcPr>
          <w:p w:rsidR="00800AF2">
            <w:pPr>
              <w:ind w:left="0" w:hanging="63" w:leftChars="-30" w:hangingChars="30"/>
              <w:jc w:val="center"/>
              <w:rPr>
                <w:rFonts w:ascii="宋体" w:eastAsia="宋体" w:hAnsi="宋体" w:cs="宋体" w:hint="eastAsia"/>
                <w:szCs w:val="21"/>
              </w:rPr>
            </w:pPr>
            <w:r>
              <w:rPr>
                <w:rFonts w:ascii="宋体" w:eastAsia="宋体" w:hAnsi="宋体" w:cs="宋体" w:hint="eastAsia"/>
                <w:szCs w:val="21"/>
              </w:rPr>
              <w:t>套</w:t>
            </w:r>
          </w:p>
        </w:tc>
        <w:tc>
          <w:tcPr>
            <w:tcW w:w="432" w:type="pct"/>
            <w:vAlign w:val="center"/>
          </w:tcPr>
          <w:p w:rsidR="00800AF2">
            <w:pPr>
              <w:jc w:val="center"/>
              <w:rPr>
                <w:rFonts w:ascii="宋体" w:eastAsia="宋体" w:hAnsi="宋体" w:cs="宋体" w:hint="eastAsia"/>
                <w:szCs w:val="21"/>
              </w:rPr>
            </w:pPr>
            <w:r>
              <w:rPr>
                <w:rFonts w:ascii="宋体" w:eastAsia="宋体" w:hAnsi="宋体" w:cs="宋体" w:hint="eastAsia"/>
                <w:szCs w:val="21"/>
              </w:rPr>
              <w:t>1</w:t>
            </w:r>
          </w:p>
        </w:tc>
        <w:tc>
          <w:tcPr>
            <w:tcW w:w="1438" w:type="pct"/>
            <w:vAlign w:val="center"/>
          </w:tcPr>
          <w:p w:rsidR="00800AF2">
            <w:pPr>
              <w:rPr>
                <w:rFonts w:ascii="宋体" w:eastAsia="宋体" w:hAnsi="宋体" w:cs="宋体" w:hint="eastAsia"/>
                <w:szCs w:val="21"/>
              </w:rPr>
            </w:pPr>
            <w:r>
              <w:rPr>
                <w:rFonts w:ascii="宋体" w:eastAsia="宋体" w:hAnsi="宋体" w:cs="宋体" w:hint="eastAsia"/>
                <w:szCs w:val="21"/>
              </w:rPr>
              <w:t>平板天线罩</w:t>
            </w:r>
          </w:p>
          <w:p w:rsidR="00800AF2">
            <w:pPr>
              <w:rPr>
                <w:rFonts w:ascii="宋体" w:eastAsia="宋体" w:hAnsi="宋体" w:cs="宋体" w:hint="eastAsia"/>
                <w:szCs w:val="21"/>
              </w:rPr>
            </w:pPr>
            <w:r>
              <w:rPr>
                <w:rFonts w:ascii="宋体" w:eastAsia="宋体" w:hAnsi="宋体" w:cs="宋体" w:hint="eastAsia"/>
                <w:szCs w:val="21"/>
              </w:rPr>
              <w:t>双偏振天线阵面</w:t>
            </w:r>
          </w:p>
          <w:p w:rsidR="00800AF2">
            <w:pPr>
              <w:rPr>
                <w:rFonts w:ascii="宋体" w:eastAsia="宋体" w:hAnsi="宋体" w:cs="宋体" w:hint="eastAsia"/>
                <w:szCs w:val="21"/>
              </w:rPr>
            </w:pPr>
            <w:r>
              <w:rPr>
                <w:rFonts w:ascii="宋体" w:eastAsia="宋体" w:hAnsi="宋体" w:cs="宋体" w:hint="eastAsia"/>
                <w:szCs w:val="21"/>
              </w:rPr>
              <w:t>馈电网络</w:t>
            </w:r>
          </w:p>
          <w:p w:rsidR="00800AF2">
            <w:pPr>
              <w:rPr>
                <w:rFonts w:ascii="宋体" w:eastAsia="宋体" w:hAnsi="宋体" w:cs="宋体" w:hint="eastAsia"/>
                <w:szCs w:val="21"/>
              </w:rPr>
            </w:pPr>
            <w:r>
              <w:rPr>
                <w:rFonts w:ascii="宋体" w:eastAsia="宋体" w:hAnsi="宋体" w:cs="宋体" w:hint="eastAsia"/>
                <w:szCs w:val="21"/>
              </w:rPr>
              <w:t>校正网络</w:t>
            </w:r>
          </w:p>
          <w:p w:rsidR="00800AF2">
            <w:pPr>
              <w:rPr>
                <w:rFonts w:ascii="宋体" w:eastAsia="宋体" w:hAnsi="宋体" w:cs="宋体" w:hint="eastAsia"/>
                <w:szCs w:val="21"/>
              </w:rPr>
            </w:pPr>
            <w:r>
              <w:rPr>
                <w:rFonts w:ascii="宋体" w:eastAsia="宋体" w:hAnsi="宋体" w:cs="宋体" w:hint="eastAsia"/>
                <w:szCs w:val="21"/>
              </w:rPr>
              <w:t>冷却系统</w:t>
            </w:r>
          </w:p>
        </w:tc>
      </w:tr>
      <w:tr>
        <w:tblPrEx>
          <w:tblW w:w="4867" w:type="pct"/>
          <w:jc w:val="center"/>
          <w:tblLook w:val="04A0"/>
        </w:tblPrEx>
        <w:trPr>
          <w:trHeight w:val="552"/>
          <w:jc w:val="center"/>
        </w:trPr>
        <w:tc>
          <w:tcPr>
            <w:tcW w:w="1137" w:type="pct"/>
            <w:vMerge/>
            <w:noWrap/>
            <w:vAlign w:val="center"/>
          </w:tcPr>
          <w:p w:rsidR="00800AF2">
            <w:pPr>
              <w:rPr>
                <w:rFonts w:ascii="宋体" w:eastAsia="宋体" w:hAnsi="宋体" w:cs="宋体" w:hint="eastAsia"/>
                <w:szCs w:val="21"/>
              </w:rPr>
            </w:pPr>
          </w:p>
        </w:tc>
        <w:tc>
          <w:tcPr>
            <w:tcW w:w="1493" w:type="pct"/>
            <w:noWrap/>
            <w:vAlign w:val="center"/>
          </w:tcPr>
          <w:p w:rsidR="00800AF2">
            <w:pPr>
              <w:rPr>
                <w:rFonts w:ascii="宋体" w:eastAsia="宋体" w:hAnsi="宋体" w:cs="宋体" w:hint="eastAsia"/>
                <w:szCs w:val="21"/>
              </w:rPr>
            </w:pPr>
            <w:r>
              <w:rPr>
                <w:rFonts w:ascii="宋体" w:eastAsia="宋体" w:hAnsi="宋体" w:cs="宋体" w:hint="eastAsia"/>
                <w:szCs w:val="21"/>
              </w:rPr>
              <w:t>数字收发分系统</w:t>
            </w:r>
          </w:p>
        </w:tc>
        <w:tc>
          <w:tcPr>
            <w:tcW w:w="499" w:type="pct"/>
            <w:noWrap/>
            <w:vAlign w:val="center"/>
          </w:tcPr>
          <w:p w:rsidR="00800AF2">
            <w:pPr>
              <w:ind w:left="0" w:hanging="63" w:leftChars="-30" w:hangingChars="30"/>
              <w:jc w:val="center"/>
              <w:rPr>
                <w:rFonts w:ascii="宋体" w:eastAsia="宋体" w:hAnsi="宋体" w:cs="宋体" w:hint="eastAsia"/>
                <w:szCs w:val="21"/>
              </w:rPr>
            </w:pPr>
            <w:r>
              <w:rPr>
                <w:rFonts w:ascii="宋体" w:eastAsia="宋体" w:hAnsi="宋体" w:cs="宋体" w:hint="eastAsia"/>
                <w:szCs w:val="21"/>
              </w:rPr>
              <w:t>套</w:t>
            </w:r>
          </w:p>
        </w:tc>
        <w:tc>
          <w:tcPr>
            <w:tcW w:w="432" w:type="pct"/>
            <w:vAlign w:val="center"/>
          </w:tcPr>
          <w:p w:rsidR="00800AF2">
            <w:pPr>
              <w:jc w:val="center"/>
              <w:rPr>
                <w:rFonts w:ascii="宋体" w:eastAsia="宋体" w:hAnsi="宋体" w:cs="宋体" w:hint="eastAsia"/>
                <w:szCs w:val="21"/>
              </w:rPr>
            </w:pPr>
            <w:r>
              <w:rPr>
                <w:rFonts w:ascii="宋体" w:eastAsia="宋体" w:hAnsi="宋体" w:cs="宋体" w:hint="eastAsia"/>
                <w:szCs w:val="21"/>
              </w:rPr>
              <w:t>10</w:t>
            </w:r>
          </w:p>
        </w:tc>
        <w:tc>
          <w:tcPr>
            <w:tcW w:w="1438" w:type="pct"/>
            <w:vAlign w:val="center"/>
          </w:tcPr>
          <w:p w:rsidR="00800AF2">
            <w:pPr>
              <w:rPr>
                <w:rFonts w:ascii="宋体" w:eastAsia="宋体" w:hAnsi="宋体" w:cs="宋体" w:hint="eastAsia"/>
                <w:szCs w:val="21"/>
              </w:rPr>
            </w:pPr>
            <w:r>
              <w:rPr>
                <w:rFonts w:ascii="宋体" w:eastAsia="宋体" w:hAnsi="宋体" w:cs="宋体" w:hint="eastAsia"/>
                <w:szCs w:val="21"/>
              </w:rPr>
              <w:t>数字收发组件</w:t>
            </w:r>
          </w:p>
          <w:p w:rsidR="00800AF2">
            <w:pPr>
              <w:rPr>
                <w:rFonts w:ascii="宋体" w:eastAsia="宋体" w:hAnsi="宋体" w:cs="宋体" w:hint="eastAsia"/>
                <w:szCs w:val="21"/>
              </w:rPr>
            </w:pPr>
            <w:r>
              <w:rPr>
                <w:rFonts w:ascii="宋体" w:eastAsia="宋体" w:hAnsi="宋体" w:cs="宋体" w:hint="eastAsia"/>
                <w:szCs w:val="21"/>
              </w:rPr>
              <w:t>频率源模块</w:t>
            </w:r>
          </w:p>
        </w:tc>
      </w:tr>
      <w:tr>
        <w:tblPrEx>
          <w:tblW w:w="4867" w:type="pct"/>
          <w:jc w:val="center"/>
          <w:tblLook w:val="04A0"/>
        </w:tblPrEx>
        <w:trPr>
          <w:trHeight w:val="540"/>
          <w:jc w:val="center"/>
        </w:trPr>
        <w:tc>
          <w:tcPr>
            <w:tcW w:w="1137" w:type="pct"/>
            <w:vMerge/>
            <w:noWrap/>
            <w:vAlign w:val="center"/>
          </w:tcPr>
          <w:p w:rsidR="00800AF2">
            <w:pPr>
              <w:rPr>
                <w:rFonts w:ascii="宋体" w:eastAsia="宋体" w:hAnsi="宋体" w:cs="宋体" w:hint="eastAsia"/>
                <w:szCs w:val="21"/>
              </w:rPr>
            </w:pPr>
          </w:p>
        </w:tc>
        <w:tc>
          <w:tcPr>
            <w:tcW w:w="1493" w:type="pct"/>
            <w:noWrap/>
            <w:vAlign w:val="center"/>
          </w:tcPr>
          <w:p w:rsidR="00800AF2">
            <w:pPr>
              <w:rPr>
                <w:rFonts w:ascii="宋体" w:eastAsia="宋体" w:hAnsi="宋体" w:cs="宋体" w:hint="eastAsia"/>
                <w:szCs w:val="21"/>
              </w:rPr>
            </w:pPr>
            <w:r>
              <w:rPr>
                <w:rFonts w:ascii="宋体" w:eastAsia="宋体" w:hAnsi="宋体" w:cs="宋体" w:hint="eastAsia"/>
                <w:szCs w:val="21"/>
              </w:rPr>
              <w:t>波束形成分系统</w:t>
            </w:r>
          </w:p>
        </w:tc>
        <w:tc>
          <w:tcPr>
            <w:tcW w:w="499" w:type="pct"/>
            <w:noWrap/>
            <w:vAlign w:val="center"/>
          </w:tcPr>
          <w:p w:rsidR="00800AF2">
            <w:pPr>
              <w:ind w:left="0" w:hanging="63" w:leftChars="-30" w:hangingChars="30"/>
              <w:jc w:val="center"/>
              <w:rPr>
                <w:rFonts w:ascii="宋体" w:eastAsia="宋体" w:hAnsi="宋体" w:cs="宋体" w:hint="eastAsia"/>
                <w:szCs w:val="21"/>
              </w:rPr>
            </w:pPr>
            <w:r>
              <w:rPr>
                <w:rFonts w:ascii="宋体" w:eastAsia="宋体" w:hAnsi="宋体" w:cs="宋体" w:hint="eastAsia"/>
                <w:szCs w:val="21"/>
              </w:rPr>
              <w:t>套</w:t>
            </w:r>
          </w:p>
        </w:tc>
        <w:tc>
          <w:tcPr>
            <w:tcW w:w="432" w:type="pct"/>
            <w:vAlign w:val="center"/>
          </w:tcPr>
          <w:p w:rsidR="00800AF2">
            <w:pPr>
              <w:jc w:val="center"/>
              <w:rPr>
                <w:rFonts w:ascii="宋体" w:eastAsia="宋体" w:hAnsi="宋体" w:cs="宋体" w:hint="eastAsia"/>
                <w:szCs w:val="21"/>
              </w:rPr>
            </w:pPr>
            <w:r>
              <w:rPr>
                <w:rFonts w:ascii="宋体" w:eastAsia="宋体" w:hAnsi="宋体" w:cs="宋体" w:hint="eastAsia"/>
                <w:szCs w:val="21"/>
              </w:rPr>
              <w:t>1</w:t>
            </w:r>
          </w:p>
        </w:tc>
        <w:tc>
          <w:tcPr>
            <w:tcW w:w="1438" w:type="pct"/>
            <w:vAlign w:val="center"/>
          </w:tcPr>
          <w:p w:rsidR="00800AF2">
            <w:pPr>
              <w:ind w:firstLine="480"/>
              <w:rPr>
                <w:rFonts w:ascii="宋体" w:eastAsia="宋体" w:hAnsi="宋体" w:cs="宋体" w:hint="eastAsia"/>
                <w:szCs w:val="21"/>
              </w:rPr>
            </w:pPr>
          </w:p>
        </w:tc>
      </w:tr>
      <w:tr>
        <w:tblPrEx>
          <w:tblW w:w="4867" w:type="pct"/>
          <w:jc w:val="center"/>
          <w:tblLook w:val="04A0"/>
        </w:tblPrEx>
        <w:trPr>
          <w:trHeight w:val="288"/>
          <w:jc w:val="center"/>
        </w:trPr>
        <w:tc>
          <w:tcPr>
            <w:tcW w:w="1137" w:type="pct"/>
            <w:vMerge/>
            <w:noWrap/>
            <w:vAlign w:val="center"/>
          </w:tcPr>
          <w:p w:rsidR="00800AF2">
            <w:pPr>
              <w:rPr>
                <w:rFonts w:ascii="宋体" w:eastAsia="宋体" w:hAnsi="宋体" w:cs="宋体" w:hint="eastAsia"/>
                <w:szCs w:val="21"/>
              </w:rPr>
            </w:pPr>
          </w:p>
        </w:tc>
        <w:tc>
          <w:tcPr>
            <w:tcW w:w="1493" w:type="pct"/>
            <w:noWrap/>
            <w:vAlign w:val="center"/>
          </w:tcPr>
          <w:p w:rsidR="00800AF2">
            <w:pPr>
              <w:rPr>
                <w:rFonts w:ascii="宋体" w:eastAsia="宋体" w:hAnsi="宋体" w:cs="宋体" w:hint="eastAsia"/>
                <w:szCs w:val="21"/>
              </w:rPr>
            </w:pPr>
            <w:r>
              <w:rPr>
                <w:rFonts w:ascii="宋体" w:eastAsia="宋体" w:hAnsi="宋体" w:cs="宋体" w:hint="eastAsia"/>
                <w:szCs w:val="21"/>
              </w:rPr>
              <w:t>监控和标定分系统</w:t>
            </w:r>
          </w:p>
        </w:tc>
        <w:tc>
          <w:tcPr>
            <w:tcW w:w="499" w:type="pct"/>
            <w:noWrap/>
            <w:vAlign w:val="center"/>
          </w:tcPr>
          <w:p w:rsidR="00800AF2">
            <w:pPr>
              <w:ind w:left="0" w:hanging="63" w:leftChars="-30" w:hangingChars="30"/>
              <w:jc w:val="center"/>
              <w:rPr>
                <w:rFonts w:ascii="宋体" w:eastAsia="宋体" w:hAnsi="宋体" w:cs="宋体" w:hint="eastAsia"/>
                <w:szCs w:val="21"/>
              </w:rPr>
            </w:pPr>
            <w:r>
              <w:rPr>
                <w:rFonts w:ascii="宋体" w:eastAsia="宋体" w:hAnsi="宋体" w:cs="宋体" w:hint="eastAsia"/>
                <w:szCs w:val="21"/>
              </w:rPr>
              <w:t>套</w:t>
            </w:r>
          </w:p>
        </w:tc>
        <w:tc>
          <w:tcPr>
            <w:tcW w:w="432" w:type="pct"/>
            <w:vAlign w:val="center"/>
          </w:tcPr>
          <w:p w:rsidR="00800AF2">
            <w:pPr>
              <w:jc w:val="center"/>
              <w:rPr>
                <w:rFonts w:ascii="宋体" w:eastAsia="宋体" w:hAnsi="宋体" w:cs="宋体" w:hint="eastAsia"/>
                <w:szCs w:val="21"/>
              </w:rPr>
            </w:pPr>
            <w:r>
              <w:rPr>
                <w:rFonts w:ascii="宋体" w:eastAsia="宋体" w:hAnsi="宋体" w:cs="宋体" w:hint="eastAsia"/>
                <w:szCs w:val="21"/>
              </w:rPr>
              <w:t>1</w:t>
            </w:r>
          </w:p>
        </w:tc>
        <w:tc>
          <w:tcPr>
            <w:tcW w:w="1438" w:type="pct"/>
            <w:vAlign w:val="center"/>
          </w:tcPr>
          <w:p w:rsidR="00800AF2">
            <w:pPr>
              <w:rPr>
                <w:rFonts w:ascii="宋体" w:eastAsia="宋体" w:hAnsi="宋体" w:cs="宋体" w:hint="eastAsia"/>
                <w:szCs w:val="21"/>
              </w:rPr>
            </w:pPr>
            <w:r>
              <w:rPr>
                <w:rFonts w:ascii="宋体" w:eastAsia="宋体" w:hAnsi="宋体" w:cs="宋体" w:hint="eastAsia"/>
                <w:szCs w:val="21"/>
              </w:rPr>
              <w:t>标校模块</w:t>
            </w:r>
          </w:p>
          <w:p w:rsidR="00800AF2">
            <w:pPr>
              <w:rPr>
                <w:rFonts w:ascii="宋体" w:eastAsia="宋体" w:hAnsi="宋体" w:cs="宋体" w:hint="eastAsia"/>
                <w:szCs w:val="21"/>
              </w:rPr>
            </w:pPr>
            <w:r>
              <w:rPr>
                <w:rFonts w:ascii="宋体" w:eastAsia="宋体" w:hAnsi="宋体" w:cs="宋体" w:hint="eastAsia"/>
                <w:szCs w:val="21"/>
              </w:rPr>
              <w:t>天线标校网络</w:t>
            </w:r>
          </w:p>
          <w:p w:rsidR="00800AF2">
            <w:pPr>
              <w:rPr>
                <w:rFonts w:ascii="宋体" w:eastAsia="宋体" w:hAnsi="宋体" w:cs="宋体" w:hint="eastAsia"/>
                <w:szCs w:val="21"/>
              </w:rPr>
            </w:pPr>
            <w:r>
              <w:rPr>
                <w:rFonts w:ascii="宋体" w:eastAsia="宋体" w:hAnsi="宋体" w:cs="宋体" w:hint="eastAsia"/>
                <w:szCs w:val="21"/>
              </w:rPr>
              <w:t>标校软件</w:t>
            </w:r>
          </w:p>
        </w:tc>
      </w:tr>
      <w:tr>
        <w:tblPrEx>
          <w:tblW w:w="4867" w:type="pct"/>
          <w:jc w:val="center"/>
          <w:tblLook w:val="04A0"/>
        </w:tblPrEx>
        <w:trPr>
          <w:trHeight w:val="288"/>
          <w:jc w:val="center"/>
        </w:trPr>
        <w:tc>
          <w:tcPr>
            <w:tcW w:w="1137" w:type="pct"/>
            <w:vMerge/>
            <w:noWrap/>
            <w:vAlign w:val="center"/>
          </w:tcPr>
          <w:p w:rsidR="00800AF2">
            <w:pPr>
              <w:rPr>
                <w:rFonts w:ascii="宋体" w:eastAsia="宋体" w:hAnsi="宋体" w:cs="宋体" w:hint="eastAsia"/>
                <w:szCs w:val="21"/>
              </w:rPr>
            </w:pPr>
          </w:p>
        </w:tc>
        <w:tc>
          <w:tcPr>
            <w:tcW w:w="1493" w:type="pct"/>
            <w:noWrap/>
            <w:vAlign w:val="center"/>
          </w:tcPr>
          <w:p w:rsidR="00800AF2">
            <w:pPr>
              <w:rPr>
                <w:rFonts w:ascii="宋体" w:eastAsia="宋体" w:hAnsi="宋体" w:cs="宋体" w:hint="eastAsia"/>
                <w:szCs w:val="21"/>
              </w:rPr>
            </w:pPr>
            <w:r>
              <w:rPr>
                <w:rFonts w:ascii="宋体" w:eastAsia="宋体" w:hAnsi="宋体" w:cs="宋体" w:hint="eastAsia"/>
                <w:szCs w:val="21"/>
              </w:rPr>
              <w:t>伺服分系统</w:t>
            </w:r>
          </w:p>
        </w:tc>
        <w:tc>
          <w:tcPr>
            <w:tcW w:w="499" w:type="pct"/>
            <w:noWrap/>
            <w:vAlign w:val="center"/>
          </w:tcPr>
          <w:p w:rsidR="00800AF2">
            <w:pPr>
              <w:ind w:left="0" w:hanging="63" w:leftChars="-30" w:hangingChars="30"/>
              <w:jc w:val="center"/>
              <w:rPr>
                <w:rFonts w:ascii="宋体" w:eastAsia="宋体" w:hAnsi="宋体" w:cs="宋体" w:hint="eastAsia"/>
                <w:szCs w:val="21"/>
              </w:rPr>
            </w:pPr>
            <w:r>
              <w:rPr>
                <w:rFonts w:ascii="宋体" w:eastAsia="宋体" w:hAnsi="宋体" w:cs="宋体" w:hint="eastAsia"/>
                <w:szCs w:val="21"/>
              </w:rPr>
              <w:t>套</w:t>
            </w:r>
          </w:p>
        </w:tc>
        <w:tc>
          <w:tcPr>
            <w:tcW w:w="432" w:type="pct"/>
            <w:vAlign w:val="center"/>
          </w:tcPr>
          <w:p w:rsidR="00800AF2">
            <w:pPr>
              <w:jc w:val="center"/>
              <w:rPr>
                <w:rFonts w:ascii="宋体" w:eastAsia="宋体" w:hAnsi="宋体" w:cs="宋体" w:hint="eastAsia"/>
                <w:szCs w:val="21"/>
              </w:rPr>
            </w:pPr>
            <w:r>
              <w:rPr>
                <w:rFonts w:ascii="宋体" w:eastAsia="宋体" w:hAnsi="宋体" w:cs="宋体" w:hint="eastAsia"/>
                <w:szCs w:val="21"/>
              </w:rPr>
              <w:t>1</w:t>
            </w:r>
          </w:p>
        </w:tc>
        <w:tc>
          <w:tcPr>
            <w:tcW w:w="1438" w:type="pct"/>
            <w:vAlign w:val="center"/>
          </w:tcPr>
          <w:p w:rsidR="00800AF2">
            <w:pPr>
              <w:rPr>
                <w:rFonts w:ascii="宋体" w:eastAsia="宋体" w:hAnsi="宋体" w:cs="宋体" w:hint="eastAsia"/>
                <w:szCs w:val="21"/>
              </w:rPr>
            </w:pPr>
            <w:r>
              <w:rPr>
                <w:rFonts w:ascii="宋体" w:eastAsia="宋体" w:hAnsi="宋体" w:cs="宋体" w:hint="eastAsia"/>
                <w:szCs w:val="21"/>
              </w:rPr>
              <w:t>伺服控制组合</w:t>
            </w:r>
          </w:p>
          <w:p w:rsidR="00800AF2">
            <w:pPr>
              <w:rPr>
                <w:rFonts w:ascii="宋体" w:eastAsia="宋体" w:hAnsi="宋体" w:cs="宋体" w:hint="eastAsia"/>
                <w:szCs w:val="21"/>
              </w:rPr>
            </w:pPr>
            <w:r>
              <w:rPr>
                <w:rFonts w:ascii="宋体" w:eastAsia="宋体" w:hAnsi="宋体" w:cs="宋体" w:hint="eastAsia"/>
                <w:szCs w:val="21"/>
              </w:rPr>
              <w:t>天线座</w:t>
            </w:r>
          </w:p>
        </w:tc>
      </w:tr>
      <w:tr>
        <w:tblPrEx>
          <w:tblW w:w="4867" w:type="pct"/>
          <w:jc w:val="center"/>
          <w:tblLook w:val="04A0"/>
        </w:tblPrEx>
        <w:trPr>
          <w:trHeight w:val="288"/>
          <w:jc w:val="center"/>
        </w:trPr>
        <w:tc>
          <w:tcPr>
            <w:tcW w:w="1137" w:type="pct"/>
            <w:vMerge/>
            <w:noWrap/>
            <w:vAlign w:val="center"/>
          </w:tcPr>
          <w:p w:rsidR="00800AF2">
            <w:pPr>
              <w:rPr>
                <w:rFonts w:ascii="宋体" w:eastAsia="宋体" w:hAnsi="宋体" w:cs="宋体" w:hint="eastAsia"/>
                <w:szCs w:val="21"/>
              </w:rPr>
            </w:pPr>
          </w:p>
        </w:tc>
        <w:tc>
          <w:tcPr>
            <w:tcW w:w="1493" w:type="pct"/>
            <w:noWrap/>
            <w:vAlign w:val="center"/>
          </w:tcPr>
          <w:p w:rsidR="00800AF2">
            <w:pPr>
              <w:rPr>
                <w:rFonts w:ascii="宋体" w:eastAsia="宋体" w:hAnsi="宋体" w:cs="宋体" w:hint="eastAsia"/>
                <w:szCs w:val="21"/>
              </w:rPr>
            </w:pPr>
            <w:r>
              <w:rPr>
                <w:rFonts w:ascii="宋体" w:eastAsia="宋体" w:hAnsi="宋体" w:cs="宋体" w:hint="eastAsia"/>
                <w:szCs w:val="21"/>
              </w:rPr>
              <w:t>信号处理分系统</w:t>
            </w:r>
          </w:p>
        </w:tc>
        <w:tc>
          <w:tcPr>
            <w:tcW w:w="499" w:type="pct"/>
            <w:noWrap/>
            <w:vAlign w:val="center"/>
          </w:tcPr>
          <w:p w:rsidR="00800AF2">
            <w:pPr>
              <w:ind w:left="0" w:hanging="63" w:leftChars="-30" w:hangingChars="30"/>
              <w:jc w:val="center"/>
              <w:rPr>
                <w:rFonts w:ascii="宋体" w:eastAsia="宋体" w:hAnsi="宋体" w:cs="宋体" w:hint="eastAsia"/>
                <w:szCs w:val="21"/>
              </w:rPr>
            </w:pPr>
            <w:r>
              <w:rPr>
                <w:rFonts w:ascii="宋体" w:eastAsia="宋体" w:hAnsi="宋体" w:cs="宋体" w:hint="eastAsia"/>
                <w:szCs w:val="21"/>
              </w:rPr>
              <w:t>套</w:t>
            </w:r>
          </w:p>
        </w:tc>
        <w:tc>
          <w:tcPr>
            <w:tcW w:w="432" w:type="pct"/>
            <w:vAlign w:val="center"/>
          </w:tcPr>
          <w:p w:rsidR="00800AF2">
            <w:pPr>
              <w:jc w:val="center"/>
              <w:rPr>
                <w:rFonts w:ascii="宋体" w:eastAsia="宋体" w:hAnsi="宋体" w:cs="宋体" w:hint="eastAsia"/>
                <w:szCs w:val="21"/>
              </w:rPr>
            </w:pPr>
            <w:r>
              <w:rPr>
                <w:rFonts w:ascii="宋体" w:eastAsia="宋体" w:hAnsi="宋体" w:cs="宋体" w:hint="eastAsia"/>
                <w:szCs w:val="21"/>
              </w:rPr>
              <w:t>1</w:t>
            </w:r>
          </w:p>
        </w:tc>
        <w:tc>
          <w:tcPr>
            <w:tcW w:w="1438" w:type="pct"/>
            <w:vAlign w:val="center"/>
          </w:tcPr>
          <w:p w:rsidR="00800AF2">
            <w:pPr>
              <w:rPr>
                <w:rFonts w:ascii="宋体" w:eastAsia="宋体" w:hAnsi="宋体" w:cs="宋体" w:hint="eastAsia"/>
                <w:szCs w:val="21"/>
              </w:rPr>
            </w:pPr>
            <w:r>
              <w:rPr>
                <w:rFonts w:ascii="宋体" w:eastAsia="宋体" w:hAnsi="宋体" w:cs="宋体" w:hint="eastAsia"/>
                <w:szCs w:val="21"/>
              </w:rPr>
              <w:t>--</w:t>
            </w:r>
          </w:p>
        </w:tc>
      </w:tr>
      <w:tr>
        <w:tblPrEx>
          <w:tblW w:w="4867" w:type="pct"/>
          <w:jc w:val="center"/>
          <w:tblLook w:val="04A0"/>
        </w:tblPrEx>
        <w:trPr>
          <w:trHeight w:val="288"/>
          <w:jc w:val="center"/>
        </w:trPr>
        <w:tc>
          <w:tcPr>
            <w:tcW w:w="1137" w:type="pct"/>
            <w:vMerge/>
            <w:noWrap/>
            <w:vAlign w:val="center"/>
          </w:tcPr>
          <w:p w:rsidR="00800AF2">
            <w:pPr>
              <w:rPr>
                <w:rFonts w:ascii="宋体" w:eastAsia="宋体" w:hAnsi="宋体" w:cs="宋体" w:hint="eastAsia"/>
                <w:szCs w:val="21"/>
              </w:rPr>
            </w:pPr>
          </w:p>
        </w:tc>
        <w:tc>
          <w:tcPr>
            <w:tcW w:w="1493" w:type="pct"/>
            <w:noWrap/>
            <w:vAlign w:val="center"/>
          </w:tcPr>
          <w:p w:rsidR="00800AF2">
            <w:pPr>
              <w:rPr>
                <w:rFonts w:ascii="宋体" w:eastAsia="宋体" w:hAnsi="宋体" w:cs="宋体" w:hint="eastAsia"/>
                <w:szCs w:val="21"/>
              </w:rPr>
            </w:pPr>
            <w:r>
              <w:rPr>
                <w:rFonts w:ascii="宋体" w:eastAsia="宋体" w:hAnsi="宋体" w:cs="宋体" w:hint="eastAsia"/>
                <w:szCs w:val="21"/>
              </w:rPr>
              <w:t>终端分系统</w:t>
            </w:r>
          </w:p>
        </w:tc>
        <w:tc>
          <w:tcPr>
            <w:tcW w:w="499" w:type="pct"/>
            <w:noWrap/>
            <w:vAlign w:val="center"/>
          </w:tcPr>
          <w:p w:rsidR="00800AF2">
            <w:pPr>
              <w:ind w:left="0" w:hanging="63" w:leftChars="-30" w:hangingChars="30"/>
              <w:jc w:val="center"/>
              <w:rPr>
                <w:rFonts w:ascii="宋体" w:eastAsia="宋体" w:hAnsi="宋体" w:cs="宋体" w:hint="eastAsia"/>
                <w:szCs w:val="21"/>
              </w:rPr>
            </w:pPr>
            <w:r>
              <w:rPr>
                <w:rFonts w:ascii="宋体" w:eastAsia="宋体" w:hAnsi="宋体" w:cs="宋体" w:hint="eastAsia"/>
                <w:szCs w:val="21"/>
              </w:rPr>
              <w:t>套</w:t>
            </w:r>
          </w:p>
        </w:tc>
        <w:tc>
          <w:tcPr>
            <w:tcW w:w="432" w:type="pct"/>
            <w:vAlign w:val="center"/>
          </w:tcPr>
          <w:p w:rsidR="00800AF2">
            <w:pPr>
              <w:jc w:val="center"/>
              <w:rPr>
                <w:rFonts w:ascii="宋体" w:eastAsia="宋体" w:hAnsi="宋体" w:cs="宋体" w:hint="eastAsia"/>
                <w:szCs w:val="21"/>
              </w:rPr>
            </w:pPr>
            <w:r>
              <w:rPr>
                <w:rFonts w:ascii="宋体" w:eastAsia="宋体" w:hAnsi="宋体" w:cs="宋体" w:hint="eastAsia"/>
                <w:szCs w:val="21"/>
              </w:rPr>
              <w:t>1</w:t>
            </w:r>
          </w:p>
        </w:tc>
        <w:tc>
          <w:tcPr>
            <w:tcW w:w="1438" w:type="pct"/>
            <w:vAlign w:val="center"/>
          </w:tcPr>
          <w:p w:rsidR="00800AF2">
            <w:pPr>
              <w:rPr>
                <w:rFonts w:ascii="宋体" w:eastAsia="宋体" w:hAnsi="宋体" w:cs="宋体" w:hint="eastAsia"/>
                <w:szCs w:val="21"/>
              </w:rPr>
            </w:pPr>
            <w:r>
              <w:rPr>
                <w:rFonts w:ascii="宋体" w:eastAsia="宋体" w:hAnsi="宋体" w:cs="宋体" w:hint="eastAsia"/>
                <w:szCs w:val="21"/>
              </w:rPr>
              <w:t>--</w:t>
            </w:r>
          </w:p>
        </w:tc>
      </w:tr>
    </w:tbl>
    <w:p w:rsidR="00800AF2">
      <w:pPr>
        <w:spacing w:line="560" w:lineRule="exact"/>
        <w:ind w:firstLine="420" w:firstLineChars="200"/>
        <w:outlineLvl w:val="3"/>
        <w:rPr>
          <w:rFonts w:ascii="宋体" w:eastAsia="宋体" w:hAnsi="宋体" w:cs="宋体" w:hint="eastAsia"/>
          <w:bCs/>
          <w:color w:val="000000"/>
          <w:szCs w:val="21"/>
        </w:rPr>
      </w:pPr>
      <w:bookmarkStart w:id="67" w:name="_Toc30799"/>
      <w:r>
        <w:rPr>
          <w:rFonts w:ascii="宋体" w:eastAsia="宋体" w:hAnsi="宋体" w:cs="宋体" w:hint="eastAsia"/>
          <w:bCs/>
          <w:color w:val="000000"/>
          <w:szCs w:val="21"/>
        </w:rPr>
        <w:t>5.1.5.3 六要素气象站</w:t>
      </w:r>
      <w:bookmarkEnd w:id="67"/>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5.1.5.3.1功能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六要素气象站包含温湿度传感器、超声风传感器、气压传感器、雨感器、数据采集模块等，监测要素包括温度、相对湿度气压、风速、风向、降水量，提供秒级数据更新，具有功耗低、安装快捷、设置简单等特点。</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5.1.5.3.2结构</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六要素气象站是一种高度集成的移动气象监测设备，通常由多个模块组成，能够实时采集、处理和传输气象数据。主要包括：数据处理单元、传感器单元、数传单元、供电单元和系统支架及配套软件。其中传感器单元包括风速传感器、风向传感器、温度传感器、湿度传感器、气压传感器、雨量传感器、电子罗盘等，系统支架包括传感器支架和升降杆。</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5.1.5.3.3技术性能要求</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17</w:t>
      </w:r>
      <w:r>
        <w:rPr>
          <w:rFonts w:ascii="宋体" w:eastAsia="宋体" w:hAnsi="宋体" w:cs="宋体" w:hint="eastAsia"/>
          <w:szCs w:val="21"/>
        </w:rPr>
        <w:fldChar w:fldCharType="end"/>
      </w:r>
      <w:r>
        <w:rPr>
          <w:rFonts w:ascii="宋体" w:eastAsia="宋体" w:hAnsi="宋体" w:cs="宋体" w:hint="eastAsia"/>
          <w:bCs/>
          <w:color w:val="000000"/>
          <w:szCs w:val="21"/>
        </w:rPr>
        <w:t>六要素气象站技术参数表</w:t>
      </w:r>
    </w:p>
    <w:tbl>
      <w:tblPr>
        <w:tblStyle w:val="TableGrid"/>
        <w:tblW w:w="0" w:type="auto"/>
        <w:jc w:val="center"/>
        <w:tblInd w:w="0" w:type="dxa"/>
        <w:tblCellMar>
          <w:top w:w="0" w:type="dxa"/>
          <w:left w:w="108" w:type="dxa"/>
          <w:bottom w:w="0" w:type="dxa"/>
          <w:right w:w="108" w:type="dxa"/>
        </w:tblCellMar>
        <w:tblLook w:val="04A0"/>
      </w:tblPr>
      <w:tblGrid>
        <w:gridCol w:w="1214"/>
        <w:gridCol w:w="1351"/>
        <w:gridCol w:w="5831"/>
      </w:tblGrid>
      <w:tr>
        <w:tblPrEx>
          <w:tblW w:w="0" w:type="auto"/>
          <w:jc w:val="center"/>
          <w:tblInd w:w="0" w:type="dxa"/>
          <w:tblCellMar>
            <w:top w:w="0" w:type="dxa"/>
            <w:left w:w="108" w:type="dxa"/>
            <w:bottom w:w="0" w:type="dxa"/>
            <w:right w:w="108" w:type="dxa"/>
          </w:tblCellMar>
          <w:tblLook w:val="04A0"/>
        </w:tblPrEx>
        <w:trPr>
          <w:trHeight w:val="158"/>
          <w:jc w:val="center"/>
        </w:trPr>
        <w:tc>
          <w:tcPr>
            <w:tcW w:w="2565"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0" w:type="auto"/>
          <w:jc w:val="center"/>
          <w:tblInd w:w="0" w:type="dxa"/>
          <w:tblCellMar>
            <w:top w:w="0" w:type="dxa"/>
            <w:left w:w="108" w:type="dxa"/>
            <w:bottom w:w="0" w:type="dxa"/>
            <w:right w:w="108" w:type="dxa"/>
          </w:tblCellMar>
          <w:tblLook w:val="04A0"/>
        </w:tblPrEx>
        <w:trPr>
          <w:trHeight w:val="76"/>
          <w:jc w:val="center"/>
        </w:trPr>
        <w:tc>
          <w:tcPr>
            <w:tcW w:w="1214"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温度</w:t>
            </w: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测量范围</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-50℃～+60℃</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#分辨率</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0.1℃</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#准确度</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≤±0.5℃</w:t>
            </w:r>
          </w:p>
        </w:tc>
      </w:tr>
      <w:tr>
        <w:tblPrEx>
          <w:tblW w:w="0" w:type="auto"/>
          <w:jc w:val="center"/>
          <w:tblInd w:w="0" w:type="dxa"/>
          <w:tblCellMar>
            <w:top w:w="0" w:type="dxa"/>
            <w:left w:w="108" w:type="dxa"/>
            <w:bottom w:w="0" w:type="dxa"/>
            <w:right w:w="108" w:type="dxa"/>
          </w:tblCellMar>
          <w:tblLook w:val="04A0"/>
        </w:tblPrEx>
        <w:trPr>
          <w:trHeight w:val="76"/>
          <w:jc w:val="center"/>
        </w:trPr>
        <w:tc>
          <w:tcPr>
            <w:tcW w:w="1214"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湿度</w:t>
            </w: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测量范围</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0％RH～100％RH</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#分辨率</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0.1％RH</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#准确度</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≤±5％RH</w:t>
            </w:r>
          </w:p>
        </w:tc>
      </w:tr>
      <w:tr>
        <w:tblPrEx>
          <w:tblW w:w="0" w:type="auto"/>
          <w:jc w:val="center"/>
          <w:tblInd w:w="0" w:type="dxa"/>
          <w:tblCellMar>
            <w:top w:w="0" w:type="dxa"/>
            <w:left w:w="108" w:type="dxa"/>
            <w:bottom w:w="0" w:type="dxa"/>
            <w:right w:w="108" w:type="dxa"/>
          </w:tblCellMar>
          <w:tblLook w:val="04A0"/>
        </w:tblPrEx>
        <w:trPr>
          <w:trHeight w:val="76"/>
          <w:jc w:val="center"/>
        </w:trPr>
        <w:tc>
          <w:tcPr>
            <w:tcW w:w="1214"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风向</w:t>
            </w: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#测量范围</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0°～360°</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#分辨率</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#准确度</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w:t>
            </w:r>
          </w:p>
        </w:tc>
      </w:tr>
      <w:tr>
        <w:tblPrEx>
          <w:tblW w:w="0" w:type="auto"/>
          <w:jc w:val="center"/>
          <w:tblInd w:w="0" w:type="dxa"/>
          <w:tblCellMar>
            <w:top w:w="0" w:type="dxa"/>
            <w:left w:w="108" w:type="dxa"/>
            <w:bottom w:w="0" w:type="dxa"/>
            <w:right w:w="108" w:type="dxa"/>
          </w:tblCellMar>
          <w:tblLook w:val="04A0"/>
        </w:tblPrEx>
        <w:trPr>
          <w:trHeight w:val="76"/>
          <w:jc w:val="center"/>
        </w:trPr>
        <w:tc>
          <w:tcPr>
            <w:tcW w:w="1214"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风速</w:t>
            </w: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测量范围</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0m/s～60m/s</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分辨率</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0.1m/s</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准确度</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±1m/s(≤10m/s),±10%（＞10m/s）</w:t>
            </w:r>
          </w:p>
        </w:tc>
      </w:tr>
      <w:tr>
        <w:tblPrEx>
          <w:tblW w:w="0" w:type="auto"/>
          <w:jc w:val="center"/>
          <w:tblInd w:w="0" w:type="dxa"/>
          <w:tblCellMar>
            <w:top w:w="0" w:type="dxa"/>
            <w:left w:w="108" w:type="dxa"/>
            <w:bottom w:w="0" w:type="dxa"/>
            <w:right w:w="108" w:type="dxa"/>
          </w:tblCellMar>
          <w:tblLook w:val="04A0"/>
        </w:tblPrEx>
        <w:trPr>
          <w:trHeight w:val="76"/>
          <w:jc w:val="center"/>
        </w:trPr>
        <w:tc>
          <w:tcPr>
            <w:tcW w:w="1214"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气压</w:t>
            </w: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测量范围</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450hPa～1100hPa</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分辨率</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0.1hPa</w:t>
            </w:r>
          </w:p>
        </w:tc>
      </w:tr>
      <w:tr>
        <w:tblPrEx>
          <w:tblW w:w="0" w:type="auto"/>
          <w:jc w:val="center"/>
          <w:tblInd w:w="0" w:type="dxa"/>
          <w:tblCellMar>
            <w:top w:w="0" w:type="dxa"/>
            <w:left w:w="108" w:type="dxa"/>
            <w:bottom w:w="0" w:type="dxa"/>
            <w:right w:w="108" w:type="dxa"/>
          </w:tblCellMar>
          <w:tblLook w:val="04A0"/>
        </w:tblPrEx>
        <w:trPr>
          <w:trHeight w:val="7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准确度</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≤±0.5hPa</w:t>
            </w:r>
          </w:p>
        </w:tc>
      </w:tr>
      <w:tr>
        <w:tblPrEx>
          <w:tblW w:w="0" w:type="auto"/>
          <w:jc w:val="center"/>
          <w:tblInd w:w="0" w:type="dxa"/>
          <w:tblCellMar>
            <w:top w:w="0" w:type="dxa"/>
            <w:left w:w="108" w:type="dxa"/>
            <w:bottom w:w="0" w:type="dxa"/>
            <w:right w:w="108" w:type="dxa"/>
          </w:tblCellMar>
          <w:tblLook w:val="04A0"/>
        </w:tblPrEx>
        <w:trPr>
          <w:trHeight w:val="95"/>
          <w:jc w:val="center"/>
        </w:trPr>
        <w:tc>
          <w:tcPr>
            <w:tcW w:w="1214"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雨量</w:t>
            </w: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测量范围</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雨强0mm/min～4mm/min</w:t>
            </w:r>
          </w:p>
        </w:tc>
      </w:tr>
      <w:tr>
        <w:tblPrEx>
          <w:tblW w:w="0" w:type="auto"/>
          <w:jc w:val="center"/>
          <w:tblInd w:w="0" w:type="dxa"/>
          <w:tblCellMar>
            <w:top w:w="0" w:type="dxa"/>
            <w:left w:w="108" w:type="dxa"/>
            <w:bottom w:w="0" w:type="dxa"/>
            <w:right w:w="108" w:type="dxa"/>
          </w:tblCellMar>
          <w:tblLook w:val="04A0"/>
        </w:tblPrEx>
        <w:trPr>
          <w:trHeight w:val="9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分辨率</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0.1mm</w:t>
            </w:r>
          </w:p>
        </w:tc>
      </w:tr>
      <w:tr>
        <w:tblPrEx>
          <w:tblW w:w="0" w:type="auto"/>
          <w:jc w:val="center"/>
          <w:tblInd w:w="0" w:type="dxa"/>
          <w:tblCellMar>
            <w:top w:w="0" w:type="dxa"/>
            <w:left w:w="108" w:type="dxa"/>
            <w:bottom w:w="0" w:type="dxa"/>
            <w:right w:w="108" w:type="dxa"/>
          </w:tblCellMar>
          <w:tblLook w:val="04A0"/>
        </w:tblPrEx>
        <w:trPr>
          <w:trHeight w:val="95"/>
          <w:jc w:val="center"/>
        </w:trPr>
        <w:tc>
          <w:tcPr>
            <w:tcW w:w="1214" w:type="dxa"/>
            <w:vMerge/>
            <w:vAlign w:val="center"/>
          </w:tcPr>
          <w:p w:rsidR="00800AF2">
            <w:pPr>
              <w:spacing w:line="360" w:lineRule="auto"/>
              <w:rPr>
                <w:rFonts w:ascii="宋体" w:eastAsia="宋体" w:hAnsi="宋体" w:cs="宋体" w:hint="eastAsia"/>
                <w:szCs w:val="21"/>
              </w:rPr>
            </w:pPr>
          </w:p>
        </w:tc>
        <w:tc>
          <w:tcPr>
            <w:tcW w:w="135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准确度</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≤2mm(小时雨量)：±1mm(绝对误差)；＞2mm(小时雨量):±20%</w:t>
            </w:r>
          </w:p>
        </w:tc>
      </w:tr>
      <w:tr>
        <w:tblPrEx>
          <w:tblW w:w="0" w:type="auto"/>
          <w:jc w:val="center"/>
          <w:tblInd w:w="0" w:type="dxa"/>
          <w:tblCellMar>
            <w:top w:w="0" w:type="dxa"/>
            <w:left w:w="108" w:type="dxa"/>
            <w:bottom w:w="0" w:type="dxa"/>
            <w:right w:w="108" w:type="dxa"/>
          </w:tblCellMar>
          <w:tblLook w:val="04A0"/>
        </w:tblPrEx>
        <w:trPr>
          <w:jc w:val="center"/>
        </w:trPr>
        <w:tc>
          <w:tcPr>
            <w:tcW w:w="2565"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质保</w:t>
            </w:r>
          </w:p>
        </w:tc>
        <w:tc>
          <w:tcPr>
            <w:tcW w:w="5831"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≥8年</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5.1.5.3.4设备配置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包含温湿度传感器、超声风传感器、气压传感器、雨感器、数据采集模块等，监测要素包括温度、相对湿度、气压、风速、风向、降水量。</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5.1.5.3.5安装工艺和场地建设</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（1）选择安装位置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优先选择舱顶中央位置，确保传感器暴露在空气中，避免舱体本身对风速、风向测量的干扰。如果舱顶无法安装，可选择方舱侧面，但需确保传感器远离尾流区。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（2）安装支架固定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使用气象升降杆固定在舱顶或侧面，确保支架稳固、无晃动，安装时需使用防松螺丝，并涂抹防锈剂，避免长期使用后松动或生锈，并确保可以随意控制升降。</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（3）传感器安装</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风速风向传感器：安装在升降杆顶部，确保其水平且无遮挡。</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温湿度传感器：安装在通风良好的位置并固定在通风罩内，避免阳光直射等热源影响。</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（4）雨量传感器：水平安装在舱顶，确保其开口朝上，无遮挡。</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（5）气压传感器：固定在机箱内侧。</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（6）电源与通信线路连接</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将气象站的电源线接入方舱电源系统（DC12V），确保电压稳定。</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连接通信线路（RS485、RS232）至方舱数据处理单元。</w:t>
      </w:r>
    </w:p>
    <w:p w:rsidR="00800AF2">
      <w:pPr>
        <w:spacing w:line="560" w:lineRule="exact"/>
        <w:ind w:firstLine="420" w:firstLineChars="200"/>
        <w:outlineLvl w:val="3"/>
        <w:rPr>
          <w:rFonts w:ascii="宋体" w:eastAsia="宋体" w:hAnsi="宋体" w:cs="宋体" w:hint="eastAsia"/>
          <w:bCs/>
          <w:color w:val="000000"/>
          <w:szCs w:val="21"/>
        </w:rPr>
      </w:pPr>
      <w:bookmarkStart w:id="68" w:name="_Toc30219"/>
      <w:r>
        <w:rPr>
          <w:rFonts w:ascii="宋体" w:eastAsia="宋体" w:hAnsi="宋体" w:cs="宋体" w:hint="eastAsia"/>
          <w:bCs/>
          <w:color w:val="000000"/>
          <w:szCs w:val="21"/>
        </w:rPr>
        <w:t>5.1.5.4 激光云高仪</w:t>
      </w:r>
      <w:bookmarkEnd w:id="68"/>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5.1.5.4.1功能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激光云高仪包括温控系统、光学系统、信号处理单元、激光发射单元、激光接收单元，</w:t>
      </w:r>
      <w:r>
        <w:rPr>
          <w:rFonts w:ascii="宋体" w:eastAsia="宋体" w:hAnsi="宋体" w:cs="宋体" w:hint="eastAsia"/>
          <w:bCs/>
          <w:color w:val="000000"/>
          <w:szCs w:val="21"/>
        </w:rPr>
        <w:t>能够测量云底高、云厚、云层数量、垂直能见度等参数。具有自动加热吹风控制系统、窗口自动监测系统，安装方便、维护简单，可长期在野外应用，并可以自动探测云高。激光云高仪配有减震安装台，可有效避免载车平台运行振动对测量造成的影响。</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5.1.5.4.2结构</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激光云高仪主要由激光云高传感器、数集采集系统、供电系统、机箱和安装支架等组成。其中，激光云高传感器是系统核心部分，通过内置程序可以自动完成数据采集并将采集到的数据传输至数采器，数采器进行数据处理并可进行定时数据存储。其中激光云高传感器包括发射单元和接收单元以及数据处理单元。它具有自动加热吹风控制系统、窗口自动监测系统，安装方便、维护简单，可长期在野外应用，并可以自动探测云高。</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5.1.5.4.3技术性能要求</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18</w:t>
      </w:r>
      <w:r>
        <w:rPr>
          <w:rFonts w:ascii="宋体" w:eastAsia="宋体" w:hAnsi="宋体" w:cs="宋体" w:hint="eastAsia"/>
          <w:szCs w:val="21"/>
        </w:rPr>
        <w:fldChar w:fldCharType="end"/>
      </w:r>
      <w:r>
        <w:rPr>
          <w:rFonts w:ascii="宋体" w:eastAsia="宋体" w:hAnsi="宋体" w:cs="宋体" w:hint="eastAsia"/>
          <w:bCs/>
          <w:color w:val="000000"/>
          <w:szCs w:val="21"/>
        </w:rPr>
        <w:t>激光云高仪技术参数表</w:t>
      </w:r>
    </w:p>
    <w:tbl>
      <w:tblPr>
        <w:tblStyle w:val="TableGrid"/>
        <w:tblW w:w="0" w:type="auto"/>
        <w:jc w:val="center"/>
        <w:tblInd w:w="0" w:type="dxa"/>
        <w:tblCellMar>
          <w:top w:w="0" w:type="dxa"/>
          <w:left w:w="108" w:type="dxa"/>
          <w:bottom w:w="0" w:type="dxa"/>
          <w:right w:w="108" w:type="dxa"/>
        </w:tblCellMar>
        <w:tblLook w:val="04A0"/>
      </w:tblPr>
      <w:tblGrid>
        <w:gridCol w:w="820"/>
        <w:gridCol w:w="2238"/>
        <w:gridCol w:w="5338"/>
      </w:tblGrid>
      <w:tr>
        <w:tblPrEx>
          <w:tblW w:w="0" w:type="auto"/>
          <w:jc w:val="center"/>
          <w:tblInd w:w="0" w:type="dxa"/>
          <w:tblCellMar>
            <w:top w:w="0" w:type="dxa"/>
            <w:left w:w="108" w:type="dxa"/>
            <w:bottom w:w="0" w:type="dxa"/>
            <w:right w:w="108" w:type="dxa"/>
          </w:tblCellMar>
          <w:tblLook w:val="04A0"/>
        </w:tblPrEx>
        <w:trPr>
          <w:trHeight w:val="158"/>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0" w:type="auto"/>
          <w:jc w:val="center"/>
          <w:tblInd w:w="0" w:type="dxa"/>
          <w:tblCellMar>
            <w:top w:w="0" w:type="dxa"/>
            <w:left w:w="108" w:type="dxa"/>
            <w:bottom w:w="0" w:type="dxa"/>
            <w:right w:w="108" w:type="dxa"/>
          </w:tblCellMar>
          <w:tblLook w:val="04A0"/>
        </w:tblPrEx>
        <w:trPr>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测量范围</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5m～12km</w:t>
            </w:r>
          </w:p>
        </w:tc>
      </w:tr>
      <w:tr>
        <w:tblPrEx>
          <w:tblW w:w="0" w:type="auto"/>
          <w:jc w:val="center"/>
          <w:tblInd w:w="0" w:type="dxa"/>
          <w:tblCellMar>
            <w:top w:w="0" w:type="dxa"/>
            <w:left w:w="108" w:type="dxa"/>
            <w:bottom w:w="0" w:type="dxa"/>
            <w:right w:w="108" w:type="dxa"/>
          </w:tblCellMar>
          <w:tblLook w:val="04A0"/>
        </w:tblPrEx>
        <w:trPr>
          <w:trHeight w:val="113"/>
          <w:jc w:val="center"/>
        </w:trPr>
        <w:tc>
          <w:tcPr>
            <w:tcW w:w="820" w:type="dxa"/>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准确度</w:t>
            </w:r>
          </w:p>
        </w:tc>
        <w:tc>
          <w:tcPr>
            <w:tcW w:w="22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测量精度</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＜150m时，±15m，150～300m时，±10%，＞300m时±20%</w:t>
            </w:r>
          </w:p>
        </w:tc>
      </w:tr>
      <w:tr>
        <w:tblPrEx>
          <w:tblW w:w="0" w:type="auto"/>
          <w:jc w:val="center"/>
          <w:tblInd w:w="0" w:type="dxa"/>
          <w:tblCellMar>
            <w:top w:w="0" w:type="dxa"/>
            <w:left w:w="108" w:type="dxa"/>
            <w:bottom w:w="0" w:type="dxa"/>
            <w:right w:w="108" w:type="dxa"/>
          </w:tblCellMar>
          <w:tblLook w:val="04A0"/>
        </w:tblPrEx>
        <w:trPr>
          <w:trHeight w:val="113"/>
          <w:jc w:val="center"/>
        </w:trPr>
        <w:tc>
          <w:tcPr>
            <w:tcW w:w="820" w:type="dxa"/>
            <w:vMerge/>
            <w:vAlign w:val="center"/>
          </w:tcPr>
          <w:p w:rsidR="00800AF2">
            <w:pPr>
              <w:spacing w:line="360" w:lineRule="auto"/>
              <w:rPr>
                <w:rFonts w:ascii="宋体" w:eastAsia="宋体" w:hAnsi="宋体" w:cs="宋体" w:hint="eastAsia"/>
                <w:szCs w:val="21"/>
              </w:rPr>
            </w:pPr>
          </w:p>
        </w:tc>
        <w:tc>
          <w:tcPr>
            <w:tcW w:w="22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固体目标测量精度</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15m</w:t>
            </w:r>
          </w:p>
        </w:tc>
      </w:tr>
      <w:tr>
        <w:tblPrEx>
          <w:tblW w:w="0" w:type="auto"/>
          <w:jc w:val="center"/>
          <w:tblInd w:w="0" w:type="dxa"/>
          <w:tblCellMar>
            <w:top w:w="0" w:type="dxa"/>
            <w:left w:w="108" w:type="dxa"/>
            <w:bottom w:w="0" w:type="dxa"/>
            <w:right w:w="108" w:type="dxa"/>
          </w:tblCellMar>
          <w:tblLook w:val="04A0"/>
        </w:tblPrEx>
        <w:trPr>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测量周期</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30s</w:t>
            </w:r>
          </w:p>
        </w:tc>
      </w:tr>
      <w:tr>
        <w:tblPrEx>
          <w:tblW w:w="0" w:type="auto"/>
          <w:jc w:val="center"/>
          <w:tblInd w:w="0" w:type="dxa"/>
          <w:tblCellMar>
            <w:top w:w="0" w:type="dxa"/>
            <w:left w:w="108" w:type="dxa"/>
            <w:bottom w:w="0" w:type="dxa"/>
            <w:right w:w="108" w:type="dxa"/>
          </w:tblCellMar>
          <w:tblLook w:val="04A0"/>
        </w:tblPrEx>
        <w:trPr>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测云层数</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≥3层</w:t>
            </w:r>
          </w:p>
        </w:tc>
      </w:tr>
      <w:tr>
        <w:tblPrEx>
          <w:tblW w:w="0" w:type="auto"/>
          <w:jc w:val="center"/>
          <w:tblInd w:w="0" w:type="dxa"/>
          <w:tblCellMar>
            <w:top w:w="0" w:type="dxa"/>
            <w:left w:w="108" w:type="dxa"/>
            <w:bottom w:w="0" w:type="dxa"/>
            <w:right w:w="108" w:type="dxa"/>
          </w:tblCellMar>
          <w:tblLook w:val="04A0"/>
        </w:tblPrEx>
        <w:trPr>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分辨力</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5m</w:t>
            </w:r>
          </w:p>
        </w:tc>
      </w:tr>
      <w:tr>
        <w:tblPrEx>
          <w:tblW w:w="0" w:type="auto"/>
          <w:jc w:val="center"/>
          <w:tblInd w:w="0" w:type="dxa"/>
          <w:tblCellMar>
            <w:top w:w="0" w:type="dxa"/>
            <w:left w:w="108" w:type="dxa"/>
            <w:bottom w:w="0" w:type="dxa"/>
            <w:right w:w="108" w:type="dxa"/>
          </w:tblCellMar>
          <w:tblLook w:val="04A0"/>
        </w:tblPrEx>
        <w:trPr>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功耗</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≤10W（不加热时），≤100W（加热时）</w:t>
            </w:r>
          </w:p>
        </w:tc>
      </w:tr>
      <w:tr>
        <w:tblPrEx>
          <w:tblW w:w="0" w:type="auto"/>
          <w:jc w:val="center"/>
          <w:tblInd w:w="0" w:type="dxa"/>
          <w:tblCellMar>
            <w:top w:w="0" w:type="dxa"/>
            <w:left w:w="108" w:type="dxa"/>
            <w:bottom w:w="0" w:type="dxa"/>
            <w:right w:w="108" w:type="dxa"/>
          </w:tblCellMar>
          <w:tblLook w:val="04A0"/>
        </w:tblPrEx>
        <w:trPr>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重量</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≤20kg</w:t>
            </w:r>
          </w:p>
        </w:tc>
      </w:tr>
      <w:tr>
        <w:tblPrEx>
          <w:tblW w:w="0" w:type="auto"/>
          <w:jc w:val="center"/>
          <w:tblInd w:w="0" w:type="dxa"/>
          <w:tblCellMar>
            <w:top w:w="0" w:type="dxa"/>
            <w:left w:w="108" w:type="dxa"/>
            <w:bottom w:w="0" w:type="dxa"/>
            <w:right w:w="108" w:type="dxa"/>
          </w:tblCellMar>
          <w:tblLook w:val="04A0"/>
        </w:tblPrEx>
        <w:trPr>
          <w:trHeight w:val="226"/>
          <w:jc w:val="center"/>
        </w:trPr>
        <w:tc>
          <w:tcPr>
            <w:tcW w:w="3058" w:type="dxa"/>
            <w:gridSpan w:val="2"/>
            <w:vMerge w:val="restar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环境适应性</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防护等级：≥IP66</w:t>
            </w:r>
          </w:p>
        </w:tc>
      </w:tr>
      <w:tr>
        <w:tblPrEx>
          <w:tblW w:w="0" w:type="auto"/>
          <w:jc w:val="center"/>
          <w:tblInd w:w="0" w:type="dxa"/>
          <w:tblCellMar>
            <w:top w:w="0" w:type="dxa"/>
            <w:left w:w="108" w:type="dxa"/>
            <w:bottom w:w="0" w:type="dxa"/>
            <w:right w:w="108" w:type="dxa"/>
          </w:tblCellMar>
          <w:tblLook w:val="04A0"/>
        </w:tblPrEx>
        <w:trPr>
          <w:trHeight w:val="223"/>
          <w:jc w:val="center"/>
        </w:trPr>
        <w:tc>
          <w:tcPr>
            <w:tcW w:w="3058" w:type="dxa"/>
            <w:gridSpan w:val="2"/>
            <w:vMerge/>
            <w:vAlign w:val="center"/>
          </w:tcPr>
          <w:p w:rsidR="00800AF2">
            <w:pPr>
              <w:spacing w:line="360" w:lineRule="auto"/>
              <w:rPr>
                <w:rFonts w:ascii="宋体" w:eastAsia="宋体" w:hAnsi="宋体" w:cs="宋体" w:hint="eastAsia"/>
                <w:szCs w:val="21"/>
              </w:rPr>
            </w:pP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工作温度：-45～55℃</w:t>
            </w:r>
          </w:p>
        </w:tc>
      </w:tr>
      <w:tr>
        <w:tblPrEx>
          <w:tblW w:w="0" w:type="auto"/>
          <w:jc w:val="center"/>
          <w:tblInd w:w="0" w:type="dxa"/>
          <w:tblCellMar>
            <w:top w:w="0" w:type="dxa"/>
            <w:left w:w="108" w:type="dxa"/>
            <w:bottom w:w="0" w:type="dxa"/>
            <w:right w:w="108" w:type="dxa"/>
          </w:tblCellMar>
          <w:tblLook w:val="04A0"/>
        </w:tblPrEx>
        <w:trPr>
          <w:trHeight w:val="223"/>
          <w:jc w:val="center"/>
        </w:trPr>
        <w:tc>
          <w:tcPr>
            <w:tcW w:w="3058" w:type="dxa"/>
            <w:gridSpan w:val="2"/>
            <w:vMerge/>
            <w:vAlign w:val="center"/>
          </w:tcPr>
          <w:p w:rsidR="00800AF2">
            <w:pPr>
              <w:spacing w:line="360" w:lineRule="auto"/>
              <w:rPr>
                <w:rFonts w:ascii="宋体" w:eastAsia="宋体" w:hAnsi="宋体" w:cs="宋体" w:hint="eastAsia"/>
                <w:szCs w:val="21"/>
              </w:rPr>
            </w:pP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工作湿度：0～100%</w:t>
            </w:r>
          </w:p>
        </w:tc>
      </w:tr>
      <w:tr>
        <w:tblPrEx>
          <w:tblW w:w="0" w:type="auto"/>
          <w:jc w:val="center"/>
          <w:tblInd w:w="0" w:type="dxa"/>
          <w:tblCellMar>
            <w:top w:w="0" w:type="dxa"/>
            <w:left w:w="108" w:type="dxa"/>
            <w:bottom w:w="0" w:type="dxa"/>
            <w:right w:w="108" w:type="dxa"/>
          </w:tblCellMar>
          <w:tblLook w:val="04A0"/>
        </w:tblPrEx>
        <w:trPr>
          <w:trHeight w:val="223"/>
          <w:jc w:val="center"/>
        </w:trPr>
        <w:tc>
          <w:tcPr>
            <w:tcW w:w="3058" w:type="dxa"/>
            <w:gridSpan w:val="2"/>
            <w:vMerge/>
            <w:vAlign w:val="center"/>
          </w:tcPr>
          <w:p w:rsidR="00800AF2">
            <w:pPr>
              <w:spacing w:line="360" w:lineRule="auto"/>
              <w:rPr>
                <w:rFonts w:ascii="宋体" w:eastAsia="宋体" w:hAnsi="宋体" w:cs="宋体" w:hint="eastAsia"/>
                <w:szCs w:val="21"/>
              </w:rPr>
            </w:pP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贮存温度：-50～60℃</w:t>
            </w:r>
          </w:p>
        </w:tc>
      </w:tr>
      <w:tr>
        <w:tblPrEx>
          <w:tblW w:w="0" w:type="auto"/>
          <w:jc w:val="center"/>
          <w:tblInd w:w="0" w:type="dxa"/>
          <w:tblCellMar>
            <w:top w:w="0" w:type="dxa"/>
            <w:left w:w="108" w:type="dxa"/>
            <w:bottom w:w="0" w:type="dxa"/>
            <w:right w:w="108" w:type="dxa"/>
          </w:tblCellMar>
          <w:tblLook w:val="04A0"/>
        </w:tblPrEx>
        <w:trPr>
          <w:trHeight w:val="223"/>
          <w:jc w:val="center"/>
        </w:trPr>
        <w:tc>
          <w:tcPr>
            <w:tcW w:w="3058" w:type="dxa"/>
            <w:gridSpan w:val="2"/>
            <w:vMerge/>
            <w:vAlign w:val="center"/>
          </w:tcPr>
          <w:p w:rsidR="00800AF2">
            <w:pPr>
              <w:spacing w:line="360" w:lineRule="auto"/>
              <w:rPr>
                <w:rFonts w:ascii="宋体" w:eastAsia="宋体" w:hAnsi="宋体" w:cs="宋体" w:hint="eastAsia"/>
                <w:szCs w:val="21"/>
              </w:rPr>
            </w:pP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贮存湿度：0～100%</w:t>
            </w:r>
          </w:p>
        </w:tc>
      </w:tr>
      <w:tr>
        <w:tblPrEx>
          <w:tblW w:w="0" w:type="auto"/>
          <w:jc w:val="center"/>
          <w:tblInd w:w="0" w:type="dxa"/>
          <w:tblCellMar>
            <w:top w:w="0" w:type="dxa"/>
            <w:left w:w="108" w:type="dxa"/>
            <w:bottom w:w="0" w:type="dxa"/>
            <w:right w:w="108" w:type="dxa"/>
          </w:tblCellMar>
          <w:tblLook w:val="04A0"/>
        </w:tblPrEx>
        <w:trPr>
          <w:trHeight w:val="491"/>
          <w:jc w:val="center"/>
        </w:trPr>
        <w:tc>
          <w:tcPr>
            <w:tcW w:w="3058" w:type="dxa"/>
            <w:gridSpan w:val="2"/>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质保</w:t>
            </w:r>
          </w:p>
        </w:tc>
        <w:tc>
          <w:tcPr>
            <w:tcW w:w="5338"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≥8年</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5.1.5.4.4设备配置</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19</w:t>
      </w:r>
      <w:r>
        <w:rPr>
          <w:rFonts w:ascii="宋体" w:eastAsia="宋体" w:hAnsi="宋体" w:cs="宋体" w:hint="eastAsia"/>
          <w:szCs w:val="21"/>
        </w:rPr>
        <w:fldChar w:fldCharType="end"/>
      </w:r>
      <w:r>
        <w:rPr>
          <w:rFonts w:ascii="宋体" w:eastAsia="宋体" w:hAnsi="宋体" w:cs="宋体" w:hint="eastAsia"/>
          <w:bCs/>
          <w:color w:val="000000"/>
          <w:szCs w:val="21"/>
        </w:rPr>
        <w:t>激光云高仪设备配置表</w:t>
      </w:r>
    </w:p>
    <w:tbl>
      <w:tblPr>
        <w:tblStyle w:val="TableNormal"/>
        <w:tblW w:w="4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3"/>
        <w:gridCol w:w="5249"/>
      </w:tblGrid>
      <w:tr>
        <w:tblPrEx>
          <w:tblW w:w="4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49"/>
          <w:jc w:val="center"/>
        </w:trPr>
        <w:tc>
          <w:tcPr>
            <w:tcW w:w="1831" w:type="pct"/>
            <w:noWrap/>
            <w:vAlign w:val="center"/>
          </w:tcPr>
          <w:p w:rsidR="00800AF2">
            <w:pPr>
              <w:jc w:val="center"/>
              <w:rPr>
                <w:rFonts w:ascii="宋体" w:eastAsia="宋体" w:hAnsi="宋体" w:cs="宋体" w:hint="eastAsia"/>
                <w:b/>
                <w:bCs/>
                <w:szCs w:val="21"/>
              </w:rPr>
            </w:pPr>
            <w:r>
              <w:rPr>
                <w:rFonts w:ascii="宋体" w:eastAsia="宋体" w:hAnsi="宋体" w:cs="宋体" w:hint="eastAsia"/>
                <w:b/>
                <w:bCs/>
                <w:szCs w:val="21"/>
              </w:rPr>
              <w:t>名称</w:t>
            </w:r>
          </w:p>
        </w:tc>
        <w:tc>
          <w:tcPr>
            <w:tcW w:w="3168" w:type="pct"/>
            <w:noWrap/>
            <w:vAlign w:val="center"/>
          </w:tcPr>
          <w:p w:rsidR="00800AF2">
            <w:pPr>
              <w:jc w:val="center"/>
              <w:rPr>
                <w:rFonts w:ascii="宋体" w:eastAsia="宋体" w:hAnsi="宋体" w:cs="宋体" w:hint="eastAsia"/>
                <w:b/>
                <w:bCs/>
                <w:szCs w:val="21"/>
              </w:rPr>
            </w:pPr>
            <w:r>
              <w:rPr>
                <w:rFonts w:ascii="宋体" w:eastAsia="宋体" w:hAnsi="宋体" w:cs="宋体" w:hint="eastAsia"/>
                <w:b/>
                <w:bCs/>
                <w:szCs w:val="21"/>
              </w:rPr>
              <w:t>详细配置</w:t>
            </w:r>
          </w:p>
        </w:tc>
      </w:tr>
      <w:tr>
        <w:tblPrEx>
          <w:tblW w:w="4859" w:type="pct"/>
          <w:jc w:val="center"/>
          <w:tblLook w:val="04A0"/>
        </w:tblPrEx>
        <w:trPr>
          <w:trHeight w:val="288"/>
          <w:jc w:val="center"/>
        </w:trPr>
        <w:tc>
          <w:tcPr>
            <w:tcW w:w="1831" w:type="pct"/>
            <w:vMerge w:val="restart"/>
            <w:noWrap/>
            <w:vAlign w:val="center"/>
          </w:tcPr>
          <w:p w:rsidR="00800AF2">
            <w:pPr>
              <w:rPr>
                <w:rFonts w:ascii="宋体" w:eastAsia="宋体" w:hAnsi="宋体" w:cs="宋体" w:hint="eastAsia"/>
                <w:szCs w:val="21"/>
              </w:rPr>
            </w:pPr>
          </w:p>
          <w:p w:rsidR="00800AF2">
            <w:pPr>
              <w:jc w:val="center"/>
              <w:rPr>
                <w:rFonts w:ascii="宋体" w:eastAsia="宋体" w:hAnsi="宋体" w:cs="宋体" w:hint="eastAsia"/>
                <w:szCs w:val="21"/>
              </w:rPr>
            </w:pPr>
            <w:r>
              <w:rPr>
                <w:rFonts w:ascii="宋体" w:eastAsia="宋体" w:hAnsi="宋体" w:cs="宋体" w:hint="eastAsia"/>
                <w:szCs w:val="21"/>
              </w:rPr>
              <w:t>激光云高仪</w:t>
            </w: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内部加热器</w:t>
            </w:r>
          </w:p>
        </w:tc>
      </w:tr>
      <w:tr>
        <w:tblPrEx>
          <w:tblW w:w="4859" w:type="pct"/>
          <w:jc w:val="center"/>
          <w:tblLook w:val="04A0"/>
        </w:tblPrEx>
        <w:trPr>
          <w:trHeight w:val="552"/>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激光接收器</w:t>
            </w:r>
          </w:p>
        </w:tc>
      </w:tr>
      <w:tr>
        <w:tblPrEx>
          <w:tblW w:w="4859" w:type="pct"/>
          <w:jc w:val="center"/>
          <w:tblLook w:val="04A0"/>
        </w:tblPrEx>
        <w:trPr>
          <w:trHeight w:val="540"/>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光纤</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接收电缆</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主电源开关電</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处理主板</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数据连接电缆</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光学单元</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发射单元电缆</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交流电源线</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激光发射单元</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防间断蓄电池</w:t>
            </w:r>
          </w:p>
        </w:tc>
      </w:tr>
      <w:tr>
        <w:tblPrEx>
          <w:tblW w:w="4859" w:type="pct"/>
          <w:jc w:val="center"/>
          <w:tblLook w:val="04A0"/>
        </w:tblPrEx>
        <w:trPr>
          <w:trHeight w:val="288"/>
          <w:jc w:val="center"/>
        </w:trPr>
        <w:tc>
          <w:tcPr>
            <w:tcW w:w="1831" w:type="pct"/>
            <w:vMerge/>
            <w:noWrap/>
            <w:vAlign w:val="center"/>
          </w:tcPr>
          <w:p w:rsidR="00800AF2">
            <w:pPr>
              <w:rPr>
                <w:rFonts w:ascii="宋体" w:eastAsia="宋体" w:hAnsi="宋体" w:cs="宋体" w:hint="eastAsia"/>
                <w:szCs w:val="21"/>
              </w:rPr>
            </w:pPr>
          </w:p>
        </w:tc>
        <w:tc>
          <w:tcPr>
            <w:tcW w:w="3168" w:type="pct"/>
            <w:vAlign w:val="center"/>
          </w:tcPr>
          <w:p w:rsidR="00800AF2">
            <w:pPr>
              <w:jc w:val="center"/>
              <w:rPr>
                <w:rFonts w:ascii="宋体" w:eastAsia="宋体" w:hAnsi="宋体" w:cs="宋体" w:hint="eastAsia"/>
                <w:szCs w:val="21"/>
              </w:rPr>
            </w:pPr>
            <w:r>
              <w:rPr>
                <w:rFonts w:ascii="宋体" w:eastAsia="宋体" w:hAnsi="宋体" w:cs="宋体" w:hint="eastAsia"/>
                <w:szCs w:val="21"/>
              </w:rPr>
              <w:t>风扇开关</w:t>
            </w:r>
          </w:p>
        </w:tc>
      </w:tr>
    </w:tbl>
    <w:p w:rsidR="00800AF2">
      <w:pPr>
        <w:spacing w:line="560" w:lineRule="exact"/>
        <w:ind w:firstLine="420" w:firstLineChars="200"/>
        <w:outlineLvl w:val="3"/>
        <w:rPr>
          <w:rFonts w:ascii="宋体" w:eastAsia="宋体" w:hAnsi="宋体" w:cs="宋体" w:hint="eastAsia"/>
          <w:bCs/>
          <w:color w:val="000000"/>
          <w:szCs w:val="21"/>
        </w:rPr>
      </w:pPr>
      <w:bookmarkStart w:id="69" w:name="_Toc8604"/>
      <w:r>
        <w:rPr>
          <w:rFonts w:ascii="宋体" w:eastAsia="宋体" w:hAnsi="宋体" w:cs="宋体" w:hint="eastAsia"/>
          <w:bCs/>
          <w:color w:val="000000"/>
          <w:szCs w:val="21"/>
        </w:rPr>
        <w:t>5.1.5.5 毫米波测云雷达</w:t>
      </w:r>
      <w:bookmarkEnd w:id="69"/>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5.1.5.5.1功能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扫描型云雷达采用全固态脉冲多普勒双发双收偏振体制，支持单发双收偏振工作模式。云雷达具有机内标定功能，并可根据标定结果对探测数据进行修正以保证其准确性。具有扩展通信模块接口，通过扩展模块可实现设备状态信息的收集处理，满足状态信息的高速和低时延加密传输，并且可以进行双向通信和远程控制。</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扫描型云雷达的天线分系统、馈线分系统、收发分系统、供电分系统通过支撑件与伺服转台分系统连接，伺服转台分系统与安装立柱连接固定，实现俯仰-2~182°、方位0~360°立体观测。</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扫描型云雷达除伺服转台分系统和远程电源控制器安装位置以外，其余接口和布线均应当保持一致。各分系统尺寸误差控制在±5%以内。</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（1）云雷达系统结构布局的设计在保证可达性的条件下，确定最小可更换单元（LRU），采用更换最小可更换单元的方法进行维修。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（2）云雷达系统的各模块与组件还应设置必要的工作状态指示，便于维修时检测。</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（3）云雷达各模块、组件的装配采用插拔式结构，应具有良好的可达性，采用简单的通用工具即可进行维修操作。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（4）云雷达系统中凡是需要维护或修理的部件均应设置观察窗口或检测点。</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（5）云雷达各分机和组件应充分贯彻标准化、通用化、模块化设计原则，结合机内测试装置（BITE），保证系统的高可靠性工作。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（6）云雷达使用的元器件，无论在模拟还是数字电路中，优先选用集成电路进行设计；特别是数字电路，采用大规模和超大规模集成电路。在通用元器件选用上，应选用高可靠性产品。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（7）云雷达各分系统具有体积小、重量轻、工作安全以及效率高等优点。</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（8）云雷达各分系统的设计中，按照电磁兼容性设计标准要求进行，严格区分模拟地，数字地，以及安全地的接线关系，采取有效的电磁屏蔽措施。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（9）根据云雷达偏振体制进行数据处理和质量控制，生成基数据产品和物理量产品。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5.1.5.5.2结构</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云雷达主要由天线分系统、馈线分系统、收发分系统、伺服转台分系统、供电分系统、数据处理控制分系统和安装立柱等组成。硬件结构设计应综合考虑环境适应性、电磁兼容性和可维修性等要求。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5.1.5.5.3技术性能要求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5.1.5.5.3.1总体技术性能要求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具体指标见下表。</w:t>
      </w:r>
    </w:p>
    <w:p w:rsidR="00800AF2">
      <w:pPr>
        <w:jc w:val="center"/>
        <w:rPr>
          <w:rFonts w:ascii="宋体" w:eastAsia="宋体" w:hAnsi="宋体" w:cs="宋体" w:hint="eastAsia"/>
          <w:szCs w:val="21"/>
        </w:rPr>
      </w:pP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20</w:t>
      </w:r>
      <w:r>
        <w:rPr>
          <w:rFonts w:ascii="宋体" w:eastAsia="宋体" w:hAnsi="宋体" w:cs="宋体" w:hint="eastAsia"/>
          <w:szCs w:val="21"/>
        </w:rPr>
        <w:fldChar w:fldCharType="end"/>
      </w:r>
      <w:r>
        <w:rPr>
          <w:rFonts w:ascii="宋体" w:eastAsia="宋体" w:hAnsi="宋体" w:cs="宋体" w:hint="eastAsia"/>
          <w:bCs/>
          <w:color w:val="000000"/>
          <w:szCs w:val="21"/>
        </w:rPr>
        <w:t>总体技术指标表</w:t>
      </w:r>
    </w:p>
    <w:tbl>
      <w:tblPr>
        <w:tblStyle w:val="TableNormal0"/>
        <w:tblW w:w="859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7"/>
        <w:gridCol w:w="1979"/>
        <w:gridCol w:w="1561"/>
        <w:gridCol w:w="5037"/>
        <w:gridCol w:w="7"/>
      </w:tblGrid>
      <w:tr>
        <w:tblPrEx>
          <w:tblW w:w="859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gridAfter w:val="1"/>
          <w:wAfter w:w="7" w:type="dxa"/>
          <w:trHeight w:val="242"/>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591" w:type="dxa"/>
          <w:tblInd w:w="2" w:type="dxa"/>
          <w:tblLayout w:type="fixed"/>
          <w:tblLook w:val="04A0"/>
        </w:tblPrEx>
        <w:trPr>
          <w:gridAfter w:val="1"/>
          <w:wAfter w:w="7" w:type="dxa"/>
          <w:trHeight w:val="240"/>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偏振类型</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双发双收线偏振（支持单发双收线偏振）</w:t>
            </w:r>
          </w:p>
        </w:tc>
      </w:tr>
      <w:tr>
        <w:tblPrEx>
          <w:tblW w:w="8591" w:type="dxa"/>
          <w:tblInd w:w="2" w:type="dxa"/>
          <w:tblLayout w:type="fixed"/>
          <w:tblLook w:val="04A0"/>
        </w:tblPrEx>
        <w:trPr>
          <w:gridAfter w:val="1"/>
          <w:wAfter w:w="7" w:type="dxa"/>
          <w:trHeight w:val="240"/>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发射机形式</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全固态</w:t>
            </w:r>
          </w:p>
        </w:tc>
      </w:tr>
      <w:tr>
        <w:tblPrEx>
          <w:tblW w:w="8591" w:type="dxa"/>
          <w:tblInd w:w="2" w:type="dxa"/>
          <w:tblLayout w:type="fixed"/>
          <w:tblLook w:val="04A0"/>
        </w:tblPrEx>
        <w:trPr>
          <w:gridAfter w:val="1"/>
          <w:wAfter w:w="7" w:type="dxa"/>
          <w:trHeight w:val="237"/>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工作频率</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34.5GHz～35.5GHz 范围频点可选，带宽≤200MHz</w:t>
            </w:r>
          </w:p>
        </w:tc>
      </w:tr>
      <w:tr>
        <w:tblPrEx>
          <w:tblW w:w="8591" w:type="dxa"/>
          <w:tblInd w:w="2" w:type="dxa"/>
          <w:tblLayout w:type="fixed"/>
          <w:tblLook w:val="04A0"/>
        </w:tblPrEx>
        <w:trPr>
          <w:gridAfter w:val="1"/>
          <w:wAfter w:w="7" w:type="dxa"/>
          <w:trHeight w:val="237"/>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整机寿命</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≥8年</w:t>
            </w:r>
          </w:p>
        </w:tc>
      </w:tr>
      <w:tr>
        <w:tblPrEx>
          <w:tblW w:w="8591" w:type="dxa"/>
          <w:tblInd w:w="2" w:type="dxa"/>
          <w:tblLayout w:type="fixed"/>
          <w:tblLook w:val="04A0"/>
        </w:tblPrEx>
        <w:trPr>
          <w:gridAfter w:val="1"/>
          <w:wAfter w:w="7" w:type="dxa"/>
          <w:trHeight w:val="242"/>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探测距离范围</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警戒≥20km，定量≥15km</w:t>
            </w:r>
          </w:p>
        </w:tc>
      </w:tr>
      <w:tr>
        <w:tblPrEx>
          <w:tblW w:w="8591" w:type="dxa"/>
          <w:tblInd w:w="2" w:type="dxa"/>
          <w:tblLayout w:type="fixed"/>
          <w:tblLook w:val="04A0"/>
        </w:tblPrEx>
        <w:trPr>
          <w:gridAfter w:val="1"/>
          <w:wAfter w:w="7" w:type="dxa"/>
          <w:trHeight w:val="237"/>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近距离盲区范围</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≤150m</w:t>
            </w:r>
          </w:p>
        </w:tc>
      </w:tr>
      <w:tr>
        <w:tblPrEx>
          <w:tblW w:w="8591" w:type="dxa"/>
          <w:tblInd w:w="2" w:type="dxa"/>
          <w:tblLayout w:type="fixed"/>
          <w:tblLook w:val="04A0"/>
        </w:tblPrEx>
        <w:trPr>
          <w:gridAfter w:val="1"/>
          <w:wAfter w:w="7" w:type="dxa"/>
          <w:trHeight w:val="237"/>
        </w:trPr>
        <w:tc>
          <w:tcPr>
            <w:tcW w:w="1986" w:type="dxa"/>
            <w:gridSpan w:val="2"/>
            <w:vMerge w:val="restart"/>
            <w:tcBorders>
              <w:bottom w:val="nil"/>
            </w:tcBorders>
          </w:tcPr>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r>
              <w:rPr>
                <w:rFonts w:ascii="宋体" w:eastAsia="宋体" w:hAnsi="宋体" w:cs="宋体" w:hint="eastAsia"/>
                <w:szCs w:val="21"/>
              </w:rPr>
              <w:t>基数据产品测量范围</w:t>
            </w: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反射率因子</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-45dBZ～+35dBZ</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径向速度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-17m/s～+17m/s</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速度谱宽</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0m/s～8m/s</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差分反射率因子</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-8dB～+8dB</w:t>
            </w:r>
          </w:p>
        </w:tc>
      </w:tr>
      <w:tr>
        <w:tblPrEx>
          <w:tblW w:w="8591" w:type="dxa"/>
          <w:tblInd w:w="2" w:type="dxa"/>
          <w:tblLayout w:type="fixed"/>
          <w:tblLook w:val="04A0"/>
        </w:tblPrEx>
        <w:trPr>
          <w:gridAfter w:val="1"/>
          <w:wAfter w:w="7" w:type="dxa"/>
          <w:trHeight w:val="238"/>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差分传播相移</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-180°~+180 °</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差分传播相移率</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-10 °/km～+10 °/km</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退偏振比</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-30dB～0dB（单发双收工作模式）</w:t>
            </w:r>
          </w:p>
        </w:tc>
      </w:tr>
      <w:tr>
        <w:tblPrEx>
          <w:tblW w:w="8591" w:type="dxa"/>
          <w:tblInd w:w="2" w:type="dxa"/>
          <w:tblLayout w:type="fixed"/>
          <w:tblLook w:val="04A0"/>
        </w:tblPrEx>
        <w:trPr>
          <w:gridAfter w:val="1"/>
          <w:wAfter w:w="7" w:type="dxa"/>
          <w:trHeight w:val="237"/>
        </w:trPr>
        <w:tc>
          <w:tcPr>
            <w:tcW w:w="1986" w:type="dxa"/>
            <w:gridSpan w:val="2"/>
            <w:vMerge/>
            <w:tcBorders>
              <w:top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相关系数</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0～1</w:t>
            </w:r>
          </w:p>
        </w:tc>
      </w:tr>
      <w:tr>
        <w:tblPrEx>
          <w:tblW w:w="8591" w:type="dxa"/>
          <w:tblInd w:w="2" w:type="dxa"/>
          <w:tblLayout w:type="fixed"/>
          <w:tblLook w:val="04A0"/>
        </w:tblPrEx>
        <w:trPr>
          <w:gridAfter w:val="1"/>
          <w:wAfter w:w="7" w:type="dxa"/>
          <w:trHeight w:val="240"/>
        </w:trPr>
        <w:tc>
          <w:tcPr>
            <w:tcW w:w="1986" w:type="dxa"/>
            <w:gridSpan w:val="2"/>
            <w:vMerge w:val="restart"/>
            <w:tcBorders>
              <w:bottom w:val="nil"/>
            </w:tcBorders>
          </w:tcPr>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r>
              <w:rPr>
                <w:rFonts w:ascii="宋体" w:eastAsia="宋体" w:hAnsi="宋体" w:cs="宋体" w:hint="eastAsia"/>
                <w:szCs w:val="21"/>
              </w:rPr>
              <w:t>基数据产品分辨力</w:t>
            </w: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距离</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≤30m</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角度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≤0.4 °</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反射率因子</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≤0.1dBZ</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径向速度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≤0.1m/s</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速度谱宽</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≤0.1m/s</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差分反射率因子</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0.1dB</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差分传播相移</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1 °</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差分传播相移率</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0.1 °/km</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退偏振比</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0.1dB（单发双收工作模式）</w:t>
            </w:r>
          </w:p>
        </w:tc>
      </w:tr>
      <w:tr>
        <w:tblPrEx>
          <w:tblW w:w="8591" w:type="dxa"/>
          <w:tblInd w:w="2" w:type="dxa"/>
          <w:tblLayout w:type="fixed"/>
          <w:tblLook w:val="04A0"/>
        </w:tblPrEx>
        <w:trPr>
          <w:gridAfter w:val="1"/>
          <w:wAfter w:w="7" w:type="dxa"/>
          <w:trHeight w:val="240"/>
        </w:trPr>
        <w:tc>
          <w:tcPr>
            <w:tcW w:w="1986" w:type="dxa"/>
            <w:gridSpan w:val="2"/>
            <w:vMerge/>
            <w:tcBorders>
              <w:top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相关系数</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0.01</w:t>
            </w:r>
          </w:p>
        </w:tc>
      </w:tr>
      <w:tr>
        <w:tblPrEx>
          <w:tblW w:w="8591" w:type="dxa"/>
          <w:tblInd w:w="2" w:type="dxa"/>
          <w:tblLayout w:type="fixed"/>
          <w:tblLook w:val="04A0"/>
        </w:tblPrEx>
        <w:trPr>
          <w:gridAfter w:val="1"/>
          <w:wAfter w:w="7" w:type="dxa"/>
          <w:trHeight w:val="264"/>
        </w:trPr>
        <w:tc>
          <w:tcPr>
            <w:tcW w:w="1986" w:type="dxa"/>
            <w:gridSpan w:val="2"/>
            <w:vMerge w:val="restart"/>
            <w:tcBorders>
              <w:bottom w:val="nil"/>
            </w:tcBorders>
          </w:tcPr>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r>
              <w:rPr>
                <w:rFonts w:ascii="宋体" w:eastAsia="宋体" w:hAnsi="宋体" w:cs="宋体" w:hint="eastAsia"/>
                <w:szCs w:val="21"/>
              </w:rPr>
              <w:t>基数据产品测量精度</w:t>
            </w: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反射率因子</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±1dB</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径向速度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±0.5m/s</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速度谱宽</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±0.5m/s</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差分反射率因子</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±0.2dB</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差分传播相移</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±5 °</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差分传播相移率</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±0.2 °/km</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退偏振比</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±0.2dB（单发双收工作模式）</w:t>
            </w:r>
          </w:p>
        </w:tc>
      </w:tr>
      <w:tr>
        <w:tblPrEx>
          <w:tblW w:w="8591" w:type="dxa"/>
          <w:tblInd w:w="2" w:type="dxa"/>
          <w:tblLayout w:type="fixed"/>
          <w:tblLook w:val="04A0"/>
        </w:tblPrEx>
        <w:trPr>
          <w:gridAfter w:val="1"/>
          <w:wAfter w:w="7" w:type="dxa"/>
          <w:trHeight w:val="240"/>
        </w:trPr>
        <w:tc>
          <w:tcPr>
            <w:tcW w:w="1986" w:type="dxa"/>
            <w:gridSpan w:val="2"/>
            <w:vMerge/>
            <w:tcBorders>
              <w:top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相关系数</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±0.01</w:t>
            </w:r>
          </w:p>
        </w:tc>
      </w:tr>
      <w:tr>
        <w:tblPrEx>
          <w:tblW w:w="8591" w:type="dxa"/>
          <w:tblInd w:w="2" w:type="dxa"/>
          <w:tblLayout w:type="fixed"/>
          <w:tblLook w:val="04A0"/>
        </w:tblPrEx>
        <w:trPr>
          <w:gridAfter w:val="1"/>
          <w:wAfter w:w="7" w:type="dxa"/>
          <w:trHeight w:val="237"/>
        </w:trPr>
        <w:tc>
          <w:tcPr>
            <w:tcW w:w="1986" w:type="dxa"/>
            <w:gridSpan w:val="2"/>
            <w:vMerge w:val="restart"/>
            <w:tcBorders>
              <w:bottom w:val="nil"/>
            </w:tcBorders>
          </w:tcPr>
          <w:p w:rsidR="00800AF2">
            <w:pPr>
              <w:spacing w:line="360" w:lineRule="auto"/>
              <w:rPr>
                <w:rFonts w:ascii="宋体" w:eastAsia="宋体" w:hAnsi="宋体" w:cs="宋体" w:hint="eastAsia"/>
                <w:szCs w:val="21"/>
              </w:rPr>
            </w:pPr>
            <w:r>
              <w:rPr>
                <w:rFonts w:ascii="宋体" w:eastAsia="宋体" w:hAnsi="宋体" w:cs="宋体" w:hint="eastAsia"/>
                <w:szCs w:val="21"/>
              </w:rPr>
              <w:t>物理量产品测量精度</w:t>
            </w: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云底高度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云高＜1000m 时， ±100m；云高≥1000m 时， ±10%</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云顶高度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云高＜1000m 时， ±100m；云高≥1000m 时， ±10%</w:t>
            </w:r>
          </w:p>
        </w:tc>
      </w:tr>
      <w:tr>
        <w:tblPrEx>
          <w:tblW w:w="8591" w:type="dxa"/>
          <w:tblInd w:w="2" w:type="dxa"/>
          <w:tblLayout w:type="fixed"/>
          <w:tblLook w:val="04A0"/>
        </w:tblPrEx>
        <w:trPr>
          <w:gridAfter w:val="1"/>
          <w:wAfter w:w="7" w:type="dxa"/>
          <w:trHeight w:val="254"/>
        </w:trPr>
        <w:tc>
          <w:tcPr>
            <w:tcW w:w="1986" w:type="dxa"/>
            <w:gridSpan w:val="2"/>
            <w:vMerge/>
            <w:tcBorders>
              <w:top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云量（扫描型）</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±20%</w:t>
            </w:r>
          </w:p>
        </w:tc>
      </w:tr>
      <w:tr>
        <w:tblPrEx>
          <w:tblW w:w="8591" w:type="dxa"/>
          <w:tblInd w:w="2" w:type="dxa"/>
          <w:tblLayout w:type="fixed"/>
          <w:tblLook w:val="04A0"/>
        </w:tblPrEx>
        <w:trPr>
          <w:gridAfter w:val="1"/>
          <w:wAfter w:w="7" w:type="dxa"/>
          <w:trHeight w:val="473"/>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远距离可探测最小反射率因子（256 点 FFT 处理情况下）（不计大气衰减）</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≤-30dBZ@10km</w:t>
            </w:r>
          </w:p>
        </w:tc>
      </w:tr>
      <w:tr>
        <w:tblPrEx>
          <w:tblW w:w="8591" w:type="dxa"/>
          <w:tblInd w:w="2" w:type="dxa"/>
          <w:tblLayout w:type="fixed"/>
          <w:tblLook w:val="04A0"/>
        </w:tblPrEx>
        <w:trPr>
          <w:gridAfter w:val="1"/>
          <w:wAfter w:w="7" w:type="dxa"/>
          <w:trHeight w:val="237"/>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系统相位噪声</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≤0.4 °</w:t>
            </w:r>
          </w:p>
        </w:tc>
      </w:tr>
      <w:tr>
        <w:tblPrEx>
          <w:tblW w:w="8591" w:type="dxa"/>
          <w:tblInd w:w="2" w:type="dxa"/>
          <w:tblLayout w:type="fixed"/>
          <w:tblLook w:val="04A0"/>
        </w:tblPrEx>
        <w:trPr>
          <w:gridAfter w:val="1"/>
          <w:wAfter w:w="7" w:type="dxa"/>
          <w:trHeight w:val="240"/>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地物杂波抑制比</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≥42dB</w:t>
            </w:r>
          </w:p>
        </w:tc>
      </w:tr>
      <w:tr>
        <w:tblPrEx>
          <w:tblW w:w="8591" w:type="dxa"/>
          <w:tblInd w:w="2" w:type="dxa"/>
          <w:tblLayout w:type="fixed"/>
          <w:tblLook w:val="04A0"/>
        </w:tblPrEx>
        <w:trPr>
          <w:gridAfter w:val="1"/>
          <w:wAfter w:w="7" w:type="dxa"/>
          <w:trHeight w:val="237"/>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电源要求</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单相 AC220V±10%，50Hz±5%</w:t>
            </w:r>
          </w:p>
        </w:tc>
      </w:tr>
      <w:tr>
        <w:tblPrEx>
          <w:tblW w:w="8591" w:type="dxa"/>
          <w:tblInd w:w="2" w:type="dxa"/>
          <w:tblLayout w:type="fixed"/>
          <w:tblLook w:val="04A0"/>
        </w:tblPrEx>
        <w:trPr>
          <w:gridAfter w:val="1"/>
          <w:wAfter w:w="7" w:type="dxa"/>
          <w:trHeight w:val="237"/>
        </w:trPr>
        <w:tc>
          <w:tcPr>
            <w:tcW w:w="3547"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重量（标准配置，参考值）</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≤2000Kg（不包括天线罩）</w:t>
            </w:r>
          </w:p>
        </w:tc>
      </w:tr>
      <w:tr>
        <w:tblPrEx>
          <w:tblW w:w="8591" w:type="dxa"/>
          <w:tblInd w:w="2" w:type="dxa"/>
          <w:tblLayout w:type="fixed"/>
          <w:tblLook w:val="04A0"/>
        </w:tblPrEx>
        <w:trPr>
          <w:gridAfter w:val="1"/>
          <w:wAfter w:w="7" w:type="dxa"/>
          <w:trHeight w:val="240"/>
        </w:trPr>
        <w:tc>
          <w:tcPr>
            <w:tcW w:w="1986" w:type="dxa"/>
            <w:gridSpan w:val="2"/>
            <w:vMerge w:val="restart"/>
            <w:tcBorders>
              <w:bottom w:val="nil"/>
            </w:tcBorders>
          </w:tcPr>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r>
              <w:rPr>
                <w:rFonts w:ascii="宋体" w:eastAsia="宋体" w:hAnsi="宋体" w:cs="宋体" w:hint="eastAsia"/>
                <w:szCs w:val="21"/>
              </w:rPr>
              <w:t>环境要求</w:t>
            </w: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工作温度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室外装置：-40～+50℃,室内装置：0～+40℃</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贮存温度</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-50～+60℃</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最大湿度（+30℃)</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室外装置：≤95%，室内装置：≤90%</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抗阵风能力</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60m/s不损坏（球形天线罩），30m/s 不损坏（锥形天线罩）</w:t>
            </w:r>
          </w:p>
        </w:tc>
      </w:tr>
      <w:tr>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淋雨</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最大降水强度：6mm/min</w:t>
            </w:r>
          </w:p>
        </w:tc>
      </w:tr>
      <w:tr>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抗干扰</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抗电源干扰、电磁干扰、无线电频率干扰等</w:t>
            </w:r>
          </w:p>
        </w:tc>
      </w:tr>
      <w:tr>
        <w:tblPrEx>
          <w:tblW w:w="8591" w:type="dxa"/>
          <w:tblInd w:w="2" w:type="dxa"/>
          <w:tblLayout w:type="fixed"/>
          <w:tblLook w:val="04A0"/>
        </w:tblPrEx>
        <w:trPr>
          <w:gridAfter w:val="1"/>
          <w:wAfter w:w="7" w:type="dxa"/>
          <w:trHeight w:val="245"/>
        </w:trPr>
        <w:tc>
          <w:tcPr>
            <w:tcW w:w="1986" w:type="dxa"/>
            <w:gridSpan w:val="2"/>
            <w:vMerge/>
            <w:tcBorders>
              <w:top w:val="nil"/>
            </w:tcBorders>
          </w:tcPr>
          <w:p w:rsidR="00800AF2">
            <w:pPr>
              <w:spacing w:line="360" w:lineRule="auto"/>
              <w:rPr>
                <w:rFonts w:ascii="宋体" w:eastAsia="宋体" w:hAnsi="宋体" w:cs="宋体" w:hint="eastAsia"/>
                <w:szCs w:val="21"/>
              </w:rPr>
            </w:pPr>
          </w:p>
        </w:tc>
        <w:tc>
          <w:tcPr>
            <w:tcW w:w="1561" w:type="dxa"/>
          </w:tcPr>
          <w:p w:rsidR="00800AF2">
            <w:pPr>
              <w:spacing w:line="360" w:lineRule="auto"/>
              <w:rPr>
                <w:rFonts w:ascii="宋体" w:eastAsia="宋体" w:hAnsi="宋体" w:cs="宋体" w:hint="eastAsia"/>
                <w:szCs w:val="21"/>
              </w:rPr>
            </w:pPr>
            <w:r>
              <w:rPr>
                <w:rFonts w:ascii="宋体" w:eastAsia="宋体" w:hAnsi="宋体" w:cs="宋体" w:hint="eastAsia"/>
                <w:szCs w:val="21"/>
              </w:rPr>
              <w:t>其它</w:t>
            </w:r>
          </w:p>
        </w:tc>
        <w:tc>
          <w:tcPr>
            <w:tcW w:w="5037" w:type="dxa"/>
          </w:tcPr>
          <w:p w:rsidR="00800AF2">
            <w:pPr>
              <w:spacing w:line="360" w:lineRule="auto"/>
              <w:rPr>
                <w:rFonts w:ascii="宋体" w:eastAsia="宋体" w:hAnsi="宋体" w:cs="宋体" w:hint="eastAsia"/>
                <w:szCs w:val="21"/>
              </w:rPr>
            </w:pPr>
            <w:r>
              <w:rPr>
                <w:rFonts w:ascii="宋体" w:eastAsia="宋体" w:hAnsi="宋体" w:cs="宋体" w:hint="eastAsia"/>
                <w:szCs w:val="21"/>
              </w:rPr>
              <w:t>防水、防盐雾</w:t>
            </w:r>
          </w:p>
        </w:tc>
      </w:tr>
      <w:tr>
        <w:tblPrEx>
          <w:tblW w:w="8591" w:type="dxa"/>
          <w:tblInd w:w="2" w:type="dxa"/>
          <w:tblLayout w:type="fixed"/>
          <w:tblLook w:val="04A0"/>
        </w:tblPrEx>
        <w:trPr>
          <w:gridBefore w:val="1"/>
          <w:wBefore w:w="7" w:type="dxa"/>
          <w:trHeight w:val="242"/>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整机功耗（峰值）</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≤3kW</w:t>
            </w:r>
          </w:p>
        </w:tc>
      </w:tr>
      <w:tr>
        <w:tblPrEx>
          <w:tblW w:w="8591" w:type="dxa"/>
          <w:tblInd w:w="2" w:type="dxa"/>
          <w:tblLayout w:type="fixed"/>
          <w:tblLook w:val="04A0"/>
        </w:tblPrEx>
        <w:trPr>
          <w:gridBefore w:val="1"/>
          <w:wBefore w:w="7" w:type="dxa"/>
          <w:trHeight w:val="242"/>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使用寿命</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≥15年</w:t>
            </w:r>
          </w:p>
        </w:tc>
      </w:tr>
      <w:tr>
        <w:tblPrEx>
          <w:tblW w:w="8591" w:type="dxa"/>
          <w:tblInd w:w="2" w:type="dxa"/>
          <w:tblLayout w:type="fixed"/>
          <w:tblLook w:val="04A0"/>
        </w:tblPrEx>
        <w:trPr>
          <w:gridBefore w:val="1"/>
          <w:wBefore w:w="7" w:type="dxa"/>
          <w:trHeight w:val="240"/>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平均无故障时间（MTBF）</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≥2000h</w:t>
            </w:r>
          </w:p>
        </w:tc>
      </w:tr>
      <w:tr>
        <w:tblPrEx>
          <w:tblW w:w="8591" w:type="dxa"/>
          <w:tblInd w:w="2" w:type="dxa"/>
          <w:tblLayout w:type="fixed"/>
          <w:tblLook w:val="04A0"/>
        </w:tblPrEx>
        <w:trPr>
          <w:gridBefore w:val="1"/>
          <w:wBefore w:w="7" w:type="dxa"/>
          <w:trHeight w:val="237"/>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平均故障修复时间（MTTR）</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≤0.5h</w:t>
            </w:r>
          </w:p>
        </w:tc>
      </w:tr>
      <w:tr>
        <w:tblPrEx>
          <w:tblW w:w="8591" w:type="dxa"/>
          <w:tblInd w:w="2" w:type="dxa"/>
          <w:tblLayout w:type="fixed"/>
          <w:tblLook w:val="04A0"/>
        </w:tblPrEx>
        <w:trPr>
          <w:gridBefore w:val="1"/>
          <w:wBefore w:w="7" w:type="dxa"/>
          <w:trHeight w:val="240"/>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架设方式</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可固定架设也可移动式</w:t>
            </w:r>
          </w:p>
        </w:tc>
      </w:tr>
      <w:tr>
        <w:tblPrEx>
          <w:tblW w:w="8591" w:type="dxa"/>
          <w:tblInd w:w="2" w:type="dxa"/>
          <w:tblLayout w:type="fixed"/>
          <w:tblLook w:val="04A0"/>
        </w:tblPrEx>
        <w:trPr>
          <w:gridBefore w:val="1"/>
          <w:wBefore w:w="7" w:type="dxa"/>
          <w:trHeight w:val="237"/>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微波辐射安全性</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雷达微波漏能功率密度应符合 GJB5313-2004 的要求</w:t>
            </w:r>
          </w:p>
        </w:tc>
      </w:tr>
      <w:tr>
        <w:tblPrEx>
          <w:tblW w:w="8591" w:type="dxa"/>
          <w:tblInd w:w="2" w:type="dxa"/>
          <w:tblLayout w:type="fixed"/>
          <w:tblLook w:val="04A0"/>
        </w:tblPrEx>
        <w:trPr>
          <w:gridBefore w:val="1"/>
          <w:wBefore w:w="7" w:type="dxa"/>
          <w:trHeight w:val="472"/>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安全标识</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微波泄漏部位、机械转动部位、危险电压部位等应有清晰、醒 目的安全警示标记</w:t>
            </w:r>
          </w:p>
        </w:tc>
      </w:tr>
      <w:tr>
        <w:tblPrEx>
          <w:tblW w:w="8591" w:type="dxa"/>
          <w:tblInd w:w="2" w:type="dxa"/>
          <w:tblLayout w:type="fixed"/>
          <w:tblLook w:val="04A0"/>
        </w:tblPrEx>
        <w:trPr>
          <w:gridBefore w:val="1"/>
          <w:wBefore w:w="7" w:type="dxa"/>
          <w:trHeight w:val="472"/>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互换性</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雷达备份零件、部件、组件和功能单元均能在现场更换，无需 调整即可正常工作</w:t>
            </w:r>
          </w:p>
        </w:tc>
      </w:tr>
      <w:tr>
        <w:tblPrEx>
          <w:tblW w:w="8591" w:type="dxa"/>
          <w:tblInd w:w="2" w:type="dxa"/>
          <w:tblLayout w:type="fixed"/>
          <w:tblLook w:val="04A0"/>
        </w:tblPrEx>
        <w:trPr>
          <w:gridBefore w:val="1"/>
          <w:wBefore w:w="7" w:type="dxa"/>
          <w:trHeight w:val="705"/>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电磁兼容性</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雷达具有市电滤波和防电磁干扰的能力，设置静电屏蔽、电磁 屏蔽，模拟地线、数字地线和安全地线严格</w:t>
            </w:r>
            <w:r>
              <w:rPr>
                <w:rFonts w:ascii="宋体" w:eastAsia="宋体" w:hAnsi="宋体" w:cs="宋体" w:hint="eastAsia"/>
                <w:szCs w:val="21"/>
              </w:rPr>
              <w:t>分开，油机地线和 避雷地线要单独接地</w:t>
            </w:r>
          </w:p>
        </w:tc>
      </w:tr>
      <w:tr>
        <w:tblPrEx>
          <w:tblW w:w="8591" w:type="dxa"/>
          <w:tblInd w:w="2" w:type="dxa"/>
          <w:tblLayout w:type="fixed"/>
          <w:tblLook w:val="04A0"/>
        </w:tblPrEx>
        <w:trPr>
          <w:gridBefore w:val="1"/>
          <w:wBefore w:w="7" w:type="dxa"/>
          <w:trHeight w:val="470"/>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安全性</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雷达应有安全性设计，确保雷达按规定条件进行制造、安装、 运输、贮存、使用和维护时的人身安全和设备安全</w:t>
            </w:r>
          </w:p>
        </w:tc>
      </w:tr>
      <w:tr>
        <w:tblPrEx>
          <w:tblW w:w="8591" w:type="dxa"/>
          <w:tblInd w:w="2" w:type="dxa"/>
          <w:tblLayout w:type="fixed"/>
          <w:tblLook w:val="04A0"/>
        </w:tblPrEx>
        <w:trPr>
          <w:gridBefore w:val="1"/>
          <w:wBefore w:w="7" w:type="dxa"/>
          <w:trHeight w:val="472"/>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防雷要求</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接地电阻应不大于 4Ω,雷达电源线输入端应加装防雷滤波器， 室外电缆一律采用屏蔽电缆或光缆</w:t>
            </w:r>
          </w:p>
        </w:tc>
      </w:tr>
      <w:tr>
        <w:tblPrEx>
          <w:tblW w:w="8591" w:type="dxa"/>
          <w:tblInd w:w="2" w:type="dxa"/>
          <w:tblLayout w:type="fixed"/>
          <w:tblLook w:val="04A0"/>
        </w:tblPrEx>
        <w:trPr>
          <w:gridBefore w:val="1"/>
          <w:wBefore w:w="7" w:type="dxa"/>
          <w:trHeight w:val="237"/>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绝缘性</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雷达各初级电源与大地间绝缘电阻应大于 1MΩ</w:t>
            </w:r>
          </w:p>
        </w:tc>
      </w:tr>
      <w:tr>
        <w:tblPrEx>
          <w:tblW w:w="8591" w:type="dxa"/>
          <w:tblInd w:w="2" w:type="dxa"/>
          <w:tblLayout w:type="fixed"/>
          <w:tblLook w:val="04A0"/>
        </w:tblPrEx>
        <w:trPr>
          <w:gridBefore w:val="1"/>
          <w:wBefore w:w="7" w:type="dxa"/>
          <w:trHeight w:val="705"/>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外观质量</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雷达整体形象应协调一致，外表面应无凹痕、碰伤、裂痕和变 形等缺陷；镀涂层不起泡、龟裂和脱落；金属零件无锈蚀、毛 刺及其它机械损伤</w:t>
            </w:r>
          </w:p>
        </w:tc>
      </w:tr>
      <w:tr>
        <w:tblPrEx>
          <w:tblW w:w="8591" w:type="dxa"/>
          <w:tblInd w:w="2" w:type="dxa"/>
          <w:tblLayout w:type="fixed"/>
          <w:tblLook w:val="04A0"/>
        </w:tblPrEx>
        <w:trPr>
          <w:gridBefore w:val="1"/>
          <w:wBefore w:w="7" w:type="dxa"/>
          <w:trHeight w:val="1172"/>
        </w:trPr>
        <w:tc>
          <w:tcPr>
            <w:tcW w:w="3540" w:type="dxa"/>
            <w:gridSpan w:val="2"/>
          </w:tcPr>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r>
              <w:rPr>
                <w:rFonts w:ascii="宋体" w:eastAsia="宋体" w:hAnsi="宋体" w:cs="宋体" w:hint="eastAsia"/>
                <w:szCs w:val="21"/>
              </w:rPr>
              <w:t>标记与代号</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机箱、插件和线缆等应有统一的编号和标记，符合国家标准； 印制板、主要元器件等应在相应位置印有与电路图中项目代号 相符的标记；</w:t>
            </w:r>
          </w:p>
          <w:p w:rsidR="00800AF2">
            <w:pPr>
              <w:spacing w:line="360" w:lineRule="auto"/>
              <w:rPr>
                <w:rFonts w:ascii="宋体" w:eastAsia="宋体" w:hAnsi="宋体" w:cs="宋体" w:hint="eastAsia"/>
                <w:szCs w:val="21"/>
              </w:rPr>
            </w:pPr>
            <w:r>
              <w:rPr>
                <w:rFonts w:ascii="宋体" w:eastAsia="宋体" w:hAnsi="宋体" w:cs="宋体" w:hint="eastAsia"/>
                <w:szCs w:val="21"/>
              </w:rPr>
              <w:t>标记的文字、字母和符号应完整、规范、清晰和牢固，且便于 识读</w:t>
            </w:r>
          </w:p>
        </w:tc>
      </w:tr>
      <w:tr>
        <w:tblPrEx>
          <w:tblW w:w="8591" w:type="dxa"/>
          <w:tblInd w:w="2" w:type="dxa"/>
          <w:tblLayout w:type="fixed"/>
          <w:tblLook w:val="04A0"/>
        </w:tblPrEx>
        <w:trPr>
          <w:gridBefore w:val="1"/>
          <w:wBefore w:w="7" w:type="dxa"/>
          <w:trHeight w:val="242"/>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铭牌内容</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雷达的名称、型号（代号）；出厂编号；出厂年月；制造厂商标</w:t>
            </w:r>
          </w:p>
        </w:tc>
      </w:tr>
      <w:tr>
        <w:tblPrEx>
          <w:tblW w:w="8591" w:type="dxa"/>
          <w:tblInd w:w="2" w:type="dxa"/>
          <w:tblLayout w:type="fixed"/>
          <w:tblLook w:val="04A0"/>
        </w:tblPrEx>
        <w:trPr>
          <w:gridBefore w:val="1"/>
          <w:wBefore w:w="7" w:type="dxa"/>
          <w:trHeight w:val="242"/>
        </w:trPr>
        <w:tc>
          <w:tcPr>
            <w:tcW w:w="3540"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质保</w:t>
            </w:r>
          </w:p>
        </w:tc>
        <w:tc>
          <w:tcPr>
            <w:tcW w:w="5044"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 xml:space="preserve">≥8年 </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5.1.5.5.3.2天线分系统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天线分系统由卡塞格伦天线、馈源、馈线、馈线支架和天线罩等组成。用于辐射微波能量和接收目标后向散射微波功率。天线罩根据使用需求选用锥形天线罩或球形天线罩。其中，锥形天线罩需与天线尺寸相匹配。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21</w:t>
      </w:r>
      <w:r>
        <w:rPr>
          <w:rFonts w:ascii="宋体" w:eastAsia="宋体" w:hAnsi="宋体" w:cs="宋体" w:hint="eastAsia"/>
          <w:szCs w:val="21"/>
        </w:rPr>
        <w:fldChar w:fldCharType="end"/>
      </w:r>
      <w:r>
        <w:rPr>
          <w:rFonts w:ascii="宋体" w:eastAsia="宋体" w:hAnsi="宋体" w:cs="宋体" w:hint="eastAsia"/>
          <w:bCs/>
          <w:color w:val="000000"/>
          <w:szCs w:val="21"/>
        </w:rPr>
        <w:t>天线技术性能指标表</w:t>
      </w:r>
    </w:p>
    <w:tbl>
      <w:tblPr>
        <w:tblStyle w:val="TableNormal0"/>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792"/>
        <w:gridCol w:w="1784"/>
        <w:gridCol w:w="4984"/>
      </w:tblGrid>
      <w:tr>
        <w:tblPrEx>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90"/>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560" w:type="dxa"/>
          <w:tblInd w:w="21" w:type="dxa"/>
          <w:tblLayout w:type="fixed"/>
          <w:tblLook w:val="04A0"/>
        </w:tblPrEx>
        <w:trPr>
          <w:trHeight w:val="240"/>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天线形式</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卡塞格伦天线</w:t>
            </w:r>
          </w:p>
        </w:tc>
      </w:tr>
      <w:tr>
        <w:tblPrEx>
          <w:tblW w:w="8560" w:type="dxa"/>
          <w:tblInd w:w="21" w:type="dxa"/>
          <w:tblLayout w:type="fixed"/>
          <w:tblLook w:val="04A0"/>
        </w:tblPrEx>
        <w:trPr>
          <w:trHeight w:val="237"/>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频率</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34.5GHz～35.5GHz</w:t>
            </w:r>
          </w:p>
        </w:tc>
      </w:tr>
      <w:tr>
        <w:tblPrEx>
          <w:tblW w:w="8560" w:type="dxa"/>
          <w:tblInd w:w="21" w:type="dxa"/>
          <w:tblLayout w:type="fixed"/>
          <w:tblLook w:val="04A0"/>
        </w:tblPrEx>
        <w:trPr>
          <w:trHeight w:val="239"/>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极化方式</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线性水平、垂直极化</w:t>
            </w:r>
          </w:p>
        </w:tc>
      </w:tr>
      <w:tr>
        <w:tblPrEx>
          <w:tblW w:w="8560" w:type="dxa"/>
          <w:tblInd w:w="21" w:type="dxa"/>
          <w:tblLayout w:type="fixed"/>
          <w:tblLook w:val="04A0"/>
        </w:tblPrEx>
        <w:trPr>
          <w:trHeight w:val="259"/>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天线有效口径</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1.8m</w:t>
            </w:r>
          </w:p>
        </w:tc>
      </w:tr>
      <w:tr>
        <w:tblPrEx>
          <w:tblW w:w="8560" w:type="dxa"/>
          <w:tblInd w:w="21" w:type="dxa"/>
          <w:tblLayout w:type="fixed"/>
          <w:tblLook w:val="04A0"/>
        </w:tblPrEx>
        <w:trPr>
          <w:trHeight w:val="280"/>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水平波束宽度（3dB）</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≤0.4°</w:t>
            </w:r>
          </w:p>
        </w:tc>
      </w:tr>
      <w:tr>
        <w:tblPrEx>
          <w:tblW w:w="8560" w:type="dxa"/>
          <w:tblInd w:w="21" w:type="dxa"/>
          <w:tblLayout w:type="fixed"/>
          <w:tblLook w:val="04A0"/>
        </w:tblPrEx>
        <w:trPr>
          <w:trHeight w:val="237"/>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垂直波束宽度（3dB）</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≤0.4°</w:t>
            </w:r>
          </w:p>
        </w:tc>
      </w:tr>
      <w:tr>
        <w:tblPrEx>
          <w:tblW w:w="8560" w:type="dxa"/>
          <w:tblInd w:w="21" w:type="dxa"/>
          <w:tblLayout w:type="fixed"/>
          <w:tblLook w:val="04A0"/>
        </w:tblPrEx>
        <w:trPr>
          <w:trHeight w:val="239"/>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#3dB 波束宽度差</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≤0.05°</w:t>
            </w:r>
          </w:p>
        </w:tc>
      </w:tr>
      <w:tr>
        <w:tblPrEx>
          <w:tblW w:w="8560" w:type="dxa"/>
          <w:tblInd w:w="21" w:type="dxa"/>
          <w:tblLayout w:type="fixed"/>
          <w:tblLook w:val="04A0"/>
        </w:tblPrEx>
        <w:trPr>
          <w:trHeight w:val="237"/>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波束（电轴）指向方向差</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≤0.05°</w:t>
            </w:r>
          </w:p>
        </w:tc>
      </w:tr>
      <w:tr>
        <w:tblPrEx>
          <w:tblW w:w="8560" w:type="dxa"/>
          <w:tblInd w:w="21" w:type="dxa"/>
          <w:tblLayout w:type="fixed"/>
          <w:tblLook w:val="04A0"/>
        </w:tblPrEx>
        <w:trPr>
          <w:trHeight w:val="240"/>
        </w:trPr>
        <w:tc>
          <w:tcPr>
            <w:tcW w:w="1792" w:type="dxa"/>
            <w:vMerge w:val="restart"/>
            <w:tcBorders>
              <w:bottom w:val="nil"/>
            </w:tcBorders>
          </w:tcPr>
          <w:p w:rsidR="00800AF2">
            <w:pPr>
              <w:spacing w:line="360" w:lineRule="auto"/>
              <w:rPr>
                <w:rFonts w:ascii="宋体" w:eastAsia="宋体" w:hAnsi="宋体" w:cs="宋体" w:hint="eastAsia"/>
                <w:szCs w:val="21"/>
              </w:rPr>
            </w:pPr>
            <w:r>
              <w:rPr>
                <w:rFonts w:ascii="宋体" w:eastAsia="宋体" w:hAnsi="宋体" w:cs="宋体" w:hint="eastAsia"/>
                <w:szCs w:val="21"/>
              </w:rPr>
              <w:t>增益</w:t>
            </w:r>
          </w:p>
        </w:tc>
        <w:tc>
          <w:tcPr>
            <w:tcW w:w="1784"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≥52dB</w:t>
            </w:r>
          </w:p>
        </w:tc>
      </w:tr>
      <w:tr>
        <w:tblPrEx>
          <w:tblW w:w="8560" w:type="dxa"/>
          <w:tblInd w:w="21" w:type="dxa"/>
          <w:tblLayout w:type="fixed"/>
          <w:tblLook w:val="04A0"/>
        </w:tblPrEx>
        <w:trPr>
          <w:trHeight w:val="247"/>
        </w:trPr>
        <w:tc>
          <w:tcPr>
            <w:tcW w:w="1792" w:type="dxa"/>
            <w:vMerge/>
            <w:tcBorders>
              <w:top w:val="nil"/>
            </w:tcBorders>
          </w:tcPr>
          <w:p w:rsidR="00800AF2">
            <w:pPr>
              <w:spacing w:line="360" w:lineRule="auto"/>
              <w:rPr>
                <w:rFonts w:ascii="宋体" w:eastAsia="宋体" w:hAnsi="宋体" w:cs="宋体" w:hint="eastAsia"/>
                <w:szCs w:val="21"/>
              </w:rPr>
            </w:pPr>
          </w:p>
        </w:tc>
        <w:tc>
          <w:tcPr>
            <w:tcW w:w="1784"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≥52dB</w:t>
            </w:r>
          </w:p>
        </w:tc>
      </w:tr>
      <w:tr>
        <w:tblPrEx>
          <w:tblW w:w="8560" w:type="dxa"/>
          <w:tblInd w:w="21" w:type="dxa"/>
          <w:tblLayout w:type="fixed"/>
          <w:tblLook w:val="04A0"/>
        </w:tblPrEx>
        <w:trPr>
          <w:trHeight w:val="237"/>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天线增益差</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≤0.3dB</w:t>
            </w:r>
          </w:p>
        </w:tc>
      </w:tr>
      <w:tr>
        <w:tblPrEx>
          <w:tblW w:w="8560" w:type="dxa"/>
          <w:tblInd w:w="21" w:type="dxa"/>
          <w:tblLayout w:type="fixed"/>
          <w:tblLook w:val="04A0"/>
        </w:tblPrEx>
        <w:trPr>
          <w:trHeight w:val="237"/>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#第一副瓣电平</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≤-23dB</w:t>
            </w:r>
          </w:p>
        </w:tc>
      </w:tr>
      <w:tr>
        <w:tblPrEx>
          <w:tblW w:w="8560" w:type="dxa"/>
          <w:tblInd w:w="21" w:type="dxa"/>
          <w:tblLayout w:type="fixed"/>
          <w:tblLook w:val="04A0"/>
        </w:tblPrEx>
        <w:trPr>
          <w:trHeight w:val="240"/>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#远端副瓣电平(±10°以外）</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≤-40dB</w:t>
            </w:r>
          </w:p>
        </w:tc>
      </w:tr>
      <w:tr>
        <w:tblPrEx>
          <w:tblW w:w="8560" w:type="dxa"/>
          <w:tblInd w:w="21" w:type="dxa"/>
          <w:tblLayout w:type="fixed"/>
          <w:tblLook w:val="04A0"/>
        </w:tblPrEx>
        <w:trPr>
          <w:trHeight w:val="237"/>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交叉极化隔离度</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≥30dB</w:t>
            </w:r>
          </w:p>
        </w:tc>
      </w:tr>
      <w:tr>
        <w:tblPrEx>
          <w:tblW w:w="8560" w:type="dxa"/>
          <w:tblInd w:w="21" w:type="dxa"/>
          <w:tblLayout w:type="fixed"/>
          <w:tblLook w:val="04A0"/>
        </w:tblPrEx>
        <w:trPr>
          <w:trHeight w:val="239"/>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#驻波比</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≤1.5</w:t>
            </w:r>
          </w:p>
        </w:tc>
      </w:tr>
      <w:tr>
        <w:tblPrEx>
          <w:tblW w:w="8560" w:type="dxa"/>
          <w:tblInd w:w="21" w:type="dxa"/>
          <w:tblLayout w:type="fixed"/>
          <w:tblLook w:val="04A0"/>
        </w:tblPrEx>
        <w:trPr>
          <w:trHeight w:val="242"/>
        </w:trPr>
        <w:tc>
          <w:tcPr>
            <w:tcW w:w="3576"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天线罩双程损耗</w:t>
            </w:r>
          </w:p>
        </w:tc>
        <w:tc>
          <w:tcPr>
            <w:tcW w:w="4984" w:type="dxa"/>
          </w:tcPr>
          <w:p w:rsidR="00800AF2">
            <w:pPr>
              <w:spacing w:line="360" w:lineRule="auto"/>
              <w:rPr>
                <w:rFonts w:ascii="宋体" w:eastAsia="宋体" w:hAnsi="宋体" w:cs="宋体" w:hint="eastAsia"/>
                <w:szCs w:val="21"/>
              </w:rPr>
            </w:pPr>
            <w:r>
              <w:rPr>
                <w:rFonts w:ascii="宋体" w:eastAsia="宋体" w:hAnsi="宋体" w:cs="宋体" w:hint="eastAsia"/>
                <w:szCs w:val="21"/>
              </w:rPr>
              <w:t>≤2dB</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5.1.5.5.3.3馈线分系统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馈线分系统主要由波导组成。馈线分系统分为两路，一路为水平支路，另一路为垂直支路，用于传输分配发射和接收信号。具体指标见下表。</w:t>
      </w:r>
    </w:p>
    <w:p w:rsidR="00800AF2">
      <w:pPr>
        <w:jc w:val="center"/>
        <w:rPr>
          <w:rFonts w:ascii="宋体" w:eastAsia="宋体" w:hAnsi="宋体" w:cs="宋体" w:hint="eastAsia"/>
          <w:szCs w:val="21"/>
        </w:rPr>
      </w:pP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22</w:t>
      </w:r>
      <w:r>
        <w:rPr>
          <w:rFonts w:ascii="宋体" w:eastAsia="宋体" w:hAnsi="宋体" w:cs="宋体" w:hint="eastAsia"/>
          <w:szCs w:val="21"/>
        </w:rPr>
        <w:fldChar w:fldCharType="end"/>
      </w:r>
      <w:r>
        <w:rPr>
          <w:rFonts w:ascii="宋体" w:eastAsia="宋体" w:hAnsi="宋体" w:cs="宋体" w:hint="eastAsia"/>
          <w:bCs/>
          <w:color w:val="000000"/>
          <w:szCs w:val="21"/>
        </w:rPr>
        <w:t>馈线技术性能指标表</w:t>
      </w:r>
    </w:p>
    <w:tbl>
      <w:tblPr>
        <w:tblStyle w:val="TableNormal0"/>
        <w:tblW w:w="859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550"/>
        <w:gridCol w:w="5049"/>
      </w:tblGrid>
      <w:tr>
        <w:tblPrEx>
          <w:tblW w:w="859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39"/>
        </w:trPr>
        <w:tc>
          <w:tcPr>
            <w:tcW w:w="3550" w:type="dxa"/>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5049"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599" w:type="dxa"/>
          <w:tblInd w:w="2" w:type="dxa"/>
          <w:tblLayout w:type="fixed"/>
          <w:tblLook w:val="04A0"/>
        </w:tblPrEx>
        <w:trPr>
          <w:trHeight w:val="242"/>
        </w:trPr>
        <w:tc>
          <w:tcPr>
            <w:tcW w:w="3550"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水平/垂直支路系统损耗</w:t>
            </w:r>
          </w:p>
        </w:tc>
        <w:tc>
          <w:tcPr>
            <w:tcW w:w="5049" w:type="dxa"/>
          </w:tcPr>
          <w:p w:rsidR="00800AF2">
            <w:pPr>
              <w:spacing w:line="360" w:lineRule="auto"/>
              <w:rPr>
                <w:rFonts w:ascii="宋体" w:eastAsia="宋体" w:hAnsi="宋体" w:cs="宋体" w:hint="eastAsia"/>
                <w:szCs w:val="21"/>
              </w:rPr>
            </w:pPr>
            <w:r>
              <w:rPr>
                <w:rFonts w:ascii="宋体" w:eastAsia="宋体" w:hAnsi="宋体" w:cs="宋体" w:hint="eastAsia"/>
                <w:szCs w:val="21"/>
              </w:rPr>
              <w:t>≤3dB</w:t>
            </w:r>
          </w:p>
        </w:tc>
      </w:tr>
      <w:tr>
        <w:tblPrEx>
          <w:tblW w:w="8599" w:type="dxa"/>
          <w:tblInd w:w="2" w:type="dxa"/>
          <w:tblLayout w:type="fixed"/>
          <w:tblLook w:val="04A0"/>
        </w:tblPrEx>
        <w:trPr>
          <w:trHeight w:val="239"/>
        </w:trPr>
        <w:tc>
          <w:tcPr>
            <w:tcW w:w="3550" w:type="dxa"/>
          </w:tcPr>
          <w:p w:rsidR="00800AF2">
            <w:pPr>
              <w:spacing w:line="360" w:lineRule="auto"/>
              <w:rPr>
                <w:rFonts w:ascii="宋体" w:eastAsia="宋体" w:hAnsi="宋体" w:cs="宋体" w:hint="eastAsia"/>
                <w:szCs w:val="21"/>
              </w:rPr>
            </w:pPr>
            <w:r>
              <w:rPr>
                <w:rFonts w:ascii="宋体" w:eastAsia="宋体" w:hAnsi="宋体" w:cs="宋体" w:hint="eastAsia"/>
                <w:szCs w:val="21"/>
              </w:rPr>
              <w:t>双通道馈线损耗差</w:t>
            </w:r>
          </w:p>
        </w:tc>
        <w:tc>
          <w:tcPr>
            <w:tcW w:w="5049" w:type="dxa"/>
          </w:tcPr>
          <w:p w:rsidR="00800AF2">
            <w:pPr>
              <w:spacing w:line="360" w:lineRule="auto"/>
              <w:rPr>
                <w:rFonts w:ascii="宋体" w:eastAsia="宋体" w:hAnsi="宋体" w:cs="宋体" w:hint="eastAsia"/>
                <w:szCs w:val="21"/>
              </w:rPr>
            </w:pPr>
            <w:r>
              <w:rPr>
                <w:rFonts w:ascii="宋体" w:eastAsia="宋体" w:hAnsi="宋体" w:cs="宋体" w:hint="eastAsia"/>
                <w:szCs w:val="21"/>
              </w:rPr>
              <w:t>≤0.5dB</w:t>
            </w:r>
          </w:p>
        </w:tc>
      </w:tr>
      <w:tr>
        <w:tblPrEx>
          <w:tblW w:w="8599" w:type="dxa"/>
          <w:tblInd w:w="2" w:type="dxa"/>
          <w:tblLayout w:type="fixed"/>
          <w:tblLook w:val="04A0"/>
        </w:tblPrEx>
        <w:trPr>
          <w:trHeight w:val="242"/>
        </w:trPr>
        <w:tc>
          <w:tcPr>
            <w:tcW w:w="3550" w:type="dxa"/>
          </w:tcPr>
          <w:p w:rsidR="00800AF2">
            <w:pPr>
              <w:spacing w:line="360" w:lineRule="auto"/>
              <w:rPr>
                <w:rFonts w:ascii="宋体" w:eastAsia="宋体" w:hAnsi="宋体" w:cs="宋体" w:hint="eastAsia"/>
                <w:szCs w:val="21"/>
              </w:rPr>
            </w:pPr>
            <w:r>
              <w:rPr>
                <w:rFonts w:ascii="宋体" w:eastAsia="宋体" w:hAnsi="宋体" w:cs="宋体" w:hint="eastAsia"/>
                <w:szCs w:val="21"/>
              </w:rPr>
              <w:t>驻波比</w:t>
            </w:r>
          </w:p>
        </w:tc>
        <w:tc>
          <w:tcPr>
            <w:tcW w:w="5049" w:type="dxa"/>
          </w:tcPr>
          <w:p w:rsidR="00800AF2">
            <w:pPr>
              <w:spacing w:line="360" w:lineRule="auto"/>
              <w:rPr>
                <w:rFonts w:ascii="宋体" w:eastAsia="宋体" w:hAnsi="宋体" w:cs="宋体" w:hint="eastAsia"/>
                <w:szCs w:val="21"/>
              </w:rPr>
            </w:pPr>
            <w:r>
              <w:rPr>
                <w:rFonts w:ascii="宋体" w:eastAsia="宋体" w:hAnsi="宋体" w:cs="宋体" w:hint="eastAsia"/>
                <w:szCs w:val="21"/>
              </w:rPr>
              <w:t>≤1.5</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5.1.5.5.3.4伺服转台分系统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伺服转台分系统选用数字式伺服系统，以高精度伺服电机驱动，实现俯仰-2~182°、方位0~360°立体扫描，具有相应的电气、机械限位功能，具有电源开关和维护开关。电源开关和维护开关位于伺服转台分系统的接口面板，其中电源开关采用防水开关实现雷达整机（包括远程电源控制器）的上电和断电，维护开关采用按压或拨动式的应急开关，在云雷达维护维修或紧急情况下控制云雷达运行。伺服转台分系统应支持平面位置显示（PPI）、距离高度显示（RHI）、时间高度显示（THI）、方位扇扫（RPI）、体积扫描（VOL）、任意指向等多</w:t>
      </w:r>
      <w:r>
        <w:rPr>
          <w:rFonts w:ascii="宋体" w:eastAsia="宋体" w:hAnsi="宋体" w:cs="宋体" w:hint="eastAsia"/>
          <w:bCs/>
          <w:color w:val="000000"/>
          <w:szCs w:val="21"/>
        </w:rPr>
        <w:t>种扫描方式，各种扫描方式均由软件控制完成。接收数据处理控制分系统指令，完成对伺服转台的各种控制，并向数据处理控制分系统反馈伺服转台的工作状态和故障信息。</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云雷达观测时，根据观测目标制定合适的扫描模式，以实现最优观测。例如在晴空时，云雷达以THI观测为主，间隔一定时间进行VOL扫描，降水时采用VOL扫描，当发生强降水时进行特定指向RHI扫描，测雾时采用PPI或RPI扫描。</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扫描型云雷达的远程电源控制器安装在伺服转台分系统内部，接收数据处理控制分系统指令，实现云雷达主机的远程上电和断电。具体指标见下表。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23</w:t>
      </w:r>
      <w:r>
        <w:rPr>
          <w:rFonts w:ascii="宋体" w:eastAsia="宋体" w:hAnsi="宋体" w:cs="宋体" w:hint="eastAsia"/>
          <w:szCs w:val="21"/>
        </w:rPr>
        <w:fldChar w:fldCharType="end"/>
      </w:r>
      <w:r>
        <w:rPr>
          <w:rFonts w:ascii="宋体" w:eastAsia="宋体" w:hAnsi="宋体" w:cs="宋体" w:hint="eastAsia"/>
          <w:bCs/>
          <w:color w:val="000000"/>
          <w:szCs w:val="21"/>
        </w:rPr>
        <w:t>伺服转台系统技术性能指标表</w:t>
      </w:r>
    </w:p>
    <w:tbl>
      <w:tblPr>
        <w:tblStyle w:val="TableNormal0"/>
        <w:tblW w:w="8582"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701"/>
        <w:gridCol w:w="707"/>
        <w:gridCol w:w="6174"/>
      </w:tblGrid>
      <w:tr>
        <w:tblPrEx>
          <w:tblW w:w="8582"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2"/>
        </w:trPr>
        <w:tc>
          <w:tcPr>
            <w:tcW w:w="2408"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582" w:type="dxa"/>
          <w:tblInd w:w="9" w:type="dxa"/>
          <w:tblLayout w:type="fixed"/>
          <w:tblLook w:val="04A0"/>
        </w:tblPrEx>
        <w:trPr>
          <w:trHeight w:val="239"/>
        </w:trPr>
        <w:tc>
          <w:tcPr>
            <w:tcW w:w="2408"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天线扫描方式</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PPI、RPI、RHI、THI、VOL、任意指向</w:t>
            </w:r>
          </w:p>
        </w:tc>
      </w:tr>
      <w:tr>
        <w:tblPrEx>
          <w:tblW w:w="8582" w:type="dxa"/>
          <w:tblInd w:w="9" w:type="dxa"/>
          <w:tblLayout w:type="fixed"/>
          <w:tblLook w:val="04A0"/>
        </w:tblPrEx>
        <w:trPr>
          <w:trHeight w:val="237"/>
        </w:trPr>
        <w:tc>
          <w:tcPr>
            <w:tcW w:w="1701" w:type="dxa"/>
            <w:vMerge w:val="restart"/>
            <w:tcBorders>
              <w:bottom w:val="nil"/>
            </w:tcBorders>
          </w:tcPr>
          <w:p w:rsidR="00800AF2">
            <w:pPr>
              <w:spacing w:line="360" w:lineRule="auto"/>
              <w:rPr>
                <w:rFonts w:ascii="宋体" w:eastAsia="宋体" w:hAnsi="宋体" w:cs="宋体" w:hint="eastAsia"/>
                <w:szCs w:val="21"/>
              </w:rPr>
            </w:pPr>
            <w:r>
              <w:rPr>
                <w:rFonts w:ascii="宋体" w:eastAsia="宋体" w:hAnsi="宋体" w:cs="宋体" w:hint="eastAsia"/>
                <w:szCs w:val="21"/>
              </w:rPr>
              <w:t>天线扫描范围</w:t>
            </w: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方位</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0～360°连续扫描</w:t>
            </w:r>
          </w:p>
        </w:tc>
      </w:tr>
      <w:tr>
        <w:tblPrEx>
          <w:tblW w:w="8582" w:type="dxa"/>
          <w:tblInd w:w="9" w:type="dxa"/>
          <w:tblLayout w:type="fixed"/>
          <w:tblLook w:val="04A0"/>
        </w:tblPrEx>
        <w:trPr>
          <w:trHeight w:val="240"/>
        </w:trPr>
        <w:tc>
          <w:tcPr>
            <w:tcW w:w="1701" w:type="dxa"/>
            <w:vMerge/>
            <w:tcBorders>
              <w:top w:val="nil"/>
            </w:tcBorders>
          </w:tcPr>
          <w:p w:rsidR="00800AF2">
            <w:pPr>
              <w:spacing w:line="360" w:lineRule="auto"/>
              <w:rPr>
                <w:rFonts w:ascii="宋体" w:eastAsia="宋体" w:hAnsi="宋体" w:cs="宋体" w:hint="eastAsia"/>
                <w:szCs w:val="21"/>
              </w:rPr>
            </w:pP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俯仰</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-2～182 °往返扫描</w:t>
            </w:r>
          </w:p>
        </w:tc>
      </w:tr>
      <w:tr>
        <w:tblPrEx>
          <w:tblW w:w="8582" w:type="dxa"/>
          <w:tblInd w:w="9" w:type="dxa"/>
          <w:tblLayout w:type="fixed"/>
          <w:tblLook w:val="04A0"/>
        </w:tblPrEx>
        <w:trPr>
          <w:trHeight w:val="319"/>
        </w:trPr>
        <w:tc>
          <w:tcPr>
            <w:tcW w:w="1701" w:type="dxa"/>
            <w:vMerge w:val="restart"/>
            <w:tcBorders>
              <w:bottom w:val="nil"/>
            </w:tcBorders>
          </w:tcPr>
          <w:p w:rsidR="00800AF2">
            <w:pPr>
              <w:spacing w:line="360" w:lineRule="auto"/>
              <w:rPr>
                <w:rFonts w:ascii="宋体" w:eastAsia="宋体" w:hAnsi="宋体" w:cs="宋体" w:hint="eastAsia"/>
                <w:szCs w:val="21"/>
              </w:rPr>
            </w:pPr>
            <w:r>
              <w:rPr>
                <w:rFonts w:ascii="宋体" w:eastAsia="宋体" w:hAnsi="宋体" w:cs="宋体" w:hint="eastAsia"/>
                <w:szCs w:val="21"/>
              </w:rPr>
              <w:t>天线扫描速度</w:t>
            </w: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方位</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0～24°/s，误差不大于 5%</w:t>
            </w:r>
          </w:p>
        </w:tc>
      </w:tr>
      <w:tr>
        <w:tblPrEx>
          <w:tblW w:w="8582" w:type="dxa"/>
          <w:tblInd w:w="9" w:type="dxa"/>
          <w:tblLayout w:type="fixed"/>
          <w:tblLook w:val="04A0"/>
        </w:tblPrEx>
        <w:trPr>
          <w:trHeight w:val="319"/>
        </w:trPr>
        <w:tc>
          <w:tcPr>
            <w:tcW w:w="1701" w:type="dxa"/>
            <w:vMerge/>
            <w:tcBorders>
              <w:top w:val="nil"/>
            </w:tcBorders>
          </w:tcPr>
          <w:p w:rsidR="00800AF2">
            <w:pPr>
              <w:spacing w:line="360" w:lineRule="auto"/>
              <w:rPr>
                <w:rFonts w:ascii="宋体" w:eastAsia="宋体" w:hAnsi="宋体" w:cs="宋体" w:hint="eastAsia"/>
                <w:szCs w:val="21"/>
              </w:rPr>
            </w:pP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俯仰</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0～12°/s，误差不大于 5%</w:t>
            </w:r>
          </w:p>
        </w:tc>
      </w:tr>
      <w:tr>
        <w:tblPrEx>
          <w:tblW w:w="8582" w:type="dxa"/>
          <w:tblInd w:w="9" w:type="dxa"/>
          <w:tblLayout w:type="fixed"/>
          <w:tblLook w:val="04A0"/>
        </w:tblPrEx>
        <w:trPr>
          <w:trHeight w:val="239"/>
        </w:trPr>
        <w:tc>
          <w:tcPr>
            <w:tcW w:w="2408"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天线控制方式</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预置全自动、人工干预自动/手动控制</w:t>
            </w:r>
          </w:p>
        </w:tc>
      </w:tr>
      <w:tr>
        <w:tblPrEx>
          <w:tblW w:w="8582" w:type="dxa"/>
          <w:tblInd w:w="9" w:type="dxa"/>
          <w:tblLayout w:type="fixed"/>
          <w:tblLook w:val="04A0"/>
        </w:tblPrEx>
        <w:trPr>
          <w:trHeight w:val="309"/>
        </w:trPr>
        <w:tc>
          <w:tcPr>
            <w:tcW w:w="1701" w:type="dxa"/>
            <w:vMerge w:val="restart"/>
            <w:tcBorders>
              <w:bottom w:val="nil"/>
            </w:tcBorders>
          </w:tcPr>
          <w:p w:rsidR="00800AF2">
            <w:pPr>
              <w:spacing w:line="360" w:lineRule="auto"/>
              <w:rPr>
                <w:rFonts w:ascii="宋体" w:eastAsia="宋体" w:hAnsi="宋体" w:cs="宋体" w:hint="eastAsia"/>
                <w:szCs w:val="21"/>
              </w:rPr>
            </w:pPr>
            <w:r>
              <w:rPr>
                <w:rFonts w:ascii="宋体" w:eastAsia="宋体" w:hAnsi="宋体" w:cs="宋体" w:hint="eastAsia"/>
                <w:szCs w:val="21"/>
              </w:rPr>
              <w:t>天线定位精度</w:t>
            </w: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方位</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≤0.1°</w:t>
            </w:r>
          </w:p>
        </w:tc>
      </w:tr>
      <w:tr>
        <w:tblPrEx>
          <w:tblW w:w="8582" w:type="dxa"/>
          <w:tblInd w:w="9" w:type="dxa"/>
          <w:tblLayout w:type="fixed"/>
          <w:tblLook w:val="04A0"/>
        </w:tblPrEx>
        <w:trPr>
          <w:trHeight w:val="261"/>
        </w:trPr>
        <w:tc>
          <w:tcPr>
            <w:tcW w:w="1701" w:type="dxa"/>
            <w:vMerge/>
            <w:tcBorders>
              <w:top w:val="nil"/>
            </w:tcBorders>
          </w:tcPr>
          <w:p w:rsidR="00800AF2">
            <w:pPr>
              <w:spacing w:line="360" w:lineRule="auto"/>
              <w:rPr>
                <w:rFonts w:ascii="宋体" w:eastAsia="宋体" w:hAnsi="宋体" w:cs="宋体" w:hint="eastAsia"/>
                <w:szCs w:val="21"/>
              </w:rPr>
            </w:pP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俯仰</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≤0.1°</w:t>
            </w:r>
          </w:p>
        </w:tc>
      </w:tr>
      <w:tr>
        <w:tblPrEx>
          <w:tblW w:w="8582" w:type="dxa"/>
          <w:tblInd w:w="9" w:type="dxa"/>
          <w:tblLayout w:type="fixed"/>
          <w:tblLook w:val="04A0"/>
        </w:tblPrEx>
        <w:trPr>
          <w:trHeight w:val="292"/>
        </w:trPr>
        <w:tc>
          <w:tcPr>
            <w:tcW w:w="1701" w:type="dxa"/>
            <w:vMerge w:val="restart"/>
            <w:tcBorders>
              <w:bottom w:val="nil"/>
            </w:tcBorders>
          </w:tcPr>
          <w:p w:rsidR="00800AF2">
            <w:pPr>
              <w:spacing w:line="360" w:lineRule="auto"/>
              <w:rPr>
                <w:rFonts w:ascii="宋体" w:eastAsia="宋体" w:hAnsi="宋体" w:cs="宋体" w:hint="eastAsia"/>
                <w:szCs w:val="21"/>
              </w:rPr>
            </w:pPr>
            <w:r>
              <w:rPr>
                <w:rFonts w:ascii="宋体" w:eastAsia="宋体" w:hAnsi="宋体" w:cs="宋体" w:hint="eastAsia"/>
                <w:szCs w:val="21"/>
              </w:rPr>
              <w:t>天线控制精度</w:t>
            </w: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方位</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≤0.1°</w:t>
            </w:r>
          </w:p>
        </w:tc>
      </w:tr>
      <w:tr>
        <w:tblPrEx>
          <w:tblW w:w="8582" w:type="dxa"/>
          <w:tblInd w:w="9" w:type="dxa"/>
          <w:tblLayout w:type="fixed"/>
          <w:tblLook w:val="04A0"/>
        </w:tblPrEx>
        <w:trPr>
          <w:trHeight w:val="297"/>
        </w:trPr>
        <w:tc>
          <w:tcPr>
            <w:tcW w:w="1701" w:type="dxa"/>
            <w:vMerge/>
            <w:tcBorders>
              <w:top w:val="nil"/>
            </w:tcBorders>
          </w:tcPr>
          <w:p w:rsidR="00800AF2">
            <w:pPr>
              <w:spacing w:line="360" w:lineRule="auto"/>
              <w:rPr>
                <w:rFonts w:ascii="宋体" w:eastAsia="宋体" w:hAnsi="宋体" w:cs="宋体" w:hint="eastAsia"/>
                <w:szCs w:val="21"/>
              </w:rPr>
            </w:pPr>
          </w:p>
        </w:tc>
        <w:tc>
          <w:tcPr>
            <w:tcW w:w="707" w:type="dxa"/>
          </w:tcPr>
          <w:p w:rsidR="00800AF2">
            <w:pPr>
              <w:spacing w:line="360" w:lineRule="auto"/>
              <w:rPr>
                <w:rFonts w:ascii="宋体" w:eastAsia="宋体" w:hAnsi="宋体" w:cs="宋体" w:hint="eastAsia"/>
                <w:szCs w:val="21"/>
              </w:rPr>
            </w:pPr>
            <w:r>
              <w:rPr>
                <w:rFonts w:ascii="宋体" w:eastAsia="宋体" w:hAnsi="宋体" w:cs="宋体" w:hint="eastAsia"/>
                <w:szCs w:val="21"/>
              </w:rPr>
              <w:t>俯仰</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≤0.1°</w:t>
            </w:r>
          </w:p>
        </w:tc>
      </w:tr>
      <w:tr>
        <w:tblPrEx>
          <w:tblW w:w="8582" w:type="dxa"/>
          <w:tblInd w:w="9" w:type="dxa"/>
          <w:tblLayout w:type="fixed"/>
          <w:tblLook w:val="04A0"/>
        </w:tblPrEx>
        <w:trPr>
          <w:trHeight w:val="237"/>
        </w:trPr>
        <w:tc>
          <w:tcPr>
            <w:tcW w:w="2408"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角度编码器字长</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≥14 位</w:t>
            </w:r>
          </w:p>
        </w:tc>
      </w:tr>
      <w:tr>
        <w:tblPrEx>
          <w:tblW w:w="8582" w:type="dxa"/>
          <w:tblInd w:w="9" w:type="dxa"/>
          <w:tblLayout w:type="fixed"/>
          <w:tblLook w:val="04A0"/>
        </w:tblPrEx>
        <w:trPr>
          <w:trHeight w:val="942"/>
        </w:trPr>
        <w:tc>
          <w:tcPr>
            <w:tcW w:w="2408" w:type="dxa"/>
            <w:gridSpan w:val="2"/>
          </w:tcPr>
          <w:p w:rsidR="00800AF2">
            <w:pPr>
              <w:spacing w:line="360" w:lineRule="auto"/>
              <w:rPr>
                <w:rFonts w:ascii="宋体" w:eastAsia="宋体" w:hAnsi="宋体" w:cs="宋体" w:hint="eastAsia"/>
                <w:szCs w:val="21"/>
              </w:rPr>
            </w:pPr>
          </w:p>
          <w:p w:rsidR="00800AF2">
            <w:pPr>
              <w:spacing w:line="360" w:lineRule="auto"/>
              <w:rPr>
                <w:rFonts w:ascii="宋体" w:eastAsia="宋体" w:hAnsi="宋体" w:cs="宋体" w:hint="eastAsia"/>
                <w:szCs w:val="21"/>
              </w:rPr>
            </w:pPr>
            <w:r>
              <w:rPr>
                <w:rFonts w:ascii="宋体" w:eastAsia="宋体" w:hAnsi="宋体" w:cs="宋体" w:hint="eastAsia"/>
                <w:szCs w:val="21"/>
              </w:rPr>
              <w:t>安全与保护</w:t>
            </w:r>
          </w:p>
        </w:tc>
        <w:tc>
          <w:tcPr>
            <w:tcW w:w="6174" w:type="dxa"/>
          </w:tcPr>
          <w:p w:rsidR="00800AF2">
            <w:pPr>
              <w:spacing w:line="360" w:lineRule="auto"/>
              <w:rPr>
                <w:rFonts w:ascii="宋体" w:eastAsia="宋体" w:hAnsi="宋体" w:cs="宋体" w:hint="eastAsia"/>
                <w:szCs w:val="21"/>
              </w:rPr>
            </w:pPr>
            <w:r>
              <w:rPr>
                <w:rFonts w:ascii="宋体" w:eastAsia="宋体" w:hAnsi="宋体" w:cs="宋体" w:hint="eastAsia"/>
                <w:szCs w:val="21"/>
              </w:rPr>
              <w:t>天线在方位、俯仰机构上应有电气、机械安全设施，具有电源开关和维护开关， 以保护天线在工作、维护及运输过程中的安全；方位、俯仰控制应有保护电路； 天线在俯仰角最低处应有机械安全装置，保证天线下俯不低于最低限位；具有 俯仰电源、方位电源故障监测以及伺服状态监测等。</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5.1.5.5.3.5收发分系统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收发分系统由发射机、接收机、定标模块及恒温系统等组成。发射机将来自频率源的射频激励信号功率放大，输出大功率微波信号，通过馈线分系统由天线分系统向空间辐射。接</w:t>
      </w:r>
      <w:r>
        <w:rPr>
          <w:rFonts w:ascii="宋体" w:eastAsia="宋体" w:hAnsi="宋体" w:cs="宋体" w:hint="eastAsia"/>
          <w:bCs/>
          <w:color w:val="000000"/>
          <w:szCs w:val="21"/>
        </w:rPr>
        <w:t>收数据处理控制分系统指令，完成对发射机的各种控制，并向数据处理控制分系统反馈发射机的工作状态和故障信息。</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接收机主要由接收前端和数字中频信号处理器等组成。主要完成回波信号的放大、滤波和下变频，并输出模拟中频信号至数字中频信号处理器；数字中频信号处理包括触发信号产生、中频激励信号产生、A/D转换、数字下变频、脉冲压缩等，最后形成数字I/Q信号传送至数据处理控制分系统。频率源为云雷达各分机提供各种频率信号和激励信号，并以高稳定度、低相位噪声的晶振作为频率基准，保证频率源的所有输出信号具有高稳定度、低相位噪声、高谐波和杂散抑制等特性。接收数据处理控制分系统指令，完成对接收机的各种控制，并向数据处理控制分系统反馈接收机的工作状态和故障信息。</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收发分系统利用机内高精度定标模块，实现主要指标的标定，主要包括发射机脉冲峰值功率、接收机线性动态范围、接收灵敏度、回波强度、径向速度、速度谱宽、相位噪声、地物杂波抑制、水平和垂直通道幅相一致性等。为确保收发分系统运行稳定与使用寿命，对收发分系统采用整体恒温设计，避免收发分系统在极限温度环境下工作。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24</w:t>
      </w:r>
      <w:r>
        <w:rPr>
          <w:rFonts w:ascii="宋体" w:eastAsia="宋体" w:hAnsi="宋体" w:cs="宋体" w:hint="eastAsia"/>
          <w:szCs w:val="21"/>
        </w:rPr>
        <w:fldChar w:fldCharType="end"/>
      </w:r>
      <w:r>
        <w:rPr>
          <w:rFonts w:ascii="宋体" w:eastAsia="宋体" w:hAnsi="宋体" w:cs="宋体" w:hint="eastAsia"/>
          <w:bCs/>
          <w:color w:val="000000"/>
          <w:szCs w:val="21"/>
        </w:rPr>
        <w:t>发射机技术性能指标表</w:t>
      </w:r>
    </w:p>
    <w:tbl>
      <w:tblPr>
        <w:tblStyle w:val="TableNormal0"/>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4072"/>
        <w:gridCol w:w="4488"/>
      </w:tblGrid>
      <w:tr>
        <w:tblPrEx>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4"/>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560" w:type="dxa"/>
          <w:tblInd w:w="21" w:type="dxa"/>
          <w:tblLayout w:type="fixed"/>
          <w:tblLook w:val="04A0"/>
        </w:tblPrEx>
        <w:trPr>
          <w:trHeight w:val="237"/>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发射机形式</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全固态功率合成</w:t>
            </w:r>
          </w:p>
        </w:tc>
      </w:tr>
      <w:tr>
        <w:tblPrEx>
          <w:tblW w:w="8560" w:type="dxa"/>
          <w:tblInd w:w="21" w:type="dxa"/>
          <w:tblLayout w:type="fixed"/>
          <w:tblLook w:val="04A0"/>
        </w:tblPrEx>
        <w:trPr>
          <w:trHeight w:val="239"/>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工作频率</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34.5GHz～35.5GHz</w:t>
            </w:r>
          </w:p>
        </w:tc>
      </w:tr>
      <w:tr>
        <w:tblPrEx>
          <w:tblW w:w="8560" w:type="dxa"/>
          <w:tblInd w:w="21" w:type="dxa"/>
          <w:tblLayout w:type="fixed"/>
          <w:tblLook w:val="04A0"/>
        </w:tblPrEx>
        <w:trPr>
          <w:trHeight w:val="239"/>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脉冲峰值功率</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≥100W</w:t>
            </w:r>
          </w:p>
        </w:tc>
      </w:tr>
      <w:tr>
        <w:tblPrEx>
          <w:tblW w:w="8560" w:type="dxa"/>
          <w:tblInd w:w="21" w:type="dxa"/>
          <w:tblLayout w:type="fixed"/>
          <w:tblLook w:val="04A0"/>
        </w:tblPrEx>
        <w:trPr>
          <w:trHeight w:val="239"/>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脉冲重复频率</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1000Hz～10000Hz</w:t>
            </w:r>
          </w:p>
        </w:tc>
      </w:tr>
      <w:tr>
        <w:tblPrEx>
          <w:tblW w:w="8560" w:type="dxa"/>
          <w:tblInd w:w="21" w:type="dxa"/>
          <w:tblLayout w:type="fixed"/>
          <w:tblLook w:val="04A0"/>
        </w:tblPrEx>
        <w:trPr>
          <w:trHeight w:val="237"/>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机内功率检测波动</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≤0.2dB</w:t>
            </w:r>
          </w:p>
        </w:tc>
      </w:tr>
      <w:tr>
        <w:tblPrEx>
          <w:tblW w:w="8560" w:type="dxa"/>
          <w:tblInd w:w="21" w:type="dxa"/>
          <w:tblLayout w:type="fixed"/>
          <w:tblLook w:val="04A0"/>
        </w:tblPrEx>
        <w:trPr>
          <w:trHeight w:val="239"/>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脉冲宽度</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0.2 μs～40μs（可调），0.2 μs 必选</w:t>
            </w:r>
          </w:p>
        </w:tc>
      </w:tr>
      <w:tr>
        <w:tblPrEx>
          <w:tblW w:w="8560" w:type="dxa"/>
          <w:tblInd w:w="21" w:type="dxa"/>
          <w:tblLayout w:type="fixed"/>
          <w:tblLook w:val="04A0"/>
        </w:tblPrEx>
        <w:trPr>
          <w:trHeight w:val="237"/>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谐波和杂散抑制</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≥40dB</w:t>
            </w:r>
          </w:p>
        </w:tc>
      </w:tr>
      <w:tr>
        <w:tblPrEx>
          <w:tblW w:w="8560" w:type="dxa"/>
          <w:tblInd w:w="21" w:type="dxa"/>
          <w:tblLayout w:type="fixed"/>
          <w:tblLook w:val="04A0"/>
        </w:tblPrEx>
        <w:trPr>
          <w:trHeight w:val="244"/>
        </w:trPr>
        <w:tc>
          <w:tcPr>
            <w:tcW w:w="4072" w:type="dxa"/>
          </w:tcPr>
          <w:p w:rsidR="00800AF2">
            <w:pPr>
              <w:spacing w:line="360" w:lineRule="auto"/>
              <w:rPr>
                <w:rFonts w:ascii="宋体" w:eastAsia="宋体" w:hAnsi="宋体" w:cs="宋体" w:hint="eastAsia"/>
                <w:szCs w:val="21"/>
              </w:rPr>
            </w:pPr>
            <w:r>
              <w:rPr>
                <w:rFonts w:ascii="宋体" w:eastAsia="宋体" w:hAnsi="宋体" w:cs="宋体" w:hint="eastAsia"/>
                <w:szCs w:val="21"/>
              </w:rPr>
              <w:t>极限改善因子</w:t>
            </w:r>
          </w:p>
        </w:tc>
        <w:tc>
          <w:tcPr>
            <w:tcW w:w="4488" w:type="dxa"/>
          </w:tcPr>
          <w:p w:rsidR="00800AF2">
            <w:pPr>
              <w:spacing w:line="360" w:lineRule="auto"/>
              <w:rPr>
                <w:rFonts w:ascii="宋体" w:eastAsia="宋体" w:hAnsi="宋体" w:cs="宋体" w:hint="eastAsia"/>
                <w:szCs w:val="21"/>
              </w:rPr>
            </w:pPr>
            <w:r>
              <w:rPr>
                <w:rFonts w:ascii="宋体" w:eastAsia="宋体" w:hAnsi="宋体" w:cs="宋体" w:hint="eastAsia"/>
                <w:szCs w:val="21"/>
              </w:rPr>
              <w:t>≥40dB</w:t>
            </w:r>
          </w:p>
        </w:tc>
      </w:tr>
    </w:tbl>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25</w:t>
      </w:r>
      <w:r>
        <w:rPr>
          <w:rFonts w:ascii="宋体" w:eastAsia="宋体" w:hAnsi="宋体" w:cs="宋体" w:hint="eastAsia"/>
          <w:szCs w:val="21"/>
        </w:rPr>
        <w:fldChar w:fldCharType="end"/>
      </w:r>
      <w:r>
        <w:rPr>
          <w:rFonts w:ascii="宋体" w:eastAsia="宋体" w:hAnsi="宋体" w:cs="宋体" w:hint="eastAsia"/>
          <w:bCs/>
          <w:color w:val="000000"/>
          <w:szCs w:val="21"/>
        </w:rPr>
        <w:t>接收机技术性能指标表</w:t>
      </w:r>
    </w:p>
    <w:tbl>
      <w:tblPr>
        <w:tblStyle w:val="TableNormal0"/>
        <w:tblW w:w="8591"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900"/>
        <w:gridCol w:w="12"/>
        <w:gridCol w:w="4679"/>
      </w:tblGrid>
      <w:tr>
        <w:tblPrEx>
          <w:tblW w:w="8591"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1"/>
        </w:trPr>
        <w:tc>
          <w:tcPr>
            <w:tcW w:w="3900" w:type="dxa"/>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4691"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591" w:type="dxa"/>
          <w:tblInd w:w="-8" w:type="dxa"/>
          <w:tblLayout w:type="fixed"/>
          <w:tblLook w:val="04A0"/>
        </w:tblPrEx>
        <w:trPr>
          <w:trHeight w:val="237"/>
        </w:trPr>
        <w:tc>
          <w:tcPr>
            <w:tcW w:w="3900" w:type="dxa"/>
          </w:tcPr>
          <w:p w:rsidR="00800AF2">
            <w:pPr>
              <w:spacing w:line="360" w:lineRule="auto"/>
              <w:rPr>
                <w:rFonts w:ascii="宋体" w:eastAsia="宋体" w:hAnsi="宋体" w:cs="宋体" w:hint="eastAsia"/>
                <w:szCs w:val="21"/>
              </w:rPr>
            </w:pPr>
            <w:r>
              <w:rPr>
                <w:rFonts w:ascii="宋体" w:eastAsia="宋体" w:hAnsi="宋体" w:cs="宋体" w:hint="eastAsia"/>
                <w:szCs w:val="21"/>
              </w:rPr>
              <w:t>工作频率</w:t>
            </w:r>
          </w:p>
        </w:tc>
        <w:tc>
          <w:tcPr>
            <w:tcW w:w="4691"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34.5GHz～35.5GHz</w:t>
            </w:r>
          </w:p>
        </w:tc>
      </w:tr>
      <w:tr>
        <w:tblPrEx>
          <w:tblW w:w="8591" w:type="dxa"/>
          <w:tblInd w:w="-8" w:type="dxa"/>
          <w:tblLayout w:type="fixed"/>
          <w:tblLook w:val="04A0"/>
        </w:tblPrEx>
        <w:trPr>
          <w:trHeight w:val="239"/>
        </w:trPr>
        <w:tc>
          <w:tcPr>
            <w:tcW w:w="3900" w:type="dxa"/>
          </w:tcPr>
          <w:p w:rsidR="00800AF2">
            <w:pPr>
              <w:spacing w:line="360" w:lineRule="auto"/>
              <w:rPr>
                <w:rFonts w:ascii="宋体" w:eastAsia="宋体" w:hAnsi="宋体" w:cs="宋体" w:hint="eastAsia"/>
                <w:szCs w:val="21"/>
              </w:rPr>
            </w:pPr>
            <w:r>
              <w:rPr>
                <w:rFonts w:ascii="宋体" w:eastAsia="宋体" w:hAnsi="宋体" w:cs="宋体" w:hint="eastAsia"/>
                <w:szCs w:val="21"/>
              </w:rPr>
              <w:t>噪声系数（不含环形器和限幅器）</w:t>
            </w:r>
          </w:p>
        </w:tc>
        <w:tc>
          <w:tcPr>
            <w:tcW w:w="4691"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≤5dB</w:t>
            </w:r>
          </w:p>
        </w:tc>
      </w:tr>
      <w:tr>
        <w:tblPrEx>
          <w:tblW w:w="8591" w:type="dxa"/>
          <w:tblInd w:w="-8" w:type="dxa"/>
          <w:tblLayout w:type="fixed"/>
          <w:tblLook w:val="04A0"/>
        </w:tblPrEx>
        <w:trPr>
          <w:trHeight w:val="236"/>
        </w:trPr>
        <w:tc>
          <w:tcPr>
            <w:tcW w:w="3900" w:type="dxa"/>
          </w:tcPr>
          <w:p w:rsidR="00800AF2">
            <w:pPr>
              <w:spacing w:line="360" w:lineRule="auto"/>
              <w:rPr>
                <w:rFonts w:ascii="宋体" w:eastAsia="宋体" w:hAnsi="宋体" w:cs="宋体" w:hint="eastAsia"/>
                <w:szCs w:val="21"/>
              </w:rPr>
            </w:pPr>
            <w:r>
              <w:rPr>
                <w:rFonts w:ascii="宋体" w:eastAsia="宋体" w:hAnsi="宋体" w:cs="宋体" w:hint="eastAsia"/>
                <w:szCs w:val="21"/>
              </w:rPr>
              <w:t>线性动态范围</w:t>
            </w:r>
          </w:p>
        </w:tc>
        <w:tc>
          <w:tcPr>
            <w:tcW w:w="4691"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≥80dB（带宽 1MHz）</w:t>
            </w:r>
          </w:p>
        </w:tc>
      </w:tr>
      <w:tr>
        <w:tblPrEx>
          <w:tblW w:w="8591" w:type="dxa"/>
          <w:tblInd w:w="-8" w:type="dxa"/>
          <w:tblLayout w:type="fixed"/>
          <w:tblLook w:val="04A0"/>
        </w:tblPrEx>
        <w:trPr>
          <w:trHeight w:val="239"/>
        </w:trPr>
        <w:tc>
          <w:tcPr>
            <w:tcW w:w="3900" w:type="dxa"/>
          </w:tcPr>
          <w:p w:rsidR="00800AF2">
            <w:pPr>
              <w:spacing w:line="360" w:lineRule="auto"/>
              <w:rPr>
                <w:rFonts w:ascii="宋体" w:eastAsia="宋体" w:hAnsi="宋体" w:cs="宋体" w:hint="eastAsia"/>
                <w:szCs w:val="21"/>
              </w:rPr>
            </w:pPr>
            <w:r>
              <w:rPr>
                <w:rFonts w:ascii="宋体" w:eastAsia="宋体" w:hAnsi="宋体" w:cs="宋体" w:hint="eastAsia"/>
                <w:szCs w:val="21"/>
              </w:rPr>
              <w:t>最小可测功率（灵敏度）</w:t>
            </w:r>
          </w:p>
        </w:tc>
        <w:tc>
          <w:tcPr>
            <w:tcW w:w="4691"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≤-100dBm（带宽 5MHz）</w:t>
            </w:r>
          </w:p>
        </w:tc>
      </w:tr>
      <w:tr>
        <w:tblPrEx>
          <w:tblW w:w="8591" w:type="dxa"/>
          <w:tblInd w:w="-8" w:type="dxa"/>
          <w:tblLayout w:type="fixed"/>
          <w:tblLook w:val="04A0"/>
        </w:tblPrEx>
        <w:trPr>
          <w:trHeight w:val="237"/>
        </w:trPr>
        <w:tc>
          <w:tcPr>
            <w:tcW w:w="3900" w:type="dxa"/>
          </w:tcPr>
          <w:p w:rsidR="00800AF2">
            <w:pPr>
              <w:spacing w:line="360" w:lineRule="auto"/>
              <w:rPr>
                <w:rFonts w:ascii="宋体" w:eastAsia="宋体" w:hAnsi="宋体" w:cs="宋体" w:hint="eastAsia"/>
                <w:szCs w:val="21"/>
              </w:rPr>
            </w:pPr>
            <w:r>
              <w:rPr>
                <w:rFonts w:ascii="宋体" w:eastAsia="宋体" w:hAnsi="宋体" w:cs="宋体" w:hint="eastAsia"/>
                <w:szCs w:val="21"/>
              </w:rPr>
              <w:t>镜频抑制度</w:t>
            </w:r>
          </w:p>
        </w:tc>
        <w:tc>
          <w:tcPr>
            <w:tcW w:w="4691"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≥60dB</w:t>
            </w:r>
          </w:p>
        </w:tc>
      </w:tr>
      <w:tr>
        <w:tblPrEx>
          <w:tblW w:w="8591" w:type="dxa"/>
          <w:tblInd w:w="-8" w:type="dxa"/>
          <w:tblLayout w:type="fixed"/>
          <w:tblLook w:val="04A0"/>
        </w:tblPrEx>
        <w:trPr>
          <w:trHeight w:val="244"/>
        </w:trPr>
        <w:tc>
          <w:tcPr>
            <w:tcW w:w="3900" w:type="dxa"/>
          </w:tcPr>
          <w:p w:rsidR="00800AF2">
            <w:pPr>
              <w:spacing w:line="360" w:lineRule="auto"/>
              <w:rPr>
                <w:rFonts w:ascii="宋体" w:eastAsia="宋体" w:hAnsi="宋体" w:cs="宋体" w:hint="eastAsia"/>
                <w:szCs w:val="21"/>
              </w:rPr>
            </w:pPr>
            <w:r>
              <w:rPr>
                <w:rFonts w:ascii="宋体" w:eastAsia="宋体" w:hAnsi="宋体" w:cs="宋体" w:hint="eastAsia"/>
                <w:szCs w:val="21"/>
              </w:rPr>
              <w:t>中频输出杂散</w:t>
            </w:r>
          </w:p>
        </w:tc>
        <w:tc>
          <w:tcPr>
            <w:tcW w:w="4691"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≤-60dBc</w:t>
            </w:r>
          </w:p>
        </w:tc>
      </w:tr>
      <w:tr>
        <w:tblPrEx>
          <w:tblW w:w="8591" w:type="dxa"/>
          <w:tblInd w:w="-8" w:type="dxa"/>
          <w:tblLayout w:type="fixed"/>
          <w:tblLook w:val="04A0"/>
        </w:tblPrEx>
        <w:trPr>
          <w:trHeight w:val="239"/>
        </w:trPr>
        <w:tc>
          <w:tcPr>
            <w:tcW w:w="3912"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谐波和杂散抑制</w:t>
            </w:r>
          </w:p>
        </w:tc>
        <w:tc>
          <w:tcPr>
            <w:tcW w:w="4679" w:type="dxa"/>
          </w:tcPr>
          <w:p w:rsidR="00800AF2">
            <w:pPr>
              <w:spacing w:line="360" w:lineRule="auto"/>
              <w:rPr>
                <w:rFonts w:ascii="宋体" w:eastAsia="宋体" w:hAnsi="宋体" w:cs="宋体" w:hint="eastAsia"/>
                <w:szCs w:val="21"/>
              </w:rPr>
            </w:pPr>
            <w:r>
              <w:rPr>
                <w:rFonts w:ascii="宋体" w:eastAsia="宋体" w:hAnsi="宋体" w:cs="宋体" w:hint="eastAsia"/>
                <w:szCs w:val="21"/>
              </w:rPr>
              <w:t>≥60dB</w:t>
            </w:r>
          </w:p>
        </w:tc>
      </w:tr>
      <w:tr>
        <w:tblPrEx>
          <w:tblW w:w="8591" w:type="dxa"/>
          <w:tblInd w:w="-8" w:type="dxa"/>
          <w:tblLayout w:type="fixed"/>
          <w:tblLook w:val="04A0"/>
        </w:tblPrEx>
        <w:trPr>
          <w:trHeight w:val="242"/>
        </w:trPr>
        <w:tc>
          <w:tcPr>
            <w:tcW w:w="3912" w:type="dxa"/>
            <w:gridSpan w:val="2"/>
          </w:tcPr>
          <w:p w:rsidR="00800AF2">
            <w:pPr>
              <w:spacing w:line="360" w:lineRule="auto"/>
              <w:rPr>
                <w:rFonts w:ascii="宋体" w:eastAsia="宋体" w:hAnsi="宋体" w:cs="宋体" w:hint="eastAsia"/>
                <w:szCs w:val="21"/>
              </w:rPr>
            </w:pPr>
            <w:r>
              <w:rPr>
                <w:rFonts w:ascii="宋体" w:eastAsia="宋体" w:hAnsi="宋体" w:cs="宋体" w:hint="eastAsia"/>
                <w:szCs w:val="21"/>
              </w:rPr>
              <w:t>数字中频 A/D 位数</w:t>
            </w:r>
          </w:p>
        </w:tc>
        <w:tc>
          <w:tcPr>
            <w:tcW w:w="4679" w:type="dxa"/>
          </w:tcPr>
          <w:p w:rsidR="00800AF2">
            <w:pPr>
              <w:spacing w:line="360" w:lineRule="auto"/>
              <w:rPr>
                <w:rFonts w:ascii="宋体" w:eastAsia="宋体" w:hAnsi="宋体" w:cs="宋体" w:hint="eastAsia"/>
                <w:szCs w:val="21"/>
              </w:rPr>
            </w:pPr>
            <w:r>
              <w:rPr>
                <w:rFonts w:ascii="宋体" w:eastAsia="宋体" w:hAnsi="宋体" w:cs="宋体" w:hint="eastAsia"/>
                <w:szCs w:val="21"/>
              </w:rPr>
              <w:t>≥16 位</w:t>
            </w:r>
          </w:p>
        </w:tc>
      </w:tr>
    </w:tbl>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26</w:t>
      </w:r>
      <w:r>
        <w:rPr>
          <w:rFonts w:ascii="宋体" w:eastAsia="宋体" w:hAnsi="宋体" w:cs="宋体" w:hint="eastAsia"/>
          <w:szCs w:val="21"/>
        </w:rPr>
        <w:fldChar w:fldCharType="end"/>
      </w:r>
      <w:r>
        <w:rPr>
          <w:rFonts w:ascii="宋体" w:eastAsia="宋体" w:hAnsi="宋体" w:cs="宋体" w:hint="eastAsia"/>
          <w:bCs/>
          <w:color w:val="000000"/>
          <w:szCs w:val="21"/>
        </w:rPr>
        <w:t>恒温系统技术性能指标表</w:t>
      </w:r>
    </w:p>
    <w:tbl>
      <w:tblPr>
        <w:tblStyle w:val="TableNormal0"/>
        <w:tblW w:w="8610"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981"/>
        <w:gridCol w:w="4629"/>
      </w:tblGrid>
      <w:tr>
        <w:tblPrEx>
          <w:tblW w:w="8610"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0"/>
        </w:trPr>
        <w:tc>
          <w:tcPr>
            <w:tcW w:w="3981" w:type="dxa"/>
          </w:tcPr>
          <w:p w:rsidR="00800AF2">
            <w:pPr>
              <w:spacing w:line="360" w:lineRule="auto"/>
              <w:rPr>
                <w:rFonts w:ascii="宋体" w:eastAsia="宋体" w:hAnsi="宋体" w:cs="宋体" w:hint="eastAsia"/>
                <w:szCs w:val="21"/>
              </w:rPr>
            </w:pPr>
            <w:r>
              <w:rPr>
                <w:rFonts w:ascii="宋体" w:eastAsia="宋体" w:hAnsi="宋体" w:cs="宋体" w:hint="eastAsia"/>
                <w:szCs w:val="21"/>
              </w:rPr>
              <w:t>环境温度</w:t>
            </w:r>
          </w:p>
        </w:tc>
        <w:tc>
          <w:tcPr>
            <w:tcW w:w="4629" w:type="dxa"/>
          </w:tcPr>
          <w:p w:rsidR="00800AF2">
            <w:pPr>
              <w:spacing w:line="360" w:lineRule="auto"/>
              <w:rPr>
                <w:rFonts w:ascii="宋体" w:eastAsia="宋体" w:hAnsi="宋体" w:cs="宋体" w:hint="eastAsia"/>
                <w:szCs w:val="21"/>
              </w:rPr>
            </w:pPr>
            <w:r>
              <w:rPr>
                <w:rFonts w:ascii="宋体" w:eastAsia="宋体" w:hAnsi="宋体" w:cs="宋体" w:hint="eastAsia"/>
                <w:szCs w:val="21"/>
              </w:rPr>
              <w:t>收发分系统机箱内部温度</w:t>
            </w:r>
          </w:p>
        </w:tc>
      </w:tr>
      <w:tr>
        <w:tblPrEx>
          <w:tblW w:w="8610" w:type="dxa"/>
          <w:tblInd w:w="7" w:type="dxa"/>
          <w:tblLayout w:type="fixed"/>
          <w:tblLook w:val="04A0"/>
        </w:tblPrEx>
        <w:trPr>
          <w:trHeight w:val="238"/>
        </w:trPr>
        <w:tc>
          <w:tcPr>
            <w:tcW w:w="3981" w:type="dxa"/>
          </w:tcPr>
          <w:p w:rsidR="00800AF2">
            <w:pPr>
              <w:spacing w:line="360" w:lineRule="auto"/>
              <w:rPr>
                <w:rFonts w:ascii="宋体" w:eastAsia="宋体" w:hAnsi="宋体" w:cs="宋体" w:hint="eastAsia"/>
                <w:szCs w:val="21"/>
              </w:rPr>
            </w:pPr>
            <w:r>
              <w:rPr>
                <w:rFonts w:ascii="宋体" w:eastAsia="宋体" w:hAnsi="宋体" w:cs="宋体" w:hint="eastAsia"/>
                <w:szCs w:val="21"/>
              </w:rPr>
              <w:t>&lt;0℃</w:t>
            </w:r>
          </w:p>
        </w:tc>
        <w:tc>
          <w:tcPr>
            <w:tcW w:w="4629" w:type="dxa"/>
          </w:tcPr>
          <w:p w:rsidR="00800AF2">
            <w:pPr>
              <w:spacing w:line="360" w:lineRule="auto"/>
              <w:rPr>
                <w:rFonts w:ascii="宋体" w:eastAsia="宋体" w:hAnsi="宋体" w:cs="宋体" w:hint="eastAsia"/>
                <w:szCs w:val="21"/>
              </w:rPr>
            </w:pPr>
            <w:r>
              <w:rPr>
                <w:rFonts w:ascii="宋体" w:eastAsia="宋体" w:hAnsi="宋体" w:cs="宋体" w:hint="eastAsia"/>
                <w:szCs w:val="21"/>
              </w:rPr>
              <w:t>≥0℃</w:t>
            </w:r>
          </w:p>
        </w:tc>
      </w:tr>
      <w:tr>
        <w:tblPrEx>
          <w:tblW w:w="8610" w:type="dxa"/>
          <w:tblInd w:w="7" w:type="dxa"/>
          <w:tblLayout w:type="fixed"/>
          <w:tblLook w:val="04A0"/>
        </w:tblPrEx>
        <w:trPr>
          <w:trHeight w:val="241"/>
        </w:trPr>
        <w:tc>
          <w:tcPr>
            <w:tcW w:w="3981" w:type="dxa"/>
          </w:tcPr>
          <w:p w:rsidR="00800AF2">
            <w:pPr>
              <w:spacing w:line="360" w:lineRule="auto"/>
              <w:rPr>
                <w:rFonts w:ascii="宋体" w:eastAsia="宋体" w:hAnsi="宋体" w:cs="宋体" w:hint="eastAsia"/>
                <w:szCs w:val="21"/>
              </w:rPr>
            </w:pPr>
            <w:r>
              <w:rPr>
                <w:rFonts w:ascii="宋体" w:eastAsia="宋体" w:hAnsi="宋体" w:cs="宋体" w:hint="eastAsia"/>
                <w:szCs w:val="21"/>
              </w:rPr>
              <w:t>≥0℃</w:t>
            </w:r>
          </w:p>
        </w:tc>
        <w:tc>
          <w:tcPr>
            <w:tcW w:w="4629" w:type="dxa"/>
          </w:tcPr>
          <w:p w:rsidR="00800AF2">
            <w:pPr>
              <w:spacing w:line="360" w:lineRule="auto"/>
              <w:rPr>
                <w:rFonts w:ascii="宋体" w:eastAsia="宋体" w:hAnsi="宋体" w:cs="宋体" w:hint="eastAsia"/>
                <w:szCs w:val="21"/>
              </w:rPr>
            </w:pPr>
            <w:r>
              <w:rPr>
                <w:rFonts w:ascii="宋体" w:eastAsia="宋体" w:hAnsi="宋体" w:cs="宋体" w:hint="eastAsia"/>
                <w:szCs w:val="21"/>
              </w:rPr>
              <w:t>30±5℃</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5.1.5.5.3.6供电分系统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供电分系统主要由收发分系统低纹波电源、恒温系统电源以及配套连接器等组成。供电分系统采用交流电输入，为收发分系统提供多路高质量直流电源，同时为收发分系统的恒温系统提供直流电源。</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5.1.5.5.3.7数据处理控制分系统</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据处理控制分系统主要由云雷达控制终端和数据处理终端组成。数据处理控制分系统与云雷达主机之间通过光纤连接，实现云雷达的远程控制、运行状态监控、关键参数在线监测分析、数据统一处理与输出，同时具有业务过程管理、数据查询与显示等功能，从而达到自动化保障云雷达运行维护和远程无人值守目的。</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数据处理：</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根据云雷达偏振体制进行数据处理和质量控制，生成基数据产品和物理量产品。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状态监测：</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在线监测云雷达运行状态和关键参数，包括云雷达的静态参数、运行模式参数、运行环境参数、在线定时标定参数、在线实时标定参数、在线实时状态与预警参数等。</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27</w:t>
      </w:r>
      <w:r>
        <w:rPr>
          <w:rFonts w:ascii="宋体" w:eastAsia="宋体" w:hAnsi="宋体" w:cs="宋体" w:hint="eastAsia"/>
          <w:szCs w:val="21"/>
        </w:rPr>
        <w:fldChar w:fldCharType="end"/>
      </w:r>
      <w:r>
        <w:rPr>
          <w:rFonts w:ascii="宋体" w:eastAsia="宋体" w:hAnsi="宋体" w:cs="宋体" w:hint="eastAsia"/>
          <w:bCs/>
          <w:color w:val="000000"/>
          <w:szCs w:val="21"/>
        </w:rPr>
        <w:t>在线监测参数列表</w:t>
      </w:r>
    </w:p>
    <w:tbl>
      <w:tblPr>
        <w:tblStyle w:val="TableNormal"/>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2"/>
        <w:gridCol w:w="3686"/>
        <w:gridCol w:w="4013"/>
      </w:tblGrid>
      <w:tr>
        <w:tblPrEx>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r>
              <w:rPr>
                <w:rFonts w:ascii="宋体" w:eastAsia="宋体" w:hAnsi="宋体" w:cs="宋体" w:hint="eastAsia"/>
                <w:szCs w:val="21"/>
              </w:rPr>
              <w:t>序 号</w:t>
            </w: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监测参数</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备注</w:t>
            </w:r>
          </w:p>
        </w:tc>
      </w:tr>
      <w:tr>
        <w:tblPrEx>
          <w:tblW w:w="8511" w:type="dxa"/>
          <w:jc w:val="center"/>
          <w:tblLayout w:type="fixed"/>
          <w:tblLook w:val="04A0"/>
        </w:tblPrEx>
        <w:trPr>
          <w:trHeight w:val="284"/>
          <w:jc w:val="center"/>
        </w:trPr>
        <w:tc>
          <w:tcPr>
            <w:tcW w:w="8511"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云雷达静态参数</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雷达站号</w:t>
            </w:r>
          </w:p>
        </w:tc>
        <w:tc>
          <w:tcPr>
            <w:tcW w:w="4013" w:type="dxa"/>
          </w:tcPr>
          <w:p w:rsidR="00800AF2">
            <w:pPr>
              <w:spacing w:line="360" w:lineRule="auto"/>
              <w:rPr>
                <w:rFonts w:ascii="宋体" w:eastAsia="宋体" w:hAnsi="宋体" w:cs="宋体" w:hint="eastAsia"/>
                <w:szCs w:val="21"/>
              </w:rPr>
            </w:pP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站点名称</w:t>
            </w:r>
          </w:p>
        </w:tc>
        <w:tc>
          <w:tcPr>
            <w:tcW w:w="4013" w:type="dxa"/>
          </w:tcPr>
          <w:p w:rsidR="00800AF2">
            <w:pPr>
              <w:spacing w:line="360" w:lineRule="auto"/>
              <w:rPr>
                <w:rFonts w:ascii="宋体" w:eastAsia="宋体" w:hAnsi="宋体" w:cs="宋体" w:hint="eastAsia"/>
                <w:szCs w:val="21"/>
              </w:rPr>
            </w:pPr>
          </w:p>
        </w:tc>
      </w:tr>
      <w:tr>
        <w:tblPrEx>
          <w:tblW w:w="8511" w:type="dxa"/>
          <w:jc w:val="center"/>
          <w:tblLayout w:type="fixed"/>
          <w:tblLook w:val="04A0"/>
        </w:tblPrEx>
        <w:trPr>
          <w:trHeight w:val="90"/>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纬度</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经度</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海拔高度</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单位：米</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雷达类型</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扫描型云雷达或垂直型云雷达</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工作频率</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单位：MHz</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水平通道天线增益</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垂直通道天线增益</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水平极化方位波束宽度</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水平极化俯仰波束宽度</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垂直极化方位波束宽度</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垂直极化俯仰波束宽度</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水平发射支路总损耗</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垂直发射支路总损耗</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水平接收支路总损耗</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垂直接收支路总损耗</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其他损耗</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511"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云雷达运行模式参数</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时间</w:t>
            </w:r>
          </w:p>
        </w:tc>
        <w:tc>
          <w:tcPr>
            <w:tcW w:w="4013" w:type="dxa"/>
          </w:tcPr>
          <w:p w:rsidR="00800AF2">
            <w:pPr>
              <w:spacing w:line="360" w:lineRule="auto"/>
              <w:rPr>
                <w:rFonts w:ascii="宋体" w:eastAsia="宋体" w:hAnsi="宋体" w:cs="宋体" w:hint="eastAsia"/>
                <w:szCs w:val="21"/>
              </w:rPr>
            </w:pPr>
            <w:r>
              <w:rPr>
                <w:rFonts w:ascii="宋体" w:eastAsia="宋体" w:hAnsi="宋体" w:cs="宋体" w:hint="eastAsia"/>
                <w:szCs w:val="21"/>
              </w:rPr>
              <w:t>单位：秒</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扫描模式</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扫描模式名称</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系统状态</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正常、可用、需维护、故障、关机</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当前扫描收发模式</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单发单收、单发双收、双发双收</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当前扫描PRF</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单位：Hz</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当前扫描发射机脉宽</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单位：us</w:t>
            </w:r>
          </w:p>
        </w:tc>
      </w:tr>
      <w:tr>
        <w:tblPrEx>
          <w:tblW w:w="8511" w:type="dxa"/>
          <w:jc w:val="center"/>
          <w:tblLayout w:type="fixed"/>
          <w:tblLook w:val="04A0"/>
        </w:tblPrEx>
        <w:trPr>
          <w:trHeight w:val="284"/>
          <w:jc w:val="center"/>
        </w:trPr>
        <w:tc>
          <w:tcPr>
            <w:tcW w:w="8511"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云雷达运行环境参数</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收发箱温度</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单位：℃</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发射机温度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水平通道接收机温度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垂直通道接收机温度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t>
            </w:r>
          </w:p>
        </w:tc>
      </w:tr>
      <w:tr>
        <w:tblPrEx>
          <w:tblW w:w="8511" w:type="dxa"/>
          <w:jc w:val="center"/>
          <w:tblLayout w:type="fixed"/>
          <w:tblLook w:val="04A0"/>
        </w:tblPrEx>
        <w:trPr>
          <w:trHeight w:val="284"/>
          <w:jc w:val="center"/>
        </w:trPr>
        <w:tc>
          <w:tcPr>
            <w:tcW w:w="8511"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云雷达在线定时标定参数</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TD标定期望值</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单位：dB 发射机延迟信号测试</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TD标定测量值</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单位：dB 发射机延迟信号测试</w:t>
            </w:r>
          </w:p>
        </w:tc>
      </w:tr>
      <w:tr>
        <w:tblPrEx>
          <w:tblW w:w="8511" w:type="dxa"/>
          <w:jc w:val="center"/>
          <w:tblLayout w:type="fixed"/>
          <w:tblLook w:val="04A0"/>
        </w:tblPrEx>
        <w:trPr>
          <w:trHeight w:val="279"/>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水平通道相位噪声</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单位：度 杂波抑制测试</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垂直通道相位噪声</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双偏振预留，单位：度 杂波抑制测试</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水平通道滤波前功率</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单位：dB  杂波抑制测试</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水平通道滤波后功率</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单位：dB  杂波抑制测试</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垂直通道滤波前功率</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双偏振预留，单位：dB 杂波抑制测试</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tcPr>
          <w:p w:rsidR="00800AF2">
            <w:pPr>
              <w:spacing w:line="360" w:lineRule="auto"/>
              <w:rPr>
                <w:rFonts w:ascii="宋体" w:eastAsia="宋体" w:hAnsi="宋体" w:cs="宋体" w:hint="eastAsia"/>
                <w:szCs w:val="21"/>
              </w:rPr>
            </w:pPr>
            <w:r>
              <w:rPr>
                <w:rFonts w:ascii="宋体" w:eastAsia="宋体" w:hAnsi="宋体" w:cs="宋体" w:hint="eastAsia"/>
                <w:szCs w:val="21"/>
              </w:rPr>
              <w:t>垂直通道滤波后功率</w:t>
            </w:r>
          </w:p>
        </w:tc>
        <w:tc>
          <w:tcPr>
            <w:tcW w:w="4013" w:type="dxa"/>
            <w:noWrap/>
          </w:tcPr>
          <w:p w:rsidR="00800AF2">
            <w:pPr>
              <w:spacing w:line="360" w:lineRule="auto"/>
              <w:rPr>
                <w:rFonts w:ascii="宋体" w:eastAsia="宋体" w:hAnsi="宋体" w:cs="宋体" w:hint="eastAsia"/>
                <w:szCs w:val="21"/>
              </w:rPr>
            </w:pPr>
            <w:r>
              <w:rPr>
                <w:rFonts w:ascii="宋体" w:eastAsia="宋体" w:hAnsi="宋体" w:cs="宋体" w:hint="eastAsia"/>
                <w:szCs w:val="21"/>
              </w:rPr>
              <w:t>双偏振预留，单位：dB 杂波抑制测试</w:t>
            </w:r>
          </w:p>
        </w:tc>
      </w:tr>
      <w:tr>
        <w:tblPrEx>
          <w:tblW w:w="8511" w:type="dxa"/>
          <w:jc w:val="center"/>
          <w:tblLayout w:type="fixed"/>
          <w:tblLook w:val="04A0"/>
        </w:tblPrEx>
        <w:trPr>
          <w:trHeight w:val="284"/>
          <w:jc w:val="center"/>
        </w:trPr>
        <w:tc>
          <w:tcPr>
            <w:tcW w:w="8511"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云雷达在线实时标定参数</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水平通道发射机峰值功率</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水平通道发射机平均功率</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垂直通道发射机峰值功率</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垂直通道发射机平均功率</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水平通道噪声系数</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单位：K/dB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垂直通道噪声系数</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双偏振预留, 单位：K/dB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水平通道速度期望值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 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水平通道速度测量值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垂直通道速度期望值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 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垂直通道速度测量值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水平通道谱宽期望值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水平通道谱宽测量值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垂直通道谱宽期望值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 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垂直通道谱宽测量值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单位：m/s 连续波标定</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ZDR标定值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双偏振预留，单位：dB 差分反射率标定值</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ΦDP标定值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双偏振预留，单位：度 差分相位标定值</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水平通道不同脉宽噪声电平</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垂直通道不同脉宽噪声电平</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双偏振预留，单位：dB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水平通道不同脉冲反射率期望值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t>
            </w:r>
            <w:r>
              <w:rPr>
                <w:rFonts w:ascii="宋体" w:eastAsia="宋体" w:hAnsi="宋体" w:cs="宋体" w:hint="eastAsia"/>
                <w:szCs w:val="21"/>
              </w:rPr>
              <w:t>dBZ</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水平通道不同脉冲反射率测量值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t>
            </w:r>
            <w:r>
              <w:rPr>
                <w:rFonts w:ascii="宋体" w:eastAsia="宋体" w:hAnsi="宋体" w:cs="宋体" w:hint="eastAsia"/>
                <w:szCs w:val="21"/>
              </w:rPr>
              <w:t>dBZ</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垂直通道不同脉冲反射率期望值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t>
            </w:r>
            <w:r>
              <w:rPr>
                <w:rFonts w:ascii="宋体" w:eastAsia="宋体" w:hAnsi="宋体" w:cs="宋体" w:hint="eastAsia"/>
                <w:szCs w:val="21"/>
              </w:rPr>
              <w:t>dBZ</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垂直通道不同脉冲反射率测量值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w:t>
            </w:r>
            <w:r>
              <w:rPr>
                <w:rFonts w:ascii="宋体" w:eastAsia="宋体" w:hAnsi="宋体" w:cs="宋体" w:hint="eastAsia"/>
                <w:szCs w:val="21"/>
              </w:rPr>
              <w:t>dBZ</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水平通道不同脉冲宽度系统标定常数期望值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水平通道不同脉冲宽度系统标定常数测量值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垂直通道不同脉冲宽度系统标定常数期望值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垂直通道不同脉冲宽度系统标定常数测量值</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单位：dB</w:t>
            </w:r>
          </w:p>
        </w:tc>
      </w:tr>
      <w:tr>
        <w:tblPrEx>
          <w:tblW w:w="8511" w:type="dxa"/>
          <w:jc w:val="center"/>
          <w:tblLayout w:type="fixed"/>
          <w:tblLook w:val="04A0"/>
        </w:tblPrEx>
        <w:trPr>
          <w:trHeight w:val="284"/>
          <w:jc w:val="center"/>
        </w:trPr>
        <w:tc>
          <w:tcPr>
            <w:tcW w:w="8511" w:type="dxa"/>
            <w:gridSpan w:val="3"/>
          </w:tcPr>
          <w:p w:rsidR="00800AF2">
            <w:pPr>
              <w:spacing w:line="360" w:lineRule="auto"/>
              <w:rPr>
                <w:rFonts w:ascii="宋体" w:eastAsia="宋体" w:hAnsi="宋体" w:cs="宋体" w:hint="eastAsia"/>
                <w:szCs w:val="21"/>
              </w:rPr>
            </w:pPr>
            <w:r>
              <w:rPr>
                <w:rFonts w:ascii="宋体" w:eastAsia="宋体" w:hAnsi="宋体" w:cs="宋体" w:hint="eastAsia"/>
                <w:szCs w:val="21"/>
              </w:rPr>
              <w:t>云雷达在线实时状态与预警参数</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数字中频通信状态</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连接正常、连接断开</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雷达维护开关状态</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维护、正常</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俯仰上限位预警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俯仰下限位预警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方位电机预警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俯仰电机预警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功放状态预警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功放过温预警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功放过占空比预警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频综采样时钟预警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第一本振预警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第二本振预警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发射机激励预警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r>
        <w:tblPrEx>
          <w:tblW w:w="8511" w:type="dxa"/>
          <w:jc w:val="center"/>
          <w:tblLayout w:type="fixed"/>
          <w:tblLook w:val="04A0"/>
        </w:tblPrEx>
        <w:trPr>
          <w:trHeight w:val="284"/>
          <w:jc w:val="center"/>
        </w:trPr>
        <w:tc>
          <w:tcPr>
            <w:tcW w:w="812" w:type="dxa"/>
          </w:tcPr>
          <w:p w:rsidR="00800AF2">
            <w:pPr>
              <w:spacing w:line="360" w:lineRule="auto"/>
              <w:rPr>
                <w:rFonts w:ascii="宋体" w:eastAsia="宋体" w:hAnsi="宋体" w:cs="宋体" w:hint="eastAsia"/>
                <w:szCs w:val="21"/>
              </w:rPr>
            </w:pPr>
          </w:p>
        </w:tc>
        <w:tc>
          <w:tcPr>
            <w:tcW w:w="368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中频激励预警</w:t>
            </w:r>
          </w:p>
        </w:tc>
        <w:tc>
          <w:tcPr>
            <w:tcW w:w="4013" w:type="dxa"/>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告警、不告警</w:t>
            </w:r>
          </w:p>
        </w:tc>
      </w:tr>
    </w:tbl>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远程控制：</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具有远程控制功能，包括：云雷达主机开断电、切换观测模式、修改适配参数等。</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28</w:t>
      </w:r>
      <w:r>
        <w:rPr>
          <w:rFonts w:ascii="宋体" w:eastAsia="宋体" w:hAnsi="宋体" w:cs="宋体" w:hint="eastAsia"/>
          <w:szCs w:val="21"/>
        </w:rPr>
        <w:fldChar w:fldCharType="end"/>
      </w:r>
      <w:r>
        <w:rPr>
          <w:rFonts w:ascii="宋体" w:eastAsia="宋体" w:hAnsi="宋体" w:cs="宋体" w:hint="eastAsia"/>
          <w:bCs/>
          <w:color w:val="000000"/>
          <w:szCs w:val="21"/>
        </w:rPr>
        <w:t>远程控制命令列表</w:t>
      </w:r>
    </w:p>
    <w:tbl>
      <w:tblPr>
        <w:tblStyle w:val="TableNormal"/>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3"/>
        <w:gridCol w:w="3846"/>
        <w:gridCol w:w="3875"/>
      </w:tblGrid>
      <w:tr>
        <w:tblPrEx>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序号</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命令类型</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含义</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状态信息请求</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云雷达立即响应状态信息报文</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2</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请求控制权限</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请求控制权限或释放控制权限</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3</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控制云雷达运行</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控制云雷达开始或停止探测</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4</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电源控制</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控制云雷达上电或断电</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5</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扫描控制-添加执行任务</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增加任务到当前执行任务列表</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6</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扫描控制-删除执行任务</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删除执行任务列表已存在任务</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7</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获取执行任务列表中指定任务参数</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获取执行任务列表中扫描参数</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8</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增加可用任务列表配置</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增加扫描配置</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9</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删除可用任务列表配置</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删除可用任务列表中已存在的任务</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10</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获取可用任务列表中指定任务参数</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获取参数的可用任务列表中已存在的任务</w:t>
            </w:r>
          </w:p>
        </w:tc>
      </w:tr>
      <w:tr>
        <w:tblPrEx>
          <w:tblW w:w="8554" w:type="dxa"/>
          <w:jc w:val="center"/>
          <w:tblLayout w:type="fixed"/>
          <w:tblLook w:val="04A0"/>
        </w:tblPrEx>
        <w:trPr>
          <w:jc w:val="center"/>
        </w:trPr>
        <w:tc>
          <w:tcPr>
            <w:tcW w:w="833"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11</w:t>
            </w:r>
          </w:p>
        </w:tc>
        <w:tc>
          <w:tcPr>
            <w:tcW w:w="3846"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获取云雷达支持脉宽列表</w:t>
            </w:r>
          </w:p>
        </w:tc>
        <w:tc>
          <w:tcPr>
            <w:tcW w:w="3875"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获取云雷达支持脉宽列表</w:t>
            </w:r>
          </w:p>
        </w:tc>
      </w:tr>
    </w:tbl>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业务过程管理：</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云雷达应具有基本的业务过程管理功能，业务过程应包括日常维护、系统维修、故障管理和测试标定等。</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（1）日常维护：录入维护记录，具有历史记录查询功能。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（2）系统维修：录入系统维修、更换器件记录，具有历史记录查询和统计功能。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（3）故障管理：对系统出现故障和报警的时间、内容和等级等内容进行记录，并对故障进行统计，方便分析设备各分系统的故障情况。</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（4）测试定标：定标情况显示和定标提示以及部分关键指标的统计显示，并对定标状态和定标结果进行分析。</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数据查询与显示：</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对云雷达所产生的数据和信息进行处理，并用图形、图表等方式提供给有关人员，用于天气现象分析和预报使用。具有以下功能：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（1）观测数据及产品图形显示；</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（2）具备对监测的所有参数显示及超限告警提示显示功能；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（3）气象产品查询，可通过时间轴，日期窗口灵活选择查询功能；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（4）游标引导，鼠标位置显示、数值及产品信息显示；</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（5）图像处理显示，具有同时观测多仰角多要素同时显示功能。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信号处理器技术指标：</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信号处理器技术指标主要包括脉冲压缩主副瓣比、距离库数、地物杂波抑制比等。具体指标见下表。</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29</w:t>
      </w:r>
      <w:r>
        <w:rPr>
          <w:rFonts w:ascii="宋体" w:eastAsia="宋体" w:hAnsi="宋体" w:cs="宋体" w:hint="eastAsia"/>
          <w:szCs w:val="21"/>
        </w:rPr>
        <w:fldChar w:fldCharType="end"/>
      </w:r>
      <w:r>
        <w:rPr>
          <w:rFonts w:ascii="宋体" w:eastAsia="宋体" w:hAnsi="宋体" w:cs="宋体" w:hint="eastAsia"/>
          <w:bCs/>
          <w:color w:val="000000"/>
          <w:szCs w:val="21"/>
        </w:rPr>
        <w:t>恒温系统技术性能指标表</w:t>
      </w:r>
    </w:p>
    <w:tbl>
      <w:tblPr>
        <w:tblStyle w:val="TableNormal0"/>
        <w:tblW w:w="8596"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830"/>
        <w:gridCol w:w="4766"/>
      </w:tblGrid>
      <w:tr>
        <w:tblPrEx>
          <w:tblW w:w="8596"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53"/>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性能指标</w:t>
            </w:r>
          </w:p>
        </w:tc>
      </w:tr>
      <w:tr>
        <w:tblPrEx>
          <w:tblW w:w="8596" w:type="dxa"/>
          <w:tblInd w:w="14" w:type="dxa"/>
          <w:tblLayout w:type="fixed"/>
          <w:tblLook w:val="04A0"/>
        </w:tblPrEx>
        <w:trPr>
          <w:trHeight w:val="237"/>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脉冲压缩主副瓣比</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≥40dB（脉压比≥100）</w:t>
            </w:r>
          </w:p>
        </w:tc>
      </w:tr>
      <w:tr>
        <w:tblPrEx>
          <w:tblW w:w="8596" w:type="dxa"/>
          <w:tblInd w:w="14" w:type="dxa"/>
          <w:tblLayout w:type="fixed"/>
          <w:tblLook w:val="04A0"/>
        </w:tblPrEx>
        <w:trPr>
          <w:trHeight w:val="239"/>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距离库长度</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30m</w:t>
            </w:r>
          </w:p>
        </w:tc>
      </w:tr>
      <w:tr>
        <w:tblPrEx>
          <w:tblW w:w="8596" w:type="dxa"/>
          <w:tblInd w:w="14" w:type="dxa"/>
          <w:tblLayout w:type="fixed"/>
          <w:tblLook w:val="04A0"/>
        </w:tblPrEx>
        <w:trPr>
          <w:trHeight w:val="237"/>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距离库数</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≥1000 个</w:t>
            </w:r>
          </w:p>
        </w:tc>
      </w:tr>
      <w:tr>
        <w:tblPrEx>
          <w:tblW w:w="8596" w:type="dxa"/>
          <w:tblInd w:w="14" w:type="dxa"/>
          <w:tblLayout w:type="fixed"/>
          <w:tblLook w:val="04A0"/>
        </w:tblPrEx>
        <w:trPr>
          <w:trHeight w:val="239"/>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处理方式</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FFT（</w:t>
            </w:r>
            <w:r>
              <w:rPr>
                <w:rFonts w:ascii="宋体" w:eastAsia="宋体" w:hAnsi="宋体" w:cs="宋体" w:hint="eastAsia"/>
                <w:szCs w:val="21"/>
              </w:rPr>
              <w:t>FFT</w:t>
            </w:r>
            <w:r>
              <w:rPr>
                <w:rFonts w:ascii="宋体" w:eastAsia="宋体" w:hAnsi="宋体" w:cs="宋体" w:hint="eastAsia"/>
                <w:szCs w:val="21"/>
              </w:rPr>
              <w:t xml:space="preserve"> 点数：32～1024）/PPP（处理对数：16～1024）</w:t>
            </w:r>
          </w:p>
        </w:tc>
      </w:tr>
      <w:tr>
        <w:tblPrEx>
          <w:tblW w:w="8596" w:type="dxa"/>
          <w:tblInd w:w="14" w:type="dxa"/>
          <w:tblLayout w:type="fixed"/>
          <w:tblLook w:val="04A0"/>
        </w:tblPrEx>
        <w:trPr>
          <w:trHeight w:val="237"/>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相关系数处理方式</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一阶相关或多阶相关</w:t>
            </w:r>
          </w:p>
        </w:tc>
      </w:tr>
      <w:tr>
        <w:tblPrEx>
          <w:tblW w:w="8596" w:type="dxa"/>
          <w:tblInd w:w="14" w:type="dxa"/>
          <w:tblLayout w:type="fixed"/>
          <w:tblLook w:val="04A0"/>
        </w:tblPrEx>
        <w:trPr>
          <w:trHeight w:val="237"/>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地物杂波抑制比</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≥42dB</w:t>
            </w:r>
          </w:p>
        </w:tc>
      </w:tr>
      <w:tr>
        <w:tblPrEx>
          <w:tblW w:w="8596" w:type="dxa"/>
          <w:tblInd w:w="14" w:type="dxa"/>
          <w:tblLayout w:type="fixed"/>
          <w:tblLook w:val="04A0"/>
        </w:tblPrEx>
        <w:trPr>
          <w:trHeight w:val="239"/>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距离退折叠方法</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相位编码或其他等效方法</w:t>
            </w:r>
          </w:p>
        </w:tc>
      </w:tr>
      <w:tr>
        <w:tblPrEx>
          <w:tblW w:w="8596" w:type="dxa"/>
          <w:tblInd w:w="14" w:type="dxa"/>
          <w:tblLayout w:type="fixed"/>
          <w:tblLook w:val="04A0"/>
        </w:tblPrEx>
        <w:trPr>
          <w:trHeight w:val="242"/>
        </w:trPr>
        <w:tc>
          <w:tcPr>
            <w:tcW w:w="3830" w:type="dxa"/>
          </w:tcPr>
          <w:p w:rsidR="00800AF2">
            <w:pPr>
              <w:spacing w:line="360" w:lineRule="auto"/>
              <w:rPr>
                <w:rFonts w:ascii="宋体" w:eastAsia="宋体" w:hAnsi="宋体" w:cs="宋体" w:hint="eastAsia"/>
                <w:szCs w:val="21"/>
              </w:rPr>
            </w:pPr>
            <w:r>
              <w:rPr>
                <w:rFonts w:ascii="宋体" w:eastAsia="宋体" w:hAnsi="宋体" w:cs="宋体" w:hint="eastAsia"/>
                <w:szCs w:val="21"/>
              </w:rPr>
              <w:t>速度退模糊方法</w:t>
            </w:r>
          </w:p>
        </w:tc>
        <w:tc>
          <w:tcPr>
            <w:tcW w:w="4766" w:type="dxa"/>
          </w:tcPr>
          <w:p w:rsidR="00800AF2">
            <w:pPr>
              <w:spacing w:line="360" w:lineRule="auto"/>
              <w:rPr>
                <w:rFonts w:ascii="宋体" w:eastAsia="宋体" w:hAnsi="宋体" w:cs="宋体" w:hint="eastAsia"/>
                <w:szCs w:val="21"/>
              </w:rPr>
            </w:pPr>
            <w:r>
              <w:rPr>
                <w:rFonts w:ascii="宋体" w:eastAsia="宋体" w:hAnsi="宋体" w:cs="宋体" w:hint="eastAsia"/>
                <w:szCs w:val="21"/>
              </w:rPr>
              <w:t>双重频或其他等效方法</w:t>
            </w:r>
          </w:p>
        </w:tc>
      </w:tr>
    </w:tbl>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5.1.5.5.3.8气象产品</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气象产品包含以下内容。</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30</w:t>
      </w:r>
      <w:r>
        <w:rPr>
          <w:rFonts w:ascii="宋体" w:eastAsia="宋体" w:hAnsi="宋体" w:cs="宋体" w:hint="eastAsia"/>
          <w:szCs w:val="21"/>
        </w:rPr>
        <w:fldChar w:fldCharType="end"/>
      </w:r>
      <w:r>
        <w:rPr>
          <w:rFonts w:ascii="宋体" w:eastAsia="宋体" w:hAnsi="宋体" w:cs="宋体" w:hint="eastAsia"/>
          <w:bCs/>
          <w:color w:val="000000"/>
          <w:szCs w:val="21"/>
        </w:rPr>
        <w:t>气象产品表</w:t>
      </w:r>
    </w:p>
    <w:tbl>
      <w:tblPr>
        <w:tblStyle w:val="TableNormal0"/>
        <w:tblW w:w="862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845"/>
        <w:gridCol w:w="4775"/>
      </w:tblGrid>
      <w:tr>
        <w:tblPrEx>
          <w:tblW w:w="862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90"/>
        </w:trPr>
        <w:tc>
          <w:tcPr>
            <w:tcW w:w="384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产品类型</w:t>
            </w:r>
          </w:p>
        </w:tc>
        <w:tc>
          <w:tcPr>
            <w:tcW w:w="477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产品名称</w:t>
            </w:r>
          </w:p>
        </w:tc>
      </w:tr>
      <w:tr>
        <w:tblPrEx>
          <w:tblW w:w="8620" w:type="dxa"/>
          <w:tblInd w:w="2" w:type="dxa"/>
          <w:tblLayout w:type="fixed"/>
          <w:tblLook w:val="04A0"/>
        </w:tblPrEx>
        <w:trPr>
          <w:trHeight w:val="237"/>
        </w:trPr>
        <w:tc>
          <w:tcPr>
            <w:tcW w:w="384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原始数据产品</w:t>
            </w:r>
          </w:p>
        </w:tc>
        <w:tc>
          <w:tcPr>
            <w:tcW w:w="477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功率谱（FFT）</w:t>
            </w:r>
          </w:p>
        </w:tc>
      </w:tr>
      <w:tr>
        <w:tblPrEx>
          <w:tblW w:w="8620" w:type="dxa"/>
          <w:tblInd w:w="2" w:type="dxa"/>
          <w:tblLayout w:type="fixed"/>
          <w:tblLook w:val="04A0"/>
        </w:tblPrEx>
        <w:trPr>
          <w:trHeight w:val="563"/>
        </w:trPr>
        <w:tc>
          <w:tcPr>
            <w:tcW w:w="384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基数据产品</w:t>
            </w:r>
          </w:p>
        </w:tc>
        <w:tc>
          <w:tcPr>
            <w:tcW w:w="477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反射率因子（Z）</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径向速度（V）</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速度谱宽（W）</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信噪比（SNR）</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退偏振比（LDR）（单发双收偏振模式） 差分反</w:t>
            </w:r>
            <w:r>
              <w:rPr>
                <w:rFonts w:ascii="宋体" w:eastAsia="宋体" w:hAnsi="宋体" w:cs="宋体" w:hint="eastAsia"/>
                <w:spacing w:val="10"/>
                <w:szCs w:val="21"/>
                <w:lang w:bidi="en-US"/>
              </w:rPr>
              <w:t>射率因子（ZDR）</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差分传播相移(ΦDP）</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差分传播相移率（KDP）</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相关系数(ρHV）</w:t>
            </w:r>
          </w:p>
        </w:tc>
      </w:tr>
      <w:tr>
        <w:tblPrEx>
          <w:tblW w:w="8620" w:type="dxa"/>
          <w:tblInd w:w="2" w:type="dxa"/>
          <w:tblLayout w:type="fixed"/>
          <w:tblLook w:val="04A0"/>
        </w:tblPrEx>
        <w:trPr>
          <w:trHeight w:val="1174"/>
        </w:trPr>
        <w:tc>
          <w:tcPr>
            <w:tcW w:w="384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物理量产品</w:t>
            </w:r>
          </w:p>
        </w:tc>
        <w:tc>
          <w:tcPr>
            <w:tcW w:w="4775" w:type="dxa"/>
            <w:vAlign w:val="center"/>
          </w:tcPr>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云顶高度（CT） 云底高度（CB） 云量（CC）</w:t>
            </w:r>
          </w:p>
          <w:p w:rsidR="00800AF2">
            <w:pPr>
              <w:snapToGrid w:val="0"/>
              <w:spacing w:line="360" w:lineRule="auto"/>
              <w:jc w:val="center"/>
              <w:rPr>
                <w:rFonts w:ascii="宋体" w:eastAsia="宋体" w:hAnsi="宋体" w:cs="宋体" w:hint="eastAsia"/>
                <w:spacing w:val="10"/>
                <w:szCs w:val="21"/>
                <w:lang w:bidi="en-US"/>
              </w:rPr>
            </w:pPr>
            <w:r>
              <w:rPr>
                <w:rFonts w:ascii="宋体" w:eastAsia="宋体" w:hAnsi="宋体" w:cs="宋体" w:hint="eastAsia"/>
                <w:spacing w:val="10"/>
                <w:szCs w:val="21"/>
                <w:lang w:bidi="en-US"/>
              </w:rPr>
              <w:t>云粒子相态（CHCL） 零度层高度（BB）</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5.1.5.5.4设备配置</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31</w:t>
      </w:r>
      <w:r>
        <w:rPr>
          <w:rFonts w:ascii="宋体" w:eastAsia="宋体" w:hAnsi="宋体" w:cs="宋体" w:hint="eastAsia"/>
          <w:szCs w:val="21"/>
        </w:rPr>
        <w:fldChar w:fldCharType="end"/>
      </w:r>
      <w:r>
        <w:rPr>
          <w:rFonts w:ascii="宋体" w:eastAsia="宋体" w:hAnsi="宋体" w:cs="宋体" w:hint="eastAsia"/>
          <w:szCs w:val="21"/>
        </w:rPr>
        <w:t>设备配置表</w:t>
      </w:r>
    </w:p>
    <w:tbl>
      <w:tblPr>
        <w:tblStyle w:val="TableGrid"/>
        <w:tblW w:w="0" w:type="auto"/>
        <w:tblInd w:w="135" w:type="dxa"/>
        <w:tblCellMar>
          <w:top w:w="0" w:type="dxa"/>
          <w:left w:w="108" w:type="dxa"/>
          <w:bottom w:w="0" w:type="dxa"/>
          <w:right w:w="108" w:type="dxa"/>
        </w:tblCellMar>
        <w:tblLook w:val="04A0"/>
      </w:tblPr>
      <w:tblGrid>
        <w:gridCol w:w="869"/>
        <w:gridCol w:w="2374"/>
        <w:gridCol w:w="2279"/>
        <w:gridCol w:w="1328"/>
        <w:gridCol w:w="1537"/>
      </w:tblGrid>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序号</w:t>
            </w:r>
          </w:p>
        </w:tc>
        <w:tc>
          <w:tcPr>
            <w:tcW w:w="4735" w:type="dxa"/>
            <w:gridSpan w:val="2"/>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项目</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数量</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备注</w:t>
            </w:r>
          </w:p>
        </w:tc>
      </w:tr>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c>
          <w:tcPr>
            <w:tcW w:w="2416" w:type="dxa"/>
            <w:vMerge w:val="restart"/>
            <w:tcBorders>
              <w:top w:val="nil"/>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毫米波测云雷达</w:t>
            </w:r>
          </w:p>
        </w:tc>
        <w:tc>
          <w:tcPr>
            <w:tcW w:w="231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天馈系统</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1套</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r>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c>
          <w:tcPr>
            <w:tcW w:w="2416" w:type="dxa"/>
            <w:vMerge/>
            <w:tcBorders>
              <w:top w:val="nil"/>
              <w:left w:val="single" w:sz="4" w:space="0" w:color="auto"/>
              <w:bottom w:val="single" w:sz="4" w:space="0" w:color="auto"/>
              <w:right w:val="single" w:sz="4" w:space="0" w:color="auto"/>
            </w:tcBorders>
            <w:vAlign w:val="center"/>
          </w:tcPr>
          <w:p w:rsidR="00800AF2">
            <w:pPr>
              <w:rPr>
                <w:rFonts w:ascii="宋体" w:eastAsia="宋体" w:hAnsi="宋体" w:cs="宋体" w:hint="eastAsia"/>
                <w:szCs w:val="21"/>
              </w:rPr>
            </w:pPr>
          </w:p>
        </w:tc>
        <w:tc>
          <w:tcPr>
            <w:tcW w:w="231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收发系统</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1套</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r>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c>
          <w:tcPr>
            <w:tcW w:w="2416" w:type="dxa"/>
            <w:vMerge/>
            <w:tcBorders>
              <w:top w:val="nil"/>
              <w:left w:val="single" w:sz="4" w:space="0" w:color="auto"/>
              <w:bottom w:val="single" w:sz="4" w:space="0" w:color="auto"/>
              <w:right w:val="single" w:sz="4" w:space="0" w:color="auto"/>
            </w:tcBorders>
            <w:vAlign w:val="center"/>
          </w:tcPr>
          <w:p w:rsidR="00800AF2">
            <w:pPr>
              <w:rPr>
                <w:rFonts w:ascii="宋体" w:eastAsia="宋体" w:hAnsi="宋体" w:cs="宋体" w:hint="eastAsia"/>
                <w:szCs w:val="21"/>
              </w:rPr>
            </w:pPr>
          </w:p>
        </w:tc>
        <w:tc>
          <w:tcPr>
            <w:tcW w:w="231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伺服系统</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1套</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r>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c>
          <w:tcPr>
            <w:tcW w:w="2416" w:type="dxa"/>
            <w:vMerge/>
            <w:tcBorders>
              <w:top w:val="nil"/>
              <w:left w:val="single" w:sz="4" w:space="0" w:color="auto"/>
              <w:bottom w:val="single" w:sz="4" w:space="0" w:color="auto"/>
              <w:right w:val="single" w:sz="4" w:space="0" w:color="auto"/>
            </w:tcBorders>
            <w:vAlign w:val="center"/>
          </w:tcPr>
          <w:p w:rsidR="00800AF2">
            <w:pPr>
              <w:rPr>
                <w:rFonts w:ascii="宋体" w:eastAsia="宋体" w:hAnsi="宋体" w:cs="宋体" w:hint="eastAsia"/>
                <w:szCs w:val="21"/>
              </w:rPr>
            </w:pPr>
          </w:p>
        </w:tc>
        <w:tc>
          <w:tcPr>
            <w:tcW w:w="231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信号处理系统</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1套</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r>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c>
          <w:tcPr>
            <w:tcW w:w="2416" w:type="dxa"/>
            <w:vMerge/>
            <w:tcBorders>
              <w:top w:val="nil"/>
              <w:left w:val="single" w:sz="4" w:space="0" w:color="auto"/>
              <w:bottom w:val="single" w:sz="4" w:space="0" w:color="auto"/>
              <w:right w:val="single" w:sz="4" w:space="0" w:color="auto"/>
            </w:tcBorders>
            <w:vAlign w:val="center"/>
          </w:tcPr>
          <w:p w:rsidR="00800AF2">
            <w:pPr>
              <w:rPr>
                <w:rFonts w:ascii="宋体" w:eastAsia="宋体" w:hAnsi="宋体" w:cs="宋体" w:hint="eastAsia"/>
                <w:szCs w:val="21"/>
              </w:rPr>
            </w:pPr>
          </w:p>
        </w:tc>
        <w:tc>
          <w:tcPr>
            <w:tcW w:w="231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终端系统</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1套</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r>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c>
          <w:tcPr>
            <w:tcW w:w="2416" w:type="dxa"/>
            <w:vMerge/>
            <w:tcBorders>
              <w:top w:val="nil"/>
              <w:left w:val="single" w:sz="4" w:space="0" w:color="auto"/>
              <w:bottom w:val="single" w:sz="4" w:space="0" w:color="auto"/>
              <w:right w:val="single" w:sz="4" w:space="0" w:color="auto"/>
            </w:tcBorders>
            <w:vAlign w:val="center"/>
          </w:tcPr>
          <w:p w:rsidR="00800AF2">
            <w:pPr>
              <w:rPr>
                <w:rFonts w:ascii="宋体" w:eastAsia="宋体" w:hAnsi="宋体" w:cs="宋体" w:hint="eastAsia"/>
                <w:szCs w:val="21"/>
              </w:rPr>
            </w:pPr>
          </w:p>
        </w:tc>
        <w:tc>
          <w:tcPr>
            <w:tcW w:w="231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监控系统</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1套</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r>
      <w:tr>
        <w:tblPrEx>
          <w:tblW w:w="0" w:type="auto"/>
          <w:tblInd w:w="135" w:type="dxa"/>
          <w:tblCellMar>
            <w:top w:w="0" w:type="dxa"/>
            <w:left w:w="108" w:type="dxa"/>
            <w:bottom w:w="0" w:type="dxa"/>
            <w:right w:w="108" w:type="dxa"/>
          </w:tblCellMar>
          <w:tblLook w:val="04A0"/>
        </w:tblPrEx>
        <w:tc>
          <w:tcPr>
            <w:tcW w:w="87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c>
          <w:tcPr>
            <w:tcW w:w="2416" w:type="dxa"/>
            <w:vMerge/>
            <w:tcBorders>
              <w:top w:val="nil"/>
              <w:left w:val="single" w:sz="4" w:space="0" w:color="auto"/>
              <w:bottom w:val="single" w:sz="4" w:space="0" w:color="auto"/>
              <w:right w:val="single" w:sz="4" w:space="0" w:color="auto"/>
            </w:tcBorders>
            <w:vAlign w:val="center"/>
          </w:tcPr>
          <w:p w:rsidR="00800AF2">
            <w:pPr>
              <w:rPr>
                <w:rFonts w:ascii="宋体" w:eastAsia="宋体" w:hAnsi="宋体" w:cs="宋体" w:hint="eastAsia"/>
                <w:szCs w:val="21"/>
              </w:rPr>
            </w:pPr>
          </w:p>
        </w:tc>
        <w:tc>
          <w:tcPr>
            <w:tcW w:w="2319"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配电系统</w:t>
            </w:r>
          </w:p>
        </w:tc>
        <w:tc>
          <w:tcPr>
            <w:tcW w:w="1347" w:type="dxa"/>
            <w:tcBorders>
              <w:top w:val="single" w:sz="4" w:space="0" w:color="auto"/>
              <w:left w:val="single" w:sz="4" w:space="0" w:color="auto"/>
              <w:bottom w:val="single" w:sz="4" w:space="0" w:color="auto"/>
              <w:right w:val="single" w:sz="4" w:space="0" w:color="auto"/>
            </w:tcBorders>
          </w:tcPr>
          <w:p w:rsidR="00800AF2">
            <w:pPr>
              <w:autoSpaceDE w:val="0"/>
              <w:snapToGrid w:val="0"/>
              <w:spacing w:line="360" w:lineRule="auto"/>
              <w:jc w:val="center"/>
              <w:rPr>
                <w:rFonts w:ascii="宋体" w:eastAsia="宋体" w:hAnsi="宋体" w:cs="宋体" w:hint="eastAsia"/>
                <w:spacing w:val="10"/>
                <w:szCs w:val="21"/>
              </w:rPr>
            </w:pPr>
            <w:r>
              <w:rPr>
                <w:rFonts w:ascii="宋体" w:eastAsia="宋体" w:hAnsi="宋体" w:cs="宋体" w:hint="eastAsia"/>
                <w:spacing w:val="10"/>
                <w:szCs w:val="21"/>
                <w:lang w:bidi="ar"/>
              </w:rPr>
              <w:t>1套</w:t>
            </w:r>
          </w:p>
        </w:tc>
        <w:tc>
          <w:tcPr>
            <w:tcW w:w="1561" w:type="dxa"/>
            <w:tcBorders>
              <w:top w:val="single" w:sz="4" w:space="0" w:color="auto"/>
              <w:left w:val="single" w:sz="4" w:space="0" w:color="auto"/>
              <w:bottom w:val="single" w:sz="4" w:space="0" w:color="auto"/>
              <w:right w:val="single" w:sz="4" w:space="0" w:color="auto"/>
            </w:tcBorders>
            <w:vAlign w:val="center"/>
          </w:tcPr>
          <w:p w:rsidR="00800AF2">
            <w:pPr>
              <w:autoSpaceDE w:val="0"/>
              <w:snapToGrid w:val="0"/>
              <w:spacing w:line="360" w:lineRule="auto"/>
              <w:jc w:val="center"/>
              <w:rPr>
                <w:rFonts w:ascii="宋体" w:eastAsia="宋体" w:hAnsi="宋体" w:cs="宋体" w:hint="eastAsia"/>
                <w:spacing w:val="10"/>
                <w:szCs w:val="21"/>
              </w:rPr>
            </w:pP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5.1.5.5.5安装工艺和场地建设</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毫米波云雷达集成在探测模组顶部，并采取有效减震措施。</w:t>
      </w:r>
    </w:p>
    <w:p w:rsidR="00800AF2">
      <w:pPr>
        <w:spacing w:line="560" w:lineRule="exact"/>
        <w:ind w:firstLine="420" w:firstLineChars="200"/>
        <w:outlineLvl w:val="3"/>
        <w:rPr>
          <w:rFonts w:ascii="宋体" w:eastAsia="宋体" w:hAnsi="宋体" w:cs="宋体" w:hint="eastAsia"/>
          <w:bCs/>
          <w:color w:val="000000"/>
          <w:szCs w:val="21"/>
        </w:rPr>
      </w:pPr>
      <w:bookmarkStart w:id="70" w:name="_Toc5195"/>
      <w:r>
        <w:rPr>
          <w:rFonts w:ascii="宋体" w:eastAsia="宋体" w:hAnsi="宋体" w:cs="宋体" w:hint="eastAsia"/>
          <w:bCs/>
          <w:color w:val="000000"/>
          <w:szCs w:val="21"/>
        </w:rPr>
        <w:t>5.1.5.6 小型旋翼无人机</w:t>
      </w:r>
      <w:bookmarkEnd w:id="70"/>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5.1.5.6.1功能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小型旋翼无人机由无人机平台、无人机遥控器、云台相机组成，同时支持搭载国内无人机气象模块负载，进行气象多参数多要素测量。支持飞行轨迹编程、远程控制、一键起降功能，配备专业化操作软件，操作简单易上手;具有模块化吊舱设计，可根据任务需要搭载不同任务吊舱。支持可编程飞行轨迹；支持远程控制；支持一键起飞降落。具有快速放飞的能力，顶盖的部分结构为非导电材质，在收到放飞指令前，无人机已经完成定位，可以在15S内完成起飞。地面站控制距离≥5km</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5.1.5.6.2结构</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小型旋翼无人机由硬件和软件两部分组成。硬件包括无人机平台、气象传感器、智能集</w:t>
      </w:r>
      <w:r>
        <w:rPr>
          <w:rFonts w:ascii="宋体" w:eastAsia="宋体" w:hAnsi="宋体" w:cs="宋体" w:hint="eastAsia"/>
          <w:bCs/>
          <w:color w:val="000000"/>
          <w:szCs w:val="21"/>
        </w:rPr>
        <w:t>成处理器、通信单元、供电单元和外围组件。软件部分包括无人机控制系统、数据采集单元和数据质控单元，数据采集单元负责数据和设备状态采集以及数据预处理，数据质控单元负责数据质控以及数据文件的生成和上传。</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5.1.5.6.3技术性能要求</w:t>
      </w:r>
    </w:p>
    <w:p w:rsidR="00800AF2">
      <w:pPr>
        <w:jc w:val="center"/>
        <w:rPr>
          <w:rFonts w:ascii="宋体" w:eastAsia="宋体" w:hAnsi="宋体" w:cs="宋体" w:hint="eastAsia"/>
          <w:szCs w:val="21"/>
        </w:rPr>
      </w:pPr>
      <w:bookmarkStart w:id="71" w:name="OLE_LINK17"/>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32</w:t>
      </w:r>
      <w:r>
        <w:rPr>
          <w:rFonts w:ascii="宋体" w:eastAsia="宋体" w:hAnsi="宋体" w:cs="宋体" w:hint="eastAsia"/>
          <w:szCs w:val="21"/>
        </w:rPr>
        <w:fldChar w:fldCharType="end"/>
      </w:r>
      <w:r>
        <w:rPr>
          <w:rFonts w:ascii="宋体" w:eastAsia="宋体" w:hAnsi="宋体" w:cs="宋体" w:hint="eastAsia"/>
          <w:bCs/>
          <w:color w:val="000000"/>
          <w:szCs w:val="21"/>
        </w:rPr>
        <w:t>小型旋翼无人机技术参数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34"/>
        <w:gridCol w:w="638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项目</w:t>
            </w:r>
          </w:p>
        </w:tc>
        <w:tc>
          <w:tcPr>
            <w:tcW w:w="3748" w:type="pct"/>
            <w:noWrap/>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参数</w:t>
            </w:r>
          </w:p>
        </w:tc>
      </w:tr>
      <w:tr>
        <w:tblPrEx>
          <w:tblW w:w="5000" w:type="pct"/>
          <w:jc w:val="center"/>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飞行高度</w:t>
            </w:r>
          </w:p>
        </w:tc>
        <w:tc>
          <w:tcPr>
            <w:tcW w:w="3748" w:type="pct"/>
            <w:noWrap/>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0～500m（电子限高）；</w:t>
            </w:r>
          </w:p>
        </w:tc>
      </w:tr>
      <w:tr>
        <w:tblPrEx>
          <w:tblW w:w="5000" w:type="pct"/>
          <w:jc w:val="center"/>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电池</w:t>
            </w:r>
          </w:p>
        </w:tc>
        <w:tc>
          <w:tcPr>
            <w:tcW w:w="3748" w:type="pct"/>
            <w:noWrap/>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2块智能动力电池，提供≥30min续航；</w:t>
            </w:r>
          </w:p>
        </w:tc>
      </w:tr>
      <w:tr>
        <w:tblPrEx>
          <w:tblW w:w="5000" w:type="pct"/>
          <w:jc w:val="center"/>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地面站遥控距离</w:t>
            </w:r>
          </w:p>
        </w:tc>
        <w:tc>
          <w:tcPr>
            <w:tcW w:w="3748" w:type="pct"/>
            <w:noWrap/>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大于5km；</w:t>
            </w:r>
          </w:p>
        </w:tc>
      </w:tr>
      <w:tr>
        <w:tblPrEx>
          <w:tblW w:w="5000" w:type="pct"/>
          <w:jc w:val="center"/>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重量</w:t>
            </w:r>
          </w:p>
        </w:tc>
        <w:tc>
          <w:tcPr>
            <w:tcW w:w="3748" w:type="pct"/>
            <w:noWrap/>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小于20kg，满足便携性要求；</w:t>
            </w:r>
          </w:p>
        </w:tc>
      </w:tr>
      <w:tr>
        <w:tblPrEx>
          <w:tblW w:w="5000" w:type="pct"/>
          <w:jc w:val="center"/>
          <w:tblLook w:val="04A0"/>
        </w:tblPrEx>
        <w:trPr>
          <w:trHeight w:val="1140"/>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工作频率（参考）</w:t>
            </w:r>
          </w:p>
        </w:tc>
        <w:tc>
          <w:tcPr>
            <w:tcW w:w="3748" w:type="pct"/>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2.4000 GHz 至 2.4835 GHz</w:t>
            </w:r>
            <w:r>
              <w:rPr>
                <w:rFonts w:ascii="宋体" w:eastAsia="宋体" w:hAnsi="宋体" w:cs="宋体" w:hint="eastAsia"/>
                <w:szCs w:val="21"/>
              </w:rPr>
              <w:br/>
              <w:t>5.150 GHz 至 5.250 GHz（CE：5.170 GHz 至 5.250 GHz）</w:t>
            </w:r>
            <w:r>
              <w:rPr>
                <w:rFonts w:ascii="宋体" w:eastAsia="宋体" w:hAnsi="宋体" w:cs="宋体" w:hint="eastAsia"/>
                <w:szCs w:val="21"/>
              </w:rPr>
              <w:br/>
              <w:t>5.725 GHz 至 5.850 GHz</w:t>
            </w:r>
          </w:p>
        </w:tc>
      </w:tr>
      <w:tr>
        <w:tblPrEx>
          <w:tblW w:w="5000" w:type="pct"/>
          <w:jc w:val="center"/>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最长飞行时间</w:t>
            </w:r>
          </w:p>
        </w:tc>
        <w:tc>
          <w:tcPr>
            <w:tcW w:w="3748" w:type="pct"/>
            <w:noWrap/>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30min以上（挂彩色、热成像双光云台+500g其他负载）</w:t>
            </w:r>
          </w:p>
        </w:tc>
      </w:tr>
      <w:tr>
        <w:tblPrEx>
          <w:tblW w:w="5000" w:type="pct"/>
          <w:jc w:val="center"/>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IP 防护等级</w:t>
            </w:r>
          </w:p>
        </w:tc>
        <w:tc>
          <w:tcPr>
            <w:tcW w:w="3748" w:type="pct"/>
            <w:noWrap/>
            <w:vAlign w:val="bottom"/>
          </w:tcPr>
          <w:p w:rsidR="00800AF2">
            <w:pPr>
              <w:spacing w:line="360" w:lineRule="auto"/>
              <w:rPr>
                <w:rFonts w:ascii="宋体" w:eastAsia="宋体" w:hAnsi="宋体" w:cs="宋体" w:hint="eastAsia"/>
                <w:szCs w:val="21"/>
              </w:rPr>
            </w:pPr>
            <w:r>
              <w:rPr>
                <w:rFonts w:ascii="宋体" w:eastAsia="宋体" w:hAnsi="宋体" w:cs="宋体" w:hint="eastAsia"/>
                <w:szCs w:val="21"/>
              </w:rPr>
              <w:t>IP55</w:t>
            </w:r>
          </w:p>
        </w:tc>
      </w:tr>
      <w:tr>
        <w:tblPrEx>
          <w:tblW w:w="5000" w:type="pct"/>
          <w:jc w:val="center"/>
          <w:tblLook w:val="04A0"/>
        </w:tblPrEx>
        <w:trPr>
          <w:trHeight w:val="285"/>
          <w:jc w:val="center"/>
        </w:trPr>
        <w:tc>
          <w:tcPr>
            <w:tcW w:w="1252"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云台：</w:t>
            </w: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挂彩色、热成像双光云台,高清摄像，有效像素≥4800万，图传。</w:t>
            </w:r>
          </w:p>
        </w:tc>
      </w:tr>
      <w:tr>
        <w:tblPrEx>
          <w:tblW w:w="5000" w:type="pct"/>
          <w:jc w:val="center"/>
          <w:tblLook w:val="04A0"/>
        </w:tblPrEx>
        <w:trPr>
          <w:trHeight w:val="285"/>
          <w:jc w:val="center"/>
        </w:trPr>
        <w:tc>
          <w:tcPr>
            <w:tcW w:w="1252" w:type="pct"/>
            <w:vMerge w:val="restar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功能</w:t>
            </w: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支持可编程飞行轨迹；</w:t>
            </w:r>
          </w:p>
        </w:tc>
      </w:tr>
      <w:tr>
        <w:tblPrEx>
          <w:tblW w:w="5000" w:type="pct"/>
          <w:jc w:val="center"/>
          <w:tblLook w:val="04A0"/>
        </w:tblPrEx>
        <w:trPr>
          <w:trHeight w:val="285"/>
          <w:jc w:val="center"/>
        </w:trPr>
        <w:tc>
          <w:tcPr>
            <w:tcW w:w="1252" w:type="pct"/>
            <w:vMerge/>
            <w:vAlign w:val="center"/>
          </w:tcPr>
          <w:p w:rsidR="00800AF2">
            <w:pPr>
              <w:spacing w:line="360" w:lineRule="auto"/>
              <w:rPr>
                <w:rFonts w:ascii="宋体" w:eastAsia="宋体" w:hAnsi="宋体" w:cs="宋体" w:hint="eastAsia"/>
                <w:szCs w:val="21"/>
              </w:rPr>
            </w:pP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支持远程控制；</w:t>
            </w:r>
          </w:p>
        </w:tc>
      </w:tr>
      <w:tr>
        <w:tblPrEx>
          <w:tblW w:w="5000" w:type="pct"/>
          <w:jc w:val="center"/>
          <w:tblLook w:val="04A0"/>
        </w:tblPrEx>
        <w:trPr>
          <w:trHeight w:val="285"/>
          <w:jc w:val="center"/>
        </w:trPr>
        <w:tc>
          <w:tcPr>
            <w:tcW w:w="1252" w:type="pct"/>
            <w:vMerge/>
            <w:vAlign w:val="center"/>
          </w:tcPr>
          <w:p w:rsidR="00800AF2">
            <w:pPr>
              <w:spacing w:line="360" w:lineRule="auto"/>
              <w:rPr>
                <w:rFonts w:ascii="宋体" w:eastAsia="宋体" w:hAnsi="宋体" w:cs="宋体" w:hint="eastAsia"/>
                <w:szCs w:val="21"/>
              </w:rPr>
            </w:pP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支持一键起飞降落；</w:t>
            </w:r>
          </w:p>
        </w:tc>
      </w:tr>
      <w:tr>
        <w:tblPrEx>
          <w:tblW w:w="5000" w:type="pct"/>
          <w:jc w:val="center"/>
          <w:tblLook w:val="04A0"/>
        </w:tblPrEx>
        <w:trPr>
          <w:trHeight w:val="285"/>
          <w:jc w:val="center"/>
        </w:trPr>
        <w:tc>
          <w:tcPr>
            <w:tcW w:w="1252" w:type="pct"/>
            <w:vMerge/>
            <w:vAlign w:val="center"/>
          </w:tcPr>
          <w:p w:rsidR="00800AF2">
            <w:pPr>
              <w:spacing w:line="360" w:lineRule="auto"/>
              <w:rPr>
                <w:rFonts w:ascii="宋体" w:eastAsia="宋体" w:hAnsi="宋体" w:cs="宋体" w:hint="eastAsia"/>
                <w:szCs w:val="21"/>
              </w:rPr>
            </w:pP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模块化吊舱设计；</w:t>
            </w:r>
          </w:p>
        </w:tc>
      </w:tr>
      <w:tr>
        <w:tblPrEx>
          <w:tblW w:w="5000" w:type="pct"/>
          <w:jc w:val="center"/>
          <w:tblLook w:val="04A0"/>
        </w:tblPrEx>
        <w:trPr>
          <w:trHeight w:val="510"/>
          <w:jc w:val="center"/>
        </w:trPr>
        <w:tc>
          <w:tcPr>
            <w:tcW w:w="1252" w:type="pct"/>
            <w:vMerge/>
            <w:vAlign w:val="center"/>
          </w:tcPr>
          <w:p w:rsidR="00800AF2">
            <w:pPr>
              <w:spacing w:line="360" w:lineRule="auto"/>
              <w:rPr>
                <w:rFonts w:ascii="宋体" w:eastAsia="宋体" w:hAnsi="宋体" w:cs="宋体" w:hint="eastAsia"/>
                <w:szCs w:val="21"/>
              </w:rPr>
            </w:pP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搭载气象参数多要素测量（温度、湿度和气压等）；</w:t>
            </w:r>
          </w:p>
        </w:tc>
      </w:tr>
      <w:tr>
        <w:tblPrEx>
          <w:tblW w:w="5000" w:type="pct"/>
          <w:jc w:val="center"/>
          <w:tblLook w:val="04A0"/>
        </w:tblPrEx>
        <w:trPr>
          <w:trHeight w:val="285"/>
          <w:jc w:val="center"/>
        </w:trPr>
        <w:tc>
          <w:tcPr>
            <w:tcW w:w="1252" w:type="pct"/>
            <w:vMerge/>
            <w:vAlign w:val="center"/>
          </w:tcPr>
          <w:p w:rsidR="00800AF2">
            <w:pPr>
              <w:spacing w:line="360" w:lineRule="auto"/>
              <w:rPr>
                <w:rFonts w:ascii="宋体" w:eastAsia="宋体" w:hAnsi="宋体" w:cs="宋体" w:hint="eastAsia"/>
                <w:szCs w:val="21"/>
              </w:rPr>
            </w:pP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配备专业软件，操作简单；</w:t>
            </w:r>
          </w:p>
        </w:tc>
      </w:tr>
      <w:tr>
        <w:tblPrEx>
          <w:tblW w:w="5000" w:type="pct"/>
          <w:jc w:val="center"/>
          <w:tblLook w:val="04A0"/>
        </w:tblPrEx>
        <w:trPr>
          <w:trHeight w:val="593"/>
          <w:jc w:val="center"/>
        </w:trPr>
        <w:tc>
          <w:tcPr>
            <w:tcW w:w="1252" w:type="pct"/>
            <w:vMerge/>
            <w:vAlign w:val="center"/>
          </w:tcPr>
          <w:p w:rsidR="00800AF2">
            <w:pPr>
              <w:spacing w:line="360" w:lineRule="auto"/>
              <w:rPr>
                <w:rFonts w:ascii="宋体" w:eastAsia="宋体" w:hAnsi="宋体" w:cs="宋体" w:hint="eastAsia"/>
                <w:szCs w:val="21"/>
              </w:rPr>
            </w:pP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支持手机与平板的APP应用，支持数据的二次开发。</w:t>
            </w:r>
          </w:p>
        </w:tc>
      </w:tr>
      <w:tr>
        <w:tblPrEx>
          <w:tblW w:w="5000" w:type="pct"/>
          <w:jc w:val="center"/>
          <w:tblLook w:val="04A0"/>
        </w:tblPrEx>
        <w:trPr>
          <w:trHeight w:val="593"/>
          <w:jc w:val="center"/>
        </w:trPr>
        <w:tc>
          <w:tcPr>
            <w:tcW w:w="125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控制方式</w:t>
            </w: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远程管控云平台：K-GIS云平台</w:t>
            </w:r>
          </w:p>
          <w:p w:rsidR="00800AF2">
            <w:pPr>
              <w:spacing w:line="360" w:lineRule="auto"/>
              <w:rPr>
                <w:rFonts w:ascii="宋体" w:eastAsia="宋体" w:hAnsi="宋体" w:cs="宋体" w:hint="eastAsia"/>
                <w:szCs w:val="21"/>
              </w:rPr>
            </w:pPr>
            <w:r>
              <w:rPr>
                <w:rFonts w:ascii="宋体" w:eastAsia="宋体" w:hAnsi="宋体" w:cs="宋体" w:hint="eastAsia"/>
                <w:szCs w:val="21"/>
              </w:rPr>
              <w:t>地面站：手持</w:t>
            </w:r>
          </w:p>
        </w:tc>
      </w:tr>
      <w:tr>
        <w:tblPrEx>
          <w:tblW w:w="5000" w:type="pct"/>
          <w:jc w:val="center"/>
          <w:tblLook w:val="04A0"/>
        </w:tblPrEx>
        <w:trPr>
          <w:trHeight w:val="593"/>
          <w:jc w:val="center"/>
        </w:trPr>
        <w:tc>
          <w:tcPr>
            <w:tcW w:w="125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质保</w:t>
            </w:r>
          </w:p>
        </w:tc>
        <w:tc>
          <w:tcPr>
            <w:tcW w:w="3748" w:type="pct"/>
            <w:noWrap/>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 xml:space="preserve">≥8年 </w:t>
            </w:r>
          </w:p>
        </w:tc>
      </w:tr>
    </w:tbl>
    <w:bookmarkEnd w:id="71"/>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33</w:t>
      </w:r>
      <w:r>
        <w:rPr>
          <w:rFonts w:ascii="宋体" w:eastAsia="宋体" w:hAnsi="宋体" w:cs="宋体" w:hint="eastAsia"/>
          <w:szCs w:val="21"/>
        </w:rPr>
        <w:fldChar w:fldCharType="end"/>
      </w:r>
      <w:r>
        <w:rPr>
          <w:rFonts w:ascii="宋体" w:eastAsia="宋体" w:hAnsi="宋体" w:cs="宋体" w:hint="eastAsia"/>
          <w:szCs w:val="21"/>
        </w:rPr>
        <w:t>双光设备性能指标</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
        <w:gridCol w:w="2194"/>
        <w:gridCol w:w="5464"/>
      </w:tblGrid>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12"/>
        </w:trPr>
        <w:tc>
          <w:tcPr>
            <w:tcW w:w="507" w:type="pct"/>
          </w:tcPr>
          <w:p w:rsidR="00800AF2">
            <w:pPr>
              <w:widowControl/>
              <w:spacing w:line="360" w:lineRule="auto"/>
              <w:jc w:val="center"/>
              <w:rPr>
                <w:rFonts w:ascii="宋体" w:eastAsia="宋体" w:hAnsi="宋体" w:cs="宋体" w:hint="eastAsia"/>
                <w:kern w:val="0"/>
                <w:szCs w:val="21"/>
                <w:lang w:bidi="ar"/>
              </w:rPr>
            </w:pPr>
            <w:r>
              <w:rPr>
                <w:rFonts w:ascii="宋体" w:eastAsia="宋体" w:hAnsi="宋体" w:cs="宋体" w:hint="eastAsia"/>
                <w:kern w:val="0"/>
                <w:szCs w:val="21"/>
                <w:lang w:bidi="ar"/>
              </w:rPr>
              <w:t>序号</w:t>
            </w:r>
          </w:p>
        </w:tc>
        <w:tc>
          <w:tcPr>
            <w:tcW w:w="1287" w:type="pct"/>
            <w:noWrap/>
            <w:vAlign w:val="center"/>
          </w:tcPr>
          <w:p w:rsidR="00800AF2">
            <w:pPr>
              <w:widowControl/>
              <w:spacing w:line="360" w:lineRule="auto"/>
              <w:jc w:val="center"/>
              <w:rPr>
                <w:rFonts w:ascii="宋体" w:eastAsia="宋体" w:hAnsi="宋体" w:cs="宋体" w:hint="eastAsia"/>
                <w:kern w:val="0"/>
                <w:szCs w:val="21"/>
                <w:lang w:bidi="ar"/>
              </w:rPr>
            </w:pPr>
            <w:r>
              <w:rPr>
                <w:rFonts w:ascii="宋体" w:eastAsia="宋体" w:hAnsi="宋体" w:cs="宋体" w:hint="eastAsia"/>
                <w:kern w:val="0"/>
                <w:szCs w:val="21"/>
                <w:lang w:bidi="ar"/>
              </w:rPr>
              <w:t>项目</w:t>
            </w:r>
          </w:p>
        </w:tc>
        <w:tc>
          <w:tcPr>
            <w:tcW w:w="3206" w:type="pct"/>
            <w:noWrap/>
            <w:vAlign w:val="center"/>
          </w:tcPr>
          <w:p w:rsidR="00800AF2">
            <w:pPr>
              <w:widowControl/>
              <w:spacing w:line="360" w:lineRule="auto"/>
              <w:jc w:val="center"/>
              <w:rPr>
                <w:rFonts w:ascii="宋体" w:eastAsia="宋体" w:hAnsi="宋体" w:cs="宋体" w:hint="eastAsia"/>
                <w:kern w:val="0"/>
                <w:szCs w:val="21"/>
                <w:lang w:bidi="ar"/>
              </w:rPr>
            </w:pPr>
            <w:r>
              <w:rPr>
                <w:rFonts w:ascii="宋体" w:eastAsia="宋体" w:hAnsi="宋体" w:cs="宋体" w:hint="eastAsia"/>
                <w:kern w:val="0"/>
                <w:szCs w:val="21"/>
                <w:lang w:bidi="ar"/>
              </w:rPr>
              <w:t>参数（性能参数可定制）</w:t>
            </w:r>
          </w:p>
        </w:tc>
      </w:tr>
      <w:tr>
        <w:tblPrEx>
          <w:tblW w:w="5000" w:type="pct"/>
          <w:tblLook w:val="04A0"/>
        </w:tblPrEx>
        <w:trPr>
          <w:trHeight w:val="312"/>
        </w:trPr>
        <w:tc>
          <w:tcPr>
            <w:tcW w:w="507" w:type="pct"/>
          </w:tcPr>
          <w:p w:rsidR="00800AF2">
            <w:pPr>
              <w:widowControl/>
              <w:spacing w:line="360" w:lineRule="auto"/>
              <w:jc w:val="center"/>
              <w:textAlignment w:val="center"/>
              <w:rPr>
                <w:rFonts w:ascii="宋体" w:eastAsia="宋体" w:hAnsi="宋体" w:cs="宋体" w:hint="eastAsia"/>
                <w:kern w:val="0"/>
                <w:szCs w:val="21"/>
                <w:lang w:bidi="ar"/>
              </w:rPr>
            </w:pPr>
            <w:r>
              <w:rPr>
                <w:rFonts w:ascii="宋体" w:eastAsia="宋体" w:hAnsi="宋体" w:cs="宋体" w:hint="eastAsia"/>
                <w:kern w:val="0"/>
                <w:szCs w:val="21"/>
                <w:lang w:bidi="ar"/>
              </w:rPr>
              <w:t>1</w:t>
            </w:r>
          </w:p>
        </w:tc>
        <w:tc>
          <w:tcPr>
            <w:tcW w:w="1287" w:type="pct"/>
            <w:noWrap/>
            <w:vAlign w:val="center"/>
          </w:tcPr>
          <w:p w:rsidR="00800AF2">
            <w:pPr>
              <w:widowControl/>
              <w:spacing w:line="360" w:lineRule="auto"/>
              <w:jc w:val="left"/>
              <w:textAlignment w:val="center"/>
              <w:rPr>
                <w:rFonts w:ascii="宋体" w:eastAsia="宋体" w:hAnsi="宋体" w:cs="宋体" w:hint="eastAsia"/>
                <w:szCs w:val="21"/>
              </w:rPr>
            </w:pPr>
            <w:r>
              <w:rPr>
                <w:rFonts w:ascii="宋体" w:eastAsia="宋体" w:hAnsi="宋体" w:cs="宋体" w:hint="eastAsia"/>
                <w:szCs w:val="21"/>
              </w:rPr>
              <w:t>可见光相机分辨率</w:t>
            </w:r>
          </w:p>
        </w:tc>
        <w:tc>
          <w:tcPr>
            <w:tcW w:w="3206" w:type="pct"/>
            <w:noWrap/>
            <w:vAlign w:val="center"/>
          </w:tcPr>
          <w:p w:rsidR="00800AF2">
            <w:pPr>
              <w:widowControl/>
              <w:spacing w:line="360" w:lineRule="auto"/>
              <w:jc w:val="left"/>
              <w:textAlignment w:val="center"/>
              <w:rPr>
                <w:rFonts w:ascii="宋体" w:eastAsia="宋体" w:hAnsi="宋体" w:cs="宋体" w:hint="eastAsia"/>
                <w:szCs w:val="21"/>
              </w:rPr>
            </w:pPr>
            <w:r>
              <w:rPr>
                <w:rFonts w:ascii="宋体" w:eastAsia="宋体" w:hAnsi="宋体" w:cs="宋体" w:hint="eastAsia"/>
                <w:kern w:val="0"/>
                <w:szCs w:val="21"/>
                <w:lang w:bidi="ar"/>
              </w:rPr>
              <w:t>3840</w:t>
            </w:r>
            <w:r>
              <w:rPr>
                <w:rFonts w:ascii="宋体" w:eastAsia="宋体" w:hAnsi="宋体" w:cs="宋体" w:hint="eastAsia"/>
                <w:kern w:val="0"/>
                <w:szCs w:val="21"/>
              </w:rPr>
              <w:t xml:space="preserve"> x</w:t>
            </w:r>
            <w:r>
              <w:rPr>
                <w:rFonts w:ascii="宋体" w:eastAsia="宋体" w:hAnsi="宋体" w:cs="宋体" w:hint="eastAsia"/>
                <w:kern w:val="0"/>
                <w:szCs w:val="21"/>
                <w:lang w:bidi="ar"/>
              </w:rPr>
              <w:t xml:space="preserve"> 2160</w:t>
            </w:r>
          </w:p>
        </w:tc>
      </w:tr>
      <w:tr>
        <w:tblPrEx>
          <w:tblW w:w="5000" w:type="pct"/>
          <w:tblLook w:val="04A0"/>
        </w:tblPrEx>
        <w:trPr>
          <w:trHeight w:val="312"/>
        </w:trPr>
        <w:tc>
          <w:tcPr>
            <w:tcW w:w="507" w:type="pct"/>
          </w:tcPr>
          <w:p w:rsidR="00800AF2">
            <w:pPr>
              <w:widowControl/>
              <w:spacing w:line="360" w:lineRule="auto"/>
              <w:jc w:val="center"/>
              <w:textAlignment w:val="center"/>
              <w:rPr>
                <w:rFonts w:ascii="宋体" w:eastAsia="宋体" w:hAnsi="宋体" w:cs="宋体" w:hint="eastAsia"/>
                <w:kern w:val="0"/>
                <w:szCs w:val="21"/>
                <w:lang w:bidi="ar"/>
              </w:rPr>
            </w:pPr>
            <w:r>
              <w:rPr>
                <w:rFonts w:ascii="宋体" w:eastAsia="宋体" w:hAnsi="宋体" w:cs="宋体" w:hint="eastAsia"/>
                <w:kern w:val="0"/>
                <w:szCs w:val="21"/>
                <w:lang w:bidi="ar"/>
              </w:rPr>
              <w:t>2</w:t>
            </w:r>
          </w:p>
        </w:tc>
        <w:tc>
          <w:tcPr>
            <w:tcW w:w="1287" w:type="pct"/>
            <w:noWrap/>
            <w:vAlign w:val="center"/>
          </w:tcPr>
          <w:p w:rsidR="00800AF2">
            <w:pPr>
              <w:widowControl/>
              <w:spacing w:line="360" w:lineRule="auto"/>
              <w:jc w:val="left"/>
              <w:textAlignment w:val="center"/>
              <w:rPr>
                <w:rFonts w:ascii="宋体" w:eastAsia="宋体" w:hAnsi="宋体" w:cs="宋体" w:hint="eastAsia"/>
                <w:szCs w:val="21"/>
              </w:rPr>
            </w:pPr>
            <w:r>
              <w:rPr>
                <w:rFonts w:ascii="宋体" w:eastAsia="宋体" w:hAnsi="宋体" w:cs="宋体" w:hint="eastAsia"/>
                <w:szCs w:val="21"/>
              </w:rPr>
              <w:t>热成像相机分辨率</w:t>
            </w:r>
          </w:p>
        </w:tc>
        <w:tc>
          <w:tcPr>
            <w:tcW w:w="3206" w:type="pct"/>
            <w:noWrap/>
            <w:vAlign w:val="center"/>
          </w:tcPr>
          <w:p w:rsidR="00800AF2">
            <w:pPr>
              <w:widowControl/>
              <w:spacing w:line="360" w:lineRule="auto"/>
              <w:jc w:val="left"/>
              <w:textAlignment w:val="center"/>
              <w:rPr>
                <w:rFonts w:ascii="宋体" w:eastAsia="宋体" w:hAnsi="宋体" w:cs="宋体" w:hint="eastAsia"/>
                <w:szCs w:val="21"/>
              </w:rPr>
            </w:pPr>
            <w:r>
              <w:rPr>
                <w:rFonts w:ascii="宋体" w:eastAsia="宋体" w:hAnsi="宋体" w:cs="宋体" w:hint="eastAsia"/>
                <w:kern w:val="0"/>
                <w:szCs w:val="21"/>
                <w:lang w:bidi="ar"/>
              </w:rPr>
              <w:t>640</w:t>
            </w:r>
            <w:r>
              <w:rPr>
                <w:rFonts w:ascii="宋体" w:eastAsia="宋体" w:hAnsi="宋体" w:cs="宋体" w:hint="eastAsia"/>
                <w:kern w:val="0"/>
                <w:szCs w:val="21"/>
              </w:rPr>
              <w:t xml:space="preserve"> x</w:t>
            </w:r>
            <w:r>
              <w:rPr>
                <w:rFonts w:ascii="宋体" w:eastAsia="宋体" w:hAnsi="宋体" w:cs="宋体" w:hint="eastAsia"/>
                <w:kern w:val="0"/>
                <w:szCs w:val="21"/>
                <w:lang w:bidi="ar"/>
              </w:rPr>
              <w:t xml:space="preserve"> 512</w:t>
            </w:r>
          </w:p>
        </w:tc>
      </w:tr>
    </w:tbl>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34</w:t>
      </w:r>
      <w:r>
        <w:rPr>
          <w:rFonts w:ascii="宋体" w:eastAsia="宋体" w:hAnsi="宋体" w:cs="宋体" w:hint="eastAsia"/>
          <w:szCs w:val="21"/>
        </w:rPr>
        <w:fldChar w:fldCharType="end"/>
      </w:r>
      <w:r>
        <w:rPr>
          <w:rFonts w:ascii="宋体" w:eastAsia="宋体" w:hAnsi="宋体" w:cs="宋体" w:hint="eastAsia"/>
          <w:szCs w:val="21"/>
        </w:rPr>
        <w:t>机载气象传感器性能指标</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9"/>
        <w:gridCol w:w="2185"/>
        <w:gridCol w:w="546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28"/>
        </w:trPr>
        <w:tc>
          <w:tcPr>
            <w:tcW w:w="510"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类别</w:t>
            </w:r>
          </w:p>
        </w:tc>
        <w:tc>
          <w:tcPr>
            <w:tcW w:w="1282"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项目</w:t>
            </w:r>
          </w:p>
        </w:tc>
        <w:tc>
          <w:tcPr>
            <w:tcW w:w="3208"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性能指标</w:t>
            </w:r>
          </w:p>
        </w:tc>
      </w:tr>
      <w:tr>
        <w:tblPrEx>
          <w:tblW w:w="5000" w:type="pct"/>
          <w:tblLook w:val="04A0"/>
        </w:tblPrEx>
        <w:trPr>
          <w:trHeight w:val="400"/>
        </w:trPr>
        <w:tc>
          <w:tcPr>
            <w:tcW w:w="510" w:type="pct"/>
            <w:vMerge w:val="restar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温度</w:t>
            </w:r>
          </w:p>
        </w:tc>
        <w:tc>
          <w:tcPr>
            <w:tcW w:w="1282"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测量范围</w:t>
            </w:r>
          </w:p>
        </w:tc>
        <w:tc>
          <w:tcPr>
            <w:tcW w:w="3208" w:type="pct"/>
            <w:noWrap/>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-50℃～+60℃</w:t>
            </w:r>
          </w:p>
        </w:tc>
      </w:tr>
      <w:tr>
        <w:tblPrEx>
          <w:tblW w:w="5000" w:type="pct"/>
          <w:tblLook w:val="04A0"/>
        </w:tblPrEx>
        <w:trPr>
          <w:trHeight w:val="400"/>
        </w:trPr>
        <w:tc>
          <w:tcPr>
            <w:tcW w:w="510" w:type="pct"/>
            <w:vMerge/>
            <w:vAlign w:val="center"/>
          </w:tcPr>
          <w:p w:rsidR="00800AF2">
            <w:pPr>
              <w:spacing w:line="360" w:lineRule="auto"/>
              <w:ind w:firstLine="400"/>
              <w:rPr>
                <w:rFonts w:ascii="宋体" w:eastAsia="宋体" w:hAnsi="宋体" w:cs="宋体" w:hint="eastAsia"/>
                <w:szCs w:val="21"/>
              </w:rPr>
            </w:pPr>
          </w:p>
        </w:tc>
        <w:tc>
          <w:tcPr>
            <w:tcW w:w="1282"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精度</w:t>
            </w:r>
          </w:p>
        </w:tc>
        <w:tc>
          <w:tcPr>
            <w:tcW w:w="3208" w:type="pct"/>
            <w:noWrap/>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±0.3℃</w:t>
            </w:r>
          </w:p>
        </w:tc>
      </w:tr>
      <w:tr>
        <w:tblPrEx>
          <w:tblW w:w="5000" w:type="pct"/>
          <w:tblLook w:val="04A0"/>
        </w:tblPrEx>
        <w:trPr>
          <w:trHeight w:val="400"/>
        </w:trPr>
        <w:tc>
          <w:tcPr>
            <w:tcW w:w="510"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湿度</w:t>
            </w:r>
          </w:p>
        </w:tc>
        <w:tc>
          <w:tcPr>
            <w:tcW w:w="1282"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测量范围</w:t>
            </w:r>
          </w:p>
        </w:tc>
        <w:tc>
          <w:tcPr>
            <w:tcW w:w="3208" w:type="pct"/>
            <w:noWrap/>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0.8～100％RH，非冷凝</w:t>
            </w:r>
          </w:p>
        </w:tc>
      </w:tr>
      <w:tr>
        <w:tblPrEx>
          <w:tblW w:w="5000" w:type="pct"/>
          <w:tblLook w:val="04A0"/>
        </w:tblPrEx>
        <w:trPr>
          <w:trHeight w:val="400"/>
        </w:trPr>
        <w:tc>
          <w:tcPr>
            <w:tcW w:w="510" w:type="pct"/>
            <w:vMerge w:val="restar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气压</w:t>
            </w:r>
          </w:p>
        </w:tc>
        <w:tc>
          <w:tcPr>
            <w:tcW w:w="1282"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测量范围</w:t>
            </w:r>
          </w:p>
        </w:tc>
        <w:tc>
          <w:tcPr>
            <w:tcW w:w="3208" w:type="pct"/>
            <w:noWrap/>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500—1100hPa（analog模拟量）</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300—1100hPa（serial 数字量）</w:t>
            </w:r>
          </w:p>
        </w:tc>
      </w:tr>
      <w:tr>
        <w:tblPrEx>
          <w:tblW w:w="5000" w:type="pct"/>
          <w:tblLook w:val="04A0"/>
        </w:tblPrEx>
        <w:trPr>
          <w:trHeight w:val="400"/>
        </w:trPr>
        <w:tc>
          <w:tcPr>
            <w:tcW w:w="510" w:type="pct"/>
            <w:vMerge/>
            <w:vAlign w:val="center"/>
          </w:tcPr>
          <w:p w:rsidR="00800AF2">
            <w:pPr>
              <w:spacing w:line="360" w:lineRule="auto"/>
              <w:ind w:firstLine="400"/>
              <w:rPr>
                <w:rFonts w:ascii="宋体" w:eastAsia="宋体" w:hAnsi="宋体" w:cs="宋体" w:hint="eastAsia"/>
                <w:szCs w:val="21"/>
              </w:rPr>
            </w:pPr>
          </w:p>
        </w:tc>
        <w:tc>
          <w:tcPr>
            <w:tcW w:w="1282"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工作温度</w:t>
            </w:r>
          </w:p>
        </w:tc>
        <w:tc>
          <w:tcPr>
            <w:tcW w:w="3208" w:type="pct"/>
            <w:noWrap/>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-40—+85℃</w:t>
            </w:r>
          </w:p>
        </w:tc>
      </w:tr>
    </w:tbl>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5.1.5.6.4设备配置</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小型旋翼无人机包括无人机平台、气象参数多要素测量（温度、湿度、风向、风速和气压等）传感器、飞控系统、机载嵌入式工控机/微型机载计算机、智能集成处理器、通信单元、供电单元和外围组件、大容量智能锂电池组、方舱用地面控制器等。</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5.1.5.6.5安装工艺和场地建设</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小型旋翼无人机平台安装在方舱内部，无人机放飞前可将上方舱盖打开。方舱内部设置无人机地面站操作台、设备存放柜、电池恒温收纳区，具备防尘防潮功能。</w:t>
      </w:r>
    </w:p>
    <w:p w:rsidR="00800AF2">
      <w:pPr>
        <w:spacing w:line="560" w:lineRule="exact"/>
        <w:ind w:firstLine="420" w:firstLineChars="200"/>
        <w:outlineLvl w:val="2"/>
        <w:rPr>
          <w:rFonts w:ascii="宋体" w:eastAsia="宋体" w:hAnsi="宋体" w:cs="宋体" w:hint="eastAsia"/>
          <w:bCs/>
          <w:color w:val="000000"/>
          <w:szCs w:val="21"/>
        </w:rPr>
      </w:pPr>
      <w:bookmarkStart w:id="72" w:name="_Toc28941"/>
      <w:r>
        <w:rPr>
          <w:rFonts w:ascii="宋体" w:eastAsia="宋体" w:hAnsi="宋体" w:cs="宋体" w:hint="eastAsia"/>
          <w:bCs/>
          <w:color w:val="000000"/>
          <w:szCs w:val="21"/>
        </w:rPr>
        <w:t>5.1.6设备配置</w:t>
      </w:r>
      <w:bookmarkEnd w:id="72"/>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35</w:t>
      </w:r>
      <w:r>
        <w:rPr>
          <w:rFonts w:ascii="宋体" w:eastAsia="宋体" w:hAnsi="宋体" w:cs="宋体" w:hint="eastAsia"/>
          <w:szCs w:val="21"/>
        </w:rPr>
        <w:fldChar w:fldCharType="end"/>
      </w:r>
      <w:r>
        <w:rPr>
          <w:rFonts w:ascii="宋体" w:eastAsia="宋体" w:hAnsi="宋体" w:cs="宋体" w:hint="eastAsia"/>
          <w:szCs w:val="21"/>
        </w:rPr>
        <w:t>设备配置表</w:t>
      </w:r>
    </w:p>
    <w:tbl>
      <w:tblPr>
        <w:tblStyle w:val="TableNormal"/>
        <w:tblW w:w="5000" w:type="pct"/>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9"/>
        <w:gridCol w:w="960"/>
        <w:gridCol w:w="5575"/>
        <w:gridCol w:w="624"/>
        <w:gridCol w:w="634"/>
      </w:tblGrid>
      <w:tr>
        <w:tblPrEx>
          <w:tblW w:w="5000" w:type="pct"/>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序号</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名称</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技术规格参数</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单位</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数量</w:t>
            </w:r>
          </w:p>
        </w:tc>
      </w:tr>
      <w:tr>
        <w:tblPrEx>
          <w:tblW w:w="5000" w:type="pct"/>
          <w:tblInd w:w="135" w:type="dxa"/>
          <w:tblLook w:val="04A0"/>
        </w:tblPrEx>
        <w:trPr>
          <w:trHeight w:val="30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一</w:t>
            </w:r>
          </w:p>
        </w:tc>
        <w:tc>
          <w:tcPr>
            <w:tcW w:w="4571" w:type="pct"/>
            <w:gridSpan w:val="4"/>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探测模组分系统</w:t>
            </w:r>
          </w:p>
        </w:tc>
      </w:tr>
      <w:tr>
        <w:tblPrEx>
          <w:tblW w:w="5000" w:type="pct"/>
          <w:tblInd w:w="135" w:type="dxa"/>
          <w:tblLook w:val="04A0"/>
        </w:tblPrEx>
        <w:trPr>
          <w:trHeight w:val="189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移动式方舱</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移动式舱包括设备舱、工作舱、空调系统、供电系统、录像设备、方舱升降机构、电动天窗、方舱调平仪和便携式大气参数探测设备存储舱以及预留的外部设备信息采集接口等，主要提供各设备安装空间并提供基础工作条件。</w:t>
            </w:r>
            <w:r>
              <w:rPr>
                <w:rFonts w:ascii="宋体" w:eastAsia="宋体" w:hAnsi="宋体" w:cs="宋体" w:hint="eastAsia"/>
                <w:kern w:val="0"/>
                <w:szCs w:val="21"/>
                <w:lang w:bidi="ar"/>
              </w:rPr>
              <w:br/>
              <w:t>支持北斗全球导航定位系统、4G/5G移动通信、卫星通信等功能。</w:t>
            </w:r>
            <w:r>
              <w:rPr>
                <w:rFonts w:ascii="宋体" w:eastAsia="宋体" w:hAnsi="宋体" w:cs="宋体" w:hint="eastAsia"/>
                <w:kern w:val="0"/>
                <w:szCs w:val="21"/>
                <w:lang w:bidi="ar"/>
              </w:rPr>
              <w:br/>
            </w:r>
            <w:r>
              <w:rPr>
                <w:rFonts w:ascii="宋体" w:eastAsia="宋体" w:hAnsi="宋体" w:cs="宋体" w:hint="eastAsia"/>
                <w:kern w:val="0"/>
                <w:szCs w:val="21"/>
                <w:lang w:bidi="ar"/>
              </w:rPr>
              <w:t>方舱外形尺寸需满足配备设备要求。</w:t>
            </w:r>
            <w:r>
              <w:rPr>
                <w:rFonts w:ascii="宋体" w:eastAsia="宋体" w:hAnsi="宋体" w:cs="宋体" w:hint="eastAsia"/>
                <w:kern w:val="0"/>
                <w:szCs w:val="21"/>
                <w:lang w:bidi="ar"/>
              </w:rPr>
              <w:br/>
              <w:t>方舱内部配置大屏显示器≥2台，转接口≥1部。2人操作座席≥1组，打印机和储存柜≥1组，10孔电源插座≥1组。</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581"/>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主厢体</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定制，直角方舱，外形尺寸为≥6058mm×2438mm×2591mm（长×宽×高）长度≤9000mm，八个角安装方舱角件，厢体按钢骨架铝合金蒙皮进行设计，外蒙皮选用厚度为3mm铝板，选用高密度的阻燃聚氨酯泡沫作为夹芯层（隔热芯材），大板中所用的骨架为钢骨架焊接而成，内外蒙皮与骨架粘接固定, 厢体骨架整体电泳处理，以保证骨架的防腐能力。内饰型材及外包型材、门结构采用阳极氧化处理铝型材，其外型美观，防腐耐用。各开孔和承重处均设置骨架的预埋件，满足车厢的承重要求和安装要求</w:t>
            </w:r>
            <w:r>
              <w:rPr>
                <w:rFonts w:ascii="宋体" w:eastAsia="宋体" w:hAnsi="宋体" w:cs="宋体" w:hint="eastAsia"/>
                <w:kern w:val="0"/>
                <w:szCs w:val="21"/>
                <w:lang w:bidi="ar"/>
              </w:rPr>
              <w:br/>
              <w:t>登舱门：侧开舱门</w:t>
            </w:r>
            <w:r>
              <w:rPr>
                <w:rFonts w:ascii="宋体" w:eastAsia="宋体" w:hAnsi="宋体" w:cs="宋体" w:hint="eastAsia"/>
                <w:kern w:val="0"/>
                <w:szCs w:val="21"/>
                <w:lang w:bidi="ar"/>
              </w:rPr>
              <w:br/>
              <w:t>采光窗：汽车用钢化玻璃，推拉窗；推拉灵活，无卡滞现象</w:t>
            </w:r>
            <w:r>
              <w:rPr>
                <w:rFonts w:ascii="宋体" w:eastAsia="宋体" w:hAnsi="宋体" w:cs="宋体" w:hint="eastAsia"/>
                <w:kern w:val="0"/>
                <w:szCs w:val="21"/>
                <w:lang w:bidi="ar"/>
              </w:rPr>
              <w:br/>
              <w:t>侧舱门 ：发电机等舱门</w:t>
            </w:r>
            <w:r>
              <w:rPr>
                <w:rFonts w:ascii="宋体" w:eastAsia="宋体" w:hAnsi="宋体" w:cs="宋体" w:hint="eastAsia"/>
                <w:kern w:val="0"/>
                <w:szCs w:val="21"/>
                <w:lang w:bidi="ar"/>
              </w:rPr>
              <w:br/>
              <w:t>发电机检修门：采用高强度铝合金结构，门板上配备百叶窗式格栅，用于设备通风散热</w:t>
            </w:r>
            <w:r>
              <w:rPr>
                <w:rFonts w:ascii="宋体" w:eastAsia="宋体" w:hAnsi="宋体" w:cs="宋体" w:hint="eastAsia"/>
                <w:kern w:val="0"/>
                <w:szCs w:val="21"/>
                <w:lang w:bidi="ar"/>
              </w:rPr>
              <w:br/>
              <w:t>空调通风格栅：采用高强度铝合金结构，门板上配备百叶窗式格栅，用于设备通风散热</w:t>
            </w:r>
            <w:r>
              <w:rPr>
                <w:rFonts w:ascii="宋体" w:eastAsia="宋体" w:hAnsi="宋体" w:cs="宋体" w:hint="eastAsia"/>
                <w:kern w:val="0"/>
                <w:szCs w:val="21"/>
                <w:lang w:bidi="ar"/>
              </w:rPr>
              <w:br/>
              <w:t>采光窗：汽车用钢化玻璃，可前后推拉，推拉灵活，无卡滞现象</w:t>
            </w:r>
            <w:r>
              <w:rPr>
                <w:rFonts w:ascii="宋体" w:eastAsia="宋体" w:hAnsi="宋体" w:cs="宋体" w:hint="eastAsia"/>
                <w:kern w:val="0"/>
                <w:szCs w:val="21"/>
                <w:lang w:bidi="ar"/>
              </w:rPr>
              <w:br/>
              <w:t>窗帘：避光防蚊一体式窗帘</w:t>
            </w:r>
            <w:r>
              <w:rPr>
                <w:rFonts w:ascii="宋体" w:eastAsia="宋体" w:hAnsi="宋体" w:cs="宋体" w:hint="eastAsia"/>
                <w:kern w:val="0"/>
                <w:szCs w:val="21"/>
                <w:lang w:bidi="ar"/>
              </w:rPr>
              <w:br/>
              <w:t>标准设备机柜：标准19英寸机架，表面喷塑，含安装件、减震等</w:t>
            </w:r>
            <w:r>
              <w:rPr>
                <w:rFonts w:ascii="宋体" w:eastAsia="宋体" w:hAnsi="宋体" w:cs="宋体" w:hint="eastAsia"/>
                <w:kern w:val="0"/>
                <w:szCs w:val="21"/>
                <w:lang w:bidi="ar"/>
              </w:rPr>
              <w:br/>
              <w:t>厢体地板：竹地板打底，会议区和操作区表面铺地板革，发电机区铺设花纹铝板</w:t>
            </w:r>
            <w:r>
              <w:rPr>
                <w:rFonts w:ascii="宋体" w:eastAsia="宋体" w:hAnsi="宋体" w:cs="宋体" w:hint="eastAsia"/>
                <w:kern w:val="0"/>
                <w:szCs w:val="21"/>
                <w:lang w:bidi="ar"/>
              </w:rPr>
              <w:br/>
              <w:t>基础内饰：采用平板对厢体内部进行平整处理，表面软包装饰</w:t>
            </w:r>
            <w:r>
              <w:rPr>
                <w:rFonts w:ascii="宋体" w:eastAsia="宋体" w:hAnsi="宋体" w:cs="宋体" w:hint="eastAsia"/>
                <w:kern w:val="0"/>
                <w:szCs w:val="21"/>
                <w:lang w:bidi="ar"/>
              </w:rPr>
              <w:br/>
            </w:r>
            <w:r>
              <w:rPr>
                <w:rFonts w:ascii="宋体" w:eastAsia="宋体" w:hAnsi="宋体" w:cs="宋体" w:hint="eastAsia"/>
                <w:kern w:val="0"/>
                <w:szCs w:val="21"/>
                <w:lang w:bidi="ar"/>
              </w:rPr>
              <w:t>机柜台面：采用环保板材制作，表面喷漆处理</w:t>
            </w:r>
            <w:r>
              <w:rPr>
                <w:rFonts w:ascii="宋体" w:eastAsia="宋体" w:hAnsi="宋体" w:cs="宋体" w:hint="eastAsia"/>
                <w:kern w:val="0"/>
                <w:szCs w:val="21"/>
                <w:lang w:bidi="ar"/>
              </w:rPr>
              <w:br/>
              <w:t>工作桌：含雷达安装架、发电机舱、油箱舱等</w:t>
            </w:r>
            <w:r>
              <w:rPr>
                <w:rFonts w:ascii="宋体" w:eastAsia="宋体" w:hAnsi="宋体" w:cs="宋体" w:hint="eastAsia"/>
                <w:kern w:val="0"/>
                <w:szCs w:val="21"/>
                <w:lang w:bidi="ar"/>
              </w:rPr>
              <w:br/>
              <w:t>工作椅：旋转升降带轮工作椅</w:t>
            </w:r>
            <w:r>
              <w:rPr>
                <w:rFonts w:ascii="宋体" w:eastAsia="宋体" w:hAnsi="宋体" w:cs="宋体" w:hint="eastAsia"/>
                <w:kern w:val="0"/>
                <w:szCs w:val="21"/>
                <w:lang w:bidi="ar"/>
              </w:rPr>
              <w:br/>
              <w:t>油漆及外饰：专业烤漆房烤漆，外观贴字根据用户需求订制</w:t>
            </w:r>
            <w:r>
              <w:rPr>
                <w:rFonts w:ascii="宋体" w:eastAsia="宋体" w:hAnsi="宋体" w:cs="宋体" w:hint="eastAsia"/>
                <w:kern w:val="0"/>
                <w:szCs w:val="21"/>
                <w:lang w:bidi="ar"/>
              </w:rPr>
              <w:br/>
              <w:t>灭火器：2Kg，含灭火器及安装件</w:t>
            </w:r>
            <w:r>
              <w:rPr>
                <w:rFonts w:ascii="宋体" w:eastAsia="宋体" w:hAnsi="宋体" w:cs="宋体" w:hint="eastAsia"/>
                <w:kern w:val="0"/>
                <w:szCs w:val="21"/>
                <w:lang w:bidi="ar"/>
              </w:rPr>
              <w:br/>
              <w:t>电器辅材：车内布线、集成制作等附件耗材，包含波纹管、胶带、扎带、接插件等</w:t>
            </w:r>
            <w:r>
              <w:rPr>
                <w:rFonts w:ascii="宋体" w:eastAsia="宋体" w:hAnsi="宋体" w:cs="宋体" w:hint="eastAsia"/>
                <w:kern w:val="0"/>
                <w:szCs w:val="21"/>
                <w:lang w:bidi="ar"/>
              </w:rPr>
              <w:br/>
              <w:t>杂件辅料：专用辅料，定制。</w:t>
            </w:r>
            <w:r>
              <w:rPr>
                <w:rFonts w:ascii="宋体" w:eastAsia="宋体" w:hAnsi="宋体" w:cs="宋体" w:hint="eastAsia"/>
                <w:kern w:val="0"/>
                <w:szCs w:val="21"/>
                <w:lang w:bidi="ar"/>
              </w:rPr>
              <w:br/>
              <w:t>车内照明系统：车内LED照明灯</w:t>
            </w:r>
            <w:r>
              <w:rPr>
                <w:rFonts w:ascii="宋体" w:eastAsia="宋体" w:hAnsi="宋体" w:cs="宋体" w:hint="eastAsia"/>
                <w:kern w:val="0"/>
                <w:szCs w:val="21"/>
                <w:lang w:bidi="ar"/>
              </w:rPr>
              <w:br/>
              <w:t>车外照明： LED灯源，满足车外照明</w:t>
            </w:r>
            <w:r>
              <w:rPr>
                <w:rFonts w:ascii="宋体" w:eastAsia="宋体" w:hAnsi="宋体" w:cs="宋体" w:hint="eastAsia"/>
                <w:kern w:val="0"/>
                <w:szCs w:val="21"/>
                <w:lang w:bidi="ar"/>
              </w:rPr>
              <w:br/>
              <w:t>壁挂空调：1.5P壁挂冷暖空调</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156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1.2</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舱体升降机构</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额定提升重量：≥8 T;</w:t>
            </w:r>
            <w:r>
              <w:rPr>
                <w:rFonts w:ascii="宋体" w:eastAsia="宋体" w:hAnsi="宋体" w:cs="宋体" w:hint="eastAsia"/>
                <w:kern w:val="0"/>
                <w:szCs w:val="21"/>
                <w:lang w:bidi="ar"/>
              </w:rPr>
              <w:br/>
              <w:t xml:space="preserve">额定提升高度：≥1500mm;  </w:t>
            </w:r>
            <w:r>
              <w:rPr>
                <w:rFonts w:ascii="宋体" w:eastAsia="宋体" w:hAnsi="宋体" w:cs="宋体" w:hint="eastAsia"/>
                <w:kern w:val="0"/>
                <w:szCs w:val="21"/>
                <w:lang w:bidi="ar"/>
              </w:rPr>
              <w:br/>
              <w:t xml:space="preserve">电机额定电压：AC220v;  </w:t>
            </w:r>
            <w:r>
              <w:rPr>
                <w:rFonts w:ascii="宋体" w:eastAsia="宋体" w:hAnsi="宋体" w:cs="宋体" w:hint="eastAsia"/>
                <w:kern w:val="0"/>
                <w:szCs w:val="21"/>
                <w:lang w:bidi="ar"/>
              </w:rPr>
              <w:br/>
              <w:t>升降时间(单程)：10min；</w:t>
            </w:r>
            <w:r>
              <w:rPr>
                <w:rFonts w:ascii="宋体" w:eastAsia="宋体" w:hAnsi="宋体" w:cs="宋体" w:hint="eastAsia"/>
                <w:kern w:val="0"/>
                <w:szCs w:val="21"/>
                <w:lang w:bidi="ar"/>
              </w:rPr>
              <w:br/>
              <w:t>调平时间＜3min,</w:t>
            </w:r>
            <w:r>
              <w:rPr>
                <w:rFonts w:ascii="宋体" w:eastAsia="宋体" w:hAnsi="宋体" w:cs="宋体" w:hint="eastAsia"/>
                <w:kern w:val="0"/>
                <w:szCs w:val="21"/>
                <w:lang w:bidi="ar"/>
              </w:rPr>
              <w:br/>
              <w:t>调平精度 0.5 度;</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120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1.3</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电动升降杆（上装六要素自动气象站）</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总高度(m)：≥8</w:t>
            </w:r>
            <w:r>
              <w:rPr>
                <w:rFonts w:ascii="宋体" w:eastAsia="宋体" w:hAnsi="宋体" w:cs="宋体" w:hint="eastAsia"/>
                <w:kern w:val="0"/>
                <w:szCs w:val="21"/>
                <w:lang w:bidi="ar"/>
              </w:rPr>
              <w:br/>
              <w:t>垂直承载能力（kg）：≥50</w:t>
            </w:r>
            <w:r>
              <w:rPr>
                <w:rFonts w:ascii="宋体" w:eastAsia="宋体" w:hAnsi="宋体" w:cs="宋体" w:hint="eastAsia"/>
                <w:kern w:val="0"/>
                <w:szCs w:val="21"/>
                <w:lang w:bidi="ar"/>
              </w:rPr>
              <w:br/>
              <w:t>稳态风速：≥8级风</w:t>
            </w:r>
            <w:r>
              <w:rPr>
                <w:rFonts w:ascii="宋体" w:eastAsia="宋体" w:hAnsi="宋体" w:cs="宋体" w:hint="eastAsia"/>
                <w:kern w:val="0"/>
                <w:szCs w:val="21"/>
                <w:lang w:bidi="ar"/>
              </w:rPr>
              <w:br/>
              <w:t>极限风速：≤12级风</w:t>
            </w:r>
            <w:r>
              <w:rPr>
                <w:rFonts w:ascii="宋体" w:eastAsia="宋体" w:hAnsi="宋体" w:cs="宋体" w:hint="eastAsia"/>
                <w:kern w:val="0"/>
                <w:szCs w:val="21"/>
                <w:lang w:bidi="ar"/>
              </w:rPr>
              <w:br/>
              <w:t>升降时间（min）：≤5</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78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1.4</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静音发电机</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lang w:bidi="ar"/>
              </w:rPr>
            </w:pPr>
            <w:r>
              <w:rPr>
                <w:rFonts w:ascii="宋体" w:eastAsia="宋体" w:hAnsi="宋体" w:cs="宋体" w:hint="eastAsia"/>
                <w:kern w:val="0"/>
                <w:szCs w:val="21"/>
                <w:lang w:bidi="ar"/>
              </w:rPr>
              <w:t xml:space="preserve">额定频率：50 HZ </w:t>
            </w:r>
            <w:r>
              <w:rPr>
                <w:rFonts w:ascii="宋体" w:eastAsia="宋体" w:hAnsi="宋体" w:cs="宋体" w:hint="eastAsia"/>
                <w:kern w:val="0"/>
                <w:szCs w:val="21"/>
                <w:lang w:bidi="ar"/>
              </w:rPr>
              <w:br/>
              <w:t xml:space="preserve">额定输出功率：≮15KW  </w:t>
            </w:r>
            <w:r>
              <w:rPr>
                <w:rFonts w:ascii="宋体" w:eastAsia="宋体" w:hAnsi="宋体" w:cs="宋体" w:hint="eastAsia"/>
                <w:kern w:val="0"/>
                <w:szCs w:val="21"/>
                <w:lang w:bidi="ar"/>
              </w:rPr>
              <w:br/>
              <w:t>额定电压：240 V</w:t>
            </w:r>
          </w:p>
          <w:p w:rsidR="00800AF2">
            <w:pPr>
              <w:widowControl/>
              <w:spacing w:line="360" w:lineRule="auto"/>
              <w:jc w:val="left"/>
              <w:rPr>
                <w:rFonts w:ascii="宋体" w:eastAsia="宋体" w:hAnsi="宋体" w:cs="宋体" w:hint="eastAsia"/>
                <w:kern w:val="0"/>
                <w:szCs w:val="21"/>
                <w:lang w:bidi="ar"/>
              </w:rPr>
            </w:pPr>
            <w:r>
              <w:rPr>
                <w:rFonts w:ascii="宋体" w:eastAsia="宋体" w:hAnsi="宋体" w:cs="宋体" w:hint="eastAsia"/>
                <w:kern w:val="0"/>
                <w:szCs w:val="21"/>
                <w:lang w:bidi="ar"/>
              </w:rPr>
              <w:t>高原适配型：≥4000m可正常使用</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182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1.5</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UPS不间断电源</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在线式UPS</w:t>
            </w:r>
            <w:r>
              <w:rPr>
                <w:rFonts w:ascii="宋体" w:eastAsia="宋体" w:hAnsi="宋体" w:cs="宋体" w:hint="eastAsia"/>
                <w:kern w:val="0"/>
                <w:szCs w:val="21"/>
                <w:lang w:bidi="ar"/>
              </w:rPr>
              <w:br/>
              <w:t>频率范围 （HZ）50/60±10%</w:t>
            </w:r>
            <w:r>
              <w:rPr>
                <w:rFonts w:ascii="宋体" w:eastAsia="宋体" w:hAnsi="宋体" w:cs="宋体" w:hint="eastAsia"/>
                <w:kern w:val="0"/>
                <w:szCs w:val="21"/>
                <w:lang w:bidi="ar"/>
              </w:rPr>
              <w:br/>
              <w:t>输出功率因数:≥0.9</w:t>
            </w:r>
            <w:r>
              <w:rPr>
                <w:rFonts w:ascii="宋体" w:eastAsia="宋体" w:hAnsi="宋体" w:cs="宋体" w:hint="eastAsia"/>
                <w:kern w:val="0"/>
                <w:szCs w:val="21"/>
                <w:lang w:bidi="ar"/>
              </w:rPr>
              <w:br/>
              <w:t>输出功率：≮9KVA</w:t>
            </w:r>
            <w:r>
              <w:rPr>
                <w:rFonts w:ascii="宋体" w:eastAsia="宋体" w:hAnsi="宋体" w:cs="宋体" w:hint="eastAsia"/>
                <w:kern w:val="0"/>
                <w:szCs w:val="21"/>
                <w:lang w:bidi="ar"/>
              </w:rPr>
              <w:br/>
              <w:t>输出电压:208/220/230/240±1%</w:t>
            </w:r>
            <w:r>
              <w:rPr>
                <w:rFonts w:ascii="宋体" w:eastAsia="宋体" w:hAnsi="宋体" w:cs="宋体" w:hint="eastAsia"/>
                <w:kern w:val="0"/>
                <w:szCs w:val="21"/>
                <w:lang w:bidi="ar"/>
              </w:rPr>
              <w:br/>
              <w:t>设备尺寸主机高度2U，深度不超500mm。电池尺寸高度3U,深度不超500mm，满足后备电源120分钟供电时长</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52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1.6</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配电箱</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集中式电源管理系统，含电源漏电保护、开关、电源电压电流显示等，开关分别控制空调、设备用电等；配电盘面板为数控机床加工，表面喷塑处理。</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28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1.7</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全车接地系统</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含接地桩、接地线，静电地拖电源防浪涌装置</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28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1.8</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接口板</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含电源、对外信息接口</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28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1.9</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电源线缆盘</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设计双路市电供电，手动线缆盘，含50米橡胶线缆</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28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1.10</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大屏显示器</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不小于32英寸，分辨率:不低于1080P</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4</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243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1.11</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北斗传输设备</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定位功能：具备支持单独使用北斗定位功能；</w:t>
            </w:r>
            <w:r>
              <w:rPr>
                <w:rFonts w:ascii="宋体" w:eastAsia="宋体" w:hAnsi="宋体" w:cs="宋体" w:hint="eastAsia"/>
                <w:kern w:val="0"/>
                <w:szCs w:val="21"/>
                <w:lang w:bidi="ar"/>
              </w:rPr>
              <w:br/>
              <w:t>定位精度：≤5m；测速精度：≤0.2m/s；</w:t>
            </w:r>
            <w:r>
              <w:rPr>
                <w:rFonts w:ascii="宋体" w:eastAsia="宋体" w:hAnsi="宋体" w:cs="宋体" w:hint="eastAsia"/>
                <w:kern w:val="0"/>
                <w:szCs w:val="21"/>
                <w:lang w:bidi="ar"/>
              </w:rPr>
              <w:br/>
              <w:t>首次定位时间：冷启动≤120秒，热启动≤10秒；</w:t>
            </w:r>
            <w:r>
              <w:rPr>
                <w:rFonts w:ascii="宋体" w:eastAsia="宋体" w:hAnsi="宋体" w:cs="宋体" w:hint="eastAsia"/>
                <w:kern w:val="0"/>
                <w:szCs w:val="21"/>
                <w:lang w:bidi="ar"/>
              </w:rPr>
              <w:br/>
              <w:t>接收频率：支持北斗 B1频段；</w:t>
            </w:r>
            <w:r>
              <w:rPr>
                <w:rFonts w:ascii="宋体" w:eastAsia="宋体" w:hAnsi="宋体" w:cs="宋体" w:hint="eastAsia"/>
                <w:kern w:val="0"/>
                <w:szCs w:val="21"/>
                <w:lang w:bidi="ar"/>
              </w:rPr>
              <w:br/>
              <w:t>捕获灵敏度：≤-133dBm；跟踪灵敏度：≤-147dBm；</w:t>
            </w:r>
            <w:r>
              <w:rPr>
                <w:rFonts w:ascii="宋体" w:eastAsia="宋体" w:hAnsi="宋体" w:cs="宋体" w:hint="eastAsia"/>
                <w:kern w:val="0"/>
                <w:szCs w:val="21"/>
                <w:lang w:bidi="ar"/>
              </w:rPr>
              <w:br/>
              <w:t>接收波束个数：北斗二号≥10个，北斗三号≥14个；</w:t>
            </w:r>
            <w:r>
              <w:rPr>
                <w:rFonts w:ascii="宋体" w:eastAsia="宋体" w:hAnsi="宋体" w:cs="宋体" w:hint="eastAsia"/>
                <w:kern w:val="0"/>
                <w:szCs w:val="21"/>
                <w:lang w:bidi="ar"/>
              </w:rPr>
              <w:br/>
              <w:t>发射频点：Lf1、Lf2；</w:t>
            </w:r>
            <w:r>
              <w:rPr>
                <w:rFonts w:ascii="宋体" w:eastAsia="宋体" w:hAnsi="宋体" w:cs="宋体" w:hint="eastAsia"/>
                <w:kern w:val="0"/>
                <w:szCs w:val="21"/>
                <w:lang w:bidi="ar"/>
              </w:rPr>
              <w:br/>
              <w:t>支持北斗三号系统，支持北斗三号区域短报文通信服务；</w:t>
            </w:r>
            <w:r>
              <w:rPr>
                <w:rFonts w:ascii="宋体" w:eastAsia="宋体" w:hAnsi="宋体" w:cs="宋体" w:hint="eastAsia"/>
                <w:kern w:val="0"/>
                <w:szCs w:val="21"/>
                <w:lang w:bidi="ar"/>
              </w:rPr>
              <w:br/>
              <w:t>防护等级：≥IP67；</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135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1.12</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5G路由器</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网络制式：5G/SA&amp;NSA   4G/LTE  3G/UMTS；</w:t>
            </w:r>
            <w:r>
              <w:rPr>
                <w:rFonts w:ascii="宋体" w:eastAsia="宋体" w:hAnsi="宋体" w:cs="宋体" w:hint="eastAsia"/>
                <w:kern w:val="0"/>
                <w:szCs w:val="21"/>
                <w:lang w:bidi="ar"/>
              </w:rPr>
              <w:br/>
              <w:t>网络频段：5G NR  FDD: n1/28,TDD: n78/79/41</w:t>
            </w:r>
            <w:r>
              <w:rPr>
                <w:rFonts w:ascii="宋体" w:eastAsia="宋体" w:hAnsi="宋体" w:cs="宋体" w:hint="eastAsia"/>
                <w:kern w:val="0"/>
                <w:szCs w:val="21"/>
                <w:lang w:bidi="ar"/>
              </w:rPr>
              <w:br/>
              <w:t xml:space="preserve">           4G LTE  FDD: B1/3/5/8,TDD：B34/39/40/41</w:t>
            </w:r>
            <w:r>
              <w:rPr>
                <w:rFonts w:ascii="宋体" w:eastAsia="宋体" w:hAnsi="宋体" w:cs="宋体" w:hint="eastAsia"/>
                <w:kern w:val="0"/>
                <w:szCs w:val="21"/>
                <w:lang w:bidi="ar"/>
              </w:rPr>
              <w:br/>
            </w:r>
            <w:r>
              <w:rPr>
                <w:rFonts w:ascii="宋体" w:eastAsia="宋体" w:hAnsi="宋体" w:cs="宋体" w:hint="eastAsia"/>
                <w:kern w:val="0"/>
                <w:szCs w:val="21"/>
                <w:lang w:bidi="ar"/>
              </w:rPr>
              <w:t xml:space="preserve">           3G UMTS  W1/2/5/8</w:t>
            </w:r>
            <w:r>
              <w:rPr>
                <w:rFonts w:ascii="宋体" w:eastAsia="宋体" w:hAnsi="宋体" w:cs="宋体" w:hint="eastAsia"/>
                <w:kern w:val="0"/>
                <w:szCs w:val="21"/>
                <w:lang w:bidi="ar"/>
              </w:rPr>
              <w:br/>
              <w:t>网口：两个千兆网口</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4498"/>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1.13</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卫星通信系统</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lang w:bidi="ar"/>
              </w:rPr>
            </w:pPr>
            <w:r>
              <w:rPr>
                <w:rFonts w:ascii="宋体" w:eastAsia="宋体" w:hAnsi="宋体" w:cs="宋体" w:hint="eastAsia"/>
                <w:kern w:val="0"/>
                <w:szCs w:val="21"/>
                <w:lang w:bidi="ar"/>
              </w:rPr>
              <w:t>（1）便携式卫星通信系统</w:t>
            </w:r>
            <w:r>
              <w:rPr>
                <w:rFonts w:ascii="宋体" w:eastAsia="宋体" w:hAnsi="宋体" w:cs="宋体" w:hint="eastAsia"/>
                <w:kern w:val="0"/>
                <w:szCs w:val="21"/>
                <w:lang w:bidi="ar"/>
              </w:rPr>
              <w:br/>
              <w:t>拆装部件：5～8块分块反射面和一体化介质馈源</w:t>
            </w:r>
            <w:r>
              <w:rPr>
                <w:rFonts w:ascii="宋体" w:eastAsia="宋体" w:hAnsi="宋体" w:cs="宋体" w:hint="eastAsia"/>
                <w:kern w:val="0"/>
                <w:szCs w:val="21"/>
                <w:lang w:bidi="ar"/>
              </w:rPr>
              <w:br/>
              <w:t>定位方式：GPS 北斗双模+手动输入</w:t>
            </w:r>
            <w:r>
              <w:rPr>
                <w:rFonts w:ascii="宋体" w:eastAsia="宋体" w:hAnsi="宋体" w:cs="宋体" w:hint="eastAsia"/>
                <w:kern w:val="0"/>
                <w:szCs w:val="21"/>
                <w:lang w:bidi="ar"/>
              </w:rPr>
              <w:br/>
              <w:t>发射频率：13.75～14.50 GHz</w:t>
            </w:r>
            <w:r>
              <w:rPr>
                <w:rFonts w:ascii="宋体" w:eastAsia="宋体" w:hAnsi="宋体" w:cs="宋体" w:hint="eastAsia"/>
                <w:kern w:val="0"/>
                <w:szCs w:val="21"/>
                <w:lang w:bidi="ar"/>
              </w:rPr>
              <w:br/>
              <w:t>接收频率：10.70～12.75 GHz</w:t>
            </w:r>
            <w:r>
              <w:rPr>
                <w:rFonts w:ascii="宋体" w:eastAsia="宋体" w:hAnsi="宋体" w:cs="宋体" w:hint="eastAsia"/>
                <w:kern w:val="0"/>
                <w:szCs w:val="21"/>
                <w:lang w:bidi="ar"/>
              </w:rPr>
              <w:br/>
              <w:t>天线净重：≤9.8kg</w:t>
            </w:r>
            <w:r>
              <w:rPr>
                <w:rFonts w:ascii="宋体" w:eastAsia="宋体" w:hAnsi="宋体" w:cs="宋体" w:hint="eastAsia"/>
                <w:kern w:val="0"/>
                <w:szCs w:val="21"/>
                <w:lang w:bidi="ar"/>
              </w:rPr>
              <w:br/>
              <w:t>携行全重：≤13.0kg</w:t>
            </w:r>
            <w:r>
              <w:rPr>
                <w:rFonts w:ascii="宋体" w:eastAsia="宋体" w:hAnsi="宋体" w:cs="宋体" w:hint="eastAsia"/>
                <w:kern w:val="0"/>
                <w:szCs w:val="21"/>
                <w:lang w:bidi="ar"/>
              </w:rPr>
              <w:br/>
              <w:t>携行尺寸：60×38×35cm</w:t>
            </w:r>
            <w:r>
              <w:rPr>
                <w:rFonts w:ascii="宋体" w:eastAsia="宋体" w:hAnsi="宋体" w:cs="宋体" w:hint="eastAsia"/>
                <w:kern w:val="0"/>
                <w:szCs w:val="21"/>
                <w:lang w:bidi="ar"/>
              </w:rPr>
              <w:br/>
              <w:t>天线供电：内置230Wh锂电池、内置150Wh+外置可拆卸150Wh（外置选配）和无电池三种方案可选，上述各种方式均支持100～240VAC(47～63Hz)转 29.4V 充供电适配器供电</w:t>
            </w:r>
            <w:r>
              <w:rPr>
                <w:rFonts w:ascii="宋体" w:eastAsia="宋体" w:hAnsi="宋体" w:cs="宋体" w:hint="eastAsia"/>
                <w:kern w:val="0"/>
                <w:szCs w:val="21"/>
                <w:lang w:bidi="ar"/>
              </w:rPr>
              <w:br/>
              <w:t>内置模块化网络频谱仪</w:t>
            </w:r>
            <w:r>
              <w:rPr>
                <w:rFonts w:ascii="宋体" w:eastAsia="宋体" w:hAnsi="宋体" w:cs="宋体" w:hint="eastAsia"/>
                <w:kern w:val="0"/>
                <w:szCs w:val="21"/>
                <w:lang w:bidi="ar"/>
              </w:rPr>
              <w:br/>
              <w:t>①频率范围：950MHz ～ 1750MHz</w:t>
            </w:r>
            <w:r>
              <w:rPr>
                <w:rFonts w:ascii="宋体" w:eastAsia="宋体" w:hAnsi="宋体" w:cs="宋体" w:hint="eastAsia"/>
                <w:kern w:val="0"/>
                <w:szCs w:val="21"/>
                <w:lang w:bidi="ar"/>
              </w:rPr>
              <w:br/>
              <w:t xml:space="preserve">②扫频宽度：1MHz ～ 50MHz </w:t>
            </w:r>
            <w:r>
              <w:rPr>
                <w:rFonts w:ascii="宋体" w:eastAsia="宋体" w:hAnsi="宋体" w:cs="宋体" w:hint="eastAsia"/>
                <w:kern w:val="0"/>
                <w:szCs w:val="21"/>
                <w:lang w:bidi="ar"/>
              </w:rPr>
              <w:br/>
              <w:t xml:space="preserve">③调谐步长：50Hz ～ 1MHz </w:t>
            </w:r>
            <w:r>
              <w:rPr>
                <w:rFonts w:ascii="宋体" w:eastAsia="宋体" w:hAnsi="宋体" w:cs="宋体" w:hint="eastAsia"/>
                <w:kern w:val="0"/>
                <w:szCs w:val="21"/>
                <w:lang w:bidi="ar"/>
              </w:rPr>
              <w:br/>
              <w:t>④输入信号范围：-80dBm ～ -25dBm</w:t>
            </w:r>
            <w:r>
              <w:rPr>
                <w:rFonts w:ascii="宋体" w:eastAsia="宋体" w:hAnsi="宋体" w:cs="宋体" w:hint="eastAsia"/>
                <w:kern w:val="0"/>
                <w:szCs w:val="21"/>
                <w:lang w:bidi="ar"/>
              </w:rPr>
              <w:br/>
              <w:t>⑤频率响应：±1.5dB</w:t>
            </w:r>
            <w:r>
              <w:rPr>
                <w:rFonts w:ascii="宋体" w:eastAsia="宋体" w:hAnsi="宋体" w:cs="宋体" w:hint="eastAsia"/>
                <w:kern w:val="0"/>
                <w:szCs w:val="21"/>
                <w:lang w:bidi="ar"/>
              </w:rPr>
              <w:br/>
              <w:t>⑥噪声电平：-135dBm</w:t>
            </w:r>
            <w:r>
              <w:rPr>
                <w:rFonts w:ascii="宋体" w:eastAsia="宋体" w:hAnsi="宋体" w:cs="宋体" w:hint="eastAsia"/>
                <w:kern w:val="0"/>
                <w:szCs w:val="21"/>
                <w:lang w:bidi="ar"/>
              </w:rPr>
              <w:br/>
              <w:t>⑦输入端口驻波比：&lt;2.0：1</w:t>
            </w:r>
            <w:r>
              <w:rPr>
                <w:rFonts w:ascii="宋体" w:eastAsia="宋体" w:hAnsi="宋体" w:cs="宋体" w:hint="eastAsia"/>
                <w:kern w:val="0"/>
                <w:szCs w:val="21"/>
                <w:lang w:bidi="ar"/>
              </w:rPr>
              <w:br/>
              <w:t>⑧控制：嵌入式Web控制方式，采用PC、PAD、手机可监看频谱状态</w:t>
            </w:r>
            <w:r>
              <w:rPr>
                <w:rFonts w:ascii="宋体" w:eastAsia="宋体" w:hAnsi="宋体" w:cs="宋体" w:hint="eastAsia"/>
                <w:kern w:val="0"/>
                <w:szCs w:val="21"/>
                <w:lang w:bidi="ar"/>
              </w:rPr>
              <w:br/>
              <w:t>⑨支持嵌入式Web控制方式，无需专用APP，支持手机和笔记本等无线终端控制能力。</w:t>
            </w:r>
            <w:r>
              <w:rPr>
                <w:rFonts w:ascii="宋体" w:eastAsia="宋体" w:hAnsi="宋体" w:cs="宋体" w:hint="eastAsia"/>
                <w:kern w:val="0"/>
                <w:szCs w:val="21"/>
                <w:lang w:bidi="ar"/>
              </w:rPr>
              <w:br/>
              <w:t>产品符合GJB标准高低温、淋雨、湿热、盐雾、振动、冲击等试验要求，符合GB/T外壳防护等级IP66或以上要求，并出具第三方检测报告。</w:t>
            </w:r>
            <w:r>
              <w:rPr>
                <w:rFonts w:ascii="宋体" w:eastAsia="宋体" w:hAnsi="宋体" w:cs="宋体" w:hint="eastAsia"/>
                <w:kern w:val="0"/>
                <w:szCs w:val="21"/>
                <w:lang w:bidi="ar"/>
              </w:rPr>
              <w:br/>
            </w:r>
            <w:r>
              <w:rPr>
                <w:rFonts w:ascii="宋体" w:eastAsia="宋体" w:hAnsi="宋体" w:cs="宋体" w:hint="eastAsia"/>
                <w:kern w:val="0"/>
                <w:szCs w:val="21"/>
                <w:lang w:bidi="ar"/>
              </w:rPr>
              <w:t>（2）便携式通信终端箱</w:t>
            </w:r>
            <w:r>
              <w:rPr>
                <w:rFonts w:ascii="宋体" w:eastAsia="宋体" w:hAnsi="宋体" w:cs="宋体" w:hint="eastAsia"/>
                <w:kern w:val="0"/>
                <w:szCs w:val="21"/>
                <w:lang w:bidi="ar"/>
              </w:rPr>
              <w:br/>
              <w:t>1. 显示屏：3*15.6英寸工业级液晶显示屏，阳光下可视显示内容，可分别显示内置计算机画面、视频会议终端画面、本地预览（不少于2路接口板视频输入、本地摄像头及计算机扩展屏）画面，本地预览的画面可作为视频源送入视频终端。</w:t>
            </w:r>
            <w:r>
              <w:rPr>
                <w:rFonts w:ascii="宋体" w:eastAsia="宋体" w:hAnsi="宋体" w:cs="宋体" w:hint="eastAsia"/>
                <w:kern w:val="0"/>
                <w:szCs w:val="21"/>
                <w:lang w:bidi="ar"/>
              </w:rPr>
              <w:br/>
              <w:t>2. 内置摄像头：宽动态，≥200万像素，支持1920*1080分辨率，视场角/焦距：77°/4.262mm。</w:t>
            </w:r>
            <w:r>
              <w:rPr>
                <w:rFonts w:ascii="宋体" w:eastAsia="宋体" w:hAnsi="宋体" w:cs="宋体" w:hint="eastAsia"/>
                <w:kern w:val="0"/>
                <w:szCs w:val="21"/>
                <w:lang w:bidi="ar"/>
              </w:rPr>
              <w:br/>
              <w:t>3. 内置话筒：配备阵列式智能降噪拾音系统，可与接口板音频输入一同经过数字混音器送入视频会议终端，可通过中控系统调节音量输入的大小。</w:t>
            </w:r>
            <w:r>
              <w:rPr>
                <w:rFonts w:ascii="宋体" w:eastAsia="宋体" w:hAnsi="宋体" w:cs="宋体" w:hint="eastAsia"/>
                <w:kern w:val="0"/>
                <w:szCs w:val="21"/>
                <w:lang w:bidi="ar"/>
              </w:rPr>
              <w:br/>
              <w:t>4. 内置扬声器：全频段高保真扬声器。</w:t>
            </w:r>
            <w:r>
              <w:rPr>
                <w:rFonts w:ascii="宋体" w:eastAsia="宋体" w:hAnsi="宋体" w:cs="宋体" w:hint="eastAsia"/>
                <w:kern w:val="0"/>
                <w:szCs w:val="21"/>
                <w:lang w:bidi="ar"/>
              </w:rPr>
              <w:br/>
              <w:t>5. 视频会议终端：实现会商功能，具备H.265 1080P双流音视频媒体处理能力，提供至臻会议体验。</w:t>
            </w:r>
            <w:r>
              <w:rPr>
                <w:rFonts w:ascii="宋体" w:eastAsia="宋体" w:hAnsi="宋体" w:cs="宋体" w:hint="eastAsia"/>
                <w:kern w:val="0"/>
                <w:szCs w:val="21"/>
                <w:lang w:bidi="ar"/>
              </w:rPr>
              <w:br/>
              <w:t>7.公网路由器：支持移动、电信、联通三大运营商4G/5G移动通信网络，工业级</w:t>
            </w:r>
            <w:r>
              <w:rPr>
                <w:rFonts w:ascii="宋体" w:eastAsia="宋体" w:hAnsi="宋体" w:cs="宋体" w:hint="eastAsia"/>
                <w:kern w:val="0"/>
                <w:szCs w:val="21"/>
                <w:lang w:bidi="ar"/>
              </w:rPr>
              <w:br/>
              <w:t>8.计算机：</w:t>
            </w:r>
            <w:r>
              <w:rPr>
                <w:rFonts w:ascii="宋体" w:eastAsia="宋体" w:hAnsi="宋体" w:cs="宋体" w:hint="eastAsia"/>
                <w:kern w:val="0"/>
                <w:szCs w:val="21"/>
                <w:lang w:bidi="ar"/>
              </w:rPr>
              <w:br/>
              <w:t>内核数：不少于4</w:t>
            </w:r>
            <w:r>
              <w:rPr>
                <w:rFonts w:ascii="宋体" w:eastAsia="宋体" w:hAnsi="宋体" w:cs="宋体" w:hint="eastAsia"/>
                <w:kern w:val="0"/>
                <w:szCs w:val="21"/>
                <w:lang w:bidi="ar"/>
              </w:rPr>
              <w:br/>
              <w:t>总线程数：不少于8</w:t>
            </w:r>
            <w:r>
              <w:rPr>
                <w:rFonts w:ascii="宋体" w:eastAsia="宋体" w:hAnsi="宋体" w:cs="宋体" w:hint="eastAsia"/>
                <w:kern w:val="0"/>
                <w:szCs w:val="21"/>
                <w:lang w:bidi="ar"/>
              </w:rPr>
              <w:br/>
              <w:t>处理器基础频率：≥1.60GHz</w:t>
            </w:r>
            <w:r>
              <w:rPr>
                <w:rFonts w:ascii="宋体" w:eastAsia="宋体" w:hAnsi="宋体" w:cs="宋体" w:hint="eastAsia"/>
                <w:kern w:val="0"/>
                <w:szCs w:val="21"/>
                <w:lang w:bidi="ar"/>
              </w:rPr>
              <w:br/>
              <w:t>最大睿频频率：≥4.20GHz</w:t>
            </w:r>
            <w:r>
              <w:rPr>
                <w:rFonts w:ascii="宋体" w:eastAsia="宋体" w:hAnsi="宋体" w:cs="宋体" w:hint="eastAsia"/>
                <w:kern w:val="0"/>
                <w:szCs w:val="21"/>
                <w:lang w:bidi="ar"/>
              </w:rPr>
              <w:br/>
              <w:t>9．视频矩阵及功能</w:t>
            </w:r>
            <w:r>
              <w:rPr>
                <w:rFonts w:ascii="宋体" w:eastAsia="宋体" w:hAnsi="宋体" w:cs="宋体" w:hint="eastAsia"/>
                <w:kern w:val="0"/>
                <w:szCs w:val="21"/>
                <w:lang w:bidi="ar"/>
              </w:rPr>
              <w:br/>
              <w:t>广播级不少于4入4出高清视频矩阵</w:t>
            </w:r>
            <w:r>
              <w:rPr>
                <w:rFonts w:ascii="宋体" w:eastAsia="宋体" w:hAnsi="宋体" w:cs="宋体" w:hint="eastAsia"/>
                <w:kern w:val="0"/>
                <w:szCs w:val="21"/>
                <w:lang w:bidi="ar"/>
              </w:rPr>
              <w:br/>
              <w:t>可在视频会议期间，将内置摄像头采集的画面、接口板两路高清输入视 频的画面及内置计算机的画面经视频会议传送到指挥中心</w:t>
            </w:r>
            <w:r>
              <w:rPr>
                <w:rFonts w:ascii="宋体" w:eastAsia="宋体" w:hAnsi="宋体" w:cs="宋体" w:hint="eastAsia"/>
                <w:kern w:val="0"/>
                <w:szCs w:val="21"/>
                <w:lang w:bidi="ar"/>
              </w:rPr>
              <w:br/>
              <w:t>10.画面分割器及功能</w:t>
            </w:r>
            <w:r>
              <w:rPr>
                <w:rFonts w:ascii="宋体" w:eastAsia="宋体" w:hAnsi="宋体" w:cs="宋体" w:hint="eastAsia"/>
                <w:kern w:val="0"/>
                <w:szCs w:val="21"/>
                <w:lang w:bidi="ar"/>
              </w:rPr>
              <w:br/>
              <w:t>广播级4入1出高清画面分割器</w:t>
            </w:r>
            <w:r>
              <w:rPr>
                <w:rFonts w:ascii="宋体" w:eastAsia="宋体" w:hAnsi="宋体" w:cs="宋体" w:hint="eastAsia"/>
                <w:kern w:val="0"/>
                <w:szCs w:val="21"/>
                <w:lang w:bidi="ar"/>
              </w:rPr>
              <w:br/>
              <w:t>可对内置摄像头采集的画面、接口板两路高清输入视频的画</w:t>
            </w:r>
            <w:r>
              <w:rPr>
                <w:rFonts w:ascii="宋体" w:eastAsia="宋体" w:hAnsi="宋体" w:cs="宋体" w:hint="eastAsia"/>
                <w:kern w:val="0"/>
                <w:szCs w:val="21"/>
                <w:lang w:bidi="ar"/>
              </w:rPr>
              <w:t>面及内置计算机的画面进行预览，随时送入视频会议</w:t>
            </w:r>
            <w:r>
              <w:rPr>
                <w:rFonts w:ascii="宋体" w:eastAsia="宋体" w:hAnsi="宋体" w:cs="宋体" w:hint="eastAsia"/>
                <w:kern w:val="0"/>
                <w:szCs w:val="21"/>
                <w:lang w:bidi="ar"/>
              </w:rPr>
              <w:br/>
              <w:t>11.中控系统</w:t>
            </w:r>
            <w:r>
              <w:rPr>
                <w:rFonts w:ascii="宋体" w:eastAsia="宋体" w:hAnsi="宋体" w:cs="宋体" w:hint="eastAsia"/>
                <w:kern w:val="0"/>
                <w:szCs w:val="21"/>
                <w:lang w:bidi="ar"/>
              </w:rPr>
              <w:br/>
              <w:t>通过内置工业级电容触控终端实现以下功能：</w:t>
            </w:r>
            <w:r>
              <w:rPr>
                <w:rFonts w:ascii="宋体" w:eastAsia="宋体" w:hAnsi="宋体" w:cs="宋体" w:hint="eastAsia"/>
                <w:kern w:val="0"/>
                <w:szCs w:val="21"/>
                <w:lang w:bidi="ar"/>
              </w:rPr>
              <w:br/>
              <w:t>分设备电源控制</w:t>
            </w:r>
            <w:r>
              <w:rPr>
                <w:rFonts w:ascii="宋体" w:eastAsia="宋体" w:hAnsi="宋体" w:cs="宋体" w:hint="eastAsia"/>
                <w:kern w:val="0"/>
                <w:szCs w:val="21"/>
                <w:lang w:bidi="ar"/>
              </w:rPr>
              <w:br/>
              <w:t>分设备实时功耗监测</w:t>
            </w:r>
            <w:r>
              <w:rPr>
                <w:rFonts w:ascii="宋体" w:eastAsia="宋体" w:hAnsi="宋体" w:cs="宋体" w:hint="eastAsia"/>
                <w:kern w:val="0"/>
                <w:szCs w:val="21"/>
                <w:lang w:bidi="ar"/>
              </w:rPr>
              <w:br/>
              <w:t>视频会议控制及画面切换</w:t>
            </w:r>
            <w:r>
              <w:rPr>
                <w:rFonts w:ascii="宋体" w:eastAsia="宋体" w:hAnsi="宋体" w:cs="宋体" w:hint="eastAsia"/>
                <w:kern w:val="0"/>
                <w:szCs w:val="21"/>
                <w:lang w:bidi="ar"/>
              </w:rPr>
              <w:br/>
              <w:t>内置话筒及外接话筒音量调节及开关</w:t>
            </w:r>
            <w:r>
              <w:rPr>
                <w:rFonts w:ascii="宋体" w:eastAsia="宋体" w:hAnsi="宋体" w:cs="宋体" w:hint="eastAsia"/>
                <w:kern w:val="0"/>
                <w:szCs w:val="21"/>
                <w:lang w:bidi="ar"/>
              </w:rPr>
              <w:br/>
              <w:t>箱内温湿度监控及散热风机转速自动调整等</w:t>
            </w:r>
            <w:r>
              <w:rPr>
                <w:rFonts w:ascii="宋体" w:eastAsia="宋体" w:hAnsi="宋体" w:cs="宋体" w:hint="eastAsia"/>
                <w:kern w:val="0"/>
                <w:szCs w:val="21"/>
                <w:lang w:bidi="ar"/>
              </w:rPr>
              <w:br/>
              <w:t>12.电源系统</w:t>
            </w:r>
            <w:r>
              <w:rPr>
                <w:rFonts w:ascii="宋体" w:eastAsia="宋体" w:hAnsi="宋体" w:cs="宋体" w:hint="eastAsia"/>
                <w:kern w:val="0"/>
                <w:szCs w:val="21"/>
                <w:lang w:bidi="ar"/>
              </w:rPr>
              <w:br/>
              <w:t>100～240VAC宽电压输入，具备过压及短路保护功能。</w:t>
            </w:r>
            <w:r>
              <w:rPr>
                <w:rFonts w:ascii="宋体" w:eastAsia="宋体" w:hAnsi="宋体" w:cs="宋体" w:hint="eastAsia"/>
                <w:kern w:val="0"/>
                <w:szCs w:val="21"/>
                <w:lang w:bidi="ar"/>
              </w:rPr>
              <w:br/>
              <w:t>13.网络系统</w:t>
            </w:r>
            <w:r>
              <w:rPr>
                <w:rFonts w:ascii="宋体" w:eastAsia="宋体" w:hAnsi="宋体" w:cs="宋体" w:hint="eastAsia"/>
                <w:kern w:val="0"/>
                <w:szCs w:val="21"/>
                <w:lang w:bidi="ar"/>
              </w:rPr>
              <w:br/>
              <w:t>支持ERPS环网，网络故障自愈时间小于 20ms</w:t>
            </w:r>
          </w:p>
          <w:p w:rsidR="00800AF2">
            <w:pPr>
              <w:widowControl/>
              <w:spacing w:line="360" w:lineRule="auto"/>
              <w:rPr>
                <w:rFonts w:ascii="宋体" w:eastAsia="宋体" w:hAnsi="宋体" w:cs="宋体" w:hint="eastAsia"/>
                <w:kern w:val="0"/>
                <w:szCs w:val="21"/>
                <w:lang w:bidi="ar"/>
              </w:rPr>
            </w:pPr>
            <w:r>
              <w:rPr>
                <w:rFonts w:ascii="宋体" w:eastAsia="宋体" w:hAnsi="宋体" w:cs="宋体" w:hint="eastAsia"/>
                <w:kern w:val="0"/>
                <w:szCs w:val="21"/>
                <w:lang w:bidi="ar"/>
              </w:rPr>
              <w:t>14.无线键鼠套装4套。</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60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1.14</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千兆交换机（含光模块）</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支持不少于24个10/100/1000Base-TX以太网端口，4个千兆SFP；</w:t>
            </w:r>
            <w:r>
              <w:rPr>
                <w:rFonts w:ascii="宋体" w:eastAsia="宋体" w:hAnsi="宋体" w:cs="宋体" w:hint="eastAsia"/>
                <w:kern w:val="0"/>
                <w:szCs w:val="21"/>
                <w:lang w:bidi="ar"/>
              </w:rPr>
              <w:br/>
              <w:t>IP路由：支持IPv4和IPv6的三层路由功能；</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243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1.15</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车顶云台摄像机</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图像传感器：1/2.8″2.0MP Sony逐行扫描CMOS；</w:t>
            </w:r>
            <w:r>
              <w:rPr>
                <w:rFonts w:ascii="宋体" w:eastAsia="宋体" w:hAnsi="宋体" w:cs="宋体" w:hint="eastAsia"/>
                <w:kern w:val="0"/>
                <w:szCs w:val="21"/>
                <w:lang w:bidi="ar"/>
              </w:rPr>
              <w:br/>
              <w:t>镜头倍数：20倍光学变焦；</w:t>
            </w:r>
            <w:r>
              <w:rPr>
                <w:rFonts w:ascii="宋体" w:eastAsia="宋体" w:hAnsi="宋体" w:cs="宋体" w:hint="eastAsia"/>
                <w:kern w:val="0"/>
                <w:szCs w:val="21"/>
                <w:lang w:bidi="ar"/>
              </w:rPr>
              <w:br/>
              <w:t>焦距(mm)：f4.3～86mm；</w:t>
            </w:r>
            <w:r>
              <w:rPr>
                <w:rFonts w:ascii="宋体" w:eastAsia="宋体" w:hAnsi="宋体" w:cs="宋体" w:hint="eastAsia"/>
                <w:kern w:val="0"/>
                <w:szCs w:val="21"/>
                <w:lang w:bidi="ar"/>
              </w:rPr>
              <w:br/>
              <w:t>光圈：Fw1.6～Ft4.4；</w:t>
            </w:r>
            <w:r>
              <w:rPr>
                <w:rFonts w:ascii="宋体" w:eastAsia="宋体" w:hAnsi="宋体" w:cs="宋体" w:hint="eastAsia"/>
                <w:kern w:val="0"/>
                <w:szCs w:val="21"/>
                <w:lang w:bidi="ar"/>
              </w:rPr>
              <w:br/>
              <w:t>视频输出：HD-SDI SD—VBS；</w:t>
            </w:r>
            <w:r>
              <w:rPr>
                <w:rFonts w:ascii="宋体" w:eastAsia="宋体" w:hAnsi="宋体" w:cs="宋体" w:hint="eastAsia"/>
                <w:kern w:val="0"/>
                <w:szCs w:val="21"/>
                <w:lang w:bidi="ar"/>
              </w:rPr>
              <w:br/>
              <w:t>水平角度：360° 无限位旋转；</w:t>
            </w:r>
            <w:r>
              <w:rPr>
                <w:rFonts w:ascii="宋体" w:eastAsia="宋体" w:hAnsi="宋体" w:cs="宋体" w:hint="eastAsia"/>
                <w:kern w:val="0"/>
                <w:szCs w:val="21"/>
                <w:lang w:bidi="ar"/>
              </w:rPr>
              <w:br/>
              <w:t>垂直角度：+90°~-90°；</w:t>
            </w:r>
            <w:r>
              <w:rPr>
                <w:rFonts w:ascii="宋体" w:eastAsia="宋体" w:hAnsi="宋体" w:cs="宋体" w:hint="eastAsia"/>
                <w:kern w:val="0"/>
                <w:szCs w:val="21"/>
                <w:lang w:bidi="ar"/>
              </w:rPr>
              <w:br/>
              <w:t>防护等级：IP66；</w:t>
            </w:r>
            <w:r>
              <w:rPr>
                <w:rFonts w:ascii="宋体" w:eastAsia="宋体" w:hAnsi="宋体" w:cs="宋体" w:hint="eastAsia"/>
                <w:kern w:val="0"/>
                <w:szCs w:val="21"/>
                <w:lang w:bidi="ar"/>
              </w:rPr>
              <w:br/>
              <w:t>提供国家权威检测机构出具的CANS检测报告</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2</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162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1.16</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车内摄像机</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成像设备：1/2.8-type Exmor CMOS；</w:t>
            </w:r>
            <w:r>
              <w:rPr>
                <w:rFonts w:ascii="宋体" w:eastAsia="宋体" w:hAnsi="宋体" w:cs="宋体" w:hint="eastAsia"/>
                <w:kern w:val="0"/>
                <w:szCs w:val="21"/>
                <w:lang w:bidi="ar"/>
              </w:rPr>
              <w:br/>
              <w:t>镜头：20倍光学变焦，12倍数字变焦，f=4.7mm—-94.0mm；</w:t>
            </w:r>
            <w:r>
              <w:rPr>
                <w:rFonts w:ascii="宋体" w:eastAsia="宋体" w:hAnsi="宋体" w:cs="宋体" w:hint="eastAsia"/>
                <w:kern w:val="0"/>
                <w:szCs w:val="21"/>
                <w:lang w:bidi="ar"/>
              </w:rPr>
              <w:br/>
              <w:t>光圈：F1.6 to F3.5；</w:t>
            </w:r>
            <w:r>
              <w:rPr>
                <w:rFonts w:ascii="宋体" w:eastAsia="宋体" w:hAnsi="宋体" w:cs="宋体" w:hint="eastAsia"/>
                <w:kern w:val="0"/>
                <w:szCs w:val="21"/>
                <w:lang w:bidi="ar"/>
              </w:rPr>
              <w:br/>
              <w:t>平移：±170°（最高速度为100°/秒），俯仰：+90°/-20°</w:t>
            </w:r>
            <w:r>
              <w:rPr>
                <w:rFonts w:ascii="宋体" w:eastAsia="宋体" w:hAnsi="宋体" w:cs="宋体" w:hint="eastAsia"/>
                <w:kern w:val="0"/>
                <w:szCs w:val="21"/>
                <w:lang w:bidi="ar"/>
              </w:rPr>
              <w:t>（最高速度为90°/秒）；</w:t>
            </w:r>
            <w:r>
              <w:rPr>
                <w:rFonts w:ascii="宋体" w:eastAsia="宋体" w:hAnsi="宋体" w:cs="宋体" w:hint="eastAsia"/>
                <w:kern w:val="0"/>
                <w:szCs w:val="21"/>
                <w:lang w:bidi="ar"/>
              </w:rPr>
              <w:br/>
              <w:t>视频输出：HD-SDI SD—VBS；</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81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1.17</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硬盘录像机</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lang w:bidi="ar"/>
              </w:rPr>
            </w:pPr>
            <w:r>
              <w:rPr>
                <w:rFonts w:ascii="宋体" w:eastAsia="宋体" w:hAnsi="宋体" w:cs="宋体" w:hint="eastAsia"/>
                <w:kern w:val="0"/>
                <w:szCs w:val="21"/>
                <w:lang w:bidi="ar"/>
              </w:rPr>
              <w:t xml:space="preserve">支持4路1080P视频输入； </w:t>
            </w:r>
            <w:r>
              <w:rPr>
                <w:rFonts w:ascii="宋体" w:eastAsia="宋体" w:hAnsi="宋体" w:cs="宋体" w:hint="eastAsia"/>
                <w:kern w:val="0"/>
                <w:szCs w:val="21"/>
                <w:lang w:bidi="ar"/>
              </w:rPr>
              <w:br/>
              <w:t>支持1个2.5寸SATA 硬盘；</w:t>
            </w:r>
            <w:r>
              <w:rPr>
                <w:rFonts w:ascii="宋体" w:eastAsia="宋体" w:hAnsi="宋体" w:cs="宋体" w:hint="eastAsia"/>
                <w:kern w:val="0"/>
                <w:szCs w:val="21"/>
                <w:lang w:bidi="ar"/>
              </w:rPr>
              <w:br/>
              <w:t>支持H.265编码，更节省存储空间；</w:t>
            </w:r>
          </w:p>
          <w:p w:rsidR="00800AF2">
            <w:pPr>
              <w:widowControl/>
              <w:spacing w:line="360" w:lineRule="auto"/>
              <w:rPr>
                <w:rFonts w:ascii="宋体" w:eastAsia="宋体" w:hAnsi="宋体" w:cs="宋体" w:hint="eastAsia"/>
                <w:kern w:val="0"/>
                <w:szCs w:val="21"/>
                <w:lang w:bidi="ar"/>
              </w:rPr>
            </w:pPr>
            <w:r>
              <w:rPr>
                <w:rFonts w:ascii="宋体" w:eastAsia="宋体" w:hAnsi="宋体" w:cs="宋体" w:hint="eastAsia"/>
                <w:kern w:val="0"/>
                <w:szCs w:val="21"/>
                <w:lang w:bidi="ar"/>
              </w:rPr>
              <w:t>容量≥4T</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297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1.18</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混切矩阵</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全数字化切换；</w:t>
            </w:r>
            <w:r>
              <w:rPr>
                <w:rFonts w:ascii="宋体" w:eastAsia="宋体" w:hAnsi="宋体" w:cs="宋体" w:hint="eastAsia"/>
                <w:kern w:val="0"/>
                <w:szCs w:val="21"/>
                <w:lang w:bidi="ar"/>
              </w:rPr>
              <w:br/>
              <w:t>输入16路信号，输出16路信号；</w:t>
            </w:r>
            <w:r>
              <w:rPr>
                <w:rFonts w:ascii="宋体" w:eastAsia="宋体" w:hAnsi="宋体" w:cs="宋体" w:hint="eastAsia"/>
                <w:kern w:val="0"/>
                <w:szCs w:val="21"/>
                <w:lang w:bidi="ar"/>
              </w:rPr>
              <w:br/>
              <w:t>任意信号输入输出；</w:t>
            </w:r>
            <w:r>
              <w:rPr>
                <w:rFonts w:ascii="宋体" w:eastAsia="宋体" w:hAnsi="宋体" w:cs="宋体" w:hint="eastAsia"/>
                <w:kern w:val="0"/>
                <w:szCs w:val="21"/>
                <w:lang w:bidi="ar"/>
              </w:rPr>
              <w:br/>
              <w:t>实时无缝切换；</w:t>
            </w:r>
            <w:r>
              <w:rPr>
                <w:rFonts w:ascii="宋体" w:eastAsia="宋体" w:hAnsi="宋体" w:cs="宋体" w:hint="eastAsia"/>
                <w:kern w:val="0"/>
                <w:szCs w:val="21"/>
                <w:lang w:bidi="ar"/>
              </w:rPr>
              <w:br/>
              <w:t>输入信号分辨率自适应，输出分辨率可调；</w:t>
            </w:r>
            <w:r>
              <w:rPr>
                <w:rFonts w:ascii="宋体" w:eastAsia="宋体" w:hAnsi="宋体" w:cs="宋体" w:hint="eastAsia"/>
                <w:kern w:val="0"/>
                <w:szCs w:val="21"/>
                <w:lang w:bidi="ar"/>
              </w:rPr>
              <w:br/>
              <w:t>支持模拟音频输入和输出；</w:t>
            </w:r>
            <w:r>
              <w:rPr>
                <w:rFonts w:ascii="宋体" w:eastAsia="宋体" w:hAnsi="宋体" w:cs="宋体" w:hint="eastAsia"/>
                <w:kern w:val="0"/>
                <w:szCs w:val="21"/>
                <w:lang w:bidi="ar"/>
              </w:rPr>
              <w:br/>
              <w:t>支持SDI音频加解嵌（SMPTE291）；</w:t>
            </w:r>
            <w:r>
              <w:rPr>
                <w:rFonts w:ascii="宋体" w:eastAsia="宋体" w:hAnsi="宋体" w:cs="宋体" w:hint="eastAsia"/>
                <w:kern w:val="0"/>
                <w:szCs w:val="21"/>
                <w:lang w:bidi="ar"/>
              </w:rPr>
              <w:br/>
              <w:t>支持RS232和以太网控制，开放控制协议，方便第三方串口控制；</w:t>
            </w:r>
            <w:r>
              <w:rPr>
                <w:rFonts w:ascii="宋体" w:eastAsia="宋体" w:hAnsi="宋体" w:cs="宋体" w:hint="eastAsia"/>
                <w:kern w:val="0"/>
                <w:szCs w:val="21"/>
                <w:lang w:bidi="ar"/>
              </w:rPr>
              <w:br/>
              <w:t>支持断电现场保护；</w:t>
            </w:r>
            <w:r>
              <w:rPr>
                <w:rFonts w:ascii="宋体" w:eastAsia="宋体" w:hAnsi="宋体" w:cs="宋体" w:hint="eastAsia"/>
                <w:kern w:val="0"/>
                <w:szCs w:val="21"/>
                <w:lang w:bidi="ar"/>
              </w:rPr>
              <w:br/>
              <w:t>标准插卡式工业机箱。</w:t>
            </w:r>
            <w:r>
              <w:rPr>
                <w:rFonts w:ascii="宋体" w:eastAsia="宋体" w:hAnsi="宋体" w:cs="宋体" w:hint="eastAsia"/>
                <w:kern w:val="0"/>
                <w:szCs w:val="21"/>
                <w:lang w:bidi="ar"/>
              </w:rPr>
              <w:br/>
              <w:t>产品符合GB/T标准高低温、盐雾、振动、冲击等试验要求，并出具第三方检测报告。</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297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1.19</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应急和备份便携式工作站</w:t>
            </w:r>
          </w:p>
          <w:p w:rsidR="00800AF2">
            <w:pPr>
              <w:widowControl/>
              <w:spacing w:line="360" w:lineRule="auto"/>
              <w:jc w:val="left"/>
              <w:rPr>
                <w:rFonts w:ascii="宋体" w:eastAsia="宋体" w:hAnsi="宋体" w:cs="宋体" w:hint="eastAsia"/>
                <w:kern w:val="0"/>
                <w:szCs w:val="21"/>
              </w:rPr>
            </w:pP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内核数：≥16</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总线程数：≥22</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处理器基础频率：≥1.60GHz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最大睿频频率：≥4.20GHz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屏幕约16英寸，搭载FHD+分辨率（1920×1200）</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内存≥32GB，可扩展至96GB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固态硬盘≥4TB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包含网络、HDMI等基础配置</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安装和备份方舱所有软件系统</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每套方舱各2台。</w:t>
            </w:r>
          </w:p>
          <w:p w:rsidR="00800AF2">
            <w:pPr>
              <w:widowControl/>
              <w:spacing w:line="360" w:lineRule="auto"/>
              <w:rPr>
                <w:rFonts w:ascii="宋体" w:eastAsia="宋体" w:hAnsi="宋体" w:cs="宋体" w:hint="eastAsia"/>
                <w:kern w:val="0"/>
                <w:szCs w:val="21"/>
              </w:rPr>
            </w:pP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54"/>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2</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X波段相控阵雷达</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1.雷达体制：双线偏振一维全固态数字平面相控阵体制</w:t>
            </w:r>
            <w:r>
              <w:rPr>
                <w:rFonts w:ascii="宋体" w:eastAsia="宋体" w:hAnsi="宋体" w:cs="宋体" w:hint="eastAsia"/>
                <w:kern w:val="0"/>
                <w:szCs w:val="21"/>
                <w:lang w:bidi="ar"/>
              </w:rPr>
              <w:br/>
              <w:t>2.收发模式：双发双收、单发双收、宽发窄收、窄发窄收</w:t>
            </w:r>
            <w:r>
              <w:rPr>
                <w:rFonts w:ascii="宋体" w:eastAsia="宋体" w:hAnsi="宋体" w:cs="宋体" w:hint="eastAsia"/>
                <w:kern w:val="0"/>
                <w:szCs w:val="21"/>
                <w:lang w:bidi="ar"/>
              </w:rPr>
              <w:br/>
              <w:t>3.工作频率：9.3 ～ 9.5GHz</w:t>
            </w:r>
            <w:r>
              <w:rPr>
                <w:rFonts w:ascii="宋体" w:eastAsia="宋体" w:hAnsi="宋体" w:cs="宋体" w:hint="eastAsia"/>
                <w:kern w:val="0"/>
                <w:szCs w:val="21"/>
                <w:lang w:bidi="ar"/>
              </w:rPr>
              <w:br/>
              <w:t>4.整机寿命：≥8年</w:t>
            </w:r>
            <w:r>
              <w:rPr>
                <w:rFonts w:ascii="宋体" w:eastAsia="宋体" w:hAnsi="宋体" w:cs="宋体" w:hint="eastAsia"/>
                <w:kern w:val="0"/>
                <w:szCs w:val="21"/>
                <w:lang w:bidi="ar"/>
              </w:rPr>
              <w:br/>
              <w:t>5.探测距离范围：警戒≥120km，定量≥60km</w:t>
            </w:r>
            <w:r>
              <w:rPr>
                <w:rFonts w:ascii="宋体" w:eastAsia="宋体" w:hAnsi="宋体" w:cs="宋体" w:hint="eastAsia"/>
                <w:kern w:val="0"/>
                <w:szCs w:val="21"/>
                <w:lang w:bidi="ar"/>
              </w:rPr>
              <w:br/>
              <w:t>6.近距离盲区范围：≤300米</w:t>
            </w:r>
            <w:r>
              <w:rPr>
                <w:rFonts w:ascii="宋体" w:eastAsia="宋体" w:hAnsi="宋体" w:cs="宋体" w:hint="eastAsia"/>
                <w:kern w:val="0"/>
                <w:szCs w:val="21"/>
                <w:lang w:bidi="ar"/>
              </w:rPr>
              <w:br/>
              <w:t>7.可探测的最小反射率因子（法向、分辨率75m、单极化）：</w:t>
            </w:r>
            <w:r>
              <w:rPr>
                <w:rFonts w:ascii="宋体" w:eastAsia="宋体" w:hAnsi="宋体" w:cs="宋体" w:hint="eastAsia"/>
                <w:kern w:val="0"/>
                <w:szCs w:val="21"/>
                <w:lang w:bidi="ar"/>
              </w:rPr>
              <w:br/>
              <w:t>≤5dBZ（3千米处、脉宽2μs），</w:t>
            </w:r>
            <w:r>
              <w:rPr>
                <w:rFonts w:ascii="宋体" w:eastAsia="宋体" w:hAnsi="宋体" w:cs="宋体" w:hint="eastAsia"/>
                <w:kern w:val="0"/>
                <w:szCs w:val="21"/>
                <w:lang w:bidi="ar"/>
              </w:rPr>
              <w:br/>
              <w:t>≤7dBZ（12千米处、脉宽20μs）</w:t>
            </w:r>
            <w:r>
              <w:rPr>
                <w:rFonts w:ascii="宋体" w:eastAsia="宋体" w:hAnsi="宋体" w:cs="宋体" w:hint="eastAsia"/>
                <w:kern w:val="0"/>
                <w:szCs w:val="21"/>
                <w:lang w:bidi="ar"/>
              </w:rPr>
              <w:br/>
              <w:t>≤13dBZ（50千米处、脉宽100μs）</w:t>
            </w:r>
            <w:r>
              <w:rPr>
                <w:rFonts w:ascii="宋体" w:eastAsia="宋体" w:hAnsi="宋体" w:cs="宋体" w:hint="eastAsia"/>
                <w:kern w:val="0"/>
                <w:szCs w:val="21"/>
                <w:lang w:bidi="ar"/>
              </w:rPr>
              <w:br/>
              <w:t>8.测量范围：</w:t>
            </w:r>
            <w:r>
              <w:rPr>
                <w:rFonts w:ascii="宋体" w:eastAsia="宋体" w:hAnsi="宋体" w:cs="宋体" w:hint="eastAsia"/>
                <w:kern w:val="0"/>
                <w:szCs w:val="21"/>
                <w:lang w:bidi="ar"/>
              </w:rPr>
              <w:br/>
              <w:t>强度：-15dBZ～ +80dBZ</w:t>
            </w:r>
            <w:r>
              <w:rPr>
                <w:rFonts w:ascii="宋体" w:eastAsia="宋体" w:hAnsi="宋体" w:cs="宋体" w:hint="eastAsia"/>
                <w:kern w:val="0"/>
                <w:szCs w:val="21"/>
                <w:lang w:bidi="ar"/>
              </w:rPr>
              <w:br/>
              <w:t>速度：±48m/s</w:t>
            </w:r>
            <w:r>
              <w:rPr>
                <w:rFonts w:ascii="宋体" w:eastAsia="宋体" w:hAnsi="宋体" w:cs="宋体" w:hint="eastAsia"/>
                <w:kern w:val="0"/>
                <w:szCs w:val="21"/>
                <w:lang w:bidi="ar"/>
              </w:rPr>
              <w:br/>
              <w:t>谱宽：0m/s ～ 16m/s</w:t>
            </w:r>
            <w:r>
              <w:rPr>
                <w:rFonts w:ascii="宋体" w:eastAsia="宋体" w:hAnsi="宋体" w:cs="宋体" w:hint="eastAsia"/>
                <w:kern w:val="0"/>
                <w:szCs w:val="21"/>
                <w:lang w:bidi="ar"/>
              </w:rPr>
              <w:br/>
              <w:t>差分反射率因子:-7.9dB ～ +7.9dB</w:t>
            </w:r>
            <w:r>
              <w:rPr>
                <w:rFonts w:ascii="宋体" w:eastAsia="宋体" w:hAnsi="宋体" w:cs="宋体" w:hint="eastAsia"/>
                <w:kern w:val="0"/>
                <w:szCs w:val="21"/>
                <w:lang w:bidi="ar"/>
              </w:rPr>
              <w:br/>
              <w:t>差分传播相位:180°～ +180°</w:t>
            </w:r>
            <w:r>
              <w:rPr>
                <w:rFonts w:ascii="宋体" w:eastAsia="宋体" w:hAnsi="宋体" w:cs="宋体" w:hint="eastAsia"/>
                <w:kern w:val="0"/>
                <w:szCs w:val="21"/>
                <w:lang w:bidi="ar"/>
              </w:rPr>
              <w:br/>
              <w:t>相关系数:0 ～ 1</w:t>
            </w:r>
            <w:r>
              <w:rPr>
                <w:rFonts w:ascii="宋体" w:eastAsia="宋体" w:hAnsi="宋体" w:cs="宋体" w:hint="eastAsia"/>
                <w:kern w:val="0"/>
                <w:szCs w:val="21"/>
                <w:lang w:bidi="ar"/>
              </w:rPr>
              <w:br/>
              <w:t>9.参数测量精度（标准差）:</w:t>
            </w:r>
            <w:r>
              <w:rPr>
                <w:rFonts w:ascii="宋体" w:eastAsia="宋体" w:hAnsi="宋体" w:cs="宋体" w:hint="eastAsia"/>
                <w:kern w:val="0"/>
                <w:szCs w:val="21"/>
                <w:lang w:bidi="ar"/>
              </w:rPr>
              <w:br/>
              <w:t>强度:≤1dB</w:t>
            </w:r>
            <w:r>
              <w:rPr>
                <w:rFonts w:ascii="宋体" w:eastAsia="宋体" w:hAnsi="宋体" w:cs="宋体" w:hint="eastAsia"/>
                <w:kern w:val="0"/>
                <w:szCs w:val="21"/>
                <w:lang w:bidi="ar"/>
              </w:rPr>
              <w:br/>
              <w:t>速度:≤1m/s</w:t>
            </w:r>
            <w:r>
              <w:rPr>
                <w:rFonts w:ascii="宋体" w:eastAsia="宋体" w:hAnsi="宋体" w:cs="宋体" w:hint="eastAsia"/>
                <w:kern w:val="0"/>
                <w:szCs w:val="21"/>
                <w:lang w:bidi="ar"/>
              </w:rPr>
              <w:br/>
              <w:t>谱宽:≤1m/s</w:t>
            </w:r>
            <w:r>
              <w:rPr>
                <w:rFonts w:ascii="宋体" w:eastAsia="宋体" w:hAnsi="宋体" w:cs="宋体" w:hint="eastAsia"/>
                <w:kern w:val="0"/>
                <w:szCs w:val="21"/>
                <w:lang w:bidi="ar"/>
              </w:rPr>
              <w:br/>
              <w:t>差分反射率因子:≤0.2dB</w:t>
            </w:r>
            <w:r>
              <w:rPr>
                <w:rFonts w:ascii="宋体" w:eastAsia="宋体" w:hAnsi="宋体" w:cs="宋体" w:hint="eastAsia"/>
                <w:kern w:val="0"/>
                <w:szCs w:val="21"/>
                <w:lang w:bidi="ar"/>
              </w:rPr>
              <w:br/>
              <w:t>差分传播相位：≤3°</w:t>
            </w:r>
            <w:r>
              <w:rPr>
                <w:rFonts w:ascii="宋体" w:eastAsia="宋体" w:hAnsi="宋体" w:cs="宋体" w:hint="eastAsia"/>
                <w:kern w:val="0"/>
                <w:szCs w:val="21"/>
                <w:lang w:bidi="ar"/>
              </w:rPr>
              <w:br/>
            </w:r>
            <w:r>
              <w:rPr>
                <w:rFonts w:ascii="宋体" w:eastAsia="宋体" w:hAnsi="宋体" w:cs="宋体" w:hint="eastAsia"/>
                <w:kern w:val="0"/>
                <w:szCs w:val="21"/>
                <w:lang w:bidi="ar"/>
              </w:rPr>
              <w:t>差分传播相位率：≤0.2°/km</w:t>
            </w:r>
            <w:r>
              <w:rPr>
                <w:rFonts w:ascii="宋体" w:eastAsia="宋体" w:hAnsi="宋体" w:cs="宋体" w:hint="eastAsia"/>
                <w:kern w:val="0"/>
                <w:szCs w:val="21"/>
                <w:lang w:bidi="ar"/>
              </w:rPr>
              <w:br/>
              <w:t>相关系数：≤0.01</w:t>
            </w:r>
            <w:r>
              <w:rPr>
                <w:rFonts w:ascii="宋体" w:eastAsia="宋体" w:hAnsi="宋体" w:cs="宋体" w:hint="eastAsia"/>
                <w:kern w:val="0"/>
                <w:szCs w:val="21"/>
                <w:lang w:bidi="ar"/>
              </w:rPr>
              <w:br/>
              <w:t>10.距离分辨率：≤30m</w:t>
            </w:r>
            <w:r>
              <w:rPr>
                <w:rFonts w:ascii="宋体" w:eastAsia="宋体" w:hAnsi="宋体" w:cs="宋体" w:hint="eastAsia"/>
                <w:kern w:val="0"/>
                <w:szCs w:val="21"/>
                <w:lang w:bidi="ar"/>
              </w:rPr>
              <w:br/>
              <w:t>11.系统噪声系数：≤3.5dB</w:t>
            </w:r>
            <w:r>
              <w:rPr>
                <w:rFonts w:ascii="宋体" w:eastAsia="宋体" w:hAnsi="宋体" w:cs="宋体" w:hint="eastAsia"/>
                <w:kern w:val="0"/>
                <w:szCs w:val="21"/>
                <w:lang w:bidi="ar"/>
              </w:rPr>
              <w:br/>
              <w:t>12.系统线性动态范围：≥90dB（带宽1MHz）</w:t>
            </w:r>
            <w:r>
              <w:rPr>
                <w:rFonts w:ascii="宋体" w:eastAsia="宋体" w:hAnsi="宋体" w:cs="宋体" w:hint="eastAsia"/>
                <w:kern w:val="0"/>
                <w:szCs w:val="21"/>
                <w:lang w:bidi="ar"/>
              </w:rPr>
              <w:br/>
              <w:t>13.系统相位噪声：≤0.1°</w:t>
            </w:r>
            <w:r>
              <w:rPr>
                <w:rFonts w:ascii="宋体" w:eastAsia="宋体" w:hAnsi="宋体" w:cs="宋体" w:hint="eastAsia"/>
                <w:kern w:val="0"/>
                <w:szCs w:val="21"/>
                <w:lang w:bidi="ar"/>
              </w:rPr>
              <w:br/>
              <w:t>14.地物杂波抑制比：≥50dB</w:t>
            </w:r>
            <w:r>
              <w:rPr>
                <w:rFonts w:ascii="宋体" w:eastAsia="宋体" w:hAnsi="宋体" w:cs="宋体" w:hint="eastAsia"/>
                <w:kern w:val="0"/>
                <w:szCs w:val="21"/>
                <w:lang w:bidi="ar"/>
              </w:rPr>
              <w:br/>
              <w:t>15.输出参数：强度、速度、谱宽、差分反射率因子、差分传播相位、差分传播相位率、相关系数</w:t>
            </w:r>
            <w:r>
              <w:rPr>
                <w:rFonts w:ascii="宋体" w:eastAsia="宋体" w:hAnsi="宋体" w:cs="宋体" w:hint="eastAsia"/>
                <w:kern w:val="0"/>
                <w:szCs w:val="21"/>
                <w:lang w:bidi="ar"/>
              </w:rPr>
              <w:br/>
              <w:t>16.电源要求：单相AC220V±10%，50Hz±5%</w:t>
            </w:r>
            <w:r>
              <w:rPr>
                <w:rFonts w:ascii="宋体" w:eastAsia="宋体" w:hAnsi="宋体" w:cs="宋体" w:hint="eastAsia"/>
                <w:kern w:val="0"/>
                <w:szCs w:val="21"/>
                <w:lang w:bidi="ar"/>
              </w:rPr>
              <w:br/>
              <w:t>17.重量：≤1吨</w:t>
            </w:r>
            <w:r>
              <w:rPr>
                <w:rFonts w:ascii="宋体" w:eastAsia="宋体" w:hAnsi="宋体" w:cs="宋体" w:hint="eastAsia"/>
                <w:kern w:val="0"/>
                <w:szCs w:val="21"/>
                <w:lang w:bidi="ar"/>
              </w:rPr>
              <w:br/>
              <w:t>18.天线指标：</w:t>
            </w:r>
            <w:r>
              <w:rPr>
                <w:rFonts w:ascii="宋体" w:eastAsia="宋体" w:hAnsi="宋体" w:cs="宋体" w:hint="eastAsia"/>
                <w:kern w:val="0"/>
                <w:szCs w:val="21"/>
                <w:lang w:bidi="ar"/>
              </w:rPr>
              <w:br/>
              <w:t>波束水平宽度（水平偏振和垂直偏振）（法向）：≤2.8°</w:t>
            </w:r>
            <w:r>
              <w:rPr>
                <w:rFonts w:ascii="宋体" w:eastAsia="宋体" w:hAnsi="宋体" w:cs="宋体" w:hint="eastAsia"/>
                <w:kern w:val="0"/>
                <w:szCs w:val="21"/>
                <w:lang w:bidi="ar"/>
              </w:rPr>
              <w:br/>
              <w:t>波束垂直宽度（水平偏振和垂直偏振）（法向）：≤3°</w:t>
            </w:r>
            <w:r>
              <w:rPr>
                <w:rFonts w:ascii="宋体" w:eastAsia="宋体" w:hAnsi="宋体" w:cs="宋体" w:hint="eastAsia"/>
                <w:kern w:val="0"/>
                <w:szCs w:val="21"/>
                <w:lang w:bidi="ar"/>
              </w:rPr>
              <w:br/>
              <w:t>增益（发射，法向）：≥35dB</w:t>
            </w:r>
            <w:r>
              <w:rPr>
                <w:rFonts w:ascii="宋体" w:eastAsia="宋体" w:hAnsi="宋体" w:cs="宋体" w:hint="eastAsia"/>
                <w:kern w:val="0"/>
                <w:szCs w:val="21"/>
                <w:lang w:bidi="ar"/>
              </w:rPr>
              <w:br/>
              <w:t>增益（接收，法向）：≥34.5dB</w:t>
            </w:r>
            <w:r>
              <w:rPr>
                <w:rFonts w:ascii="宋体" w:eastAsia="宋体" w:hAnsi="宋体" w:cs="宋体" w:hint="eastAsia"/>
                <w:kern w:val="0"/>
                <w:szCs w:val="21"/>
                <w:lang w:bidi="ar"/>
              </w:rPr>
              <w:br/>
              <w:t>第一副瓣电平（水平）：≤-22dB</w:t>
            </w:r>
            <w:r>
              <w:rPr>
                <w:rFonts w:ascii="宋体" w:eastAsia="宋体" w:hAnsi="宋体" w:cs="宋体" w:hint="eastAsia"/>
                <w:kern w:val="0"/>
                <w:szCs w:val="21"/>
                <w:lang w:bidi="ar"/>
              </w:rPr>
              <w:br/>
              <w:t xml:space="preserve">交叉极化隔离度：≥35dB </w:t>
            </w:r>
            <w:r>
              <w:rPr>
                <w:rFonts w:ascii="宋体" w:eastAsia="宋体" w:hAnsi="宋体" w:cs="宋体" w:hint="eastAsia"/>
                <w:kern w:val="0"/>
                <w:szCs w:val="21"/>
                <w:lang w:bidi="ar"/>
              </w:rPr>
              <w:br/>
              <w:t>水平方向上双线偏振波束角度误差：≤5%</w:t>
            </w:r>
            <w:r>
              <w:rPr>
                <w:rFonts w:ascii="宋体" w:eastAsia="宋体" w:hAnsi="宋体" w:cs="宋体" w:hint="eastAsia"/>
                <w:kern w:val="0"/>
                <w:szCs w:val="21"/>
                <w:lang w:bidi="ar"/>
              </w:rPr>
              <w:br/>
              <w:t>水平方向上双线偏振3dB波束宽度差：≤5%</w:t>
            </w:r>
            <w:r>
              <w:rPr>
                <w:rFonts w:ascii="宋体" w:eastAsia="宋体" w:hAnsi="宋体" w:cs="宋体" w:hint="eastAsia"/>
                <w:kern w:val="0"/>
                <w:szCs w:val="21"/>
                <w:lang w:bidi="ar"/>
              </w:rPr>
              <w:br/>
              <w:t>抗风能力（阵风）：无天线罩：8级风工作，10级风不损坏</w:t>
            </w:r>
            <w:r>
              <w:rPr>
                <w:rFonts w:ascii="宋体" w:eastAsia="宋体" w:hAnsi="宋体" w:cs="宋体" w:hint="eastAsia"/>
                <w:kern w:val="0"/>
                <w:szCs w:val="21"/>
                <w:lang w:bidi="ar"/>
              </w:rPr>
              <w:br/>
              <w:t>19. 伺服指标：</w:t>
            </w:r>
            <w:r>
              <w:rPr>
                <w:rFonts w:ascii="宋体" w:eastAsia="宋体" w:hAnsi="宋体" w:cs="宋体" w:hint="eastAsia"/>
                <w:kern w:val="0"/>
                <w:szCs w:val="21"/>
                <w:lang w:bidi="ar"/>
              </w:rPr>
              <w:br/>
              <w:t>天线阵面扫描方式：PPI、RHI、体扫、扇扫、定点、用户自定义</w:t>
            </w:r>
            <w:r>
              <w:rPr>
                <w:rFonts w:ascii="宋体" w:eastAsia="宋体" w:hAnsi="宋体" w:cs="宋体" w:hint="eastAsia"/>
                <w:kern w:val="0"/>
                <w:szCs w:val="21"/>
                <w:lang w:bidi="ar"/>
              </w:rPr>
              <w:br/>
              <w:t>天线阵面扫描范围</w:t>
            </w:r>
            <w:r>
              <w:rPr>
                <w:rFonts w:ascii="宋体" w:eastAsia="宋体" w:hAnsi="宋体" w:cs="宋体" w:hint="eastAsia"/>
                <w:kern w:val="0"/>
                <w:szCs w:val="21"/>
                <w:lang w:bidi="ar"/>
              </w:rPr>
              <w:br/>
              <w:t>方位机械扫描：0 ～ 360°连续扫描</w:t>
            </w:r>
            <w:r>
              <w:rPr>
                <w:rFonts w:ascii="宋体" w:eastAsia="宋体" w:hAnsi="宋体" w:cs="宋体" w:hint="eastAsia"/>
                <w:kern w:val="0"/>
                <w:szCs w:val="21"/>
                <w:lang w:bidi="ar"/>
              </w:rPr>
              <w:br/>
              <w:t>俯仰电子扫描：-2 ～ +60°</w:t>
            </w:r>
            <w:r>
              <w:rPr>
                <w:rFonts w:ascii="宋体" w:eastAsia="宋体" w:hAnsi="宋体" w:cs="宋体" w:hint="eastAsia"/>
                <w:kern w:val="0"/>
                <w:szCs w:val="21"/>
                <w:lang w:bidi="ar"/>
              </w:rPr>
              <w:br/>
              <w:t>俯仰机械调整：-2 ～ +90°</w:t>
            </w:r>
            <w:r>
              <w:rPr>
                <w:rFonts w:ascii="宋体" w:eastAsia="宋体" w:hAnsi="宋体" w:cs="宋体" w:hint="eastAsia"/>
                <w:kern w:val="0"/>
                <w:szCs w:val="21"/>
                <w:lang w:bidi="ar"/>
              </w:rPr>
              <w:br/>
              <w:t>天线阵面扫描速度</w:t>
            </w:r>
            <w:r>
              <w:rPr>
                <w:rFonts w:ascii="宋体" w:eastAsia="宋体" w:hAnsi="宋体" w:cs="宋体" w:hint="eastAsia"/>
                <w:kern w:val="0"/>
                <w:szCs w:val="21"/>
                <w:lang w:bidi="ar"/>
              </w:rPr>
              <w:br/>
            </w:r>
            <w:r>
              <w:rPr>
                <w:rFonts w:ascii="宋体" w:eastAsia="宋体" w:hAnsi="宋体" w:cs="宋体" w:hint="eastAsia"/>
                <w:kern w:val="0"/>
                <w:szCs w:val="21"/>
                <w:lang w:bidi="ar"/>
              </w:rPr>
              <w:t>方位：0～36°/s，误差不大于5%</w:t>
            </w:r>
            <w:r>
              <w:rPr>
                <w:rFonts w:ascii="宋体" w:eastAsia="宋体" w:hAnsi="宋体" w:cs="宋体" w:hint="eastAsia"/>
                <w:kern w:val="0"/>
                <w:szCs w:val="21"/>
                <w:lang w:bidi="ar"/>
              </w:rPr>
              <w:br/>
              <w:t>天线阵面定位精度</w:t>
            </w:r>
            <w:r>
              <w:rPr>
                <w:rFonts w:ascii="宋体" w:eastAsia="宋体" w:hAnsi="宋体" w:cs="宋体" w:hint="eastAsia"/>
                <w:kern w:val="0"/>
                <w:szCs w:val="21"/>
                <w:lang w:bidi="ar"/>
              </w:rPr>
              <w:br/>
              <w:t>方位：≤0.1°</w:t>
            </w:r>
            <w:r>
              <w:rPr>
                <w:rFonts w:ascii="宋体" w:eastAsia="宋体" w:hAnsi="宋体" w:cs="宋体" w:hint="eastAsia"/>
                <w:kern w:val="0"/>
                <w:szCs w:val="21"/>
                <w:lang w:bidi="ar"/>
              </w:rPr>
              <w:br/>
              <w:t>俯仰：≤0.1°</w:t>
            </w:r>
            <w:r>
              <w:rPr>
                <w:rFonts w:ascii="宋体" w:eastAsia="宋体" w:hAnsi="宋体" w:cs="宋体" w:hint="eastAsia"/>
                <w:kern w:val="0"/>
                <w:szCs w:val="21"/>
                <w:lang w:bidi="ar"/>
              </w:rPr>
              <w:br/>
              <w:t>天线阵面控制精度</w:t>
            </w:r>
            <w:r>
              <w:rPr>
                <w:rFonts w:ascii="宋体" w:eastAsia="宋体" w:hAnsi="宋体" w:cs="宋体" w:hint="eastAsia"/>
                <w:kern w:val="0"/>
                <w:szCs w:val="21"/>
                <w:lang w:bidi="ar"/>
              </w:rPr>
              <w:br/>
              <w:t>方位：≤0.1°</w:t>
            </w:r>
            <w:r>
              <w:rPr>
                <w:rFonts w:ascii="宋体" w:eastAsia="宋体" w:hAnsi="宋体" w:cs="宋体" w:hint="eastAsia"/>
                <w:kern w:val="0"/>
                <w:szCs w:val="21"/>
                <w:lang w:bidi="ar"/>
              </w:rPr>
              <w:br/>
              <w:t>天线阵面控制字长：≥16位</w:t>
            </w:r>
            <w:r>
              <w:rPr>
                <w:rFonts w:ascii="宋体" w:eastAsia="宋体" w:hAnsi="宋体" w:cs="宋体" w:hint="eastAsia"/>
                <w:kern w:val="0"/>
                <w:szCs w:val="21"/>
                <w:lang w:bidi="ar"/>
              </w:rPr>
              <w:br/>
              <w:t>角度编码器字长：≥16位</w:t>
            </w:r>
            <w:r>
              <w:rPr>
                <w:rFonts w:ascii="宋体" w:eastAsia="宋体" w:hAnsi="宋体" w:cs="宋体" w:hint="eastAsia"/>
                <w:kern w:val="0"/>
                <w:szCs w:val="21"/>
                <w:lang w:bidi="ar"/>
              </w:rPr>
              <w:br/>
              <w:t>安全与保护：天线阵面应设有辅助支撑锁定机构，以保证其在运输架设时的安全性和稳定性。天线阵面的方位运转系统中应具有安全保护措施并具备锁定功能。</w:t>
            </w:r>
            <w:r>
              <w:rPr>
                <w:rFonts w:ascii="宋体" w:eastAsia="宋体" w:hAnsi="宋体" w:cs="宋体" w:hint="eastAsia"/>
                <w:kern w:val="0"/>
                <w:szCs w:val="21"/>
                <w:lang w:bidi="ar"/>
              </w:rPr>
              <w:br/>
              <w:t>20. 发射通道</w:t>
            </w:r>
            <w:r>
              <w:rPr>
                <w:rFonts w:ascii="宋体" w:eastAsia="宋体" w:hAnsi="宋体" w:cs="宋体" w:hint="eastAsia"/>
                <w:kern w:val="0"/>
                <w:szCs w:val="21"/>
                <w:lang w:bidi="ar"/>
              </w:rPr>
              <w:br/>
              <w:t xml:space="preserve">   发射通道形式：全固态分布式</w:t>
            </w:r>
            <w:r>
              <w:rPr>
                <w:rFonts w:ascii="宋体" w:eastAsia="宋体" w:hAnsi="宋体" w:cs="宋体" w:hint="eastAsia"/>
                <w:kern w:val="0"/>
                <w:szCs w:val="21"/>
                <w:lang w:bidi="ar"/>
              </w:rPr>
              <w:br/>
              <w:t xml:space="preserve">   脉冲峰值功率（每个极化）：≥640W</w:t>
            </w:r>
            <w:r>
              <w:rPr>
                <w:rFonts w:ascii="宋体" w:eastAsia="宋体" w:hAnsi="宋体" w:cs="宋体" w:hint="eastAsia"/>
                <w:kern w:val="0"/>
                <w:szCs w:val="21"/>
                <w:lang w:bidi="ar"/>
              </w:rPr>
              <w:br/>
              <w:t xml:space="preserve">   发射占空比：≥20%</w:t>
            </w:r>
            <w:r>
              <w:rPr>
                <w:rFonts w:ascii="宋体" w:eastAsia="宋体" w:hAnsi="宋体" w:cs="宋体" w:hint="eastAsia"/>
                <w:kern w:val="0"/>
                <w:szCs w:val="21"/>
                <w:lang w:bidi="ar"/>
              </w:rPr>
              <w:br/>
              <w:t xml:space="preserve">   发射脉冲宽度：0.5 ～200 μs（可选）</w:t>
            </w:r>
            <w:r>
              <w:rPr>
                <w:rFonts w:ascii="宋体" w:eastAsia="宋体" w:hAnsi="宋体" w:cs="宋体" w:hint="eastAsia"/>
                <w:kern w:val="0"/>
                <w:szCs w:val="21"/>
                <w:lang w:bidi="ar"/>
              </w:rPr>
              <w:br/>
              <w:t xml:space="preserve">   脉冲重复频率：300～5000Hz</w:t>
            </w:r>
            <w:r>
              <w:rPr>
                <w:rFonts w:ascii="宋体" w:eastAsia="宋体" w:hAnsi="宋体" w:cs="宋体" w:hint="eastAsia"/>
                <w:kern w:val="0"/>
                <w:szCs w:val="21"/>
                <w:lang w:bidi="ar"/>
              </w:rPr>
              <w:br/>
              <w:t xml:space="preserve">   端极限改善因子：≥50dB</w:t>
            </w:r>
            <w:r>
              <w:rPr>
                <w:rFonts w:ascii="宋体" w:eastAsia="宋体" w:hAnsi="宋体" w:cs="宋体" w:hint="eastAsia"/>
                <w:kern w:val="0"/>
                <w:szCs w:val="21"/>
                <w:lang w:bidi="ar"/>
              </w:rPr>
              <w:br/>
              <w:t xml:space="preserve">   谐波和杂散抑制：≥40dB</w:t>
            </w:r>
            <w:r>
              <w:rPr>
                <w:rFonts w:ascii="宋体" w:eastAsia="宋体" w:hAnsi="宋体" w:cs="宋体" w:hint="eastAsia"/>
                <w:kern w:val="0"/>
                <w:szCs w:val="21"/>
                <w:lang w:bidi="ar"/>
              </w:rPr>
              <w:br/>
              <w:t xml:space="preserve">   故障检测和保护：发生过温，过压，过流等情况时可报警并实现自保，输出功率低时输出报警信号</w:t>
            </w:r>
            <w:r>
              <w:rPr>
                <w:rFonts w:ascii="宋体" w:eastAsia="宋体" w:hAnsi="宋体" w:cs="宋体" w:hint="eastAsia"/>
                <w:kern w:val="0"/>
                <w:szCs w:val="21"/>
                <w:lang w:bidi="ar"/>
              </w:rPr>
              <w:br/>
              <w:t>21. 接收通道：</w:t>
            </w:r>
            <w:r>
              <w:rPr>
                <w:rFonts w:ascii="宋体" w:eastAsia="宋体" w:hAnsi="宋体" w:cs="宋体" w:hint="eastAsia"/>
                <w:kern w:val="0"/>
                <w:szCs w:val="21"/>
                <w:lang w:bidi="ar"/>
              </w:rPr>
              <w:br/>
              <w:t xml:space="preserve"> 噪声系数：≤3.5dB</w:t>
            </w:r>
            <w:r>
              <w:rPr>
                <w:rFonts w:ascii="宋体" w:eastAsia="宋体" w:hAnsi="宋体" w:cs="宋体" w:hint="eastAsia"/>
                <w:kern w:val="0"/>
                <w:szCs w:val="21"/>
                <w:lang w:bidi="ar"/>
              </w:rPr>
              <w:br/>
              <w:t xml:space="preserve">   接收系统动态范围：≥77dB（带宽1MHz）</w:t>
            </w:r>
            <w:r>
              <w:rPr>
                <w:rFonts w:ascii="宋体" w:eastAsia="宋体" w:hAnsi="宋体" w:cs="宋体" w:hint="eastAsia"/>
                <w:kern w:val="0"/>
                <w:szCs w:val="21"/>
                <w:lang w:bidi="ar"/>
              </w:rPr>
              <w:br/>
              <w:t xml:space="preserve">   最小可测功率（灵敏度）：≤-110dBm（带宽1 MHz）</w:t>
            </w:r>
            <w:r>
              <w:rPr>
                <w:rFonts w:ascii="宋体" w:eastAsia="宋体" w:hAnsi="宋体" w:cs="宋体" w:hint="eastAsia"/>
                <w:kern w:val="0"/>
                <w:szCs w:val="21"/>
                <w:lang w:bidi="ar"/>
              </w:rPr>
              <w:br/>
              <w:t xml:space="preserve">   镜频抑制度：≥60dB</w:t>
            </w:r>
            <w:r>
              <w:rPr>
                <w:rFonts w:ascii="宋体" w:eastAsia="宋体" w:hAnsi="宋体" w:cs="宋体" w:hint="eastAsia"/>
                <w:kern w:val="0"/>
                <w:szCs w:val="21"/>
                <w:lang w:bidi="ar"/>
              </w:rPr>
              <w:br/>
              <w:t>22. DBF：</w:t>
            </w:r>
            <w:r>
              <w:rPr>
                <w:rFonts w:ascii="宋体" w:eastAsia="宋体" w:hAnsi="宋体" w:cs="宋体" w:hint="eastAsia"/>
                <w:kern w:val="0"/>
                <w:szCs w:val="21"/>
                <w:lang w:bidi="ar"/>
              </w:rPr>
              <w:br/>
              <w:t xml:space="preserve">   波束控制和合成形式：数字域</w:t>
            </w:r>
            <w:r>
              <w:rPr>
                <w:rFonts w:ascii="宋体" w:eastAsia="宋体" w:hAnsi="宋体" w:cs="宋体" w:hint="eastAsia"/>
                <w:kern w:val="0"/>
                <w:szCs w:val="21"/>
                <w:lang w:bidi="ar"/>
              </w:rPr>
              <w:br/>
              <w:t xml:space="preserve">   波束控制精度：≤5%</w:t>
            </w:r>
            <w:r>
              <w:rPr>
                <w:rFonts w:ascii="宋体" w:eastAsia="宋体" w:hAnsi="宋体" w:cs="宋体" w:hint="eastAsia"/>
                <w:kern w:val="0"/>
                <w:szCs w:val="21"/>
                <w:lang w:bidi="ar"/>
              </w:rPr>
              <w:br/>
            </w:r>
            <w:r>
              <w:rPr>
                <w:rFonts w:ascii="宋体" w:eastAsia="宋体" w:hAnsi="宋体" w:cs="宋体" w:hint="eastAsia"/>
                <w:kern w:val="0"/>
                <w:szCs w:val="21"/>
                <w:lang w:bidi="ar"/>
              </w:rPr>
              <w:t xml:space="preserve">   电扫方向上双线偏振波束角度误差：≤5%</w:t>
            </w:r>
            <w:r>
              <w:rPr>
                <w:rFonts w:ascii="宋体" w:eastAsia="宋体" w:hAnsi="宋体" w:cs="宋体" w:hint="eastAsia"/>
                <w:kern w:val="0"/>
                <w:szCs w:val="21"/>
                <w:lang w:bidi="ar"/>
              </w:rPr>
              <w:br/>
              <w:t xml:space="preserve">   电扫方向上双线偏振3dB波束宽度误差：≤5%</w:t>
            </w:r>
            <w:r>
              <w:rPr>
                <w:rFonts w:ascii="宋体" w:eastAsia="宋体" w:hAnsi="宋体" w:cs="宋体" w:hint="eastAsia"/>
                <w:kern w:val="0"/>
                <w:szCs w:val="21"/>
                <w:lang w:bidi="ar"/>
              </w:rPr>
              <w:br/>
              <w:t xml:space="preserve">   同时接收波束数：16个（单偏振）</w:t>
            </w:r>
            <w:r>
              <w:rPr>
                <w:rFonts w:ascii="宋体" w:eastAsia="宋体" w:hAnsi="宋体" w:cs="宋体" w:hint="eastAsia"/>
                <w:kern w:val="0"/>
                <w:szCs w:val="21"/>
                <w:lang w:bidi="ar"/>
              </w:rPr>
              <w:br/>
              <w:t xml:space="preserve">   电扫方向发射第一副瓣电平：≤-22dB</w:t>
            </w:r>
            <w:r>
              <w:rPr>
                <w:rFonts w:ascii="宋体" w:eastAsia="宋体" w:hAnsi="宋体" w:cs="宋体" w:hint="eastAsia"/>
                <w:kern w:val="0"/>
                <w:szCs w:val="21"/>
                <w:lang w:bidi="ar"/>
              </w:rPr>
              <w:br/>
              <w:t xml:space="preserve"> 电扫方向接收第一副瓣电平：≤-33dB</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2465"/>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3</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六要素气象站</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气温</w:t>
            </w:r>
            <w:r>
              <w:rPr>
                <w:rFonts w:ascii="宋体" w:eastAsia="宋体" w:hAnsi="宋体" w:cs="宋体" w:hint="eastAsia"/>
                <w:kern w:val="0"/>
                <w:szCs w:val="21"/>
                <w:lang w:bidi="ar"/>
              </w:rPr>
              <w:br/>
              <w:t>测量范围：-40℃~+50℃</w:t>
            </w:r>
            <w:r>
              <w:rPr>
                <w:rFonts w:ascii="宋体" w:eastAsia="宋体" w:hAnsi="宋体" w:cs="宋体" w:hint="eastAsia"/>
                <w:kern w:val="0"/>
                <w:szCs w:val="21"/>
                <w:lang w:bidi="ar"/>
              </w:rPr>
              <w:br/>
              <w:t>分辨力：0.1℃</w:t>
            </w:r>
            <w:r>
              <w:rPr>
                <w:rFonts w:ascii="宋体" w:eastAsia="宋体" w:hAnsi="宋体" w:cs="宋体" w:hint="eastAsia"/>
                <w:kern w:val="0"/>
                <w:szCs w:val="21"/>
                <w:lang w:bidi="ar"/>
              </w:rPr>
              <w:br/>
              <w:t>最大允许误差：±0.5℃</w:t>
            </w:r>
            <w:r>
              <w:rPr>
                <w:rFonts w:ascii="宋体" w:eastAsia="宋体" w:hAnsi="宋体" w:cs="宋体" w:hint="eastAsia"/>
                <w:kern w:val="0"/>
                <w:szCs w:val="21"/>
                <w:lang w:bidi="ar"/>
              </w:rPr>
              <w:br/>
              <w:t>湿度</w:t>
            </w:r>
            <w:r>
              <w:rPr>
                <w:rFonts w:ascii="宋体" w:eastAsia="宋体" w:hAnsi="宋体" w:cs="宋体" w:hint="eastAsia"/>
                <w:kern w:val="0"/>
                <w:szCs w:val="21"/>
                <w:lang w:bidi="ar"/>
              </w:rPr>
              <w:br/>
              <w:t>测量范围：5%RH~100%RH</w:t>
            </w:r>
            <w:r>
              <w:rPr>
                <w:rFonts w:ascii="宋体" w:eastAsia="宋体" w:hAnsi="宋体" w:cs="宋体" w:hint="eastAsia"/>
                <w:kern w:val="0"/>
                <w:szCs w:val="21"/>
                <w:lang w:bidi="ar"/>
              </w:rPr>
              <w:br/>
              <w:t>分辨力：1%RH</w:t>
            </w:r>
            <w:r>
              <w:rPr>
                <w:rFonts w:ascii="宋体" w:eastAsia="宋体" w:hAnsi="宋体" w:cs="宋体" w:hint="eastAsia"/>
                <w:kern w:val="0"/>
                <w:szCs w:val="21"/>
                <w:lang w:bidi="ar"/>
              </w:rPr>
              <w:br/>
              <w:t>最大允许误差：±4%（≤80%RH），±8%（＞80%RH）</w:t>
            </w:r>
            <w:r>
              <w:rPr>
                <w:rFonts w:ascii="宋体" w:eastAsia="宋体" w:hAnsi="宋体" w:cs="宋体" w:hint="eastAsia"/>
                <w:kern w:val="0"/>
                <w:szCs w:val="21"/>
                <w:lang w:bidi="ar"/>
              </w:rPr>
              <w:br/>
              <w:t xml:space="preserve"> 气压</w:t>
            </w:r>
            <w:r>
              <w:rPr>
                <w:rFonts w:ascii="宋体" w:eastAsia="宋体" w:hAnsi="宋体" w:cs="宋体" w:hint="eastAsia"/>
                <w:kern w:val="0"/>
                <w:szCs w:val="21"/>
                <w:lang w:bidi="ar"/>
              </w:rPr>
              <w:br/>
              <w:t>测量范围：500hPa~1100hPa</w:t>
            </w:r>
            <w:r>
              <w:rPr>
                <w:rFonts w:ascii="宋体" w:eastAsia="宋体" w:hAnsi="宋体" w:cs="宋体" w:hint="eastAsia"/>
                <w:kern w:val="0"/>
                <w:szCs w:val="21"/>
                <w:lang w:bidi="ar"/>
              </w:rPr>
              <w:br/>
              <w:t>分辨力：0.2hPa</w:t>
            </w:r>
            <w:r>
              <w:rPr>
                <w:rFonts w:ascii="宋体" w:eastAsia="宋体" w:hAnsi="宋体" w:cs="宋体" w:hint="eastAsia"/>
                <w:kern w:val="0"/>
                <w:szCs w:val="21"/>
                <w:lang w:bidi="ar"/>
              </w:rPr>
              <w:br/>
              <w:t>最大允许误差：±0.6hPa</w:t>
            </w:r>
            <w:r>
              <w:rPr>
                <w:rFonts w:ascii="宋体" w:eastAsia="宋体" w:hAnsi="宋体" w:cs="宋体" w:hint="eastAsia"/>
                <w:kern w:val="0"/>
                <w:szCs w:val="21"/>
                <w:lang w:bidi="ar"/>
              </w:rPr>
              <w:br/>
              <w:t xml:space="preserve"> 风向</w:t>
            </w:r>
            <w:r>
              <w:rPr>
                <w:rFonts w:ascii="宋体" w:eastAsia="宋体" w:hAnsi="宋体" w:cs="宋体" w:hint="eastAsia"/>
                <w:kern w:val="0"/>
                <w:szCs w:val="21"/>
                <w:lang w:bidi="ar"/>
              </w:rPr>
              <w:br/>
              <w:t>测量范围：0~360°</w:t>
            </w:r>
            <w:r>
              <w:rPr>
                <w:rFonts w:ascii="宋体" w:eastAsia="宋体" w:hAnsi="宋体" w:cs="宋体" w:hint="eastAsia"/>
                <w:kern w:val="0"/>
                <w:szCs w:val="21"/>
                <w:lang w:bidi="ar"/>
              </w:rPr>
              <w:br/>
              <w:t>分辨力：5°</w:t>
            </w:r>
            <w:r>
              <w:rPr>
                <w:rFonts w:ascii="宋体" w:eastAsia="宋体" w:hAnsi="宋体" w:cs="宋体" w:hint="eastAsia"/>
                <w:kern w:val="0"/>
                <w:szCs w:val="21"/>
                <w:lang w:bidi="ar"/>
              </w:rPr>
              <w:br/>
              <w:t>最大允许误差：±10°</w:t>
            </w:r>
            <w:r>
              <w:rPr>
                <w:rFonts w:ascii="宋体" w:eastAsia="宋体" w:hAnsi="宋体" w:cs="宋体" w:hint="eastAsia"/>
                <w:kern w:val="0"/>
                <w:szCs w:val="21"/>
                <w:lang w:bidi="ar"/>
              </w:rPr>
              <w:br/>
              <w:t xml:space="preserve"> 风速</w:t>
            </w:r>
            <w:r>
              <w:rPr>
                <w:rFonts w:ascii="宋体" w:eastAsia="宋体" w:hAnsi="宋体" w:cs="宋体" w:hint="eastAsia"/>
                <w:kern w:val="0"/>
                <w:szCs w:val="21"/>
                <w:lang w:bidi="ar"/>
              </w:rPr>
              <w:br/>
              <w:t>测量范围：0~30m/s</w:t>
            </w:r>
            <w:r>
              <w:rPr>
                <w:rFonts w:ascii="宋体" w:eastAsia="宋体" w:hAnsi="宋体" w:cs="宋体" w:hint="eastAsia"/>
                <w:kern w:val="0"/>
                <w:szCs w:val="21"/>
                <w:lang w:bidi="ar"/>
              </w:rPr>
              <w:br/>
              <w:t>分辨力：0.1m/s</w:t>
            </w:r>
            <w:r>
              <w:rPr>
                <w:rFonts w:ascii="宋体" w:eastAsia="宋体" w:hAnsi="宋体" w:cs="宋体" w:hint="eastAsia"/>
                <w:kern w:val="0"/>
                <w:szCs w:val="21"/>
                <w:lang w:bidi="ar"/>
              </w:rPr>
              <w:br/>
              <w:t>最大允许误差：±0.5m/s（≤10m/s），±10%（＞10m/s）</w:t>
            </w:r>
            <w:r>
              <w:rPr>
                <w:rFonts w:ascii="宋体" w:eastAsia="宋体" w:hAnsi="宋体" w:cs="宋体" w:hint="eastAsia"/>
                <w:kern w:val="0"/>
                <w:szCs w:val="21"/>
                <w:lang w:bidi="ar"/>
              </w:rPr>
              <w:br/>
              <w:t>降水量</w:t>
            </w:r>
            <w:r>
              <w:rPr>
                <w:rFonts w:ascii="宋体" w:eastAsia="宋体" w:hAnsi="宋体" w:cs="宋体" w:hint="eastAsia"/>
                <w:kern w:val="0"/>
                <w:szCs w:val="21"/>
                <w:lang w:bidi="ar"/>
              </w:rPr>
              <w:br/>
              <w:t>测量范围：雨强0~4mm/min</w:t>
            </w:r>
            <w:r>
              <w:rPr>
                <w:rFonts w:ascii="宋体" w:eastAsia="宋体" w:hAnsi="宋体" w:cs="宋体" w:hint="eastAsia"/>
                <w:kern w:val="0"/>
                <w:szCs w:val="21"/>
                <w:lang w:bidi="ar"/>
              </w:rPr>
              <w:br/>
              <w:t>分辨力：0.1mm</w:t>
            </w:r>
            <w:r>
              <w:rPr>
                <w:rFonts w:ascii="宋体" w:eastAsia="宋体" w:hAnsi="宋体" w:cs="宋体" w:hint="eastAsia"/>
                <w:kern w:val="0"/>
                <w:szCs w:val="21"/>
                <w:lang w:bidi="ar"/>
              </w:rPr>
              <w:br/>
              <w:t>最大允许误差：±10%</w:t>
            </w:r>
            <w:r>
              <w:rPr>
                <w:rFonts w:ascii="宋体" w:eastAsia="宋体" w:hAnsi="宋体" w:cs="宋体" w:hint="eastAsia"/>
                <w:kern w:val="0"/>
                <w:szCs w:val="21"/>
                <w:lang w:bidi="ar"/>
              </w:rPr>
              <w:br/>
            </w:r>
            <w:r>
              <w:rPr>
                <w:rFonts w:ascii="宋体" w:eastAsia="宋体" w:hAnsi="宋体" w:cs="宋体" w:hint="eastAsia"/>
                <w:kern w:val="0"/>
                <w:szCs w:val="21"/>
                <w:lang w:bidi="ar"/>
              </w:rPr>
              <w:t>实景观测能力：可拍摄图像。可智能识别云属、云量。具备根据需求开展凝结类天气现象、能见度、降水、积雪等要素观测的扩展能力。</w:t>
            </w:r>
            <w:r>
              <w:rPr>
                <w:rFonts w:ascii="宋体" w:eastAsia="宋体" w:hAnsi="宋体" w:cs="宋体" w:hint="eastAsia"/>
                <w:kern w:val="0"/>
                <w:szCs w:val="21"/>
                <w:lang w:bidi="ar"/>
              </w:rPr>
              <w:br/>
              <w:t>存储：设备级存储+云端存储</w:t>
            </w:r>
            <w:r>
              <w:rPr>
                <w:rFonts w:ascii="宋体" w:eastAsia="宋体" w:hAnsi="宋体" w:cs="宋体" w:hint="eastAsia"/>
                <w:kern w:val="0"/>
                <w:szCs w:val="21"/>
                <w:lang w:bidi="ar"/>
              </w:rPr>
              <w:br/>
              <w:t>可靠性：MTBF＞5000小时</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套</w:t>
            </w:r>
          </w:p>
        </w:tc>
      </w:tr>
      <w:tr>
        <w:tblPrEx>
          <w:tblW w:w="5000" w:type="pct"/>
          <w:tblInd w:w="135" w:type="dxa"/>
          <w:tblLook w:val="04A0"/>
        </w:tblPrEx>
        <w:trPr>
          <w:trHeight w:val="189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4</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激光云高仪</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用来测量云底高、云厚、云层数量、垂直能见度等参数。</w:t>
            </w:r>
            <w:r>
              <w:rPr>
                <w:rFonts w:ascii="宋体" w:eastAsia="宋体" w:hAnsi="宋体" w:cs="宋体" w:hint="eastAsia"/>
                <w:kern w:val="0"/>
                <w:szCs w:val="21"/>
                <w:lang w:bidi="ar"/>
              </w:rPr>
              <w:br/>
              <w:t>测量范围：5m～12km</w:t>
            </w:r>
            <w:r>
              <w:rPr>
                <w:rFonts w:ascii="宋体" w:eastAsia="宋体" w:hAnsi="宋体" w:cs="宋体" w:hint="eastAsia"/>
                <w:kern w:val="0"/>
                <w:szCs w:val="21"/>
                <w:lang w:bidi="ar"/>
              </w:rPr>
              <w:br/>
              <w:t>准确度：测量精度：＜150m时，±15m，150～300m时，±10%，＞300m时±20%</w:t>
            </w:r>
            <w:r>
              <w:rPr>
                <w:rFonts w:ascii="宋体" w:eastAsia="宋体" w:hAnsi="宋体" w:cs="宋体" w:hint="eastAsia"/>
                <w:kern w:val="0"/>
                <w:szCs w:val="21"/>
                <w:lang w:bidi="ar"/>
              </w:rPr>
              <w:br/>
              <w:t>固体目标测量精度：15m</w:t>
            </w:r>
            <w:r>
              <w:rPr>
                <w:rFonts w:ascii="宋体" w:eastAsia="宋体" w:hAnsi="宋体" w:cs="宋体" w:hint="eastAsia"/>
                <w:kern w:val="0"/>
                <w:szCs w:val="21"/>
                <w:lang w:bidi="ar"/>
              </w:rPr>
              <w:br/>
              <w:t>测量周期：30s</w:t>
            </w:r>
            <w:r>
              <w:rPr>
                <w:rFonts w:ascii="宋体" w:eastAsia="宋体" w:hAnsi="宋体" w:cs="宋体" w:hint="eastAsia"/>
                <w:kern w:val="0"/>
                <w:szCs w:val="21"/>
                <w:lang w:bidi="ar"/>
              </w:rPr>
              <w:br/>
              <w:t>测云层数：最多5层</w:t>
            </w:r>
            <w:r>
              <w:rPr>
                <w:rFonts w:ascii="宋体" w:eastAsia="宋体" w:hAnsi="宋体" w:cs="宋体" w:hint="eastAsia"/>
                <w:kern w:val="0"/>
                <w:szCs w:val="21"/>
                <w:lang w:bidi="ar"/>
              </w:rPr>
              <w:br/>
              <w:t xml:space="preserve">分辨力：5m  </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台</w:t>
            </w:r>
          </w:p>
        </w:tc>
      </w:tr>
      <w:tr>
        <w:tblPrEx>
          <w:tblW w:w="5000" w:type="pct"/>
          <w:tblInd w:w="135" w:type="dxa"/>
          <w:tblLook w:val="04A0"/>
        </w:tblPrEx>
        <w:trPr>
          <w:trHeight w:val="997"/>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5</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毫米波测云雷达</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①技术指标</w:t>
            </w:r>
            <w:r>
              <w:rPr>
                <w:rFonts w:ascii="宋体" w:eastAsia="宋体" w:hAnsi="宋体" w:cs="宋体" w:hint="eastAsia"/>
                <w:kern w:val="0"/>
                <w:szCs w:val="21"/>
                <w:lang w:bidi="ar"/>
              </w:rPr>
              <w:br/>
              <w:t>技术体制：全固态、全相参、脉冲多普勒</w:t>
            </w:r>
            <w:r>
              <w:rPr>
                <w:rFonts w:ascii="宋体" w:eastAsia="宋体" w:hAnsi="宋体" w:cs="宋体" w:hint="eastAsia"/>
                <w:kern w:val="0"/>
                <w:szCs w:val="21"/>
                <w:lang w:bidi="ar"/>
              </w:rPr>
              <w:br/>
              <w:t>工作频率：Ka波段，35GHz±500MHz</w:t>
            </w:r>
            <w:r>
              <w:rPr>
                <w:rFonts w:ascii="宋体" w:eastAsia="宋体" w:hAnsi="宋体" w:cs="宋体" w:hint="eastAsia"/>
                <w:kern w:val="0"/>
                <w:szCs w:val="21"/>
                <w:lang w:bidi="ar"/>
              </w:rPr>
              <w:br/>
              <w:t>天线扫描方式：垂直顶空固定指向</w:t>
            </w:r>
            <w:r>
              <w:rPr>
                <w:rFonts w:ascii="宋体" w:eastAsia="宋体" w:hAnsi="宋体" w:cs="宋体" w:hint="eastAsia"/>
                <w:kern w:val="0"/>
                <w:szCs w:val="21"/>
                <w:lang w:bidi="ar"/>
              </w:rPr>
              <w:br/>
              <w:t>探测高度范围</w:t>
            </w:r>
            <w:r>
              <w:rPr>
                <w:rFonts w:ascii="宋体" w:eastAsia="宋体" w:hAnsi="宋体" w:cs="宋体" w:hint="eastAsia"/>
                <w:kern w:val="0"/>
                <w:szCs w:val="21"/>
                <w:lang w:bidi="ar"/>
              </w:rPr>
              <w:br/>
              <w:t xml:space="preserve">  强度（Z）：≥10km</w:t>
            </w:r>
            <w:r>
              <w:rPr>
                <w:rFonts w:ascii="宋体" w:eastAsia="宋体" w:hAnsi="宋体" w:cs="宋体" w:hint="eastAsia"/>
                <w:kern w:val="0"/>
                <w:szCs w:val="21"/>
                <w:lang w:bidi="ar"/>
              </w:rPr>
              <w:br/>
              <w:t xml:space="preserve">  速度（V）：≥10km</w:t>
            </w:r>
            <w:r>
              <w:rPr>
                <w:rFonts w:ascii="宋体" w:eastAsia="宋体" w:hAnsi="宋体" w:cs="宋体" w:hint="eastAsia"/>
                <w:kern w:val="0"/>
                <w:szCs w:val="21"/>
                <w:lang w:bidi="ar"/>
              </w:rPr>
              <w:br/>
              <w:t xml:space="preserve">  谱宽（W）：≥10km</w:t>
            </w:r>
            <w:r>
              <w:rPr>
                <w:rFonts w:ascii="宋体" w:eastAsia="宋体" w:hAnsi="宋体" w:cs="宋体" w:hint="eastAsia"/>
                <w:kern w:val="0"/>
                <w:szCs w:val="21"/>
                <w:lang w:bidi="ar"/>
              </w:rPr>
              <w:br/>
              <w:t>高度量程：5km、10km、15km、20km可切换</w:t>
            </w:r>
            <w:r>
              <w:rPr>
                <w:rFonts w:ascii="宋体" w:eastAsia="宋体" w:hAnsi="宋体" w:cs="宋体" w:hint="eastAsia"/>
                <w:kern w:val="0"/>
                <w:szCs w:val="21"/>
                <w:lang w:bidi="ar"/>
              </w:rPr>
              <w:br/>
              <w:t>距离分辨率：15m/30m(可选)</w:t>
            </w:r>
            <w:r>
              <w:rPr>
                <w:rFonts w:ascii="宋体" w:eastAsia="宋体" w:hAnsi="宋体" w:cs="宋体" w:hint="eastAsia"/>
                <w:kern w:val="0"/>
                <w:szCs w:val="21"/>
                <w:lang w:bidi="ar"/>
              </w:rPr>
              <w:br/>
              <w:t>基本输出产品：Z（反射率因子）、V（径向速度）、W（速度谱宽）</w:t>
            </w:r>
            <w:r>
              <w:rPr>
                <w:rFonts w:ascii="宋体" w:eastAsia="宋体" w:hAnsi="宋体" w:cs="宋体" w:hint="eastAsia"/>
                <w:kern w:val="0"/>
                <w:szCs w:val="21"/>
                <w:lang w:bidi="ar"/>
              </w:rPr>
              <w:br/>
              <w:t>基本产品测量范围</w:t>
            </w:r>
            <w:r>
              <w:rPr>
                <w:rFonts w:ascii="宋体" w:eastAsia="宋体" w:hAnsi="宋体" w:cs="宋体" w:hint="eastAsia"/>
                <w:kern w:val="0"/>
                <w:szCs w:val="21"/>
                <w:lang w:bidi="ar"/>
              </w:rPr>
              <w:br/>
              <w:t>强度（Z）：-40～+40dBZ</w:t>
            </w:r>
            <w:r>
              <w:rPr>
                <w:rFonts w:ascii="宋体" w:eastAsia="宋体" w:hAnsi="宋体" w:cs="宋体" w:hint="eastAsia"/>
                <w:kern w:val="0"/>
                <w:szCs w:val="21"/>
                <w:lang w:bidi="ar"/>
              </w:rPr>
              <w:br/>
              <w:t xml:space="preserve">  速度（V）：±15m/s</w:t>
            </w:r>
            <w:r>
              <w:rPr>
                <w:rFonts w:ascii="宋体" w:eastAsia="宋体" w:hAnsi="宋体" w:cs="宋体" w:hint="eastAsia"/>
                <w:kern w:val="0"/>
                <w:szCs w:val="21"/>
                <w:lang w:bidi="ar"/>
              </w:rPr>
              <w:br/>
              <w:t xml:space="preserve">  谱宽（W）：0～15m/s</w:t>
            </w:r>
            <w:r>
              <w:rPr>
                <w:rFonts w:ascii="宋体" w:eastAsia="宋体" w:hAnsi="宋体" w:cs="宋体" w:hint="eastAsia"/>
                <w:kern w:val="0"/>
                <w:szCs w:val="21"/>
                <w:lang w:bidi="ar"/>
              </w:rPr>
              <w:br/>
            </w:r>
            <w:r>
              <w:rPr>
                <w:rFonts w:ascii="宋体" w:eastAsia="宋体" w:hAnsi="宋体" w:cs="宋体" w:hint="eastAsia"/>
                <w:kern w:val="0"/>
                <w:szCs w:val="21"/>
                <w:lang w:bidi="ar"/>
              </w:rPr>
              <w:t>基本产品测量精度（均方误差）</w:t>
            </w:r>
            <w:r>
              <w:rPr>
                <w:rFonts w:ascii="宋体" w:eastAsia="宋体" w:hAnsi="宋体" w:cs="宋体" w:hint="eastAsia"/>
                <w:kern w:val="0"/>
                <w:szCs w:val="21"/>
                <w:lang w:bidi="ar"/>
              </w:rPr>
              <w:br/>
              <w:t>强度（Z）：≤1dB</w:t>
            </w:r>
            <w:r>
              <w:rPr>
                <w:rFonts w:ascii="宋体" w:eastAsia="宋体" w:hAnsi="宋体" w:cs="宋体" w:hint="eastAsia"/>
                <w:kern w:val="0"/>
                <w:szCs w:val="21"/>
                <w:lang w:bidi="ar"/>
              </w:rPr>
              <w:br/>
              <w:t xml:space="preserve">  速度（V）：≤1m/s</w:t>
            </w:r>
            <w:r>
              <w:rPr>
                <w:rFonts w:ascii="宋体" w:eastAsia="宋体" w:hAnsi="宋体" w:cs="宋体" w:hint="eastAsia"/>
                <w:kern w:val="0"/>
                <w:szCs w:val="21"/>
                <w:lang w:bidi="ar"/>
              </w:rPr>
              <w:br/>
              <w:t xml:space="preserve">  谱宽（W）：≤1m/s</w:t>
            </w:r>
            <w:r>
              <w:rPr>
                <w:rFonts w:ascii="宋体" w:eastAsia="宋体" w:hAnsi="宋体" w:cs="宋体" w:hint="eastAsia"/>
                <w:kern w:val="0"/>
                <w:szCs w:val="21"/>
                <w:lang w:bidi="ar"/>
              </w:rPr>
              <w:br/>
              <w:t>地物杂波抑制度：≥40dB</w:t>
            </w:r>
            <w:r>
              <w:rPr>
                <w:rFonts w:ascii="宋体" w:eastAsia="宋体" w:hAnsi="宋体" w:cs="宋体" w:hint="eastAsia"/>
                <w:kern w:val="0"/>
                <w:szCs w:val="21"/>
                <w:lang w:bidi="ar"/>
              </w:rPr>
              <w:br/>
              <w:t>电源要求：单相，AC220V±10%，50Hz±5%</w:t>
            </w:r>
            <w:r>
              <w:rPr>
                <w:rFonts w:ascii="宋体" w:eastAsia="宋体" w:hAnsi="宋体" w:cs="宋体" w:hint="eastAsia"/>
                <w:kern w:val="0"/>
                <w:szCs w:val="21"/>
                <w:lang w:bidi="ar"/>
              </w:rPr>
              <w:br/>
              <w:t>重量（标准配置，参考值）：≤200kg</w:t>
            </w:r>
            <w:r>
              <w:rPr>
                <w:rFonts w:ascii="宋体" w:eastAsia="宋体" w:hAnsi="宋体" w:cs="宋体" w:hint="eastAsia"/>
                <w:kern w:val="0"/>
                <w:szCs w:val="21"/>
                <w:lang w:bidi="ar"/>
              </w:rPr>
              <w:br/>
              <w:t>整机功耗（峰值）：≤300W</w:t>
            </w:r>
            <w:r>
              <w:rPr>
                <w:rFonts w:ascii="宋体" w:eastAsia="宋体" w:hAnsi="宋体" w:cs="宋体" w:hint="eastAsia"/>
                <w:kern w:val="0"/>
                <w:szCs w:val="21"/>
                <w:lang w:bidi="ar"/>
              </w:rPr>
              <w:br/>
              <w:t>平均无故障时间（MTBF）：≥2000h</w:t>
            </w:r>
            <w:r>
              <w:rPr>
                <w:rFonts w:ascii="宋体" w:eastAsia="宋体" w:hAnsi="宋体" w:cs="宋体" w:hint="eastAsia"/>
                <w:kern w:val="0"/>
                <w:szCs w:val="21"/>
                <w:lang w:bidi="ar"/>
              </w:rPr>
              <w:br/>
              <w:t>平均故障修复时间（MTTR）：≤0.5h</w:t>
            </w:r>
            <w:r>
              <w:rPr>
                <w:rFonts w:ascii="宋体" w:eastAsia="宋体" w:hAnsi="宋体" w:cs="宋体" w:hint="eastAsia"/>
                <w:kern w:val="0"/>
                <w:szCs w:val="21"/>
                <w:lang w:bidi="ar"/>
              </w:rPr>
              <w:br/>
              <w:t>连续工作时间：可24h连续工作</w:t>
            </w:r>
            <w:r>
              <w:rPr>
                <w:rFonts w:ascii="宋体" w:eastAsia="宋体" w:hAnsi="宋体" w:cs="宋体" w:hint="eastAsia"/>
                <w:kern w:val="0"/>
                <w:szCs w:val="21"/>
                <w:lang w:bidi="ar"/>
              </w:rPr>
              <w:br/>
              <w:t>架设方式：可固定架设或车载移动式。</w:t>
            </w:r>
            <w:r>
              <w:rPr>
                <w:rFonts w:ascii="宋体" w:eastAsia="宋体" w:hAnsi="宋体" w:cs="宋体" w:hint="eastAsia"/>
                <w:kern w:val="0"/>
                <w:szCs w:val="21"/>
                <w:lang w:bidi="ar"/>
              </w:rPr>
              <w:br/>
              <w:t>开机时间：≤5min；</w:t>
            </w:r>
            <w:r>
              <w:rPr>
                <w:rFonts w:ascii="宋体" w:eastAsia="宋体" w:hAnsi="宋体" w:cs="宋体" w:hint="eastAsia"/>
                <w:kern w:val="0"/>
                <w:szCs w:val="21"/>
                <w:lang w:bidi="ar"/>
              </w:rPr>
              <w:br/>
              <w:t>②天、馈线技术指标</w:t>
            </w:r>
            <w:r>
              <w:rPr>
                <w:rFonts w:ascii="宋体" w:eastAsia="宋体" w:hAnsi="宋体" w:cs="宋体" w:hint="eastAsia"/>
                <w:kern w:val="0"/>
                <w:szCs w:val="21"/>
                <w:lang w:bidi="ar"/>
              </w:rPr>
              <w:br/>
              <w:t>天线形式：圆形旋转抛物面反射体天线，喇叭中心馈电</w:t>
            </w:r>
            <w:r>
              <w:rPr>
                <w:rFonts w:ascii="宋体" w:eastAsia="宋体" w:hAnsi="宋体" w:cs="宋体" w:hint="eastAsia"/>
                <w:kern w:val="0"/>
                <w:szCs w:val="21"/>
                <w:lang w:bidi="ar"/>
              </w:rPr>
              <w:br/>
              <w:t>频率：Ka波段，35 GHz±500MHz</w:t>
            </w:r>
            <w:r>
              <w:rPr>
                <w:rFonts w:ascii="宋体" w:eastAsia="宋体" w:hAnsi="宋体" w:cs="宋体" w:hint="eastAsia"/>
                <w:kern w:val="0"/>
                <w:szCs w:val="21"/>
                <w:lang w:bidi="ar"/>
              </w:rPr>
              <w:br/>
              <w:t>极化方式：线极化</w:t>
            </w:r>
            <w:r>
              <w:rPr>
                <w:rFonts w:ascii="宋体" w:eastAsia="宋体" w:hAnsi="宋体" w:cs="宋体" w:hint="eastAsia"/>
                <w:kern w:val="0"/>
                <w:szCs w:val="21"/>
                <w:lang w:bidi="ar"/>
              </w:rPr>
              <w:br/>
              <w:t>反射面直径（典型值）：1.8m</w:t>
            </w:r>
            <w:r>
              <w:rPr>
                <w:rFonts w:ascii="宋体" w:eastAsia="宋体" w:hAnsi="宋体" w:cs="宋体" w:hint="eastAsia"/>
                <w:kern w:val="0"/>
                <w:szCs w:val="21"/>
                <w:lang w:bidi="ar"/>
              </w:rPr>
              <w:br/>
              <w:t>反射面直径（典型值）：1.8m</w:t>
            </w:r>
            <w:r>
              <w:rPr>
                <w:rFonts w:ascii="宋体" w:eastAsia="宋体" w:hAnsi="宋体" w:cs="宋体" w:hint="eastAsia"/>
                <w:kern w:val="0"/>
                <w:szCs w:val="21"/>
                <w:lang w:bidi="ar"/>
              </w:rPr>
              <w:br/>
              <w:t>波束宽度：≤0.4°</w:t>
            </w:r>
            <w:r>
              <w:rPr>
                <w:rFonts w:ascii="宋体" w:eastAsia="宋体" w:hAnsi="宋体" w:cs="宋体" w:hint="eastAsia"/>
                <w:kern w:val="0"/>
                <w:szCs w:val="21"/>
                <w:lang w:bidi="ar"/>
              </w:rPr>
              <w:br/>
              <w:t>增益：≥50dB</w:t>
            </w:r>
            <w:r>
              <w:rPr>
                <w:rFonts w:ascii="宋体" w:eastAsia="宋体" w:hAnsi="宋体" w:cs="宋体" w:hint="eastAsia"/>
                <w:kern w:val="0"/>
                <w:szCs w:val="21"/>
                <w:lang w:bidi="ar"/>
              </w:rPr>
              <w:br/>
              <w:t>副瓣电平：≤-20dB</w:t>
            </w:r>
            <w:r>
              <w:rPr>
                <w:rFonts w:ascii="宋体" w:eastAsia="宋体" w:hAnsi="宋体" w:cs="宋体" w:hint="eastAsia"/>
                <w:kern w:val="0"/>
                <w:szCs w:val="21"/>
                <w:lang w:bidi="ar"/>
              </w:rPr>
              <w:br/>
              <w:t>馈线形式：BJ320波导，B型法兰盘</w:t>
            </w:r>
            <w:r>
              <w:rPr>
                <w:rFonts w:ascii="宋体" w:eastAsia="宋体" w:hAnsi="宋体" w:cs="宋体" w:hint="eastAsia"/>
                <w:kern w:val="0"/>
                <w:szCs w:val="21"/>
                <w:lang w:bidi="ar"/>
              </w:rPr>
              <w:br/>
              <w:t>馈线损耗：≤1.5dB</w:t>
            </w:r>
            <w:r>
              <w:rPr>
                <w:rFonts w:ascii="宋体" w:eastAsia="宋体" w:hAnsi="宋体" w:cs="宋体" w:hint="eastAsia"/>
                <w:kern w:val="0"/>
                <w:szCs w:val="21"/>
                <w:lang w:bidi="ar"/>
              </w:rPr>
              <w:br/>
              <w:t>驻波系数：≤1.3</w:t>
            </w:r>
            <w:r>
              <w:rPr>
                <w:rFonts w:ascii="宋体" w:eastAsia="宋体" w:hAnsi="宋体" w:cs="宋体" w:hint="eastAsia"/>
                <w:kern w:val="0"/>
                <w:szCs w:val="21"/>
                <w:lang w:bidi="ar"/>
              </w:rPr>
              <w:br/>
              <w:t>抗风能力（阵风）：30m/s</w:t>
            </w:r>
            <w:r>
              <w:rPr>
                <w:rFonts w:ascii="宋体" w:eastAsia="宋体" w:hAnsi="宋体" w:cs="宋体" w:hint="eastAsia"/>
                <w:kern w:val="0"/>
                <w:szCs w:val="21"/>
                <w:lang w:bidi="ar"/>
              </w:rPr>
              <w:br/>
              <w:t>③发射机技术指标</w:t>
            </w:r>
            <w:r>
              <w:rPr>
                <w:rFonts w:ascii="宋体" w:eastAsia="宋体" w:hAnsi="宋体" w:cs="宋体" w:hint="eastAsia"/>
                <w:kern w:val="0"/>
                <w:szCs w:val="21"/>
                <w:lang w:bidi="ar"/>
              </w:rPr>
              <w:br/>
              <w:t>发射机形式：全固态放大链式，功率合成</w:t>
            </w:r>
            <w:r>
              <w:rPr>
                <w:rFonts w:ascii="宋体" w:eastAsia="宋体" w:hAnsi="宋体" w:cs="宋体" w:hint="eastAsia"/>
                <w:kern w:val="0"/>
                <w:szCs w:val="21"/>
                <w:lang w:bidi="ar"/>
              </w:rPr>
              <w:br/>
              <w:t>工作频率：35GHz±500MHz</w:t>
            </w:r>
            <w:r>
              <w:rPr>
                <w:rFonts w:ascii="宋体" w:eastAsia="宋体" w:hAnsi="宋体" w:cs="宋体" w:hint="eastAsia"/>
                <w:kern w:val="0"/>
                <w:szCs w:val="21"/>
                <w:lang w:bidi="ar"/>
              </w:rPr>
              <w:br/>
            </w:r>
            <w:r>
              <w:rPr>
                <w:rFonts w:ascii="宋体" w:eastAsia="宋体" w:hAnsi="宋体" w:cs="宋体" w:hint="eastAsia"/>
                <w:kern w:val="0"/>
                <w:szCs w:val="21"/>
                <w:lang w:bidi="ar"/>
              </w:rPr>
              <w:t>脉冲峰值功率：≥40W</w:t>
            </w:r>
            <w:r>
              <w:rPr>
                <w:rFonts w:ascii="宋体" w:eastAsia="宋体" w:hAnsi="宋体" w:cs="宋体" w:hint="eastAsia"/>
                <w:kern w:val="0"/>
                <w:szCs w:val="21"/>
                <w:lang w:bidi="ar"/>
              </w:rPr>
              <w:br/>
              <w:t>脉冲特性</w:t>
            </w:r>
            <w:r>
              <w:rPr>
                <w:rFonts w:ascii="宋体" w:eastAsia="宋体" w:hAnsi="宋体" w:cs="宋体" w:hint="eastAsia"/>
                <w:kern w:val="0"/>
                <w:szCs w:val="21"/>
                <w:lang w:bidi="ar"/>
              </w:rPr>
              <w:br/>
              <w:t>上升/下降时间：≤0.2μs（10%～90%）（矩形脉冲）</w:t>
            </w:r>
            <w:r>
              <w:rPr>
                <w:rFonts w:ascii="宋体" w:eastAsia="宋体" w:hAnsi="宋体" w:cs="宋体" w:hint="eastAsia"/>
                <w:kern w:val="0"/>
                <w:szCs w:val="21"/>
                <w:lang w:bidi="ar"/>
              </w:rPr>
              <w:br/>
              <w:t>顶降：≤10%</w:t>
            </w:r>
            <w:r>
              <w:rPr>
                <w:rFonts w:ascii="宋体" w:eastAsia="宋体" w:hAnsi="宋体" w:cs="宋体" w:hint="eastAsia"/>
                <w:kern w:val="0"/>
                <w:szCs w:val="21"/>
                <w:lang w:bidi="ar"/>
              </w:rPr>
              <w:br/>
              <w:t>谐波和杂散抑制：≥40dB</w:t>
            </w:r>
            <w:r>
              <w:rPr>
                <w:rFonts w:ascii="宋体" w:eastAsia="宋体" w:hAnsi="宋体" w:cs="宋体" w:hint="eastAsia"/>
                <w:kern w:val="0"/>
                <w:szCs w:val="21"/>
                <w:lang w:bidi="ar"/>
              </w:rPr>
              <w:br/>
              <w:t>相位噪声恶化：≤1dB</w:t>
            </w:r>
            <w:r>
              <w:rPr>
                <w:rFonts w:ascii="宋体" w:eastAsia="宋体" w:hAnsi="宋体" w:cs="宋体" w:hint="eastAsia"/>
                <w:kern w:val="0"/>
                <w:szCs w:val="21"/>
                <w:lang w:bidi="ar"/>
              </w:rPr>
              <w:br/>
              <w:t>总电源效率：≥10%</w:t>
            </w:r>
            <w:r>
              <w:rPr>
                <w:rFonts w:ascii="宋体" w:eastAsia="宋体" w:hAnsi="宋体" w:cs="宋体" w:hint="eastAsia"/>
                <w:kern w:val="0"/>
                <w:szCs w:val="21"/>
                <w:lang w:bidi="ar"/>
              </w:rPr>
              <w:br/>
              <w:t>④接收机技术指标</w:t>
            </w:r>
            <w:r>
              <w:rPr>
                <w:rFonts w:ascii="宋体" w:eastAsia="宋体" w:hAnsi="宋体" w:cs="宋体" w:hint="eastAsia"/>
                <w:kern w:val="0"/>
                <w:szCs w:val="21"/>
                <w:lang w:bidi="ar"/>
              </w:rPr>
              <w:br/>
              <w:t>工作频率：35GHz±500MHz</w:t>
            </w:r>
            <w:r>
              <w:rPr>
                <w:rFonts w:ascii="宋体" w:eastAsia="宋体" w:hAnsi="宋体" w:cs="宋体" w:hint="eastAsia"/>
                <w:kern w:val="0"/>
                <w:szCs w:val="21"/>
                <w:lang w:bidi="ar"/>
              </w:rPr>
              <w:br/>
              <w:t>中频频率：75MHz</w:t>
            </w:r>
            <w:r>
              <w:rPr>
                <w:rFonts w:ascii="宋体" w:eastAsia="宋体" w:hAnsi="宋体" w:cs="宋体" w:hint="eastAsia"/>
                <w:kern w:val="0"/>
                <w:szCs w:val="21"/>
                <w:lang w:bidi="ar"/>
              </w:rPr>
              <w:br/>
              <w:t>中频带宽：2～8MHz（根据系统要求确定）</w:t>
            </w:r>
            <w:r>
              <w:rPr>
                <w:rFonts w:ascii="宋体" w:eastAsia="宋体" w:hAnsi="宋体" w:cs="宋体" w:hint="eastAsia"/>
                <w:kern w:val="0"/>
                <w:szCs w:val="21"/>
                <w:lang w:bidi="ar"/>
              </w:rPr>
              <w:br/>
              <w:t>噪声系数：≤5.5dB（从环形器后至中频输出端测）</w:t>
            </w:r>
            <w:r>
              <w:rPr>
                <w:rFonts w:ascii="宋体" w:eastAsia="宋体" w:hAnsi="宋体" w:cs="宋体" w:hint="eastAsia"/>
                <w:kern w:val="0"/>
                <w:szCs w:val="21"/>
                <w:lang w:bidi="ar"/>
              </w:rPr>
              <w:br/>
              <w:t>系统增益：30～40dB（可根据系统需要调整）</w:t>
            </w:r>
            <w:r>
              <w:rPr>
                <w:rFonts w:ascii="宋体" w:eastAsia="宋体" w:hAnsi="宋体" w:cs="宋体" w:hint="eastAsia"/>
                <w:kern w:val="0"/>
                <w:szCs w:val="21"/>
                <w:lang w:bidi="ar"/>
              </w:rPr>
              <w:br/>
              <w:t>接收系统动态范围：≥80dB</w:t>
            </w:r>
            <w:r>
              <w:rPr>
                <w:rFonts w:ascii="宋体" w:eastAsia="宋体" w:hAnsi="宋体" w:cs="宋体" w:hint="eastAsia"/>
                <w:kern w:val="0"/>
                <w:szCs w:val="21"/>
                <w:lang w:bidi="ar"/>
              </w:rPr>
              <w:br/>
              <w:t>最小可测功率（灵敏度）：≤-101dBm（典型脉冲宽度0.2μs）</w:t>
            </w:r>
            <w:r>
              <w:rPr>
                <w:rFonts w:ascii="宋体" w:eastAsia="宋体" w:hAnsi="宋体" w:cs="宋体" w:hint="eastAsia"/>
                <w:kern w:val="0"/>
                <w:szCs w:val="21"/>
                <w:lang w:bidi="ar"/>
              </w:rPr>
              <w:br/>
              <w:t>承受功率：≥1W（脉冲）</w:t>
            </w:r>
            <w:r>
              <w:rPr>
                <w:rFonts w:ascii="宋体" w:eastAsia="宋体" w:hAnsi="宋体" w:cs="宋体" w:hint="eastAsia"/>
                <w:kern w:val="0"/>
                <w:szCs w:val="21"/>
                <w:lang w:bidi="ar"/>
              </w:rPr>
              <w:br/>
              <w:t>恢复时间：≤0.5μs（-3dB）</w:t>
            </w:r>
            <w:r>
              <w:rPr>
                <w:rFonts w:ascii="宋体" w:eastAsia="宋体" w:hAnsi="宋体" w:cs="宋体" w:hint="eastAsia"/>
                <w:kern w:val="0"/>
                <w:szCs w:val="21"/>
                <w:lang w:bidi="ar"/>
              </w:rPr>
              <w:br/>
              <w:t>镜频抑制度:≥60dB</w:t>
            </w:r>
            <w:r>
              <w:rPr>
                <w:rFonts w:ascii="宋体" w:eastAsia="宋体" w:hAnsi="宋体" w:cs="宋体" w:hint="eastAsia"/>
                <w:kern w:val="0"/>
                <w:szCs w:val="21"/>
                <w:lang w:bidi="ar"/>
              </w:rPr>
              <w:br/>
              <w:t>中频输出杂散:≤-60dBc</w:t>
            </w:r>
            <w:r>
              <w:rPr>
                <w:rFonts w:ascii="宋体" w:eastAsia="宋体" w:hAnsi="宋体" w:cs="宋体" w:hint="eastAsia"/>
                <w:kern w:val="0"/>
                <w:szCs w:val="21"/>
                <w:lang w:bidi="ar"/>
              </w:rPr>
              <w:br/>
              <w:t>寄生离散谱:≤-50dBc</w:t>
            </w:r>
            <w:r>
              <w:rPr>
                <w:rFonts w:ascii="宋体" w:eastAsia="宋体" w:hAnsi="宋体" w:cs="宋体" w:hint="eastAsia"/>
                <w:kern w:val="0"/>
                <w:szCs w:val="21"/>
                <w:lang w:bidi="ar"/>
              </w:rPr>
              <w:br/>
              <w:t>⑤频率源技术指标</w:t>
            </w:r>
            <w:r>
              <w:rPr>
                <w:rFonts w:ascii="宋体" w:eastAsia="宋体" w:hAnsi="宋体" w:cs="宋体" w:hint="eastAsia"/>
                <w:kern w:val="0"/>
                <w:szCs w:val="21"/>
                <w:lang w:bidi="ar"/>
              </w:rPr>
              <w:br/>
              <w:t>输出信号:射频激励、本振、射频标定、中频采样时钟</w:t>
            </w:r>
            <w:r>
              <w:rPr>
                <w:rFonts w:ascii="宋体" w:eastAsia="宋体" w:hAnsi="宋体" w:cs="宋体" w:hint="eastAsia"/>
                <w:kern w:val="0"/>
                <w:szCs w:val="21"/>
                <w:lang w:bidi="ar"/>
              </w:rPr>
              <w:br/>
              <w:t>输出频率：射频激励、射频标定:35GHz±500MHz</w:t>
            </w:r>
            <w:r>
              <w:rPr>
                <w:rFonts w:ascii="宋体" w:eastAsia="宋体" w:hAnsi="宋体" w:cs="宋体" w:hint="eastAsia"/>
                <w:kern w:val="0"/>
                <w:szCs w:val="21"/>
                <w:lang w:bidi="ar"/>
              </w:rPr>
              <w:br/>
              <w:t>中频采样时钟:75MHz</w:t>
            </w:r>
            <w:r>
              <w:rPr>
                <w:rFonts w:ascii="宋体" w:eastAsia="宋体" w:hAnsi="宋体" w:cs="宋体" w:hint="eastAsia"/>
                <w:kern w:val="0"/>
                <w:szCs w:val="21"/>
                <w:lang w:bidi="ar"/>
              </w:rPr>
              <w:br/>
              <w:t>相位噪声（射频和本振）：≤-100dBc/Hz（1KHz）</w:t>
            </w:r>
            <w:r>
              <w:rPr>
                <w:rFonts w:ascii="宋体" w:eastAsia="宋体" w:hAnsi="宋体" w:cs="宋体" w:hint="eastAsia"/>
                <w:kern w:val="0"/>
                <w:szCs w:val="21"/>
                <w:lang w:bidi="ar"/>
              </w:rPr>
              <w:br/>
              <w:t>谐波和杂散抑制：≥60dB</w:t>
            </w:r>
            <w:r>
              <w:rPr>
                <w:rFonts w:ascii="宋体" w:eastAsia="宋体" w:hAnsi="宋体" w:cs="宋体" w:hint="eastAsia"/>
                <w:kern w:val="0"/>
                <w:szCs w:val="21"/>
                <w:lang w:bidi="ar"/>
              </w:rPr>
              <w:br/>
              <w:t>本振中的射频信号抑制：≥80dB</w:t>
            </w:r>
            <w:r>
              <w:rPr>
                <w:rFonts w:ascii="宋体" w:eastAsia="宋体" w:hAnsi="宋体" w:cs="宋体" w:hint="eastAsia"/>
                <w:kern w:val="0"/>
                <w:szCs w:val="21"/>
                <w:lang w:bidi="ar"/>
              </w:rPr>
              <w:br/>
              <w:t>射频脉冲调制隔离度：≥80dB</w:t>
            </w:r>
            <w:r>
              <w:rPr>
                <w:rFonts w:ascii="宋体" w:eastAsia="宋体" w:hAnsi="宋体" w:cs="宋体" w:hint="eastAsia"/>
                <w:kern w:val="0"/>
                <w:szCs w:val="21"/>
                <w:lang w:bidi="ar"/>
              </w:rPr>
              <w:br/>
            </w:r>
            <w:r>
              <w:rPr>
                <w:rFonts w:ascii="宋体" w:eastAsia="宋体" w:hAnsi="宋体" w:cs="宋体" w:hint="eastAsia"/>
                <w:kern w:val="0"/>
                <w:szCs w:val="21"/>
                <w:lang w:bidi="ar"/>
              </w:rPr>
              <w:t>开关时间：≤0.2μs</w:t>
            </w:r>
            <w:r>
              <w:rPr>
                <w:rFonts w:ascii="宋体" w:eastAsia="宋体" w:hAnsi="宋体" w:cs="宋体" w:hint="eastAsia"/>
                <w:kern w:val="0"/>
                <w:szCs w:val="21"/>
                <w:lang w:bidi="ar"/>
              </w:rPr>
              <w:br/>
              <w:t>⑥信号处理技术指标</w:t>
            </w:r>
            <w:r>
              <w:rPr>
                <w:rFonts w:ascii="宋体" w:eastAsia="宋体" w:hAnsi="宋体" w:cs="宋体" w:hint="eastAsia"/>
                <w:kern w:val="0"/>
                <w:szCs w:val="21"/>
                <w:lang w:bidi="ar"/>
              </w:rPr>
              <w:br/>
              <w:t>发射脉冲宽度：0.2、1、5、12、24μs可选</w:t>
            </w:r>
            <w:r>
              <w:rPr>
                <w:rFonts w:ascii="宋体" w:eastAsia="宋体" w:hAnsi="宋体" w:cs="宋体" w:hint="eastAsia"/>
                <w:kern w:val="0"/>
                <w:szCs w:val="21"/>
                <w:lang w:bidi="ar"/>
              </w:rPr>
              <w:br/>
              <w:t>脉冲压缩后子码宽度：0.2μs</w:t>
            </w:r>
            <w:r>
              <w:rPr>
                <w:rFonts w:ascii="宋体" w:eastAsia="宋体" w:hAnsi="宋体" w:cs="宋体" w:hint="eastAsia"/>
                <w:kern w:val="0"/>
                <w:szCs w:val="21"/>
                <w:lang w:bidi="ar"/>
              </w:rPr>
              <w:br/>
              <w:t>脉冲压缩主副瓣比：≥35dB(脉宽≥20μs)，≥25dB(脉宽≤20μs)</w:t>
            </w:r>
            <w:r>
              <w:rPr>
                <w:rFonts w:ascii="宋体" w:eastAsia="宋体" w:hAnsi="宋体" w:cs="宋体" w:hint="eastAsia"/>
                <w:kern w:val="0"/>
                <w:szCs w:val="21"/>
                <w:lang w:bidi="ar"/>
              </w:rPr>
              <w:br/>
              <w:t>数字中频A/D位数：≥14位</w:t>
            </w:r>
            <w:r>
              <w:rPr>
                <w:rFonts w:ascii="宋体" w:eastAsia="宋体" w:hAnsi="宋体" w:cs="宋体" w:hint="eastAsia"/>
                <w:kern w:val="0"/>
                <w:szCs w:val="21"/>
                <w:lang w:bidi="ar"/>
              </w:rPr>
              <w:br/>
              <w:t>最小可检测功率：≤-80dBm（典型脉冲宽度1μs）</w:t>
            </w:r>
            <w:r>
              <w:rPr>
                <w:rFonts w:ascii="宋体" w:eastAsia="宋体" w:hAnsi="宋体" w:cs="宋体" w:hint="eastAsia"/>
                <w:kern w:val="0"/>
                <w:szCs w:val="21"/>
                <w:lang w:bidi="ar"/>
              </w:rPr>
              <w:br/>
              <w:t>I/Q正交度：≤±0.1°</w:t>
            </w:r>
            <w:r>
              <w:rPr>
                <w:rFonts w:ascii="宋体" w:eastAsia="宋体" w:hAnsi="宋体" w:cs="宋体" w:hint="eastAsia"/>
                <w:kern w:val="0"/>
                <w:szCs w:val="21"/>
                <w:lang w:bidi="ar"/>
              </w:rPr>
              <w:br/>
              <w:t>相位稳定度：≤±0.2°</w:t>
            </w:r>
            <w:r>
              <w:rPr>
                <w:rFonts w:ascii="宋体" w:eastAsia="宋体" w:hAnsi="宋体" w:cs="宋体" w:hint="eastAsia"/>
                <w:kern w:val="0"/>
                <w:szCs w:val="21"/>
                <w:lang w:bidi="ar"/>
              </w:rPr>
              <w:br/>
              <w:t>距离库长度：15m或其倍数</w:t>
            </w:r>
            <w:r>
              <w:rPr>
                <w:rFonts w:ascii="宋体" w:eastAsia="宋体" w:hAnsi="宋体" w:cs="宋体" w:hint="eastAsia"/>
                <w:kern w:val="0"/>
                <w:szCs w:val="21"/>
                <w:lang w:bidi="ar"/>
              </w:rPr>
              <w:br/>
              <w:t>距离库数：≥500个</w:t>
            </w:r>
            <w:r>
              <w:rPr>
                <w:rFonts w:ascii="宋体" w:eastAsia="宋体" w:hAnsi="宋体" w:cs="宋体" w:hint="eastAsia"/>
                <w:kern w:val="0"/>
                <w:szCs w:val="21"/>
                <w:lang w:bidi="ar"/>
              </w:rPr>
              <w:br/>
              <w:t>最小探测距离：≤300m</w:t>
            </w:r>
            <w:r>
              <w:rPr>
                <w:rFonts w:ascii="宋体" w:eastAsia="宋体" w:hAnsi="宋体" w:cs="宋体" w:hint="eastAsia"/>
                <w:kern w:val="0"/>
                <w:szCs w:val="21"/>
                <w:lang w:bidi="ar"/>
              </w:rPr>
              <w:br/>
              <w:t>累计平均次数：16、32、64、128、256等可选</w:t>
            </w:r>
            <w:r>
              <w:rPr>
                <w:rFonts w:ascii="宋体" w:eastAsia="宋体" w:hAnsi="宋体" w:cs="宋体" w:hint="eastAsia"/>
                <w:kern w:val="0"/>
                <w:szCs w:val="21"/>
                <w:lang w:bidi="ar"/>
              </w:rPr>
              <w:br/>
              <w:t>强度估算精度：≤1dB</w:t>
            </w:r>
            <w:r>
              <w:rPr>
                <w:rFonts w:ascii="宋体" w:eastAsia="宋体" w:hAnsi="宋体" w:cs="宋体" w:hint="eastAsia"/>
                <w:kern w:val="0"/>
                <w:szCs w:val="21"/>
                <w:lang w:bidi="ar"/>
              </w:rPr>
              <w:br/>
              <w:t>速度处理方式：FFT/PPP</w:t>
            </w:r>
            <w:r>
              <w:rPr>
                <w:rFonts w:ascii="宋体" w:eastAsia="宋体" w:hAnsi="宋体" w:cs="宋体" w:hint="eastAsia"/>
                <w:kern w:val="0"/>
                <w:szCs w:val="21"/>
                <w:lang w:bidi="ar"/>
              </w:rPr>
              <w:br/>
              <w:t>⑦显控与终端系统设备主要技术指标</w:t>
            </w:r>
            <w:r>
              <w:rPr>
                <w:rFonts w:ascii="宋体" w:eastAsia="宋体" w:hAnsi="宋体" w:cs="宋体" w:hint="eastAsia"/>
                <w:kern w:val="0"/>
                <w:szCs w:val="21"/>
                <w:lang w:bidi="ar"/>
              </w:rPr>
              <w:br/>
              <w:t>远程监控功能：具有开始观测、停止观测、参数设置、运行状态远程监控功能</w:t>
            </w:r>
            <w:r>
              <w:rPr>
                <w:rFonts w:ascii="宋体" w:eastAsia="宋体" w:hAnsi="宋体" w:cs="宋体" w:hint="eastAsia"/>
                <w:kern w:val="0"/>
                <w:szCs w:val="21"/>
                <w:lang w:bidi="ar"/>
              </w:rPr>
              <w:br/>
              <w:t>数据产品：</w:t>
            </w:r>
            <w:r>
              <w:rPr>
                <w:rFonts w:ascii="宋体" w:eastAsia="宋体" w:hAnsi="宋体" w:cs="宋体" w:hint="eastAsia"/>
                <w:kern w:val="0"/>
                <w:szCs w:val="21"/>
                <w:lang w:bidi="ar"/>
              </w:rPr>
              <w:br/>
              <w:t>基本数据产品：</w:t>
            </w:r>
            <w:r>
              <w:rPr>
                <w:rFonts w:ascii="宋体" w:eastAsia="宋体" w:hAnsi="宋体" w:cs="宋体" w:hint="eastAsia"/>
                <w:kern w:val="0"/>
                <w:szCs w:val="21"/>
                <w:lang w:bidi="ar"/>
              </w:rPr>
              <w:br/>
              <w:t>回波强度Z、径向速度V、速度谱宽W、信噪比Snr</w:t>
            </w:r>
            <w:r>
              <w:rPr>
                <w:rFonts w:ascii="宋体" w:eastAsia="宋体" w:hAnsi="宋体" w:cs="宋体" w:hint="eastAsia"/>
                <w:kern w:val="0"/>
                <w:szCs w:val="21"/>
                <w:lang w:bidi="ar"/>
              </w:rPr>
              <w:br/>
              <w:t>二次数据产品：</w:t>
            </w:r>
            <w:r>
              <w:rPr>
                <w:rFonts w:ascii="宋体" w:eastAsia="宋体" w:hAnsi="宋体" w:cs="宋体" w:hint="eastAsia"/>
                <w:kern w:val="0"/>
                <w:szCs w:val="21"/>
                <w:lang w:bidi="ar"/>
              </w:rPr>
              <w:br/>
              <w:t>云底高、云顶高、云厚、云量、液态水含量、降雨指数</w:t>
            </w:r>
            <w:r>
              <w:rPr>
                <w:rFonts w:ascii="宋体" w:eastAsia="宋体" w:hAnsi="宋体" w:cs="宋体" w:hint="eastAsia"/>
                <w:kern w:val="0"/>
                <w:szCs w:val="21"/>
                <w:lang w:bidi="ar"/>
              </w:rPr>
              <w:br/>
              <w:t>廓线产品：</w:t>
            </w:r>
            <w:r>
              <w:rPr>
                <w:rFonts w:ascii="宋体" w:eastAsia="宋体" w:hAnsi="宋体" w:cs="宋体" w:hint="eastAsia"/>
                <w:kern w:val="0"/>
                <w:szCs w:val="21"/>
                <w:lang w:bidi="ar"/>
              </w:rPr>
              <w:br/>
              <w:t>云强度廓线、云速度廓线、云谱宽廓线、信噪比廓线、水含量廓线</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部</w:t>
            </w:r>
          </w:p>
        </w:tc>
      </w:tr>
      <w:tr>
        <w:tblPrEx>
          <w:tblW w:w="5000" w:type="pct"/>
          <w:tblInd w:w="135" w:type="dxa"/>
          <w:tblLook w:val="04A0"/>
        </w:tblPrEx>
        <w:trPr>
          <w:trHeight w:val="2160"/>
        </w:trPr>
        <w:tc>
          <w:tcPr>
            <w:tcW w:w="428"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6</w:t>
            </w:r>
          </w:p>
        </w:tc>
        <w:tc>
          <w:tcPr>
            <w:tcW w:w="563"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小型旋翼无人机</w:t>
            </w:r>
          </w:p>
        </w:tc>
        <w:tc>
          <w:tcPr>
            <w:tcW w:w="32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lang w:bidi="ar"/>
              </w:rPr>
              <w:t>飞行高度0～500m（电子限高）；</w:t>
            </w:r>
            <w:r>
              <w:rPr>
                <w:rFonts w:ascii="宋体" w:eastAsia="宋体" w:hAnsi="宋体" w:cs="宋体" w:hint="eastAsia"/>
                <w:kern w:val="0"/>
                <w:szCs w:val="21"/>
                <w:lang w:bidi="ar"/>
              </w:rPr>
              <w:br/>
              <w:t>电池：2块智能动力电池，提供30min以上续航；</w:t>
            </w:r>
            <w:r>
              <w:rPr>
                <w:rFonts w:ascii="宋体" w:eastAsia="宋体" w:hAnsi="宋体" w:cs="宋体" w:hint="eastAsia"/>
                <w:kern w:val="0"/>
                <w:szCs w:val="21"/>
                <w:lang w:bidi="ar"/>
              </w:rPr>
              <w:br/>
              <w:t>地面站遥控距离：大于5km；</w:t>
            </w:r>
            <w:r>
              <w:rPr>
                <w:rFonts w:ascii="宋体" w:eastAsia="宋体" w:hAnsi="宋体" w:cs="宋体" w:hint="eastAsia"/>
                <w:kern w:val="0"/>
                <w:szCs w:val="21"/>
                <w:lang w:bidi="ar"/>
              </w:rPr>
              <w:br/>
              <w:t>重量：小于20kg，满足便携性要求；</w:t>
            </w:r>
            <w:r>
              <w:rPr>
                <w:rFonts w:ascii="宋体" w:eastAsia="宋体" w:hAnsi="宋体" w:cs="宋体" w:hint="eastAsia"/>
                <w:kern w:val="0"/>
                <w:szCs w:val="21"/>
                <w:lang w:bidi="ar"/>
              </w:rPr>
              <w:br/>
              <w:t>支持可编程飞行轨迹、远程控制、一键起飞降落；</w:t>
            </w:r>
            <w:r>
              <w:rPr>
                <w:rFonts w:ascii="宋体" w:eastAsia="宋体" w:hAnsi="宋体" w:cs="宋体" w:hint="eastAsia"/>
                <w:kern w:val="0"/>
                <w:szCs w:val="21"/>
                <w:lang w:bidi="ar"/>
              </w:rPr>
              <w:br/>
              <w:t>模块化吊舱设计、支持搭载气象参数多要素测量（温度、湿度和气压等）；</w:t>
            </w:r>
            <w:r>
              <w:rPr>
                <w:rFonts w:ascii="宋体" w:eastAsia="宋体" w:hAnsi="宋体" w:cs="宋体" w:hint="eastAsia"/>
                <w:kern w:val="0"/>
                <w:szCs w:val="21"/>
                <w:lang w:bidi="ar"/>
              </w:rPr>
              <w:br/>
              <w:t>配备专业软件，操作简单；支持手机与平板的APP应用，支持数据的二次开发</w:t>
            </w:r>
            <w:r>
              <w:rPr>
                <w:rFonts w:ascii="宋体" w:eastAsia="宋体" w:hAnsi="宋体" w:cs="宋体" w:hint="eastAsia"/>
                <w:kern w:val="0"/>
                <w:szCs w:val="21"/>
                <w:lang w:bidi="ar"/>
              </w:rPr>
              <w:br/>
              <w:t>云台：高清摄像，有效像素2.1亿，图传。</w:t>
            </w:r>
          </w:p>
        </w:tc>
        <w:tc>
          <w:tcPr>
            <w:tcW w:w="366"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1</w:t>
            </w:r>
          </w:p>
        </w:tc>
        <w:tc>
          <w:tcPr>
            <w:tcW w:w="370" w:type="pct"/>
            <w:tcBorders>
              <w:top w:val="single" w:sz="4" w:space="0" w:color="auto"/>
              <w:left w:val="single" w:sz="4" w:space="0" w:color="auto"/>
              <w:bottom w:val="single" w:sz="4" w:space="0" w:color="auto"/>
              <w:right w:val="single" w:sz="4" w:space="0" w:color="auto"/>
            </w:tcBorders>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lang w:bidi="ar"/>
              </w:rPr>
              <w:t>架</w:t>
            </w:r>
          </w:p>
        </w:tc>
      </w:tr>
    </w:tbl>
    <w:p w:rsidR="00800AF2">
      <w:pPr>
        <w:spacing w:line="560" w:lineRule="exact"/>
        <w:ind w:firstLine="420" w:firstLineChars="200"/>
        <w:outlineLvl w:val="1"/>
        <w:rPr>
          <w:rFonts w:ascii="宋体" w:eastAsia="宋体" w:hAnsi="宋体" w:cs="宋体" w:hint="eastAsia"/>
          <w:bCs/>
          <w:color w:val="000000"/>
          <w:szCs w:val="21"/>
        </w:rPr>
      </w:pPr>
      <w:bookmarkStart w:id="73" w:name="_Toc27698"/>
      <w:r>
        <w:rPr>
          <w:rFonts w:ascii="宋体" w:eastAsia="宋体" w:hAnsi="宋体" w:cs="宋体" w:hint="eastAsia"/>
          <w:bCs/>
          <w:color w:val="000000"/>
          <w:szCs w:val="21"/>
        </w:rPr>
        <w:t>5.2指挥模组</w:t>
      </w:r>
      <w:bookmarkEnd w:id="73"/>
    </w:p>
    <w:p w:rsidR="00800AF2">
      <w:pPr>
        <w:spacing w:line="560" w:lineRule="exact"/>
        <w:ind w:firstLine="420" w:firstLineChars="200"/>
        <w:outlineLvl w:val="2"/>
        <w:rPr>
          <w:rFonts w:ascii="宋体" w:eastAsia="宋体" w:hAnsi="宋体" w:cs="宋体" w:hint="eastAsia"/>
          <w:bCs/>
          <w:color w:val="000000"/>
          <w:szCs w:val="21"/>
        </w:rPr>
      </w:pPr>
      <w:bookmarkStart w:id="74" w:name="_Toc11911"/>
      <w:r>
        <w:rPr>
          <w:rFonts w:ascii="宋体" w:eastAsia="宋体" w:hAnsi="宋体" w:cs="宋体" w:hint="eastAsia"/>
          <w:bCs/>
          <w:color w:val="000000"/>
          <w:szCs w:val="21"/>
        </w:rPr>
        <w:t>5.2.1功能</w:t>
      </w:r>
      <w:bookmarkEnd w:id="74"/>
      <w:r>
        <w:rPr>
          <w:rFonts w:ascii="宋体" w:eastAsia="宋体" w:hAnsi="宋体" w:cs="宋体" w:hint="eastAsia"/>
          <w:bCs/>
          <w:color w:val="000000"/>
          <w:szCs w:val="21"/>
        </w:rPr>
        <w:t>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机动集成作业系统指挥模组（以下简称指挥模组），是机动集成作业系统的核心组成部分，负责作业方案的策划分析、作业力量的调度指挥以及前后方指挥中心的实时互动。其主要功能是整合各类气象数据和作业信息，通过智能化决策支持系统，为人工影响天气作业提供科学、精准的指挥决策依据，确保作业的高效实施和效果评估。</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指挥模组应具备以下功能：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（1）能够通过气象数据采集处理服务器实时对自动观测设备、X 波段天气雷达、测云雷达信息进行采集，对机载探测数据进行接引，并接入观测方舱数据及周边 400 公里常规观测和其它观测资料。</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（2）能够通过人工影响天气决策支持数据接收处理平台对观测数据进行处理分析。</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（3）可接入省-市-县-作业点音视频调度服务系统，获取现场音视频信息，与前后方指挥中心进行视频会商，可实现跨区域联合指挥时的数据传输及音视频调度。</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（4）能够独立或依据上级指令形成作业计划、作业方案并向作业模组和作业点下发指挥调度命令。</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（5）能够实时采集任务执行区域气象参数变化情况，进行作业效果评估并通过发送至</w:t>
      </w:r>
      <w:r>
        <w:rPr>
          <w:rFonts w:ascii="宋体" w:eastAsia="宋体" w:hAnsi="宋体" w:cs="宋体" w:hint="eastAsia"/>
          <w:bCs/>
          <w:color w:val="000000"/>
          <w:szCs w:val="21"/>
        </w:rPr>
        <w:t>“天工”平台；</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（6）支持北斗全球导航定位系统、有限通信、4G/5G 移动网络通信、卫星通信等功能。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（7）应具备市电与自备供电两种供电方式，并能相互切换。</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（8）做好强弱电隔离、线缆屏蔽保护等设计，确保车载设备运行时不相互影响，多种通信天线工作时不相互干扰。</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9）应采用先进成熟的载车和车载设备、设施。固定在车内使用的设备应安装在机柜中，并采取有效减震措施；无法安装在机柜中的设备，应采取可靠固定措施；非固定在车上使用的设备，应放置于适当位置，并应有临时固定保护措施；所有接插件应采取紧固措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（10）设备、设施、线缆和接插件应采用符合国家标准、国家军用标准的标准件和通用件；应具有故障告警和检测措施。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（11）市电可保证连续不间断工作，油电工作时间＞8h。</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（12）指挥模组与探测模组和省级指挥中心之间支持 4G/5G 移动网络通信、卫星通信、有线通信等方式进行通信，且需配置网关、路由、网络通道切换等功能，方便用户根据实际使用需要实现切换。</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（13）通过主控服务器中的主控软件 VLAN 接口或其他方式，可以实现三条外部有有线网络、4G/5G 移动网络、卫星通信择其一快速切换。同时，通过配置和探测模组内部局域网相同的网段，也能实现将网络设备接入探测模组内部局域网络进行功能拓展。需在 VPN 用户端网关位置部署防火墙，以此管控 VPN 接入流量，并联动入侵检测、终端安全设备，实现 VPN 接入链路的边界安全防护。</w:t>
      </w:r>
    </w:p>
    <w:p w:rsidR="00800AF2">
      <w:pPr>
        <w:spacing w:line="560" w:lineRule="exact"/>
        <w:ind w:firstLine="420" w:firstLineChars="200"/>
        <w:outlineLvl w:val="2"/>
        <w:rPr>
          <w:rFonts w:ascii="宋体" w:eastAsia="宋体" w:hAnsi="宋体" w:cs="宋体" w:hint="eastAsia"/>
          <w:bCs/>
          <w:color w:val="000000"/>
          <w:szCs w:val="21"/>
        </w:rPr>
      </w:pPr>
      <w:bookmarkStart w:id="75" w:name="_Toc7330"/>
      <w:r>
        <w:rPr>
          <w:rFonts w:ascii="宋体" w:eastAsia="宋体" w:hAnsi="宋体" w:cs="宋体" w:hint="eastAsia"/>
          <w:bCs/>
          <w:color w:val="000000"/>
          <w:szCs w:val="21"/>
        </w:rPr>
        <w:t>5.2.2结构</w:t>
      </w:r>
      <w:bookmarkEnd w:id="75"/>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任务舱包括设备舱、工作舱、空调系统、供电系统、录像设备、便携式大气参数探测设备存储舱以及预留的外部设备信息采集接口，主要提供各设备安装空间并提供基础工作条件。支持北斗全球导航定位系统、4G/5G移动通信、卫星通信等功能。任务舱内部前壁正中设计大屏显示器，大屏显示器下部装有转接口。前舱两侧布置发柜，在左侧沙发柜旁配置打印机</w:t>
      </w:r>
      <w:r>
        <w:rPr>
          <w:rFonts w:ascii="宋体" w:eastAsia="宋体" w:hAnsi="宋体" w:cs="宋体" w:hint="eastAsia"/>
          <w:bCs/>
          <w:color w:val="000000"/>
          <w:szCs w:val="21"/>
        </w:rPr>
        <w:t>和储存柜，沙发柜中间设置会议桌，在会议桌上安装10孔电源插座。</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气象信息处理和显控席位：探测数据处理和显控席位、自动观测设备信息处理和显控席位、雷达信息处理和显控席位。同时支持自动观测设备， X波段天气雷达和测云雷达以及引接的观测方舱数据，周边400公里常规观测和其它观测资料的处理。</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人工影响天气决策支持数据接收处理分析平台：包括卫星通信设备、数据综合处理存储和显控设备以及自动观测设备。</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数据综合处理存储和显控设备包括：1台视讯终端、4台图形工作站、2台机架式服务器、2台磁盘阵列、4台KVM一体机、4台显示器、1个综合显示器、1套KVM切换器、1个千兆交换机（含光模块）、1台防火墙（含路由器）等。机架式服务器中1台用作业务运行服务器主要用于运行大气环境探测分系统数据和卫星广播的气象数据等数据接收处理服务软件；另一台用作数据镜像服务器，主要用于上述数据的镜像存储服务。</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1）具有“天工”平台数据接口，通信安全；</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2）支持4G/5G移动网络和卫星通信；</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3）支持DMZ和VPN，信息中心，无线方式传输；</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4）可对自动观测设备，X波段天气雷达和测云雷达信息进行采集；</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5）可接入观测方舱数据及周边400公里常规观测和其他观测资料；</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6）可对机载探测数据进行接引；</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7）对系统接引采集信息和天工系统发布的资料和产品进行显示；</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8）支持视频会商。</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方舱采用钢骨架铝蒙皮舱体结构，舱体外壁板采用铝合金板，内外壁夹层采用聚氨酯发泡结构设计。外面板选用强度高、重量轻的铝合金整板，板材厚度3mm，中间层填充硬质聚氨酯发泡，会议舱内面板为木质软包、设备舱内面为小花纹铝板，骨架用矩形管焊接而成，采用结构胶粘接技术，接缝采用氩弧焊接形成舱体壁板，表面平整、美观，在热传导、气密、水密等方面具有良好的性能指标，满足抗冲击要求并具有阻燃自熄性能。舱体壁板通过角件、</w:t>
      </w:r>
      <w:r>
        <w:rPr>
          <w:rFonts w:ascii="宋体" w:eastAsia="宋体" w:hAnsi="宋体" w:cs="宋体" w:hint="eastAsia"/>
          <w:bCs/>
          <w:color w:val="000000"/>
          <w:szCs w:val="21"/>
        </w:rPr>
        <w:t>包角弯角等连接件的焊接、粘接和螺栓连接等形式，形成稳定性好、强度高、抗变形、密封性好、表面平整度高的方舱舱体。</w:t>
      </w:r>
    </w:p>
    <w:p w:rsidR="00800AF2">
      <w:pPr>
        <w:spacing w:line="560" w:lineRule="exact"/>
        <w:ind w:firstLine="420" w:firstLineChars="200"/>
        <w:outlineLvl w:val="2"/>
        <w:rPr>
          <w:rFonts w:ascii="宋体" w:eastAsia="宋体" w:hAnsi="宋体" w:cs="宋体" w:hint="eastAsia"/>
          <w:bCs/>
          <w:color w:val="000000"/>
          <w:szCs w:val="21"/>
        </w:rPr>
      </w:pPr>
      <w:bookmarkStart w:id="76" w:name="_Toc4913"/>
      <w:r>
        <w:rPr>
          <w:rFonts w:ascii="宋体" w:eastAsia="宋体" w:hAnsi="宋体" w:cs="宋体" w:hint="eastAsia"/>
          <w:bCs/>
          <w:color w:val="000000"/>
          <w:szCs w:val="21"/>
        </w:rPr>
        <w:t>5.2.3</w:t>
      </w:r>
      <w:bookmarkEnd w:id="76"/>
      <w:r>
        <w:rPr>
          <w:rFonts w:ascii="宋体" w:eastAsia="宋体" w:hAnsi="宋体" w:cs="宋体" w:hint="eastAsia"/>
          <w:bCs/>
          <w:color w:val="000000"/>
          <w:szCs w:val="21"/>
        </w:rPr>
        <w:t>信息传输要求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通过接收探测模组和收集到的周界气象探测数据，根据实时采集任务执行区域气象参数变化情况，可独立通过系统自身软件或依据上级指令形成作业计划、作业方案，并组织对局部地区开展作业。可通过4G/5G移动网络通信、卫星通信和北斗通信方式进行信息传输与指令互通，进行作业效果评估并上传到“天工”平台。</w:t>
      </w:r>
    </w:p>
    <w:p w:rsidR="00800AF2">
      <w:pPr>
        <w:spacing w:line="560" w:lineRule="exact"/>
        <w:ind w:firstLine="420" w:firstLineChars="200"/>
        <w:jc w:val="left"/>
        <w:outlineLvl w:val="2"/>
        <w:rPr>
          <w:rFonts w:ascii="宋体" w:eastAsia="宋体" w:hAnsi="宋体" w:cs="宋体" w:hint="eastAsia"/>
          <w:bCs/>
          <w:color w:val="000000"/>
          <w:szCs w:val="21"/>
        </w:rPr>
      </w:pPr>
      <w:bookmarkStart w:id="77" w:name="_Toc3151"/>
      <w:r>
        <w:rPr>
          <w:rFonts w:ascii="宋体" w:eastAsia="宋体" w:hAnsi="宋体" w:cs="宋体" w:hint="eastAsia"/>
          <w:bCs/>
          <w:color w:val="000000"/>
          <w:szCs w:val="21"/>
        </w:rPr>
        <w:t>5.2.4接口要求</w:t>
      </w:r>
      <w:bookmarkEnd w:id="77"/>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可独立通过系统自身软件或依据上级指令形成作业计划、作业方案，并组织对局部地区开展作业。具备4G/5G移动网络通信、卫星通信和北斗通信方式进行信息传输与指令互通，进行作业效果评估并上传到“天工”平台。</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电源：满足国家标准；</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控制：RS232；RS485;RJ45；</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传输：RJ45；光纤；5G；卫星通信；</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视频：HDMI;SDI;</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音频：卡侬；RCA</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各模组之间信息畅通，模组内部数据集中、系统集成、接口标准通用，各模组能够实时接入“天工”平台，实现无缝对接国家级、省级和市州级任务需求。</w:t>
      </w:r>
    </w:p>
    <w:p w:rsidR="00800AF2">
      <w:pPr>
        <w:spacing w:line="560" w:lineRule="exact"/>
        <w:ind w:firstLine="420" w:firstLineChars="200"/>
        <w:jc w:val="left"/>
        <w:outlineLvl w:val="2"/>
        <w:rPr>
          <w:rFonts w:ascii="宋体" w:eastAsia="宋体" w:hAnsi="宋体" w:cs="宋体" w:hint="eastAsia"/>
          <w:bCs/>
          <w:color w:val="000000"/>
          <w:szCs w:val="21"/>
        </w:rPr>
      </w:pPr>
      <w:bookmarkStart w:id="78" w:name="_Toc27711"/>
      <w:r>
        <w:rPr>
          <w:rFonts w:ascii="宋体" w:eastAsia="宋体" w:hAnsi="宋体" w:cs="宋体" w:hint="eastAsia"/>
          <w:bCs/>
          <w:color w:val="000000"/>
          <w:szCs w:val="21"/>
        </w:rPr>
        <w:t>5.2.5技术性能要求</w:t>
      </w:r>
      <w:bookmarkEnd w:id="78"/>
    </w:p>
    <w:p w:rsidR="00800AF2">
      <w:pPr>
        <w:spacing w:line="560" w:lineRule="exact"/>
        <w:ind w:firstLine="420" w:firstLineChars="200"/>
        <w:jc w:val="left"/>
        <w:outlineLvl w:val="3"/>
        <w:rPr>
          <w:rFonts w:ascii="宋体" w:eastAsia="宋体" w:hAnsi="宋体" w:cs="宋体" w:hint="eastAsia"/>
          <w:bCs/>
          <w:color w:val="000000"/>
          <w:szCs w:val="21"/>
        </w:rPr>
      </w:pPr>
      <w:bookmarkStart w:id="79" w:name="_Toc1409"/>
      <w:r>
        <w:rPr>
          <w:rFonts w:ascii="宋体" w:eastAsia="宋体" w:hAnsi="宋体" w:cs="宋体" w:hint="eastAsia"/>
          <w:bCs/>
          <w:color w:val="000000"/>
          <w:szCs w:val="21"/>
        </w:rPr>
        <w:t>5.2.5.1任务舱方舱</w:t>
      </w:r>
      <w:bookmarkEnd w:id="79"/>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5.2.5.1.1任务舱方舱主箱体</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直角方舱，外形尺寸为≥6058mm×2438mm×2591mm（长×宽×高），八个角安装方舱角件，厢体按钢骨架铝合金蒙皮进行设计，外蒙皮选用厚度为3mm铝板，选用高密度的阻燃聚氨酯泡沫作为夹芯层（隔热芯材），大板中所用的骨架为钢骨架焊接而成，内外蒙皮与骨架</w:t>
      </w:r>
      <w:r>
        <w:rPr>
          <w:rFonts w:ascii="宋体" w:eastAsia="宋体" w:hAnsi="宋体" w:cs="宋体" w:hint="eastAsia"/>
          <w:bCs/>
          <w:color w:val="000000"/>
          <w:szCs w:val="21"/>
        </w:rPr>
        <w:t>粘接固定, 厢体骨架整体电泳处理，以保证骨架的防腐能力。内饰型材及外包型材、门结构采用阳极氧化处理铝型材，其外型美观，防腐耐用。各开孔和承重处均设置骨架的预埋件，满足车厢的承重要求和安装要求。</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5.2.5.1.2方舱主箱体配套设施</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36</w:t>
      </w:r>
      <w:r>
        <w:rPr>
          <w:rFonts w:ascii="宋体" w:eastAsia="宋体" w:hAnsi="宋体" w:cs="宋体" w:hint="eastAsia"/>
          <w:szCs w:val="21"/>
        </w:rPr>
        <w:fldChar w:fldCharType="end"/>
      </w:r>
      <w:r>
        <w:rPr>
          <w:rFonts w:ascii="宋体" w:eastAsia="宋体" w:hAnsi="宋体" w:cs="宋体" w:hint="eastAsia"/>
          <w:szCs w:val="21"/>
        </w:rPr>
        <w:t>方舱主箱体功能要求表</w:t>
      </w:r>
    </w:p>
    <w:tbl>
      <w:tblPr>
        <w:tblStyle w:val="TableNormal"/>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3"/>
        <w:gridCol w:w="5900"/>
        <w:gridCol w:w="721"/>
        <w:gridCol w:w="917"/>
      </w:tblGrid>
      <w:tr>
        <w:tblPrEx>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99"/>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33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3" w:type="pct"/>
          <w:tblLook w:val="04A0"/>
        </w:tblPrEx>
        <w:trPr>
          <w:trHeight w:val="699"/>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舱体自卸举升机构</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配备1套舱体自卸举升机构。</w:t>
            </w:r>
            <w:r>
              <w:rPr>
                <w:rFonts w:ascii="宋体" w:eastAsia="宋体" w:hAnsi="宋体" w:cs="宋体" w:hint="eastAsia"/>
                <w:szCs w:val="21"/>
              </w:rPr>
              <w:br/>
              <w:t>a）额定提升重量：≥满足舱体设计使用重量要求，并具备30%以上冗余能力；</w:t>
            </w:r>
            <w:r>
              <w:rPr>
                <w:rFonts w:ascii="宋体" w:eastAsia="宋体" w:hAnsi="宋体" w:cs="宋体" w:hint="eastAsia"/>
                <w:szCs w:val="21"/>
              </w:rPr>
              <w:br/>
              <w:t>b）额定举升高度：≥1500mm；</w:t>
            </w:r>
            <w:r>
              <w:rPr>
                <w:rFonts w:ascii="宋体" w:eastAsia="宋体" w:hAnsi="宋体" w:cs="宋体" w:hint="eastAsia"/>
                <w:szCs w:val="21"/>
              </w:rPr>
              <w:br/>
              <w:t>c）升降时间(单程)：≤15min；</w:t>
            </w:r>
            <w:r>
              <w:rPr>
                <w:rFonts w:ascii="宋体" w:eastAsia="宋体" w:hAnsi="宋体" w:cs="宋体" w:hint="eastAsia"/>
                <w:szCs w:val="21"/>
              </w:rPr>
              <w:br/>
              <w:t>d）调平时间：≤3min（6m长方舱所需时间）；</w:t>
            </w:r>
            <w:r>
              <w:rPr>
                <w:rFonts w:ascii="宋体" w:eastAsia="宋体" w:hAnsi="宋体" w:cs="宋体" w:hint="eastAsia"/>
                <w:szCs w:val="21"/>
              </w:rPr>
              <w:br/>
              <w:t>e）调平精度：≤0.5度；</w:t>
            </w:r>
            <w:r>
              <w:rPr>
                <w:rFonts w:ascii="宋体" w:eastAsia="宋体" w:hAnsi="宋体" w:cs="宋体" w:hint="eastAsia"/>
                <w:szCs w:val="21"/>
              </w:rPr>
              <w:br/>
              <w:t>f）工作方式：液压或液压或电动（可手动），支腿左右可自动横向扩展。</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登舱门</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侧开门开启角度≥90°，采用三点锁紧机构，入户门配备机械锁，在舱内能够将门打开。</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采光窗</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采用双层钢化玻璃。</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52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发电机检修门</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采用高强度铝合金结构，门板上配备百叶窗式格栅，用于设备通风散热。</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采光窗帘</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采用避光防蚊一体式窗帘。</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设备机柜</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标准19英寸机架，表面喷塑，包含安装件、减震等，尺寸符合设备上装要求。</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舱体地板</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竹地板打底，会议区和操作区表面铺地板革，发电机区铺设花纹铝板。</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52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舱内基础内饰</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采用平板对厢体内部进行平整处理，表面软包装饰。</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机柜台面</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采用环保免漆板材制作，表面喷漆处理。</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操作员座椅</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可旋转、前后滑移。</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油漆及外饰</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专业烤漆房烤漆，外观贴字根据用户需求订制。</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52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车内外照明系统</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车内外LED照明灯满足工作及车外场地照明需求。</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其他辅助</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灭火器（含灭火器及安装件，类型：七氟丙烷/二氧化碳（可用于精密仪器灭火；浓度：≥99%；规格：4kg（手提式）；灭火级别：1A-34B-CE；认证：CCCF（中国消防产品认证）、综合布线、集成制作等附件耗材，包含波纹管、胶带、扎带、接插件等。</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空调系统</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配备冷暖空调≥1.5匹（空调制冷剂应使用不可燃冷媒或配备泄露检测系统）、暖风机1套满足工作舱环境使用要求。</w:t>
            </w:r>
          </w:p>
        </w:tc>
        <w:tc>
          <w:tcPr>
            <w:tcW w:w="41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52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5.2.5.1.3供电系统</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方舱具备1路380或双路220市电供电，1路发电机供电供电接口，做好标识。供电方式可以切换。满足市电、发电机、UPS不间断供电要求。通过舱体对外提供供电及接地的转接板，当外部电源接至转接板后，内部通过配电箱给各设备供电。</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37</w:t>
      </w:r>
      <w:r>
        <w:rPr>
          <w:rFonts w:ascii="宋体" w:eastAsia="宋体" w:hAnsi="宋体" w:cs="宋体" w:hint="eastAsia"/>
          <w:szCs w:val="21"/>
        </w:rPr>
        <w:fldChar w:fldCharType="end"/>
      </w:r>
      <w:r>
        <w:rPr>
          <w:rFonts w:ascii="宋体" w:eastAsia="宋体" w:hAnsi="宋体" w:cs="宋体" w:hint="eastAsia"/>
          <w:szCs w:val="21"/>
        </w:rPr>
        <w:t>供电系统功能要求表</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8"/>
        <w:gridCol w:w="5900"/>
        <w:gridCol w:w="863"/>
        <w:gridCol w:w="771"/>
      </w:tblGrid>
      <w:tr>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80"/>
        </w:trPr>
        <w:tc>
          <w:tcPr>
            <w:tcW w:w="661"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33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4" w:type="pct"/>
          <w:tblLook w:val="04A0"/>
        </w:tblPrEx>
        <w:trPr>
          <w:trHeight w:val="7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市电接入</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具备1路供电电压380×（1±10%）V、频率50×（1±5%）Hz或2路供电电压220×（1±10%）V、频率50×（1±5%）Hz，供电总功率不低于15kW，配备满足功率的手动或电动市电线缆轴长度≮45米；配备满足功率的市电对接插头。</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182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静音发电机</w:t>
            </w:r>
          </w:p>
        </w:tc>
        <w:tc>
          <w:tcPr>
            <w:tcW w:w="3398" w:type="pct"/>
            <w:vAlign w:val="center"/>
          </w:tcPr>
          <w:p w:rsidR="00800AF2">
            <w:pPr>
              <w:numPr>
                <w:ilvl w:val="0"/>
                <w:numId w:val="15"/>
              </w:numPr>
              <w:spacing w:line="360" w:lineRule="auto"/>
              <w:rPr>
                <w:rFonts w:ascii="宋体" w:eastAsia="宋体" w:hAnsi="宋体" w:cs="宋体" w:hint="eastAsia"/>
                <w:szCs w:val="21"/>
              </w:rPr>
            </w:pPr>
            <w:r>
              <w:rPr>
                <w:rFonts w:ascii="宋体" w:eastAsia="宋体" w:hAnsi="宋体" w:cs="宋体" w:hint="eastAsia"/>
                <w:szCs w:val="21"/>
              </w:rPr>
              <w:t xml:space="preserve">额定频率：50 HZ </w:t>
            </w:r>
            <w:r>
              <w:rPr>
                <w:rFonts w:ascii="宋体" w:eastAsia="宋体" w:hAnsi="宋体" w:cs="宋体" w:hint="eastAsia"/>
                <w:szCs w:val="21"/>
              </w:rPr>
              <w:br/>
              <w:t xml:space="preserve">b) 额定输出功率：≮15KW  </w:t>
            </w:r>
            <w:r>
              <w:rPr>
                <w:rFonts w:ascii="宋体" w:eastAsia="宋体" w:hAnsi="宋体" w:cs="宋体" w:hint="eastAsia"/>
                <w:szCs w:val="21"/>
              </w:rPr>
              <w:br/>
              <w:t>c) 额定电压：240 V</w:t>
            </w:r>
            <w:r>
              <w:rPr>
                <w:rFonts w:ascii="宋体" w:eastAsia="宋体" w:hAnsi="宋体" w:cs="宋体" w:hint="eastAsia"/>
                <w:szCs w:val="21"/>
              </w:rPr>
              <w:br/>
              <w:t>d) 机组连续运行时间：≥8h</w:t>
            </w:r>
            <w:r>
              <w:rPr>
                <w:rFonts w:ascii="宋体" w:eastAsia="宋体" w:hAnsi="宋体" w:cs="宋体" w:hint="eastAsia"/>
                <w:szCs w:val="21"/>
              </w:rPr>
              <w:br/>
              <w:t>e) 噪音（1m处）：≤75 dB(A)</w:t>
            </w:r>
          </w:p>
          <w:p w:rsidR="00800AF2">
            <w:pPr>
              <w:numPr>
                <w:ilvl w:val="0"/>
                <w:numId w:val="15"/>
              </w:numPr>
              <w:spacing w:line="360" w:lineRule="auto"/>
              <w:rPr>
                <w:rFonts w:ascii="宋体" w:eastAsia="宋体" w:hAnsi="宋体" w:cs="宋体" w:hint="eastAsia"/>
                <w:szCs w:val="21"/>
              </w:rPr>
            </w:pPr>
            <w:r>
              <w:rPr>
                <w:rFonts w:ascii="宋体" w:eastAsia="宋体" w:hAnsi="宋体" w:cs="宋体" w:hint="eastAsia"/>
                <w:szCs w:val="21"/>
              </w:rPr>
              <w:t>高原适配型：≥4000m可正常使用</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54"/>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UPS不间断电源</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a) 具备稳压功能，并在市电断电或电压不稳定的情况下，保证整套模组系统能够正常运行至少2小时；</w:t>
            </w:r>
          </w:p>
          <w:p w:rsidR="00800AF2">
            <w:pPr>
              <w:spacing w:line="360" w:lineRule="auto"/>
              <w:rPr>
                <w:rFonts w:ascii="宋体" w:eastAsia="宋体" w:hAnsi="宋体" w:cs="宋体" w:hint="eastAsia"/>
                <w:szCs w:val="21"/>
              </w:rPr>
            </w:pPr>
            <w:r>
              <w:rPr>
                <w:rFonts w:ascii="宋体" w:eastAsia="宋体" w:hAnsi="宋体" w:cs="宋体" w:hint="eastAsia"/>
                <w:szCs w:val="21"/>
              </w:rPr>
              <w:t>b）额定容量≮9KVA，额定电压支持车内用电设备运行；电池容量满足UPS主机正常运行。</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52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配电箱</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集中式电源管理系统，含支路开关、指示灯、电源电压电流显示等，开关分别控制空调、设备用电等；配电盘面板为数控机床加工，表面喷塑处理。</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520"/>
        </w:trPr>
        <w:tc>
          <w:tcPr>
            <w:tcW w:w="661" w:type="pct"/>
            <w:vAlign w:val="center"/>
          </w:tcPr>
          <w:p w:rsidR="00800AF2">
            <w:pPr>
              <w:spacing w:line="360" w:lineRule="auto"/>
              <w:contextualSpacing/>
              <w:rPr>
                <w:rFonts w:ascii="宋体" w:eastAsia="宋体" w:hAnsi="宋体" w:cs="宋体" w:hint="eastAsia"/>
                <w:szCs w:val="21"/>
              </w:rPr>
            </w:pPr>
            <w:r>
              <w:rPr>
                <w:rFonts w:ascii="宋体" w:eastAsia="宋体" w:hAnsi="宋体" w:cs="宋体" w:hint="eastAsia"/>
                <w:szCs w:val="21"/>
              </w:rPr>
              <w:t>舱体接地系统</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含接地桩、接地线，静电地拖电源防浪涌装置。</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2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对外接口板</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含电源、数据传输接口。</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2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电源线缆盘</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设计双路市电供电，手动线缆盘，含50米橡胶线缆。</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5.2.5.1.4视频采集及显示系统</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38</w:t>
      </w:r>
      <w:r>
        <w:rPr>
          <w:rFonts w:ascii="宋体" w:eastAsia="宋体" w:hAnsi="宋体" w:cs="宋体" w:hint="eastAsia"/>
          <w:szCs w:val="21"/>
        </w:rPr>
        <w:fldChar w:fldCharType="end"/>
      </w:r>
      <w:r>
        <w:rPr>
          <w:rFonts w:ascii="宋体" w:eastAsia="宋体" w:hAnsi="宋体" w:cs="宋体" w:hint="eastAsia"/>
          <w:szCs w:val="21"/>
        </w:rPr>
        <w:t>视频采集及显示系统功能要求表</w:t>
      </w:r>
    </w:p>
    <w:tbl>
      <w:tblPr>
        <w:tblStyle w:val="TableNormal"/>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3"/>
        <w:gridCol w:w="5900"/>
        <w:gridCol w:w="865"/>
        <w:gridCol w:w="773"/>
      </w:tblGrid>
      <w:tr>
        <w:tblPrEx>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设备名称</w:t>
            </w:r>
          </w:p>
        </w:tc>
        <w:tc>
          <w:tcPr>
            <w:tcW w:w="3397" w:type="pct"/>
            <w:vAlign w:val="center"/>
          </w:tcPr>
          <w:p w:rsidR="00800AF2">
            <w:pPr>
              <w:widowControl/>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舱顶云台摄像机</w:t>
            </w:r>
          </w:p>
        </w:tc>
        <w:tc>
          <w:tcPr>
            <w:tcW w:w="3397" w:type="pct"/>
            <w:vAlign w:val="center"/>
          </w:tcPr>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 xml:space="preserve">图像传感器：1/2.8″2.0MP逐行扫描CMOS； </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 xml:space="preserve">镜头倍数：20倍光学变焦； </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 xml:space="preserve">焦距(mm)：f4.5～86mm； </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光圈：Fw1.6～Ft3.4；</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水平角度：360°无限位旋转；</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 xml:space="preserve">垂直角度：+90°～-90°； </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 xml:space="preserve">防护等级：≥IP66； </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 xml:space="preserve">电机带断电自锁功能； </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支持接入全车视频监控系统。</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舱内摄像机</w:t>
            </w:r>
          </w:p>
        </w:tc>
        <w:tc>
          <w:tcPr>
            <w:tcW w:w="3397" w:type="pct"/>
            <w:vAlign w:val="center"/>
          </w:tcPr>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POE半球摄像机；</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支持夜间补光；</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支持接入全车视频监控系统；</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成像设备：1/2.8-type Exmor CMOS；</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镜头：20倍光学变焦，12倍数字变焦，f=4.7mm—-94.0mm；</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光圈：F1.6 to F3.5；</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平移：±170°（最高速度为100°/秒），俯仰：+90°/-20°（最高速度为90°/秒）；</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视频输出：HD-SDI SD—VBS。</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硬盘录像机</w:t>
            </w:r>
          </w:p>
        </w:tc>
        <w:tc>
          <w:tcPr>
            <w:tcW w:w="3397" w:type="pct"/>
            <w:vAlign w:val="center"/>
          </w:tcPr>
          <w:p w:rsidR="00800AF2">
            <w:pPr>
              <w:widowControl/>
              <w:numPr>
                <w:ilvl w:val="0"/>
                <w:numId w:val="18"/>
              </w:numPr>
              <w:spacing w:line="360" w:lineRule="auto"/>
              <w:rPr>
                <w:rFonts w:ascii="宋体" w:eastAsia="宋体" w:hAnsi="宋体" w:cs="宋体" w:hint="eastAsia"/>
                <w:szCs w:val="21"/>
              </w:rPr>
            </w:pPr>
            <w:r>
              <w:rPr>
                <w:rFonts w:ascii="宋体" w:eastAsia="宋体" w:hAnsi="宋体" w:cs="宋体" w:hint="eastAsia"/>
                <w:szCs w:val="21"/>
              </w:rPr>
              <w:t xml:space="preserve">支持4路1080P视频输入； </w:t>
            </w:r>
          </w:p>
          <w:p w:rsidR="00800AF2">
            <w:pPr>
              <w:widowControl/>
              <w:numPr>
                <w:ilvl w:val="0"/>
                <w:numId w:val="18"/>
              </w:numPr>
              <w:spacing w:line="360" w:lineRule="auto"/>
              <w:rPr>
                <w:rFonts w:ascii="宋体" w:eastAsia="宋体" w:hAnsi="宋体" w:cs="宋体" w:hint="eastAsia"/>
                <w:szCs w:val="21"/>
              </w:rPr>
            </w:pPr>
            <w:r>
              <w:rPr>
                <w:rFonts w:ascii="宋体" w:eastAsia="宋体" w:hAnsi="宋体" w:cs="宋体" w:hint="eastAsia"/>
                <w:szCs w:val="21"/>
              </w:rPr>
              <w:t xml:space="preserve">存储容量≥4T； </w:t>
            </w:r>
          </w:p>
          <w:p w:rsidR="00800AF2">
            <w:pPr>
              <w:widowControl/>
              <w:numPr>
                <w:ilvl w:val="0"/>
                <w:numId w:val="18"/>
              </w:numPr>
              <w:spacing w:line="360" w:lineRule="auto"/>
              <w:rPr>
                <w:rFonts w:ascii="宋体" w:eastAsia="宋体" w:hAnsi="宋体" w:cs="宋体" w:hint="eastAsia"/>
                <w:szCs w:val="21"/>
              </w:rPr>
            </w:pPr>
            <w:r>
              <w:rPr>
                <w:rFonts w:ascii="宋体" w:eastAsia="宋体" w:hAnsi="宋体" w:cs="宋体" w:hint="eastAsia"/>
                <w:szCs w:val="21"/>
              </w:rPr>
              <w:t>支持H.265/H.264压缩模式。</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大屏显示器</w:t>
            </w:r>
          </w:p>
        </w:tc>
        <w:tc>
          <w:tcPr>
            <w:tcW w:w="3397" w:type="pct"/>
            <w:vAlign w:val="center"/>
          </w:tcPr>
          <w:p w:rsidR="00800AF2">
            <w:pPr>
              <w:widowControl/>
              <w:numPr>
                <w:ilvl w:val="0"/>
                <w:numId w:val="19"/>
              </w:numPr>
              <w:spacing w:line="360" w:lineRule="auto"/>
              <w:rPr>
                <w:rFonts w:ascii="宋体" w:eastAsia="宋体" w:hAnsi="宋体" w:cs="宋体" w:hint="eastAsia"/>
                <w:szCs w:val="21"/>
              </w:rPr>
            </w:pPr>
            <w:r>
              <w:rPr>
                <w:rFonts w:ascii="宋体" w:eastAsia="宋体" w:hAnsi="宋体" w:cs="宋体" w:hint="eastAsia"/>
                <w:szCs w:val="21"/>
              </w:rPr>
              <w:t xml:space="preserve">不小于24英寸； </w:t>
            </w:r>
          </w:p>
          <w:p w:rsidR="00800AF2">
            <w:pPr>
              <w:widowControl/>
              <w:numPr>
                <w:ilvl w:val="0"/>
                <w:numId w:val="19"/>
              </w:numPr>
              <w:spacing w:line="360" w:lineRule="auto"/>
              <w:rPr>
                <w:rFonts w:ascii="宋体" w:eastAsia="宋体" w:hAnsi="宋体" w:cs="宋体" w:hint="eastAsia"/>
                <w:szCs w:val="21"/>
              </w:rPr>
            </w:pPr>
            <w:r>
              <w:rPr>
                <w:rFonts w:ascii="宋体" w:eastAsia="宋体" w:hAnsi="宋体" w:cs="宋体" w:hint="eastAsia"/>
                <w:szCs w:val="21"/>
              </w:rPr>
              <w:t xml:space="preserve">分辨率:不低于1080P； </w:t>
            </w:r>
          </w:p>
          <w:p w:rsidR="00800AF2">
            <w:pPr>
              <w:widowControl/>
              <w:numPr>
                <w:ilvl w:val="0"/>
                <w:numId w:val="19"/>
              </w:numPr>
              <w:spacing w:line="360" w:lineRule="auto"/>
              <w:rPr>
                <w:rFonts w:ascii="宋体" w:eastAsia="宋体" w:hAnsi="宋体" w:cs="宋体" w:hint="eastAsia"/>
                <w:szCs w:val="21"/>
              </w:rPr>
            </w:pPr>
            <w:r>
              <w:rPr>
                <w:rFonts w:ascii="宋体" w:eastAsia="宋体" w:hAnsi="宋体" w:cs="宋体" w:hint="eastAsia"/>
                <w:szCs w:val="21"/>
              </w:rPr>
              <w:t>显示口：HDMI；</w:t>
            </w:r>
          </w:p>
          <w:p w:rsidR="00800AF2">
            <w:pPr>
              <w:widowControl/>
              <w:numPr>
                <w:ilvl w:val="0"/>
                <w:numId w:val="19"/>
              </w:numPr>
              <w:spacing w:line="360" w:lineRule="auto"/>
              <w:rPr>
                <w:rFonts w:ascii="宋体" w:eastAsia="宋体" w:hAnsi="宋体" w:cs="宋体" w:hint="eastAsia"/>
                <w:szCs w:val="21"/>
              </w:rPr>
            </w:pPr>
            <w:r>
              <w:rPr>
                <w:rFonts w:ascii="宋体" w:eastAsia="宋体" w:hAnsi="宋体" w:cs="宋体" w:hint="eastAsia"/>
                <w:szCs w:val="21"/>
              </w:rPr>
              <w:t>数量≥4台。</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混切矩阵</w:t>
            </w:r>
          </w:p>
        </w:tc>
        <w:tc>
          <w:tcPr>
            <w:tcW w:w="3397" w:type="pct"/>
            <w:vAlign w:val="center"/>
          </w:tcPr>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全数字化切换；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输入不少于8路信号，输出不少于8路信号；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任意信号输入输出；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实时无缝切换；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输入信号分辨率自适应，输出分辨率可调；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支持模拟音频输入和输出；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支持对外接口控制，开放控制协议，方便第三方串口控制；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支持断电现场保护；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标准插卡式工业机箱；</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产品符合GB/T标准高低温、盐雾、振动、冲击等试验要求，并出具第三方检测报告。</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调音台</w:t>
            </w:r>
          </w:p>
        </w:tc>
        <w:tc>
          <w:tcPr>
            <w:tcW w:w="3397" w:type="pct"/>
            <w:vAlign w:val="center"/>
          </w:tcPr>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专业级8路3母线麦克风/线路区段；</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≥6个超低噪音麦克风/线路输入端，配有增益控制钮，-20</w:t>
            </w:r>
            <w:r>
              <w:rPr>
                <w:rFonts w:ascii="宋体" w:eastAsia="宋体" w:hAnsi="宋体" w:cs="宋体" w:hint="eastAsia"/>
                <w:szCs w:val="21"/>
              </w:rPr>
              <w:t>分贝衰减，电平/消波显示，+48伏幻像电源和母线设置开关；</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≥2个立体声输入端，配有单声/立体声开关；</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1路声道配有可设定不同阈值的功能，提供母线自动静音的功能，适合用喇叭作通告等；</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≥3个可自行设置的输出端(左、右和辅助)，配有主控制钮和电平表。</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无线话筒</w:t>
            </w:r>
          </w:p>
        </w:tc>
        <w:tc>
          <w:tcPr>
            <w:tcW w:w="3397" w:type="pct"/>
            <w:vAlign w:val="center"/>
          </w:tcPr>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频道组数：≥2频道；</w:t>
            </w:r>
          </w:p>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震荡模式：PLL相位锁定频率合成</w:t>
            </w:r>
          </w:p>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射频稳定度：±0.005%(10~50℃)</w:t>
            </w:r>
          </w:p>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载波频段：UHF：721.100MHz~860.100MHz。</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车内音响</w:t>
            </w:r>
          </w:p>
        </w:tc>
        <w:tc>
          <w:tcPr>
            <w:tcW w:w="3397" w:type="pct"/>
            <w:vAlign w:val="center"/>
          </w:tcPr>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声道：2.0；</w:t>
            </w:r>
          </w:p>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理论功率：8W；</w:t>
            </w:r>
          </w:p>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信噪比：≥92dB；</w:t>
            </w:r>
          </w:p>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频响范围：90HZ—20KHZ。</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80" w:name="_Toc32182"/>
      <w:r>
        <w:rPr>
          <w:rFonts w:ascii="宋体" w:eastAsia="宋体" w:hAnsi="宋体" w:cs="宋体" w:hint="eastAsia"/>
          <w:bCs/>
          <w:color w:val="000000"/>
          <w:szCs w:val="21"/>
        </w:rPr>
        <w:t>5.2.5.2人工影响天气决策支持数据接收处理分析平台</w:t>
      </w:r>
      <w:bookmarkEnd w:id="80"/>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（1）多源数据接收</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支持通过“天工”平台数据接口，以高速、稳定的数据传输链路实时接收自动观测设备、X 波段天气雷达、测云雷达等雷达数据、卫星数据、探空数据以及探空数据和特种设备监测数据、机载探测设备等多源数据，具备强大的数据接入能力，能够无缝接入观测方舱数据以及周边 400 公里范围内的常规观测资料和其他观测数据，实现多源数据采集。针对探空数据的时间和空间的密度不够问题，能够引入EC模式预报的温度分布，通过与探空数据对比修正，形成三维分布的温度场产品。</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（2）多源数据质控</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能够对采集到的海量、多源、异构数据进行深度质量控制,具备自动识别和处理异常数据、缺失数据的能力。平台能够依据相应的标准对接收数据的完整性和逻辑一致性进行合理性检查，显示检查结果，供操作员作进一步的判断，从而严格控制数据质量。地面气象要素值的质量控制以实时检查为主，平台能够实现气候学界限值检查、气候极值检查、数据内部</w:t>
      </w:r>
      <w:r>
        <w:rPr>
          <w:rFonts w:ascii="宋体" w:eastAsia="宋体" w:hAnsi="宋体" w:cs="宋体" w:hint="eastAsia"/>
          <w:bCs/>
          <w:color w:val="000000"/>
          <w:szCs w:val="21"/>
        </w:rPr>
        <w:t>一致性检查和数据时间一致性检查等数据检查方法。</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（3）多源数据融合</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平台内置多种数据解析处理方法，能够对引接的自动观测设备、X 波段天气雷达、测云雷达等雷达数据、卫星数据、探空数据以及探空数据和特种设备监测数据进行数据融合分析。</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1）云场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①云高、云厚产品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通过多源数据融合，能够形成云高、云厚变化叠加图，平台界面直观显示云高、云厚数据，支持做对比分析；当有多层云存在时，能够分开显示不同云层的云高、云厚数据。</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②云垂直结构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通过多源数据融合，能够形成云垂直结构产品。支持判定不同相态的云所处的高度;能够结合雷达反射率因子数据，观测不同降水阶段，不同云相态雷达回波的强弱，并分辨出主要的降水云系。</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③垂直积分液态水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通过多源数据融合，能够形成固定区域垂直积分液态水含量随时间的变化图，平台界面直观显示在一定时间内垂直积分液态水含量的空间分布图。</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2）粒子波谱①雷达反射率因子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反演出雷达反射率因子等数据，支持做时间变化对比分析。可叠加云高和零度层高度数据，观测其上/下区域物理特征的差异）；支持在固定时间的条件下，展示三维空间内雷达反射率因子的大小。</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②液态水含量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反演出液态水含量等数据，可叠加展示不同高度液态水含量时间变化图；能够从时间变化中发现不同高度层液态水含量的变化，识别降水可能的发展趋势；可叠加云高与零度层高度数据，观测云系上/下或零度层上/下液态水含量的差异；支持在固定时间的条件下，展示三维空间内液态水含量的分布。</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③垂直速度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反演出粒子垂直速度数据，支持做时间变化对比；可叠加云高与零度层高度数据，利用雷达探测零度层附近粒子是否存在强烈上升运动等，以及不同高度层粒子垂直运动状况；支持在固定时间的条件下，展示三维空间内垂直速度的分布。</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④滴谱图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通过多源数据融合，能够反演出雨滴谱图、粒子浓度-粒径变化图和粒子浓度-粒子速度变化图。能够利用地面雨滴谱仪观测的粒子浓度、粒子直径和粒子速度数据，反演出总数浓度分布图。</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⑤粒子物理量时间图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通过多源数据融合，能够形成粒子物理量时间图，平台界面直观展示粒子垂直速度-粒子浓度随时间变化和粒子直径-粒子浓度随时间的变化；支持叠加同时段雨强变化进行分析。</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⑥微雨雷达与雨滴谱仪融合数据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支持将地面雨滴谱仪和 0.1-3.1Km 微雨雷达的粒子浓度、粒子直径、粒子垂直速度和雨强数据进行高度上的融合，在平台界面上展示微雨雷达与雨滴谱仪融合数据。</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⑦粒子物理量汇总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能够汇总形成地面雨滴谱仪、微雨雷达（100m、200m、300m）观测的物理量随时间的变化图，在平台界面上进行直观展示。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3）廓线产品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通过多源数据融合，能够以廓线的形式展示不同高度的温度、相对湿度、水汽密度等，可动画播放。在平台界面上以廓线的形式展示不同高度的温度、相对湿度、水汽密度等。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4）降水场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①降水强度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通过多源数据融合，平台能计算出雨滴谱仪（地面）、微雨雷达（100/200/300m）的降水强度数据，能够进行对比分析，看二者反演的降水强度数据差异，以及降水强度的变化。</w:t>
      </w:r>
      <w:r>
        <w:rPr>
          <w:rFonts w:ascii="宋体" w:eastAsia="宋体" w:hAnsi="宋体" w:cs="宋体" w:hint="eastAsia"/>
          <w:bCs/>
          <w:color w:val="000000"/>
          <w:szCs w:val="21"/>
        </w:rPr>
        <w:t>支持叠加云底高度数据，展示从一定时间内的降水强度与高度的对应关系，可方便直观地观察出时间段内不同高度下降水强度的变化，以及主要降水与云高的关系。数据类型包括逐小时降水、3 小时降水、24 小时降水。可对比不同仪器观测同时段不同降水数据的差异。</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（4）作业决策支持</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基于数据处理分析结果，能够提供智能化作业决策支持。结合预设作业条件、气象阈值以及实时天气形势，能够智能生成人工影响天气作业方案，方案内容涵盖作业时间、作业地点、作业方式、弹药用量（催化剂量）等关键参数，并能够根据不同天气条件和作业目标进行动态优化调整。具备作业效果模拟功能，能够模拟作业实施后的天气变化情况，直观展示作业对降水、云层等气象要素的预计影响，为作业决策提供量化评估判据，助力优化作业决策，提高作业效果。</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（5）作业计划生成</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具备独立作业计划生成功能。能够依据实时气象数据、预设作业目标以及历史作业信息，通过内置的高性能算法和模型，智能制定作业计划，计划内容包括作业时间窗口、作业具体地点、弹药用量（催化剂量）精确计算以及作业实施方式等多个关键要素，并可根据实时天气变化进行动态调整和优化。具备灵活的作业计划组织能力，能够根据实际需求对局部地区开展作业进行有效安排和协调，并通知到具体执行人员。</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（6）无人机指挥</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平台具备独立的无人机指挥功能，实现对无人机的全程指挥与监控，主要包括以下功能：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1）综合显示器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基于 GIS 地图，自动播放叠加无人机飞行轨迹及播撒动画，如飞机飞行的历史个例数据，飞机飞行的页面特效，点击可切换至实时飞机。显示作业信息统计、作业次数、类型等，时间轴在控制飞机飞行位置时，能够将历史的载荷数据进行关联查询展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2）监测预警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①雷达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能够接入单站和组网雷达数据，将数据在页面进行展示，图层可显示隐藏。</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②卫星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能够接入卫星产品，包括但不限于云覆盖率（CFR）、云量（CLA）、云分类（CLC）、云检测（CLD）、云检测（CLM）、云相态（CLP）等卫星产品数据，用于观测辅助。</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③自动站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支持显示自动站 1 小时降水、温度、气压、湿度、风速、风 向展示，支持色斑图、等值线、站点值等方式渲染显示。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④实况格点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支持省级订正 SPCC 模式数据展示，点击任意点可弹窗显示其位置的温度、UV 风、湿度等要素数据展示，只显示历史和实时数据即可。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⑤预警信息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支持强对流、强回波识别并展示，短临、雷暴数据展示，通过图标动态展示危险区域。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⑥视频会商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通过创建线上房间的方式，指挥人员和飞手可以同时加入房间，可实现在线通话。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⑦数值模式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接入数值模式产品，点击数值模式，可将数值产品通过经纬度叠加至 GIS 地图。支持通过选择预报时效，查看未来产品多个时刻产品。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⑧空域区划图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页面叠加空域区划图图层，显示其图例。通过图层可控制该图层的显示影藏。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⑨预飞航线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当页面正在显示实时或者历史飞机作业轨迹时，支持预设轨迹新增导入；支持导入预飞航线的基础信息，通过后台数据匹配，实现在 GIS 页面上显示预飞航线。可对预飞航线进行删除和重新导入操作。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⑩飞机作业方案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支持生成飞机作业方案，支持生成飞机作业方案，可编辑和删除；可在 GIS 地图上进行航线轨迹绘制，航线绘制与警戒区是否存在相交则无法保存提交。航线绘制时，支持增加气象干旱指数、农业气象干旱指数等图片信息叠加展示进行参考绘制。支持增加禁飞区区域展示。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⑪历史飞行轨迹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点击历史数据，打开日历弹窗，弹窗显示到年-月-日，若该日存在飞行记录，则在日历框中叠加飞机图标。点击该日历弹窗，获取历史飞行轨迹信息，通过 GIS 地图叠加实时飞行轨迹，可动态显示该飞机在历史时间处于哪个位置。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⑫历史剖面动画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通过多轴图表展示历史剖面数据，可显示飞机高低、地面高程、雷达不同高度的 </w:t>
      </w:r>
      <w:r>
        <w:rPr>
          <w:rFonts w:ascii="宋体" w:eastAsia="宋体" w:hAnsi="宋体" w:cs="宋体" w:hint="eastAsia"/>
          <w:bCs/>
          <w:color w:val="000000"/>
          <w:szCs w:val="21"/>
        </w:rPr>
        <w:t>dBZ</w:t>
      </w:r>
      <w:r>
        <w:rPr>
          <w:rFonts w:ascii="宋体" w:eastAsia="宋体" w:hAnsi="宋体" w:cs="宋体" w:hint="eastAsia"/>
          <w:bCs/>
          <w:color w:val="000000"/>
          <w:szCs w:val="21"/>
        </w:rPr>
        <w:t xml:space="preserve"> 强度数据。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3）指挥监控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①地图服务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基于 GIS 地图展示飞机飞行轨迹、播撒路径和各类雷达、卫星产品、T-</w:t>
      </w:r>
      <w:r>
        <w:rPr>
          <w:rFonts w:ascii="宋体" w:eastAsia="宋体" w:hAnsi="宋体" w:cs="宋体" w:hint="eastAsia"/>
          <w:bCs/>
          <w:color w:val="000000"/>
          <w:szCs w:val="21"/>
        </w:rPr>
        <w:t>lnp</w:t>
      </w:r>
      <w:r>
        <w:rPr>
          <w:rFonts w:ascii="宋体" w:eastAsia="宋体" w:hAnsi="宋体" w:cs="宋体" w:hint="eastAsia"/>
          <w:bCs/>
          <w:color w:val="000000"/>
          <w:szCs w:val="21"/>
        </w:rPr>
        <w:t xml:space="preserve"> 图，同时可下发临时作业点位。GIS 地图上实时展示飞机的飞行轨迹，可查看作业飞机的预设航线，可在 GIS 地图上标记出危险区域、临时飞行点、作业催化潜力弹框（支持快捷下发）。GIS 地图上可查看雷达组合反射率、垂直积水液态水含量，卫星降水估测、大气水汽总量、云监测、云顶高度、云相态、云顶气压、云类型、云顶温度，可通过时间轴的选择控制展示历史产品数据。雷达风场使用光流算法对雷达数据进行风场反演，计算回波的光流场变化而得到运动矢量场；根据探空数据生成 T-</w:t>
      </w:r>
      <w:r>
        <w:rPr>
          <w:rFonts w:ascii="宋体" w:eastAsia="宋体" w:hAnsi="宋体" w:cs="宋体" w:hint="eastAsia"/>
          <w:bCs/>
          <w:color w:val="000000"/>
          <w:szCs w:val="21"/>
        </w:rPr>
        <w:t>lnp</w:t>
      </w:r>
      <w:r>
        <w:rPr>
          <w:rFonts w:ascii="宋体" w:eastAsia="宋体" w:hAnsi="宋体" w:cs="宋体" w:hint="eastAsia"/>
          <w:bCs/>
          <w:color w:val="000000"/>
          <w:szCs w:val="21"/>
        </w:rPr>
        <w:t xml:space="preserve"> 图，进行弹窗显示，可以时次和探空站进行选择，展示对应 T-</w:t>
      </w:r>
      <w:r>
        <w:rPr>
          <w:rFonts w:ascii="宋体" w:eastAsia="宋体" w:hAnsi="宋体" w:cs="宋体" w:hint="eastAsia"/>
          <w:bCs/>
          <w:color w:val="000000"/>
          <w:szCs w:val="21"/>
        </w:rPr>
        <w:t>lnp</w:t>
      </w:r>
      <w:r>
        <w:rPr>
          <w:rFonts w:ascii="宋体" w:eastAsia="宋体" w:hAnsi="宋体" w:cs="宋体" w:hint="eastAsia"/>
          <w:bCs/>
          <w:color w:val="000000"/>
          <w:szCs w:val="21"/>
        </w:rPr>
        <w:t xml:space="preserve"> 图数据。具备 GIS 地图辅助功能，包括测距，测面、图层展示等功能。支持地图放大缩小操作。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②作业信息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在界面上选择实时作业信息或历史作业信息进行查看。实时作业信息中，点击飞机作业</w:t>
      </w:r>
      <w:r>
        <w:rPr>
          <w:rFonts w:ascii="宋体" w:eastAsia="宋体" w:hAnsi="宋体" w:cs="宋体" w:hint="eastAsia"/>
          <w:bCs/>
          <w:color w:val="000000"/>
          <w:szCs w:val="21"/>
        </w:rPr>
        <w:t>弹出作业方案进行关联，选择对应的作业方案进行关联，绑定作业方案的基础信息至飞行数据，获取对应的探测数据以及气象数据进行页面渲染。</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历史作业信息中，选择历史信息后，通过时间轴动态控制飞机飞行时间，根据对应时间获取探测数据，气象数据以及宏观记录。支持控制历史飞行视频的播放进度。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③实时视频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有实时作业的飞机时，展示实时作业的飞机监控视频。无实时作业的飞机时展示历史作业最新一条作业监控视频。视频内容主要展示探测数据中的经度、纬度、海拔高度航速、航向、大气温度、探测温度、探测湿度、结冰状态等信息。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④数值模式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弹框展示数值模式预报产品，包括云宏观场、云微观场、垂直结构、降水场产品。通过预报数值模式图展示产品各要素的预报色斑图，在产品图片上实时叠加飞机经纬度信息、飞机编号，方便直观的掌握作业的最佳条件信息。</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其中，云宏观场要素包括垂直累计液态水、垂直累计过冷水、云顶温度、云顶高度；云微观场要素包括总水成物场+风场+湿度、云水比含量、雨水比含量、冰晶比含量、雪比含水量、霰比含水量、冰晶数浓度、雨滴数浓度、雪数浓度、霰数浓度，产品分不同层次展示；垂直结构要素包括 Qc、Ni、T 垂直剖面、</w:t>
      </w:r>
      <w:r>
        <w:rPr>
          <w:rFonts w:ascii="宋体" w:eastAsia="宋体" w:hAnsi="宋体" w:cs="宋体" w:hint="eastAsia"/>
          <w:bCs/>
          <w:color w:val="000000"/>
          <w:szCs w:val="21"/>
        </w:rPr>
        <w:t>Qs+Qg</w:t>
      </w:r>
      <w:r>
        <w:rPr>
          <w:rFonts w:ascii="宋体" w:eastAsia="宋体" w:hAnsi="宋体" w:cs="宋体" w:hint="eastAsia"/>
          <w:bCs/>
          <w:color w:val="000000"/>
          <w:szCs w:val="21"/>
        </w:rPr>
        <w:t>、</w:t>
      </w:r>
      <w:r>
        <w:rPr>
          <w:rFonts w:ascii="宋体" w:eastAsia="宋体" w:hAnsi="宋体" w:cs="宋体" w:hint="eastAsia"/>
          <w:bCs/>
          <w:color w:val="000000"/>
          <w:szCs w:val="21"/>
        </w:rPr>
        <w:t>Qr</w:t>
      </w:r>
      <w:r>
        <w:rPr>
          <w:rFonts w:ascii="宋体" w:eastAsia="宋体" w:hAnsi="宋体" w:cs="宋体" w:hint="eastAsia"/>
          <w:bCs/>
          <w:color w:val="000000"/>
          <w:szCs w:val="21"/>
        </w:rPr>
        <w:t xml:space="preserve"> 垂直剖面，产品分不同纬度展示；降水场要素包括逐小时降水、3 小时降水、6 小时降水、12 小时降水、24 小时降水。</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⑤DMT 探测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定时读取指定目录下的文件，获取返回的飞机机载探测数据，通过解析实时渲染显示飞机飞行时的探测数据。探测数据包括云粒子普仪、总水吊舱的探测数据，实时对探测的有效直径、含水量、数浓度等数据进行展示，数据图支持下载，同步刷新操作。</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⑥宏观记录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根据飞机飞行状态，在各阶段自动记录飞机飞行时的操作内容及操作时间。根据快捷指令生成记录表，记录完成后可以生成相关记录表，两分钟之内的指令点击算作一次作业记录。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⑦雷达剖面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对飞机飞行时的雷达、地形和飞行高度进行实时剖面叠加分析。展示飞机飞行时的雷达剖面图，结合飞机飞行高度、高程数据，飞机高度数据取值于飞机坐标数据，地面高度数据取值于高程文件，雷达数据取覆盖该区域的雷达数据。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⑧快捷指令当有实时飞机作业时，可对快捷下发飞机指令，可动态配置常用指令，通过在界面点击快捷指令来快速的下发操作指令指挥飞机测状态。当无实时作业飞机时，联动历史作业记录，选择历史作业后，展示此次作业的飞行记录。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⑨危险区标记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基于实时气象数据、视频图像，结合人工智能技术建立危险天气预测功能，用户可根据系统提示，查看在飞机航线中可能出现对飞机飞行有影响的区域，进行危险区标记并及时传递给飞机操作人员，及时调整飞机的飞行航线。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⑩临时作业点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根据作业潜力区预报信息，用户可通过设置临时作业点来实现飞机航线的实时在线订正。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（4）飞行个例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①飞行个例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表格记录并展示飞机作业个例信息，支持查询、新增、个例展示等操作。个例信息包括个例名称、开始时间、结束时间、创建人、创建时间，表格可按创建时间、个例名称关键字搜索查询，可通过填写个例名称、开始时间、结束时间等信息完成个例新增。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②个例展示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支持展示飞机作业时的飞行轨迹和飞行数据。在 GIS 地图上回放飞机作业时的飞行轨迹，如有多个飞机，可切换个例进行展示，可查看飞机飞行作业时的飞行参数、DMT 探测、雷达剖面，回放时可查看飞机作业时的雷达风场、雷达、卫星产品等，可通过时间轴控制回放的时间，实时展示飞行时的经度、纬度、海拔高度随时间的变化情况。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（5）综合管理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综合管理提供作业信息、作业方案、空域申请、作业快报、统计检验报告、作业统计等功能。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①作业信息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表格记录飞机的飞行作业信息，支可对作业信息查询查看，编辑、支持模板下载和导入。管理飞机作业的基本信息，可通过手动输入和导入两种方式对飞机作业的基本信息进行管理；支持根据作业时间、作业架次查询作业数据，并可直接将飞机作业信息上报省局和上报国家局。支持飞机作业信息的查询、新增、编辑、删除、导入、模板下载、上报省局、上报国家局、查看催化剂详情、下载飞机作业信息等功能。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②作业方案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通过手动在地图上进行飞行轨迹描点或者通过预设的飞行轨迹点进行选点，绘制出飞机作业预飞轨迹；可查看飞行轨迹图并根据数据导出 pdf 文档；具备飞机作业方案上报、上传、下载以及生成飞机作业方案等功能。支持查询、刷新、新增、编辑、删除、模板下载、导入等功能操作。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③空域申请对空域申请中的使用计划表和空域申请表进行管理，可对表进行详情查看。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④作业统计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表格记录展示各地区的作业信息统计，表格包括所在地区、执飞架次、作业次数、总里程和催化剂用量，催化剂用量分为碘化银烟条、碘化银焰弹、液氮、液态二氧化碳、干冰个其他催化剂，可查询统计出所有种类的催化剂用量总数。支持按开始时间、结束时间、飞机编号查询，表格信息支持导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⑤作业快报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支持快速生成作业快报，以列表形式进行展示，预设快报模板。支持展示文档列表和文档详情，作业快报可通过选择作业日期手动生成作业快报，文档列表可通过时间筛选查询，选择文档列表中的文档后，展示对应选择文档详情。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⑥统计检验报告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根据统计检验结果自动生成统计检验报告，可根据时间倒序查询已生成的评估报告。支持预览、重新生成、下载、修改、上传。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⑦作业统计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通过作业统计页面完成不同区域飞机作业的次数、催化剂用量数据；可通过查询条件（日期、飞机标号）查看指定条件的统计数据，支持对指定条件的查询数据进行导出操作。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⑧飞机管理</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飞机管理列表管理展示飞机信息，包括所属单位、飞机编号、飞机型号等信息，新增飞机时填写信息，完成后提交即可新增飞机，支持编辑和删除飞机。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⑨探测设备管理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对飞机携带的机载探头等设备进行管理，包括增加或删除机载探头的类型、探测要素等。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⑩催化潜力配置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分别配置冷暖云在各催化条件下的云滴浓度数、冰晶浓度数，催化条件分为无、低、中、良、优。配置在不同催化条件下单侧冷云烟条、单侧冷云焰弹、液氮档位、液氮播撒条件，配置完成后即可保存为飞机增减雨作业提供作业条件和催化剂用量提供依据。</w:t>
      </w:r>
    </w:p>
    <w:p w:rsidR="00800AF2">
      <w:pPr>
        <w:jc w:val="center"/>
        <w:rPr>
          <w:rFonts w:ascii="宋体" w:eastAsia="宋体" w:hAnsi="宋体" w:cs="宋体" w:hint="eastAsia"/>
          <w:szCs w:val="21"/>
        </w:rPr>
      </w:pP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39</w:t>
      </w:r>
      <w:r>
        <w:rPr>
          <w:rFonts w:ascii="宋体" w:eastAsia="宋体" w:hAnsi="宋体" w:cs="宋体" w:hint="eastAsia"/>
          <w:szCs w:val="21"/>
        </w:rPr>
        <w:fldChar w:fldCharType="end"/>
      </w:r>
      <w:r>
        <w:rPr>
          <w:rFonts w:ascii="宋体" w:eastAsia="宋体" w:hAnsi="宋体" w:cs="宋体" w:hint="eastAsia"/>
          <w:szCs w:val="21"/>
        </w:rPr>
        <w:t>人工影响天气决策支持数据接收处理分析平台功能要求</w:t>
      </w:r>
    </w:p>
    <w:tbl>
      <w:tblPr>
        <w:tblStyle w:val="TableNormal"/>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3"/>
        <w:gridCol w:w="5900"/>
        <w:gridCol w:w="865"/>
        <w:gridCol w:w="773"/>
      </w:tblGrid>
      <w:tr>
        <w:tblPrEx>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设备名称</w:t>
            </w:r>
          </w:p>
        </w:tc>
        <w:tc>
          <w:tcPr>
            <w:tcW w:w="3397" w:type="pct"/>
            <w:vAlign w:val="center"/>
          </w:tcPr>
          <w:p w:rsidR="00800AF2">
            <w:pPr>
              <w:widowControl/>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北斗传输设备</w:t>
            </w:r>
          </w:p>
        </w:tc>
        <w:tc>
          <w:tcPr>
            <w:tcW w:w="3397" w:type="pct"/>
            <w:vAlign w:val="center"/>
          </w:tcPr>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定位功能：具备支持单独使用北斗定位功能；</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定位精度：≤5m；测速精度：≤0.2m/s；</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首次定位时间：冷启动≤120秒，热启动≤10秒；</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接收频率：支持北斗 B1频段；</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捕获灵敏度：≤-133dBm；跟踪灵敏度：≤-147dBm；</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接收波束个数：北斗二号≥10个，北斗三号≥14个；</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发射频点：Lf1、Lf2；</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支持北斗三号系统，支持北斗三号区域短报文通信服务；</w:t>
            </w:r>
          </w:p>
          <w:p w:rsidR="00800AF2">
            <w:pPr>
              <w:widowControl/>
              <w:numPr>
                <w:ilvl w:val="0"/>
                <w:numId w:val="16"/>
              </w:numPr>
              <w:spacing w:line="360" w:lineRule="auto"/>
              <w:rPr>
                <w:rFonts w:ascii="宋体" w:eastAsia="宋体" w:hAnsi="宋体" w:cs="宋体" w:hint="eastAsia"/>
                <w:szCs w:val="21"/>
              </w:rPr>
            </w:pPr>
            <w:r>
              <w:rPr>
                <w:rFonts w:ascii="宋体" w:eastAsia="宋体" w:hAnsi="宋体" w:cs="宋体" w:hint="eastAsia"/>
                <w:szCs w:val="21"/>
              </w:rPr>
              <w:t>防护等级：≥IP67。</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5G路由器</w:t>
            </w:r>
          </w:p>
        </w:tc>
        <w:tc>
          <w:tcPr>
            <w:tcW w:w="3397" w:type="pct"/>
            <w:vAlign w:val="center"/>
          </w:tcPr>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网络制式：5G/SA&amp;NSA   4G/LTE  3G/UMTS；</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网络频段：5G NR  FDD: n1/28,TDD: n78/79/41</w:t>
            </w:r>
          </w:p>
          <w:p w:rsidR="00800AF2">
            <w:pPr>
              <w:widowControl/>
              <w:spacing w:line="360" w:lineRule="auto"/>
              <w:ind w:firstLine="210" w:firstLineChars="100"/>
              <w:rPr>
                <w:rFonts w:ascii="宋体" w:eastAsia="宋体" w:hAnsi="宋体" w:cs="宋体" w:hint="eastAsia"/>
                <w:szCs w:val="21"/>
              </w:rPr>
            </w:pPr>
            <w:r>
              <w:rPr>
                <w:rFonts w:ascii="宋体" w:eastAsia="宋体" w:hAnsi="宋体" w:cs="宋体" w:hint="eastAsia"/>
                <w:szCs w:val="21"/>
              </w:rPr>
              <w:t xml:space="preserve">           4G LTE  FDD: B1/3/5/8,TDD：B34/39/40/41</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            3G UMTS  W1/2/5/8</w:t>
            </w:r>
          </w:p>
          <w:p w:rsidR="00800AF2">
            <w:pPr>
              <w:widowControl/>
              <w:numPr>
                <w:ilvl w:val="0"/>
                <w:numId w:val="17"/>
              </w:numPr>
              <w:spacing w:line="360" w:lineRule="auto"/>
              <w:rPr>
                <w:rFonts w:ascii="宋体" w:eastAsia="宋体" w:hAnsi="宋体" w:cs="宋体" w:hint="eastAsia"/>
                <w:szCs w:val="21"/>
              </w:rPr>
            </w:pPr>
            <w:r>
              <w:rPr>
                <w:rFonts w:ascii="宋体" w:eastAsia="宋体" w:hAnsi="宋体" w:cs="宋体" w:hint="eastAsia"/>
                <w:szCs w:val="21"/>
              </w:rPr>
              <w:t>网口：两个千兆网口。</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硬盘录像机</w:t>
            </w:r>
          </w:p>
        </w:tc>
        <w:tc>
          <w:tcPr>
            <w:tcW w:w="3397" w:type="pct"/>
            <w:vAlign w:val="center"/>
          </w:tcPr>
          <w:p w:rsidR="00800AF2">
            <w:pPr>
              <w:widowControl/>
              <w:numPr>
                <w:ilvl w:val="0"/>
                <w:numId w:val="18"/>
              </w:numPr>
              <w:spacing w:line="360" w:lineRule="auto"/>
              <w:rPr>
                <w:rFonts w:ascii="宋体" w:eastAsia="宋体" w:hAnsi="宋体" w:cs="宋体" w:hint="eastAsia"/>
                <w:szCs w:val="21"/>
              </w:rPr>
            </w:pPr>
            <w:r>
              <w:rPr>
                <w:rFonts w:ascii="宋体" w:eastAsia="宋体" w:hAnsi="宋体" w:cs="宋体" w:hint="eastAsia"/>
                <w:szCs w:val="21"/>
              </w:rPr>
              <w:t xml:space="preserve">支持4路1080P视频输入； </w:t>
            </w:r>
          </w:p>
          <w:p w:rsidR="00800AF2">
            <w:pPr>
              <w:widowControl/>
              <w:numPr>
                <w:ilvl w:val="0"/>
                <w:numId w:val="18"/>
              </w:numPr>
              <w:spacing w:line="360" w:lineRule="auto"/>
              <w:rPr>
                <w:rFonts w:ascii="宋体" w:eastAsia="宋体" w:hAnsi="宋体" w:cs="宋体" w:hint="eastAsia"/>
                <w:szCs w:val="21"/>
              </w:rPr>
            </w:pPr>
            <w:r>
              <w:rPr>
                <w:rFonts w:ascii="宋体" w:eastAsia="宋体" w:hAnsi="宋体" w:cs="宋体" w:hint="eastAsia"/>
                <w:szCs w:val="21"/>
              </w:rPr>
              <w:t xml:space="preserve">存储容量≥4T； </w:t>
            </w:r>
          </w:p>
          <w:p w:rsidR="00800AF2">
            <w:pPr>
              <w:widowControl/>
              <w:numPr>
                <w:ilvl w:val="0"/>
                <w:numId w:val="18"/>
              </w:numPr>
              <w:spacing w:line="360" w:lineRule="auto"/>
              <w:rPr>
                <w:rFonts w:ascii="宋体" w:eastAsia="宋体" w:hAnsi="宋体" w:cs="宋体" w:hint="eastAsia"/>
                <w:szCs w:val="21"/>
              </w:rPr>
            </w:pPr>
            <w:r>
              <w:rPr>
                <w:rFonts w:ascii="宋体" w:eastAsia="宋体" w:hAnsi="宋体" w:cs="宋体" w:hint="eastAsia"/>
                <w:szCs w:val="21"/>
              </w:rPr>
              <w:t>支持H.265/H.264压缩模式。</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便携式卫星通信系统</w:t>
            </w:r>
          </w:p>
        </w:tc>
        <w:tc>
          <w:tcPr>
            <w:tcW w:w="3397" w:type="pct"/>
            <w:vAlign w:val="center"/>
          </w:tcPr>
          <w:p w:rsidR="00800AF2">
            <w:pPr>
              <w:widowControl/>
              <w:spacing w:line="360" w:lineRule="auto"/>
              <w:rPr>
                <w:rFonts w:ascii="宋体" w:eastAsia="宋体" w:hAnsi="宋体" w:cs="宋体" w:hint="eastAsia"/>
                <w:szCs w:val="21"/>
              </w:rPr>
            </w:pPr>
            <w:r>
              <w:rPr>
                <w:rFonts w:ascii="宋体" w:eastAsia="宋体" w:hAnsi="宋体" w:cs="宋体" w:hint="eastAsia"/>
                <w:szCs w:val="21"/>
              </w:rPr>
              <w:t>a)具备气象“专网”和“高通量互联网”双网模式；</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b)卫星在“高通量互联网”模式下实现上行速率≥4Mbps，下行速 率≥9Mbps； </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c)采用Ku波段卫星天线； </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d)配会议终端、会议摄像机、拾音系统和扬声器，用于卫星条件下现场音视频会商。</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e)定位方式：GPS 北斗双模+手动输入</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f)发射频率：13.75～14.50 GHz</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g)接收频率：10.70～12.75 GHz</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h)天线供电：内置230Wh锂电池、内置150Wh+外置可拆卸150Wh（外置选配）和无电池三种方案可选，上述各种方式均支持100～240VAC(47～63Hz)转 29.4V 充供电适配器供电</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i</w:t>
            </w:r>
            <w:r>
              <w:rPr>
                <w:rFonts w:ascii="宋体" w:eastAsia="宋体" w:hAnsi="宋体" w:cs="宋体" w:hint="eastAsia"/>
                <w:szCs w:val="21"/>
              </w:rPr>
              <w:t>)内置模块化网络频谱仪</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①频率范围：950MHz ～ 1750MHz</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②扫频宽度：1MHz ～ 50MHz </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 xml:space="preserve">③调谐步长：50Hz ～ 1MHz </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④输入信号范围：-80dBm ～ -25dBm</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⑤频率响应：±1.5dB</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⑥噪声电平：-135dBm</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⑦输入端口驻波比：&lt;2.0：1</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⑧控制：嵌入式Web控制方式，采用PC、PAD、手机可监看频谱状态</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⑨支持嵌入式Web控制方式，无需专用APP，支持手机和笔记本等无线终端控制能力。</w:t>
            </w:r>
          </w:p>
          <w:p w:rsidR="00800AF2">
            <w:pPr>
              <w:widowControl/>
              <w:numPr>
                <w:ilvl w:val="0"/>
                <w:numId w:val="19"/>
              </w:numPr>
              <w:spacing w:line="360" w:lineRule="auto"/>
              <w:rPr>
                <w:rFonts w:ascii="宋体" w:eastAsia="宋体" w:hAnsi="宋体" w:cs="宋体" w:hint="eastAsia"/>
                <w:szCs w:val="21"/>
              </w:rPr>
            </w:pPr>
            <w:r>
              <w:rPr>
                <w:rFonts w:ascii="宋体" w:eastAsia="宋体" w:hAnsi="宋体" w:cs="宋体" w:hint="eastAsia"/>
                <w:szCs w:val="21"/>
              </w:rPr>
              <w:t>产品符合GJB标准高低温、淋雨、湿热、盐雾、振动、冲击等试验要求，符合GB/T外壳防护等级IP66或以上要求，并出具第三方检测报告。</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混切矩阵</w:t>
            </w:r>
          </w:p>
        </w:tc>
        <w:tc>
          <w:tcPr>
            <w:tcW w:w="3397" w:type="pct"/>
            <w:vAlign w:val="center"/>
          </w:tcPr>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全数字化切换；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输入不少于8路信号，输出不少于8路信号；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任意信号输入输出；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实时无缝切换；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输入信号分辨率自适应，输出分辨率可调；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支持模拟音频输入和输出；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支持对外接口控制，开放控制协议，方便第三方串口控制；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 xml:space="preserve">支持断电现场保护； </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标准插卡式工业机箱；</w:t>
            </w:r>
          </w:p>
          <w:p w:rsidR="00800AF2">
            <w:pPr>
              <w:widowControl/>
              <w:numPr>
                <w:ilvl w:val="0"/>
                <w:numId w:val="20"/>
              </w:numPr>
              <w:spacing w:line="360" w:lineRule="auto"/>
              <w:rPr>
                <w:rFonts w:ascii="宋体" w:eastAsia="宋体" w:hAnsi="宋体" w:cs="宋体" w:hint="eastAsia"/>
                <w:szCs w:val="21"/>
              </w:rPr>
            </w:pPr>
            <w:r>
              <w:rPr>
                <w:rFonts w:ascii="宋体" w:eastAsia="宋体" w:hAnsi="宋体" w:cs="宋体" w:hint="eastAsia"/>
                <w:szCs w:val="21"/>
              </w:rPr>
              <w:t>产品符合GB/T标准高低温、盐雾、振动、冲击等试验要求，并出具第三方检测报告。</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调音台</w:t>
            </w:r>
          </w:p>
        </w:tc>
        <w:tc>
          <w:tcPr>
            <w:tcW w:w="3397" w:type="pct"/>
            <w:vAlign w:val="center"/>
          </w:tcPr>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专业级8路3母线麦克风/线路区段；</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≥6个超低噪音麦克风/线路输入端，配有增益控制钮，-20分贝衰减，电平/消波显示，+48伏幻像电源和母线设置开关；</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≥2个立体声输入端，配有单声/立体声开关；</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1路声道配有可设定不同阈值的功能，提供母线自动静音的功能，适合用喇叭作通告等；</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≥3个可自行设置的输出端(左、右和辅助)，配有主控制钮和电平表。</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点对点单呼。实现任意两点之间的点对点双向视频通话、语音通话及即时消息和短信等文本对话功能；</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群组通话。具备多方实时语音通话、主席模式广播及自由讨论功能；</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多级音视频呼叫。具备对权限内各级用户同时在线音视频呼</w:t>
            </w:r>
            <w:r>
              <w:rPr>
                <w:rFonts w:ascii="宋体" w:eastAsia="宋体" w:hAnsi="宋体" w:cs="宋体" w:hint="eastAsia"/>
                <w:szCs w:val="21"/>
              </w:rPr>
              <w:t>叫功能，建立任意“端到端”音视频连线呼叫，会议画面和会议语音保持实时同步传输。</w:t>
            </w:r>
          </w:p>
          <w:p w:rsidR="00800AF2">
            <w:pPr>
              <w:widowControl/>
              <w:numPr>
                <w:ilvl w:val="0"/>
                <w:numId w:val="21"/>
              </w:numPr>
              <w:spacing w:line="360" w:lineRule="auto"/>
              <w:rPr>
                <w:rFonts w:ascii="宋体" w:eastAsia="宋体" w:hAnsi="宋体" w:cs="宋体" w:hint="eastAsia"/>
                <w:szCs w:val="21"/>
              </w:rPr>
            </w:pPr>
            <w:r>
              <w:rPr>
                <w:rFonts w:ascii="宋体" w:eastAsia="宋体" w:hAnsi="宋体" w:cs="宋体" w:hint="eastAsia"/>
                <w:szCs w:val="21"/>
              </w:rPr>
              <w:t>多域跨网音视频连接数量要求：</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①省级</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视频呼叫连线数量：不低于 32；</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语音呼叫连线数量：不低于 64；</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②市级</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视频呼叫连线数量：不低于 16；</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语音呼叫连线数量：不低于 32；</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③县级</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视频呼叫连线数量：不低于 8；</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语音呼叫连线数量：不低于 16。</w:t>
            </w:r>
          </w:p>
          <w:p w:rsidR="00800AF2">
            <w:pPr>
              <w:widowControl/>
              <w:spacing w:line="360" w:lineRule="auto"/>
              <w:rPr>
                <w:rFonts w:ascii="宋体" w:eastAsia="宋体" w:hAnsi="宋体" w:cs="宋体" w:hint="eastAsia"/>
                <w:szCs w:val="21"/>
              </w:rPr>
            </w:pPr>
            <w:r>
              <w:rPr>
                <w:rFonts w:ascii="宋体" w:eastAsia="宋体" w:hAnsi="宋体" w:cs="宋体" w:hint="eastAsia"/>
                <w:szCs w:val="21"/>
              </w:rPr>
              <w:t>音视频通信：支持 H.323、SIP 协议。</w:t>
            </w:r>
          </w:p>
        </w:tc>
        <w:tc>
          <w:tcPr>
            <w:tcW w:w="498" w:type="pct"/>
            <w:vAlign w:val="center"/>
          </w:tcPr>
          <w:p w:rsidR="00800AF2">
            <w:pPr>
              <w:spacing w:line="360" w:lineRule="auto"/>
              <w:jc w:val="center"/>
              <w:rPr>
                <w:rFonts w:ascii="宋体" w:eastAsia="宋体" w:hAnsi="宋体" w:cs="宋体" w:hint="eastAsia"/>
                <w:szCs w:val="21"/>
              </w:rPr>
            </w:pPr>
          </w:p>
        </w:tc>
        <w:tc>
          <w:tcPr>
            <w:tcW w:w="445" w:type="pct"/>
            <w:vAlign w:val="center"/>
          </w:tcPr>
          <w:p w:rsidR="00800AF2">
            <w:pPr>
              <w:spacing w:line="360" w:lineRule="auto"/>
              <w:jc w:val="center"/>
              <w:rPr>
                <w:rFonts w:ascii="宋体" w:eastAsia="宋体" w:hAnsi="宋体" w:cs="宋体" w:hint="eastAsia"/>
                <w:szCs w:val="21"/>
              </w:rPr>
            </w:pP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无线话筒</w:t>
            </w:r>
          </w:p>
        </w:tc>
        <w:tc>
          <w:tcPr>
            <w:tcW w:w="3397" w:type="pct"/>
            <w:vAlign w:val="center"/>
          </w:tcPr>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频道组数：≥2频道；</w:t>
            </w:r>
          </w:p>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震荡模式：PLL相位锁定频率合成</w:t>
            </w:r>
          </w:p>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射频稳定度：±0.005%(10~50℃)</w:t>
            </w:r>
          </w:p>
          <w:p w:rsidR="00800AF2">
            <w:pPr>
              <w:widowControl/>
              <w:numPr>
                <w:ilvl w:val="0"/>
                <w:numId w:val="22"/>
              </w:numPr>
              <w:spacing w:line="360" w:lineRule="auto"/>
              <w:rPr>
                <w:rFonts w:ascii="宋体" w:eastAsia="宋体" w:hAnsi="宋体" w:cs="宋体" w:hint="eastAsia"/>
                <w:szCs w:val="21"/>
              </w:rPr>
            </w:pPr>
            <w:r>
              <w:rPr>
                <w:rFonts w:ascii="宋体" w:eastAsia="宋体" w:hAnsi="宋体" w:cs="宋体" w:hint="eastAsia"/>
                <w:szCs w:val="21"/>
              </w:rPr>
              <w:t>载波频段：UHF：721.100MHz~860.100MHz。</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舱内音响</w:t>
            </w:r>
          </w:p>
        </w:tc>
        <w:tc>
          <w:tcPr>
            <w:tcW w:w="3397" w:type="pct"/>
            <w:vAlign w:val="center"/>
          </w:tcPr>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声道：2.0；</w:t>
            </w:r>
          </w:p>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理论功率：8W；</w:t>
            </w:r>
          </w:p>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信噪比：≥92dB；</w:t>
            </w:r>
          </w:p>
          <w:p w:rsidR="00800AF2">
            <w:pPr>
              <w:widowControl/>
              <w:numPr>
                <w:ilvl w:val="0"/>
                <w:numId w:val="23"/>
              </w:numPr>
              <w:spacing w:line="360" w:lineRule="auto"/>
              <w:rPr>
                <w:rFonts w:ascii="宋体" w:eastAsia="宋体" w:hAnsi="宋体" w:cs="宋体" w:hint="eastAsia"/>
                <w:szCs w:val="21"/>
              </w:rPr>
            </w:pPr>
            <w:r>
              <w:rPr>
                <w:rFonts w:ascii="宋体" w:eastAsia="宋体" w:hAnsi="宋体" w:cs="宋体" w:hint="eastAsia"/>
                <w:szCs w:val="21"/>
              </w:rPr>
              <w:t>频响范围：90HZ—20KHZ。</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视讯终端</w:t>
            </w:r>
          </w:p>
        </w:tc>
        <w:tc>
          <w:tcPr>
            <w:tcW w:w="3397" w:type="pct"/>
            <w:vAlign w:val="center"/>
          </w:tcPr>
          <w:p w:rsidR="00800AF2">
            <w:pPr>
              <w:widowControl/>
              <w:numPr>
                <w:ilvl w:val="0"/>
                <w:numId w:val="24"/>
              </w:numPr>
              <w:spacing w:line="360" w:lineRule="auto"/>
              <w:rPr>
                <w:rFonts w:ascii="宋体" w:eastAsia="宋体" w:hAnsi="宋体" w:cs="宋体" w:hint="eastAsia"/>
                <w:szCs w:val="21"/>
              </w:rPr>
            </w:pPr>
            <w:r>
              <w:rPr>
                <w:rFonts w:ascii="宋体" w:eastAsia="宋体" w:hAnsi="宋体" w:cs="宋体" w:hint="eastAsia"/>
                <w:szCs w:val="21"/>
              </w:rPr>
              <w:t>具备对本地和远程各类信号源的音视频信号采集编码功能，本地采集时音频编码采用 PCM 格式，视频效果需要满足无损画质；远程采集时音频编码采用 PCM 格式，视频效果接受有损画质，视频信号采集根据场景采用RTSP（必须）、</w:t>
            </w:r>
            <w:r>
              <w:rPr>
                <w:rFonts w:ascii="宋体" w:eastAsia="宋体" w:hAnsi="宋体" w:cs="宋体" w:hint="eastAsia"/>
                <w:szCs w:val="21"/>
              </w:rPr>
              <w:t>WebRtc</w:t>
            </w:r>
            <w:r>
              <w:rPr>
                <w:rFonts w:ascii="宋体" w:eastAsia="宋体" w:hAnsi="宋体" w:cs="宋体" w:hint="eastAsia"/>
                <w:szCs w:val="21"/>
              </w:rPr>
              <w:t>、RTMP 格式的一项或多项，视频会议采集支持 H.323、SIP 通信标准；</w:t>
            </w:r>
          </w:p>
          <w:p w:rsidR="00800AF2">
            <w:pPr>
              <w:widowControl/>
              <w:numPr>
                <w:ilvl w:val="0"/>
                <w:numId w:val="24"/>
              </w:numPr>
              <w:spacing w:line="360" w:lineRule="auto"/>
              <w:rPr>
                <w:rFonts w:ascii="宋体" w:eastAsia="宋体" w:hAnsi="宋体" w:cs="宋体" w:hint="eastAsia"/>
                <w:szCs w:val="21"/>
              </w:rPr>
            </w:pPr>
            <w:r>
              <w:rPr>
                <w:rFonts w:ascii="宋体" w:eastAsia="宋体" w:hAnsi="宋体" w:cs="宋体" w:hint="eastAsia"/>
                <w:szCs w:val="21"/>
              </w:rPr>
              <w:t>支持 H.264、H.264HP、H.265 等视频协议；</w:t>
            </w:r>
          </w:p>
          <w:p w:rsidR="00800AF2">
            <w:pPr>
              <w:widowControl/>
              <w:numPr>
                <w:ilvl w:val="0"/>
                <w:numId w:val="24"/>
              </w:numPr>
              <w:spacing w:line="360" w:lineRule="auto"/>
              <w:rPr>
                <w:rFonts w:ascii="宋体" w:eastAsia="宋体" w:hAnsi="宋体" w:cs="宋体" w:hint="eastAsia"/>
                <w:szCs w:val="21"/>
              </w:rPr>
            </w:pPr>
            <w:r>
              <w:rPr>
                <w:rFonts w:ascii="宋体" w:eastAsia="宋体" w:hAnsi="宋体" w:cs="宋体" w:hint="eastAsia"/>
                <w:szCs w:val="21"/>
              </w:rPr>
              <w:t>支持 G.711、G.722、Opus 等音频协议；</w:t>
            </w:r>
          </w:p>
          <w:p w:rsidR="00800AF2">
            <w:pPr>
              <w:widowControl/>
              <w:numPr>
                <w:ilvl w:val="0"/>
                <w:numId w:val="24"/>
              </w:numPr>
              <w:spacing w:line="360" w:lineRule="auto"/>
              <w:rPr>
                <w:rFonts w:ascii="宋体" w:eastAsia="宋体" w:hAnsi="宋体" w:cs="宋体" w:hint="eastAsia"/>
                <w:szCs w:val="21"/>
              </w:rPr>
            </w:pPr>
            <w:r>
              <w:rPr>
                <w:rFonts w:ascii="宋体" w:eastAsia="宋体" w:hAnsi="宋体" w:cs="宋体" w:hint="eastAsia"/>
                <w:szCs w:val="21"/>
              </w:rPr>
              <w:t>支持 IPv4 和 IPv6 协议；</w:t>
            </w:r>
          </w:p>
          <w:p w:rsidR="00800AF2">
            <w:pPr>
              <w:widowControl/>
              <w:numPr>
                <w:ilvl w:val="0"/>
                <w:numId w:val="24"/>
              </w:numPr>
              <w:spacing w:line="360" w:lineRule="auto"/>
              <w:rPr>
                <w:rFonts w:ascii="宋体" w:eastAsia="宋体" w:hAnsi="宋体" w:cs="宋体" w:hint="eastAsia"/>
                <w:szCs w:val="21"/>
              </w:rPr>
            </w:pPr>
            <w:r>
              <w:rPr>
                <w:rFonts w:ascii="宋体" w:eastAsia="宋体" w:hAnsi="宋体" w:cs="宋体" w:hint="eastAsia"/>
                <w:szCs w:val="21"/>
              </w:rPr>
              <w:t>具有较好的网络适应性，满足在互联网、4G/5G、卫星网络环境下接入进行指挥调度时仍能够有较好音视频效果；</w:t>
            </w:r>
          </w:p>
          <w:p w:rsidR="00800AF2">
            <w:pPr>
              <w:widowControl/>
              <w:numPr>
                <w:ilvl w:val="0"/>
                <w:numId w:val="24"/>
              </w:numPr>
              <w:spacing w:line="360" w:lineRule="auto"/>
              <w:rPr>
                <w:rFonts w:ascii="宋体" w:eastAsia="宋体" w:hAnsi="宋体" w:cs="宋体" w:hint="eastAsia"/>
                <w:szCs w:val="21"/>
              </w:rPr>
            </w:pPr>
            <w:r>
              <w:rPr>
                <w:rFonts w:ascii="宋体" w:eastAsia="宋体" w:hAnsi="宋体" w:cs="宋体" w:hint="eastAsia"/>
                <w:szCs w:val="21"/>
              </w:rPr>
              <w:t>支持气象宽带网、电子政务网、互联网、卫星网络、自组网等多种网络音视频资源采集，并具备安全隔离功能，确保不同网络的视频信号源接入时依然保持各网络间的安全隔离状态。</w:t>
            </w:r>
          </w:p>
          <w:p w:rsidR="00800AF2">
            <w:pPr>
              <w:widowControl/>
              <w:numPr>
                <w:ilvl w:val="0"/>
                <w:numId w:val="24"/>
              </w:numPr>
              <w:spacing w:line="360" w:lineRule="auto"/>
              <w:rPr>
                <w:rFonts w:ascii="宋体" w:eastAsia="宋体" w:hAnsi="宋体" w:cs="宋体" w:hint="eastAsia"/>
                <w:szCs w:val="21"/>
              </w:rPr>
            </w:pPr>
            <w:r>
              <w:rPr>
                <w:rFonts w:ascii="宋体" w:eastAsia="宋体" w:hAnsi="宋体" w:cs="宋体" w:hint="eastAsia"/>
                <w:szCs w:val="21"/>
              </w:rPr>
              <w:t>配套软件：1.安装于电脑、平板、手机实现与各级指挥中心的双向互通。2.支持麒麟、统信、鸿蒙、Windows、安卓等系统，支持Web 浏览器或客户端实现双向沟通交流。3.支持 4K/2K/1080P/720P 高清视频效果。4.具备对本地和远程各类信号源的音视频信号采集编码功能，采集时音频编码采用 PCM 格式，视频效果接受有损画质，视频流采集根据场景采用 RTSP（必须）、</w:t>
            </w:r>
            <w:r>
              <w:rPr>
                <w:rFonts w:ascii="宋体" w:eastAsia="宋体" w:hAnsi="宋体" w:cs="宋体" w:hint="eastAsia"/>
                <w:szCs w:val="21"/>
              </w:rPr>
              <w:t>WebRtc</w:t>
            </w:r>
            <w:r>
              <w:rPr>
                <w:rFonts w:ascii="宋体" w:eastAsia="宋体" w:hAnsi="宋体" w:cs="宋体" w:hint="eastAsia"/>
                <w:szCs w:val="21"/>
              </w:rPr>
              <w:t>、RTMP 协议的一项或多项，视频会议采集支持 H.323、SIP通信标准。5.支持 H.264、H.264HP、H.265 等视频协议；6.支持 G.711、G.722、Opus 等音频协议；7.支持 IPv4 和 IPv6 协议；8.具有较好的网络适应性，满足在互联网、4G/5G、卫星网络环境下接入进行指挥调度时仍能够有较好音视频效果。</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图形工作站</w:t>
            </w:r>
          </w:p>
        </w:tc>
        <w:tc>
          <w:tcPr>
            <w:tcW w:w="3397" w:type="pct"/>
            <w:vAlign w:val="center"/>
          </w:tcPr>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(主机2U/2S,2*GE+2*10GE[无模块],无</w:t>
            </w:r>
            <w:r>
              <w:rPr>
                <w:rFonts w:ascii="宋体" w:eastAsia="宋体" w:hAnsi="宋体" w:cs="宋体" w:hint="eastAsia"/>
                <w:szCs w:val="21"/>
              </w:rPr>
              <w:t>DVD,iBMC</w:t>
            </w:r>
            <w:r>
              <w:rPr>
                <w:rFonts w:ascii="宋体" w:eastAsia="宋体" w:hAnsi="宋体" w:cs="宋体" w:hint="eastAsia"/>
                <w:szCs w:val="21"/>
              </w:rPr>
              <w:t>管理模块</w:t>
            </w:r>
            <w:r>
              <w:rPr>
                <w:rFonts w:ascii="宋体" w:eastAsia="宋体" w:hAnsi="宋体" w:cs="宋体" w:hint="eastAsia"/>
                <w:szCs w:val="21"/>
              </w:rPr>
              <w:t>Zx</w:t>
            </w:r>
            <w:r>
              <w:rPr>
                <w:rFonts w:ascii="宋体" w:eastAsia="宋体" w:hAnsi="宋体" w:cs="宋体" w:hint="eastAsia"/>
                <w:szCs w:val="21"/>
              </w:rPr>
              <w:t>,滑轨)*1</w:t>
            </w:r>
          </w:p>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(2.5GHz/27.5M/160W 处理器)*1</w:t>
            </w:r>
          </w:p>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(散热片)*1</w:t>
            </w:r>
          </w:p>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(内存-DDR4-32G)*1</w:t>
            </w:r>
          </w:p>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(硬盘-600G 10K SAS)*1</w:t>
            </w:r>
          </w:p>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(RAID卡 SR130 RAID0,1,10)*1</w:t>
            </w:r>
          </w:p>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(650W 交流电源)*1</w:t>
            </w:r>
          </w:p>
          <w:p w:rsidR="00800AF2">
            <w:pPr>
              <w:widowControl/>
              <w:numPr>
                <w:ilvl w:val="0"/>
                <w:numId w:val="25"/>
              </w:numPr>
              <w:spacing w:line="360" w:lineRule="auto"/>
              <w:rPr>
                <w:rFonts w:ascii="宋体" w:eastAsia="宋体" w:hAnsi="宋体" w:cs="宋体" w:hint="eastAsia"/>
                <w:szCs w:val="21"/>
              </w:rPr>
            </w:pPr>
            <w:r>
              <w:rPr>
                <w:rFonts w:ascii="宋体" w:eastAsia="宋体" w:hAnsi="宋体" w:cs="宋体" w:hint="eastAsia"/>
                <w:szCs w:val="21"/>
              </w:rPr>
              <w:t>含银河麒麟V10 SP3</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机架式服务器</w:t>
            </w:r>
          </w:p>
        </w:tc>
        <w:tc>
          <w:tcPr>
            <w:tcW w:w="3397" w:type="pct"/>
            <w:vAlign w:val="center"/>
          </w:tcPr>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(主机  2U/2S,2*GE+2*10GE[无模块],无</w:t>
            </w:r>
            <w:r>
              <w:rPr>
                <w:rFonts w:ascii="宋体" w:eastAsia="宋体" w:hAnsi="宋体" w:cs="宋体" w:hint="eastAsia"/>
                <w:szCs w:val="21"/>
              </w:rPr>
              <w:t>DVD,iBMC</w:t>
            </w:r>
            <w:r>
              <w:rPr>
                <w:rFonts w:ascii="宋体" w:eastAsia="宋体" w:hAnsi="宋体" w:cs="宋体" w:hint="eastAsia"/>
                <w:szCs w:val="21"/>
              </w:rPr>
              <w:t>管理模块</w:t>
            </w:r>
            <w:r>
              <w:rPr>
                <w:rFonts w:ascii="宋体" w:eastAsia="宋体" w:hAnsi="宋体" w:cs="宋体" w:hint="eastAsia"/>
                <w:szCs w:val="21"/>
              </w:rPr>
              <w:t>Zx</w:t>
            </w:r>
            <w:r>
              <w:rPr>
                <w:rFonts w:ascii="宋体" w:eastAsia="宋体" w:hAnsi="宋体" w:cs="宋体" w:hint="eastAsia"/>
                <w:szCs w:val="21"/>
              </w:rPr>
              <w:t>,滑轨)*1</w:t>
            </w:r>
          </w:p>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(2.5GHz//27.5M/160W 处理器)*1</w:t>
            </w:r>
          </w:p>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(散热片)*1</w:t>
            </w:r>
          </w:p>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(内存-DDR4-32G)*1</w:t>
            </w:r>
          </w:p>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(硬盘-600G 10K SAS)*1</w:t>
            </w:r>
          </w:p>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(RAID卡 SR130 RAID0,1,10)*1</w:t>
            </w:r>
          </w:p>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(550W 交流电源)*1</w:t>
            </w:r>
          </w:p>
          <w:p w:rsidR="00800AF2">
            <w:pPr>
              <w:widowControl/>
              <w:numPr>
                <w:ilvl w:val="0"/>
                <w:numId w:val="26"/>
              </w:numPr>
              <w:spacing w:line="360" w:lineRule="auto"/>
              <w:rPr>
                <w:rFonts w:ascii="宋体" w:eastAsia="宋体" w:hAnsi="宋体" w:cs="宋体" w:hint="eastAsia"/>
                <w:szCs w:val="21"/>
              </w:rPr>
            </w:pPr>
            <w:r>
              <w:rPr>
                <w:rFonts w:ascii="宋体" w:eastAsia="宋体" w:hAnsi="宋体" w:cs="宋体" w:hint="eastAsia"/>
                <w:szCs w:val="21"/>
              </w:rPr>
              <w:t>含银河麒麟V10 SP3</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2</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磁盘阵列</w:t>
            </w:r>
          </w:p>
        </w:tc>
        <w:tc>
          <w:tcPr>
            <w:tcW w:w="3397" w:type="pct"/>
            <w:vAlign w:val="center"/>
          </w:tcPr>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主机柜： 2U 12个3.5英寸驱动器盘柜</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控制器处理器：高性能双核(每控)</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标配主机端口：4x10GbiSCSl(每控制器两个</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缓存：16GB(每控8GB)</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RAID级别：RAID0、1、3、5、6、10、动态磁盘池</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动态磁盘池：标配</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SSD读缓存：标配</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快照：标配支持128个快照卷(多可支持512个)</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卷拷贝：标配</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自动精简配置：标配</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异步镜像：标配不带</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同步镜像：不支持</w:t>
            </w:r>
          </w:p>
          <w:p w:rsidR="00800AF2">
            <w:pPr>
              <w:widowControl/>
              <w:numPr>
                <w:ilvl w:val="0"/>
                <w:numId w:val="27"/>
              </w:numPr>
              <w:spacing w:line="360" w:lineRule="auto"/>
              <w:rPr>
                <w:rFonts w:ascii="宋体" w:eastAsia="宋体" w:hAnsi="宋体" w:cs="宋体" w:hint="eastAsia"/>
                <w:szCs w:val="21"/>
              </w:rPr>
            </w:pPr>
            <w:r>
              <w:rPr>
                <w:rFonts w:ascii="宋体" w:eastAsia="宋体" w:hAnsi="宋体" w:cs="宋体" w:hint="eastAsia"/>
                <w:szCs w:val="21"/>
              </w:rPr>
              <w:t>电源：两个冗余热插拔913W(100-240V)AC电源</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2</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KVM一体机</w:t>
            </w:r>
          </w:p>
        </w:tc>
        <w:tc>
          <w:tcPr>
            <w:tcW w:w="3397" w:type="pct"/>
            <w:vAlign w:val="center"/>
          </w:tcPr>
          <w:p w:rsidR="00800AF2">
            <w:pPr>
              <w:widowControl/>
              <w:spacing w:line="360" w:lineRule="auto"/>
              <w:rPr>
                <w:rFonts w:ascii="宋体" w:eastAsia="宋体" w:hAnsi="宋体" w:cs="宋体" w:hint="eastAsia"/>
                <w:szCs w:val="21"/>
              </w:rPr>
            </w:pPr>
            <w:r>
              <w:rPr>
                <w:rFonts w:ascii="宋体" w:eastAsia="宋体" w:hAnsi="宋体" w:cs="宋体" w:hint="eastAsia"/>
                <w:szCs w:val="21"/>
              </w:rPr>
              <w:t>四合一，1U ，8端口，分辨率1280*1024，标配8条1.8米线。</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KVM切换器</w:t>
            </w:r>
          </w:p>
        </w:tc>
        <w:tc>
          <w:tcPr>
            <w:tcW w:w="3397" w:type="pct"/>
            <w:vAlign w:val="center"/>
          </w:tcPr>
          <w:p w:rsidR="00800AF2">
            <w:pPr>
              <w:widowControl/>
              <w:spacing w:line="360" w:lineRule="auto"/>
              <w:rPr>
                <w:rFonts w:ascii="宋体" w:eastAsia="宋体" w:hAnsi="宋体" w:cs="宋体" w:hint="eastAsia"/>
                <w:szCs w:val="21"/>
              </w:rPr>
            </w:pPr>
            <w:r>
              <w:rPr>
                <w:rFonts w:ascii="宋体" w:eastAsia="宋体" w:hAnsi="宋体" w:cs="宋体" w:hint="eastAsia"/>
                <w:szCs w:val="21"/>
              </w:rPr>
              <w:t>1U，8端口，分辨率2048*1536，遥控切换，标配8条1.8米线。</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千兆交换机（含光模块）</w:t>
            </w:r>
          </w:p>
        </w:tc>
        <w:tc>
          <w:tcPr>
            <w:tcW w:w="3397" w:type="pct"/>
            <w:vAlign w:val="center"/>
          </w:tcPr>
          <w:p w:rsidR="00800AF2">
            <w:pPr>
              <w:widowControl/>
              <w:numPr>
                <w:ilvl w:val="0"/>
                <w:numId w:val="28"/>
              </w:numPr>
              <w:spacing w:line="360" w:lineRule="auto"/>
              <w:rPr>
                <w:rFonts w:ascii="宋体" w:eastAsia="宋体" w:hAnsi="宋体" w:cs="宋体" w:hint="eastAsia"/>
                <w:szCs w:val="21"/>
              </w:rPr>
            </w:pPr>
            <w:r>
              <w:rPr>
                <w:rFonts w:ascii="宋体" w:eastAsia="宋体" w:hAnsi="宋体" w:cs="宋体" w:hint="eastAsia"/>
                <w:szCs w:val="21"/>
              </w:rPr>
              <w:t>支持不少于24个10/100/1000Base-TX以太网端口，4个千兆SFP；</w:t>
            </w:r>
          </w:p>
          <w:p w:rsidR="00800AF2">
            <w:pPr>
              <w:widowControl/>
              <w:numPr>
                <w:ilvl w:val="0"/>
                <w:numId w:val="28"/>
              </w:numPr>
              <w:spacing w:line="360" w:lineRule="auto"/>
              <w:rPr>
                <w:rFonts w:ascii="宋体" w:eastAsia="宋体" w:hAnsi="宋体" w:cs="宋体" w:hint="eastAsia"/>
                <w:szCs w:val="21"/>
              </w:rPr>
            </w:pPr>
            <w:r>
              <w:rPr>
                <w:rFonts w:ascii="宋体" w:eastAsia="宋体" w:hAnsi="宋体" w:cs="宋体" w:hint="eastAsia"/>
                <w:szCs w:val="21"/>
              </w:rPr>
              <w:t>IP路由：支持IPv4和IPv6的三层路由功能。</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防火墙（含路由器）</w:t>
            </w:r>
          </w:p>
        </w:tc>
        <w:tc>
          <w:tcPr>
            <w:tcW w:w="3397" w:type="pct"/>
            <w:vAlign w:val="center"/>
          </w:tcPr>
          <w:p w:rsidR="00800AF2">
            <w:pPr>
              <w:widowControl/>
              <w:numPr>
                <w:ilvl w:val="0"/>
                <w:numId w:val="29"/>
              </w:numPr>
              <w:spacing w:line="360" w:lineRule="auto"/>
              <w:rPr>
                <w:rFonts w:ascii="宋体" w:eastAsia="宋体" w:hAnsi="宋体" w:cs="宋体" w:hint="eastAsia"/>
                <w:szCs w:val="21"/>
              </w:rPr>
            </w:pPr>
            <w:r>
              <w:rPr>
                <w:rFonts w:ascii="宋体" w:eastAsia="宋体" w:hAnsi="宋体" w:cs="宋体" w:hint="eastAsia"/>
                <w:szCs w:val="21"/>
              </w:rPr>
              <w:t>(8*GE COMBO + 4*GE RJ45 + 4*GE SFP + 6*10GE SFP+，1交流电源)；</w:t>
            </w:r>
          </w:p>
          <w:p w:rsidR="00800AF2">
            <w:pPr>
              <w:widowControl/>
              <w:numPr>
                <w:ilvl w:val="0"/>
                <w:numId w:val="29"/>
              </w:numPr>
              <w:spacing w:line="360" w:lineRule="auto"/>
              <w:rPr>
                <w:rFonts w:ascii="宋体" w:eastAsia="宋体" w:hAnsi="宋体" w:cs="宋体" w:hint="eastAsia"/>
                <w:szCs w:val="21"/>
              </w:rPr>
            </w:pPr>
            <w:r>
              <w:rPr>
                <w:rFonts w:ascii="宋体" w:eastAsia="宋体" w:hAnsi="宋体" w:cs="宋体" w:hint="eastAsia"/>
                <w:szCs w:val="21"/>
              </w:rPr>
              <w:t>内置 AI 防护引擎 + DPI 深度检测，支持应用识别（≥</w:t>
            </w:r>
            <w:r>
              <w:rPr>
                <w:rFonts w:ascii="宋体" w:eastAsia="宋体" w:hAnsi="宋体" w:cs="宋体" w:hint="eastAsia"/>
                <w:szCs w:val="21"/>
              </w:rPr>
              <w:t>10000 种）、IPS 特征库（≥30 万条）、零日攻击防御，开启全威胁功能后仍保持高吞吐量；</w:t>
            </w:r>
          </w:p>
          <w:p w:rsidR="00800AF2">
            <w:pPr>
              <w:widowControl/>
              <w:numPr>
                <w:ilvl w:val="0"/>
                <w:numId w:val="29"/>
              </w:numPr>
              <w:spacing w:line="360" w:lineRule="auto"/>
              <w:rPr>
                <w:rFonts w:ascii="宋体" w:eastAsia="宋体" w:hAnsi="宋体" w:cs="宋体" w:hint="eastAsia"/>
                <w:szCs w:val="21"/>
              </w:rPr>
            </w:pPr>
            <w:r>
              <w:rPr>
                <w:rFonts w:ascii="宋体" w:eastAsia="宋体" w:hAnsi="宋体" w:cs="宋体" w:hint="eastAsia"/>
                <w:szCs w:val="21"/>
              </w:rPr>
              <w:t>硬件转发芯片（ASIC/NP）为主，CPU 辅助处理，确保大包 / 小包均线速，时延低至微秒级；</w:t>
            </w:r>
          </w:p>
          <w:p w:rsidR="00800AF2">
            <w:pPr>
              <w:widowControl/>
              <w:numPr>
                <w:ilvl w:val="0"/>
                <w:numId w:val="29"/>
              </w:numPr>
              <w:spacing w:line="360" w:lineRule="auto"/>
              <w:rPr>
                <w:rFonts w:ascii="宋体" w:eastAsia="宋体" w:hAnsi="宋体" w:cs="宋体" w:hint="eastAsia"/>
                <w:szCs w:val="21"/>
              </w:rPr>
            </w:pPr>
            <w:r>
              <w:rPr>
                <w:rFonts w:ascii="宋体" w:eastAsia="宋体" w:hAnsi="宋体" w:cs="宋体" w:hint="eastAsia"/>
                <w:szCs w:val="21"/>
              </w:rPr>
              <w:t>采用服务器级处理器/多核网络专用CPU</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应急和备份便携式工作站</w:t>
            </w:r>
          </w:p>
        </w:tc>
        <w:tc>
          <w:tcPr>
            <w:tcW w:w="3397" w:type="pct"/>
            <w:vAlign w:val="center"/>
          </w:tcPr>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内核数：≥16</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总线程数：≥22</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处理器基础频率：≥1.60GHz</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最大睿频频率：≥4.20GHz</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屏幕约16英寸，搭载FHD+分辨率（1920×1200）</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内存≥32GB，可扩展至96GB</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固态硬盘≥4TB</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包含网络、HDMI等基础配置</w:t>
            </w:r>
          </w:p>
          <w:p w:rsidR="00800AF2">
            <w:pPr>
              <w:widowControl/>
              <w:numPr>
                <w:ilvl w:val="0"/>
                <w:numId w:val="30"/>
              </w:numPr>
              <w:spacing w:line="360" w:lineRule="auto"/>
              <w:rPr>
                <w:rFonts w:ascii="宋体" w:eastAsia="宋体" w:hAnsi="宋体" w:cs="宋体" w:hint="eastAsia"/>
                <w:szCs w:val="21"/>
              </w:rPr>
            </w:pPr>
            <w:r>
              <w:rPr>
                <w:rFonts w:ascii="宋体" w:eastAsia="宋体" w:hAnsi="宋体" w:cs="宋体" w:hint="eastAsia"/>
                <w:szCs w:val="21"/>
              </w:rPr>
              <w:t>安装和备份方舱所有软件系统</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2</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81" w:name="_Toc15257"/>
      <w:r>
        <w:rPr>
          <w:rFonts w:ascii="宋体" w:eastAsia="宋体" w:hAnsi="宋体" w:cs="宋体" w:hint="eastAsia"/>
          <w:bCs/>
          <w:color w:val="000000"/>
          <w:szCs w:val="21"/>
        </w:rPr>
        <w:t>5.2.5.3气象信息处理和显控席位</w:t>
      </w:r>
      <w:bookmarkEnd w:id="81"/>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40</w:t>
      </w:r>
      <w:r>
        <w:rPr>
          <w:rFonts w:ascii="宋体" w:eastAsia="宋体" w:hAnsi="宋体" w:cs="宋体" w:hint="eastAsia"/>
          <w:szCs w:val="21"/>
        </w:rPr>
        <w:fldChar w:fldCharType="end"/>
      </w:r>
      <w:r>
        <w:rPr>
          <w:rFonts w:ascii="宋体" w:eastAsia="宋体" w:hAnsi="宋体" w:cs="宋体" w:hint="eastAsia"/>
          <w:szCs w:val="21"/>
        </w:rPr>
        <w:t>气象信息处理和显控席位</w:t>
      </w:r>
    </w:p>
    <w:tbl>
      <w:tblPr>
        <w:tblStyle w:val="TableNormal"/>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3"/>
        <w:gridCol w:w="5900"/>
        <w:gridCol w:w="865"/>
        <w:gridCol w:w="773"/>
      </w:tblGrid>
      <w:tr>
        <w:tblPrEx>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设备名称</w:t>
            </w:r>
          </w:p>
        </w:tc>
        <w:tc>
          <w:tcPr>
            <w:tcW w:w="3397" w:type="pct"/>
            <w:vAlign w:val="center"/>
          </w:tcPr>
          <w:p w:rsidR="00800AF2">
            <w:pPr>
              <w:widowControl/>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3" w:type="pct"/>
          <w:tblLook w:val="04A0"/>
        </w:tblPrEx>
        <w:trPr>
          <w:trHeight w:val="280"/>
        </w:trPr>
        <w:tc>
          <w:tcPr>
            <w:tcW w:w="659"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气象信息处理和显控席位</w:t>
            </w:r>
          </w:p>
        </w:tc>
        <w:tc>
          <w:tcPr>
            <w:tcW w:w="3397" w:type="pct"/>
            <w:vAlign w:val="center"/>
          </w:tcPr>
          <w:p w:rsidR="00800AF2">
            <w:pPr>
              <w:widowControl/>
              <w:numPr>
                <w:ilvl w:val="0"/>
                <w:numId w:val="31"/>
              </w:numPr>
              <w:spacing w:line="360" w:lineRule="auto"/>
              <w:rPr>
                <w:rFonts w:ascii="宋体" w:eastAsia="宋体" w:hAnsi="宋体" w:cs="宋体" w:hint="eastAsia"/>
                <w:szCs w:val="21"/>
              </w:rPr>
            </w:pPr>
            <w:r>
              <w:rPr>
                <w:rFonts w:ascii="宋体" w:eastAsia="宋体" w:hAnsi="宋体" w:cs="宋体" w:hint="eastAsia"/>
                <w:szCs w:val="21"/>
              </w:rPr>
              <w:t>无人机探测数据处理及显控席位：</w:t>
            </w:r>
          </w:p>
          <w:p w:rsidR="00800AF2">
            <w:pPr>
              <w:widowControl/>
              <w:spacing w:line="360" w:lineRule="auto"/>
              <w:ind w:firstLine="420" w:firstLineChars="200"/>
              <w:rPr>
                <w:rFonts w:ascii="宋体" w:eastAsia="宋体" w:hAnsi="宋体" w:cs="宋体" w:hint="eastAsia"/>
                <w:szCs w:val="21"/>
              </w:rPr>
            </w:pPr>
            <w:r>
              <w:rPr>
                <w:rFonts w:ascii="宋体" w:eastAsia="宋体" w:hAnsi="宋体" w:cs="宋体" w:hint="eastAsia"/>
                <w:szCs w:val="21"/>
              </w:rPr>
              <w:t>无人机飞行轨迹数据处理及显控席位实现对无人机飞行轨迹数据和气象参数(温度、湿度、气压等)的实时采集、处理存储和可视化显示，并搭载无人机指挥系统，可对无人机作业进行实时操控指挥。系统将支持实时数据显示和历史数据回放等功能，满足无人机探测任务的需求。</w:t>
            </w:r>
          </w:p>
          <w:p w:rsidR="00800AF2">
            <w:pPr>
              <w:widowControl/>
              <w:spacing w:line="360" w:lineRule="auto"/>
              <w:ind w:firstLine="420" w:firstLineChars="200"/>
              <w:rPr>
                <w:rFonts w:ascii="宋体" w:eastAsia="宋体" w:hAnsi="宋体" w:cs="宋体" w:hint="eastAsia"/>
                <w:szCs w:val="21"/>
              </w:rPr>
            </w:pPr>
            <w:r>
              <w:rPr>
                <w:rFonts w:ascii="宋体" w:eastAsia="宋体" w:hAnsi="宋体" w:cs="宋体" w:hint="eastAsia"/>
                <w:szCs w:val="21"/>
              </w:rPr>
              <w:t>数据采集模块负责从无人机传感器实时接收数据。数据包括经纬度、高度、速度信息、温度、湿度和气压数据。数据通过通信传输到地面站。数据存储模块将处理后的数据存储到数据库或文件中。支持数据存储和历史数据回放的需求。</w:t>
            </w:r>
          </w:p>
          <w:p w:rsidR="00800AF2">
            <w:pPr>
              <w:widowControl/>
              <w:spacing w:line="360" w:lineRule="auto"/>
              <w:ind w:firstLine="420" w:firstLineChars="200"/>
              <w:rPr>
                <w:rFonts w:ascii="宋体" w:eastAsia="宋体" w:hAnsi="宋体" w:cs="宋体" w:hint="eastAsia"/>
                <w:szCs w:val="21"/>
              </w:rPr>
            </w:pPr>
            <w:r>
              <w:rPr>
                <w:rFonts w:ascii="宋体" w:eastAsia="宋体" w:hAnsi="宋体" w:cs="宋体" w:hint="eastAsia"/>
                <w:szCs w:val="21"/>
              </w:rPr>
              <w:t>显控席位包括图形工作站和显示器，用于显示无人机飞行轨迹以及温度、湿度、气压等气象参数数据。</w:t>
            </w:r>
          </w:p>
          <w:p w:rsidR="00800AF2">
            <w:pPr>
              <w:widowControl/>
              <w:numPr>
                <w:ilvl w:val="0"/>
                <w:numId w:val="31"/>
              </w:numPr>
              <w:spacing w:line="360" w:lineRule="auto"/>
              <w:rPr>
                <w:rFonts w:ascii="宋体" w:eastAsia="宋体" w:hAnsi="宋体" w:cs="宋体" w:hint="eastAsia"/>
                <w:szCs w:val="21"/>
              </w:rPr>
            </w:pPr>
            <w:r>
              <w:rPr>
                <w:rFonts w:ascii="宋体" w:eastAsia="宋体" w:hAnsi="宋体" w:cs="宋体" w:hint="eastAsia"/>
                <w:szCs w:val="21"/>
              </w:rPr>
              <w:t>自动观测设备信息处理及显控席位:</w:t>
            </w:r>
          </w:p>
          <w:p w:rsidR="00800AF2">
            <w:pPr>
              <w:widowControl/>
              <w:spacing w:line="360" w:lineRule="auto"/>
              <w:ind w:firstLine="420" w:firstLineChars="200"/>
              <w:rPr>
                <w:rFonts w:ascii="宋体" w:eastAsia="宋体" w:hAnsi="宋体" w:cs="宋体" w:hint="eastAsia"/>
                <w:szCs w:val="21"/>
              </w:rPr>
            </w:pPr>
            <w:r>
              <w:rPr>
                <w:rFonts w:ascii="宋体" w:eastAsia="宋体" w:hAnsi="宋体" w:cs="宋体" w:hint="eastAsia"/>
                <w:szCs w:val="21"/>
              </w:rPr>
              <w:t>收集并处理自动观测资料，包括温度、湿度、气压、风向、风速、降水气象要素数据。使用图形化的形式展示实时数据，支持动态更新，确保数据实时性，提供时间范围选择功能，支持查询历史数据。</w:t>
            </w:r>
          </w:p>
          <w:p w:rsidR="00800AF2">
            <w:pPr>
              <w:widowControl/>
              <w:numPr>
                <w:ilvl w:val="0"/>
                <w:numId w:val="31"/>
              </w:numPr>
              <w:spacing w:line="360" w:lineRule="auto"/>
              <w:rPr>
                <w:rFonts w:ascii="宋体" w:eastAsia="宋体" w:hAnsi="宋体" w:cs="宋体" w:hint="eastAsia"/>
                <w:szCs w:val="21"/>
              </w:rPr>
            </w:pPr>
            <w:r>
              <w:rPr>
                <w:rFonts w:ascii="宋体" w:eastAsia="宋体" w:hAnsi="宋体" w:cs="宋体" w:hint="eastAsia"/>
                <w:szCs w:val="21"/>
              </w:rPr>
              <w:t>雷达信息处理及显控席位:</w:t>
            </w:r>
          </w:p>
          <w:p w:rsidR="00800AF2">
            <w:pPr>
              <w:widowControl/>
              <w:spacing w:line="360" w:lineRule="auto"/>
              <w:ind w:firstLine="420" w:firstLineChars="200"/>
              <w:rPr>
                <w:rFonts w:ascii="宋体" w:eastAsia="宋体" w:hAnsi="宋体" w:cs="宋体" w:hint="eastAsia"/>
                <w:szCs w:val="21"/>
              </w:rPr>
            </w:pPr>
            <w:r>
              <w:rPr>
                <w:rFonts w:ascii="宋体" w:eastAsia="宋体" w:hAnsi="宋体" w:cs="宋体" w:hint="eastAsia"/>
                <w:szCs w:val="21"/>
              </w:rPr>
              <w:t>显控终端通过网络实现与雷达主机和其他设备之间的通讯连接和信息交互，显控终端实现对雷达数据的可视化展示，并实现对雷达资料进行标准化处理和初级质量控制，生成标准化数据。通过人工干预发送雷达天线控制（PPI、体扫等）、发射控制、标定控制、接收控制、信号处理控制、雷达参数设置等。将采集到的回波数据实时显示到屏幕，支持多屏显示。</w:t>
            </w:r>
          </w:p>
          <w:p w:rsidR="00800AF2">
            <w:pPr>
              <w:widowControl/>
              <w:numPr>
                <w:ilvl w:val="0"/>
                <w:numId w:val="31"/>
              </w:numPr>
              <w:spacing w:line="360" w:lineRule="auto"/>
              <w:rPr>
                <w:rFonts w:ascii="宋体" w:eastAsia="宋体" w:hAnsi="宋体" w:cs="宋体" w:hint="eastAsia"/>
                <w:szCs w:val="21"/>
              </w:rPr>
            </w:pPr>
            <w:r>
              <w:rPr>
                <w:rFonts w:ascii="宋体" w:eastAsia="宋体" w:hAnsi="宋体" w:cs="宋体" w:hint="eastAsia"/>
                <w:szCs w:val="21"/>
              </w:rPr>
              <w:t>集成要求:</w:t>
            </w:r>
          </w:p>
          <w:p w:rsidR="00800AF2">
            <w:pPr>
              <w:widowControl/>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所有显控席位应通过KVM切换系统和视频矩阵进行集成，且任意操作席位可通过切换、访问和控制权限内的任一业务主机或服务器。</w:t>
            </w:r>
          </w:p>
          <w:p w:rsidR="00800AF2">
            <w:pPr>
              <w:widowControl/>
              <w:spacing w:line="360" w:lineRule="auto"/>
              <w:ind w:left="420" w:leftChars="200"/>
              <w:rPr>
                <w:rFonts w:ascii="宋体" w:eastAsia="宋体" w:hAnsi="宋体" w:cs="宋体" w:hint="eastAsia"/>
                <w:szCs w:val="21"/>
              </w:rPr>
            </w:pPr>
            <w:r>
              <w:rPr>
                <w:rFonts w:ascii="宋体" w:eastAsia="宋体" w:hAnsi="宋体" w:cs="宋体" w:hint="eastAsia"/>
                <w:szCs w:val="21"/>
              </w:rPr>
              <w:t>（2）所有显控席位应采用双人、双主机冗余设计，可分别由两人负责操作，在一台主机或席位发生故障时，另一席位可接管操作，确保数据信息处理及无人机飞行安全。</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82" w:name="_Toc30488"/>
      <w:r>
        <w:rPr>
          <w:rFonts w:ascii="宋体" w:eastAsia="宋体" w:hAnsi="宋体" w:cs="宋体" w:hint="eastAsia"/>
          <w:bCs/>
          <w:color w:val="000000"/>
          <w:szCs w:val="21"/>
        </w:rPr>
        <w:t>5.2.5.4载车平台</w:t>
      </w:r>
      <w:bookmarkEnd w:id="82"/>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在二类底盘基础进行改装，保持原整车性能的前提下，实施合理的布局、配重、防震、防尘、降噪与恒温改造。</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41</w:t>
      </w:r>
      <w:r>
        <w:rPr>
          <w:rFonts w:ascii="宋体" w:eastAsia="宋体" w:hAnsi="宋体" w:cs="宋体" w:hint="eastAsia"/>
          <w:szCs w:val="21"/>
        </w:rPr>
        <w:fldChar w:fldCharType="end"/>
      </w:r>
      <w:r>
        <w:rPr>
          <w:rFonts w:ascii="宋体" w:eastAsia="宋体" w:hAnsi="宋体" w:cs="宋体" w:hint="eastAsia"/>
          <w:bCs/>
          <w:color w:val="000000"/>
          <w:szCs w:val="21"/>
        </w:rPr>
        <w:t>载车平台技术指标</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tblPr>
      <w:tblGrid>
        <w:gridCol w:w="2069"/>
        <w:gridCol w:w="1894"/>
        <w:gridCol w:w="1934"/>
        <w:gridCol w:w="24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tblPrEx>
        <w:trPr>
          <w:trHeight w:val="113"/>
        </w:trPr>
        <w:tc>
          <w:tcPr>
            <w:tcW w:w="1234"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发动机功率：</w:t>
            </w:r>
          </w:p>
        </w:tc>
        <w:tc>
          <w:tcPr>
            <w:tcW w:w="1129"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≥350kw</w:t>
            </w:r>
          </w:p>
        </w:tc>
        <w:tc>
          <w:tcPr>
            <w:tcW w:w="1153"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尺寸：</w:t>
            </w:r>
          </w:p>
        </w:tc>
        <w:tc>
          <w:tcPr>
            <w:tcW w:w="1482"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车辆尺寸需满足公路运输方舱要求，且能牢固固定运输探测模组方舱、指挥模组方舱、作业模组方舱、作业保障模组方舱，带有锁止装置</w:t>
            </w:r>
          </w:p>
        </w:tc>
      </w:tr>
      <w:tr>
        <w:tblPrEx>
          <w:tblW w:w="5000" w:type="pct"/>
          <w:tblCellMar>
            <w:left w:w="40" w:type="dxa"/>
            <w:right w:w="40" w:type="dxa"/>
          </w:tblCellMar>
          <w:tblLook w:val="04A0"/>
        </w:tblPrEx>
        <w:trPr>
          <w:trHeight w:val="113"/>
        </w:trPr>
        <w:tc>
          <w:tcPr>
            <w:tcW w:w="1234"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有效载荷：</w:t>
            </w:r>
          </w:p>
        </w:tc>
        <w:tc>
          <w:tcPr>
            <w:tcW w:w="1129"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≥10000kg</w:t>
            </w:r>
          </w:p>
        </w:tc>
        <w:tc>
          <w:tcPr>
            <w:tcW w:w="1153"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公路续驶里程(km)</w:t>
            </w:r>
          </w:p>
        </w:tc>
        <w:tc>
          <w:tcPr>
            <w:tcW w:w="1482"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≥600km</w:t>
            </w:r>
          </w:p>
        </w:tc>
      </w:tr>
      <w:tr>
        <w:tblPrEx>
          <w:tblW w:w="5000" w:type="pct"/>
          <w:tblCellMar>
            <w:left w:w="40" w:type="dxa"/>
            <w:right w:w="40" w:type="dxa"/>
          </w:tblCellMar>
          <w:tblLook w:val="04A0"/>
        </w:tblPrEx>
        <w:trPr>
          <w:trHeight w:val="113"/>
        </w:trPr>
        <w:tc>
          <w:tcPr>
            <w:tcW w:w="1234"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最高车速：</w:t>
            </w:r>
          </w:p>
        </w:tc>
        <w:tc>
          <w:tcPr>
            <w:tcW w:w="1129"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≥95km/h</w:t>
            </w:r>
          </w:p>
        </w:tc>
        <w:tc>
          <w:tcPr>
            <w:tcW w:w="1153"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最小转弯半径：</w:t>
            </w:r>
          </w:p>
        </w:tc>
        <w:tc>
          <w:tcPr>
            <w:tcW w:w="1482"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≤9m</w:t>
            </w:r>
          </w:p>
        </w:tc>
      </w:tr>
      <w:tr>
        <w:tblPrEx>
          <w:tblW w:w="5000" w:type="pct"/>
          <w:tblCellMar>
            <w:left w:w="40" w:type="dxa"/>
            <w:right w:w="40" w:type="dxa"/>
          </w:tblCellMar>
          <w:tblLook w:val="04A0"/>
        </w:tblPrEx>
        <w:trPr>
          <w:trHeight w:val="113"/>
        </w:trPr>
        <w:tc>
          <w:tcPr>
            <w:tcW w:w="1234"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最小离地间隙：</w:t>
            </w:r>
          </w:p>
        </w:tc>
        <w:tc>
          <w:tcPr>
            <w:tcW w:w="1129"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≥300 mm</w:t>
            </w:r>
          </w:p>
        </w:tc>
        <w:tc>
          <w:tcPr>
            <w:tcW w:w="1153"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装载时大梁高度：</w:t>
            </w:r>
          </w:p>
        </w:tc>
        <w:tc>
          <w:tcPr>
            <w:tcW w:w="1482"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≥1350 mm</w:t>
            </w:r>
          </w:p>
        </w:tc>
      </w:tr>
      <w:tr>
        <w:tblPrEx>
          <w:tblW w:w="5000" w:type="pct"/>
          <w:tblCellMar>
            <w:left w:w="40" w:type="dxa"/>
            <w:right w:w="40" w:type="dxa"/>
          </w:tblCellMar>
          <w:tblLook w:val="04A0"/>
        </w:tblPrEx>
        <w:trPr>
          <w:trHeight w:val="113"/>
        </w:trPr>
        <w:tc>
          <w:tcPr>
            <w:tcW w:w="1234"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底盘接近角：</w:t>
            </w:r>
          </w:p>
        </w:tc>
        <w:tc>
          <w:tcPr>
            <w:tcW w:w="1129"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19°</w:t>
            </w:r>
          </w:p>
        </w:tc>
        <w:tc>
          <w:tcPr>
            <w:tcW w:w="1153"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底盘离去角：</w:t>
            </w:r>
          </w:p>
        </w:tc>
        <w:tc>
          <w:tcPr>
            <w:tcW w:w="1482"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14°</w:t>
            </w:r>
          </w:p>
        </w:tc>
      </w:tr>
      <w:tr>
        <w:tblPrEx>
          <w:tblW w:w="5000" w:type="pct"/>
          <w:tblCellMar>
            <w:left w:w="40" w:type="dxa"/>
            <w:right w:w="40" w:type="dxa"/>
          </w:tblCellMar>
          <w:tblLook w:val="04A0"/>
        </w:tblPrEx>
        <w:trPr>
          <w:trHeight w:val="113"/>
        </w:trPr>
        <w:tc>
          <w:tcPr>
            <w:tcW w:w="1234"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最大爬坡度(%)：</w:t>
            </w:r>
          </w:p>
        </w:tc>
        <w:tc>
          <w:tcPr>
            <w:tcW w:w="1129" w:type="pct"/>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60</w:t>
            </w:r>
          </w:p>
        </w:tc>
        <w:tc>
          <w:tcPr>
            <w:tcW w:w="1153" w:type="pct"/>
          </w:tcPr>
          <w:p w:rsidR="00800AF2">
            <w:pPr>
              <w:adjustRightInd w:val="0"/>
              <w:snapToGrid w:val="0"/>
              <w:rPr>
                <w:rFonts w:ascii="宋体" w:eastAsia="宋体" w:hAnsi="宋体" w:cs="宋体" w:hint="eastAsia"/>
                <w:snapToGrid w:val="0"/>
                <w:kern w:val="0"/>
                <w:szCs w:val="21"/>
              </w:rPr>
            </w:pPr>
          </w:p>
        </w:tc>
        <w:tc>
          <w:tcPr>
            <w:tcW w:w="1482" w:type="pct"/>
          </w:tcPr>
          <w:p w:rsidR="00800AF2">
            <w:pPr>
              <w:adjustRightInd w:val="0"/>
              <w:snapToGrid w:val="0"/>
              <w:rPr>
                <w:rFonts w:ascii="宋体" w:eastAsia="宋体" w:hAnsi="宋体" w:cs="宋体" w:hint="eastAsia"/>
                <w:snapToGrid w:val="0"/>
                <w:kern w:val="0"/>
                <w:szCs w:val="21"/>
              </w:rPr>
            </w:pPr>
          </w:p>
        </w:tc>
      </w:tr>
      <w:tr>
        <w:tblPrEx>
          <w:tblW w:w="5000" w:type="pct"/>
          <w:tblCellMar>
            <w:left w:w="40" w:type="dxa"/>
            <w:right w:w="40" w:type="dxa"/>
          </w:tblCellMar>
          <w:tblLook w:val="04A0"/>
        </w:tblPrEx>
        <w:trPr>
          <w:trHeight w:val="113"/>
        </w:trPr>
        <w:tc>
          <w:tcPr>
            <w:tcW w:w="5000" w:type="pct"/>
            <w:gridSpan w:val="4"/>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后桥选用气囊悬挂，防止方舱运输中颠簸。</w:t>
            </w:r>
          </w:p>
        </w:tc>
      </w:tr>
      <w:tr>
        <w:tblPrEx>
          <w:tblW w:w="5000" w:type="pct"/>
          <w:tblCellMar>
            <w:left w:w="40" w:type="dxa"/>
            <w:right w:w="40" w:type="dxa"/>
          </w:tblCellMar>
          <w:tblLook w:val="04A0"/>
        </w:tblPrEx>
        <w:trPr>
          <w:trHeight w:val="113"/>
        </w:trPr>
        <w:tc>
          <w:tcPr>
            <w:tcW w:w="5000" w:type="pct"/>
            <w:gridSpan w:val="4"/>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配有360°影像倒车影像及行车记录仪。</w:t>
            </w:r>
          </w:p>
        </w:tc>
      </w:tr>
      <w:tr>
        <w:tblPrEx>
          <w:tblW w:w="5000" w:type="pct"/>
          <w:tblCellMar>
            <w:left w:w="40" w:type="dxa"/>
            <w:right w:w="40" w:type="dxa"/>
          </w:tblCellMar>
          <w:tblLook w:val="04A0"/>
        </w:tblPrEx>
        <w:trPr>
          <w:trHeight w:val="113"/>
        </w:trPr>
        <w:tc>
          <w:tcPr>
            <w:tcW w:w="5000" w:type="pct"/>
            <w:gridSpan w:val="4"/>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车辆配有刹车降温设施（液力缓速器/喷淋装置）</w:t>
            </w:r>
          </w:p>
        </w:tc>
      </w:tr>
      <w:tr>
        <w:tblPrEx>
          <w:tblW w:w="5000" w:type="pct"/>
          <w:tblCellMar>
            <w:left w:w="40" w:type="dxa"/>
            <w:right w:w="40" w:type="dxa"/>
          </w:tblCellMar>
          <w:tblLook w:val="04A0"/>
        </w:tblPrEx>
        <w:trPr>
          <w:trHeight w:val="113"/>
        </w:trPr>
        <w:tc>
          <w:tcPr>
            <w:tcW w:w="5000" w:type="pct"/>
            <w:gridSpan w:val="4"/>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配有原厂随车工具、108件套五金工具箱、电动工具箱。</w:t>
            </w:r>
          </w:p>
        </w:tc>
      </w:tr>
      <w:tr>
        <w:tblPrEx>
          <w:tblW w:w="5000" w:type="pct"/>
          <w:tblCellMar>
            <w:left w:w="40" w:type="dxa"/>
            <w:right w:w="40" w:type="dxa"/>
          </w:tblCellMar>
          <w:tblLook w:val="04A0"/>
        </w:tblPrEx>
        <w:trPr>
          <w:trHeight w:val="113"/>
        </w:trPr>
        <w:tc>
          <w:tcPr>
            <w:tcW w:w="5000" w:type="pct"/>
            <w:gridSpan w:val="4"/>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载车驾驶舱全包围遮光窗帘。</w:t>
            </w:r>
          </w:p>
        </w:tc>
      </w:tr>
      <w:tr>
        <w:tblPrEx>
          <w:tblW w:w="5000" w:type="pct"/>
          <w:tblCellMar>
            <w:left w:w="40" w:type="dxa"/>
            <w:right w:w="40" w:type="dxa"/>
          </w:tblCellMar>
          <w:tblLook w:val="04A0"/>
        </w:tblPrEx>
        <w:trPr>
          <w:trHeight w:val="113"/>
        </w:trPr>
        <w:tc>
          <w:tcPr>
            <w:tcW w:w="5000" w:type="pct"/>
            <w:gridSpan w:val="4"/>
          </w:tcPr>
          <w:p w:rsidR="00800AF2">
            <w:pPr>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改装车辆部分应该符合《道路车辆外廓尺寸、轴荷及质量限值》GB1589-2004；《汽车外廓尺寸限界》 (GB1589-1989)。</w:t>
            </w:r>
          </w:p>
        </w:tc>
      </w:tr>
    </w:tbl>
    <w:p w:rsidR="00800AF2">
      <w:pPr>
        <w:spacing w:line="560" w:lineRule="exact"/>
        <w:ind w:firstLine="420" w:firstLineChars="200"/>
        <w:jc w:val="left"/>
        <w:outlineLvl w:val="2"/>
        <w:rPr>
          <w:rFonts w:ascii="宋体" w:eastAsia="宋体" w:hAnsi="宋体" w:cs="宋体" w:hint="eastAsia"/>
          <w:bCs/>
          <w:color w:val="000000"/>
          <w:szCs w:val="21"/>
        </w:rPr>
      </w:pPr>
      <w:bookmarkStart w:id="83" w:name="_Toc27410"/>
      <w:r>
        <w:rPr>
          <w:rFonts w:ascii="宋体" w:eastAsia="宋体" w:hAnsi="宋体" w:cs="宋体" w:hint="eastAsia"/>
          <w:bCs/>
          <w:color w:val="000000"/>
          <w:szCs w:val="21"/>
        </w:rPr>
        <w:t>5.2.6设备配置</w:t>
      </w:r>
      <w:bookmarkEnd w:id="83"/>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42</w:t>
      </w:r>
      <w:r>
        <w:rPr>
          <w:rFonts w:ascii="宋体" w:eastAsia="宋体" w:hAnsi="宋体" w:cs="宋体" w:hint="eastAsia"/>
          <w:szCs w:val="21"/>
        </w:rPr>
        <w:fldChar w:fldCharType="end"/>
      </w:r>
      <w:r>
        <w:rPr>
          <w:rFonts w:ascii="宋体" w:eastAsia="宋体" w:hAnsi="宋体" w:cs="宋体" w:hint="eastAsia"/>
          <w:bCs/>
          <w:color w:val="000000"/>
          <w:szCs w:val="21"/>
        </w:rPr>
        <w:t>指挥模组设备配置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1474"/>
        <w:gridCol w:w="5062"/>
        <w:gridCol w:w="624"/>
        <w:gridCol w:w="6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名称</w:t>
            </w:r>
          </w:p>
        </w:tc>
        <w:tc>
          <w:tcPr>
            <w:tcW w:w="296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技术规格参数</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单位</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数量</w:t>
            </w:r>
          </w:p>
        </w:tc>
      </w:tr>
      <w:tr>
        <w:tblPrEx>
          <w:tblW w:w="5000" w:type="pct"/>
          <w:tblLook w:val="04A0"/>
        </w:tblPrEx>
        <w:trPr>
          <w:trHeight w:val="3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二</w:t>
            </w:r>
          </w:p>
        </w:tc>
        <w:tc>
          <w:tcPr>
            <w:tcW w:w="4568" w:type="pct"/>
            <w:gridSpan w:val="4"/>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指挥模组分系统</w:t>
            </w:r>
          </w:p>
        </w:tc>
      </w:tr>
      <w:tr>
        <w:tblPrEx>
          <w:tblW w:w="5000" w:type="pct"/>
          <w:tblLook w:val="04A0"/>
        </w:tblPrEx>
        <w:trPr>
          <w:trHeight w:val="983"/>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任务舱方舱</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任务舱包括设备舱、工作舱、空调系统、供电系统、录像设备、便携式大气参数探测设备存储舱以及预留的外部设备信息采集接口，主要提供各设备安装空间并提供基础工作条件。</w:t>
            </w:r>
            <w:r>
              <w:rPr>
                <w:rFonts w:ascii="宋体" w:eastAsia="宋体" w:hAnsi="宋体" w:cs="宋体" w:hint="eastAsia"/>
                <w:kern w:val="0"/>
                <w:szCs w:val="21"/>
              </w:rPr>
              <w:br/>
              <w:t>支持北斗全球导航定位系统、4G/5G移动通信、卫星通信等功能。</w:t>
            </w:r>
            <w:r>
              <w:rPr>
                <w:rFonts w:ascii="宋体" w:eastAsia="宋体" w:hAnsi="宋体" w:cs="宋体" w:hint="eastAsia"/>
                <w:kern w:val="0"/>
                <w:szCs w:val="21"/>
              </w:rPr>
              <w:br/>
              <w:t>任务舱内部前壁正中设计大屏显示器2台，大屏显示器下部装有转接口1部。前舱两侧布置2人沙发柜2组，在左侧沙发柜旁配置打印机和储存柜1组，沙发柜中间设置会议桌1台，在会议桌上安装10孔电源插座1组。</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483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1.1</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主车厢</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定制，直角方舱，外形尺寸为≥6058mm×2438mm×2591mm（长×宽×高），八个角安装方舱角件，厢体按钢骨架铝合金蒙皮进行设计，外蒙皮选用厚度为3mm铝板，选用高密度的阻燃聚氨酯泡沫作为夹芯层（隔热芯材），大板中所用的骨架为钢骨架焊接而成，内外蒙皮与骨架粘接固定, 厢体骨架整体电泳处理，以保证骨架的防腐能力。内饰型材及外包型材、门结构采用阳极氧化处理铝型材，其外型美观，防腐耐用。各开孔和承重处均设置骨架的预埋件，满足车厢的承重要求和安装要求乘客门：含登舱门及侧拉仓门</w:t>
            </w:r>
            <w:r>
              <w:rPr>
                <w:rFonts w:ascii="宋体" w:eastAsia="宋体" w:hAnsi="宋体" w:cs="宋体" w:hint="eastAsia"/>
                <w:kern w:val="0"/>
                <w:szCs w:val="21"/>
              </w:rPr>
              <w:br/>
              <w:t>发电机检修门：采用高强度铝合金结构，门板上配备百叶窗式格栅，用于设备通风散热</w:t>
            </w:r>
            <w:r>
              <w:rPr>
                <w:rFonts w:ascii="宋体" w:eastAsia="宋体" w:hAnsi="宋体" w:cs="宋体" w:hint="eastAsia"/>
                <w:kern w:val="0"/>
                <w:szCs w:val="21"/>
              </w:rPr>
              <w:br/>
              <w:t>空调通风格栅：采用高强度铝合金结构，门板上配备百叶窗式格栅，用于设备通风散热</w:t>
            </w:r>
            <w:r>
              <w:rPr>
                <w:rFonts w:ascii="宋体" w:eastAsia="宋体" w:hAnsi="宋体" w:cs="宋体" w:hint="eastAsia"/>
                <w:kern w:val="0"/>
                <w:szCs w:val="21"/>
              </w:rPr>
              <w:br/>
              <w:t>采光窗：汽车用钢化玻璃，可前后推拉，推拉灵活，无卡滞现象</w:t>
            </w:r>
            <w:r>
              <w:rPr>
                <w:rFonts w:ascii="宋体" w:eastAsia="宋体" w:hAnsi="宋体" w:cs="宋体" w:hint="eastAsia"/>
                <w:kern w:val="0"/>
                <w:szCs w:val="21"/>
              </w:rPr>
              <w:br/>
              <w:t>标准设备机柜：标准19英寸机架，表面喷塑，含安装件、减震等</w:t>
            </w:r>
            <w:r>
              <w:rPr>
                <w:rFonts w:ascii="宋体" w:eastAsia="宋体" w:hAnsi="宋体" w:cs="宋体" w:hint="eastAsia"/>
                <w:kern w:val="0"/>
                <w:szCs w:val="21"/>
              </w:rPr>
              <w:br/>
              <w:t>厢体地板：竹地板打底，会议区和操作区表面铺地板革，发电机区铺设花纹铝板</w:t>
            </w:r>
            <w:r>
              <w:rPr>
                <w:rFonts w:ascii="宋体" w:eastAsia="宋体" w:hAnsi="宋体" w:cs="宋体" w:hint="eastAsia"/>
                <w:kern w:val="0"/>
                <w:szCs w:val="21"/>
              </w:rPr>
              <w:br/>
              <w:t>会议座椅：可旋转、前后调节，靠背和扶手可调，表面软包拼色装饰</w:t>
            </w:r>
            <w:r>
              <w:rPr>
                <w:rFonts w:ascii="宋体" w:eastAsia="宋体" w:hAnsi="宋体" w:cs="宋体" w:hint="eastAsia"/>
                <w:kern w:val="0"/>
                <w:szCs w:val="21"/>
              </w:rPr>
              <w:br/>
              <w:t>长条折叠椅：壁挂式安装，可做临时休息铺使用</w:t>
            </w:r>
            <w:r>
              <w:rPr>
                <w:rFonts w:ascii="宋体" w:eastAsia="宋体" w:hAnsi="宋体" w:cs="宋体" w:hint="eastAsia"/>
                <w:kern w:val="0"/>
                <w:szCs w:val="21"/>
              </w:rPr>
              <w:br/>
              <w:t>基础内饰：采用平板对厢体内部进行平整处理，表面软包装饰</w:t>
            </w:r>
            <w:r>
              <w:rPr>
                <w:rFonts w:ascii="宋体" w:eastAsia="宋体" w:hAnsi="宋体" w:cs="宋体" w:hint="eastAsia"/>
                <w:kern w:val="0"/>
                <w:szCs w:val="21"/>
              </w:rPr>
              <w:br/>
              <w:t>会议桌：采用环保板材制作，表面喷漆处理</w:t>
            </w:r>
            <w:r>
              <w:rPr>
                <w:rFonts w:ascii="宋体" w:eastAsia="宋体" w:hAnsi="宋体" w:cs="宋体" w:hint="eastAsia"/>
                <w:kern w:val="0"/>
                <w:szCs w:val="21"/>
              </w:rPr>
              <w:br/>
              <w:t>机柜台面：采用环保板材制作，表面喷漆处理</w:t>
            </w:r>
            <w:r>
              <w:rPr>
                <w:rFonts w:ascii="宋体" w:eastAsia="宋体" w:hAnsi="宋体" w:cs="宋体" w:hint="eastAsia"/>
                <w:kern w:val="0"/>
                <w:szCs w:val="21"/>
              </w:rPr>
              <w:br/>
              <w:t>茶水打印机柜：采用环保板材制作，表面喷漆处理</w:t>
            </w:r>
            <w:r>
              <w:rPr>
                <w:rFonts w:ascii="宋体" w:eastAsia="宋体" w:hAnsi="宋体" w:cs="宋体" w:hint="eastAsia"/>
                <w:kern w:val="0"/>
                <w:szCs w:val="21"/>
              </w:rPr>
              <w:br/>
              <w:t>工作台：采用环保板材制作，表面喷漆处理</w:t>
            </w:r>
            <w:r>
              <w:rPr>
                <w:rFonts w:ascii="宋体" w:eastAsia="宋体" w:hAnsi="宋体" w:cs="宋体" w:hint="eastAsia"/>
                <w:kern w:val="0"/>
                <w:szCs w:val="21"/>
              </w:rPr>
              <w:br/>
            </w:r>
            <w:r>
              <w:rPr>
                <w:rFonts w:ascii="宋体" w:eastAsia="宋体" w:hAnsi="宋体" w:cs="宋体" w:hint="eastAsia"/>
                <w:kern w:val="0"/>
                <w:szCs w:val="21"/>
              </w:rPr>
              <w:t>灭火器：2Kg，含灭火器及安装件</w:t>
            </w:r>
            <w:r>
              <w:rPr>
                <w:rFonts w:ascii="宋体" w:eastAsia="宋体" w:hAnsi="宋体" w:cs="宋体" w:hint="eastAsia"/>
                <w:kern w:val="0"/>
                <w:szCs w:val="21"/>
              </w:rPr>
              <w:br/>
              <w:t>整车油漆：根据客户需求对车辆外观进行油漆喷涂和图案制</w:t>
            </w:r>
            <w:r>
              <w:rPr>
                <w:rFonts w:ascii="宋体" w:eastAsia="宋体" w:hAnsi="宋体" w:cs="宋体" w:hint="eastAsia"/>
                <w:kern w:val="0"/>
                <w:szCs w:val="21"/>
              </w:rPr>
              <w:br/>
              <w:t>杂件及辅料：根据车辆改制情况使用相关杂件和辅料、辅材</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常规108件套工具箱、电动工具箱、棘轮扳手套装</w:t>
            </w:r>
            <w:r>
              <w:rPr>
                <w:rFonts w:ascii="宋体" w:eastAsia="宋体" w:hAnsi="宋体" w:cs="宋体" w:hint="eastAsia"/>
                <w:kern w:val="0"/>
                <w:szCs w:val="21"/>
              </w:rPr>
              <w:br/>
              <w:t>车内照明系统：车内LED照明灯</w:t>
            </w:r>
            <w:r>
              <w:rPr>
                <w:rFonts w:ascii="宋体" w:eastAsia="宋体" w:hAnsi="宋体" w:cs="宋体" w:hint="eastAsia"/>
                <w:kern w:val="0"/>
                <w:szCs w:val="21"/>
              </w:rPr>
              <w:br/>
              <w:t>车外照明：LED灯源，满足车外照明</w:t>
            </w:r>
            <w:r>
              <w:rPr>
                <w:rFonts w:ascii="宋体" w:eastAsia="宋体" w:hAnsi="宋体" w:cs="宋体" w:hint="eastAsia"/>
                <w:kern w:val="0"/>
                <w:szCs w:val="21"/>
              </w:rPr>
              <w:br/>
              <w:t>壁挂空调：壁挂冷暖空调</w:t>
            </w:r>
            <w:r>
              <w:rPr>
                <w:rFonts w:ascii="宋体" w:eastAsia="宋体" w:hAnsi="宋体" w:cs="宋体" w:hint="eastAsia"/>
                <w:kern w:val="0"/>
                <w:szCs w:val="21"/>
              </w:rPr>
              <w:br/>
              <w:t>桌面插：含电源、信息接口</w:t>
            </w: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54"/>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1.2</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舱体升降机构</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额定提升重量：≥8 T;</w:t>
            </w:r>
            <w:r>
              <w:rPr>
                <w:rFonts w:ascii="宋体" w:eastAsia="宋体" w:hAnsi="宋体" w:cs="宋体" w:hint="eastAsia"/>
                <w:kern w:val="0"/>
                <w:szCs w:val="21"/>
              </w:rPr>
              <w:br/>
              <w:t xml:space="preserve">额定提升高度：≥1500MM;  </w:t>
            </w:r>
            <w:r>
              <w:rPr>
                <w:rFonts w:ascii="宋体" w:eastAsia="宋体" w:hAnsi="宋体" w:cs="宋体" w:hint="eastAsia"/>
                <w:kern w:val="0"/>
                <w:szCs w:val="21"/>
              </w:rPr>
              <w:br/>
              <w:t xml:space="preserve">电机额定电压：AC220v;  </w:t>
            </w:r>
            <w:r>
              <w:rPr>
                <w:rFonts w:ascii="宋体" w:eastAsia="宋体" w:hAnsi="宋体" w:cs="宋体" w:hint="eastAsia"/>
                <w:kern w:val="0"/>
                <w:szCs w:val="21"/>
              </w:rPr>
              <w:br/>
              <w:t>升降时间(单程)：10min；</w:t>
            </w:r>
            <w:r>
              <w:rPr>
                <w:rFonts w:ascii="宋体" w:eastAsia="宋体" w:hAnsi="宋体" w:cs="宋体" w:hint="eastAsia"/>
                <w:kern w:val="0"/>
                <w:szCs w:val="21"/>
              </w:rPr>
              <w:br/>
              <w:t>调平时间＜3min,</w:t>
            </w:r>
            <w:r>
              <w:rPr>
                <w:rFonts w:ascii="宋体" w:eastAsia="宋体" w:hAnsi="宋体" w:cs="宋体" w:hint="eastAsia"/>
                <w:kern w:val="0"/>
                <w:szCs w:val="21"/>
              </w:rPr>
              <w:br/>
              <w:t>调平精度 0.5 度</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7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1.3</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静音发电机</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 xml:space="preserve">额定频率：50 HZ </w:t>
            </w:r>
            <w:r>
              <w:rPr>
                <w:rFonts w:ascii="宋体" w:eastAsia="宋体" w:hAnsi="宋体" w:cs="宋体" w:hint="eastAsia"/>
                <w:kern w:val="0"/>
                <w:szCs w:val="21"/>
              </w:rPr>
              <w:br/>
              <w:t xml:space="preserve">额定输出功率：≮15KW  </w:t>
            </w:r>
            <w:r>
              <w:rPr>
                <w:rFonts w:ascii="宋体" w:eastAsia="宋体" w:hAnsi="宋体" w:cs="宋体" w:hint="eastAsia"/>
                <w:kern w:val="0"/>
                <w:szCs w:val="21"/>
              </w:rPr>
              <w:br/>
              <w:t>额定电压：240 V</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高原适配型：≥4000m可正常使用</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182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1.4</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UPS不间断电源</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在线式UPS</w:t>
            </w:r>
            <w:r>
              <w:rPr>
                <w:rFonts w:ascii="宋体" w:eastAsia="宋体" w:hAnsi="宋体" w:cs="宋体" w:hint="eastAsia"/>
                <w:kern w:val="0"/>
                <w:szCs w:val="21"/>
              </w:rPr>
              <w:br/>
              <w:t>频率范围 （HZ）50/60±10%</w:t>
            </w:r>
            <w:r>
              <w:rPr>
                <w:rFonts w:ascii="宋体" w:eastAsia="宋体" w:hAnsi="宋体" w:cs="宋体" w:hint="eastAsia"/>
                <w:kern w:val="0"/>
                <w:szCs w:val="21"/>
              </w:rPr>
              <w:br/>
              <w:t>输出功率因数:≥0.9</w:t>
            </w:r>
            <w:r>
              <w:rPr>
                <w:rFonts w:ascii="宋体" w:eastAsia="宋体" w:hAnsi="宋体" w:cs="宋体" w:hint="eastAsia"/>
                <w:kern w:val="0"/>
                <w:szCs w:val="21"/>
              </w:rPr>
              <w:br/>
              <w:t>输出功率：≮9KVA</w:t>
            </w:r>
            <w:r>
              <w:rPr>
                <w:rFonts w:ascii="宋体" w:eastAsia="宋体" w:hAnsi="宋体" w:cs="宋体" w:hint="eastAsia"/>
                <w:kern w:val="0"/>
                <w:szCs w:val="21"/>
              </w:rPr>
              <w:br/>
              <w:t>输出电压:208/220/230/240±1%</w:t>
            </w:r>
            <w:r>
              <w:rPr>
                <w:rFonts w:ascii="宋体" w:eastAsia="宋体" w:hAnsi="宋体" w:cs="宋体" w:hint="eastAsia"/>
                <w:kern w:val="0"/>
                <w:szCs w:val="21"/>
              </w:rPr>
              <w:br/>
              <w:t>设备尺寸主机高度2U，深度不超500mm。电池尺寸高度3U,深度不超500mm；满足后备电源120分钟供电时长</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52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1.5</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配电箱</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集中式电源管理系统，含电源漏电保护、开关、电源</w:t>
            </w:r>
            <w:r>
              <w:rPr>
                <w:rFonts w:ascii="宋体" w:eastAsia="宋体" w:hAnsi="宋体" w:cs="宋体" w:hint="eastAsia"/>
                <w:kern w:val="0"/>
                <w:szCs w:val="21"/>
              </w:rPr>
              <w:t>电压电流显示等，开关分别控制空调、设备用电等；配电盘面板为数控机床加工，表面喷塑处理。</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1.6</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全车接地系统</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含接地桩、接地线，静电地拖电源防浪涌装置</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1.7</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接口板</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含电源、对外信息接口</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1.8</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电源线缆盘</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设计双路市电供电，手动线缆盘，含50米橡胶线缆</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10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气象信息处理和显控席位</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探测数据处理和显控席位、自动观测设备信息处理和显控席位、雷达信息处理和显控席位。</w:t>
            </w:r>
            <w:r>
              <w:rPr>
                <w:rFonts w:ascii="宋体" w:eastAsia="宋体" w:hAnsi="宋体" w:cs="宋体" w:hint="eastAsia"/>
                <w:kern w:val="0"/>
                <w:szCs w:val="21"/>
              </w:rPr>
              <w:br/>
              <w:t>同时支持自动观测设备， X波段天气雷达和测云雷达以及引接的观测方舱数据，周边400公里常规观测和其它观测资料的处理。</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1289"/>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2.1</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车顶云台摄像机</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图像传感器：1/2.8″2.0MP Sony逐行扫描CMOS；</w:t>
            </w:r>
            <w:r>
              <w:rPr>
                <w:rFonts w:ascii="宋体" w:eastAsia="宋体" w:hAnsi="宋体" w:cs="宋体" w:hint="eastAsia"/>
                <w:kern w:val="0"/>
                <w:szCs w:val="21"/>
              </w:rPr>
              <w:br/>
              <w:t>镜头倍数：20倍光学变焦；</w:t>
            </w:r>
            <w:r>
              <w:rPr>
                <w:rFonts w:ascii="宋体" w:eastAsia="宋体" w:hAnsi="宋体" w:cs="宋体" w:hint="eastAsia"/>
                <w:kern w:val="0"/>
                <w:szCs w:val="21"/>
              </w:rPr>
              <w:br/>
              <w:t>焦距(mm)：f4.3～86mm；</w:t>
            </w:r>
            <w:r>
              <w:rPr>
                <w:rFonts w:ascii="宋体" w:eastAsia="宋体" w:hAnsi="宋体" w:cs="宋体" w:hint="eastAsia"/>
                <w:kern w:val="0"/>
                <w:szCs w:val="21"/>
              </w:rPr>
              <w:br/>
              <w:t>光圈：Fw1.6～Ft4.4；</w:t>
            </w:r>
            <w:r>
              <w:rPr>
                <w:rFonts w:ascii="宋体" w:eastAsia="宋体" w:hAnsi="宋体" w:cs="宋体" w:hint="eastAsia"/>
                <w:kern w:val="0"/>
                <w:szCs w:val="21"/>
              </w:rPr>
              <w:br/>
              <w:t>视频输出：HD-SDI SD—VBS；</w:t>
            </w:r>
            <w:r>
              <w:rPr>
                <w:rFonts w:ascii="宋体" w:eastAsia="宋体" w:hAnsi="宋体" w:cs="宋体" w:hint="eastAsia"/>
                <w:kern w:val="0"/>
                <w:szCs w:val="21"/>
              </w:rPr>
              <w:br/>
              <w:t>水平角度：360° 无限位旋转；</w:t>
            </w:r>
            <w:r>
              <w:rPr>
                <w:rFonts w:ascii="宋体" w:eastAsia="宋体" w:hAnsi="宋体" w:cs="宋体" w:hint="eastAsia"/>
                <w:kern w:val="0"/>
                <w:szCs w:val="21"/>
              </w:rPr>
              <w:br/>
              <w:t>垂直角度：+90°~-90°；</w:t>
            </w:r>
            <w:r>
              <w:rPr>
                <w:rFonts w:ascii="宋体" w:eastAsia="宋体" w:hAnsi="宋体" w:cs="宋体" w:hint="eastAsia"/>
                <w:kern w:val="0"/>
                <w:szCs w:val="21"/>
              </w:rPr>
              <w:br/>
              <w:t>防护等级：IP66；</w:t>
            </w:r>
            <w:r>
              <w:rPr>
                <w:rFonts w:ascii="宋体" w:eastAsia="宋体" w:hAnsi="宋体" w:cs="宋体" w:hint="eastAsia"/>
                <w:kern w:val="0"/>
                <w:szCs w:val="21"/>
              </w:rPr>
              <w:br/>
              <w:t>提供国家权威检测机构出具的CANS检测报告</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162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2.2</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车内摄像机</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成像设备：1/2.8-type Exmor CMOS；</w:t>
            </w:r>
            <w:r>
              <w:rPr>
                <w:rFonts w:ascii="宋体" w:eastAsia="宋体" w:hAnsi="宋体" w:cs="宋体" w:hint="eastAsia"/>
                <w:kern w:val="0"/>
                <w:szCs w:val="21"/>
              </w:rPr>
              <w:br/>
              <w:t>镜头：20倍光学变焦，12倍数字变焦，f=4.7mm—-94.0mm；</w:t>
            </w:r>
            <w:r>
              <w:rPr>
                <w:rFonts w:ascii="宋体" w:eastAsia="宋体" w:hAnsi="宋体" w:cs="宋体" w:hint="eastAsia"/>
                <w:kern w:val="0"/>
                <w:szCs w:val="21"/>
              </w:rPr>
              <w:br/>
              <w:t>光圈：F1.6 to F3.5；</w:t>
            </w:r>
            <w:r>
              <w:rPr>
                <w:rFonts w:ascii="宋体" w:eastAsia="宋体" w:hAnsi="宋体" w:cs="宋体" w:hint="eastAsia"/>
                <w:kern w:val="0"/>
                <w:szCs w:val="21"/>
              </w:rPr>
              <w:br/>
              <w:t>平移：±170°（最高速度为100°/秒），俯仰：+90°/-20°（最高速度为90°/秒）；</w:t>
            </w:r>
            <w:r>
              <w:rPr>
                <w:rFonts w:ascii="宋体" w:eastAsia="宋体" w:hAnsi="宋体" w:cs="宋体" w:hint="eastAsia"/>
                <w:kern w:val="0"/>
                <w:szCs w:val="21"/>
              </w:rPr>
              <w:br/>
              <w:t>视频输出：HD-SDI SD—VBS；</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81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2.3</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硬盘录像机</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 xml:space="preserve">支持4路1080P视频输入； </w:t>
            </w:r>
            <w:r>
              <w:rPr>
                <w:rFonts w:ascii="宋体" w:eastAsia="宋体" w:hAnsi="宋体" w:cs="宋体" w:hint="eastAsia"/>
                <w:kern w:val="0"/>
                <w:szCs w:val="21"/>
              </w:rPr>
              <w:br/>
              <w:t>支持1个2.5寸SATA 硬盘；</w:t>
            </w:r>
            <w:r>
              <w:rPr>
                <w:rFonts w:ascii="宋体" w:eastAsia="宋体" w:hAnsi="宋体" w:cs="宋体" w:hint="eastAsia"/>
                <w:kern w:val="0"/>
                <w:szCs w:val="21"/>
              </w:rPr>
              <w:br/>
            </w:r>
            <w:r>
              <w:rPr>
                <w:rFonts w:ascii="宋体" w:eastAsia="宋体" w:hAnsi="宋体" w:cs="宋体" w:hint="eastAsia"/>
                <w:kern w:val="0"/>
                <w:szCs w:val="21"/>
              </w:rPr>
              <w:t>支持H.265编码；</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容量：≥4TB</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297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2.4</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混切矩阵</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全数字化切换；</w:t>
            </w:r>
            <w:r>
              <w:rPr>
                <w:rFonts w:ascii="宋体" w:eastAsia="宋体" w:hAnsi="宋体" w:cs="宋体" w:hint="eastAsia"/>
                <w:kern w:val="0"/>
                <w:szCs w:val="21"/>
              </w:rPr>
              <w:br/>
              <w:t>输入16路信号，输出16路信号；</w:t>
            </w:r>
            <w:r>
              <w:rPr>
                <w:rFonts w:ascii="宋体" w:eastAsia="宋体" w:hAnsi="宋体" w:cs="宋体" w:hint="eastAsia"/>
                <w:kern w:val="0"/>
                <w:szCs w:val="21"/>
              </w:rPr>
              <w:br/>
              <w:t>任意信号输入输出；</w:t>
            </w:r>
            <w:r>
              <w:rPr>
                <w:rFonts w:ascii="宋体" w:eastAsia="宋体" w:hAnsi="宋体" w:cs="宋体" w:hint="eastAsia"/>
                <w:kern w:val="0"/>
                <w:szCs w:val="21"/>
              </w:rPr>
              <w:br/>
              <w:t>实时无缝切换；</w:t>
            </w:r>
            <w:r>
              <w:rPr>
                <w:rFonts w:ascii="宋体" w:eastAsia="宋体" w:hAnsi="宋体" w:cs="宋体" w:hint="eastAsia"/>
                <w:kern w:val="0"/>
                <w:szCs w:val="21"/>
              </w:rPr>
              <w:br/>
              <w:t>输入信号分辨率自适应，输出分辨率可调；</w:t>
            </w:r>
            <w:r>
              <w:rPr>
                <w:rFonts w:ascii="宋体" w:eastAsia="宋体" w:hAnsi="宋体" w:cs="宋体" w:hint="eastAsia"/>
                <w:kern w:val="0"/>
                <w:szCs w:val="21"/>
              </w:rPr>
              <w:br/>
              <w:t>支持模拟音频输入和输出；</w:t>
            </w:r>
            <w:r>
              <w:rPr>
                <w:rFonts w:ascii="宋体" w:eastAsia="宋体" w:hAnsi="宋体" w:cs="宋体" w:hint="eastAsia"/>
                <w:kern w:val="0"/>
                <w:szCs w:val="21"/>
              </w:rPr>
              <w:br/>
              <w:t>支持SDI音频加解嵌（SMPTE291）；</w:t>
            </w:r>
            <w:r>
              <w:rPr>
                <w:rFonts w:ascii="宋体" w:eastAsia="宋体" w:hAnsi="宋体" w:cs="宋体" w:hint="eastAsia"/>
                <w:kern w:val="0"/>
                <w:szCs w:val="21"/>
              </w:rPr>
              <w:br/>
              <w:t>支持RS232和以太网控制，开放控制协议，方便第三方串口控制；</w:t>
            </w:r>
            <w:r>
              <w:rPr>
                <w:rFonts w:ascii="宋体" w:eastAsia="宋体" w:hAnsi="宋体" w:cs="宋体" w:hint="eastAsia"/>
                <w:kern w:val="0"/>
                <w:szCs w:val="21"/>
              </w:rPr>
              <w:br/>
              <w:t>支持断电现场保护；</w:t>
            </w:r>
            <w:r>
              <w:rPr>
                <w:rFonts w:ascii="宋体" w:eastAsia="宋体" w:hAnsi="宋体" w:cs="宋体" w:hint="eastAsia"/>
                <w:kern w:val="0"/>
                <w:szCs w:val="21"/>
              </w:rPr>
              <w:br/>
              <w:t>标准插卡式工业机箱。</w:t>
            </w:r>
            <w:r>
              <w:rPr>
                <w:rFonts w:ascii="宋体" w:eastAsia="宋体" w:hAnsi="宋体" w:cs="宋体" w:hint="eastAsia"/>
                <w:kern w:val="0"/>
                <w:szCs w:val="21"/>
              </w:rPr>
              <w:br/>
              <w:t>产品符合GB/T标准高低温、盐雾、振动、冲击等试验要求，并出具第三方检测报告。</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156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2.5</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调音台</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专业级8路3母线麦克风/线路区段；</w:t>
            </w:r>
            <w:r>
              <w:rPr>
                <w:rFonts w:ascii="宋体" w:eastAsia="宋体" w:hAnsi="宋体" w:cs="宋体" w:hint="eastAsia"/>
                <w:kern w:val="0"/>
                <w:szCs w:val="21"/>
              </w:rPr>
              <w:br/>
              <w:t>≥6个超低噪音麦克风/线路输入端，配有增益控制钮，-20分贝衰减，电平/消波显示，+48伏幻像电源和母线设置开关；</w:t>
            </w:r>
            <w:r>
              <w:rPr>
                <w:rFonts w:ascii="宋体" w:eastAsia="宋体" w:hAnsi="宋体" w:cs="宋体" w:hint="eastAsia"/>
                <w:kern w:val="0"/>
                <w:szCs w:val="21"/>
              </w:rPr>
              <w:br/>
              <w:t>≥2个立体声输入端，配有单声/立体声开关；</w:t>
            </w:r>
            <w:r>
              <w:rPr>
                <w:rFonts w:ascii="宋体" w:eastAsia="宋体" w:hAnsi="宋体" w:cs="宋体" w:hint="eastAsia"/>
                <w:kern w:val="0"/>
                <w:szCs w:val="21"/>
              </w:rPr>
              <w:br/>
              <w:t>1路声道配有可设定不同阈值的功能，提供母线自动静音的功能，适合用喇叭作通告等；</w:t>
            </w:r>
            <w:r>
              <w:rPr>
                <w:rFonts w:ascii="宋体" w:eastAsia="宋体" w:hAnsi="宋体" w:cs="宋体" w:hint="eastAsia"/>
                <w:kern w:val="0"/>
                <w:szCs w:val="21"/>
              </w:rPr>
              <w:br/>
              <w:t>≥3个可自行设置的输出端(左、右和辅助)，配有主控制钮和电平表；</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104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2.6</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无线话筒</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频道组数：≥2频道；</w:t>
            </w:r>
            <w:r>
              <w:rPr>
                <w:rFonts w:ascii="宋体" w:eastAsia="宋体" w:hAnsi="宋体" w:cs="宋体" w:hint="eastAsia"/>
                <w:kern w:val="0"/>
                <w:szCs w:val="21"/>
              </w:rPr>
              <w:br/>
              <w:t>震荡模式：PLL相位锁定频率合成</w:t>
            </w:r>
            <w:r>
              <w:rPr>
                <w:rFonts w:ascii="宋体" w:eastAsia="宋体" w:hAnsi="宋体" w:cs="宋体" w:hint="eastAsia"/>
                <w:kern w:val="0"/>
                <w:szCs w:val="21"/>
              </w:rPr>
              <w:br/>
              <w:t>射频稳定度：±0.005%(10~50℃)</w:t>
            </w:r>
            <w:r>
              <w:rPr>
                <w:rFonts w:ascii="宋体" w:eastAsia="宋体" w:hAnsi="宋体" w:cs="宋体" w:hint="eastAsia"/>
                <w:kern w:val="0"/>
                <w:szCs w:val="21"/>
              </w:rPr>
              <w:br/>
              <w:t>载波频段：UHF：721.100MHz~860.100MHz</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104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2.7</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车内音响</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声道：2.0；</w:t>
            </w:r>
            <w:r>
              <w:rPr>
                <w:rFonts w:ascii="宋体" w:eastAsia="宋体" w:hAnsi="宋体" w:cs="宋体" w:hint="eastAsia"/>
                <w:kern w:val="0"/>
                <w:szCs w:val="21"/>
              </w:rPr>
              <w:br/>
              <w:t>理论功率：8W；</w:t>
            </w:r>
            <w:r>
              <w:rPr>
                <w:rFonts w:ascii="宋体" w:eastAsia="宋体" w:hAnsi="宋体" w:cs="宋体" w:hint="eastAsia"/>
                <w:kern w:val="0"/>
                <w:szCs w:val="21"/>
              </w:rPr>
              <w:br/>
              <w:t>信噪比：≥92dB；</w:t>
            </w:r>
            <w:r>
              <w:rPr>
                <w:rFonts w:ascii="宋体" w:eastAsia="宋体" w:hAnsi="宋体" w:cs="宋体" w:hint="eastAsia"/>
                <w:kern w:val="0"/>
                <w:szCs w:val="21"/>
              </w:rPr>
              <w:br/>
              <w:t>频响范围：90HZ—20KHZ；</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7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2.8</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显示器</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液晶屏：不小于19.5寸；</w:t>
            </w:r>
            <w:r>
              <w:rPr>
                <w:rFonts w:ascii="宋体" w:eastAsia="宋体" w:hAnsi="宋体" w:cs="宋体" w:hint="eastAsia"/>
                <w:kern w:val="0"/>
                <w:szCs w:val="21"/>
              </w:rPr>
              <w:br/>
              <w:t>分辨率：1920×1080；</w:t>
            </w:r>
            <w:r>
              <w:rPr>
                <w:rFonts w:ascii="宋体" w:eastAsia="宋体" w:hAnsi="宋体" w:cs="宋体" w:hint="eastAsia"/>
                <w:kern w:val="0"/>
                <w:szCs w:val="21"/>
              </w:rPr>
              <w:br/>
              <w:t>显示口：HDMI；</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4</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7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2.9</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中央显示器</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液晶屏：不小于42寸；</w:t>
            </w:r>
            <w:r>
              <w:rPr>
                <w:rFonts w:ascii="宋体" w:eastAsia="宋体" w:hAnsi="宋体" w:cs="宋体" w:hint="eastAsia"/>
                <w:kern w:val="0"/>
                <w:szCs w:val="21"/>
              </w:rPr>
              <w:br/>
              <w:t>分辨率：1920×1080；</w:t>
            </w:r>
            <w:r>
              <w:rPr>
                <w:rFonts w:ascii="宋体" w:eastAsia="宋体" w:hAnsi="宋体" w:cs="宋体" w:hint="eastAsia"/>
                <w:kern w:val="0"/>
                <w:szCs w:val="21"/>
              </w:rPr>
              <w:br/>
              <w:t>显示口：HDMI；</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78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2.10</w:t>
            </w:r>
          </w:p>
        </w:tc>
        <w:tc>
          <w:tcPr>
            <w:tcW w:w="86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应急和备份便携式工作站</w:t>
            </w:r>
          </w:p>
          <w:p w:rsidR="00800AF2">
            <w:pPr>
              <w:widowControl/>
              <w:spacing w:line="360" w:lineRule="auto"/>
              <w:jc w:val="left"/>
              <w:rPr>
                <w:rFonts w:ascii="宋体" w:eastAsia="宋体" w:hAnsi="宋体" w:cs="宋体" w:hint="eastAsia"/>
                <w:kern w:val="0"/>
                <w:szCs w:val="21"/>
              </w:rPr>
            </w:pP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内核数：≥16</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总线程数：≥22</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处理器基础频率：≥1.60GHz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最大睿频频率：≥4.20GHz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屏幕约16英寸，搭载FHD+分辨率（1920×1200）</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内存≥32GB，可扩展至96GB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固态硬盘≥4TB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包含网络、HDMI等基础配置</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安装和备份方舱所有软件系统</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每套方舱各2台。</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645"/>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人工影响天气决策支持数据接收处理分析平台</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包括卫星通信设备、数据综合处理存储和显控设备以及自动观测设备。</w:t>
            </w:r>
            <w:r>
              <w:rPr>
                <w:rFonts w:ascii="宋体" w:eastAsia="宋体" w:hAnsi="宋体" w:cs="宋体" w:hint="eastAsia"/>
                <w:kern w:val="0"/>
                <w:szCs w:val="21"/>
              </w:rPr>
              <w:br/>
              <w:t>数据综合处理存储和显控设备包括：1台视讯终端、4台图形工作站、2台机架式服务器、2台磁盘阵列、4台KVM一体机、4台显示器、1个中央显示器、1套KVM切换器、1个千兆交换机（含光模块）、1台防火墙（含路由器）等。机架式服务器中1台用作业务运行服务器主要用于运行大气环境探测分系统数据和卫星广播的气象数据等数据接收处理服务软件；另一台用作数</w:t>
            </w:r>
            <w:r>
              <w:rPr>
                <w:rFonts w:ascii="宋体" w:eastAsia="宋体" w:hAnsi="宋体" w:cs="宋体" w:hint="eastAsia"/>
                <w:kern w:val="0"/>
                <w:szCs w:val="21"/>
              </w:rPr>
              <w:t>据镜像服务器，主要用于上述数据的镜像存储服务。</w:t>
            </w:r>
            <w:r>
              <w:rPr>
                <w:rFonts w:ascii="宋体" w:eastAsia="宋体" w:hAnsi="宋体" w:cs="宋体" w:hint="eastAsia"/>
                <w:kern w:val="0"/>
                <w:szCs w:val="21"/>
              </w:rPr>
              <w:br/>
              <w:t>1）具有“天工”平台数据接口，通信安全；</w:t>
            </w:r>
            <w:r>
              <w:rPr>
                <w:rFonts w:ascii="宋体" w:eastAsia="宋体" w:hAnsi="宋体" w:cs="宋体" w:hint="eastAsia"/>
                <w:kern w:val="0"/>
                <w:szCs w:val="21"/>
              </w:rPr>
              <w:br/>
              <w:t>2）支持4G/5G移动网络和卫星通信；</w:t>
            </w:r>
            <w:r>
              <w:rPr>
                <w:rFonts w:ascii="宋体" w:eastAsia="宋体" w:hAnsi="宋体" w:cs="宋体" w:hint="eastAsia"/>
                <w:kern w:val="0"/>
                <w:szCs w:val="21"/>
              </w:rPr>
              <w:br/>
              <w:t>3）支持DMZ和VPN，信息中心，无线方式传输；</w:t>
            </w:r>
            <w:r>
              <w:rPr>
                <w:rFonts w:ascii="宋体" w:eastAsia="宋体" w:hAnsi="宋体" w:cs="宋体" w:hint="eastAsia"/>
                <w:kern w:val="0"/>
                <w:szCs w:val="21"/>
              </w:rPr>
              <w:br/>
              <w:t>4）可对自动观测设备，X波段天气雷达和测云雷达信息进行采集；</w:t>
            </w:r>
            <w:r>
              <w:rPr>
                <w:rFonts w:ascii="宋体" w:eastAsia="宋体" w:hAnsi="宋体" w:cs="宋体" w:hint="eastAsia"/>
                <w:kern w:val="0"/>
                <w:szCs w:val="21"/>
              </w:rPr>
              <w:br/>
              <w:t>5）可接入观测方舱数据及周边400公里常规观测和其他观测资料；</w:t>
            </w:r>
            <w:r>
              <w:rPr>
                <w:rFonts w:ascii="宋体" w:eastAsia="宋体" w:hAnsi="宋体" w:cs="宋体" w:hint="eastAsia"/>
                <w:kern w:val="0"/>
                <w:szCs w:val="21"/>
              </w:rPr>
              <w:br/>
              <w:t>6）可对机载探测数据进行接引；</w:t>
            </w:r>
            <w:r>
              <w:rPr>
                <w:rFonts w:ascii="宋体" w:eastAsia="宋体" w:hAnsi="宋体" w:cs="宋体" w:hint="eastAsia"/>
                <w:kern w:val="0"/>
                <w:szCs w:val="21"/>
              </w:rPr>
              <w:br/>
              <w:t>7）对系统接引采集信息和天工系统发布的资料和产品进行显示；</w:t>
            </w:r>
            <w:r>
              <w:rPr>
                <w:rFonts w:ascii="宋体" w:eastAsia="宋体" w:hAnsi="宋体" w:cs="宋体" w:hint="eastAsia"/>
                <w:kern w:val="0"/>
                <w:szCs w:val="21"/>
              </w:rPr>
              <w:br/>
              <w:t>8）支持视频会商。</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43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北斗传输设备</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定位功能：具备支持单独使用北斗定位功能；</w:t>
            </w:r>
            <w:r>
              <w:rPr>
                <w:rFonts w:ascii="宋体" w:eastAsia="宋体" w:hAnsi="宋体" w:cs="宋体" w:hint="eastAsia"/>
                <w:kern w:val="0"/>
                <w:szCs w:val="21"/>
              </w:rPr>
              <w:br/>
              <w:t>定位精度：≤5m；测速精度：≤0.2m/s；</w:t>
            </w:r>
            <w:r>
              <w:rPr>
                <w:rFonts w:ascii="宋体" w:eastAsia="宋体" w:hAnsi="宋体" w:cs="宋体" w:hint="eastAsia"/>
                <w:kern w:val="0"/>
                <w:szCs w:val="21"/>
              </w:rPr>
              <w:br/>
              <w:t>首次定位时间：冷启动≤120秒，热启动≤10秒；</w:t>
            </w:r>
            <w:r>
              <w:rPr>
                <w:rFonts w:ascii="宋体" w:eastAsia="宋体" w:hAnsi="宋体" w:cs="宋体" w:hint="eastAsia"/>
                <w:kern w:val="0"/>
                <w:szCs w:val="21"/>
              </w:rPr>
              <w:br/>
              <w:t>接收频率：支持北斗 B1频段；</w:t>
            </w:r>
            <w:r>
              <w:rPr>
                <w:rFonts w:ascii="宋体" w:eastAsia="宋体" w:hAnsi="宋体" w:cs="宋体" w:hint="eastAsia"/>
                <w:kern w:val="0"/>
                <w:szCs w:val="21"/>
              </w:rPr>
              <w:br/>
              <w:t>捕获灵敏度：≤-133dBm；跟踪灵敏度：≤-147dBm；</w:t>
            </w:r>
            <w:r>
              <w:rPr>
                <w:rFonts w:ascii="宋体" w:eastAsia="宋体" w:hAnsi="宋体" w:cs="宋体" w:hint="eastAsia"/>
                <w:kern w:val="0"/>
                <w:szCs w:val="21"/>
              </w:rPr>
              <w:br/>
              <w:t>接收波束个数：北斗二号≥10个，北斗三号≥14个；</w:t>
            </w:r>
            <w:r>
              <w:rPr>
                <w:rFonts w:ascii="宋体" w:eastAsia="宋体" w:hAnsi="宋体" w:cs="宋体" w:hint="eastAsia"/>
                <w:kern w:val="0"/>
                <w:szCs w:val="21"/>
              </w:rPr>
              <w:br/>
              <w:t>发射频点：Lf1、Lf2；</w:t>
            </w:r>
            <w:r>
              <w:rPr>
                <w:rFonts w:ascii="宋体" w:eastAsia="宋体" w:hAnsi="宋体" w:cs="宋体" w:hint="eastAsia"/>
                <w:kern w:val="0"/>
                <w:szCs w:val="21"/>
              </w:rPr>
              <w:br/>
              <w:t>支持北斗三号系统，支持北斗三号区域短报文通信服务；</w:t>
            </w:r>
            <w:r>
              <w:rPr>
                <w:rFonts w:ascii="宋体" w:eastAsia="宋体" w:hAnsi="宋体" w:cs="宋体" w:hint="eastAsia"/>
                <w:kern w:val="0"/>
                <w:szCs w:val="21"/>
              </w:rPr>
              <w:br/>
              <w:t>防护等级：≥IP67；</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135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3.2</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5G路由器</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网络制式：5G/SA&amp;NSA   4G/LTE  3G/UMTS；</w:t>
            </w:r>
            <w:r>
              <w:rPr>
                <w:rFonts w:ascii="宋体" w:eastAsia="宋体" w:hAnsi="宋体" w:cs="宋体" w:hint="eastAsia"/>
                <w:kern w:val="0"/>
                <w:szCs w:val="21"/>
              </w:rPr>
              <w:br/>
              <w:t>网络频段：5G NR  FDD: n1/28,TDD: n78/79/41</w:t>
            </w:r>
            <w:r>
              <w:rPr>
                <w:rFonts w:ascii="宋体" w:eastAsia="宋体" w:hAnsi="宋体" w:cs="宋体" w:hint="eastAsia"/>
                <w:kern w:val="0"/>
                <w:szCs w:val="21"/>
              </w:rPr>
              <w:br/>
              <w:t xml:space="preserve">           4G LTE  FDD: B1/3/5/8,TDD：B34/39/40/41</w:t>
            </w:r>
            <w:r>
              <w:rPr>
                <w:rFonts w:ascii="宋体" w:eastAsia="宋体" w:hAnsi="宋体" w:cs="宋体" w:hint="eastAsia"/>
                <w:kern w:val="0"/>
                <w:szCs w:val="21"/>
              </w:rPr>
              <w:br/>
              <w:t xml:space="preserve">           3G UMTS  W1/2/5/8</w:t>
            </w:r>
            <w:r>
              <w:rPr>
                <w:rFonts w:ascii="宋体" w:eastAsia="宋体" w:hAnsi="宋体" w:cs="宋体" w:hint="eastAsia"/>
                <w:kern w:val="0"/>
                <w:szCs w:val="21"/>
              </w:rPr>
              <w:br/>
              <w:t>网口：两个千兆网口</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3875"/>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3.3</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卫星通信系统</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拆装部件：5～8块分块反射面和一体化介质馈源</w:t>
            </w:r>
            <w:r>
              <w:rPr>
                <w:rFonts w:ascii="宋体" w:eastAsia="宋体" w:hAnsi="宋体" w:cs="宋体" w:hint="eastAsia"/>
                <w:kern w:val="0"/>
                <w:szCs w:val="21"/>
              </w:rPr>
              <w:br/>
              <w:t>定位方式：GPS 北斗双模+手动输入</w:t>
            </w:r>
            <w:r>
              <w:rPr>
                <w:rFonts w:ascii="宋体" w:eastAsia="宋体" w:hAnsi="宋体" w:cs="宋体" w:hint="eastAsia"/>
                <w:kern w:val="0"/>
                <w:szCs w:val="21"/>
              </w:rPr>
              <w:br/>
              <w:t>发射频率：13.75～14.50 GHz</w:t>
            </w:r>
            <w:r>
              <w:rPr>
                <w:rFonts w:ascii="宋体" w:eastAsia="宋体" w:hAnsi="宋体" w:cs="宋体" w:hint="eastAsia"/>
                <w:kern w:val="0"/>
                <w:szCs w:val="21"/>
              </w:rPr>
              <w:br/>
              <w:t>接收频率：10.70～12.75 GHz</w:t>
            </w:r>
            <w:r>
              <w:rPr>
                <w:rFonts w:ascii="宋体" w:eastAsia="宋体" w:hAnsi="宋体" w:cs="宋体" w:hint="eastAsia"/>
                <w:kern w:val="0"/>
                <w:szCs w:val="21"/>
              </w:rPr>
              <w:br/>
              <w:t>天线净重：≤9.8kg</w:t>
            </w:r>
            <w:r>
              <w:rPr>
                <w:rFonts w:ascii="宋体" w:eastAsia="宋体" w:hAnsi="宋体" w:cs="宋体" w:hint="eastAsia"/>
                <w:kern w:val="0"/>
                <w:szCs w:val="21"/>
              </w:rPr>
              <w:br/>
              <w:t>携行全重：≤13.0kg</w:t>
            </w:r>
            <w:r>
              <w:rPr>
                <w:rFonts w:ascii="宋体" w:eastAsia="宋体" w:hAnsi="宋体" w:cs="宋体" w:hint="eastAsia"/>
                <w:kern w:val="0"/>
                <w:szCs w:val="21"/>
              </w:rPr>
              <w:br/>
              <w:t>携行尺寸：60×38×35cms</w:t>
            </w:r>
            <w:r>
              <w:rPr>
                <w:rFonts w:ascii="宋体" w:eastAsia="宋体" w:hAnsi="宋体" w:cs="宋体" w:hint="eastAsia"/>
                <w:kern w:val="0"/>
                <w:szCs w:val="21"/>
              </w:rPr>
              <w:br/>
              <w:t>天线供电：内置230Wh锂电池、内置150Wh+外置可拆卸150Wh（外置选配）和无电池三种方案可选，上述各种方式均支持100～240VAC(47～63Hz)转 29.4V 充供电适配器供电</w:t>
            </w:r>
            <w:r>
              <w:rPr>
                <w:rFonts w:ascii="宋体" w:eastAsia="宋体" w:hAnsi="宋体" w:cs="宋体" w:hint="eastAsia"/>
                <w:kern w:val="0"/>
                <w:szCs w:val="21"/>
              </w:rPr>
              <w:br/>
              <w:t>内置模块化网络频谱仪</w:t>
            </w:r>
            <w:r>
              <w:rPr>
                <w:rFonts w:ascii="宋体" w:eastAsia="宋体" w:hAnsi="宋体" w:cs="宋体" w:hint="eastAsia"/>
                <w:kern w:val="0"/>
                <w:szCs w:val="21"/>
              </w:rPr>
              <w:br/>
              <w:t>①频率范围：950MHz ～ 1750MHz</w:t>
            </w:r>
            <w:r>
              <w:rPr>
                <w:rFonts w:ascii="宋体" w:eastAsia="宋体" w:hAnsi="宋体" w:cs="宋体" w:hint="eastAsia"/>
                <w:kern w:val="0"/>
                <w:szCs w:val="21"/>
              </w:rPr>
              <w:br/>
              <w:t xml:space="preserve">②扫频宽度：1MHz ～ 50MHz </w:t>
            </w:r>
            <w:r>
              <w:rPr>
                <w:rFonts w:ascii="宋体" w:eastAsia="宋体" w:hAnsi="宋体" w:cs="宋体" w:hint="eastAsia"/>
                <w:kern w:val="0"/>
                <w:szCs w:val="21"/>
              </w:rPr>
              <w:br/>
              <w:t xml:space="preserve">③调谐步长：50Hz ～ 1MHz </w:t>
            </w:r>
            <w:r>
              <w:rPr>
                <w:rFonts w:ascii="宋体" w:eastAsia="宋体" w:hAnsi="宋体" w:cs="宋体" w:hint="eastAsia"/>
                <w:kern w:val="0"/>
                <w:szCs w:val="21"/>
              </w:rPr>
              <w:br/>
              <w:t>④输入信号范围：-80dBm ～ -25dBm</w:t>
            </w:r>
            <w:r>
              <w:rPr>
                <w:rFonts w:ascii="宋体" w:eastAsia="宋体" w:hAnsi="宋体" w:cs="宋体" w:hint="eastAsia"/>
                <w:kern w:val="0"/>
                <w:szCs w:val="21"/>
              </w:rPr>
              <w:br/>
              <w:t>⑤频率响应：±1.5dB</w:t>
            </w:r>
            <w:r>
              <w:rPr>
                <w:rFonts w:ascii="宋体" w:eastAsia="宋体" w:hAnsi="宋体" w:cs="宋体" w:hint="eastAsia"/>
                <w:kern w:val="0"/>
                <w:szCs w:val="21"/>
              </w:rPr>
              <w:br/>
              <w:t>⑥噪声电平：-135dBm</w:t>
            </w:r>
            <w:r>
              <w:rPr>
                <w:rFonts w:ascii="宋体" w:eastAsia="宋体" w:hAnsi="宋体" w:cs="宋体" w:hint="eastAsia"/>
                <w:kern w:val="0"/>
                <w:szCs w:val="21"/>
              </w:rPr>
              <w:br/>
              <w:t>⑦输入端口驻波比：&lt;2.0：1</w:t>
            </w:r>
            <w:r>
              <w:rPr>
                <w:rFonts w:ascii="宋体" w:eastAsia="宋体" w:hAnsi="宋体" w:cs="宋体" w:hint="eastAsia"/>
                <w:kern w:val="0"/>
                <w:szCs w:val="21"/>
              </w:rPr>
              <w:br/>
              <w:t>⑧控制：嵌入式Web控制方式，采用PC、PAD、手机可监看频谱状态</w:t>
            </w:r>
            <w:r>
              <w:rPr>
                <w:rFonts w:ascii="宋体" w:eastAsia="宋体" w:hAnsi="宋体" w:cs="宋体" w:hint="eastAsia"/>
                <w:kern w:val="0"/>
                <w:szCs w:val="21"/>
              </w:rPr>
              <w:br/>
              <w:t>⑨支持嵌入式Web控制方式，无需专用APP，支持手机和笔记本等无线终端控制能力。</w:t>
            </w:r>
            <w:r>
              <w:rPr>
                <w:rFonts w:ascii="宋体" w:eastAsia="宋体" w:hAnsi="宋体" w:cs="宋体" w:hint="eastAsia"/>
                <w:kern w:val="0"/>
                <w:szCs w:val="21"/>
              </w:rPr>
              <w:br/>
              <w:t>产品符合GJB标准高低温、淋雨、湿热、盐雾、振动、冲击等试验要求，符合GB/T外壳防护等级IP66或以上要求，并出具第三方检测报告。</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15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3.4</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视讯终端</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 xml:space="preserve">1.具备对本地和远程各类信号源的音视频信号采集编码功能，本地采集时音频编码采用 PCM 格式，视频效果需要满足无损画质；远程采集时音频编码采用 PCM </w:t>
            </w:r>
            <w:r>
              <w:rPr>
                <w:rFonts w:ascii="宋体" w:eastAsia="宋体" w:hAnsi="宋体" w:cs="宋体" w:hint="eastAsia"/>
                <w:kern w:val="0"/>
                <w:szCs w:val="21"/>
              </w:rPr>
              <w:t>格式，视频效果接受有损画质，视频信号采集根据场景采用RTSP（必须）、</w:t>
            </w:r>
            <w:r>
              <w:rPr>
                <w:rFonts w:ascii="宋体" w:eastAsia="宋体" w:hAnsi="宋体" w:cs="宋体" w:hint="eastAsia"/>
                <w:kern w:val="0"/>
                <w:szCs w:val="21"/>
              </w:rPr>
              <w:t>WebRtc</w:t>
            </w:r>
            <w:r>
              <w:rPr>
                <w:rFonts w:ascii="宋体" w:eastAsia="宋体" w:hAnsi="宋体" w:cs="宋体" w:hint="eastAsia"/>
                <w:kern w:val="0"/>
                <w:szCs w:val="21"/>
              </w:rPr>
              <w:t>、RTMP 格式的一项或多项，视频会议采集支持 H.323、SIP 通信标准；</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2.支持 H.264、H.264HP、H.265 等视频协议；</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3.支持 G.711、G.722、Opus 等音频协议；</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4.支持 IPv4 和 IPv6 协议；</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5.具有较好的网络适应性，满足在互联网、4G/5G、卫星网络环境下接入进行指挥调度时仍能够有较好音视频效果；</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6.支持气象宽带网、电子政务网、互联网、卫星网络、自组网等多种网络音视频资源采集，并具备安全隔离功能，确保不同网络的视频信号源接入时依然保持各网络间的安全隔离状态。</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配套软件：1.安装于电脑、平板、手机实现与各级指挥中心的双向互通。2.支持麒麟、统信、鸿蒙、Windows、安卓等系统，支持Web 浏览器或客户端实现双向沟通交流。3.支持 4K/2K/1080P/720P 高清视频效果。4.具备对本地和远程各类信号源的音视频信号采集编码功能，采集时音频编码采用 PCM 格式，视频效果接受有损画质，视频流采集根据场景采用 RTSP（必须）、</w:t>
            </w:r>
            <w:r>
              <w:rPr>
                <w:rFonts w:ascii="宋体" w:eastAsia="宋体" w:hAnsi="宋体" w:cs="宋体" w:hint="eastAsia"/>
                <w:kern w:val="0"/>
                <w:szCs w:val="21"/>
              </w:rPr>
              <w:t>WebRtc</w:t>
            </w:r>
            <w:r>
              <w:rPr>
                <w:rFonts w:ascii="宋体" w:eastAsia="宋体" w:hAnsi="宋体" w:cs="宋体" w:hint="eastAsia"/>
                <w:kern w:val="0"/>
                <w:szCs w:val="21"/>
              </w:rPr>
              <w:t>、RTMP 协议的一项或多项，视频会议采集支持 H.323、SIP通信标准。5.支持 H.264、H.264HP、H.265 等视频协议；6.支持 G.711、G.722、Opus 等音频协议；7.支持 IPv4 和 IPv6 协议；8.具有较好的网络适应性，满足在互联网、4G/5G、卫星网络环境下接入进行指挥调度时仍能够有较好音视频效果。</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24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3.5</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图形工作站</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  2U/2S,2*GE+2*10GE[无模块],无</w:t>
            </w:r>
            <w:r>
              <w:rPr>
                <w:rFonts w:ascii="宋体" w:eastAsia="宋体" w:hAnsi="宋体" w:cs="宋体" w:hint="eastAsia"/>
                <w:kern w:val="0"/>
                <w:szCs w:val="21"/>
              </w:rPr>
              <w:t>DVD,iBMC</w:t>
            </w:r>
            <w:r>
              <w:rPr>
                <w:rFonts w:ascii="宋体" w:eastAsia="宋体" w:hAnsi="宋体" w:cs="宋体" w:hint="eastAsia"/>
                <w:kern w:val="0"/>
                <w:szCs w:val="21"/>
              </w:rPr>
              <w:t>管理模块</w:t>
            </w:r>
            <w:r>
              <w:rPr>
                <w:rFonts w:ascii="宋体" w:eastAsia="宋体" w:hAnsi="宋体" w:cs="宋体" w:hint="eastAsia"/>
                <w:kern w:val="0"/>
                <w:szCs w:val="21"/>
              </w:rPr>
              <w:t>Zx</w:t>
            </w:r>
            <w:r>
              <w:rPr>
                <w:rFonts w:ascii="宋体" w:eastAsia="宋体" w:hAnsi="宋体" w:cs="宋体" w:hint="eastAsia"/>
                <w:kern w:val="0"/>
                <w:szCs w:val="21"/>
              </w:rPr>
              <w:t>,滑轨)*1</w:t>
            </w:r>
            <w:r>
              <w:rPr>
                <w:rFonts w:ascii="宋体" w:eastAsia="宋体" w:hAnsi="宋体" w:cs="宋体" w:hint="eastAsia"/>
                <w:kern w:val="0"/>
                <w:szCs w:val="21"/>
              </w:rPr>
              <w:br/>
              <w:t>(2.5GHz/27.5M/160W 处理器)*1</w:t>
            </w:r>
            <w:r>
              <w:rPr>
                <w:rFonts w:ascii="宋体" w:eastAsia="宋体" w:hAnsi="宋体" w:cs="宋体" w:hint="eastAsia"/>
                <w:kern w:val="0"/>
                <w:szCs w:val="21"/>
              </w:rPr>
              <w:br/>
              <w:t>(散热片)*1</w:t>
            </w:r>
            <w:r>
              <w:rPr>
                <w:rFonts w:ascii="宋体" w:eastAsia="宋体" w:hAnsi="宋体" w:cs="宋体" w:hint="eastAsia"/>
                <w:kern w:val="0"/>
                <w:szCs w:val="21"/>
              </w:rPr>
              <w:br/>
              <w:t>(内存-DDR4-≥32G)*1</w:t>
            </w:r>
            <w:r>
              <w:rPr>
                <w:rFonts w:ascii="宋体" w:eastAsia="宋体" w:hAnsi="宋体" w:cs="宋体" w:hint="eastAsia"/>
                <w:kern w:val="0"/>
                <w:szCs w:val="21"/>
              </w:rPr>
              <w:br/>
              <w:t>(硬盘-≥1TB 10K SAS)*1</w:t>
            </w:r>
            <w:r>
              <w:rPr>
                <w:rFonts w:ascii="宋体" w:eastAsia="宋体" w:hAnsi="宋体" w:cs="宋体" w:hint="eastAsia"/>
                <w:kern w:val="0"/>
                <w:szCs w:val="21"/>
              </w:rPr>
              <w:br/>
              <w:t>(RAID卡 SR130 RAID0,1,10)*1</w:t>
            </w:r>
            <w:r>
              <w:rPr>
                <w:rFonts w:ascii="宋体" w:eastAsia="宋体" w:hAnsi="宋体" w:cs="宋体" w:hint="eastAsia"/>
                <w:kern w:val="0"/>
                <w:szCs w:val="21"/>
              </w:rPr>
              <w:br/>
              <w:t>(550W 交流电源)*1</w:t>
            </w:r>
            <w:r>
              <w:rPr>
                <w:rFonts w:ascii="宋体" w:eastAsia="宋体" w:hAnsi="宋体" w:cs="宋体" w:hint="eastAsia"/>
                <w:kern w:val="0"/>
                <w:szCs w:val="21"/>
              </w:rPr>
              <w:br/>
              <w:t>含银河麒麟V10 SP3</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4</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4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3.6</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机架式服务器</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(主机  2U/2S,2*GE+2*10GE[无模块],无</w:t>
            </w:r>
            <w:r>
              <w:rPr>
                <w:rFonts w:ascii="宋体" w:eastAsia="宋体" w:hAnsi="宋体" w:cs="宋体" w:hint="eastAsia"/>
                <w:kern w:val="0"/>
                <w:szCs w:val="21"/>
              </w:rPr>
              <w:t>DVD,iBMC</w:t>
            </w:r>
            <w:r>
              <w:rPr>
                <w:rFonts w:ascii="宋体" w:eastAsia="宋体" w:hAnsi="宋体" w:cs="宋体" w:hint="eastAsia"/>
                <w:kern w:val="0"/>
                <w:szCs w:val="21"/>
              </w:rPr>
              <w:t>管理模块</w:t>
            </w:r>
            <w:r>
              <w:rPr>
                <w:rFonts w:ascii="宋体" w:eastAsia="宋体" w:hAnsi="宋体" w:cs="宋体" w:hint="eastAsia"/>
                <w:kern w:val="0"/>
                <w:szCs w:val="21"/>
              </w:rPr>
              <w:t>Zx</w:t>
            </w:r>
            <w:r>
              <w:rPr>
                <w:rFonts w:ascii="宋体" w:eastAsia="宋体" w:hAnsi="宋体" w:cs="宋体" w:hint="eastAsia"/>
                <w:kern w:val="0"/>
                <w:szCs w:val="21"/>
              </w:rPr>
              <w:t>,滑轨)*1</w:t>
            </w:r>
            <w:r>
              <w:rPr>
                <w:rFonts w:ascii="宋体" w:eastAsia="宋体" w:hAnsi="宋体" w:cs="宋体" w:hint="eastAsia"/>
                <w:kern w:val="0"/>
                <w:szCs w:val="21"/>
              </w:rPr>
              <w:br/>
              <w:t>(2.5GHz/27.5M/160W 处理器)*1</w:t>
            </w:r>
            <w:r>
              <w:rPr>
                <w:rFonts w:ascii="宋体" w:eastAsia="宋体" w:hAnsi="宋体" w:cs="宋体" w:hint="eastAsia"/>
                <w:kern w:val="0"/>
                <w:szCs w:val="21"/>
              </w:rPr>
              <w:br/>
              <w:t>(散热片)*1</w:t>
            </w:r>
            <w:r>
              <w:rPr>
                <w:rFonts w:ascii="宋体" w:eastAsia="宋体" w:hAnsi="宋体" w:cs="宋体" w:hint="eastAsia"/>
                <w:kern w:val="0"/>
                <w:szCs w:val="21"/>
              </w:rPr>
              <w:br/>
              <w:t>(内存-DDR4-32G)*1</w:t>
            </w:r>
            <w:r>
              <w:rPr>
                <w:rFonts w:ascii="宋体" w:eastAsia="宋体" w:hAnsi="宋体" w:cs="宋体" w:hint="eastAsia"/>
                <w:kern w:val="0"/>
                <w:szCs w:val="21"/>
              </w:rPr>
              <w:br/>
              <w:t>(硬盘-600G 10K SAS)*1</w:t>
            </w:r>
            <w:r>
              <w:rPr>
                <w:rFonts w:ascii="宋体" w:eastAsia="宋体" w:hAnsi="宋体" w:cs="宋体" w:hint="eastAsia"/>
                <w:kern w:val="0"/>
                <w:szCs w:val="21"/>
              </w:rPr>
              <w:br/>
              <w:t>(RAID卡 SR130 RAID0,1,10)*1</w:t>
            </w:r>
            <w:r>
              <w:rPr>
                <w:rFonts w:ascii="宋体" w:eastAsia="宋体" w:hAnsi="宋体" w:cs="宋体" w:hint="eastAsia"/>
                <w:kern w:val="0"/>
                <w:szCs w:val="21"/>
              </w:rPr>
              <w:br/>
              <w:t>(550W 交流电源)*1</w:t>
            </w:r>
            <w:r>
              <w:rPr>
                <w:rFonts w:ascii="宋体" w:eastAsia="宋体" w:hAnsi="宋体" w:cs="宋体" w:hint="eastAsia"/>
                <w:kern w:val="0"/>
                <w:szCs w:val="21"/>
              </w:rPr>
              <w:br/>
              <w:t>含银河麒麟V10 SP3</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49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3.7</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磁盘阵列</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主机柜： 2U 12个3.5英寸驱动器盘柜</w:t>
            </w:r>
            <w:r>
              <w:rPr>
                <w:rFonts w:ascii="宋体" w:eastAsia="宋体" w:hAnsi="宋体" w:cs="宋体" w:hint="eastAsia"/>
                <w:kern w:val="0"/>
                <w:szCs w:val="21"/>
              </w:rPr>
              <w:br/>
              <w:t>控制器处理器：高性能双核(每控)</w:t>
            </w:r>
            <w:r>
              <w:rPr>
                <w:rFonts w:ascii="宋体" w:eastAsia="宋体" w:hAnsi="宋体" w:cs="宋体" w:hint="eastAsia"/>
                <w:kern w:val="0"/>
                <w:szCs w:val="21"/>
              </w:rPr>
              <w:br/>
              <w:t>标配主机端口：4x10GbiSCSl(每控制器两个</w:t>
            </w:r>
            <w:r>
              <w:rPr>
                <w:rFonts w:ascii="宋体" w:eastAsia="宋体" w:hAnsi="宋体" w:cs="宋体" w:hint="eastAsia"/>
                <w:kern w:val="0"/>
                <w:szCs w:val="21"/>
              </w:rPr>
              <w:br/>
              <w:t>缓存：16GB(每控8GB)</w:t>
            </w:r>
            <w:r>
              <w:rPr>
                <w:rFonts w:ascii="宋体" w:eastAsia="宋体" w:hAnsi="宋体" w:cs="宋体" w:hint="eastAsia"/>
                <w:kern w:val="0"/>
                <w:szCs w:val="21"/>
              </w:rPr>
              <w:br/>
              <w:t>RAID级别：RAID0、1、3、5、6、10、动态磁盘池</w:t>
            </w:r>
            <w:r>
              <w:rPr>
                <w:rFonts w:ascii="宋体" w:eastAsia="宋体" w:hAnsi="宋体" w:cs="宋体" w:hint="eastAsia"/>
                <w:kern w:val="0"/>
                <w:szCs w:val="21"/>
              </w:rPr>
              <w:br/>
              <w:t>动态磁盘池：标配</w:t>
            </w:r>
            <w:r>
              <w:rPr>
                <w:rFonts w:ascii="宋体" w:eastAsia="宋体" w:hAnsi="宋体" w:cs="宋体" w:hint="eastAsia"/>
                <w:kern w:val="0"/>
                <w:szCs w:val="21"/>
              </w:rPr>
              <w:br/>
              <w:t>SSD读缓存：标配</w:t>
            </w:r>
            <w:r>
              <w:rPr>
                <w:rFonts w:ascii="宋体" w:eastAsia="宋体" w:hAnsi="宋体" w:cs="宋体" w:hint="eastAsia"/>
                <w:kern w:val="0"/>
                <w:szCs w:val="21"/>
              </w:rPr>
              <w:br/>
              <w:t>快照：标配支持128个快照卷(多可支持512个)</w:t>
            </w:r>
            <w:r>
              <w:rPr>
                <w:rFonts w:ascii="宋体" w:eastAsia="宋体" w:hAnsi="宋体" w:cs="宋体" w:hint="eastAsia"/>
                <w:kern w:val="0"/>
                <w:szCs w:val="21"/>
              </w:rPr>
              <w:br/>
              <w:t>卷拷贝：标配</w:t>
            </w:r>
            <w:r>
              <w:rPr>
                <w:rFonts w:ascii="宋体" w:eastAsia="宋体" w:hAnsi="宋体" w:cs="宋体" w:hint="eastAsia"/>
                <w:kern w:val="0"/>
                <w:szCs w:val="21"/>
              </w:rPr>
              <w:br/>
              <w:t>自动精简配置：标配</w:t>
            </w:r>
            <w:r>
              <w:rPr>
                <w:rFonts w:ascii="宋体" w:eastAsia="宋体" w:hAnsi="宋体" w:cs="宋体" w:hint="eastAsia"/>
                <w:kern w:val="0"/>
                <w:szCs w:val="21"/>
              </w:rPr>
              <w:br/>
              <w:t>异步镜像：标配不带</w:t>
            </w:r>
            <w:r>
              <w:rPr>
                <w:rFonts w:ascii="宋体" w:eastAsia="宋体" w:hAnsi="宋体" w:cs="宋体" w:hint="eastAsia"/>
                <w:kern w:val="0"/>
                <w:szCs w:val="21"/>
              </w:rPr>
              <w:br/>
            </w:r>
            <w:r>
              <w:rPr>
                <w:rFonts w:ascii="宋体" w:eastAsia="宋体" w:hAnsi="宋体" w:cs="宋体" w:hint="eastAsia"/>
                <w:kern w:val="0"/>
                <w:szCs w:val="21"/>
              </w:rPr>
              <w:t>同步镜像：不支持</w:t>
            </w:r>
            <w:r>
              <w:rPr>
                <w:rFonts w:ascii="宋体" w:eastAsia="宋体" w:hAnsi="宋体" w:cs="宋体" w:hint="eastAsia"/>
                <w:kern w:val="0"/>
                <w:szCs w:val="21"/>
              </w:rPr>
              <w:br/>
              <w:t>电源：两个冗余热插拔913W(100-240V)AC电源</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3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3.8</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KVM一体机</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四合一，1U ，8端口，分辨率1280*1024，标配8条1.8米线，</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4</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个</w:t>
            </w:r>
          </w:p>
        </w:tc>
      </w:tr>
      <w:tr>
        <w:tblPrEx>
          <w:tblW w:w="5000" w:type="pct"/>
          <w:tblLook w:val="04A0"/>
        </w:tblPrEx>
        <w:trPr>
          <w:trHeight w:val="3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3.9</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KVM切换器</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 xml:space="preserve"> 1U，8端口，分辨率2048*1536，遥控切换，标配8条1.8米线 </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6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3.10</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千兆交换机（含光模块）</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支持不少于24个10/100/1000Base-TX以太网端口，4个千兆SFP；</w:t>
            </w:r>
            <w:r>
              <w:rPr>
                <w:rFonts w:ascii="宋体" w:eastAsia="宋体" w:hAnsi="宋体" w:cs="宋体" w:hint="eastAsia"/>
                <w:kern w:val="0"/>
                <w:szCs w:val="21"/>
              </w:rPr>
              <w:br/>
              <w:t>IP路由：支持IPv4和IPv6的三层路由功能；</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3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3.11</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防火墙（含路由器）</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 xml:space="preserve">(8*GE COMBO + 4*GE RJ45 + 4*GE SFP + 6*10GE SFP+，1交流电源)  </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300"/>
        </w:trPr>
        <w:tc>
          <w:tcPr>
            <w:tcW w:w="431"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4</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载车平台</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车辆尺寸需满足公路运输方舱要求，且能牢固固定运输探测模组方舱、指挥模组方舱、作业模组方舱、作业保障模组方舱，带有锁止装置；</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有效载荷：≥10000kg</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公路续驶里程(km)≥600km</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最高车速：≥95km/h</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最小转弯半径：≤9m</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最小离地间隙：≥300mm</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装载时大梁高度：≥1350 mm</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底盘接近角：19°</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底盘离去角：14°</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最大爬坡度(%)：60</w:t>
            </w:r>
            <w:r>
              <w:rPr>
                <w:rFonts w:ascii="宋体" w:eastAsia="宋体" w:hAnsi="宋体" w:cs="宋体" w:hint="eastAsia"/>
                <w:kern w:val="0"/>
                <w:szCs w:val="21"/>
              </w:rPr>
              <w:tab/>
            </w:r>
            <w:r>
              <w:rPr>
                <w:rFonts w:ascii="宋体" w:eastAsia="宋体" w:hAnsi="宋体" w:cs="宋体" w:hint="eastAsia"/>
                <w:kern w:val="0"/>
                <w:szCs w:val="21"/>
              </w:rPr>
              <w:tab/>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最低稳定车速(km/h)：4</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发动机功率：≥350kw</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辆</w:t>
            </w:r>
          </w:p>
        </w:tc>
      </w:tr>
    </w:tbl>
    <w:p w:rsidR="00800AF2">
      <w:pPr>
        <w:spacing w:line="560" w:lineRule="exact"/>
        <w:ind w:firstLine="420" w:firstLineChars="200"/>
        <w:jc w:val="left"/>
        <w:outlineLvl w:val="2"/>
        <w:rPr>
          <w:rFonts w:ascii="宋体" w:eastAsia="宋体" w:hAnsi="宋体" w:cs="宋体" w:hint="eastAsia"/>
          <w:bCs/>
          <w:color w:val="000000"/>
          <w:szCs w:val="21"/>
        </w:rPr>
      </w:pPr>
      <w:bookmarkStart w:id="84" w:name="_Toc18931"/>
      <w:r>
        <w:rPr>
          <w:rFonts w:ascii="宋体" w:eastAsia="宋体" w:hAnsi="宋体" w:cs="宋体" w:hint="eastAsia"/>
          <w:bCs/>
          <w:color w:val="000000"/>
          <w:szCs w:val="21"/>
        </w:rPr>
        <w:t>5.2.7安装工艺和场地建设</w:t>
      </w:r>
      <w:bookmarkEnd w:id="84"/>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在选择指挥模组架设阵地时，应选择较为便利的交通条件。通常选择在地势较高的高地或建筑物上，场地应开阔、地势较高、四周无严重的地形地物遮挡，并可获得足够的高、中、低空覆盖。同时应选择通讯条件便利的地方。</w:t>
      </w:r>
    </w:p>
    <w:p w:rsidR="00800AF2">
      <w:pPr>
        <w:spacing w:line="560" w:lineRule="exact"/>
        <w:ind w:firstLine="420" w:firstLineChars="200"/>
        <w:jc w:val="left"/>
        <w:outlineLvl w:val="1"/>
        <w:rPr>
          <w:rFonts w:ascii="宋体" w:eastAsia="宋体" w:hAnsi="宋体" w:cs="宋体" w:hint="eastAsia"/>
          <w:bCs/>
          <w:color w:val="000000"/>
          <w:szCs w:val="21"/>
        </w:rPr>
      </w:pPr>
      <w:bookmarkStart w:id="85" w:name="_Toc12884"/>
      <w:r>
        <w:rPr>
          <w:rFonts w:ascii="宋体" w:eastAsia="宋体" w:hAnsi="宋体" w:cs="宋体" w:hint="eastAsia"/>
          <w:bCs/>
          <w:color w:val="000000"/>
          <w:szCs w:val="21"/>
        </w:rPr>
        <w:t>5.3作业模组</w:t>
      </w:r>
      <w:bookmarkEnd w:id="85"/>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作业模组由地面智能通用火箭作业单元及弹药临时储运设备组成。其中地面智能通用火箭作业单元须兼容多种弹径火箭弹，可与作业监控终端互联通讯，接受指挥模组下发的作业参数、实时上报作业信息和装备状态，实时接入“天工”平台。</w:t>
      </w:r>
    </w:p>
    <w:p w:rsidR="00800AF2">
      <w:pPr>
        <w:spacing w:line="560" w:lineRule="exact"/>
        <w:ind w:firstLine="420" w:firstLineChars="200"/>
        <w:jc w:val="left"/>
        <w:outlineLvl w:val="2"/>
        <w:rPr>
          <w:rFonts w:ascii="宋体" w:eastAsia="宋体" w:hAnsi="宋体" w:cs="宋体" w:hint="eastAsia"/>
          <w:bCs/>
          <w:color w:val="000000"/>
          <w:szCs w:val="21"/>
        </w:rPr>
      </w:pPr>
      <w:bookmarkStart w:id="86" w:name="_Toc2518"/>
      <w:r>
        <w:rPr>
          <w:rFonts w:ascii="宋体" w:eastAsia="宋体" w:hAnsi="宋体" w:cs="宋体" w:hint="eastAsia"/>
          <w:bCs/>
          <w:color w:val="000000"/>
          <w:szCs w:val="21"/>
        </w:rPr>
        <w:t>5.3.1功能要求</w:t>
      </w:r>
      <w:bookmarkEnd w:id="86"/>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（1）系统具备快速响应能力，能够迅速抵达作业指定区域，确保作业任务的高效开展。</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（2）能够实时接收指挥模块下发的作业参数，并将作业信息和装备状态实时上报至指挥中心，实现高效协同作业。</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（3）具备先进的探测能力，能够实时监测高空温湿度、空速气压以及云粒子谱等关键气象参数，为精准作业提供数据支持。</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（4）系统集成多种人工影响天气作业手段，包括飞机播撒催化剂作业、地面火箭发射作业等。根据不同天气形势、作业目标和空域条件，系统可灵活选择合适的作业方式，确保作业效果最大化。</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（5）能够实时采集任务执行区域气象参数变化情况，进行作业效果评估并通过发送至“天工”平台。</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（6）支持北斗全球导航定位系统。</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（7）应具备市电与自备供电两种供电方式，并能相互切换。</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（8）市电可保证连续不间断工作，油电工作时间＞8h。</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（9）平均修复时间(MTTR)≤0.5h，关键件、重要件可修复、可更换。</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（10）采用模块设计，以便快速更换。</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（11）设备之间的连接电缆和连接器应有明显标志，以利操作与维护。</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（12）需要经常调整、清洗、更换的部件应便于拆装或可进行原位维修，检查窗开启和关闭操作应简单方便。</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（13）基层级平均修复时间应不大于 0.5h。</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（14）具备防接插错措施，标识清晰。</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15）关键重要设备（自装卸电动调平机构、丝杆举升机构）应具有机内检测功能，故障信息可隔离到现场可更换单元，并能输出故障信息。其它车上设备若机内无检测措施，需经常检测的项目应在设备面板上提供相应的测试点，并标出相应的测试要求。</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（16）硬件设备设计时应便于进行故障检查与隔离，重点考虑设备的功能与结构合理划分、测试的可观测性和可控性。</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（17）包装：除应符合 GB/T 191－2008 的要求外，还应标志齐全、清晰，无错漏，厢体整洁、完整，无缺损，有合格证。配套齐全、正确、完整，无损伤和差错。</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（18）标识：标识应齐全，应在设备及相关接口处标明名称，必要时应标明线路图、安全警示标识，应在适当的位置安装行驶安全标识；</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（19）运输：经过运输后，所有零件不破损、不松动，安装架设后能正常工作。</w:t>
      </w:r>
    </w:p>
    <w:p w:rsidR="00800AF2">
      <w:pPr>
        <w:spacing w:line="560" w:lineRule="exact"/>
        <w:ind w:firstLine="420" w:firstLineChars="200"/>
        <w:jc w:val="left"/>
        <w:outlineLvl w:val="2"/>
        <w:rPr>
          <w:rFonts w:ascii="宋体" w:eastAsia="宋体" w:hAnsi="宋体" w:cs="宋体" w:hint="eastAsia"/>
          <w:bCs/>
          <w:color w:val="000000"/>
          <w:szCs w:val="21"/>
        </w:rPr>
      </w:pPr>
      <w:bookmarkStart w:id="87" w:name="_Toc12885"/>
      <w:r>
        <w:rPr>
          <w:rFonts w:ascii="宋体" w:eastAsia="宋体" w:hAnsi="宋体" w:cs="宋体" w:hint="eastAsia"/>
          <w:bCs/>
          <w:color w:val="000000"/>
          <w:szCs w:val="21"/>
        </w:rPr>
        <w:t>5.3.2结构</w:t>
      </w:r>
      <w:bookmarkEnd w:id="87"/>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包括移动式火箭发射装置、无线安全锁定发控器、液压转运平台、弹药临时储运箱、火箭作业安全监控终端、作业设备储运方舱。</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方舱采用钢骨架铝蒙皮舱体结构，舱体外壁板采用铝合金板，内外壁夹层采用聚氨酯发泡结构设计。外面板选用强度高、重量轻的铝合金整板，板材厚度3mm，中间层填充硬质聚氨酯发泡，会议舱内面板为木质软包、设备舱内面为小花纹铝板，骨架用矩形管焊接而成，采用结构胶粘接技术，接缝采用氩弧焊接形成舱体壁板，表面平整、美观，在热传导、气密、水密等方面具有良好的性能指标，满足抗冲击要求并具有阻燃自熄性能。舱体壁板通过角件、包角弯角等连接件的焊接、粘接和螺栓连接等形式，形成稳定性好、强度高、抗变形、密封性好、表面平整度高的方舱舱体。</w:t>
      </w:r>
    </w:p>
    <w:p w:rsidR="00800AF2">
      <w:pPr>
        <w:spacing w:line="560" w:lineRule="exact"/>
        <w:ind w:firstLine="420" w:firstLineChars="200"/>
        <w:jc w:val="left"/>
        <w:outlineLvl w:val="2"/>
        <w:rPr>
          <w:rFonts w:ascii="宋体" w:eastAsia="宋体" w:hAnsi="宋体" w:cs="宋体" w:hint="eastAsia"/>
          <w:bCs/>
          <w:color w:val="000000"/>
          <w:szCs w:val="21"/>
        </w:rPr>
      </w:pPr>
      <w:bookmarkStart w:id="88" w:name="_Toc18678"/>
      <w:r>
        <w:rPr>
          <w:rFonts w:ascii="宋体" w:eastAsia="宋体" w:hAnsi="宋体" w:cs="宋体" w:hint="eastAsia"/>
          <w:bCs/>
          <w:color w:val="000000"/>
          <w:szCs w:val="21"/>
        </w:rPr>
        <w:t>5.3.3</w:t>
      </w:r>
      <w:bookmarkEnd w:id="88"/>
      <w:r>
        <w:rPr>
          <w:rFonts w:ascii="宋体" w:eastAsia="宋体" w:hAnsi="宋体" w:cs="宋体" w:hint="eastAsia"/>
          <w:bCs/>
          <w:color w:val="000000"/>
          <w:szCs w:val="21"/>
        </w:rPr>
        <w:t>信息传输要求</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可通过4G/5G移动网络通信、北斗通信方式进行信息传输与指令互通，接收到指令后对局部地区开展作业。作业效果评估并上传到“天工”平台。</w:t>
      </w:r>
    </w:p>
    <w:p w:rsidR="00800AF2">
      <w:pPr>
        <w:spacing w:line="560" w:lineRule="exact"/>
        <w:ind w:firstLine="420" w:firstLineChars="200"/>
        <w:jc w:val="left"/>
        <w:outlineLvl w:val="2"/>
        <w:rPr>
          <w:rFonts w:ascii="宋体" w:eastAsia="宋体" w:hAnsi="宋体" w:cs="宋体" w:hint="eastAsia"/>
          <w:bCs/>
          <w:color w:val="000000"/>
          <w:szCs w:val="21"/>
        </w:rPr>
      </w:pPr>
      <w:bookmarkStart w:id="89" w:name="_Toc15653"/>
      <w:r>
        <w:rPr>
          <w:rFonts w:ascii="宋体" w:eastAsia="宋体" w:hAnsi="宋体" w:cs="宋体" w:hint="eastAsia"/>
          <w:bCs/>
          <w:color w:val="000000"/>
          <w:szCs w:val="21"/>
        </w:rPr>
        <w:t>5.3.4接口要求</w:t>
      </w:r>
      <w:bookmarkEnd w:id="89"/>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具备4G/5G移动网络通信、北斗通信方式进行信息传输与指令互通，进行作业效果评估并上传到“天工”平台。</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电源：满足国家标准；</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控制：RS232；RS485;RJ45；</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传输：RJ45；光纤；5G；北斗；</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各模组之间信息畅通，模组内部数据集中、系统集成、接口标准通用，各模组能够实时接入“天工”平台，实现无缝对接国家级、省级和市州级任务需求。</w:t>
      </w:r>
    </w:p>
    <w:p w:rsidR="00800AF2">
      <w:pPr>
        <w:spacing w:line="560" w:lineRule="exact"/>
        <w:ind w:firstLine="420" w:firstLineChars="200"/>
        <w:jc w:val="left"/>
        <w:outlineLvl w:val="2"/>
        <w:rPr>
          <w:rFonts w:ascii="宋体" w:eastAsia="宋体" w:hAnsi="宋体" w:cs="宋体" w:hint="eastAsia"/>
          <w:bCs/>
          <w:color w:val="000000"/>
          <w:szCs w:val="21"/>
        </w:rPr>
      </w:pPr>
      <w:bookmarkStart w:id="90" w:name="_Toc16147"/>
      <w:r>
        <w:rPr>
          <w:rFonts w:ascii="宋体" w:eastAsia="宋体" w:hAnsi="宋体" w:cs="宋体" w:hint="eastAsia"/>
          <w:bCs/>
          <w:color w:val="000000"/>
          <w:szCs w:val="21"/>
        </w:rPr>
        <w:t>5.3.5技术性能要求</w:t>
      </w:r>
      <w:bookmarkEnd w:id="90"/>
    </w:p>
    <w:p w:rsidR="00800AF2">
      <w:pPr>
        <w:spacing w:line="560" w:lineRule="exact"/>
        <w:ind w:firstLine="420" w:firstLineChars="200"/>
        <w:jc w:val="left"/>
        <w:outlineLvl w:val="3"/>
        <w:rPr>
          <w:rFonts w:ascii="宋体" w:eastAsia="宋体" w:hAnsi="宋体" w:cs="宋体" w:hint="eastAsia"/>
          <w:bCs/>
          <w:color w:val="000000"/>
          <w:szCs w:val="21"/>
        </w:rPr>
      </w:pPr>
      <w:bookmarkStart w:id="91" w:name="_Toc18889"/>
      <w:r>
        <w:rPr>
          <w:rFonts w:ascii="宋体" w:eastAsia="宋体" w:hAnsi="宋体" w:cs="宋体" w:hint="eastAsia"/>
          <w:bCs/>
          <w:color w:val="000000"/>
          <w:szCs w:val="21"/>
        </w:rPr>
        <w:t>5.3.5.1作业设备储运方舱</w:t>
      </w:r>
      <w:bookmarkEnd w:id="91"/>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方舱主要由设备舱、供电系统、录像设备、方舱升降机构、方舱调平仪等组成。同时具备移动式火箭发射装置、液压转运平台和弹药临时储运箱装载能力。</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5.3.5.1.1作业模组方舱主箱体</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采用直角方舱，宽度≥6058mm×2438mm×2591mm，配备8个角安装方舱角件，厢体按钢骨架铝合金蒙皮进行制作，外蒙皮选用厚度≥2mm铝板，选用高密度的阻燃聚氨酯泡沫作为夹芯层（隔热芯材），大板中所用的骨架为钢骨架焊接而成，内外蒙皮与骨架粘接固定, 厢体骨架整体防腐处理。内饰型材及外包型材、门结构采用铝型材。各开孔和承重处均设置骨架的预埋件，满足车厢的承重要求和安装要求。</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43</w:t>
      </w:r>
      <w:r>
        <w:rPr>
          <w:rFonts w:ascii="宋体" w:eastAsia="宋体" w:hAnsi="宋体" w:cs="宋体" w:hint="eastAsia"/>
          <w:szCs w:val="21"/>
        </w:rPr>
        <w:fldChar w:fldCharType="end"/>
      </w:r>
      <w:r>
        <w:rPr>
          <w:rFonts w:ascii="宋体" w:eastAsia="宋体" w:hAnsi="宋体" w:cs="宋体" w:hint="eastAsia"/>
          <w:szCs w:val="21"/>
        </w:rPr>
        <w:t>方舱主箱体功能要求</w:t>
      </w:r>
    </w:p>
    <w:tbl>
      <w:tblPr>
        <w:tblStyle w:val="TableGrid"/>
        <w:tblW w:w="0" w:type="auto"/>
        <w:tblInd w:w="0" w:type="dxa"/>
        <w:tblCellMar>
          <w:top w:w="0" w:type="dxa"/>
          <w:left w:w="108" w:type="dxa"/>
          <w:bottom w:w="0" w:type="dxa"/>
          <w:right w:w="108" w:type="dxa"/>
        </w:tblCellMar>
        <w:tblLook w:val="04A0"/>
      </w:tblPr>
      <w:tblGrid>
        <w:gridCol w:w="1271"/>
        <w:gridCol w:w="5090"/>
        <w:gridCol w:w="890"/>
        <w:gridCol w:w="1145"/>
      </w:tblGrid>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功能要求</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舱体自卸举升机构</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 xml:space="preserve">配备 1 套舱体电动自卸举升机构。 </w:t>
            </w:r>
          </w:p>
          <w:p w:rsidR="00800AF2">
            <w:pPr>
              <w:spacing w:line="360" w:lineRule="auto"/>
              <w:rPr>
                <w:rFonts w:ascii="宋体" w:eastAsia="宋体" w:hAnsi="宋体" w:cs="宋体" w:hint="eastAsia"/>
                <w:szCs w:val="21"/>
              </w:rPr>
            </w:pPr>
            <w:r>
              <w:rPr>
                <w:rFonts w:ascii="宋体" w:eastAsia="宋体" w:hAnsi="宋体" w:cs="宋体" w:hint="eastAsia"/>
                <w:szCs w:val="21"/>
              </w:rPr>
              <w:t>a）额定提升重量：≥6 吨；</w:t>
            </w:r>
          </w:p>
          <w:p w:rsidR="00800AF2">
            <w:pPr>
              <w:spacing w:line="360" w:lineRule="auto"/>
              <w:rPr>
                <w:rFonts w:ascii="宋体" w:eastAsia="宋体" w:hAnsi="宋体" w:cs="宋体" w:hint="eastAsia"/>
                <w:szCs w:val="21"/>
              </w:rPr>
            </w:pPr>
            <w:r>
              <w:rPr>
                <w:rFonts w:ascii="宋体" w:eastAsia="宋体" w:hAnsi="宋体" w:cs="宋体" w:hint="eastAsia"/>
                <w:szCs w:val="21"/>
              </w:rPr>
              <w:t xml:space="preserve">b）额定举升高度：≥1500mm； </w:t>
            </w:r>
          </w:p>
          <w:p w:rsidR="00800AF2">
            <w:pPr>
              <w:spacing w:line="360" w:lineRule="auto"/>
              <w:rPr>
                <w:rFonts w:ascii="宋体" w:eastAsia="宋体" w:hAnsi="宋体" w:cs="宋体" w:hint="eastAsia"/>
                <w:szCs w:val="21"/>
              </w:rPr>
            </w:pPr>
            <w:r>
              <w:rPr>
                <w:rFonts w:ascii="宋体" w:eastAsia="宋体" w:hAnsi="宋体" w:cs="宋体" w:hint="eastAsia"/>
                <w:szCs w:val="21"/>
              </w:rPr>
              <w:t>d）升降时间(单程)：≤15min；</w:t>
            </w:r>
          </w:p>
          <w:p w:rsidR="00800AF2">
            <w:pPr>
              <w:spacing w:line="360" w:lineRule="auto"/>
              <w:rPr>
                <w:rFonts w:ascii="宋体" w:eastAsia="宋体" w:hAnsi="宋体" w:cs="宋体" w:hint="eastAsia"/>
                <w:szCs w:val="21"/>
              </w:rPr>
            </w:pPr>
            <w:r>
              <w:rPr>
                <w:rFonts w:ascii="宋体" w:eastAsia="宋体" w:hAnsi="宋体" w:cs="宋体" w:hint="eastAsia"/>
                <w:szCs w:val="21"/>
              </w:rPr>
              <w:t xml:space="preserve">e）调平时间：≤3min（6m 长方舱所需时间）； </w:t>
            </w:r>
          </w:p>
          <w:p w:rsidR="00800AF2">
            <w:pPr>
              <w:spacing w:line="360" w:lineRule="auto"/>
              <w:rPr>
                <w:rFonts w:ascii="宋体" w:eastAsia="宋体" w:hAnsi="宋体" w:cs="宋体" w:hint="eastAsia"/>
                <w:szCs w:val="21"/>
              </w:rPr>
            </w:pPr>
            <w:r>
              <w:rPr>
                <w:rFonts w:ascii="宋体" w:eastAsia="宋体" w:hAnsi="宋体" w:cs="宋体" w:hint="eastAsia"/>
                <w:szCs w:val="21"/>
              </w:rPr>
              <w:t xml:space="preserve">f）调平精度：≤0.5 度； </w:t>
            </w:r>
          </w:p>
          <w:p w:rsidR="00800AF2">
            <w:pPr>
              <w:spacing w:line="360" w:lineRule="auto"/>
              <w:rPr>
                <w:rFonts w:ascii="宋体" w:eastAsia="宋体" w:hAnsi="宋体" w:cs="宋体" w:hint="eastAsia"/>
                <w:szCs w:val="21"/>
              </w:rPr>
            </w:pPr>
            <w:r>
              <w:rPr>
                <w:rFonts w:ascii="宋体" w:eastAsia="宋体" w:hAnsi="宋体" w:cs="宋体" w:hint="eastAsia"/>
                <w:szCs w:val="21"/>
              </w:rPr>
              <w:t>I）工作方式：液压或液压或电动（可手动）。</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登舱门</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满足设备存放密封及方便人员取出、收纳作业设备。</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发电机检修门</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采用高强度铝合金结构，门板上配备百叶窗式格栅，用于设备通风散热。</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舱体地板</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对厢体内部进行平整处理，发电区墙面喷漆处理。</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油漆及外饰</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专业烤漆房烤漆，外观贴字根据用户需求订制。</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车内外照明系统</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车内外LED 照明灯满足工作及车外场地照明需求。</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0" w:type="auto"/>
          <w:tblInd w:w="0" w:type="dxa"/>
          <w:tblCellMar>
            <w:top w:w="0" w:type="dxa"/>
            <w:left w:w="108" w:type="dxa"/>
            <w:bottom w:w="0" w:type="dxa"/>
            <w:right w:w="108" w:type="dxa"/>
          </w:tblCellMar>
          <w:tblLook w:val="04A0"/>
        </w:tblPrEx>
        <w:tc>
          <w:tcPr>
            <w:tcW w:w="127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其他辅助设施</w:t>
            </w:r>
          </w:p>
        </w:tc>
        <w:tc>
          <w:tcPr>
            <w:tcW w:w="5090" w:type="dxa"/>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配备灭火器、综合布线、集成制作等附件耗材，包含波纹 管、胶带、扎带、接插件等。</w:t>
            </w:r>
          </w:p>
        </w:tc>
        <w:tc>
          <w:tcPr>
            <w:tcW w:w="890"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114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5.3.5.1.2供电系统</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方舱具备1路380或双路220市电供电，1路发电机供电供电接口，做好标识。供电方式可以切换。满足市电、发电机、UPS不间断供电要求。通过舱体对外提供供电及接地的转接板，当外部电源接至转接板后，内部通过配电箱给各设备供电。</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44</w:t>
      </w:r>
      <w:r>
        <w:rPr>
          <w:rFonts w:ascii="宋体" w:eastAsia="宋体" w:hAnsi="宋体" w:cs="宋体" w:hint="eastAsia"/>
          <w:szCs w:val="21"/>
        </w:rPr>
        <w:fldChar w:fldCharType="end"/>
      </w:r>
      <w:r>
        <w:rPr>
          <w:rFonts w:ascii="宋体" w:eastAsia="宋体" w:hAnsi="宋体" w:cs="宋体" w:hint="eastAsia"/>
          <w:szCs w:val="21"/>
        </w:rPr>
        <w:t>供电系统功能要求</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8"/>
        <w:gridCol w:w="5900"/>
        <w:gridCol w:w="863"/>
        <w:gridCol w:w="771"/>
      </w:tblGrid>
      <w:tr>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80"/>
        </w:trPr>
        <w:tc>
          <w:tcPr>
            <w:tcW w:w="661"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33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4"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4" w:type="pct"/>
          <w:tblLook w:val="04A0"/>
        </w:tblPrEx>
        <w:trPr>
          <w:trHeight w:val="7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市电接入</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具备1路供电电压380×（1±10%）V、频率50×（1±5%）Hz或2路供电电压220×（1±10%）V、频率50×（1±5%）Hz，供电总功率不低于6kW，配备满足功率的手动或电动市电线缆轴长度≮45米；配备满足功率的市电对接插头。</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182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静音发电机</w:t>
            </w:r>
          </w:p>
        </w:tc>
        <w:tc>
          <w:tcPr>
            <w:tcW w:w="3398" w:type="pct"/>
            <w:vAlign w:val="center"/>
          </w:tcPr>
          <w:p w:rsidR="00800AF2">
            <w:pPr>
              <w:numPr>
                <w:ilvl w:val="0"/>
                <w:numId w:val="33"/>
              </w:numPr>
              <w:spacing w:line="360" w:lineRule="auto"/>
              <w:rPr>
                <w:rFonts w:ascii="宋体" w:eastAsia="宋体" w:hAnsi="宋体" w:cs="宋体" w:hint="eastAsia"/>
                <w:szCs w:val="21"/>
              </w:rPr>
            </w:pPr>
            <w:r>
              <w:rPr>
                <w:rFonts w:ascii="宋体" w:eastAsia="宋体" w:hAnsi="宋体" w:cs="宋体" w:hint="eastAsia"/>
                <w:szCs w:val="21"/>
              </w:rPr>
              <w:t xml:space="preserve">额定频率：50 HZ </w:t>
            </w:r>
            <w:r>
              <w:rPr>
                <w:rFonts w:ascii="宋体" w:eastAsia="宋体" w:hAnsi="宋体" w:cs="宋体" w:hint="eastAsia"/>
                <w:szCs w:val="21"/>
              </w:rPr>
              <w:br/>
              <w:t xml:space="preserve">b) 额定输出功率：≮10KW  </w:t>
            </w:r>
            <w:r>
              <w:rPr>
                <w:rFonts w:ascii="宋体" w:eastAsia="宋体" w:hAnsi="宋体" w:cs="宋体" w:hint="eastAsia"/>
                <w:szCs w:val="21"/>
              </w:rPr>
              <w:br/>
              <w:t>c) 额定电压：230 V</w:t>
            </w:r>
            <w:r>
              <w:rPr>
                <w:rFonts w:ascii="宋体" w:eastAsia="宋体" w:hAnsi="宋体" w:cs="宋体" w:hint="eastAsia"/>
                <w:szCs w:val="21"/>
              </w:rPr>
              <w:br/>
              <w:t>d) 噪音（1m处）：≤75 dB(A)</w:t>
            </w:r>
          </w:p>
          <w:p w:rsidR="00800AF2">
            <w:pPr>
              <w:numPr>
                <w:ilvl w:val="0"/>
                <w:numId w:val="33"/>
              </w:numPr>
              <w:spacing w:line="360" w:lineRule="auto"/>
              <w:rPr>
                <w:rFonts w:ascii="宋体" w:eastAsia="宋体" w:hAnsi="宋体" w:cs="宋体" w:hint="eastAsia"/>
                <w:szCs w:val="21"/>
              </w:rPr>
            </w:pPr>
            <w:r>
              <w:rPr>
                <w:rFonts w:ascii="宋体" w:eastAsia="宋体" w:hAnsi="宋体" w:cs="宋体" w:hint="eastAsia"/>
                <w:szCs w:val="21"/>
              </w:rPr>
              <w:t>高原适配型：≥4000m可正常使用</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52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配电箱</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集中式电源管理系统，含电源漏电保护、开关、电源电压电流显示等，开关分别控制空调、设备用电等:配电盘面板为数控机床加工，表面喷塑处理。</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520"/>
        </w:trPr>
        <w:tc>
          <w:tcPr>
            <w:tcW w:w="661" w:type="pct"/>
            <w:vAlign w:val="center"/>
          </w:tcPr>
          <w:p w:rsidR="00800AF2">
            <w:pPr>
              <w:spacing w:line="360" w:lineRule="auto"/>
              <w:contextualSpacing/>
              <w:rPr>
                <w:rFonts w:ascii="宋体" w:eastAsia="宋体" w:hAnsi="宋体" w:cs="宋体" w:hint="eastAsia"/>
                <w:szCs w:val="21"/>
              </w:rPr>
            </w:pPr>
            <w:r>
              <w:rPr>
                <w:rFonts w:ascii="宋体" w:eastAsia="宋体" w:hAnsi="宋体" w:cs="宋体" w:hint="eastAsia"/>
                <w:szCs w:val="21"/>
              </w:rPr>
              <w:t>舱体接地系统</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含接地桩、接地线，电源防浪涌装置。</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2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对外接口板</w:t>
            </w:r>
          </w:p>
        </w:tc>
        <w:tc>
          <w:tcPr>
            <w:tcW w:w="3398"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含电源、数据传输接口。</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4" w:type="pct"/>
          <w:tblLook w:val="04A0"/>
        </w:tblPrEx>
        <w:trPr>
          <w:trHeight w:val="2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定位系统</w:t>
            </w:r>
          </w:p>
        </w:tc>
        <w:tc>
          <w:tcPr>
            <w:tcW w:w="3398" w:type="pct"/>
            <w:vAlign w:val="center"/>
          </w:tcPr>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 xml:space="preserve">定位功能：具备支持单独使用北斗定位功能； </w:t>
            </w:r>
          </w:p>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定位精度：≤5m；测速精度：≤0.2m/s；</w:t>
            </w:r>
          </w:p>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 xml:space="preserve">首次定位时间：冷启动≤120秒，热启动≤10秒； </w:t>
            </w:r>
          </w:p>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接收频率：支持北斗B1频段；</w:t>
            </w:r>
          </w:p>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 xml:space="preserve">捕获灵敏度：≤-133dBm；跟踪灵敏度：≤-147dBm； </w:t>
            </w:r>
          </w:p>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接收波束个数：北斗二号≥10个，北斗三号≥14个；</w:t>
            </w:r>
          </w:p>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 xml:space="preserve">发射频点：Lf1、Lf2； </w:t>
            </w:r>
          </w:p>
          <w:p w:rsidR="00800AF2">
            <w:pPr>
              <w:widowControl/>
              <w:numPr>
                <w:ilvl w:val="0"/>
                <w:numId w:val="34"/>
              </w:numPr>
              <w:spacing w:line="360" w:lineRule="auto"/>
              <w:rPr>
                <w:rFonts w:ascii="宋体" w:eastAsia="宋体" w:hAnsi="宋体" w:cs="宋体" w:hint="eastAsia"/>
                <w:szCs w:val="21"/>
              </w:rPr>
            </w:pPr>
            <w:r>
              <w:rPr>
                <w:rFonts w:ascii="宋体" w:eastAsia="宋体" w:hAnsi="宋体" w:cs="宋体" w:hint="eastAsia"/>
                <w:szCs w:val="21"/>
              </w:rPr>
              <w:t>支持北斗三号系统，支持北斗三号区域短报文通信服务；</w:t>
            </w:r>
          </w:p>
          <w:p w:rsidR="00800AF2">
            <w:pPr>
              <w:spacing w:line="360" w:lineRule="auto"/>
              <w:rPr>
                <w:rFonts w:ascii="宋体" w:eastAsia="宋体" w:hAnsi="宋体" w:cs="宋体" w:hint="eastAsia"/>
                <w:szCs w:val="21"/>
              </w:rPr>
            </w:pPr>
            <w:r>
              <w:rPr>
                <w:rFonts w:ascii="宋体" w:eastAsia="宋体" w:hAnsi="宋体" w:cs="宋体" w:hint="eastAsia"/>
                <w:szCs w:val="21"/>
              </w:rPr>
              <w:t>i</w:t>
            </w:r>
            <w:r>
              <w:rPr>
                <w:rFonts w:ascii="宋体" w:eastAsia="宋体" w:hAnsi="宋体" w:cs="宋体" w:hint="eastAsia"/>
                <w:szCs w:val="21"/>
              </w:rPr>
              <w:t>)防护等级：≥IP67。</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92" w:name="_Toc13397"/>
      <w:r>
        <w:rPr>
          <w:rFonts w:ascii="宋体" w:eastAsia="宋体" w:hAnsi="宋体" w:cs="宋体" w:hint="eastAsia"/>
          <w:bCs/>
          <w:color w:val="000000"/>
          <w:szCs w:val="21"/>
        </w:rPr>
        <w:t>5.3.5.2移动式火箭发射装置</w:t>
      </w:r>
      <w:bookmarkEnd w:id="92"/>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移动式火箭发射装置应符合《人工影响天气火箭发射架通用技术规范》，满足箭架分离、自动化、信息化功能，设备数据实时对接“天工”平台。</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45</w:t>
      </w:r>
      <w:r>
        <w:rPr>
          <w:rFonts w:ascii="宋体" w:eastAsia="宋体" w:hAnsi="宋体" w:cs="宋体" w:hint="eastAsia"/>
          <w:szCs w:val="21"/>
        </w:rPr>
        <w:fldChar w:fldCharType="end"/>
      </w:r>
      <w:r>
        <w:rPr>
          <w:rFonts w:ascii="宋体" w:eastAsia="宋体" w:hAnsi="宋体" w:cs="宋体" w:hint="eastAsia"/>
          <w:bCs/>
          <w:color w:val="000000"/>
          <w:szCs w:val="21"/>
        </w:rPr>
        <w:t>移动式火箭发射装置技术参数表</w:t>
      </w:r>
    </w:p>
    <w:tbl>
      <w:tblPr>
        <w:tblStyle w:val="TableGrid"/>
        <w:tblW w:w="0" w:type="auto"/>
        <w:jc w:val="center"/>
        <w:tblInd w:w="0" w:type="dxa"/>
        <w:tblCellMar>
          <w:top w:w="0" w:type="dxa"/>
          <w:left w:w="108" w:type="dxa"/>
          <w:bottom w:w="0" w:type="dxa"/>
          <w:right w:w="108" w:type="dxa"/>
        </w:tblCellMar>
        <w:tblLook w:val="04A0"/>
      </w:tblPr>
      <w:tblGrid>
        <w:gridCol w:w="2258"/>
        <w:gridCol w:w="3397"/>
        <w:gridCol w:w="2867"/>
      </w:tblGrid>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项目</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性能指标</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发射轨道长</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≥1500 mm</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发射轨道</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4/6/8/10 发射通道，兼容多种弹径，发射通道的顺序号应与发射控制终端通道号一一对应</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仰射角调整范围</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7°～85°</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restar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仰射角</w:t>
            </w: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调整速度</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≥3°/s</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ign w:val="center"/>
          </w:tcPr>
          <w:p w:rsidR="00800AF2">
            <w:pPr>
              <w:spacing w:line="360" w:lineRule="auto"/>
              <w:jc w:val="center"/>
              <w:rPr>
                <w:rFonts w:ascii="宋体" w:eastAsia="宋体" w:hAnsi="宋体" w:cs="宋体" w:hint="eastAsia"/>
                <w:szCs w:val="21"/>
              </w:rPr>
            </w:pP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准确度</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±0.5°</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ign w:val="center"/>
          </w:tcPr>
          <w:p w:rsidR="00800AF2">
            <w:pPr>
              <w:spacing w:line="360" w:lineRule="auto"/>
              <w:jc w:val="center"/>
              <w:rPr>
                <w:rFonts w:ascii="宋体" w:eastAsia="宋体" w:hAnsi="宋体" w:cs="宋体" w:hint="eastAsia"/>
                <w:szCs w:val="21"/>
              </w:rPr>
            </w:pP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测量精度</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ign w:val="center"/>
          </w:tcPr>
          <w:p w:rsidR="00800AF2">
            <w:pPr>
              <w:spacing w:line="360" w:lineRule="auto"/>
              <w:jc w:val="center"/>
              <w:rPr>
                <w:rFonts w:ascii="宋体" w:eastAsia="宋体" w:hAnsi="宋体" w:cs="宋体" w:hint="eastAsia"/>
                <w:szCs w:val="21"/>
              </w:rPr>
            </w:pP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分辨率</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restar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方位角</w:t>
            </w: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调整速度</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≥5°/s</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ign w:val="center"/>
          </w:tcPr>
          <w:p w:rsidR="00800AF2">
            <w:pPr>
              <w:spacing w:line="360" w:lineRule="auto"/>
              <w:jc w:val="center"/>
              <w:rPr>
                <w:rFonts w:ascii="宋体" w:eastAsia="宋体" w:hAnsi="宋体" w:cs="宋体" w:hint="eastAsia"/>
                <w:szCs w:val="21"/>
              </w:rPr>
            </w:pP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准确度</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±0.5°</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ign w:val="center"/>
          </w:tcPr>
          <w:p w:rsidR="00800AF2">
            <w:pPr>
              <w:spacing w:line="360" w:lineRule="auto"/>
              <w:jc w:val="center"/>
              <w:rPr>
                <w:rFonts w:ascii="宋体" w:eastAsia="宋体" w:hAnsi="宋体" w:cs="宋体" w:hint="eastAsia"/>
                <w:szCs w:val="21"/>
              </w:rPr>
            </w:pP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转动回差</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ign w:val="center"/>
          </w:tcPr>
          <w:p w:rsidR="00800AF2">
            <w:pPr>
              <w:spacing w:line="360" w:lineRule="auto"/>
              <w:jc w:val="center"/>
              <w:rPr>
                <w:rFonts w:ascii="宋体" w:eastAsia="宋体" w:hAnsi="宋体" w:cs="宋体" w:hint="eastAsia"/>
                <w:szCs w:val="21"/>
              </w:rPr>
            </w:pP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测量精度</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r>
      <w:tr>
        <w:tblPrEx>
          <w:tblW w:w="0" w:type="auto"/>
          <w:jc w:val="center"/>
          <w:tblInd w:w="0" w:type="dxa"/>
          <w:tblCellMar>
            <w:top w:w="0" w:type="dxa"/>
            <w:left w:w="108" w:type="dxa"/>
            <w:bottom w:w="0" w:type="dxa"/>
            <w:right w:w="108" w:type="dxa"/>
          </w:tblCellMar>
          <w:tblLook w:val="04A0"/>
        </w:tblPrEx>
        <w:trPr>
          <w:jc w:val="center"/>
        </w:trPr>
        <w:tc>
          <w:tcPr>
            <w:tcW w:w="2258" w:type="dxa"/>
            <w:vMerge/>
            <w:vAlign w:val="center"/>
          </w:tcPr>
          <w:p w:rsidR="00800AF2">
            <w:pPr>
              <w:spacing w:line="360" w:lineRule="auto"/>
              <w:jc w:val="center"/>
              <w:rPr>
                <w:rFonts w:ascii="宋体" w:eastAsia="宋体" w:hAnsi="宋体" w:cs="宋体" w:hint="eastAsia"/>
                <w:szCs w:val="21"/>
              </w:rPr>
            </w:pPr>
          </w:p>
        </w:tc>
        <w:tc>
          <w:tcPr>
            <w:tcW w:w="339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分辨率</w:t>
            </w:r>
          </w:p>
        </w:tc>
        <w:tc>
          <w:tcPr>
            <w:tcW w:w="2867"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坐标定位精度</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10 ｍ</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坐标定位时间</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≤60 s</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供电电源</w:t>
            </w:r>
          </w:p>
        </w:tc>
        <w:tc>
          <w:tcPr>
            <w:tcW w:w="6264" w:type="dxa"/>
            <w:gridSpan w:val="2"/>
            <w:vAlign w:val="center"/>
          </w:tcPr>
          <w:p w:rsidR="00800AF2">
            <w:pPr>
              <w:spacing w:line="360" w:lineRule="auto"/>
              <w:ind w:firstLine="420" w:firstLineChars="200"/>
              <w:contextualSpacing/>
              <w:jc w:val="center"/>
              <w:rPr>
                <w:rFonts w:ascii="宋体" w:eastAsia="宋体" w:hAnsi="宋体" w:cs="宋体" w:hint="eastAsia"/>
                <w:szCs w:val="21"/>
              </w:rPr>
            </w:pPr>
            <w:r>
              <w:rPr>
                <w:rFonts w:ascii="宋体" w:eastAsia="宋体" w:hAnsi="宋体" w:cs="宋体" w:hint="eastAsia"/>
                <w:szCs w:val="21"/>
              </w:rPr>
              <w:t>DC 36 V/20 Ah或24V/30Ah</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使用寿命</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不低于8 年</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发射架适用温度</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-20℃～50℃</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解锁控制器适用温度</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-40℃～75℃</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作业安全监控终端工作温度</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-30～70℃</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作业安全监控终端存储温度</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-40～85℃</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发射架的防水等级</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应不低于 IPX5</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解锁控制器防水等级</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达到IPX4标准</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作业安全监控终端防水等级</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达到IP67标准</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电容放电点火</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充能应不小于200A²·</w:t>
            </w:r>
            <w:r>
              <w:rPr>
                <w:rFonts w:ascii="宋体" w:eastAsia="宋体" w:hAnsi="宋体" w:cs="宋体" w:hint="eastAsia"/>
                <w:szCs w:val="21"/>
              </w:rPr>
              <w:t>ms</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恒流脉冲点火</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电流应不小于2.5A，脉宽应不小于50ms</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检测电流</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≤3mA</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电阻检测精度</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≤0.1Ω</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点火方式</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直接点火或间接点火</w:t>
            </w:r>
          </w:p>
        </w:tc>
      </w:tr>
      <w:tr>
        <w:tblPrEx>
          <w:tblW w:w="0" w:type="auto"/>
          <w:jc w:val="center"/>
          <w:tblInd w:w="0" w:type="dxa"/>
          <w:tblCellMar>
            <w:top w:w="0" w:type="dxa"/>
            <w:left w:w="108" w:type="dxa"/>
            <w:bottom w:w="0" w:type="dxa"/>
            <w:right w:w="108" w:type="dxa"/>
          </w:tblCellMar>
          <w:tblLook w:val="04A0"/>
        </w:tblPrEx>
        <w:trPr>
          <w:jc w:val="center"/>
        </w:trPr>
        <w:tc>
          <w:tcPr>
            <w:tcW w:w="2258"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安全功能应满足下列</w:t>
            </w:r>
            <w:r>
              <w:rPr>
                <w:rFonts w:ascii="宋体" w:eastAsia="宋体" w:hAnsi="宋体" w:cs="宋体" w:hint="eastAsia"/>
                <w:szCs w:val="21"/>
              </w:rPr>
              <w:t>要求</w:t>
            </w:r>
          </w:p>
        </w:tc>
        <w:tc>
          <w:tcPr>
            <w:tcW w:w="6264"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具有发射安全保护功能、具有安全射界识别功能</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93" w:name="_Toc24603"/>
      <w:r>
        <w:rPr>
          <w:rFonts w:ascii="宋体" w:eastAsia="宋体" w:hAnsi="宋体" w:cs="宋体" w:hint="eastAsia"/>
          <w:bCs/>
          <w:color w:val="000000"/>
          <w:szCs w:val="21"/>
        </w:rPr>
        <w:t>5.3.5.3基于三码绑定的人影火箭发射安全锁控系统</w:t>
      </w:r>
      <w:bookmarkEnd w:id="93"/>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1.解锁控制器：</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 每通道输出最大电流≤3mA；</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 读 UID 指令执行时间＜1秒；</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 弹药解锁指令执行时间小于3秒；</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4） 通道数不少于12个；</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 工作温度范围：-40℃至+75℃；</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6） 输入电源电压范围：12V至48V；</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7) RS485 和 RS232 接口。</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2.数码模块：</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 工作电压：5V～80V；</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 待机电流小于0.2mA；</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 解锁后插入电阻小于0.5Ω；</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4） 通信方式：双向无极性；</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5） 解锁保持时间不超过300秒；</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6） 保持时间设定范围：0至300秒，步长为1秒；</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7） 操作温度范围：-40℃至+75℃；</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8） 存储温度：-55℃～+65℃；</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9） 抗交流电压：380VAC；</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10） 抗高压脉冲：2000V@100μF；</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11) 抗静电：25kV@500pF/5kΩ。</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3.注码设备：输出短路电流小于3mA，开路电压小于510V。</w:t>
      </w:r>
    </w:p>
    <w:p w:rsidR="00800AF2">
      <w:pPr>
        <w:spacing w:line="560" w:lineRule="exact"/>
        <w:ind w:firstLine="420" w:firstLineChars="200"/>
        <w:jc w:val="left"/>
        <w:outlineLvl w:val="3"/>
        <w:rPr>
          <w:rFonts w:ascii="宋体" w:eastAsia="宋体" w:hAnsi="宋体" w:cs="宋体" w:hint="eastAsia"/>
          <w:bCs/>
          <w:color w:val="000000"/>
          <w:szCs w:val="21"/>
        </w:rPr>
      </w:pPr>
      <w:bookmarkStart w:id="94" w:name="_Toc14391"/>
      <w:r>
        <w:rPr>
          <w:rFonts w:ascii="宋体" w:eastAsia="宋体" w:hAnsi="宋体" w:cs="宋体" w:hint="eastAsia"/>
          <w:bCs/>
          <w:color w:val="000000"/>
          <w:szCs w:val="21"/>
        </w:rPr>
        <w:t>5.3.5.4无线安全锁定发控器</w:t>
      </w:r>
      <w:bookmarkEnd w:id="94"/>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无线安全锁定发控器主要用于与移动式火箭发射装置进行数据通讯和指令下发，由显示</w:t>
      </w:r>
      <w:r>
        <w:rPr>
          <w:rFonts w:ascii="宋体" w:eastAsia="宋体" w:hAnsi="宋体" w:cs="宋体" w:hint="eastAsia"/>
          <w:bCs/>
          <w:color w:val="000000"/>
          <w:szCs w:val="21"/>
        </w:rPr>
        <w:t>屏、薄膜按键、指纹模块、控制模块、电源模块、18650电池、天线、FPC排线和数据充电口等组成。</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46</w:t>
      </w:r>
      <w:r>
        <w:rPr>
          <w:rFonts w:ascii="宋体" w:eastAsia="宋体" w:hAnsi="宋体" w:cs="宋体" w:hint="eastAsia"/>
          <w:szCs w:val="21"/>
        </w:rPr>
        <w:fldChar w:fldCharType="end"/>
      </w:r>
      <w:r>
        <w:rPr>
          <w:rFonts w:ascii="宋体" w:eastAsia="宋体" w:hAnsi="宋体" w:cs="宋体" w:hint="eastAsia"/>
          <w:bCs/>
          <w:color w:val="000000"/>
          <w:szCs w:val="21"/>
        </w:rPr>
        <w:t>无线安全锁定发控器技术参数表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561"/>
        <w:gridCol w:w="1823"/>
        <w:gridCol w:w="495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Ex>
        <w:trPr>
          <w:tblHeader/>
        </w:trPr>
        <w:tc>
          <w:tcPr>
            <w:tcW w:w="3681"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项目</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性能指标</w:t>
            </w:r>
          </w:p>
        </w:tc>
      </w:tr>
      <w:tr>
        <w:tblPrEx>
          <w:tblW w:w="0" w:type="auto"/>
          <w:tblCellMar>
            <w:top w:w="15" w:type="dxa"/>
            <w:left w:w="15" w:type="dxa"/>
            <w:bottom w:w="15" w:type="dxa"/>
            <w:right w:w="15" w:type="dxa"/>
          </w:tblCellMar>
          <w:tblLook w:val="04A0"/>
        </w:tblPrEx>
        <w:tc>
          <w:tcPr>
            <w:tcW w:w="3681"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通讯距离</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≥50 m</w:t>
            </w:r>
          </w:p>
        </w:tc>
      </w:tr>
      <w:tr>
        <w:tblPrEx>
          <w:tblW w:w="0" w:type="auto"/>
          <w:tblCellMar>
            <w:top w:w="15" w:type="dxa"/>
            <w:left w:w="15" w:type="dxa"/>
            <w:bottom w:w="15" w:type="dxa"/>
            <w:right w:w="15" w:type="dxa"/>
          </w:tblCellMar>
          <w:tblLook w:val="04A0"/>
        </w:tblPrEx>
        <w:tc>
          <w:tcPr>
            <w:tcW w:w="3681"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供电方式</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内部电源：3.7V 5200mAh 锂电池</w:t>
            </w:r>
          </w:p>
        </w:tc>
      </w:tr>
      <w:tr>
        <w:tblPrEx>
          <w:tblW w:w="0" w:type="auto"/>
          <w:tblCellMar>
            <w:top w:w="15" w:type="dxa"/>
            <w:left w:w="15" w:type="dxa"/>
            <w:bottom w:w="15" w:type="dxa"/>
            <w:right w:w="15" w:type="dxa"/>
          </w:tblCellMar>
          <w:tblLook w:val="04A0"/>
        </w:tblPrEx>
        <w:tc>
          <w:tcPr>
            <w:tcW w:w="3681"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连续工作时间</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 8 h</w:t>
            </w:r>
          </w:p>
        </w:tc>
      </w:tr>
      <w:tr>
        <w:tblPrEx>
          <w:tblW w:w="0" w:type="auto"/>
          <w:tblCellMar>
            <w:top w:w="15" w:type="dxa"/>
            <w:left w:w="15" w:type="dxa"/>
            <w:bottom w:w="15" w:type="dxa"/>
            <w:right w:w="15" w:type="dxa"/>
          </w:tblCellMar>
          <w:tblLook w:val="04A0"/>
        </w:tblPrEx>
        <w:tc>
          <w:tcPr>
            <w:tcW w:w="1696" w:type="dxa"/>
            <w:vMerge w:val="restar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环境适应性</w:t>
            </w:r>
          </w:p>
        </w:tc>
        <w:tc>
          <w:tcPr>
            <w:tcW w:w="1985" w:type="dxa"/>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防水等级</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5 级</w:t>
            </w:r>
          </w:p>
        </w:tc>
      </w:tr>
      <w:tr>
        <w:tblPrEx>
          <w:tblW w:w="0" w:type="auto"/>
          <w:tblCellMar>
            <w:top w:w="15" w:type="dxa"/>
            <w:left w:w="15" w:type="dxa"/>
            <w:bottom w:w="15" w:type="dxa"/>
            <w:right w:w="15" w:type="dxa"/>
          </w:tblCellMar>
          <w:tblLook w:val="04A0"/>
        </w:tblPrEx>
        <w:tc>
          <w:tcPr>
            <w:tcW w:w="1696" w:type="dxa"/>
            <w:vMerge/>
            <w:vAlign w:val="center"/>
          </w:tcPr>
          <w:p w:rsidR="00800AF2">
            <w:pPr>
              <w:spacing w:line="360" w:lineRule="auto"/>
              <w:jc w:val="center"/>
              <w:rPr>
                <w:rFonts w:ascii="宋体" w:eastAsia="宋体" w:hAnsi="宋体" w:cs="宋体" w:hint="eastAsia"/>
                <w:szCs w:val="21"/>
              </w:rPr>
            </w:pPr>
          </w:p>
        </w:tc>
        <w:tc>
          <w:tcPr>
            <w:tcW w:w="1985" w:type="dxa"/>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防尘等级</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6 级</w:t>
            </w:r>
          </w:p>
        </w:tc>
      </w:tr>
      <w:tr>
        <w:tblPrEx>
          <w:tblW w:w="0" w:type="auto"/>
          <w:tblCellMar>
            <w:top w:w="15" w:type="dxa"/>
            <w:left w:w="15" w:type="dxa"/>
            <w:bottom w:w="15" w:type="dxa"/>
            <w:right w:w="15" w:type="dxa"/>
          </w:tblCellMar>
          <w:tblLook w:val="04A0"/>
        </w:tblPrEx>
        <w:tc>
          <w:tcPr>
            <w:tcW w:w="1696" w:type="dxa"/>
            <w:vMerge/>
            <w:vAlign w:val="center"/>
          </w:tcPr>
          <w:p w:rsidR="00800AF2">
            <w:pPr>
              <w:spacing w:line="360" w:lineRule="auto"/>
              <w:jc w:val="center"/>
              <w:rPr>
                <w:rFonts w:ascii="宋体" w:eastAsia="宋体" w:hAnsi="宋体" w:cs="宋体" w:hint="eastAsia"/>
                <w:szCs w:val="21"/>
              </w:rPr>
            </w:pPr>
          </w:p>
        </w:tc>
        <w:tc>
          <w:tcPr>
            <w:tcW w:w="1985" w:type="dxa"/>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环境温度</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-20℃～+50℃</w:t>
            </w:r>
          </w:p>
        </w:tc>
      </w:tr>
      <w:tr>
        <w:tblPrEx>
          <w:tblW w:w="0" w:type="auto"/>
          <w:tblCellMar>
            <w:top w:w="15" w:type="dxa"/>
            <w:left w:w="15" w:type="dxa"/>
            <w:bottom w:w="15" w:type="dxa"/>
            <w:right w:w="15" w:type="dxa"/>
          </w:tblCellMar>
          <w:tblLook w:val="04A0"/>
        </w:tblPrEx>
        <w:tc>
          <w:tcPr>
            <w:tcW w:w="1696" w:type="dxa"/>
            <w:vMerge/>
            <w:vAlign w:val="center"/>
          </w:tcPr>
          <w:p w:rsidR="00800AF2">
            <w:pPr>
              <w:spacing w:line="360" w:lineRule="auto"/>
              <w:jc w:val="center"/>
              <w:rPr>
                <w:rFonts w:ascii="宋体" w:eastAsia="宋体" w:hAnsi="宋体" w:cs="宋体" w:hint="eastAsia"/>
                <w:szCs w:val="21"/>
              </w:rPr>
            </w:pPr>
          </w:p>
        </w:tc>
        <w:tc>
          <w:tcPr>
            <w:tcW w:w="1985" w:type="dxa"/>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环境湿度</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10% RH～100% RH</w:t>
            </w:r>
          </w:p>
        </w:tc>
      </w:tr>
      <w:tr>
        <w:tblPrEx>
          <w:tblW w:w="0" w:type="auto"/>
          <w:tblCellMar>
            <w:top w:w="15" w:type="dxa"/>
            <w:left w:w="15" w:type="dxa"/>
            <w:bottom w:w="15" w:type="dxa"/>
            <w:right w:w="15" w:type="dxa"/>
          </w:tblCellMar>
          <w:tblLook w:val="04A0"/>
        </w:tblPrEx>
        <w:tc>
          <w:tcPr>
            <w:tcW w:w="3681" w:type="dxa"/>
            <w:gridSpan w:val="2"/>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安全要求</w:t>
            </w:r>
          </w:p>
        </w:tc>
        <w:tc>
          <w:tcPr>
            <w:tcW w:w="5381"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具备指纹识别或数字密码识别功能</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95" w:name="_Toc1164"/>
      <w:r>
        <w:rPr>
          <w:rFonts w:ascii="宋体" w:eastAsia="宋体" w:hAnsi="宋体" w:cs="宋体" w:hint="eastAsia"/>
          <w:bCs/>
          <w:color w:val="000000"/>
          <w:szCs w:val="21"/>
        </w:rPr>
        <w:t>5.3.5.5液压转运平台</w:t>
      </w:r>
      <w:bookmarkEnd w:id="95"/>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液压转运平台用于火箭发射装置的日常转运和装卸，应具有承载能力强，稳定性好，易于操作与维护和节能环保以及适应性强等优点。</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（1）平台尺寸不小于(L×A1×B)：1200mm×610mm×80mm；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 xml:space="preserve">（2）外包装尺寸(mm)：1370×620×390； </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（3）高承载 PU 脚轮，2 个万向型脚轮，两个固定型脚轮， 万向脚轮带刹。</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47</w:t>
      </w:r>
      <w:r>
        <w:rPr>
          <w:rFonts w:ascii="宋体" w:eastAsia="宋体" w:hAnsi="宋体" w:cs="宋体" w:hint="eastAsia"/>
          <w:szCs w:val="21"/>
        </w:rPr>
        <w:fldChar w:fldCharType="end"/>
      </w:r>
      <w:r>
        <w:rPr>
          <w:rFonts w:ascii="宋体" w:eastAsia="宋体" w:hAnsi="宋体" w:cs="宋体" w:hint="eastAsia"/>
          <w:szCs w:val="21"/>
        </w:rPr>
        <w:t xml:space="preserve"> </w:t>
      </w:r>
      <w:r>
        <w:rPr>
          <w:rFonts w:ascii="宋体" w:eastAsia="宋体" w:hAnsi="宋体" w:cs="宋体" w:hint="eastAsia"/>
          <w:bCs/>
          <w:color w:val="000000"/>
          <w:szCs w:val="21"/>
        </w:rPr>
        <w:t>液压转运平台技术参数</w:t>
      </w:r>
    </w:p>
    <w:tbl>
      <w:tblPr>
        <w:tblStyle w:val="TableNormal"/>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405"/>
        <w:gridCol w:w="6662"/>
      </w:tblGrid>
      <w:tr>
        <w:tblPrEx>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Ex>
        <w:trPr>
          <w:tblHeader/>
        </w:trPr>
        <w:tc>
          <w:tcPr>
            <w:tcW w:w="240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项目</w:t>
            </w:r>
          </w:p>
        </w:tc>
        <w:tc>
          <w:tcPr>
            <w:tcW w:w="6662"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性能指标</w:t>
            </w:r>
          </w:p>
        </w:tc>
      </w:tr>
      <w:tr>
        <w:tblPrEx>
          <w:tblW w:w="9067" w:type="dxa"/>
          <w:tblCellMar>
            <w:top w:w="15" w:type="dxa"/>
            <w:left w:w="15" w:type="dxa"/>
            <w:bottom w:w="15" w:type="dxa"/>
            <w:right w:w="15" w:type="dxa"/>
          </w:tblCellMar>
          <w:tblLook w:val="04A0"/>
        </w:tblPrEx>
        <w:trPr>
          <w:tblHeader/>
        </w:trPr>
        <w:tc>
          <w:tcPr>
            <w:tcW w:w="240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pacing w:val="-10"/>
                <w:szCs w:val="21"/>
              </w:rPr>
              <w:t>承载（kg）</w:t>
            </w:r>
          </w:p>
        </w:tc>
        <w:tc>
          <w:tcPr>
            <w:tcW w:w="6662"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w:t>
            </w:r>
            <w:r>
              <w:rPr>
                <w:rFonts w:ascii="宋体" w:eastAsia="宋体" w:hAnsi="宋体" w:cs="宋体" w:hint="eastAsia"/>
                <w:spacing w:val="-10"/>
                <w:szCs w:val="21"/>
              </w:rPr>
              <w:t xml:space="preserve">1000 </w:t>
            </w:r>
          </w:p>
        </w:tc>
      </w:tr>
      <w:tr>
        <w:tblPrEx>
          <w:tblW w:w="9067" w:type="dxa"/>
          <w:tblCellMar>
            <w:top w:w="15" w:type="dxa"/>
            <w:left w:w="15" w:type="dxa"/>
            <w:bottom w:w="15" w:type="dxa"/>
            <w:right w:w="15" w:type="dxa"/>
          </w:tblCellMar>
          <w:tblLook w:val="04A0"/>
        </w:tblPrEx>
        <w:trPr>
          <w:tblHeader/>
        </w:trPr>
        <w:tc>
          <w:tcPr>
            <w:tcW w:w="240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pacing w:val="-10"/>
                <w:szCs w:val="21"/>
              </w:rPr>
              <w:t>最低高度 h（mm）</w:t>
            </w:r>
          </w:p>
        </w:tc>
        <w:tc>
          <w:tcPr>
            <w:tcW w:w="6662"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w:t>
            </w:r>
            <w:r>
              <w:rPr>
                <w:rFonts w:ascii="宋体" w:eastAsia="宋体" w:hAnsi="宋体" w:cs="宋体" w:hint="eastAsia"/>
                <w:spacing w:val="-10"/>
                <w:szCs w:val="21"/>
              </w:rPr>
              <w:t>380</w:t>
            </w:r>
          </w:p>
        </w:tc>
      </w:tr>
      <w:tr>
        <w:tblPrEx>
          <w:tblW w:w="9067" w:type="dxa"/>
          <w:tblCellMar>
            <w:top w:w="15" w:type="dxa"/>
            <w:left w:w="15" w:type="dxa"/>
            <w:bottom w:w="15" w:type="dxa"/>
            <w:right w:w="15" w:type="dxa"/>
          </w:tblCellMar>
          <w:tblLook w:val="04A0"/>
        </w:tblPrEx>
        <w:trPr>
          <w:tblHeader/>
        </w:trPr>
        <w:tc>
          <w:tcPr>
            <w:tcW w:w="2405" w:type="dxa"/>
            <w:vAlign w:val="center"/>
          </w:tcPr>
          <w:p w:rsidR="00800AF2">
            <w:pPr>
              <w:spacing w:line="360" w:lineRule="auto"/>
              <w:jc w:val="center"/>
              <w:rPr>
                <w:rFonts w:ascii="宋体" w:eastAsia="宋体" w:hAnsi="宋体" w:cs="宋体" w:hint="eastAsia"/>
                <w:spacing w:val="-10"/>
                <w:szCs w:val="21"/>
              </w:rPr>
            </w:pPr>
            <w:r>
              <w:rPr>
                <w:rFonts w:ascii="宋体" w:eastAsia="宋体" w:hAnsi="宋体" w:cs="宋体" w:hint="eastAsia"/>
                <w:spacing w:val="-10"/>
                <w:szCs w:val="21"/>
              </w:rPr>
              <w:t>最高高度h（mm）</w:t>
            </w:r>
          </w:p>
        </w:tc>
        <w:tc>
          <w:tcPr>
            <w:tcW w:w="6662" w:type="dxa"/>
            <w:vAlign w:val="center"/>
          </w:tcPr>
          <w:p w:rsidR="00800AF2">
            <w:pPr>
              <w:spacing w:line="360" w:lineRule="auto"/>
              <w:jc w:val="center"/>
              <w:rPr>
                <w:rFonts w:ascii="宋体" w:eastAsia="宋体" w:hAnsi="宋体" w:cs="宋体" w:hint="eastAsia"/>
                <w:spacing w:val="-10"/>
                <w:szCs w:val="21"/>
              </w:rPr>
            </w:pPr>
            <w:r>
              <w:rPr>
                <w:rFonts w:ascii="宋体" w:eastAsia="宋体" w:hAnsi="宋体" w:cs="宋体" w:hint="eastAsia"/>
                <w:szCs w:val="21"/>
              </w:rPr>
              <w:t>≥</w:t>
            </w:r>
            <w:r>
              <w:rPr>
                <w:rFonts w:ascii="宋体" w:eastAsia="宋体" w:hAnsi="宋体" w:cs="宋体" w:hint="eastAsia"/>
                <w:spacing w:val="-10"/>
                <w:szCs w:val="21"/>
              </w:rPr>
              <w:t>1000</w:t>
            </w:r>
          </w:p>
        </w:tc>
      </w:tr>
      <w:tr>
        <w:tblPrEx>
          <w:tblW w:w="9067" w:type="dxa"/>
          <w:tblCellMar>
            <w:top w:w="15" w:type="dxa"/>
            <w:left w:w="15" w:type="dxa"/>
            <w:bottom w:w="15" w:type="dxa"/>
            <w:right w:w="15" w:type="dxa"/>
          </w:tblCellMar>
          <w:tblLook w:val="04A0"/>
        </w:tblPrEx>
        <w:trPr>
          <w:tblHeader/>
        </w:trPr>
        <w:tc>
          <w:tcPr>
            <w:tcW w:w="240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pacing w:val="-10"/>
                <w:szCs w:val="21"/>
              </w:rPr>
              <w:t>轮子直径 D（mm）</w:t>
            </w:r>
          </w:p>
        </w:tc>
        <w:tc>
          <w:tcPr>
            <w:tcW w:w="6662"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w:t>
            </w:r>
            <w:r>
              <w:rPr>
                <w:rFonts w:ascii="宋体" w:eastAsia="宋体" w:hAnsi="宋体" w:cs="宋体" w:hint="eastAsia"/>
                <w:spacing w:val="-10"/>
                <w:szCs w:val="21"/>
              </w:rPr>
              <w:t xml:space="preserve">150 </w:t>
            </w:r>
          </w:p>
        </w:tc>
      </w:tr>
      <w:tr>
        <w:tblPrEx>
          <w:tblW w:w="9067" w:type="dxa"/>
          <w:tblCellMar>
            <w:top w:w="15" w:type="dxa"/>
            <w:left w:w="15" w:type="dxa"/>
            <w:bottom w:w="15" w:type="dxa"/>
            <w:right w:w="15" w:type="dxa"/>
          </w:tblCellMar>
          <w:tblLook w:val="04A0"/>
        </w:tblPrEx>
        <w:trPr>
          <w:tblHeader/>
        </w:trPr>
        <w:tc>
          <w:tcPr>
            <w:tcW w:w="240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pacing w:val="-10"/>
                <w:szCs w:val="21"/>
              </w:rPr>
              <w:t>把手高度 A（mm）</w:t>
            </w:r>
          </w:p>
        </w:tc>
        <w:tc>
          <w:tcPr>
            <w:tcW w:w="6662"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w:t>
            </w:r>
            <w:r>
              <w:rPr>
                <w:rFonts w:ascii="宋体" w:eastAsia="宋体" w:hAnsi="宋体" w:cs="宋体" w:hint="eastAsia"/>
                <w:spacing w:val="-10"/>
                <w:szCs w:val="21"/>
              </w:rPr>
              <w:t xml:space="preserve">960 </w:t>
            </w:r>
          </w:p>
        </w:tc>
      </w:tr>
      <w:tr>
        <w:tblPrEx>
          <w:tblW w:w="9067" w:type="dxa"/>
          <w:tblCellMar>
            <w:top w:w="15" w:type="dxa"/>
            <w:left w:w="15" w:type="dxa"/>
            <w:bottom w:w="15" w:type="dxa"/>
            <w:right w:w="15" w:type="dxa"/>
          </w:tblCellMar>
          <w:tblLook w:val="04A0"/>
        </w:tblPrEx>
        <w:trPr>
          <w:tblHeader/>
        </w:trPr>
        <w:tc>
          <w:tcPr>
            <w:tcW w:w="2405"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pacing w:val="-10"/>
                <w:szCs w:val="21"/>
              </w:rPr>
              <w:t>重量（kg）</w:t>
            </w:r>
          </w:p>
        </w:tc>
        <w:tc>
          <w:tcPr>
            <w:tcW w:w="6662" w:type="dxa"/>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napToGrid w:val="0"/>
                <w:color w:val="000000"/>
                <w:kern w:val="0"/>
                <w:szCs w:val="21"/>
              </w:rPr>
              <w:t>≤</w:t>
            </w:r>
            <w:r>
              <w:rPr>
                <w:rFonts w:ascii="宋体" w:eastAsia="宋体" w:hAnsi="宋体" w:cs="宋体" w:hint="eastAsia"/>
                <w:spacing w:val="-10"/>
                <w:szCs w:val="21"/>
              </w:rPr>
              <w:t>165</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96" w:name="_Toc11458"/>
      <w:r>
        <w:rPr>
          <w:rFonts w:ascii="宋体" w:eastAsia="宋体" w:hAnsi="宋体" w:cs="宋体" w:hint="eastAsia"/>
          <w:bCs/>
          <w:color w:val="000000"/>
          <w:szCs w:val="21"/>
        </w:rPr>
        <w:t>5.3.5.6弹药临时储运箱</w:t>
      </w:r>
      <w:bookmarkEnd w:id="96"/>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弹药临时储运箱根据方舱的尺寸，实现便捷安装、可拆卸、方便收纳、操作简单可靠等功能，同时，在不影响方舱使用的情况下，实现携弹量最大化。内置导轨，方便弹药放入，能够满足44mm、56mm、66mm、82mm 等口径火箭弹的安全储运要求。弹药临时储运箱主要由交叉臂，支撑平台，底板，电动推杆和储运箱箱体组成。具有以下功能：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1）作业期间弹药临时存储和转运功能；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2）作业期间弹药在作业现场的防潮、防雨功能；</w:t>
      </w:r>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3）作业期间防止弹药磕碰、静电及防盗窃。</w:t>
      </w:r>
    </w:p>
    <w:p w:rsidR="00800AF2">
      <w:pPr>
        <w:spacing w:line="560" w:lineRule="exact"/>
        <w:ind w:firstLine="420" w:firstLineChars="200"/>
        <w:jc w:val="left"/>
        <w:outlineLvl w:val="3"/>
        <w:rPr>
          <w:rFonts w:ascii="宋体" w:eastAsia="宋体" w:hAnsi="宋体" w:cs="宋体" w:hint="eastAsia"/>
          <w:bCs/>
          <w:color w:val="000000"/>
          <w:szCs w:val="21"/>
        </w:rPr>
      </w:pPr>
      <w:bookmarkStart w:id="97" w:name="_Toc10991"/>
      <w:r>
        <w:rPr>
          <w:rFonts w:ascii="宋体" w:eastAsia="宋体" w:hAnsi="宋体" w:cs="宋体" w:hint="eastAsia"/>
          <w:bCs/>
          <w:color w:val="000000"/>
          <w:szCs w:val="21"/>
        </w:rPr>
        <w:t>5.3.5.7火箭作业安全监控终端</w:t>
      </w:r>
      <w:bookmarkEnd w:id="97"/>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火箭作业安全监控终端采用天线主机一体化设计,集成北斗、RDSS、RNSS、4G多种通讯和定位模式，集成度高、功耗低，支持北斗三号短报文通信，配有专用的固定结构，能适应野外、沙漠等恶劣环境。实现自动采集、记录、存储、作业状态、接收作业指令、上报作业信息及补传作业信息以加密的方式通过网络实时与“天工”平台通讯及三码合一验证等功能。</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48</w:t>
      </w:r>
      <w:r>
        <w:rPr>
          <w:rFonts w:ascii="宋体" w:eastAsia="宋体" w:hAnsi="宋体" w:cs="宋体" w:hint="eastAsia"/>
          <w:szCs w:val="21"/>
        </w:rPr>
        <w:fldChar w:fldCharType="end"/>
      </w:r>
      <w:r>
        <w:rPr>
          <w:rFonts w:ascii="宋体" w:eastAsia="宋体" w:hAnsi="宋体" w:cs="宋体" w:hint="eastAsia"/>
          <w:bCs/>
          <w:color w:val="000000"/>
          <w:szCs w:val="21"/>
        </w:rPr>
        <w:t>火箭作业安全监控终端技术指标参数表</w:t>
      </w:r>
    </w:p>
    <w:tbl>
      <w:tblPr>
        <w:tblStyle w:val="13"/>
        <w:tblW w:w="9075" w:type="dxa"/>
        <w:jc w:val="center"/>
        <w:tblInd w:w="0" w:type="dxa"/>
        <w:tblCellMar>
          <w:top w:w="0" w:type="dxa"/>
          <w:left w:w="108" w:type="dxa"/>
          <w:bottom w:w="0" w:type="dxa"/>
          <w:right w:w="108" w:type="dxa"/>
        </w:tblCellMar>
        <w:tblLook w:val="04A0"/>
      </w:tblPr>
      <w:tblGrid>
        <w:gridCol w:w="1980"/>
        <w:gridCol w:w="2603"/>
        <w:gridCol w:w="4492"/>
      </w:tblGrid>
      <w:tr>
        <w:tblPrEx>
          <w:tblW w:w="9075" w:type="dxa"/>
          <w:jc w:val="center"/>
          <w:tblInd w:w="0" w:type="dxa"/>
          <w:tblCellMar>
            <w:top w:w="0" w:type="dxa"/>
            <w:left w:w="108" w:type="dxa"/>
            <w:bottom w:w="0" w:type="dxa"/>
            <w:right w:w="108" w:type="dxa"/>
          </w:tblCellMar>
          <w:tblLook w:val="04A0"/>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项目</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参数</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卫星通讯</w:t>
            </w: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接收灵敏度</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-130dBm（8Kbps）</w:t>
            </w:r>
          </w:p>
          <w:p w:rsidR="00800AF2">
            <w:pPr>
              <w:spacing w:line="360" w:lineRule="auto"/>
              <w:jc w:val="center"/>
              <w:rPr>
                <w:rFonts w:ascii="宋体" w:eastAsia="宋体" w:hAnsi="宋体" w:cs="宋体" w:hint="eastAsia"/>
                <w:szCs w:val="21"/>
              </w:rPr>
            </w:pPr>
            <w:r>
              <w:rPr>
                <w:rFonts w:ascii="宋体" w:eastAsia="宋体" w:hAnsi="宋体" w:cs="宋体" w:hint="eastAsia"/>
                <w:szCs w:val="21"/>
              </w:rPr>
              <w:t>-127.5dBm（16Kbps）</w:t>
            </w:r>
          </w:p>
          <w:p w:rsidR="00800AF2">
            <w:pPr>
              <w:spacing w:line="360" w:lineRule="auto"/>
              <w:jc w:val="center"/>
              <w:rPr>
                <w:rFonts w:ascii="宋体" w:eastAsia="宋体" w:hAnsi="宋体" w:cs="宋体" w:hint="eastAsia"/>
                <w:szCs w:val="21"/>
              </w:rPr>
            </w:pPr>
            <w:r>
              <w:rPr>
                <w:rFonts w:ascii="宋体" w:eastAsia="宋体" w:hAnsi="宋体" w:cs="宋体" w:hint="eastAsia"/>
                <w:szCs w:val="21"/>
              </w:rPr>
              <w:t>-123.8dBm（24Kbps）</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发射功率</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37.0dBm±0.5dB</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双向零值</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均值 1ms±10ns</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双通道时差测量误差</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方差＜5ns</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发射频率准确度</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优于 5×10</w:t>
            </w:r>
            <w:r>
              <w:rPr>
                <w:rFonts w:ascii="宋体" w:eastAsia="宋体" w:hAnsi="宋体" w:cs="宋体" w:hint="eastAsia"/>
                <w:szCs w:val="21"/>
                <w:vertAlign w:val="superscript"/>
              </w:rPr>
              <w:t>-7</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定位</w:t>
            </w: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接收频率</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BDS B1I，B1C</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协议版本</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NMEA0183，兼容北斗</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通道数目</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32通道及以上</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冷启动时间</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≤40s</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热启动时间</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≤3s</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捕获灵敏度</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-148dBm</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定位精度</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≤10m</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加密</w:t>
            </w: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支持加密方式</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DES/TDES/AES/SHA1/SHA</w:t>
            </w:r>
          </w:p>
          <w:p w:rsidR="00800AF2">
            <w:pPr>
              <w:spacing w:line="360" w:lineRule="auto"/>
              <w:jc w:val="center"/>
              <w:rPr>
                <w:rFonts w:ascii="宋体" w:eastAsia="宋体" w:hAnsi="宋体" w:cs="宋体" w:hint="eastAsia"/>
                <w:szCs w:val="21"/>
              </w:rPr>
            </w:pPr>
            <w:r>
              <w:rPr>
                <w:rFonts w:ascii="宋体" w:eastAsia="宋体" w:hAnsi="宋体" w:cs="宋体" w:hint="eastAsia"/>
                <w:szCs w:val="21"/>
              </w:rPr>
              <w:t>256/RSA/</w:t>
            </w:r>
          </w:p>
          <w:p w:rsidR="00800AF2">
            <w:pPr>
              <w:spacing w:line="360" w:lineRule="auto"/>
              <w:jc w:val="center"/>
              <w:rPr>
                <w:rFonts w:ascii="宋体" w:eastAsia="宋体" w:hAnsi="宋体" w:cs="宋体" w:hint="eastAsia"/>
                <w:szCs w:val="21"/>
              </w:rPr>
            </w:pPr>
            <w:r>
              <w:rPr>
                <w:rFonts w:ascii="宋体" w:eastAsia="宋体" w:hAnsi="宋体" w:cs="宋体" w:hint="eastAsia"/>
                <w:szCs w:val="21"/>
              </w:rPr>
              <w:t>国密 SM1/2/3/4/7</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算法移植</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支持，具备算法下载更新</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4G</w:t>
            </w: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网络制式</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LTE FDD: B1/B3/B5/B8LTE</w:t>
            </w:r>
          </w:p>
          <w:p w:rsidR="00800AF2">
            <w:pPr>
              <w:spacing w:line="360" w:lineRule="auto"/>
              <w:jc w:val="center"/>
              <w:rPr>
                <w:rFonts w:ascii="宋体" w:eastAsia="宋体" w:hAnsi="宋体" w:cs="宋体" w:hint="eastAsia"/>
                <w:szCs w:val="21"/>
              </w:rPr>
            </w:pPr>
            <w:r>
              <w:rPr>
                <w:rFonts w:ascii="宋体" w:eastAsia="宋体" w:hAnsi="宋体" w:cs="宋体" w:hint="eastAsia"/>
                <w:szCs w:val="21"/>
              </w:rPr>
              <w:t>TDD: 34/B38/B39/B40/B41</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WIFI</w:t>
            </w: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网络制式</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802.11 b/g/n</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有线</w:t>
            </w: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RS485</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默认参数：115200 8N1</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接口</w:t>
            </w: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供电电压范围</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9V～32V</w:t>
            </w:r>
          </w:p>
        </w:tc>
      </w:tr>
      <w:tr>
        <w:tblPrEx>
          <w:tblW w:w="9075" w:type="dxa"/>
          <w:jc w:val="center"/>
          <w:tblInd w:w="0" w:type="dxa"/>
          <w:tblCellMar>
            <w:top w:w="0" w:type="dxa"/>
            <w:left w:w="108" w:type="dxa"/>
            <w:bottom w:w="0" w:type="dxa"/>
            <w:right w:w="108" w:type="dxa"/>
          </w:tblCellMar>
          <w:tblLook w:val="04A0"/>
        </w:tblPrEx>
        <w:trPr>
          <w:jc w:val="center"/>
        </w:trPr>
        <w:tc>
          <w:tcPr>
            <w:tcW w:w="1980" w:type="dxa"/>
            <w:vMerge/>
            <w:tcBorders>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终端数据接口</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默认RS485，具备WIFI通信接口</w:t>
            </w:r>
          </w:p>
        </w:tc>
      </w:tr>
      <w:tr>
        <w:tblPrEx>
          <w:tblW w:w="9075" w:type="dxa"/>
          <w:jc w:val="center"/>
          <w:tblInd w:w="0" w:type="dxa"/>
          <w:tblCellMar>
            <w:top w:w="0" w:type="dxa"/>
            <w:left w:w="108" w:type="dxa"/>
            <w:bottom w:w="0" w:type="dxa"/>
            <w:right w:w="108" w:type="dxa"/>
          </w:tblCellMar>
          <w:tblLook w:val="04A0"/>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防护等级</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不小于IP65</w:t>
            </w:r>
          </w:p>
        </w:tc>
      </w:tr>
      <w:tr>
        <w:tblPrEx>
          <w:tblW w:w="9075" w:type="dxa"/>
          <w:jc w:val="center"/>
          <w:tblInd w:w="0" w:type="dxa"/>
          <w:tblCellMar>
            <w:top w:w="0" w:type="dxa"/>
            <w:left w:w="108" w:type="dxa"/>
            <w:bottom w:w="0" w:type="dxa"/>
            <w:right w:w="108" w:type="dxa"/>
          </w:tblCellMar>
          <w:tblLook w:val="04A0"/>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工作温度</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-30℃ ～70℃</w:t>
            </w:r>
          </w:p>
        </w:tc>
      </w:tr>
      <w:tr>
        <w:tblPrEx>
          <w:tblW w:w="9075" w:type="dxa"/>
          <w:jc w:val="center"/>
          <w:tblInd w:w="0" w:type="dxa"/>
          <w:tblCellMar>
            <w:top w:w="0" w:type="dxa"/>
            <w:left w:w="108" w:type="dxa"/>
            <w:bottom w:w="0" w:type="dxa"/>
            <w:right w:w="108" w:type="dxa"/>
          </w:tblCellMar>
          <w:tblLook w:val="04A0"/>
        </w:tblPrEx>
        <w:trPr>
          <w:jc w:val="center"/>
        </w:trPr>
        <w:tc>
          <w:tcPr>
            <w:tcW w:w="4583" w:type="dxa"/>
            <w:gridSpan w:val="2"/>
            <w:tcBorders>
              <w:top w:val="single" w:sz="4" w:space="0" w:color="auto"/>
              <w:left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尺寸</w:t>
            </w:r>
          </w:p>
        </w:tc>
        <w:tc>
          <w:tcPr>
            <w:tcW w:w="4492" w:type="dxa"/>
            <w:tcBorders>
              <w:top w:val="single" w:sz="4" w:space="0" w:color="auto"/>
              <w:left w:val="single" w:sz="4" w:space="0" w:color="auto"/>
              <w:bottom w:val="single" w:sz="4" w:space="0" w:color="auto"/>
              <w:right w:val="single" w:sz="4" w:space="0" w:color="auto"/>
            </w:tcBorders>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直径≤120mm，高度≤90mm</w:t>
            </w:r>
          </w:p>
        </w:tc>
      </w:tr>
    </w:tbl>
    <w:p w:rsidR="00800AF2">
      <w:pPr>
        <w:spacing w:line="560" w:lineRule="exact"/>
        <w:ind w:firstLine="420" w:firstLineChars="200"/>
        <w:jc w:val="left"/>
        <w:outlineLvl w:val="2"/>
        <w:rPr>
          <w:rFonts w:ascii="宋体" w:eastAsia="宋体" w:hAnsi="宋体" w:cs="宋体" w:hint="eastAsia"/>
          <w:bCs/>
          <w:color w:val="000000"/>
          <w:szCs w:val="21"/>
        </w:rPr>
      </w:pPr>
      <w:bookmarkStart w:id="98" w:name="_Toc12452"/>
      <w:r>
        <w:rPr>
          <w:rFonts w:ascii="宋体" w:eastAsia="宋体" w:hAnsi="宋体" w:cs="宋体" w:hint="eastAsia"/>
          <w:bCs/>
          <w:color w:val="000000"/>
          <w:szCs w:val="21"/>
        </w:rPr>
        <w:t>5.3.6设备配置</w:t>
      </w:r>
      <w:bookmarkEnd w:id="98"/>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49</w:t>
      </w:r>
      <w:r>
        <w:rPr>
          <w:rFonts w:ascii="宋体" w:eastAsia="宋体" w:hAnsi="宋体" w:cs="宋体" w:hint="eastAsia"/>
          <w:szCs w:val="21"/>
        </w:rPr>
        <w:fldChar w:fldCharType="end"/>
      </w:r>
      <w:r>
        <w:rPr>
          <w:rFonts w:ascii="宋体" w:eastAsia="宋体" w:hAnsi="宋体" w:cs="宋体" w:hint="eastAsia"/>
          <w:bCs/>
          <w:color w:val="000000"/>
          <w:szCs w:val="21"/>
        </w:rPr>
        <w:t>作业模组设备配置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3"/>
        <w:gridCol w:w="1474"/>
        <w:gridCol w:w="5062"/>
        <w:gridCol w:w="624"/>
        <w:gridCol w:w="62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名称</w:t>
            </w:r>
          </w:p>
        </w:tc>
        <w:tc>
          <w:tcPr>
            <w:tcW w:w="296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技术规格参数</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单位</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数量</w:t>
            </w:r>
          </w:p>
        </w:tc>
      </w:tr>
      <w:tr>
        <w:tblPrEx>
          <w:tblW w:w="5000" w:type="pct"/>
          <w:tblLook w:val="04A0"/>
        </w:tblPrEx>
        <w:trPr>
          <w:trHeight w:val="30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三</w:t>
            </w:r>
          </w:p>
        </w:tc>
        <w:tc>
          <w:tcPr>
            <w:tcW w:w="4569" w:type="pct"/>
            <w:gridSpan w:val="4"/>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作业模组分系统</w:t>
            </w:r>
          </w:p>
        </w:tc>
      </w:tr>
      <w:tr>
        <w:tblPrEx>
          <w:tblW w:w="5000" w:type="pct"/>
          <w:tblLook w:val="04A0"/>
        </w:tblPrEx>
        <w:trPr>
          <w:trHeight w:val="54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移动式火箭发射装置</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符合《人工影响天气火箭发射架通用技术规范》的人工影响天气火箭弹专用作业装置，能满足箭架分离，自动化、信息化功能，设备数据实时对接。</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216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无线安全锁定发控器</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外形尺寸：长×宽×高不小于204mm×100mm×35mm；</w:t>
            </w:r>
            <w:r>
              <w:rPr>
                <w:rFonts w:ascii="宋体" w:eastAsia="宋体" w:hAnsi="宋体" w:cs="宋体" w:hint="eastAsia"/>
                <w:kern w:val="0"/>
                <w:szCs w:val="21"/>
              </w:rPr>
              <w:br/>
              <w:t>通讯距离：≥50 m；</w:t>
            </w:r>
            <w:r>
              <w:rPr>
                <w:rFonts w:ascii="宋体" w:eastAsia="宋体" w:hAnsi="宋体" w:cs="宋体" w:hint="eastAsia"/>
                <w:kern w:val="0"/>
                <w:szCs w:val="21"/>
              </w:rPr>
              <w:br/>
              <w:t xml:space="preserve">供电方式：内部电源：3.7 V5200 </w:t>
            </w:r>
            <w:r>
              <w:rPr>
                <w:rFonts w:ascii="宋体" w:eastAsia="宋体" w:hAnsi="宋体" w:cs="宋体" w:hint="eastAsia"/>
                <w:kern w:val="0"/>
                <w:szCs w:val="21"/>
              </w:rPr>
              <w:t>mAh</w:t>
            </w:r>
            <w:r>
              <w:rPr>
                <w:rFonts w:ascii="宋体" w:eastAsia="宋体" w:hAnsi="宋体" w:cs="宋体" w:hint="eastAsia"/>
                <w:kern w:val="0"/>
                <w:szCs w:val="21"/>
              </w:rPr>
              <w:t>锂电池，连续工作时间：≥8 h；</w:t>
            </w:r>
            <w:r>
              <w:rPr>
                <w:rFonts w:ascii="宋体" w:eastAsia="宋体" w:hAnsi="宋体" w:cs="宋体" w:hint="eastAsia"/>
                <w:kern w:val="0"/>
                <w:szCs w:val="21"/>
              </w:rPr>
              <w:br/>
              <w:t>安全方式：指纹身份识别与数字密码识别；</w:t>
            </w:r>
            <w:r>
              <w:rPr>
                <w:rFonts w:ascii="宋体" w:eastAsia="宋体" w:hAnsi="宋体" w:cs="宋体" w:hint="eastAsia"/>
                <w:kern w:val="0"/>
                <w:szCs w:val="21"/>
              </w:rPr>
              <w:br/>
              <w:t>防水等级：5级；</w:t>
            </w:r>
            <w:r>
              <w:rPr>
                <w:rFonts w:ascii="宋体" w:eastAsia="宋体" w:hAnsi="宋体" w:cs="宋体" w:hint="eastAsia"/>
                <w:kern w:val="0"/>
                <w:szCs w:val="21"/>
              </w:rPr>
              <w:br/>
              <w:t>防尘等级：6级；</w:t>
            </w:r>
            <w:r>
              <w:rPr>
                <w:rFonts w:ascii="宋体" w:eastAsia="宋体" w:hAnsi="宋体" w:cs="宋体" w:hint="eastAsia"/>
                <w:kern w:val="0"/>
                <w:szCs w:val="21"/>
              </w:rPr>
              <w:br/>
            </w:r>
            <w:r>
              <w:rPr>
                <w:rFonts w:ascii="宋体" w:eastAsia="宋体" w:hAnsi="宋体" w:cs="宋体" w:hint="eastAsia"/>
                <w:kern w:val="0"/>
                <w:szCs w:val="21"/>
              </w:rPr>
              <w:t>工作环境温度：-20℃～+50℃；</w:t>
            </w:r>
            <w:r>
              <w:rPr>
                <w:rFonts w:ascii="宋体" w:eastAsia="宋体" w:hAnsi="宋体" w:cs="宋体" w:hint="eastAsia"/>
                <w:kern w:val="0"/>
                <w:szCs w:val="21"/>
              </w:rPr>
              <w:br/>
              <w:t>工作环境湿度：10% RH～100% RH。</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243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液压转运平台</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承载(Kg)：1000</w:t>
            </w:r>
            <w:r>
              <w:rPr>
                <w:rFonts w:ascii="宋体" w:eastAsia="宋体" w:hAnsi="宋体" w:cs="宋体" w:hint="eastAsia"/>
                <w:kern w:val="0"/>
                <w:szCs w:val="21"/>
              </w:rPr>
              <w:br/>
              <w:t>最低高度h(mm)：380</w:t>
            </w:r>
            <w:r>
              <w:rPr>
                <w:rFonts w:ascii="宋体" w:eastAsia="宋体" w:hAnsi="宋体" w:cs="宋体" w:hint="eastAsia"/>
                <w:kern w:val="0"/>
                <w:szCs w:val="21"/>
              </w:rPr>
              <w:br/>
              <w:t>最高高度h(mm)：1000</w:t>
            </w:r>
            <w:r>
              <w:rPr>
                <w:rFonts w:ascii="宋体" w:eastAsia="宋体" w:hAnsi="宋体" w:cs="宋体" w:hint="eastAsia"/>
                <w:kern w:val="0"/>
                <w:szCs w:val="21"/>
              </w:rPr>
              <w:br/>
              <w:t>平台尺寸不小于(L*A1*B)：1200mm×610mm×80mm</w:t>
            </w:r>
            <w:r>
              <w:rPr>
                <w:rFonts w:ascii="宋体" w:eastAsia="宋体" w:hAnsi="宋体" w:cs="宋体" w:hint="eastAsia"/>
                <w:kern w:val="0"/>
                <w:szCs w:val="21"/>
              </w:rPr>
              <w:br/>
              <w:t>轮子直径D(mm)：150</w:t>
            </w:r>
            <w:r>
              <w:rPr>
                <w:rFonts w:ascii="宋体" w:eastAsia="宋体" w:hAnsi="宋体" w:cs="宋体" w:hint="eastAsia"/>
                <w:kern w:val="0"/>
                <w:szCs w:val="21"/>
              </w:rPr>
              <w:br/>
              <w:t>把手高度A(mm)：960</w:t>
            </w:r>
            <w:r>
              <w:rPr>
                <w:rFonts w:ascii="宋体" w:eastAsia="宋体" w:hAnsi="宋体" w:cs="宋体" w:hint="eastAsia"/>
                <w:kern w:val="0"/>
                <w:szCs w:val="21"/>
              </w:rPr>
              <w:br/>
              <w:t>重量：165kg</w:t>
            </w:r>
            <w:r>
              <w:rPr>
                <w:rFonts w:ascii="宋体" w:eastAsia="宋体" w:hAnsi="宋体" w:cs="宋体" w:hint="eastAsia"/>
                <w:kern w:val="0"/>
                <w:szCs w:val="21"/>
              </w:rPr>
              <w:br/>
              <w:t>外包装尺寸(mm)：1370*620*390</w:t>
            </w:r>
            <w:r>
              <w:rPr>
                <w:rFonts w:ascii="宋体" w:eastAsia="宋体" w:hAnsi="宋体" w:cs="宋体" w:hint="eastAsia"/>
                <w:kern w:val="0"/>
                <w:szCs w:val="21"/>
              </w:rPr>
              <w:br/>
              <w:t>高承载PU脚轮，2个万向型脚轮，两个固定型脚轮，万向脚轮带刹.</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108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4</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弹药临时储运箱</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1）作业期间弹药临时存储和转运功能；</w:t>
            </w:r>
            <w:r>
              <w:rPr>
                <w:rFonts w:ascii="宋体" w:eastAsia="宋体" w:hAnsi="宋体" w:cs="宋体" w:hint="eastAsia"/>
                <w:kern w:val="0"/>
                <w:szCs w:val="21"/>
              </w:rPr>
              <w:br/>
              <w:t>2）作业期间弹药在作业现场的防潮、防雨功能；</w:t>
            </w:r>
            <w:r>
              <w:rPr>
                <w:rFonts w:ascii="宋体" w:eastAsia="宋体" w:hAnsi="宋体" w:cs="宋体" w:hint="eastAsia"/>
                <w:kern w:val="0"/>
                <w:szCs w:val="21"/>
              </w:rPr>
              <w:br/>
              <w:t>3）作业期间防止弹药磕碰、静电及防盗窃。</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486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5</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火箭作业安全监控终端</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1、产品功能</w:t>
            </w:r>
            <w:r>
              <w:rPr>
                <w:rFonts w:ascii="宋体" w:eastAsia="宋体" w:hAnsi="宋体" w:cs="宋体" w:hint="eastAsia"/>
                <w:kern w:val="0"/>
                <w:szCs w:val="21"/>
              </w:rPr>
              <w:br/>
              <w:t>（1）具备北斗三号区域短报文通信，最大支持通信等级5级（1000汉字）。</w:t>
            </w:r>
            <w:r>
              <w:rPr>
                <w:rFonts w:ascii="宋体" w:eastAsia="宋体" w:hAnsi="宋体" w:cs="宋体" w:hint="eastAsia"/>
                <w:kern w:val="0"/>
                <w:szCs w:val="21"/>
              </w:rPr>
              <w:br/>
              <w:t>（2）具备北斗定位功能。</w:t>
            </w:r>
            <w:r>
              <w:rPr>
                <w:rFonts w:ascii="宋体" w:eastAsia="宋体" w:hAnsi="宋体" w:cs="宋体" w:hint="eastAsia"/>
                <w:kern w:val="0"/>
                <w:szCs w:val="21"/>
              </w:rPr>
              <w:br/>
              <w:t>（3）具备SM1芯片级加解密功能。</w:t>
            </w:r>
            <w:r>
              <w:rPr>
                <w:rFonts w:ascii="宋体" w:eastAsia="宋体" w:hAnsi="宋体" w:cs="宋体" w:hint="eastAsia"/>
                <w:kern w:val="0"/>
                <w:szCs w:val="21"/>
              </w:rPr>
              <w:br/>
              <w:t>（4）具备4G通信功能，支持远程在线升级与参数配置。</w:t>
            </w:r>
            <w:r>
              <w:rPr>
                <w:rFonts w:ascii="宋体" w:eastAsia="宋体" w:hAnsi="宋体" w:cs="宋体" w:hint="eastAsia"/>
                <w:kern w:val="0"/>
                <w:szCs w:val="21"/>
              </w:rPr>
              <w:br/>
              <w:t>（5）具备安全射界验证、作业状态判断、三码合一验证。</w:t>
            </w:r>
            <w:r>
              <w:rPr>
                <w:rFonts w:ascii="宋体" w:eastAsia="宋体" w:hAnsi="宋体" w:cs="宋体" w:hint="eastAsia"/>
                <w:kern w:val="0"/>
                <w:szCs w:val="21"/>
              </w:rPr>
              <w:br/>
              <w:t>（6）支持与天工平台对接，具备作业状态上报、作业指令接收、安全射界验证、作业信息自动采集等功能。</w:t>
            </w:r>
            <w:r>
              <w:rPr>
                <w:rFonts w:ascii="宋体" w:eastAsia="宋体" w:hAnsi="宋体" w:cs="宋体" w:hint="eastAsia"/>
                <w:kern w:val="0"/>
                <w:szCs w:val="21"/>
              </w:rPr>
              <w:br/>
              <w:t>2、产品接口</w:t>
            </w:r>
            <w:r>
              <w:rPr>
                <w:rFonts w:ascii="宋体" w:eastAsia="宋体" w:hAnsi="宋体" w:cs="宋体" w:hint="eastAsia"/>
                <w:kern w:val="0"/>
                <w:szCs w:val="21"/>
              </w:rPr>
              <w:br/>
            </w:r>
            <w:r>
              <w:rPr>
                <w:rFonts w:ascii="宋体" w:eastAsia="宋体" w:hAnsi="宋体" w:cs="宋体" w:hint="eastAsia"/>
                <w:kern w:val="0"/>
                <w:szCs w:val="21"/>
              </w:rPr>
              <w:t>（1）供电电压范围9~32V</w:t>
            </w:r>
            <w:r>
              <w:rPr>
                <w:rFonts w:ascii="宋体" w:eastAsia="宋体" w:hAnsi="宋体" w:cs="宋体" w:hint="eastAsia"/>
                <w:kern w:val="0"/>
                <w:szCs w:val="21"/>
              </w:rPr>
              <w:br/>
              <w:t>（2）终端数据接口默认RS485</w:t>
            </w:r>
            <w:r>
              <w:rPr>
                <w:rFonts w:ascii="宋体" w:eastAsia="宋体" w:hAnsi="宋体" w:cs="宋体" w:hint="eastAsia"/>
                <w:kern w:val="0"/>
                <w:szCs w:val="21"/>
              </w:rPr>
              <w:br/>
              <w:t>（3）具备</w:t>
            </w:r>
            <w:r>
              <w:rPr>
                <w:rFonts w:ascii="宋体" w:eastAsia="宋体" w:hAnsi="宋体" w:cs="宋体" w:hint="eastAsia"/>
                <w:kern w:val="0"/>
                <w:szCs w:val="21"/>
              </w:rPr>
              <w:t>WiFi</w:t>
            </w:r>
            <w:r>
              <w:rPr>
                <w:rFonts w:ascii="宋体" w:eastAsia="宋体" w:hAnsi="宋体" w:cs="宋体" w:hint="eastAsia"/>
                <w:kern w:val="0"/>
                <w:szCs w:val="21"/>
              </w:rPr>
              <w:t>通信接口</w:t>
            </w:r>
            <w:r>
              <w:rPr>
                <w:rFonts w:ascii="宋体" w:eastAsia="宋体" w:hAnsi="宋体" w:cs="宋体" w:hint="eastAsia"/>
                <w:kern w:val="0"/>
                <w:szCs w:val="21"/>
              </w:rPr>
              <w:br/>
              <w:t>（4）具备多指示灯功能，具备电源、定位、信号、通信、功能五个指示灯</w:t>
            </w:r>
            <w:r>
              <w:rPr>
                <w:rFonts w:ascii="宋体" w:eastAsia="宋体" w:hAnsi="宋体" w:cs="宋体" w:hint="eastAsia"/>
                <w:kern w:val="0"/>
                <w:szCs w:val="21"/>
              </w:rPr>
              <w:br/>
              <w:t>3、产品特性</w:t>
            </w:r>
            <w:r>
              <w:rPr>
                <w:rFonts w:ascii="宋体" w:eastAsia="宋体" w:hAnsi="宋体" w:cs="宋体" w:hint="eastAsia"/>
                <w:kern w:val="0"/>
                <w:szCs w:val="21"/>
              </w:rPr>
              <w:br/>
              <w:t>（1）防护等级IP67</w:t>
            </w:r>
            <w:r>
              <w:rPr>
                <w:rFonts w:ascii="宋体" w:eastAsia="宋体" w:hAnsi="宋体" w:cs="宋体" w:hint="eastAsia"/>
                <w:kern w:val="0"/>
                <w:szCs w:val="21"/>
              </w:rPr>
              <w:br/>
              <w:t>（2）工作温度-30~70°C</w:t>
            </w:r>
            <w:r>
              <w:rPr>
                <w:rFonts w:ascii="宋体" w:eastAsia="宋体" w:hAnsi="宋体" w:cs="宋体" w:hint="eastAsia"/>
                <w:kern w:val="0"/>
                <w:szCs w:val="21"/>
              </w:rPr>
              <w:br/>
              <w:t>（3）尺寸直径≤120mm，高度≤90mm</w:t>
            </w:r>
            <w:r>
              <w:rPr>
                <w:rFonts w:ascii="宋体" w:eastAsia="宋体" w:hAnsi="宋体" w:cs="宋体" w:hint="eastAsia"/>
                <w:kern w:val="0"/>
                <w:szCs w:val="21"/>
              </w:rPr>
              <w:br/>
              <w:t>（4）重量≤500g</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108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作业设备储运方舱</w:t>
            </w: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可用于无人机作业单元、移动式火箭播撒装置、弹药临时储运箱和该模组配备的其他设备的储运。</w:t>
            </w:r>
            <w:r>
              <w:rPr>
                <w:rFonts w:ascii="宋体" w:eastAsia="宋体" w:hAnsi="宋体" w:cs="宋体" w:hint="eastAsia"/>
                <w:kern w:val="0"/>
                <w:szCs w:val="21"/>
              </w:rPr>
              <w:br/>
              <w:t>具备液压升降功能且高度不小于1m；同时具备无人机作业单元、移动式火箭发射装置、液压转运平台和弹药临时储运箱装载能力。</w:t>
            </w:r>
          </w:p>
        </w:tc>
        <w:tc>
          <w:tcPr>
            <w:tcW w:w="366"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841"/>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6.1</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主车厢</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定制，直角方舱，外形尺寸为≥6058mm×2438mm×2591mm（长×宽×高），八个角安装方舱角件，厢体按钢骨架铝合金蒙皮进行设计，外蒙皮选用厚度为3mm铝板，选用高密度的阻燃聚氨酯泡沫作为夹芯层（隔热芯材），大板中所用的骨架为钢骨架焊接而成，内外蒙皮与骨架粘接固定, 厢体骨架整体电泳处理，以保证骨架的防腐能力。内饰型材及外包型材、门结构采用阳极氧化处理铝型材，其外型美观，防腐耐用。各开孔和承重处均设置骨架的预埋件，满足车厢的承重要求和安装要求</w:t>
            </w:r>
            <w:r>
              <w:rPr>
                <w:rFonts w:ascii="宋体" w:eastAsia="宋体" w:hAnsi="宋体" w:cs="宋体" w:hint="eastAsia"/>
                <w:kern w:val="0"/>
                <w:szCs w:val="21"/>
              </w:rPr>
              <w:br/>
              <w:t>卷帘门：舱两侧设置上掀卷帘门</w:t>
            </w:r>
            <w:r>
              <w:rPr>
                <w:rFonts w:ascii="宋体" w:eastAsia="宋体" w:hAnsi="宋体" w:cs="宋体" w:hint="eastAsia"/>
                <w:kern w:val="0"/>
                <w:szCs w:val="21"/>
              </w:rPr>
              <w:br/>
              <w:t>发电机检修门：采用高强度铝合金结构，门板上配备百叶窗式格栅，用于设备通风散热</w:t>
            </w:r>
            <w:r>
              <w:rPr>
                <w:rFonts w:ascii="宋体" w:eastAsia="宋体" w:hAnsi="宋体" w:cs="宋体" w:hint="eastAsia"/>
                <w:kern w:val="0"/>
                <w:szCs w:val="21"/>
              </w:rPr>
              <w:br/>
              <w:t>厢体地板：铺设花纹铝板</w:t>
            </w:r>
            <w:r>
              <w:rPr>
                <w:rFonts w:ascii="宋体" w:eastAsia="宋体" w:hAnsi="宋体" w:cs="宋体" w:hint="eastAsia"/>
                <w:kern w:val="0"/>
                <w:szCs w:val="21"/>
              </w:rPr>
              <w:br/>
            </w:r>
            <w:r>
              <w:rPr>
                <w:rFonts w:ascii="宋体" w:eastAsia="宋体" w:hAnsi="宋体" w:cs="宋体" w:hint="eastAsia"/>
                <w:kern w:val="0"/>
                <w:szCs w:val="21"/>
              </w:rPr>
              <w:t>灭火器：2Kg含灭火器及安装件</w:t>
            </w:r>
            <w:r>
              <w:rPr>
                <w:rFonts w:ascii="宋体" w:eastAsia="宋体" w:hAnsi="宋体" w:cs="宋体" w:hint="eastAsia"/>
                <w:kern w:val="0"/>
                <w:szCs w:val="21"/>
              </w:rPr>
              <w:br/>
              <w:t>整车油漆： 根据客户需求对车辆外观进行油漆喷涂和图案制</w:t>
            </w:r>
            <w:r>
              <w:rPr>
                <w:rFonts w:ascii="宋体" w:eastAsia="宋体" w:hAnsi="宋体" w:cs="宋体" w:hint="eastAsia"/>
                <w:kern w:val="0"/>
                <w:szCs w:val="21"/>
              </w:rPr>
              <w:br/>
              <w:t>杂件及辅料：根据车辆改制情况使用相关杂件和辅料、辅材</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常规108件套工具箱、电动工具箱、棘轮扳手套装</w:t>
            </w:r>
            <w:r>
              <w:rPr>
                <w:rFonts w:ascii="宋体" w:eastAsia="宋体" w:hAnsi="宋体" w:cs="宋体" w:hint="eastAsia"/>
                <w:kern w:val="0"/>
                <w:szCs w:val="21"/>
              </w:rPr>
              <w:br/>
              <w:t>车内照明系统：车内LED照明灯</w:t>
            </w:r>
            <w:r>
              <w:rPr>
                <w:rFonts w:ascii="宋体" w:eastAsia="宋体" w:hAnsi="宋体" w:cs="宋体" w:hint="eastAsia"/>
                <w:kern w:val="0"/>
                <w:szCs w:val="21"/>
              </w:rPr>
              <w:br/>
              <w:t>车外照明：LED灯源，满足车外照明</w:t>
            </w:r>
            <w:r>
              <w:rPr>
                <w:rFonts w:ascii="宋体" w:eastAsia="宋体" w:hAnsi="宋体" w:cs="宋体" w:hint="eastAsia"/>
                <w:kern w:val="0"/>
                <w:szCs w:val="21"/>
              </w:rPr>
              <w:br/>
              <w:t>行车灯具： 刹车灯、示廓灯等标识灯具</w:t>
            </w: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156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6.2</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舱体升降机构</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额定提升重量：≥8 T;</w:t>
            </w:r>
            <w:r>
              <w:rPr>
                <w:rFonts w:ascii="宋体" w:eastAsia="宋体" w:hAnsi="宋体" w:cs="宋体" w:hint="eastAsia"/>
                <w:kern w:val="0"/>
                <w:szCs w:val="21"/>
              </w:rPr>
              <w:br/>
              <w:t xml:space="preserve">额定提升高度：≥1500MM;  </w:t>
            </w:r>
            <w:r>
              <w:rPr>
                <w:rFonts w:ascii="宋体" w:eastAsia="宋体" w:hAnsi="宋体" w:cs="宋体" w:hint="eastAsia"/>
                <w:kern w:val="0"/>
                <w:szCs w:val="21"/>
              </w:rPr>
              <w:br/>
              <w:t xml:space="preserve">电机额定电压：AC220v;  </w:t>
            </w:r>
            <w:r>
              <w:rPr>
                <w:rFonts w:ascii="宋体" w:eastAsia="宋体" w:hAnsi="宋体" w:cs="宋体" w:hint="eastAsia"/>
                <w:kern w:val="0"/>
                <w:szCs w:val="21"/>
              </w:rPr>
              <w:br/>
              <w:t>升降时间(单程)：10min；</w:t>
            </w:r>
            <w:r>
              <w:rPr>
                <w:rFonts w:ascii="宋体" w:eastAsia="宋体" w:hAnsi="宋体" w:cs="宋体" w:hint="eastAsia"/>
                <w:kern w:val="0"/>
                <w:szCs w:val="21"/>
              </w:rPr>
              <w:br/>
              <w:t>调平时间＜3min,</w:t>
            </w:r>
            <w:r>
              <w:rPr>
                <w:rFonts w:ascii="宋体" w:eastAsia="宋体" w:hAnsi="宋体" w:cs="宋体" w:hint="eastAsia"/>
                <w:kern w:val="0"/>
                <w:szCs w:val="21"/>
              </w:rPr>
              <w:br/>
              <w:t>调平精度 0.5 度;</w:t>
            </w: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78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6.3</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静音发电机</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 xml:space="preserve">额定频率：50 HZ </w:t>
            </w:r>
            <w:r>
              <w:rPr>
                <w:rFonts w:ascii="宋体" w:eastAsia="宋体" w:hAnsi="宋体" w:cs="宋体" w:hint="eastAsia"/>
                <w:kern w:val="0"/>
                <w:szCs w:val="21"/>
              </w:rPr>
              <w:br/>
              <w:t xml:space="preserve">额定输出功率：≮10KW  </w:t>
            </w:r>
            <w:r>
              <w:rPr>
                <w:rFonts w:ascii="宋体" w:eastAsia="宋体" w:hAnsi="宋体" w:cs="宋体" w:hint="eastAsia"/>
                <w:kern w:val="0"/>
                <w:szCs w:val="21"/>
              </w:rPr>
              <w:br/>
              <w:t>额定电压：240 V</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高原适配型：≥4000m可正常使用</w:t>
            </w: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5000" w:type="pct"/>
          <w:tblLook w:val="04A0"/>
        </w:tblPrEx>
        <w:trPr>
          <w:trHeight w:val="52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6.4</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配电箱</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集中式电源管理系统，含电源漏电保护、开关、电源电压电流显示等，开关分别控制空调、设备用电等；配电盘面板为数控机床加工，表面喷塑处理。</w:t>
            </w: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8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6.5</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全车接地系统</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含接地桩、接地线，静电地拖电源防浪涌装置</w:t>
            </w: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8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6.6</w:t>
            </w:r>
          </w:p>
        </w:tc>
        <w:tc>
          <w:tcPr>
            <w:tcW w:w="86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电源线缆盘</w:t>
            </w:r>
          </w:p>
        </w:tc>
        <w:tc>
          <w:tcPr>
            <w:tcW w:w="2969"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手动线缆盘，含50米橡胶线缆</w:t>
            </w: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5000" w:type="pct"/>
          <w:tblLook w:val="04A0"/>
        </w:tblPrEx>
        <w:trPr>
          <w:trHeight w:val="280"/>
        </w:trPr>
        <w:tc>
          <w:tcPr>
            <w:tcW w:w="430"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6.7</w:t>
            </w:r>
          </w:p>
        </w:tc>
        <w:tc>
          <w:tcPr>
            <w:tcW w:w="86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应急和备份便携式工作站</w:t>
            </w:r>
          </w:p>
          <w:p w:rsidR="00800AF2">
            <w:pPr>
              <w:widowControl/>
              <w:spacing w:line="360" w:lineRule="auto"/>
              <w:jc w:val="left"/>
              <w:rPr>
                <w:rFonts w:ascii="宋体" w:eastAsia="宋体" w:hAnsi="宋体" w:cs="宋体" w:hint="eastAsia"/>
                <w:kern w:val="0"/>
                <w:szCs w:val="21"/>
              </w:rPr>
            </w:pPr>
          </w:p>
        </w:tc>
        <w:tc>
          <w:tcPr>
            <w:tcW w:w="2969"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内核数：≥16</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总线程数：≥22</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处理器基础频率：≥1.60GHz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最大睿频频率：≥4.20GHz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屏幕约16英寸，搭载FHD+分辨率（1920×1200）</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内存≥32GB，可扩展至96GB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固态硬盘≥4TB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包含网络、HDMI等基础配置</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安装和备份方舱所有软件系统</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每套方舱各2台。</w:t>
            </w:r>
          </w:p>
          <w:p w:rsidR="00800AF2">
            <w:pPr>
              <w:widowControl/>
              <w:spacing w:line="360" w:lineRule="auto"/>
              <w:rPr>
                <w:rFonts w:ascii="宋体" w:eastAsia="宋体" w:hAnsi="宋体" w:cs="宋体" w:hint="eastAsia"/>
                <w:kern w:val="0"/>
                <w:szCs w:val="21"/>
              </w:rPr>
            </w:pPr>
          </w:p>
        </w:tc>
        <w:tc>
          <w:tcPr>
            <w:tcW w:w="366"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367"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bl>
    <w:p w:rsidR="00800AF2">
      <w:pPr>
        <w:spacing w:line="560" w:lineRule="exact"/>
        <w:ind w:firstLine="420" w:firstLineChars="200"/>
        <w:jc w:val="left"/>
        <w:outlineLvl w:val="2"/>
        <w:rPr>
          <w:rFonts w:ascii="宋体" w:eastAsia="宋体" w:hAnsi="宋体" w:cs="宋体" w:hint="eastAsia"/>
          <w:bCs/>
          <w:color w:val="000000"/>
          <w:szCs w:val="21"/>
        </w:rPr>
      </w:pPr>
      <w:bookmarkStart w:id="99" w:name="_Toc12483"/>
      <w:r>
        <w:rPr>
          <w:rFonts w:ascii="宋体" w:eastAsia="宋体" w:hAnsi="宋体" w:cs="宋体" w:hint="eastAsia"/>
          <w:bCs/>
          <w:color w:val="000000"/>
          <w:szCs w:val="21"/>
        </w:rPr>
        <w:t>5.3.7安装工艺和场地建设</w:t>
      </w:r>
      <w:bookmarkEnd w:id="99"/>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在选择作业模组架设阵地时，应选择较为便利的交通条件。通常选择在地势较高的高地或建筑物上，场地应开阔、地势较高、四周无严重的地形地物遮挡，并可获得足够的高、中、低空覆盖。同时应选择通讯条件便利的地方。</w:t>
      </w:r>
    </w:p>
    <w:p w:rsidR="00800AF2">
      <w:pPr>
        <w:spacing w:line="560" w:lineRule="exact"/>
        <w:ind w:firstLine="420" w:firstLineChars="200"/>
        <w:outlineLvl w:val="1"/>
        <w:rPr>
          <w:rFonts w:ascii="宋体" w:eastAsia="宋体" w:hAnsi="宋体" w:cs="宋体" w:hint="eastAsia"/>
          <w:bCs/>
          <w:color w:val="000000"/>
          <w:szCs w:val="21"/>
        </w:rPr>
      </w:pPr>
      <w:bookmarkStart w:id="100" w:name="_Toc1760"/>
      <w:r>
        <w:rPr>
          <w:rFonts w:ascii="宋体" w:eastAsia="宋体" w:hAnsi="宋体" w:cs="宋体" w:hint="eastAsia"/>
          <w:bCs/>
          <w:color w:val="000000"/>
          <w:szCs w:val="21"/>
        </w:rPr>
        <w:t>5.4作业保障模组</w:t>
      </w:r>
      <w:bookmarkEnd w:id="100"/>
    </w:p>
    <w:p w:rsidR="00800AF2">
      <w:pPr>
        <w:spacing w:line="560" w:lineRule="exact"/>
        <w:ind w:firstLine="420" w:firstLineChars="200"/>
        <w:outlineLvl w:val="2"/>
        <w:rPr>
          <w:rFonts w:ascii="宋体" w:eastAsia="宋体" w:hAnsi="宋体" w:cs="宋体" w:hint="eastAsia"/>
          <w:bCs/>
          <w:color w:val="000000"/>
          <w:szCs w:val="21"/>
        </w:rPr>
      </w:pPr>
      <w:bookmarkStart w:id="101" w:name="_Toc8843"/>
      <w:r>
        <w:rPr>
          <w:rFonts w:ascii="宋体" w:eastAsia="宋体" w:hAnsi="宋体" w:cs="宋体" w:hint="eastAsia"/>
          <w:bCs/>
          <w:color w:val="000000"/>
          <w:szCs w:val="21"/>
        </w:rPr>
        <w:t>5.4.1功能</w:t>
      </w:r>
      <w:bookmarkEnd w:id="101"/>
      <w:r>
        <w:rPr>
          <w:rFonts w:ascii="宋体" w:eastAsia="宋体" w:hAnsi="宋体" w:cs="宋体" w:hint="eastAsia"/>
          <w:bCs/>
          <w:color w:val="000000"/>
          <w:szCs w:val="21"/>
        </w:rPr>
        <w:t>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作业保障模组由供电供水设备、基本生活设施和物资组成。供电供水设备满足生活用水需求，并提供污水排放管道和处理设施，确保污水合规排放；提供空调系统，调节温度和湿度，提供舒适的环境；提供餐饮设施，包括微波炉、电磁炉等，用于简单食物加热和制作；提供适当住宿设施，包括床铺及卫生间和淋浴设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（1）满足野外作业所需工作、生活、急救、安全、防火等基本需求。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（2）支持北斗全球导航定位系统、4G/5G 移动网络通信等功能。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（3）应具备市电与自备供电两种供电方式，并能相互切换。</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（4）做好强弱电隔离、线缆屏蔽保护等设计，确保车载设备运行时不相互影响，多种通信天线工作时不相互干扰。</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5）应采用先进成熟的载车和车载设备、设施。固定在车内使用的设备应安装在机柜中，并采取有效减震措施；无法安装在机柜中的设备，应采取可靠固定措施；非固定在车上使用的设备，应放置于适当位置，并应有临时固定保护措施；所有接插件应采取紧固措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（6）车载设备、设施、线缆和接插件应采用符合国家标准、国家军用标准的标准件和</w:t>
      </w:r>
      <w:r>
        <w:rPr>
          <w:rFonts w:ascii="宋体" w:eastAsia="宋体" w:hAnsi="宋体" w:cs="宋体" w:hint="eastAsia"/>
          <w:bCs/>
          <w:color w:val="000000"/>
          <w:szCs w:val="21"/>
        </w:rPr>
        <w:t>通用件；应具有故障告警和检测措施。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（7）车辆改装满足工信部二次改装的要求，满足公告上牌的要求，在设备、设施、人员安全方面，应具备防雷电、防火、防漏电、防过压等技术措施。</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（8）市电可保证连续不间断工作，油电（选配）工作时间＞8h。</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（9）作业保障模组的网络通信系统用于提供方舱内部工作网络，联通探测、指挥和作业模组，以及方舱内部各类监控设备组网。</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（10）工作温度：-30～+55℃；</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（11）贮存温度：-50～+70℃；</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（12）相对湿度：95%±3%（40℃）；</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（13）海拔高度：≤3500m，可正常工作；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（14）抗风能力：风速≤20m/s（相当于 8 级），保证工作精度，风速≤35m/s（相当于 12 级），天线无永久性变形，自卸调平机构可稳定工作。</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（15）淋雨：承受降雨强度：1 小时内平均降雨速率 6mm/min；</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（16）具有防雨雪、防沙尘、防雷电（感应雷）、防潮、防盐雾、防鼠咬及虫蛀、振动防护等设计。</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（17）采用模块设计，以便快速更换；</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（18）设备之间的连接电缆和连接器应有明显标志，以利操作与维护。</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（19）需要经常调整、清洗、更换的部件应便于拆装或可进行原位维修，检查窗开启和关闭操作应简单方便；</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（20）具备防接插错措施，标识清晰；</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21）关键重要设备（自装卸电动调平机构、丝杆举升机构）应具有机内检测功能，故障信息可隔离到现场可更换单元，并能输出故障信息。其它车上设备若机内无检测措施，需经常检测的项目应在设备面板上提供相应的测试点，并标出相应的测试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（2）硬件设备设计时应便于进行故障检查与隔离，重点考虑设备的功能与结构合理划</w:t>
      </w:r>
      <w:r>
        <w:rPr>
          <w:rFonts w:ascii="宋体" w:eastAsia="宋体" w:hAnsi="宋体" w:cs="宋体" w:hint="eastAsia"/>
          <w:bCs/>
          <w:color w:val="000000"/>
          <w:szCs w:val="21"/>
        </w:rPr>
        <w:t>分、测试的可观测性和可控性。</w:t>
      </w:r>
    </w:p>
    <w:p w:rsidR="00800AF2">
      <w:pPr>
        <w:spacing w:line="560" w:lineRule="exact"/>
        <w:ind w:firstLine="420" w:firstLineChars="200"/>
        <w:outlineLvl w:val="2"/>
        <w:rPr>
          <w:rFonts w:ascii="宋体" w:eastAsia="宋体" w:hAnsi="宋体" w:cs="宋体" w:hint="eastAsia"/>
          <w:bCs/>
          <w:color w:val="000000"/>
          <w:szCs w:val="21"/>
        </w:rPr>
      </w:pPr>
      <w:bookmarkStart w:id="102" w:name="_Toc20785"/>
      <w:r>
        <w:rPr>
          <w:rFonts w:ascii="宋体" w:eastAsia="宋体" w:hAnsi="宋体" w:cs="宋体" w:hint="eastAsia"/>
          <w:bCs/>
          <w:color w:val="000000"/>
          <w:szCs w:val="21"/>
        </w:rPr>
        <w:t>5.4.2结构</w:t>
      </w:r>
      <w:bookmarkEnd w:id="102"/>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作业保障模组包括任务舱体结构、门、窗、空调、加热器、换气扇、机柜、机柜减震及固定机构、供电电缆、光缆、电源及信号孔门(含接插件)、照明系统、随舱工具等。车载监控子系统包括车内摄像机、车外摄像机、视频监控主机、温湿度传感器、烟雾传感器、声光报警器。工作生活单元包含满足野外作业所需工作、生活、急救、安全、防火等基本需求。</w:t>
      </w:r>
    </w:p>
    <w:p w:rsidR="00800AF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方舱采用钢骨架铝蒙皮舱体结构，舱体外壁板采用铝合金板，内外壁夹层采用聚氨酯发泡结构设计。外面板选用强度高、重量轻的铝合金整板，板材厚度3mm，中间层填充硬质聚氨酯发泡，会议舱内面板为木质软包、设备舱内面为小花纹铝板，骨架用矩形管焊接而成，采用结构胶粘接技术，接缝采用氩弧焊接形成舱体壁板，表面平整、美观，在热传导、气密、水密等方面具有良好的性能指标，满足抗冲击要求并具有阻燃自熄性能。舱体壁板通过角件、包角弯角等连接件的焊接、粘接和螺栓连接等形式，形成稳定性好、强度高、抗变形、密封性好、表面平整度高的方舱舱体。</w:t>
      </w:r>
    </w:p>
    <w:p w:rsidR="00800AF2">
      <w:pPr>
        <w:jc w:val="center"/>
        <w:rPr>
          <w:rFonts w:ascii="宋体" w:eastAsia="宋体" w:hAnsi="宋体" w:cs="宋体" w:hint="eastAsia"/>
          <w:szCs w:val="21"/>
        </w:rPr>
      </w:pPr>
    </w:p>
    <w:p w:rsidR="00800AF2">
      <w:pPr>
        <w:spacing w:line="560" w:lineRule="exact"/>
        <w:ind w:firstLine="420" w:firstLineChars="200"/>
        <w:outlineLvl w:val="2"/>
        <w:rPr>
          <w:rFonts w:ascii="宋体" w:eastAsia="宋体" w:hAnsi="宋体" w:cs="宋体" w:hint="eastAsia"/>
          <w:bCs/>
          <w:color w:val="000000"/>
          <w:szCs w:val="21"/>
        </w:rPr>
      </w:pPr>
      <w:bookmarkStart w:id="103" w:name="_Toc27964"/>
      <w:r>
        <w:rPr>
          <w:rFonts w:ascii="宋体" w:eastAsia="宋体" w:hAnsi="宋体" w:cs="宋体" w:hint="eastAsia"/>
          <w:bCs/>
          <w:color w:val="000000"/>
          <w:szCs w:val="21"/>
        </w:rPr>
        <w:t>5.4.3</w:t>
      </w:r>
      <w:bookmarkEnd w:id="103"/>
      <w:r>
        <w:rPr>
          <w:rFonts w:ascii="宋体" w:eastAsia="宋体" w:hAnsi="宋体" w:cs="宋体" w:hint="eastAsia"/>
          <w:bCs/>
          <w:color w:val="000000"/>
          <w:szCs w:val="21"/>
        </w:rPr>
        <w:t>信息传输要求</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通过光缆、网线方式可将探测模组、指挥模组、作业模组数据传输至作业保障方舱。</w:t>
      </w:r>
    </w:p>
    <w:p w:rsidR="00800AF2">
      <w:pPr>
        <w:spacing w:line="560" w:lineRule="exact"/>
        <w:ind w:firstLine="420" w:firstLineChars="200"/>
        <w:outlineLvl w:val="2"/>
        <w:rPr>
          <w:rFonts w:ascii="宋体" w:eastAsia="宋体" w:hAnsi="宋体" w:cs="宋体" w:hint="eastAsia"/>
          <w:bCs/>
          <w:color w:val="000000"/>
          <w:szCs w:val="21"/>
        </w:rPr>
      </w:pPr>
      <w:bookmarkStart w:id="104" w:name="_Toc23126"/>
      <w:r>
        <w:rPr>
          <w:rFonts w:ascii="宋体" w:eastAsia="宋体" w:hAnsi="宋体" w:cs="宋体" w:hint="eastAsia"/>
          <w:bCs/>
          <w:color w:val="000000"/>
          <w:szCs w:val="21"/>
        </w:rPr>
        <w:t>5.4.4接口要求</w:t>
      </w:r>
      <w:bookmarkEnd w:id="104"/>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电源：满足国家标准；</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控制：RS232；RS485;RJ45；</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 xml:space="preserve">传输：RJ45；光纤； </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各模组之间信息畅通，模组内部数据集中、系统集成、接口标准通用，各模组能够实时接入“天工”平台，实现无缝对接国家级、省级和市州级任务需求。</w:t>
      </w:r>
    </w:p>
    <w:p w:rsidR="00800AF2">
      <w:pPr>
        <w:spacing w:line="560" w:lineRule="exact"/>
        <w:ind w:firstLine="420" w:firstLineChars="200"/>
        <w:outlineLvl w:val="2"/>
        <w:rPr>
          <w:rFonts w:ascii="宋体" w:eastAsia="宋体" w:hAnsi="宋体" w:cs="宋体" w:hint="eastAsia"/>
          <w:bCs/>
          <w:color w:val="000000"/>
          <w:szCs w:val="21"/>
        </w:rPr>
      </w:pPr>
      <w:bookmarkStart w:id="105" w:name="_Toc25546"/>
      <w:r>
        <w:rPr>
          <w:rFonts w:ascii="宋体" w:eastAsia="宋体" w:hAnsi="宋体" w:cs="宋体" w:hint="eastAsia"/>
          <w:bCs/>
          <w:color w:val="000000"/>
          <w:szCs w:val="21"/>
        </w:rPr>
        <w:t>5.4.5技术性能要求</w:t>
      </w:r>
      <w:bookmarkEnd w:id="105"/>
    </w:p>
    <w:p w:rsidR="00800AF2">
      <w:pPr>
        <w:spacing w:line="560" w:lineRule="exact"/>
        <w:ind w:firstLine="420" w:firstLineChars="200"/>
        <w:outlineLvl w:val="3"/>
        <w:rPr>
          <w:rFonts w:ascii="宋体" w:eastAsia="宋体" w:hAnsi="宋体" w:cs="宋体" w:hint="eastAsia"/>
          <w:bCs/>
          <w:color w:val="000000"/>
          <w:szCs w:val="21"/>
        </w:rPr>
      </w:pPr>
      <w:bookmarkStart w:id="106" w:name="_Toc22490"/>
      <w:r>
        <w:rPr>
          <w:rFonts w:ascii="宋体" w:eastAsia="宋体" w:hAnsi="宋体" w:cs="宋体" w:hint="eastAsia"/>
          <w:bCs/>
          <w:color w:val="000000"/>
          <w:szCs w:val="21"/>
        </w:rPr>
        <w:t>5.4.5.1任务舱舱体</w:t>
      </w:r>
      <w:bookmarkEnd w:id="106"/>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任务舱舱体由舱体结构、门、窗、空调、加热器、换气扇、机柜、机柜减震及固定机构、供电电缆、光缆、电源及信号孔门(含接插件)、照明系统、随舱工具等组成。</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（1）配备尺寸不小于 1900*600mm 的双层房车床，满足户外作业人员休息需要；</w:t>
      </w:r>
    </w:p>
    <w:p w:rsidR="00800AF2">
      <w:pPr>
        <w:spacing w:line="560" w:lineRule="exact"/>
        <w:ind w:firstLine="420" w:firstLineChars="200"/>
        <w:rPr>
          <w:rFonts w:ascii="宋体" w:eastAsia="宋体" w:hAnsi="宋体" w:cs="宋体" w:hint="eastAsia"/>
          <w:bCs/>
          <w:color w:val="000000"/>
          <w:szCs w:val="21"/>
        </w:rPr>
      </w:pPr>
      <w:r>
        <w:rPr>
          <w:rFonts w:ascii="宋体" w:eastAsia="宋体" w:hAnsi="宋体" w:cs="宋体" w:hint="eastAsia"/>
          <w:bCs/>
          <w:color w:val="000000"/>
          <w:szCs w:val="21"/>
        </w:rPr>
        <w:t>（2）配套有洗手间兼淋浴间模块、加热器、洗手盆、储物柜、工作台和车载冰箱等生活工作设施，为作业人员提供舒适的生活工作条件。</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50</w:t>
      </w:r>
      <w:r>
        <w:rPr>
          <w:rFonts w:ascii="宋体" w:eastAsia="宋体" w:hAnsi="宋体" w:cs="宋体" w:hint="eastAsia"/>
          <w:szCs w:val="21"/>
        </w:rPr>
        <w:fldChar w:fldCharType="end"/>
      </w:r>
      <w:r>
        <w:rPr>
          <w:rFonts w:ascii="宋体" w:eastAsia="宋体" w:hAnsi="宋体" w:cs="宋体" w:hint="eastAsia"/>
          <w:szCs w:val="21"/>
        </w:rPr>
        <w:t>舱体功能要求</w:t>
      </w:r>
    </w:p>
    <w:tbl>
      <w:tblPr>
        <w:tblStyle w:val="TableNormal"/>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0"/>
        <w:gridCol w:w="7168"/>
      </w:tblGrid>
      <w:tr>
        <w:tblPrEx>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99"/>
        </w:trPr>
        <w:tc>
          <w:tcPr>
            <w:tcW w:w="80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4192"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功能要求</w:t>
            </w:r>
          </w:p>
        </w:tc>
      </w:tr>
      <w:tr>
        <w:tblPrEx>
          <w:tblW w:w="5015" w:type="pct"/>
          <w:tblLook w:val="04A0"/>
        </w:tblPrEx>
        <w:trPr>
          <w:trHeight w:val="699"/>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舱体自卸举升机构</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配备1套舱体自卸举升机构。</w:t>
            </w:r>
            <w:r>
              <w:rPr>
                <w:rFonts w:ascii="宋体" w:eastAsia="宋体" w:hAnsi="宋体" w:cs="宋体" w:hint="eastAsia"/>
                <w:szCs w:val="21"/>
              </w:rPr>
              <w:br/>
              <w:t>a）额定提升重量：≥满足舱体设计使用重量要求，并具备30%以上冗余能力；</w:t>
            </w:r>
            <w:r>
              <w:rPr>
                <w:rFonts w:ascii="宋体" w:eastAsia="宋体" w:hAnsi="宋体" w:cs="宋体" w:hint="eastAsia"/>
                <w:szCs w:val="21"/>
              </w:rPr>
              <w:br/>
              <w:t>b）额定举升高度：≥1500mm；</w:t>
            </w:r>
            <w:r>
              <w:rPr>
                <w:rFonts w:ascii="宋体" w:eastAsia="宋体" w:hAnsi="宋体" w:cs="宋体" w:hint="eastAsia"/>
                <w:szCs w:val="21"/>
              </w:rPr>
              <w:br/>
              <w:t>c）升降时间(单程)：≤15min；</w:t>
            </w:r>
            <w:r>
              <w:rPr>
                <w:rFonts w:ascii="宋体" w:eastAsia="宋体" w:hAnsi="宋体" w:cs="宋体" w:hint="eastAsia"/>
                <w:szCs w:val="21"/>
              </w:rPr>
              <w:br/>
              <w:t>d）调平时间：≤3min（6m长方舱所需时间）；</w:t>
            </w:r>
            <w:r>
              <w:rPr>
                <w:rFonts w:ascii="宋体" w:eastAsia="宋体" w:hAnsi="宋体" w:cs="宋体" w:hint="eastAsia"/>
                <w:szCs w:val="21"/>
              </w:rPr>
              <w:br/>
              <w:t>e）调平精度：≤0.5度；</w:t>
            </w:r>
            <w:r>
              <w:rPr>
                <w:rFonts w:ascii="宋体" w:eastAsia="宋体" w:hAnsi="宋体" w:cs="宋体" w:hint="eastAsia"/>
                <w:szCs w:val="21"/>
              </w:rPr>
              <w:br/>
              <w:t>f）工作方式：液压或液压或电动（可手动），支腿左右可自动横向扩展。</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登舱门</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侧开门开启角度≥90°，采用三点锁紧机构，入户门配备机械锁，在舱内能够将门打开。</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采光窗</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采用双层钢化玻璃。</w:t>
            </w:r>
          </w:p>
        </w:tc>
      </w:tr>
      <w:tr>
        <w:tblPrEx>
          <w:tblW w:w="5015" w:type="pct"/>
          <w:tblLook w:val="04A0"/>
        </w:tblPrEx>
        <w:trPr>
          <w:trHeight w:val="52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发电机检修门</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采用高强度铝合金结构，门板上配备百叶窗式格栅，用于设备通风散热。</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采光窗帘</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采用避光防蚊一体式窗帘。</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舱体地板</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竹地板打底，会议区和操作区表面铺地板革，发电机区铺设花纹铝板。</w:t>
            </w:r>
          </w:p>
        </w:tc>
      </w:tr>
      <w:tr>
        <w:tblPrEx>
          <w:tblW w:w="5015" w:type="pct"/>
          <w:tblLook w:val="04A0"/>
        </w:tblPrEx>
        <w:trPr>
          <w:trHeight w:val="52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舱内基础内饰</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采用平板对厢体内部进行平整处理，表面软包装饰。</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机柜台面</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采用环保免漆板材制作，表面喷漆处理。</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油漆及外饰</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专业烤漆房烤漆，外观贴字根据用户需求订制。</w:t>
            </w:r>
          </w:p>
        </w:tc>
      </w:tr>
      <w:tr>
        <w:tblPrEx>
          <w:tblW w:w="5015" w:type="pct"/>
          <w:tblLook w:val="04A0"/>
        </w:tblPrEx>
        <w:trPr>
          <w:trHeight w:val="52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车内外照明系统</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车内外LED照明灯满足工作及车外场地照明需求。</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其他辅助</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配备灭火器（含灭火器及安装件）、综合布线、集成制作等附件耗材，包含波纹管、胶带、扎带、接插件等。</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加热器</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具备快速升温功能，加热功率匹配舱内空间需求；具备超温保护、防干烧功</w:t>
            </w:r>
            <w:r>
              <w:rPr>
                <w:rFonts w:ascii="宋体" w:eastAsia="宋体" w:hAnsi="宋体" w:cs="宋体" w:hint="eastAsia"/>
                <w:szCs w:val="21"/>
              </w:rPr>
              <w:t>能,适配舱内供电规格，绝缘性能良好，无漏电风险；抗振动设计，外壳耐腐蚀、易清洁，防护等级≥IP54。</w:t>
            </w:r>
          </w:p>
        </w:tc>
      </w:tr>
      <w:tr>
        <w:tblPrEx>
          <w:tblW w:w="5015" w:type="pct"/>
          <w:tblLook w:val="04A0"/>
        </w:tblPrEx>
        <w:trPr>
          <w:trHeight w:val="280"/>
        </w:trPr>
        <w:tc>
          <w:tcPr>
            <w:tcW w:w="80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换气扇</w:t>
            </w:r>
          </w:p>
        </w:tc>
        <w:tc>
          <w:tcPr>
            <w:tcW w:w="4192"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具备防雨、防尘功能，外壳防护等级≥IP55，适配户外/舱内恶劣环境，电机耐高温、抗老化，使用寿命≥10000小时；支持手动启停。</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107" w:name="_Toc594"/>
      <w:r>
        <w:rPr>
          <w:rFonts w:ascii="宋体" w:eastAsia="宋体" w:hAnsi="宋体" w:cs="宋体" w:hint="eastAsia"/>
          <w:bCs/>
          <w:color w:val="000000"/>
          <w:szCs w:val="21"/>
        </w:rPr>
        <w:t>5.4.5.2供电系统</w:t>
      </w:r>
      <w:bookmarkEnd w:id="107"/>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方舱具备1路380或双路220市电供电，1路发电机供电供电接口，做好标识。供电方式可以切换。满足市电、发电机、UPS不间断供电要求。通过舱体对外提供供电及接地的转接板，当外部电源接至转接板后，内部通过配电箱给各设备供电。</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51</w:t>
      </w:r>
      <w:r>
        <w:rPr>
          <w:rFonts w:ascii="宋体" w:eastAsia="宋体" w:hAnsi="宋体" w:cs="宋体" w:hint="eastAsia"/>
          <w:szCs w:val="21"/>
        </w:rPr>
        <w:fldChar w:fldCharType="end"/>
      </w:r>
      <w:r>
        <w:rPr>
          <w:rFonts w:ascii="宋体" w:eastAsia="宋体" w:hAnsi="宋体" w:cs="宋体" w:hint="eastAsia"/>
          <w:szCs w:val="21"/>
        </w:rPr>
        <w:t>供电系统功能要求</w:t>
      </w:r>
    </w:p>
    <w:tbl>
      <w:tblPr>
        <w:tblStyle w:val="TableNormal"/>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7"/>
        <w:gridCol w:w="5900"/>
        <w:gridCol w:w="863"/>
        <w:gridCol w:w="771"/>
      </w:tblGrid>
      <w:tr>
        <w:tblPrEx>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80"/>
        </w:trPr>
        <w:tc>
          <w:tcPr>
            <w:tcW w:w="661"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设施名称</w:t>
            </w:r>
          </w:p>
        </w:tc>
        <w:tc>
          <w:tcPr>
            <w:tcW w:w="33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4"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3" w:type="pct"/>
          <w:tblLook w:val="04A0"/>
        </w:tblPrEx>
        <w:trPr>
          <w:trHeight w:val="7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市电接入</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具备1路供电电压380×（1±10%）V、频率50×（1±5%）Hz或2路供电电压220×（1±10%）V、频率50×（1±5%）Hz，供电总功率不低于15kW，配备满足功率的手动或电动市电线缆轴长度≮45米；配备满足功率的市电对接插头。</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82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静音发电机</w:t>
            </w:r>
          </w:p>
        </w:tc>
        <w:tc>
          <w:tcPr>
            <w:tcW w:w="3397" w:type="pct"/>
            <w:vAlign w:val="center"/>
          </w:tcPr>
          <w:p w:rsidR="00800AF2">
            <w:pPr>
              <w:numPr>
                <w:ilvl w:val="0"/>
                <w:numId w:val="35"/>
              </w:numPr>
              <w:spacing w:line="360" w:lineRule="auto"/>
              <w:rPr>
                <w:rFonts w:ascii="宋体" w:eastAsia="宋体" w:hAnsi="宋体" w:cs="宋体" w:hint="eastAsia"/>
                <w:szCs w:val="21"/>
              </w:rPr>
            </w:pPr>
            <w:r>
              <w:rPr>
                <w:rFonts w:ascii="宋体" w:eastAsia="宋体" w:hAnsi="宋体" w:cs="宋体" w:hint="eastAsia"/>
                <w:szCs w:val="21"/>
              </w:rPr>
              <w:t xml:space="preserve">额定频率：50 HZ </w:t>
            </w:r>
            <w:r>
              <w:rPr>
                <w:rFonts w:ascii="宋体" w:eastAsia="宋体" w:hAnsi="宋体" w:cs="宋体" w:hint="eastAsia"/>
                <w:szCs w:val="21"/>
              </w:rPr>
              <w:br/>
              <w:t xml:space="preserve">b) 额定输出功率：≮15KW  </w:t>
            </w:r>
            <w:r>
              <w:rPr>
                <w:rFonts w:ascii="宋体" w:eastAsia="宋体" w:hAnsi="宋体" w:cs="宋体" w:hint="eastAsia"/>
                <w:szCs w:val="21"/>
              </w:rPr>
              <w:br/>
              <w:t>c) 额定电压：：230V或240V</w:t>
            </w:r>
            <w:r>
              <w:rPr>
                <w:rFonts w:ascii="宋体" w:eastAsia="宋体" w:hAnsi="宋体" w:cs="宋体" w:hint="eastAsia"/>
                <w:szCs w:val="21"/>
              </w:rPr>
              <w:br/>
              <w:t>d) 机组连续运行时间：≥8h</w:t>
            </w:r>
            <w:r>
              <w:rPr>
                <w:rFonts w:ascii="宋体" w:eastAsia="宋体" w:hAnsi="宋体" w:cs="宋体" w:hint="eastAsia"/>
                <w:szCs w:val="21"/>
              </w:rPr>
              <w:br/>
              <w:t>e) 噪音（1m处）：≤75 dB(A)</w:t>
            </w:r>
          </w:p>
          <w:p w:rsidR="00800AF2">
            <w:pPr>
              <w:numPr>
                <w:ilvl w:val="0"/>
                <w:numId w:val="35"/>
              </w:numPr>
              <w:spacing w:line="360" w:lineRule="auto"/>
              <w:rPr>
                <w:rFonts w:ascii="宋体" w:eastAsia="宋体" w:hAnsi="宋体" w:cs="宋体" w:hint="eastAsia"/>
                <w:szCs w:val="21"/>
              </w:rPr>
            </w:pPr>
            <w:r>
              <w:rPr>
                <w:rFonts w:ascii="宋体" w:eastAsia="宋体" w:hAnsi="宋体" w:cs="宋体" w:hint="eastAsia"/>
                <w:szCs w:val="21"/>
              </w:rPr>
              <w:t>高原适配型：≥4000m可正常使用</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52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配电箱</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集中式电源管理系统，含支路开关、指示灯、电源电压电流显示等，开关分别控制空调、设备用电等；配电盘面板为数控机床加工，表面喷塑处理。</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520"/>
        </w:trPr>
        <w:tc>
          <w:tcPr>
            <w:tcW w:w="661" w:type="pct"/>
            <w:vAlign w:val="center"/>
          </w:tcPr>
          <w:p w:rsidR="00800AF2">
            <w:pPr>
              <w:spacing w:line="360" w:lineRule="auto"/>
              <w:contextualSpacing/>
              <w:rPr>
                <w:rFonts w:ascii="宋体" w:eastAsia="宋体" w:hAnsi="宋体" w:cs="宋体" w:hint="eastAsia"/>
                <w:szCs w:val="21"/>
              </w:rPr>
            </w:pPr>
            <w:r>
              <w:rPr>
                <w:rFonts w:ascii="宋体" w:eastAsia="宋体" w:hAnsi="宋体" w:cs="宋体" w:hint="eastAsia"/>
                <w:szCs w:val="21"/>
              </w:rPr>
              <w:t>舱体接地系统</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含接地桩、接地线，电源防浪涌装置。</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对外接口板</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含电源、数据传输接口。</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电源线缆</w:t>
            </w:r>
            <w:r>
              <w:rPr>
                <w:rFonts w:ascii="宋体" w:eastAsia="宋体" w:hAnsi="宋体" w:cs="宋体" w:hint="eastAsia"/>
                <w:szCs w:val="21"/>
              </w:rPr>
              <w:t>盘</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设计双路市电供电，手动线缆盘，含50米橡胶线缆。</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61"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通信传输系统</w:t>
            </w:r>
          </w:p>
        </w:tc>
        <w:tc>
          <w:tcPr>
            <w:tcW w:w="3397"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配备北斗全球导航定位系统、4G/5G 移动通信，用于提供方舱内部工作网络，联通探测、指挥和作业模组，以及方舱内部各类监控设备组网。</w:t>
            </w:r>
          </w:p>
        </w:tc>
        <w:tc>
          <w:tcPr>
            <w:tcW w:w="49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4"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outlineLvl w:val="3"/>
        <w:rPr>
          <w:rFonts w:ascii="宋体" w:eastAsia="宋体" w:hAnsi="宋体" w:cs="宋体" w:hint="eastAsia"/>
          <w:bCs/>
          <w:color w:val="000000"/>
          <w:szCs w:val="21"/>
        </w:rPr>
      </w:pPr>
      <w:bookmarkStart w:id="108" w:name="_Toc1825"/>
      <w:r>
        <w:rPr>
          <w:rFonts w:ascii="宋体" w:eastAsia="宋体" w:hAnsi="宋体" w:cs="宋体" w:hint="eastAsia"/>
          <w:bCs/>
          <w:color w:val="000000"/>
          <w:szCs w:val="21"/>
        </w:rPr>
        <w:t>5.4.5.3监控子系统</w:t>
      </w:r>
      <w:bookmarkEnd w:id="108"/>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52</w:t>
      </w:r>
      <w:r>
        <w:rPr>
          <w:rFonts w:ascii="宋体" w:eastAsia="宋体" w:hAnsi="宋体" w:cs="宋体" w:hint="eastAsia"/>
          <w:szCs w:val="21"/>
        </w:rPr>
        <w:fldChar w:fldCharType="end"/>
      </w:r>
      <w:r>
        <w:rPr>
          <w:rFonts w:ascii="宋体" w:eastAsia="宋体" w:hAnsi="宋体" w:cs="宋体" w:hint="eastAsia"/>
          <w:szCs w:val="21"/>
        </w:rPr>
        <w:t>监控子系统功能要求</w:t>
      </w:r>
    </w:p>
    <w:tbl>
      <w:tblPr>
        <w:tblStyle w:val="TableNormal"/>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0"/>
        <w:gridCol w:w="5903"/>
        <w:gridCol w:w="865"/>
        <w:gridCol w:w="773"/>
      </w:tblGrid>
      <w:tr>
        <w:tblPrEx>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65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设备名称</w:t>
            </w:r>
          </w:p>
        </w:tc>
        <w:tc>
          <w:tcPr>
            <w:tcW w:w="3399" w:type="pct"/>
            <w:vAlign w:val="center"/>
          </w:tcPr>
          <w:p w:rsidR="00800AF2">
            <w:pPr>
              <w:widowControl/>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3" w:type="pct"/>
          <w:tblLook w:val="04A0"/>
        </w:tblPrEx>
        <w:trPr>
          <w:trHeight w:val="536"/>
        </w:trPr>
        <w:tc>
          <w:tcPr>
            <w:tcW w:w="65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舱外摄像机</w:t>
            </w:r>
          </w:p>
        </w:tc>
        <w:tc>
          <w:tcPr>
            <w:tcW w:w="3399" w:type="pct"/>
            <w:vAlign w:val="center"/>
          </w:tcPr>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 xml:space="preserve">图像传感器：1/2.8″2.0MP逐行扫描CMOS； </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 xml:space="preserve">镜头倍数：20倍光学变焦； </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 xml:space="preserve">焦距(mm)：f4.5～86mm； </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光圈：Fw1.6～Ft3.4；</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水平角度：360°无限位旋转；</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 xml:space="preserve">垂直角度：+90°～-90°； </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 xml:space="preserve">防护等级：≥IP66； </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 xml:space="preserve">电机带断电自锁功能； </w:t>
            </w:r>
          </w:p>
          <w:p w:rsidR="00800AF2">
            <w:pPr>
              <w:widowControl/>
              <w:numPr>
                <w:ilvl w:val="0"/>
                <w:numId w:val="36"/>
              </w:numPr>
              <w:spacing w:line="360" w:lineRule="auto"/>
              <w:rPr>
                <w:rFonts w:ascii="宋体" w:eastAsia="宋体" w:hAnsi="宋体" w:cs="宋体" w:hint="eastAsia"/>
                <w:szCs w:val="21"/>
              </w:rPr>
            </w:pPr>
            <w:r>
              <w:rPr>
                <w:rFonts w:ascii="宋体" w:eastAsia="宋体" w:hAnsi="宋体" w:cs="宋体" w:hint="eastAsia"/>
                <w:szCs w:val="21"/>
              </w:rPr>
              <w:t>支持接入全车视频监控系统。</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舱内摄像机</w:t>
            </w:r>
          </w:p>
        </w:tc>
        <w:tc>
          <w:tcPr>
            <w:tcW w:w="3399" w:type="pct"/>
            <w:vAlign w:val="center"/>
          </w:tcPr>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POE半球摄像机；</w:t>
            </w:r>
          </w:p>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支持夜间补光；</w:t>
            </w:r>
          </w:p>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支持接入全车视频监控系统；</w:t>
            </w:r>
          </w:p>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成像设备：1/2.8-type Exmor CMOS；</w:t>
            </w:r>
          </w:p>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镜头：20倍光学变焦，12倍数字变焦，f=4.7mm—-94.0mm；</w:t>
            </w:r>
          </w:p>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光圈：F1.6 to F3.5；</w:t>
            </w:r>
          </w:p>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平移：±170°（最高速度为100°/秒），俯仰：+90°/-20°（最高速度为90°/秒）；</w:t>
            </w:r>
          </w:p>
          <w:p w:rsidR="00800AF2">
            <w:pPr>
              <w:widowControl/>
              <w:numPr>
                <w:ilvl w:val="0"/>
                <w:numId w:val="37"/>
              </w:numPr>
              <w:spacing w:line="360" w:lineRule="auto"/>
              <w:rPr>
                <w:rFonts w:ascii="宋体" w:eastAsia="宋体" w:hAnsi="宋体" w:cs="宋体" w:hint="eastAsia"/>
                <w:szCs w:val="21"/>
              </w:rPr>
            </w:pPr>
            <w:r>
              <w:rPr>
                <w:rFonts w:ascii="宋体" w:eastAsia="宋体" w:hAnsi="宋体" w:cs="宋体" w:hint="eastAsia"/>
                <w:szCs w:val="21"/>
              </w:rPr>
              <w:t>视频输出：HD-SDI SD—VBS。</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硬盘录像机</w:t>
            </w:r>
          </w:p>
        </w:tc>
        <w:tc>
          <w:tcPr>
            <w:tcW w:w="3399" w:type="pct"/>
            <w:vAlign w:val="center"/>
          </w:tcPr>
          <w:p w:rsidR="00800AF2">
            <w:pPr>
              <w:widowControl/>
              <w:numPr>
                <w:ilvl w:val="0"/>
                <w:numId w:val="38"/>
              </w:numPr>
              <w:spacing w:line="360" w:lineRule="auto"/>
              <w:rPr>
                <w:rFonts w:ascii="宋体" w:eastAsia="宋体" w:hAnsi="宋体" w:cs="宋体" w:hint="eastAsia"/>
                <w:szCs w:val="21"/>
              </w:rPr>
            </w:pPr>
            <w:r>
              <w:rPr>
                <w:rFonts w:ascii="宋体" w:eastAsia="宋体" w:hAnsi="宋体" w:cs="宋体" w:hint="eastAsia"/>
                <w:szCs w:val="21"/>
              </w:rPr>
              <w:t xml:space="preserve">支持4路1080P视频输入； </w:t>
            </w:r>
          </w:p>
          <w:p w:rsidR="00800AF2">
            <w:pPr>
              <w:widowControl/>
              <w:numPr>
                <w:ilvl w:val="0"/>
                <w:numId w:val="38"/>
              </w:numPr>
              <w:spacing w:line="360" w:lineRule="auto"/>
              <w:rPr>
                <w:rFonts w:ascii="宋体" w:eastAsia="宋体" w:hAnsi="宋体" w:cs="宋体" w:hint="eastAsia"/>
                <w:szCs w:val="21"/>
              </w:rPr>
            </w:pPr>
            <w:r>
              <w:rPr>
                <w:rFonts w:ascii="宋体" w:eastAsia="宋体" w:hAnsi="宋体" w:cs="宋体" w:hint="eastAsia"/>
                <w:szCs w:val="21"/>
              </w:rPr>
              <w:t xml:space="preserve">存储容量≥4T； </w:t>
            </w:r>
          </w:p>
          <w:p w:rsidR="00800AF2">
            <w:pPr>
              <w:widowControl/>
              <w:numPr>
                <w:ilvl w:val="0"/>
                <w:numId w:val="38"/>
              </w:numPr>
              <w:spacing w:line="360" w:lineRule="auto"/>
              <w:rPr>
                <w:rFonts w:ascii="宋体" w:eastAsia="宋体" w:hAnsi="宋体" w:cs="宋体" w:hint="eastAsia"/>
                <w:szCs w:val="21"/>
              </w:rPr>
            </w:pPr>
            <w:r>
              <w:rPr>
                <w:rFonts w:ascii="宋体" w:eastAsia="宋体" w:hAnsi="宋体" w:cs="宋体" w:hint="eastAsia"/>
                <w:szCs w:val="21"/>
              </w:rPr>
              <w:t>支持H.265/H.264压缩模式。</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视频监控</w:t>
            </w:r>
            <w:r>
              <w:rPr>
                <w:rFonts w:ascii="宋体" w:eastAsia="宋体" w:hAnsi="宋体" w:cs="宋体" w:hint="eastAsia"/>
                <w:szCs w:val="21"/>
              </w:rPr>
              <w:t>主机</w:t>
            </w:r>
          </w:p>
        </w:tc>
        <w:tc>
          <w:tcPr>
            <w:tcW w:w="3399" w:type="pct"/>
            <w:vAlign w:val="center"/>
          </w:tcPr>
          <w:p w:rsidR="00800AF2">
            <w:pPr>
              <w:widowControl/>
              <w:numPr>
                <w:ilvl w:val="0"/>
                <w:numId w:val="39"/>
              </w:numPr>
              <w:spacing w:line="360" w:lineRule="auto"/>
              <w:rPr>
                <w:rFonts w:ascii="宋体" w:eastAsia="宋体" w:hAnsi="宋体" w:cs="宋体" w:hint="eastAsia"/>
                <w:szCs w:val="21"/>
              </w:rPr>
            </w:pPr>
            <w:r>
              <w:rPr>
                <w:rFonts w:ascii="宋体" w:eastAsia="宋体" w:hAnsi="宋体" w:cs="宋体" w:hint="eastAsia"/>
                <w:szCs w:val="21"/>
              </w:rPr>
              <w:t xml:space="preserve">不小于24英寸； </w:t>
            </w:r>
          </w:p>
          <w:p w:rsidR="00800AF2">
            <w:pPr>
              <w:widowControl/>
              <w:numPr>
                <w:ilvl w:val="0"/>
                <w:numId w:val="39"/>
              </w:numPr>
              <w:spacing w:line="360" w:lineRule="auto"/>
              <w:rPr>
                <w:rFonts w:ascii="宋体" w:eastAsia="宋体" w:hAnsi="宋体" w:cs="宋体" w:hint="eastAsia"/>
                <w:szCs w:val="21"/>
              </w:rPr>
            </w:pPr>
            <w:r>
              <w:rPr>
                <w:rFonts w:ascii="宋体" w:eastAsia="宋体" w:hAnsi="宋体" w:cs="宋体" w:hint="eastAsia"/>
                <w:szCs w:val="21"/>
              </w:rPr>
              <w:t xml:space="preserve">分辨率:不低于1080P； </w:t>
            </w:r>
          </w:p>
          <w:p w:rsidR="00800AF2">
            <w:pPr>
              <w:widowControl/>
              <w:numPr>
                <w:ilvl w:val="0"/>
                <w:numId w:val="39"/>
              </w:numPr>
              <w:spacing w:line="360" w:lineRule="auto"/>
              <w:rPr>
                <w:rFonts w:ascii="宋体" w:eastAsia="宋体" w:hAnsi="宋体" w:cs="宋体" w:hint="eastAsia"/>
                <w:szCs w:val="21"/>
              </w:rPr>
            </w:pPr>
            <w:r>
              <w:rPr>
                <w:rFonts w:ascii="宋体" w:eastAsia="宋体" w:hAnsi="宋体" w:cs="宋体" w:hint="eastAsia"/>
                <w:szCs w:val="21"/>
              </w:rPr>
              <w:t>显示口：HDMI。</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7"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环境监控系统</w:t>
            </w:r>
          </w:p>
        </w:tc>
        <w:tc>
          <w:tcPr>
            <w:tcW w:w="3399" w:type="pct"/>
            <w:vAlign w:val="center"/>
          </w:tcPr>
          <w:p w:rsidR="00800AF2">
            <w:pPr>
              <w:widowControl/>
              <w:numPr>
                <w:ilvl w:val="0"/>
                <w:numId w:val="40"/>
              </w:numPr>
              <w:spacing w:line="360" w:lineRule="auto"/>
              <w:rPr>
                <w:rFonts w:ascii="宋体" w:eastAsia="宋体" w:hAnsi="宋体" w:cs="宋体" w:hint="eastAsia"/>
                <w:szCs w:val="21"/>
              </w:rPr>
            </w:pPr>
            <w:r>
              <w:rPr>
                <w:rFonts w:ascii="宋体" w:eastAsia="宋体" w:hAnsi="宋体" w:cs="宋体" w:hint="eastAsia"/>
                <w:szCs w:val="21"/>
              </w:rPr>
              <w:t>包括温湿度传感器、烟雾传感器，及监控主机，带声光报警功能；</w:t>
            </w:r>
          </w:p>
          <w:p w:rsidR="00800AF2">
            <w:pPr>
              <w:widowControl/>
              <w:numPr>
                <w:ilvl w:val="0"/>
                <w:numId w:val="40"/>
              </w:numPr>
              <w:spacing w:line="360" w:lineRule="auto"/>
              <w:rPr>
                <w:rFonts w:ascii="宋体" w:eastAsia="宋体" w:hAnsi="宋体" w:cs="宋体" w:hint="eastAsia"/>
                <w:szCs w:val="21"/>
              </w:rPr>
            </w:pPr>
            <w:r>
              <w:rPr>
                <w:rFonts w:ascii="宋体" w:eastAsia="宋体" w:hAnsi="宋体" w:cs="宋体" w:hint="eastAsia"/>
                <w:szCs w:val="21"/>
              </w:rPr>
              <w:t>具备监控及报警信息本地显示，监控及报警信息上传功能。</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bl>
    <w:p w:rsidR="00800AF2">
      <w:pPr>
        <w:spacing w:line="560" w:lineRule="exact"/>
        <w:ind w:firstLine="420" w:firstLineChars="200"/>
        <w:jc w:val="left"/>
        <w:outlineLvl w:val="3"/>
        <w:rPr>
          <w:rFonts w:ascii="宋体" w:eastAsia="宋体" w:hAnsi="宋体" w:cs="宋体" w:hint="eastAsia"/>
          <w:bCs/>
          <w:color w:val="000000"/>
          <w:szCs w:val="21"/>
        </w:rPr>
      </w:pPr>
      <w:bookmarkStart w:id="109" w:name="_Toc25471"/>
      <w:r>
        <w:rPr>
          <w:rFonts w:ascii="宋体" w:eastAsia="宋体" w:hAnsi="宋体" w:cs="宋体" w:hint="eastAsia"/>
          <w:bCs/>
          <w:color w:val="000000"/>
          <w:szCs w:val="21"/>
        </w:rPr>
        <w:t>5.4.5.4工作生活单元</w:t>
      </w:r>
      <w:bookmarkEnd w:id="109"/>
    </w:p>
    <w:p w:rsidR="00800AF2">
      <w:pPr>
        <w:spacing w:line="560" w:lineRule="exact"/>
        <w:ind w:firstLine="420" w:firstLineChars="200"/>
        <w:jc w:val="left"/>
        <w:rPr>
          <w:rFonts w:ascii="宋体" w:eastAsia="宋体" w:hAnsi="宋体" w:cs="宋体" w:hint="eastAsia"/>
          <w:bCs/>
          <w:color w:val="000000"/>
          <w:szCs w:val="21"/>
        </w:rPr>
      </w:pPr>
      <w:r>
        <w:rPr>
          <w:rFonts w:ascii="宋体" w:eastAsia="宋体" w:hAnsi="宋体" w:cs="宋体" w:hint="eastAsia"/>
          <w:bCs/>
          <w:color w:val="000000"/>
          <w:szCs w:val="21"/>
        </w:rPr>
        <w:t>工作生活单元由饮水机、冰箱、电视机、折叠座椅、文件柜、灭火器、设备机柜、医疗急救箱、激光打印机、厨房工作台、电磁炉、微波炉、热水器、洗手池、坐便器（或蹲便器）、净水箱、灰水箱等组成。满足野外作业所需工作、生活、急救、安全、防火等基本需求。</w:t>
      </w:r>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53</w:t>
      </w:r>
      <w:r>
        <w:rPr>
          <w:rFonts w:ascii="宋体" w:eastAsia="宋体" w:hAnsi="宋体" w:cs="宋体" w:hint="eastAsia"/>
          <w:szCs w:val="21"/>
        </w:rPr>
        <w:fldChar w:fldCharType="end"/>
      </w:r>
      <w:r>
        <w:rPr>
          <w:rFonts w:ascii="宋体" w:eastAsia="宋体" w:hAnsi="宋体" w:cs="宋体" w:hint="eastAsia"/>
          <w:szCs w:val="21"/>
        </w:rPr>
        <w:t>工作生活单元功能要求</w:t>
      </w:r>
    </w:p>
    <w:tbl>
      <w:tblPr>
        <w:tblStyle w:val="TableNormal"/>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0"/>
        <w:gridCol w:w="5903"/>
        <w:gridCol w:w="865"/>
        <w:gridCol w:w="773"/>
      </w:tblGrid>
      <w:tr>
        <w:tblPrEx>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设备名称</w:t>
            </w:r>
          </w:p>
        </w:tc>
        <w:tc>
          <w:tcPr>
            <w:tcW w:w="3399" w:type="pct"/>
            <w:vAlign w:val="center"/>
          </w:tcPr>
          <w:p w:rsidR="00800AF2">
            <w:pPr>
              <w:widowControl/>
              <w:spacing w:line="360" w:lineRule="auto"/>
              <w:jc w:val="center"/>
              <w:rPr>
                <w:rFonts w:ascii="宋体" w:eastAsia="宋体" w:hAnsi="宋体" w:cs="宋体" w:hint="eastAsia"/>
                <w:szCs w:val="21"/>
              </w:rPr>
            </w:pPr>
            <w:r>
              <w:rPr>
                <w:rFonts w:ascii="宋体" w:eastAsia="宋体" w:hAnsi="宋体" w:cs="宋体" w:hint="eastAsia"/>
                <w:szCs w:val="21"/>
              </w:rPr>
              <w:t>功能要求</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单位</w:t>
            </w:r>
          </w:p>
        </w:tc>
      </w:tr>
      <w:tr>
        <w:tblPrEx>
          <w:tblW w:w="5093" w:type="pct"/>
          <w:tblLook w:val="04A0"/>
        </w:tblPrEx>
        <w:trPr>
          <w:trHeight w:val="536"/>
        </w:trPr>
        <w:tc>
          <w:tcPr>
            <w:tcW w:w="656"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顶置空调系统</w:t>
            </w:r>
          </w:p>
        </w:tc>
        <w:tc>
          <w:tcPr>
            <w:tcW w:w="3399" w:type="pct"/>
            <w:vAlign w:val="center"/>
          </w:tcPr>
          <w:p w:rsidR="00800AF2">
            <w:pPr>
              <w:spacing w:line="360" w:lineRule="auto"/>
              <w:rPr>
                <w:rFonts w:ascii="宋体" w:eastAsia="宋体" w:hAnsi="宋体" w:cs="宋体" w:hint="eastAsia"/>
                <w:szCs w:val="21"/>
              </w:rPr>
            </w:pPr>
            <w:r>
              <w:rPr>
                <w:rFonts w:ascii="宋体" w:eastAsia="宋体" w:hAnsi="宋体" w:cs="宋体" w:hint="eastAsia"/>
                <w:szCs w:val="21"/>
              </w:rPr>
              <w:t>配备顶置冷暖空调≥1.5匹（空调制冷剂应使用不可燃冷媒或配备泄露检测系统）适用面积≥15㎡，制热功率≥1200W，制冷功率≥800W，内机最大噪音≤40dB，风机/压缩机/蒸发机材质：铜，带自清洁功能；暖风机1套满足工作舱环境使用要求。</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饮水机</w:t>
            </w:r>
          </w:p>
        </w:tc>
        <w:tc>
          <w:tcPr>
            <w:tcW w:w="3399" w:type="pct"/>
            <w:vAlign w:val="center"/>
          </w:tcPr>
          <w:p w:rsidR="00800AF2">
            <w:pPr>
              <w:widowControl/>
              <w:numPr>
                <w:ilvl w:val="0"/>
                <w:numId w:val="41"/>
              </w:numPr>
              <w:spacing w:line="360" w:lineRule="auto"/>
              <w:rPr>
                <w:rFonts w:ascii="宋体" w:eastAsia="宋体" w:hAnsi="宋体" w:cs="宋体" w:hint="eastAsia"/>
                <w:szCs w:val="21"/>
              </w:rPr>
            </w:pPr>
            <w:r>
              <w:rPr>
                <w:rFonts w:ascii="宋体" w:eastAsia="宋体" w:hAnsi="宋体" w:cs="宋体" w:hint="eastAsia"/>
                <w:szCs w:val="21"/>
              </w:rPr>
              <w:t>额定功率：≥2kW；</w:t>
            </w:r>
          </w:p>
          <w:p w:rsidR="00800AF2">
            <w:pPr>
              <w:widowControl/>
              <w:numPr>
                <w:ilvl w:val="0"/>
                <w:numId w:val="41"/>
              </w:numPr>
              <w:spacing w:line="360" w:lineRule="auto"/>
              <w:rPr>
                <w:rFonts w:ascii="宋体" w:eastAsia="宋体" w:hAnsi="宋体" w:cs="宋体" w:hint="eastAsia"/>
                <w:szCs w:val="21"/>
              </w:rPr>
            </w:pPr>
            <w:r>
              <w:rPr>
                <w:rFonts w:ascii="宋体" w:eastAsia="宋体" w:hAnsi="宋体" w:cs="宋体" w:hint="eastAsia"/>
                <w:szCs w:val="21"/>
              </w:rPr>
              <w:t>热水供应量：≥0.3L/min</w:t>
            </w:r>
          </w:p>
          <w:p w:rsidR="00800AF2">
            <w:pPr>
              <w:widowControl/>
              <w:numPr>
                <w:ilvl w:val="0"/>
                <w:numId w:val="41"/>
              </w:numPr>
              <w:spacing w:line="360" w:lineRule="auto"/>
              <w:rPr>
                <w:rFonts w:ascii="宋体" w:eastAsia="宋体" w:hAnsi="宋体" w:cs="宋体" w:hint="eastAsia"/>
                <w:szCs w:val="21"/>
              </w:rPr>
            </w:pPr>
            <w:r>
              <w:rPr>
                <w:rFonts w:ascii="宋体" w:eastAsia="宋体" w:hAnsi="宋体" w:cs="宋体" w:hint="eastAsia"/>
                <w:szCs w:val="21"/>
              </w:rPr>
              <w:t>原水箱容量：≥8升</w:t>
            </w:r>
          </w:p>
          <w:p w:rsidR="00800AF2">
            <w:pPr>
              <w:widowControl/>
              <w:numPr>
                <w:ilvl w:val="0"/>
                <w:numId w:val="41"/>
              </w:numPr>
              <w:spacing w:line="360" w:lineRule="auto"/>
              <w:rPr>
                <w:rFonts w:ascii="宋体" w:eastAsia="宋体" w:hAnsi="宋体" w:cs="宋体" w:hint="eastAsia"/>
                <w:szCs w:val="21"/>
              </w:rPr>
            </w:pPr>
            <w:r>
              <w:rPr>
                <w:rFonts w:ascii="宋体" w:eastAsia="宋体" w:hAnsi="宋体" w:cs="宋体" w:hint="eastAsia"/>
                <w:szCs w:val="21"/>
              </w:rPr>
              <w:t>额定净水量：≥4000升</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冰箱</w:t>
            </w:r>
          </w:p>
        </w:tc>
        <w:tc>
          <w:tcPr>
            <w:tcW w:w="3399" w:type="pct"/>
            <w:vAlign w:val="center"/>
          </w:tcPr>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容量：400-600升；</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制冷方式：风冷无霜；</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能效等级：1级；</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特色功能：干湿分储、变温区、制冰机、抗菌净味；</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抗震性能良好，适配移动场景；</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压缩机类型：变频；</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控制方式：电脑；</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制冷剂：R600a；</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冷冻能力：≥8kg/12h；</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综合耗电量：≤1kWh/24h；</w:t>
            </w:r>
          </w:p>
          <w:p w:rsidR="00800AF2">
            <w:pPr>
              <w:widowControl/>
              <w:numPr>
                <w:ilvl w:val="0"/>
                <w:numId w:val="42"/>
              </w:numPr>
              <w:spacing w:line="360" w:lineRule="auto"/>
              <w:rPr>
                <w:rFonts w:ascii="宋体" w:eastAsia="宋体" w:hAnsi="宋体" w:cs="宋体" w:hint="eastAsia"/>
                <w:szCs w:val="21"/>
              </w:rPr>
            </w:pPr>
            <w:r>
              <w:rPr>
                <w:rFonts w:ascii="宋体" w:eastAsia="宋体" w:hAnsi="宋体" w:cs="宋体" w:hint="eastAsia"/>
                <w:szCs w:val="21"/>
              </w:rPr>
              <w:t>噪音：≤36dB。</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电视机</w:t>
            </w:r>
          </w:p>
        </w:tc>
        <w:tc>
          <w:tcPr>
            <w:tcW w:w="3399" w:type="pct"/>
            <w:vAlign w:val="center"/>
          </w:tcPr>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尺寸：55-75英寸</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分辨率：4K（3840×2160）或8K</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显示技术：Mini-LED、OLED、QLED</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刷新率：≥300Hz</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色域标准：BT.2020</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背光分区数：2000-3000级</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亮度：3000-4000尼特</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色域值：100%</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运行内存：≥4GB</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存储内存：≥64GB</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背光方式：RGB-</w:t>
            </w:r>
            <w:r>
              <w:rPr>
                <w:rFonts w:ascii="宋体" w:eastAsia="宋体" w:hAnsi="宋体" w:cs="宋体" w:hint="eastAsia"/>
                <w:szCs w:val="21"/>
              </w:rPr>
              <w:t>MiniLED</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CPU架构：≥四核</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连接方式：无线、有线</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能效等级：一级能效</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HDMI接口数：≥4个</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屏占比：≥97%</w:t>
            </w:r>
          </w:p>
          <w:p w:rsidR="00800AF2">
            <w:pPr>
              <w:widowControl/>
              <w:numPr>
                <w:ilvl w:val="0"/>
                <w:numId w:val="43"/>
              </w:numPr>
              <w:spacing w:line="360" w:lineRule="auto"/>
              <w:rPr>
                <w:rFonts w:ascii="宋体" w:eastAsia="宋体" w:hAnsi="宋体" w:cs="宋体" w:hint="eastAsia"/>
                <w:szCs w:val="21"/>
              </w:rPr>
            </w:pPr>
            <w:r>
              <w:rPr>
                <w:rFonts w:ascii="宋体" w:eastAsia="宋体" w:hAnsi="宋体" w:cs="宋体" w:hint="eastAsia"/>
                <w:szCs w:val="21"/>
              </w:rPr>
              <w:t>音响功率:≥65W</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座椅</w:t>
            </w:r>
          </w:p>
        </w:tc>
        <w:tc>
          <w:tcPr>
            <w:tcW w:w="3399" w:type="pct"/>
            <w:vAlign w:val="center"/>
          </w:tcPr>
          <w:p w:rsidR="00800AF2">
            <w:pPr>
              <w:widowControl/>
              <w:numPr>
                <w:ilvl w:val="0"/>
                <w:numId w:val="44"/>
              </w:numPr>
              <w:spacing w:line="360" w:lineRule="auto"/>
              <w:rPr>
                <w:rFonts w:ascii="宋体" w:eastAsia="宋体" w:hAnsi="宋体" w:cs="宋体" w:hint="eastAsia"/>
                <w:szCs w:val="21"/>
              </w:rPr>
            </w:pPr>
            <w:r>
              <w:rPr>
                <w:rFonts w:ascii="宋体" w:eastAsia="宋体" w:hAnsi="宋体" w:cs="宋体" w:hint="eastAsia"/>
                <w:szCs w:val="21"/>
              </w:rPr>
              <w:t>承重：≥150kg</w:t>
            </w:r>
          </w:p>
          <w:p w:rsidR="00800AF2">
            <w:pPr>
              <w:widowControl/>
              <w:numPr>
                <w:ilvl w:val="0"/>
                <w:numId w:val="44"/>
              </w:numPr>
              <w:spacing w:line="360" w:lineRule="auto"/>
              <w:rPr>
                <w:rFonts w:ascii="宋体" w:eastAsia="宋体" w:hAnsi="宋体" w:cs="宋体" w:hint="eastAsia"/>
                <w:szCs w:val="21"/>
              </w:rPr>
            </w:pPr>
            <w:r>
              <w:rPr>
                <w:rFonts w:ascii="宋体" w:eastAsia="宋体" w:hAnsi="宋体" w:cs="宋体" w:hint="eastAsia"/>
                <w:szCs w:val="21"/>
              </w:rPr>
              <w:t>面料：特斯林或牛津布</w:t>
            </w:r>
          </w:p>
          <w:p w:rsidR="00800AF2">
            <w:pPr>
              <w:widowControl/>
              <w:numPr>
                <w:ilvl w:val="0"/>
                <w:numId w:val="44"/>
              </w:numPr>
              <w:spacing w:line="360" w:lineRule="auto"/>
              <w:rPr>
                <w:rFonts w:ascii="宋体" w:eastAsia="宋体" w:hAnsi="宋体" w:cs="宋体" w:hint="eastAsia"/>
                <w:szCs w:val="21"/>
              </w:rPr>
            </w:pPr>
            <w:r>
              <w:rPr>
                <w:rFonts w:ascii="宋体" w:eastAsia="宋体" w:hAnsi="宋体" w:cs="宋体" w:hint="eastAsia"/>
                <w:szCs w:val="21"/>
              </w:rPr>
              <w:t>支架：加粗铝合金</w:t>
            </w:r>
          </w:p>
          <w:p w:rsidR="00800AF2">
            <w:pPr>
              <w:widowControl/>
              <w:numPr>
                <w:ilvl w:val="0"/>
                <w:numId w:val="44"/>
              </w:numPr>
              <w:spacing w:line="360" w:lineRule="auto"/>
              <w:rPr>
                <w:rFonts w:ascii="宋体" w:eastAsia="宋体" w:hAnsi="宋体" w:cs="宋体" w:hint="eastAsia"/>
                <w:szCs w:val="21"/>
              </w:rPr>
            </w:pPr>
            <w:r>
              <w:rPr>
                <w:rFonts w:ascii="宋体" w:eastAsia="宋体" w:hAnsi="宋体" w:cs="宋体" w:hint="eastAsia"/>
                <w:szCs w:val="21"/>
              </w:rPr>
              <w:t>功能：可调节靠背、带万向轮、便携收纳</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5</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把</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文件柜</w:t>
            </w:r>
          </w:p>
        </w:tc>
        <w:tc>
          <w:tcPr>
            <w:tcW w:w="3399" w:type="pct"/>
            <w:vAlign w:val="center"/>
          </w:tcPr>
          <w:p w:rsidR="00800AF2">
            <w:pPr>
              <w:widowControl/>
              <w:numPr>
                <w:ilvl w:val="0"/>
                <w:numId w:val="45"/>
              </w:numPr>
              <w:spacing w:line="360" w:lineRule="auto"/>
              <w:rPr>
                <w:rFonts w:ascii="宋体" w:eastAsia="宋体" w:hAnsi="宋体" w:cs="宋体" w:hint="eastAsia"/>
                <w:szCs w:val="21"/>
              </w:rPr>
            </w:pPr>
            <w:r>
              <w:rPr>
                <w:rFonts w:ascii="宋体" w:eastAsia="宋体" w:hAnsi="宋体" w:cs="宋体" w:hint="eastAsia"/>
                <w:szCs w:val="21"/>
              </w:rPr>
              <w:t>材质：冷轧钢板，厚度≥0.8mm</w:t>
            </w:r>
          </w:p>
          <w:p w:rsidR="00800AF2">
            <w:pPr>
              <w:widowControl/>
              <w:numPr>
                <w:ilvl w:val="0"/>
                <w:numId w:val="45"/>
              </w:numPr>
              <w:spacing w:line="360" w:lineRule="auto"/>
              <w:rPr>
                <w:rFonts w:ascii="宋体" w:eastAsia="宋体" w:hAnsi="宋体" w:cs="宋体" w:hint="eastAsia"/>
                <w:szCs w:val="21"/>
              </w:rPr>
            </w:pPr>
            <w:r>
              <w:rPr>
                <w:rFonts w:ascii="宋体" w:eastAsia="宋体" w:hAnsi="宋体" w:cs="宋体" w:hint="eastAsia"/>
                <w:szCs w:val="21"/>
              </w:rPr>
              <w:t>尺寸：常规单节约900mm宽×560mm深×2400mm高</w:t>
            </w:r>
          </w:p>
          <w:p w:rsidR="00800AF2">
            <w:pPr>
              <w:widowControl/>
              <w:numPr>
                <w:ilvl w:val="0"/>
                <w:numId w:val="45"/>
              </w:numPr>
              <w:spacing w:line="360" w:lineRule="auto"/>
              <w:rPr>
                <w:rFonts w:ascii="宋体" w:eastAsia="宋体" w:hAnsi="宋体" w:cs="宋体" w:hint="eastAsia"/>
                <w:szCs w:val="21"/>
              </w:rPr>
            </w:pPr>
            <w:r>
              <w:rPr>
                <w:rFonts w:ascii="宋体" w:eastAsia="宋体" w:hAnsi="宋体" w:cs="宋体" w:hint="eastAsia"/>
                <w:szCs w:val="21"/>
              </w:rPr>
              <w:t>容量：根据抽屉或隔层数量定锁具：实体锁/电子锁</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灭火器</w:t>
            </w:r>
          </w:p>
        </w:tc>
        <w:tc>
          <w:tcPr>
            <w:tcW w:w="3399" w:type="pct"/>
            <w:vAlign w:val="center"/>
          </w:tcPr>
          <w:p w:rsidR="00800AF2">
            <w:pPr>
              <w:widowControl/>
              <w:numPr>
                <w:ilvl w:val="0"/>
                <w:numId w:val="46"/>
              </w:numPr>
              <w:spacing w:line="360" w:lineRule="auto"/>
              <w:rPr>
                <w:rFonts w:ascii="宋体" w:eastAsia="宋体" w:hAnsi="宋体" w:cs="宋体" w:hint="eastAsia"/>
                <w:szCs w:val="21"/>
              </w:rPr>
            </w:pPr>
            <w:r>
              <w:rPr>
                <w:rFonts w:ascii="宋体" w:eastAsia="宋体" w:hAnsi="宋体" w:cs="宋体" w:hint="eastAsia"/>
                <w:szCs w:val="21"/>
              </w:rPr>
              <w:t>类型：七氟丙烷/二氧化碳（可用于精密仪器灭火）</w:t>
            </w:r>
          </w:p>
          <w:p w:rsidR="00800AF2">
            <w:pPr>
              <w:widowControl/>
              <w:numPr>
                <w:ilvl w:val="0"/>
                <w:numId w:val="46"/>
              </w:numPr>
              <w:spacing w:line="360" w:lineRule="auto"/>
              <w:rPr>
                <w:rFonts w:ascii="宋体" w:eastAsia="宋体" w:hAnsi="宋体" w:cs="宋体" w:hint="eastAsia"/>
                <w:szCs w:val="21"/>
              </w:rPr>
            </w:pPr>
            <w:r>
              <w:rPr>
                <w:rFonts w:ascii="宋体" w:eastAsia="宋体" w:hAnsi="宋体" w:cs="宋体" w:hint="eastAsia"/>
                <w:szCs w:val="21"/>
              </w:rPr>
              <w:t>浓度：≥99%</w:t>
            </w:r>
          </w:p>
          <w:p w:rsidR="00800AF2">
            <w:pPr>
              <w:widowControl/>
              <w:numPr>
                <w:ilvl w:val="0"/>
                <w:numId w:val="46"/>
              </w:numPr>
              <w:spacing w:line="360" w:lineRule="auto"/>
              <w:rPr>
                <w:rFonts w:ascii="宋体" w:eastAsia="宋体" w:hAnsi="宋体" w:cs="宋体" w:hint="eastAsia"/>
                <w:szCs w:val="21"/>
              </w:rPr>
            </w:pPr>
            <w:r>
              <w:rPr>
                <w:rFonts w:ascii="宋体" w:eastAsia="宋体" w:hAnsi="宋体" w:cs="宋体" w:hint="eastAsia"/>
                <w:szCs w:val="21"/>
              </w:rPr>
              <w:t>规格：4kg（手提式）</w:t>
            </w:r>
          </w:p>
          <w:p w:rsidR="00800AF2">
            <w:pPr>
              <w:widowControl/>
              <w:numPr>
                <w:ilvl w:val="0"/>
                <w:numId w:val="46"/>
              </w:numPr>
              <w:spacing w:line="360" w:lineRule="auto"/>
              <w:rPr>
                <w:rFonts w:ascii="宋体" w:eastAsia="宋体" w:hAnsi="宋体" w:cs="宋体" w:hint="eastAsia"/>
                <w:szCs w:val="21"/>
              </w:rPr>
            </w:pPr>
            <w:r>
              <w:rPr>
                <w:rFonts w:ascii="宋体" w:eastAsia="宋体" w:hAnsi="宋体" w:cs="宋体" w:hint="eastAsia"/>
                <w:szCs w:val="21"/>
              </w:rPr>
              <w:t>灭火级别：1A-34B-CE</w:t>
            </w:r>
          </w:p>
          <w:p w:rsidR="00800AF2">
            <w:pPr>
              <w:widowControl/>
              <w:numPr>
                <w:ilvl w:val="0"/>
                <w:numId w:val="46"/>
              </w:numPr>
              <w:spacing w:line="360" w:lineRule="auto"/>
              <w:rPr>
                <w:rFonts w:ascii="宋体" w:eastAsia="宋体" w:hAnsi="宋体" w:cs="宋体" w:hint="eastAsia"/>
                <w:szCs w:val="21"/>
              </w:rPr>
            </w:pPr>
            <w:r>
              <w:rPr>
                <w:rFonts w:ascii="宋体" w:eastAsia="宋体" w:hAnsi="宋体" w:cs="宋体" w:hint="eastAsia"/>
                <w:szCs w:val="21"/>
              </w:rPr>
              <w:t>认证：CCCF（中国消防产品认证）</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4</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个</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设备机柜</w:t>
            </w:r>
          </w:p>
        </w:tc>
        <w:tc>
          <w:tcPr>
            <w:tcW w:w="3399" w:type="pct"/>
            <w:vAlign w:val="center"/>
          </w:tcPr>
          <w:p w:rsidR="00800AF2">
            <w:pPr>
              <w:widowControl/>
              <w:numPr>
                <w:ilvl w:val="0"/>
                <w:numId w:val="47"/>
              </w:numPr>
              <w:spacing w:line="360" w:lineRule="auto"/>
              <w:rPr>
                <w:rFonts w:ascii="宋体" w:eastAsia="宋体" w:hAnsi="宋体" w:cs="宋体" w:hint="eastAsia"/>
                <w:szCs w:val="21"/>
              </w:rPr>
            </w:pPr>
            <w:r>
              <w:rPr>
                <w:rFonts w:ascii="宋体" w:eastAsia="宋体" w:hAnsi="宋体" w:cs="宋体" w:hint="eastAsia"/>
                <w:szCs w:val="21"/>
              </w:rPr>
              <w:t>尺寸：42U~36U，宽度19英寸，深度600mm-1000mm</w:t>
            </w:r>
          </w:p>
          <w:p w:rsidR="00800AF2">
            <w:pPr>
              <w:widowControl/>
              <w:numPr>
                <w:ilvl w:val="0"/>
                <w:numId w:val="47"/>
              </w:numPr>
              <w:spacing w:line="360" w:lineRule="auto"/>
              <w:rPr>
                <w:rFonts w:ascii="宋体" w:eastAsia="宋体" w:hAnsi="宋体" w:cs="宋体" w:hint="eastAsia"/>
                <w:szCs w:val="21"/>
              </w:rPr>
            </w:pPr>
            <w:r>
              <w:rPr>
                <w:rFonts w:ascii="宋体" w:eastAsia="宋体" w:hAnsi="宋体" w:cs="宋体" w:hint="eastAsia"/>
                <w:szCs w:val="21"/>
              </w:rPr>
              <w:t>材质：冷轧钢板、网孔门</w:t>
            </w:r>
          </w:p>
          <w:p w:rsidR="00800AF2">
            <w:pPr>
              <w:widowControl/>
              <w:numPr>
                <w:ilvl w:val="0"/>
                <w:numId w:val="47"/>
              </w:numPr>
              <w:spacing w:line="360" w:lineRule="auto"/>
              <w:rPr>
                <w:rFonts w:ascii="宋体" w:eastAsia="宋体" w:hAnsi="宋体" w:cs="宋体" w:hint="eastAsia"/>
                <w:szCs w:val="21"/>
              </w:rPr>
            </w:pPr>
            <w:r>
              <w:rPr>
                <w:rFonts w:ascii="宋体" w:eastAsia="宋体" w:hAnsi="宋体" w:cs="宋体" w:hint="eastAsia"/>
                <w:szCs w:val="21"/>
              </w:rPr>
              <w:t>承重：静态承重≥500kg</w:t>
            </w:r>
          </w:p>
          <w:p w:rsidR="00800AF2">
            <w:pPr>
              <w:widowControl/>
              <w:numPr>
                <w:ilvl w:val="0"/>
                <w:numId w:val="47"/>
              </w:numPr>
              <w:spacing w:line="360" w:lineRule="auto"/>
              <w:rPr>
                <w:rFonts w:ascii="宋体" w:eastAsia="宋体" w:hAnsi="宋体" w:cs="宋体" w:hint="eastAsia"/>
                <w:szCs w:val="21"/>
              </w:rPr>
            </w:pPr>
            <w:r>
              <w:rPr>
                <w:rFonts w:ascii="宋体" w:eastAsia="宋体" w:hAnsi="宋体" w:cs="宋体" w:hint="eastAsia"/>
                <w:szCs w:val="21"/>
              </w:rPr>
              <w:t>散热：散热风扇、通风孔</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医疗急救箱</w:t>
            </w:r>
          </w:p>
        </w:tc>
        <w:tc>
          <w:tcPr>
            <w:tcW w:w="3399" w:type="pct"/>
            <w:vAlign w:val="center"/>
          </w:tcPr>
          <w:p w:rsidR="00800AF2">
            <w:pPr>
              <w:widowControl/>
              <w:numPr>
                <w:ilvl w:val="0"/>
                <w:numId w:val="48"/>
              </w:numPr>
              <w:spacing w:line="360" w:lineRule="auto"/>
              <w:rPr>
                <w:rFonts w:ascii="宋体" w:eastAsia="宋体" w:hAnsi="宋体" w:cs="宋体" w:hint="eastAsia"/>
                <w:szCs w:val="21"/>
              </w:rPr>
            </w:pPr>
            <w:r>
              <w:rPr>
                <w:rFonts w:ascii="宋体" w:eastAsia="宋体" w:hAnsi="宋体" w:cs="宋体" w:hint="eastAsia"/>
                <w:szCs w:val="21"/>
              </w:rPr>
              <w:t>材质：箱体PVC/ABS塑料</w:t>
            </w:r>
          </w:p>
          <w:p w:rsidR="00800AF2">
            <w:pPr>
              <w:widowControl/>
              <w:numPr>
                <w:ilvl w:val="0"/>
                <w:numId w:val="48"/>
              </w:numPr>
              <w:spacing w:line="360" w:lineRule="auto"/>
              <w:rPr>
                <w:rFonts w:ascii="宋体" w:eastAsia="宋体" w:hAnsi="宋体" w:cs="宋体" w:hint="eastAsia"/>
                <w:szCs w:val="21"/>
              </w:rPr>
            </w:pPr>
            <w:r>
              <w:rPr>
                <w:rFonts w:ascii="宋体" w:eastAsia="宋体" w:hAnsi="宋体" w:cs="宋体" w:hint="eastAsia"/>
                <w:szCs w:val="21"/>
              </w:rPr>
              <w:t>尺寸：尺寸适配存放空间，重量适中，便于移动和携带（如44.5*26.0*22.2cm）</w:t>
            </w:r>
          </w:p>
          <w:p w:rsidR="00800AF2">
            <w:pPr>
              <w:widowControl/>
              <w:numPr>
                <w:ilvl w:val="0"/>
                <w:numId w:val="48"/>
              </w:numPr>
              <w:spacing w:line="360" w:lineRule="auto"/>
              <w:rPr>
                <w:rFonts w:ascii="宋体" w:eastAsia="宋体" w:hAnsi="宋体" w:cs="宋体" w:hint="eastAsia"/>
                <w:szCs w:val="21"/>
              </w:rPr>
            </w:pPr>
            <w:r>
              <w:rPr>
                <w:rFonts w:ascii="宋体" w:eastAsia="宋体" w:hAnsi="宋体" w:cs="宋体" w:hint="eastAsia"/>
                <w:szCs w:val="21"/>
              </w:rPr>
              <w:t>分层：多层分区设计</w:t>
            </w:r>
          </w:p>
          <w:p w:rsidR="00800AF2">
            <w:pPr>
              <w:widowControl/>
              <w:numPr>
                <w:ilvl w:val="0"/>
                <w:numId w:val="48"/>
              </w:numPr>
              <w:spacing w:line="360" w:lineRule="auto"/>
              <w:rPr>
                <w:rFonts w:ascii="宋体" w:eastAsia="宋体" w:hAnsi="宋体" w:cs="宋体" w:hint="eastAsia"/>
                <w:szCs w:val="21"/>
              </w:rPr>
            </w:pPr>
            <w:r>
              <w:rPr>
                <w:rFonts w:ascii="宋体" w:eastAsia="宋体" w:hAnsi="宋体" w:cs="宋体" w:hint="eastAsia"/>
                <w:szCs w:val="21"/>
              </w:rPr>
              <w:t>标配物品：内置急救用品齐全（绷带、止血带、消毒用品、常用药品等），数量、规格符合急救需求；</w:t>
            </w:r>
          </w:p>
          <w:p w:rsidR="00800AF2">
            <w:pPr>
              <w:widowControl/>
              <w:numPr>
                <w:ilvl w:val="0"/>
                <w:numId w:val="48"/>
              </w:numPr>
              <w:spacing w:line="360" w:lineRule="auto"/>
              <w:rPr>
                <w:rFonts w:ascii="宋体" w:eastAsia="宋体" w:hAnsi="宋体" w:cs="宋体" w:hint="eastAsia"/>
                <w:szCs w:val="21"/>
              </w:rPr>
            </w:pPr>
            <w:r>
              <w:rPr>
                <w:rFonts w:ascii="宋体" w:eastAsia="宋体" w:hAnsi="宋体" w:cs="宋体" w:hint="eastAsia"/>
                <w:szCs w:val="21"/>
              </w:rPr>
              <w:t>箱体密封良好，具备防潮、防污染功能，药品及用品在有效期内</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箱</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电热水壶</w:t>
            </w:r>
          </w:p>
        </w:tc>
        <w:tc>
          <w:tcPr>
            <w:tcW w:w="3399" w:type="pct"/>
            <w:vAlign w:val="center"/>
          </w:tcPr>
          <w:p w:rsidR="00800AF2">
            <w:pPr>
              <w:widowControl/>
              <w:numPr>
                <w:ilvl w:val="0"/>
                <w:numId w:val="49"/>
              </w:numPr>
              <w:spacing w:line="360" w:lineRule="auto"/>
              <w:rPr>
                <w:rFonts w:ascii="宋体" w:eastAsia="宋体" w:hAnsi="宋体" w:cs="宋体" w:hint="eastAsia"/>
                <w:szCs w:val="21"/>
              </w:rPr>
            </w:pPr>
            <w:r>
              <w:rPr>
                <w:rFonts w:ascii="宋体" w:eastAsia="宋体" w:hAnsi="宋体" w:cs="宋体" w:hint="eastAsia"/>
                <w:szCs w:val="21"/>
              </w:rPr>
              <w:t>2L</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2</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个</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激光打印机</w:t>
            </w:r>
          </w:p>
        </w:tc>
        <w:tc>
          <w:tcPr>
            <w:tcW w:w="3399" w:type="pct"/>
            <w:vAlign w:val="center"/>
          </w:tcPr>
          <w:p w:rsidR="00800AF2">
            <w:pPr>
              <w:widowControl/>
              <w:numPr>
                <w:ilvl w:val="0"/>
                <w:numId w:val="50"/>
              </w:numPr>
              <w:spacing w:line="360" w:lineRule="auto"/>
              <w:rPr>
                <w:rFonts w:ascii="宋体" w:eastAsia="宋体" w:hAnsi="宋体" w:cs="宋体" w:hint="eastAsia"/>
                <w:szCs w:val="21"/>
              </w:rPr>
            </w:pPr>
            <w:r>
              <w:rPr>
                <w:rFonts w:ascii="宋体" w:eastAsia="宋体" w:hAnsi="宋体" w:cs="宋体" w:hint="eastAsia"/>
                <w:szCs w:val="21"/>
              </w:rPr>
              <w:t>类型：彩色激光</w:t>
            </w:r>
          </w:p>
          <w:p w:rsidR="00800AF2">
            <w:pPr>
              <w:widowControl/>
              <w:numPr>
                <w:ilvl w:val="0"/>
                <w:numId w:val="50"/>
              </w:numPr>
              <w:spacing w:line="360" w:lineRule="auto"/>
              <w:rPr>
                <w:rFonts w:ascii="宋体" w:eastAsia="宋体" w:hAnsi="宋体" w:cs="宋体" w:hint="eastAsia"/>
                <w:szCs w:val="21"/>
              </w:rPr>
            </w:pPr>
            <w:r>
              <w:rPr>
                <w:rFonts w:ascii="宋体" w:eastAsia="宋体" w:hAnsi="宋体" w:cs="宋体" w:hint="eastAsia"/>
                <w:szCs w:val="21"/>
              </w:rPr>
              <w:t>功能：打印/复印/扫描一体机、自动双面</w:t>
            </w:r>
          </w:p>
          <w:p w:rsidR="00800AF2">
            <w:pPr>
              <w:widowControl/>
              <w:numPr>
                <w:ilvl w:val="0"/>
                <w:numId w:val="50"/>
              </w:numPr>
              <w:spacing w:line="360" w:lineRule="auto"/>
              <w:rPr>
                <w:rFonts w:ascii="宋体" w:eastAsia="宋体" w:hAnsi="宋体" w:cs="宋体" w:hint="eastAsia"/>
                <w:szCs w:val="21"/>
              </w:rPr>
            </w:pPr>
            <w:r>
              <w:rPr>
                <w:rFonts w:ascii="宋体" w:eastAsia="宋体" w:hAnsi="宋体" w:cs="宋体" w:hint="eastAsia"/>
                <w:szCs w:val="21"/>
              </w:rPr>
              <w:t>速度：黑白≥20页/分钟，彩色≥20页/分钟</w:t>
            </w:r>
          </w:p>
          <w:p w:rsidR="00800AF2">
            <w:pPr>
              <w:widowControl/>
              <w:numPr>
                <w:ilvl w:val="0"/>
                <w:numId w:val="50"/>
              </w:numPr>
              <w:spacing w:line="360" w:lineRule="auto"/>
              <w:rPr>
                <w:rFonts w:ascii="宋体" w:eastAsia="宋体" w:hAnsi="宋体" w:cs="宋体" w:hint="eastAsia"/>
                <w:szCs w:val="21"/>
              </w:rPr>
            </w:pPr>
            <w:r>
              <w:rPr>
                <w:rFonts w:ascii="宋体" w:eastAsia="宋体" w:hAnsi="宋体" w:cs="宋体" w:hint="eastAsia"/>
                <w:szCs w:val="21"/>
              </w:rPr>
              <w:t>分辨率：600×600dpi - 1200×1200dpi</w:t>
            </w:r>
          </w:p>
          <w:p w:rsidR="00800AF2">
            <w:pPr>
              <w:widowControl/>
              <w:numPr>
                <w:ilvl w:val="0"/>
                <w:numId w:val="50"/>
              </w:numPr>
              <w:spacing w:line="360" w:lineRule="auto"/>
              <w:rPr>
                <w:rFonts w:ascii="宋体" w:eastAsia="宋体" w:hAnsi="宋体" w:cs="宋体" w:hint="eastAsia"/>
                <w:szCs w:val="21"/>
              </w:rPr>
            </w:pPr>
            <w:r>
              <w:rPr>
                <w:rFonts w:ascii="宋体" w:eastAsia="宋体" w:hAnsi="宋体" w:cs="宋体" w:hint="eastAsia"/>
                <w:szCs w:val="21"/>
              </w:rPr>
              <w:t>连接：USB、有线网络、Wi-Fi</w:t>
            </w:r>
          </w:p>
          <w:p w:rsidR="00800AF2">
            <w:pPr>
              <w:widowControl/>
              <w:numPr>
                <w:ilvl w:val="0"/>
                <w:numId w:val="50"/>
              </w:numPr>
              <w:spacing w:line="360" w:lineRule="auto"/>
              <w:rPr>
                <w:rFonts w:ascii="宋体" w:eastAsia="宋体" w:hAnsi="宋体" w:cs="宋体" w:hint="eastAsia"/>
                <w:szCs w:val="21"/>
              </w:rPr>
            </w:pPr>
            <w:r>
              <w:rPr>
                <w:rFonts w:ascii="宋体" w:eastAsia="宋体" w:hAnsi="宋体" w:cs="宋体" w:hint="eastAsia"/>
                <w:szCs w:val="21"/>
              </w:rPr>
              <w:t>支持纸张：A3、A4、A5</w:t>
            </w:r>
          </w:p>
          <w:p w:rsidR="00800AF2">
            <w:pPr>
              <w:widowControl/>
              <w:numPr>
                <w:ilvl w:val="0"/>
                <w:numId w:val="50"/>
              </w:numPr>
              <w:spacing w:line="360" w:lineRule="auto"/>
              <w:rPr>
                <w:rFonts w:ascii="宋体" w:eastAsia="宋体" w:hAnsi="宋体" w:cs="宋体" w:hint="eastAsia"/>
                <w:szCs w:val="21"/>
              </w:rPr>
            </w:pPr>
            <w:r>
              <w:rPr>
                <w:rFonts w:ascii="宋体" w:eastAsia="宋体" w:hAnsi="宋体" w:cs="宋体" w:hint="eastAsia"/>
                <w:szCs w:val="21"/>
              </w:rPr>
              <w:t>移动打印支持：APP/小程序</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厨房工作台</w:t>
            </w:r>
          </w:p>
        </w:tc>
        <w:tc>
          <w:tcPr>
            <w:tcW w:w="3399" w:type="pct"/>
            <w:vAlign w:val="center"/>
          </w:tcPr>
          <w:p w:rsidR="00800AF2">
            <w:pPr>
              <w:widowControl/>
              <w:numPr>
                <w:ilvl w:val="0"/>
                <w:numId w:val="51"/>
              </w:numPr>
              <w:spacing w:line="360" w:lineRule="auto"/>
              <w:rPr>
                <w:rFonts w:ascii="宋体" w:eastAsia="宋体" w:hAnsi="宋体" w:cs="宋体" w:hint="eastAsia"/>
                <w:szCs w:val="21"/>
              </w:rPr>
            </w:pPr>
            <w:r>
              <w:rPr>
                <w:rFonts w:ascii="宋体" w:eastAsia="宋体" w:hAnsi="宋体" w:cs="宋体" w:hint="eastAsia"/>
                <w:szCs w:val="21"/>
              </w:rPr>
              <w:t>材质：304不锈钢（耐腐蚀、防锈、易清洁）、防火板、实木贴面。</w:t>
            </w:r>
          </w:p>
          <w:p w:rsidR="00800AF2">
            <w:pPr>
              <w:widowControl/>
              <w:numPr>
                <w:ilvl w:val="0"/>
                <w:numId w:val="51"/>
              </w:numPr>
              <w:spacing w:line="360" w:lineRule="auto"/>
              <w:rPr>
                <w:rFonts w:ascii="宋体" w:eastAsia="宋体" w:hAnsi="宋体" w:cs="宋体" w:hint="eastAsia"/>
                <w:szCs w:val="21"/>
              </w:rPr>
            </w:pPr>
            <w:r>
              <w:rPr>
                <w:rFonts w:ascii="宋体" w:eastAsia="宋体" w:hAnsi="宋体" w:cs="宋体" w:hint="eastAsia"/>
                <w:szCs w:val="21"/>
              </w:rPr>
              <w:t>尺寸：高度800-850mm，深度550-600mm，长度根据空间定制。</w:t>
            </w:r>
          </w:p>
          <w:p w:rsidR="00800AF2">
            <w:pPr>
              <w:widowControl/>
              <w:numPr>
                <w:ilvl w:val="0"/>
                <w:numId w:val="51"/>
              </w:numPr>
              <w:spacing w:line="360" w:lineRule="auto"/>
              <w:rPr>
                <w:rFonts w:ascii="宋体" w:eastAsia="宋体" w:hAnsi="宋体" w:cs="宋体" w:hint="eastAsia"/>
                <w:szCs w:val="21"/>
              </w:rPr>
            </w:pPr>
            <w:r>
              <w:rPr>
                <w:rFonts w:ascii="宋体" w:eastAsia="宋体" w:hAnsi="宋体" w:cs="宋体" w:hint="eastAsia"/>
                <w:szCs w:val="21"/>
              </w:rPr>
              <w:t>台面：不锈钢台面厚度≥1.2mm；人造石（石英石、亚克力）厚度为15-20mm。</w:t>
            </w:r>
          </w:p>
          <w:p w:rsidR="00800AF2">
            <w:pPr>
              <w:widowControl/>
              <w:numPr>
                <w:ilvl w:val="0"/>
                <w:numId w:val="51"/>
              </w:numPr>
              <w:spacing w:line="360" w:lineRule="auto"/>
              <w:rPr>
                <w:rFonts w:ascii="宋体" w:eastAsia="宋体" w:hAnsi="宋体" w:cs="宋体" w:hint="eastAsia"/>
                <w:szCs w:val="21"/>
              </w:rPr>
            </w:pPr>
            <w:r>
              <w:rPr>
                <w:rFonts w:ascii="宋体" w:eastAsia="宋体" w:hAnsi="宋体" w:cs="宋体" w:hint="eastAsia"/>
                <w:szCs w:val="21"/>
              </w:rPr>
              <w:t>结构：带储物柜或抽屉，承重需≥30kg。可选配件如挡水边、沥水架、嵌入式盆位。</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电磁炉</w:t>
            </w:r>
          </w:p>
        </w:tc>
        <w:tc>
          <w:tcPr>
            <w:tcW w:w="3399" w:type="pct"/>
            <w:vAlign w:val="center"/>
          </w:tcPr>
          <w:p w:rsidR="00800AF2">
            <w:pPr>
              <w:widowControl/>
              <w:numPr>
                <w:ilvl w:val="0"/>
                <w:numId w:val="52"/>
              </w:numPr>
              <w:spacing w:line="360" w:lineRule="auto"/>
              <w:rPr>
                <w:rFonts w:ascii="宋体" w:eastAsia="宋体" w:hAnsi="宋体" w:cs="宋体" w:hint="eastAsia"/>
                <w:szCs w:val="21"/>
              </w:rPr>
            </w:pPr>
            <w:r>
              <w:rPr>
                <w:rFonts w:ascii="宋体" w:eastAsia="宋体" w:hAnsi="宋体" w:cs="宋体" w:hint="eastAsia"/>
                <w:szCs w:val="21"/>
              </w:rPr>
              <w:t>类型：嵌入式或台式。</w:t>
            </w:r>
          </w:p>
          <w:p w:rsidR="00800AF2">
            <w:pPr>
              <w:widowControl/>
              <w:numPr>
                <w:ilvl w:val="0"/>
                <w:numId w:val="52"/>
              </w:numPr>
              <w:spacing w:line="360" w:lineRule="auto"/>
              <w:rPr>
                <w:rFonts w:ascii="宋体" w:eastAsia="宋体" w:hAnsi="宋体" w:cs="宋体" w:hint="eastAsia"/>
                <w:szCs w:val="21"/>
              </w:rPr>
            </w:pPr>
            <w:r>
              <w:rPr>
                <w:rFonts w:ascii="宋体" w:eastAsia="宋体" w:hAnsi="宋体" w:cs="宋体" w:hint="eastAsia"/>
                <w:szCs w:val="21"/>
              </w:rPr>
              <w:t>功率：单炉常用1200-1800W；双炉总功率2500-3500W。</w:t>
            </w:r>
          </w:p>
          <w:p w:rsidR="00800AF2">
            <w:pPr>
              <w:widowControl/>
              <w:numPr>
                <w:ilvl w:val="0"/>
                <w:numId w:val="52"/>
              </w:numPr>
              <w:spacing w:line="360" w:lineRule="auto"/>
              <w:rPr>
                <w:rFonts w:ascii="宋体" w:eastAsia="宋体" w:hAnsi="宋体" w:cs="宋体" w:hint="eastAsia"/>
                <w:szCs w:val="21"/>
              </w:rPr>
            </w:pPr>
            <w:r>
              <w:rPr>
                <w:rFonts w:ascii="宋体" w:eastAsia="宋体" w:hAnsi="宋体" w:cs="宋体" w:hint="eastAsia"/>
                <w:szCs w:val="21"/>
              </w:rPr>
              <w:t>尺寸：单炉开孔尺寸通常为285×285mm；双炉更大。</w:t>
            </w:r>
          </w:p>
          <w:p w:rsidR="00800AF2">
            <w:pPr>
              <w:widowControl/>
              <w:numPr>
                <w:ilvl w:val="0"/>
                <w:numId w:val="52"/>
              </w:numPr>
              <w:spacing w:line="360" w:lineRule="auto"/>
              <w:rPr>
                <w:rFonts w:ascii="宋体" w:eastAsia="宋体" w:hAnsi="宋体" w:cs="宋体" w:hint="eastAsia"/>
                <w:szCs w:val="21"/>
              </w:rPr>
            </w:pPr>
            <w:r>
              <w:rPr>
                <w:rFonts w:ascii="宋体" w:eastAsia="宋体" w:hAnsi="宋体" w:cs="宋体" w:hint="eastAsia"/>
                <w:szCs w:val="21"/>
              </w:rPr>
              <w:t>操控：触摸式控制（易清洁）。</w:t>
            </w:r>
          </w:p>
          <w:p w:rsidR="00800AF2">
            <w:pPr>
              <w:widowControl/>
              <w:numPr>
                <w:ilvl w:val="0"/>
                <w:numId w:val="52"/>
              </w:numPr>
              <w:spacing w:line="360" w:lineRule="auto"/>
              <w:rPr>
                <w:rFonts w:ascii="宋体" w:eastAsia="宋体" w:hAnsi="宋体" w:cs="宋体" w:hint="eastAsia"/>
                <w:szCs w:val="21"/>
              </w:rPr>
            </w:pPr>
            <w:r>
              <w:rPr>
                <w:rFonts w:ascii="宋体" w:eastAsia="宋体" w:hAnsi="宋体" w:cs="宋体" w:hint="eastAsia"/>
                <w:szCs w:val="21"/>
              </w:rPr>
              <w:t>安全功能：过热保护、干烧保护、童锁、小物件检测（空载不启动）。</w:t>
            </w:r>
          </w:p>
          <w:p w:rsidR="00800AF2">
            <w:pPr>
              <w:widowControl/>
              <w:numPr>
                <w:ilvl w:val="0"/>
                <w:numId w:val="52"/>
              </w:numPr>
              <w:spacing w:line="360" w:lineRule="auto"/>
              <w:rPr>
                <w:rFonts w:ascii="宋体" w:eastAsia="宋体" w:hAnsi="宋体" w:cs="宋体" w:hint="eastAsia"/>
                <w:szCs w:val="21"/>
              </w:rPr>
            </w:pPr>
            <w:r>
              <w:rPr>
                <w:rFonts w:ascii="宋体" w:eastAsia="宋体" w:hAnsi="宋体" w:cs="宋体" w:hint="eastAsia"/>
                <w:szCs w:val="21"/>
              </w:rPr>
              <w:t>能效：选择能效等级高的产品（如国家1级能效）。</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微波炉</w:t>
            </w:r>
          </w:p>
        </w:tc>
        <w:tc>
          <w:tcPr>
            <w:tcW w:w="3399" w:type="pct"/>
            <w:vAlign w:val="center"/>
          </w:tcPr>
          <w:p w:rsidR="00800AF2">
            <w:pPr>
              <w:widowControl/>
              <w:numPr>
                <w:ilvl w:val="0"/>
                <w:numId w:val="53"/>
              </w:numPr>
              <w:spacing w:line="360" w:lineRule="auto"/>
              <w:rPr>
                <w:rFonts w:ascii="宋体" w:eastAsia="宋体" w:hAnsi="宋体" w:cs="宋体" w:hint="eastAsia"/>
                <w:szCs w:val="21"/>
              </w:rPr>
            </w:pPr>
            <w:r>
              <w:rPr>
                <w:rFonts w:ascii="宋体" w:eastAsia="宋体" w:hAnsi="宋体" w:cs="宋体" w:hint="eastAsia"/>
                <w:szCs w:val="21"/>
              </w:rPr>
              <w:t>类型：平板式或转盘式。</w:t>
            </w:r>
          </w:p>
          <w:p w:rsidR="00800AF2">
            <w:pPr>
              <w:widowControl/>
              <w:numPr>
                <w:ilvl w:val="0"/>
                <w:numId w:val="53"/>
              </w:numPr>
              <w:spacing w:line="360" w:lineRule="auto"/>
              <w:rPr>
                <w:rFonts w:ascii="宋体" w:eastAsia="宋体" w:hAnsi="宋体" w:cs="宋体" w:hint="eastAsia"/>
                <w:szCs w:val="21"/>
              </w:rPr>
            </w:pPr>
            <w:r>
              <w:rPr>
                <w:rFonts w:ascii="宋体" w:eastAsia="宋体" w:hAnsi="宋体" w:cs="宋体" w:hint="eastAsia"/>
                <w:szCs w:val="21"/>
              </w:rPr>
              <w:t>容量：20-25升。</w:t>
            </w:r>
          </w:p>
          <w:p w:rsidR="00800AF2">
            <w:pPr>
              <w:widowControl/>
              <w:numPr>
                <w:ilvl w:val="0"/>
                <w:numId w:val="53"/>
              </w:numPr>
              <w:spacing w:line="360" w:lineRule="auto"/>
              <w:rPr>
                <w:rFonts w:ascii="宋体" w:eastAsia="宋体" w:hAnsi="宋体" w:cs="宋体" w:hint="eastAsia"/>
                <w:szCs w:val="21"/>
              </w:rPr>
            </w:pPr>
            <w:r>
              <w:rPr>
                <w:rFonts w:ascii="宋体" w:eastAsia="宋体" w:hAnsi="宋体" w:cs="宋体" w:hint="eastAsia"/>
                <w:szCs w:val="21"/>
              </w:rPr>
              <w:t>功率：微波功率 800-1000W，烧烤功率 1000-1200W。</w:t>
            </w:r>
          </w:p>
          <w:p w:rsidR="00800AF2">
            <w:pPr>
              <w:widowControl/>
              <w:numPr>
                <w:ilvl w:val="0"/>
                <w:numId w:val="53"/>
              </w:numPr>
              <w:spacing w:line="360" w:lineRule="auto"/>
              <w:rPr>
                <w:rFonts w:ascii="宋体" w:eastAsia="宋体" w:hAnsi="宋体" w:cs="宋体" w:hint="eastAsia"/>
                <w:szCs w:val="21"/>
              </w:rPr>
            </w:pPr>
            <w:r>
              <w:rPr>
                <w:rFonts w:ascii="宋体" w:eastAsia="宋体" w:hAnsi="宋体" w:cs="宋体" w:hint="eastAsia"/>
                <w:szCs w:val="21"/>
              </w:rPr>
              <w:t>操控方式：电脑式或机械式。</w:t>
            </w:r>
          </w:p>
          <w:p w:rsidR="00800AF2">
            <w:pPr>
              <w:widowControl/>
              <w:numPr>
                <w:ilvl w:val="0"/>
                <w:numId w:val="53"/>
              </w:numPr>
              <w:spacing w:line="360" w:lineRule="auto"/>
              <w:rPr>
                <w:rFonts w:ascii="宋体" w:eastAsia="宋体" w:hAnsi="宋体" w:cs="宋体" w:hint="eastAsia"/>
                <w:szCs w:val="21"/>
              </w:rPr>
            </w:pPr>
            <w:r>
              <w:rPr>
                <w:rFonts w:ascii="宋体" w:eastAsia="宋体" w:hAnsi="宋体" w:cs="宋体" w:hint="eastAsia"/>
                <w:szCs w:val="21"/>
              </w:rPr>
              <w:t>内胆材质：不锈钢。</w:t>
            </w:r>
          </w:p>
          <w:p w:rsidR="00800AF2">
            <w:pPr>
              <w:widowControl/>
              <w:numPr>
                <w:ilvl w:val="0"/>
                <w:numId w:val="53"/>
              </w:numPr>
              <w:spacing w:line="360" w:lineRule="auto"/>
              <w:rPr>
                <w:rFonts w:ascii="宋体" w:eastAsia="宋体" w:hAnsi="宋体" w:cs="宋体" w:hint="eastAsia"/>
                <w:szCs w:val="21"/>
              </w:rPr>
            </w:pPr>
            <w:r>
              <w:rPr>
                <w:rFonts w:ascii="宋体" w:eastAsia="宋体" w:hAnsi="宋体" w:cs="宋体" w:hint="eastAsia"/>
                <w:szCs w:val="21"/>
              </w:rPr>
              <w:t>特色功能：光波烧烤、蒸汽功能、变频加热。</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台</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热水器</w:t>
            </w:r>
          </w:p>
        </w:tc>
        <w:tc>
          <w:tcPr>
            <w:tcW w:w="3399" w:type="pct"/>
            <w:vAlign w:val="center"/>
          </w:tcPr>
          <w:p w:rsidR="00800AF2">
            <w:pPr>
              <w:widowControl/>
              <w:numPr>
                <w:ilvl w:val="0"/>
                <w:numId w:val="54"/>
              </w:numPr>
              <w:spacing w:line="360" w:lineRule="auto"/>
              <w:rPr>
                <w:rFonts w:ascii="宋体" w:eastAsia="宋体" w:hAnsi="宋体" w:cs="宋体" w:hint="eastAsia"/>
                <w:szCs w:val="21"/>
              </w:rPr>
            </w:pPr>
            <w:r>
              <w:rPr>
                <w:rFonts w:ascii="宋体" w:eastAsia="宋体" w:hAnsi="宋体" w:cs="宋体" w:hint="eastAsia"/>
                <w:szCs w:val="21"/>
              </w:rPr>
              <w:t>储水式：容量40-80L。</w:t>
            </w:r>
          </w:p>
          <w:p w:rsidR="00800AF2">
            <w:pPr>
              <w:widowControl/>
              <w:numPr>
                <w:ilvl w:val="0"/>
                <w:numId w:val="54"/>
              </w:numPr>
              <w:spacing w:line="360" w:lineRule="auto"/>
              <w:rPr>
                <w:rFonts w:ascii="宋体" w:eastAsia="宋体" w:hAnsi="宋体" w:cs="宋体" w:hint="eastAsia"/>
                <w:szCs w:val="21"/>
              </w:rPr>
            </w:pPr>
            <w:r>
              <w:rPr>
                <w:rFonts w:ascii="宋体" w:eastAsia="宋体" w:hAnsi="宋体" w:cs="宋体" w:hint="eastAsia"/>
                <w:szCs w:val="21"/>
              </w:rPr>
              <w:t>即热式：功率6000-8500W（。</w:t>
            </w:r>
          </w:p>
          <w:p w:rsidR="00800AF2">
            <w:pPr>
              <w:widowControl/>
              <w:numPr>
                <w:ilvl w:val="0"/>
                <w:numId w:val="54"/>
              </w:numPr>
              <w:spacing w:line="360" w:lineRule="auto"/>
              <w:rPr>
                <w:rFonts w:ascii="宋体" w:eastAsia="宋体" w:hAnsi="宋体" w:cs="宋体" w:hint="eastAsia"/>
                <w:szCs w:val="21"/>
              </w:rPr>
            </w:pPr>
            <w:r>
              <w:rPr>
                <w:rFonts w:ascii="宋体" w:eastAsia="宋体" w:hAnsi="宋体" w:cs="宋体" w:hint="eastAsia"/>
                <w:szCs w:val="21"/>
              </w:rPr>
              <w:t>能效：选择1级能效。</w:t>
            </w:r>
          </w:p>
          <w:p w:rsidR="00800AF2">
            <w:pPr>
              <w:widowControl/>
              <w:numPr>
                <w:ilvl w:val="0"/>
                <w:numId w:val="54"/>
              </w:numPr>
              <w:spacing w:line="360" w:lineRule="auto"/>
              <w:rPr>
                <w:rFonts w:ascii="宋体" w:eastAsia="宋体" w:hAnsi="宋体" w:cs="宋体" w:hint="eastAsia"/>
                <w:szCs w:val="21"/>
              </w:rPr>
            </w:pPr>
            <w:r>
              <w:rPr>
                <w:rFonts w:ascii="宋体" w:eastAsia="宋体" w:hAnsi="宋体" w:cs="宋体" w:hint="eastAsia"/>
                <w:szCs w:val="21"/>
              </w:rPr>
              <w:t>安全：防电墙、漏电保护、防干烧、阳极镁棒。</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洗手池</w:t>
            </w:r>
          </w:p>
        </w:tc>
        <w:tc>
          <w:tcPr>
            <w:tcW w:w="3399" w:type="pct"/>
            <w:vAlign w:val="center"/>
          </w:tcPr>
          <w:p w:rsidR="00800AF2">
            <w:pPr>
              <w:widowControl/>
              <w:numPr>
                <w:ilvl w:val="0"/>
                <w:numId w:val="55"/>
              </w:numPr>
              <w:spacing w:line="360" w:lineRule="auto"/>
              <w:rPr>
                <w:rFonts w:ascii="宋体" w:eastAsia="宋体" w:hAnsi="宋体" w:cs="宋体" w:hint="eastAsia"/>
                <w:szCs w:val="21"/>
              </w:rPr>
            </w:pPr>
            <w:r>
              <w:rPr>
                <w:rFonts w:ascii="宋体" w:eastAsia="宋体" w:hAnsi="宋体" w:cs="宋体" w:hint="eastAsia"/>
                <w:szCs w:val="21"/>
              </w:rPr>
              <w:t>材质：不锈钢。</w:t>
            </w:r>
          </w:p>
          <w:p w:rsidR="00800AF2">
            <w:pPr>
              <w:widowControl/>
              <w:numPr>
                <w:ilvl w:val="0"/>
                <w:numId w:val="55"/>
              </w:numPr>
              <w:spacing w:line="360" w:lineRule="auto"/>
              <w:rPr>
                <w:rFonts w:ascii="宋体" w:eastAsia="宋体" w:hAnsi="宋体" w:cs="宋体" w:hint="eastAsia"/>
                <w:szCs w:val="21"/>
              </w:rPr>
            </w:pPr>
            <w:r>
              <w:rPr>
                <w:rFonts w:ascii="宋体" w:eastAsia="宋体" w:hAnsi="宋体" w:cs="宋体" w:hint="eastAsia"/>
                <w:szCs w:val="21"/>
              </w:rPr>
              <w:t>尺寸：400×400mm至600×500mm。</w:t>
            </w:r>
          </w:p>
          <w:p w:rsidR="00800AF2">
            <w:pPr>
              <w:widowControl/>
              <w:numPr>
                <w:ilvl w:val="0"/>
                <w:numId w:val="55"/>
              </w:numPr>
              <w:spacing w:line="360" w:lineRule="auto"/>
              <w:rPr>
                <w:rFonts w:ascii="宋体" w:eastAsia="宋体" w:hAnsi="宋体" w:cs="宋体" w:hint="eastAsia"/>
                <w:szCs w:val="21"/>
              </w:rPr>
            </w:pPr>
            <w:r>
              <w:rPr>
                <w:rFonts w:ascii="宋体" w:eastAsia="宋体" w:hAnsi="宋体" w:cs="宋体" w:hint="eastAsia"/>
                <w:szCs w:val="21"/>
              </w:rPr>
              <w:t>龙头孔：单孔、双孔或三孔。</w:t>
            </w:r>
          </w:p>
          <w:p w:rsidR="00800AF2">
            <w:pPr>
              <w:widowControl/>
              <w:numPr>
                <w:ilvl w:val="0"/>
                <w:numId w:val="55"/>
              </w:numPr>
              <w:spacing w:line="360" w:lineRule="auto"/>
              <w:rPr>
                <w:rFonts w:ascii="宋体" w:eastAsia="宋体" w:hAnsi="宋体" w:cs="宋体" w:hint="eastAsia"/>
                <w:szCs w:val="21"/>
              </w:rPr>
            </w:pPr>
            <w:r>
              <w:rPr>
                <w:rFonts w:ascii="宋体" w:eastAsia="宋体" w:hAnsi="宋体" w:cs="宋体" w:hint="eastAsia"/>
                <w:szCs w:val="21"/>
              </w:rPr>
              <w:t>配件：搭配节水型起泡器龙头，可选抽拉式龙头。</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坐便器</w:t>
            </w:r>
          </w:p>
        </w:tc>
        <w:tc>
          <w:tcPr>
            <w:tcW w:w="3399" w:type="pct"/>
            <w:vAlign w:val="center"/>
          </w:tcPr>
          <w:p w:rsidR="00800AF2">
            <w:pPr>
              <w:widowControl/>
              <w:numPr>
                <w:ilvl w:val="0"/>
                <w:numId w:val="56"/>
              </w:numPr>
              <w:spacing w:line="360" w:lineRule="auto"/>
              <w:rPr>
                <w:rFonts w:ascii="宋体" w:eastAsia="宋体" w:hAnsi="宋体" w:cs="宋体" w:hint="eastAsia"/>
                <w:szCs w:val="21"/>
              </w:rPr>
            </w:pPr>
            <w:r>
              <w:rPr>
                <w:rFonts w:ascii="宋体" w:eastAsia="宋体" w:hAnsi="宋体" w:cs="宋体" w:hint="eastAsia"/>
                <w:szCs w:val="21"/>
              </w:rPr>
              <w:t>冲水方式：虹吸式。</w:t>
            </w:r>
          </w:p>
          <w:p w:rsidR="00800AF2">
            <w:pPr>
              <w:widowControl/>
              <w:numPr>
                <w:ilvl w:val="0"/>
                <w:numId w:val="56"/>
              </w:numPr>
              <w:spacing w:line="360" w:lineRule="auto"/>
              <w:rPr>
                <w:rFonts w:ascii="宋体" w:eastAsia="宋体" w:hAnsi="宋体" w:cs="宋体" w:hint="eastAsia"/>
                <w:szCs w:val="21"/>
              </w:rPr>
            </w:pPr>
            <w:r>
              <w:rPr>
                <w:rFonts w:ascii="宋体" w:eastAsia="宋体" w:hAnsi="宋体" w:cs="宋体" w:hint="eastAsia"/>
                <w:szCs w:val="21"/>
              </w:rPr>
              <w:t>坑距：300mm 或 400mm。</w:t>
            </w:r>
          </w:p>
          <w:p w:rsidR="00800AF2">
            <w:pPr>
              <w:widowControl/>
              <w:numPr>
                <w:ilvl w:val="0"/>
                <w:numId w:val="56"/>
              </w:numPr>
              <w:spacing w:line="360" w:lineRule="auto"/>
              <w:rPr>
                <w:rFonts w:ascii="宋体" w:eastAsia="宋体" w:hAnsi="宋体" w:cs="宋体" w:hint="eastAsia"/>
                <w:szCs w:val="21"/>
              </w:rPr>
            </w:pPr>
            <w:r>
              <w:rPr>
                <w:rFonts w:ascii="宋体" w:eastAsia="宋体" w:hAnsi="宋体" w:cs="宋体" w:hint="eastAsia"/>
                <w:szCs w:val="21"/>
              </w:rPr>
              <w:t>节水：一级水效，单次冲水量≤4L。</w:t>
            </w:r>
          </w:p>
          <w:p w:rsidR="00800AF2">
            <w:pPr>
              <w:widowControl/>
              <w:numPr>
                <w:ilvl w:val="0"/>
                <w:numId w:val="56"/>
              </w:numPr>
              <w:spacing w:line="360" w:lineRule="auto"/>
              <w:rPr>
                <w:rFonts w:ascii="宋体" w:eastAsia="宋体" w:hAnsi="宋体" w:cs="宋体" w:hint="eastAsia"/>
                <w:szCs w:val="21"/>
              </w:rPr>
            </w:pPr>
            <w:r>
              <w:rPr>
                <w:rFonts w:ascii="宋体" w:eastAsia="宋体" w:hAnsi="宋体" w:cs="宋体" w:hint="eastAsia"/>
                <w:szCs w:val="21"/>
              </w:rPr>
              <w:t>材质：不锈钢。</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净水箱</w:t>
            </w:r>
          </w:p>
        </w:tc>
        <w:tc>
          <w:tcPr>
            <w:tcW w:w="3399" w:type="pct"/>
            <w:vAlign w:val="center"/>
          </w:tcPr>
          <w:p w:rsidR="00800AF2">
            <w:pPr>
              <w:widowControl/>
              <w:numPr>
                <w:ilvl w:val="0"/>
                <w:numId w:val="57"/>
              </w:numPr>
              <w:spacing w:line="360" w:lineRule="auto"/>
              <w:rPr>
                <w:rFonts w:ascii="宋体" w:eastAsia="宋体" w:hAnsi="宋体" w:cs="宋体" w:hint="eastAsia"/>
                <w:szCs w:val="21"/>
              </w:rPr>
            </w:pPr>
            <w:r>
              <w:rPr>
                <w:rFonts w:ascii="宋体" w:eastAsia="宋体" w:hAnsi="宋体" w:cs="宋体" w:hint="eastAsia"/>
                <w:szCs w:val="21"/>
              </w:rPr>
              <w:t>材质：不锈钢。</w:t>
            </w:r>
          </w:p>
          <w:p w:rsidR="00800AF2">
            <w:pPr>
              <w:widowControl/>
              <w:numPr>
                <w:ilvl w:val="0"/>
                <w:numId w:val="57"/>
              </w:numPr>
              <w:spacing w:line="360" w:lineRule="auto"/>
              <w:rPr>
                <w:rFonts w:ascii="宋体" w:eastAsia="宋体" w:hAnsi="宋体" w:cs="宋体" w:hint="eastAsia"/>
                <w:szCs w:val="21"/>
              </w:rPr>
            </w:pPr>
            <w:r>
              <w:rPr>
                <w:rFonts w:ascii="宋体" w:eastAsia="宋体" w:hAnsi="宋体" w:cs="宋体" w:hint="eastAsia"/>
                <w:szCs w:val="21"/>
              </w:rPr>
              <w:t>容量：80-150L。</w:t>
            </w:r>
          </w:p>
          <w:p w:rsidR="00800AF2">
            <w:pPr>
              <w:widowControl/>
              <w:numPr>
                <w:ilvl w:val="0"/>
                <w:numId w:val="57"/>
              </w:numPr>
              <w:spacing w:line="360" w:lineRule="auto"/>
              <w:rPr>
                <w:rFonts w:ascii="宋体" w:eastAsia="宋体" w:hAnsi="宋体" w:cs="宋体" w:hint="eastAsia"/>
                <w:szCs w:val="21"/>
              </w:rPr>
            </w:pPr>
            <w:r>
              <w:rPr>
                <w:rFonts w:ascii="宋体" w:eastAsia="宋体" w:hAnsi="宋体" w:cs="宋体" w:hint="eastAsia"/>
                <w:szCs w:val="21"/>
              </w:rPr>
              <w:t>设计：带密封注水口、液位显示器（电子或机械）、排水阀。</w:t>
            </w:r>
          </w:p>
          <w:p w:rsidR="00800AF2">
            <w:pPr>
              <w:widowControl/>
              <w:numPr>
                <w:ilvl w:val="0"/>
                <w:numId w:val="57"/>
              </w:numPr>
              <w:spacing w:line="360" w:lineRule="auto"/>
              <w:rPr>
                <w:rFonts w:ascii="宋体" w:eastAsia="宋体" w:hAnsi="宋体" w:cs="宋体" w:hint="eastAsia"/>
                <w:szCs w:val="21"/>
              </w:rPr>
            </w:pPr>
            <w:r>
              <w:rPr>
                <w:rFonts w:ascii="宋体" w:eastAsia="宋体" w:hAnsi="宋体" w:cs="宋体" w:hint="eastAsia"/>
                <w:szCs w:val="21"/>
              </w:rPr>
              <w:t>内部：防浪板设计（减少行车中水体晃动）。</w:t>
            </w:r>
          </w:p>
          <w:p w:rsidR="00800AF2">
            <w:pPr>
              <w:widowControl/>
              <w:numPr>
                <w:ilvl w:val="0"/>
                <w:numId w:val="57"/>
              </w:numPr>
              <w:spacing w:line="360" w:lineRule="auto"/>
              <w:rPr>
                <w:rFonts w:ascii="宋体" w:eastAsia="宋体" w:hAnsi="宋体" w:cs="宋体" w:hint="eastAsia"/>
                <w:szCs w:val="21"/>
              </w:rPr>
            </w:pPr>
            <w:r>
              <w:rPr>
                <w:rFonts w:ascii="宋体" w:eastAsia="宋体" w:hAnsi="宋体" w:cs="宋体" w:hint="eastAsia"/>
                <w:szCs w:val="21"/>
              </w:rPr>
              <w:t>保温：部分产品带保温层，防止冬季冻结。</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灰水箱</w:t>
            </w:r>
          </w:p>
        </w:tc>
        <w:tc>
          <w:tcPr>
            <w:tcW w:w="3399" w:type="pct"/>
            <w:vAlign w:val="center"/>
          </w:tcPr>
          <w:p w:rsidR="00800AF2">
            <w:pPr>
              <w:widowControl/>
              <w:numPr>
                <w:ilvl w:val="0"/>
                <w:numId w:val="58"/>
              </w:numPr>
              <w:spacing w:line="360" w:lineRule="auto"/>
              <w:rPr>
                <w:rFonts w:ascii="宋体" w:eastAsia="宋体" w:hAnsi="宋体" w:cs="宋体" w:hint="eastAsia"/>
                <w:szCs w:val="21"/>
              </w:rPr>
            </w:pPr>
            <w:r>
              <w:rPr>
                <w:rFonts w:ascii="宋体" w:eastAsia="宋体" w:hAnsi="宋体" w:cs="宋体" w:hint="eastAsia"/>
                <w:szCs w:val="21"/>
              </w:rPr>
              <w:t>材质：PE塑料或ABS工程塑料（耐腐蚀）。</w:t>
            </w:r>
          </w:p>
          <w:p w:rsidR="00800AF2">
            <w:pPr>
              <w:widowControl/>
              <w:numPr>
                <w:ilvl w:val="0"/>
                <w:numId w:val="58"/>
              </w:numPr>
              <w:spacing w:line="360" w:lineRule="auto"/>
              <w:rPr>
                <w:rFonts w:ascii="宋体" w:eastAsia="宋体" w:hAnsi="宋体" w:cs="宋体" w:hint="eastAsia"/>
                <w:szCs w:val="21"/>
              </w:rPr>
            </w:pPr>
            <w:r>
              <w:rPr>
                <w:rFonts w:ascii="宋体" w:eastAsia="宋体" w:hAnsi="宋体" w:cs="宋体" w:hint="eastAsia"/>
                <w:szCs w:val="21"/>
              </w:rPr>
              <w:t>容量：大于或等于净水箱容量。</w:t>
            </w:r>
          </w:p>
          <w:p w:rsidR="00800AF2">
            <w:pPr>
              <w:widowControl/>
              <w:numPr>
                <w:ilvl w:val="0"/>
                <w:numId w:val="58"/>
              </w:numPr>
              <w:spacing w:line="360" w:lineRule="auto"/>
              <w:rPr>
                <w:rFonts w:ascii="宋体" w:eastAsia="宋体" w:hAnsi="宋体" w:cs="宋体" w:hint="eastAsia"/>
                <w:szCs w:val="21"/>
              </w:rPr>
            </w:pPr>
            <w:r>
              <w:rPr>
                <w:rFonts w:ascii="宋体" w:eastAsia="宋体" w:hAnsi="宋体" w:cs="宋体" w:hint="eastAsia"/>
                <w:szCs w:val="21"/>
              </w:rPr>
              <w:t>设计：带排水阀（手动或电动），防臭弯管设计。</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双层卧铺床</w:t>
            </w:r>
          </w:p>
        </w:tc>
        <w:tc>
          <w:tcPr>
            <w:tcW w:w="3399" w:type="pct"/>
            <w:vAlign w:val="center"/>
          </w:tcPr>
          <w:p w:rsidR="00800AF2">
            <w:pPr>
              <w:widowControl/>
              <w:numPr>
                <w:ilvl w:val="0"/>
                <w:numId w:val="59"/>
              </w:numPr>
              <w:spacing w:line="360" w:lineRule="auto"/>
              <w:rPr>
                <w:rFonts w:ascii="宋体" w:eastAsia="宋体" w:hAnsi="宋体" w:cs="宋体" w:hint="eastAsia"/>
                <w:szCs w:val="21"/>
              </w:rPr>
            </w:pPr>
            <w:r>
              <w:rPr>
                <w:rFonts w:ascii="宋体" w:eastAsia="宋体" w:hAnsi="宋体" w:cs="宋体" w:hint="eastAsia"/>
                <w:szCs w:val="21"/>
              </w:rPr>
              <w:t>材质：金属（通常为碳钢或铁艺，结构坚固）。</w:t>
            </w:r>
          </w:p>
          <w:p w:rsidR="00800AF2">
            <w:pPr>
              <w:widowControl/>
              <w:numPr>
                <w:ilvl w:val="0"/>
                <w:numId w:val="59"/>
              </w:numPr>
              <w:spacing w:line="360" w:lineRule="auto"/>
              <w:rPr>
                <w:rFonts w:ascii="宋体" w:eastAsia="宋体" w:hAnsi="宋体" w:cs="宋体" w:hint="eastAsia"/>
                <w:szCs w:val="21"/>
              </w:rPr>
            </w:pPr>
            <w:r>
              <w:rPr>
                <w:rFonts w:ascii="宋体" w:eastAsia="宋体" w:hAnsi="宋体" w:cs="宋体" w:hint="eastAsia"/>
                <w:szCs w:val="21"/>
              </w:rPr>
              <w:t>长度：1900-2000mm（适配标准床垫）。</w:t>
            </w:r>
          </w:p>
          <w:p w:rsidR="00800AF2">
            <w:pPr>
              <w:widowControl/>
              <w:numPr>
                <w:ilvl w:val="0"/>
                <w:numId w:val="59"/>
              </w:numPr>
              <w:spacing w:line="360" w:lineRule="auto"/>
              <w:rPr>
                <w:rFonts w:ascii="宋体" w:eastAsia="宋体" w:hAnsi="宋体" w:cs="宋体" w:hint="eastAsia"/>
                <w:szCs w:val="21"/>
              </w:rPr>
            </w:pPr>
            <w:r>
              <w:rPr>
                <w:rFonts w:ascii="宋体" w:eastAsia="宋体" w:hAnsi="宋体" w:cs="宋体" w:hint="eastAsia"/>
                <w:szCs w:val="21"/>
              </w:rPr>
              <w:t>宽度：900mm-1200mm。</w:t>
            </w:r>
          </w:p>
          <w:p w:rsidR="00800AF2">
            <w:pPr>
              <w:widowControl/>
              <w:numPr>
                <w:ilvl w:val="0"/>
                <w:numId w:val="59"/>
              </w:numPr>
              <w:spacing w:line="360" w:lineRule="auto"/>
              <w:rPr>
                <w:rFonts w:ascii="宋体" w:eastAsia="宋体" w:hAnsi="宋体" w:cs="宋体" w:hint="eastAsia"/>
                <w:szCs w:val="21"/>
              </w:rPr>
            </w:pPr>
            <w:r>
              <w:rPr>
                <w:rFonts w:ascii="宋体" w:eastAsia="宋体" w:hAnsi="宋体" w:cs="宋体" w:hint="eastAsia"/>
                <w:szCs w:val="21"/>
              </w:rPr>
              <w:t>高度：1700-1800mm。</w:t>
            </w:r>
          </w:p>
          <w:p w:rsidR="00800AF2">
            <w:pPr>
              <w:widowControl/>
              <w:numPr>
                <w:ilvl w:val="0"/>
                <w:numId w:val="59"/>
              </w:numPr>
              <w:spacing w:line="360" w:lineRule="auto"/>
              <w:rPr>
                <w:rFonts w:ascii="宋体" w:eastAsia="宋体" w:hAnsi="宋体" w:cs="宋体" w:hint="eastAsia"/>
                <w:szCs w:val="21"/>
              </w:rPr>
            </w:pPr>
            <w:r>
              <w:rPr>
                <w:rFonts w:ascii="宋体" w:eastAsia="宋体" w:hAnsi="宋体" w:cs="宋体" w:hint="eastAsia"/>
                <w:szCs w:val="21"/>
              </w:rPr>
              <w:t>结构稳定性：整体框架牢固，无晃动，连接处有加固。</w:t>
            </w:r>
          </w:p>
          <w:p w:rsidR="00800AF2">
            <w:pPr>
              <w:widowControl/>
              <w:numPr>
                <w:ilvl w:val="0"/>
                <w:numId w:val="59"/>
              </w:numPr>
              <w:spacing w:line="360" w:lineRule="auto"/>
              <w:rPr>
                <w:rFonts w:ascii="宋体" w:eastAsia="宋体" w:hAnsi="宋体" w:cs="宋体" w:hint="eastAsia"/>
                <w:szCs w:val="21"/>
              </w:rPr>
            </w:pPr>
            <w:r>
              <w:rPr>
                <w:rFonts w:ascii="宋体" w:eastAsia="宋体" w:hAnsi="宋体" w:cs="宋体" w:hint="eastAsia"/>
                <w:szCs w:val="21"/>
              </w:rPr>
              <w:t>承重：静态承重需明确标注，上铺 ≥ 150kg，下铺 ≥ 200kg。</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工作桌</w:t>
            </w:r>
          </w:p>
        </w:tc>
        <w:tc>
          <w:tcPr>
            <w:tcW w:w="3399" w:type="pct"/>
            <w:vAlign w:val="center"/>
          </w:tcPr>
          <w:p w:rsidR="00800AF2">
            <w:pPr>
              <w:widowControl/>
              <w:numPr>
                <w:ilvl w:val="0"/>
                <w:numId w:val="60"/>
              </w:numPr>
              <w:spacing w:line="360" w:lineRule="auto"/>
              <w:rPr>
                <w:rFonts w:ascii="宋体" w:eastAsia="宋体" w:hAnsi="宋体" w:cs="宋体" w:hint="eastAsia"/>
                <w:szCs w:val="21"/>
              </w:rPr>
            </w:pPr>
            <w:r>
              <w:rPr>
                <w:rFonts w:ascii="宋体" w:eastAsia="宋体" w:hAnsi="宋体" w:cs="宋体" w:hint="eastAsia"/>
                <w:szCs w:val="21"/>
              </w:rPr>
              <w:t>尺寸：常用1200mm-1800mm(L)×600mm-800mm(W)×750mm(H)</w:t>
            </w:r>
          </w:p>
          <w:p w:rsidR="00800AF2">
            <w:pPr>
              <w:widowControl/>
              <w:numPr>
                <w:ilvl w:val="0"/>
                <w:numId w:val="60"/>
              </w:numPr>
              <w:spacing w:line="360" w:lineRule="auto"/>
              <w:rPr>
                <w:rFonts w:ascii="宋体" w:eastAsia="宋体" w:hAnsi="宋体" w:cs="宋体" w:hint="eastAsia"/>
                <w:szCs w:val="21"/>
              </w:rPr>
            </w:pPr>
            <w:r>
              <w:rPr>
                <w:rFonts w:ascii="宋体" w:eastAsia="宋体" w:hAnsi="宋体" w:cs="宋体" w:hint="eastAsia"/>
                <w:szCs w:val="21"/>
              </w:rPr>
              <w:t>材质：实木</w:t>
            </w:r>
          </w:p>
          <w:p w:rsidR="00800AF2">
            <w:pPr>
              <w:widowControl/>
              <w:numPr>
                <w:ilvl w:val="0"/>
                <w:numId w:val="60"/>
              </w:numPr>
              <w:spacing w:line="360" w:lineRule="auto"/>
              <w:rPr>
                <w:rFonts w:ascii="宋体" w:eastAsia="宋体" w:hAnsi="宋体" w:cs="宋体" w:hint="eastAsia"/>
                <w:szCs w:val="21"/>
              </w:rPr>
            </w:pPr>
            <w:r>
              <w:rPr>
                <w:rFonts w:ascii="宋体" w:eastAsia="宋体" w:hAnsi="宋体" w:cs="宋体" w:hint="eastAsia"/>
                <w:szCs w:val="21"/>
              </w:rPr>
              <w:t>负载：≥70kg</w:t>
            </w:r>
          </w:p>
          <w:p w:rsidR="00800AF2">
            <w:pPr>
              <w:widowControl/>
              <w:numPr>
                <w:ilvl w:val="0"/>
                <w:numId w:val="60"/>
              </w:numPr>
              <w:spacing w:line="360" w:lineRule="auto"/>
              <w:rPr>
                <w:rFonts w:ascii="宋体" w:eastAsia="宋体" w:hAnsi="宋体" w:cs="宋体" w:hint="eastAsia"/>
                <w:szCs w:val="21"/>
              </w:rPr>
            </w:pPr>
            <w:r>
              <w:rPr>
                <w:rFonts w:ascii="宋体" w:eastAsia="宋体" w:hAnsi="宋体" w:cs="宋体" w:hint="eastAsia"/>
                <w:szCs w:val="21"/>
              </w:rPr>
              <w:t>附加功能：线缆管理、抽屉</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r>
        <w:tblPrEx>
          <w:tblW w:w="5093" w:type="pct"/>
          <w:tblLook w:val="04A0"/>
        </w:tblPrEx>
        <w:trPr>
          <w:trHeight w:val="280"/>
        </w:trPr>
        <w:tc>
          <w:tcPr>
            <w:tcW w:w="656"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行李柜</w:t>
            </w:r>
          </w:p>
        </w:tc>
        <w:tc>
          <w:tcPr>
            <w:tcW w:w="3399" w:type="pct"/>
            <w:vAlign w:val="center"/>
          </w:tcPr>
          <w:p w:rsidR="00800AF2">
            <w:pPr>
              <w:widowControl/>
              <w:numPr>
                <w:ilvl w:val="0"/>
                <w:numId w:val="61"/>
              </w:numPr>
              <w:spacing w:line="360" w:lineRule="auto"/>
              <w:rPr>
                <w:rFonts w:ascii="宋体" w:eastAsia="宋体" w:hAnsi="宋体" w:cs="宋体" w:hint="eastAsia"/>
                <w:szCs w:val="21"/>
              </w:rPr>
            </w:pPr>
            <w:r>
              <w:rPr>
                <w:rFonts w:ascii="宋体" w:eastAsia="宋体" w:hAnsi="宋体" w:cs="宋体" w:hint="eastAsia"/>
                <w:szCs w:val="21"/>
              </w:rPr>
              <w:t>材质：ABS、PC、铝合金框架</w:t>
            </w:r>
          </w:p>
          <w:p w:rsidR="00800AF2">
            <w:pPr>
              <w:widowControl/>
              <w:numPr>
                <w:ilvl w:val="0"/>
                <w:numId w:val="61"/>
              </w:numPr>
              <w:spacing w:line="360" w:lineRule="auto"/>
              <w:rPr>
                <w:rFonts w:ascii="宋体" w:eastAsia="宋体" w:hAnsi="宋体" w:cs="宋体" w:hint="eastAsia"/>
                <w:szCs w:val="21"/>
              </w:rPr>
            </w:pPr>
            <w:r>
              <w:rPr>
                <w:rFonts w:ascii="宋体" w:eastAsia="宋体" w:hAnsi="宋体" w:cs="宋体" w:hint="eastAsia"/>
                <w:szCs w:val="21"/>
              </w:rPr>
              <w:t>尺寸：根据空间定制</w:t>
            </w:r>
          </w:p>
          <w:p w:rsidR="00800AF2">
            <w:pPr>
              <w:widowControl/>
              <w:numPr>
                <w:ilvl w:val="0"/>
                <w:numId w:val="61"/>
              </w:numPr>
              <w:spacing w:line="360" w:lineRule="auto"/>
              <w:rPr>
                <w:rFonts w:ascii="宋体" w:eastAsia="宋体" w:hAnsi="宋体" w:cs="宋体" w:hint="eastAsia"/>
                <w:szCs w:val="21"/>
              </w:rPr>
            </w:pPr>
            <w:r>
              <w:rPr>
                <w:rFonts w:ascii="宋体" w:eastAsia="宋体" w:hAnsi="宋体" w:cs="宋体" w:hint="eastAsia"/>
                <w:szCs w:val="21"/>
              </w:rPr>
              <w:t>容量：按需求选择</w:t>
            </w:r>
          </w:p>
          <w:p w:rsidR="00800AF2">
            <w:pPr>
              <w:widowControl/>
              <w:numPr>
                <w:ilvl w:val="0"/>
                <w:numId w:val="61"/>
              </w:numPr>
              <w:spacing w:line="360" w:lineRule="auto"/>
              <w:rPr>
                <w:rFonts w:ascii="宋体" w:eastAsia="宋体" w:hAnsi="宋体" w:cs="宋体" w:hint="eastAsia"/>
                <w:szCs w:val="21"/>
              </w:rPr>
            </w:pPr>
            <w:r>
              <w:rPr>
                <w:rFonts w:ascii="宋体" w:eastAsia="宋体" w:hAnsi="宋体" w:cs="宋体" w:hint="eastAsia"/>
                <w:szCs w:val="21"/>
              </w:rPr>
              <w:t>设计：翻盖式、抽屉式、带锁。</w:t>
            </w:r>
          </w:p>
        </w:tc>
        <w:tc>
          <w:tcPr>
            <w:tcW w:w="498"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1</w:t>
            </w:r>
          </w:p>
        </w:tc>
        <w:tc>
          <w:tcPr>
            <w:tcW w:w="445" w:type="pct"/>
            <w:vAlign w:val="center"/>
          </w:tcPr>
          <w:p w:rsidR="00800AF2">
            <w:pPr>
              <w:spacing w:line="360" w:lineRule="auto"/>
              <w:jc w:val="center"/>
              <w:rPr>
                <w:rFonts w:ascii="宋体" w:eastAsia="宋体" w:hAnsi="宋体" w:cs="宋体" w:hint="eastAsia"/>
                <w:szCs w:val="21"/>
              </w:rPr>
            </w:pPr>
            <w:r>
              <w:rPr>
                <w:rFonts w:ascii="宋体" w:eastAsia="宋体" w:hAnsi="宋体" w:cs="宋体" w:hint="eastAsia"/>
                <w:szCs w:val="21"/>
              </w:rPr>
              <w:t>套</w:t>
            </w:r>
          </w:p>
        </w:tc>
      </w:tr>
    </w:tbl>
    <w:p w:rsidR="00800AF2">
      <w:pPr>
        <w:spacing w:after="140" w:line="276" w:lineRule="auto"/>
        <w:ind w:firstLine="420" w:firstLineChars="200"/>
        <w:outlineLvl w:val="2"/>
        <w:rPr>
          <w:rFonts w:ascii="宋体" w:eastAsia="宋体" w:hAnsi="宋体" w:cs="宋体" w:hint="eastAsia"/>
          <w:bCs/>
          <w:color w:val="000000"/>
          <w:szCs w:val="21"/>
        </w:rPr>
      </w:pPr>
      <w:bookmarkStart w:id="110" w:name="_Toc26550"/>
      <w:r>
        <w:rPr>
          <w:rFonts w:ascii="宋体" w:eastAsia="宋体" w:hAnsi="宋体" w:cs="宋体" w:hint="eastAsia"/>
          <w:bCs/>
          <w:color w:val="000000"/>
          <w:szCs w:val="21"/>
        </w:rPr>
        <w:t>5.4.6设备配置</w:t>
      </w:r>
      <w:bookmarkEnd w:id="110"/>
    </w:p>
    <w:p w:rsidR="00800AF2">
      <w:pPr>
        <w:jc w:val="center"/>
        <w:rPr>
          <w:rFonts w:ascii="宋体" w:eastAsia="宋体" w:hAnsi="宋体" w:cs="宋体" w:hint="eastAsia"/>
          <w:szCs w:val="21"/>
        </w:rPr>
      </w:pPr>
      <w:r>
        <w:rPr>
          <w:rFonts w:ascii="宋体" w:eastAsia="宋体" w:hAnsi="宋体" w:cs="宋体" w:hint="eastAsia"/>
          <w:szCs w:val="21"/>
        </w:rPr>
        <w:t xml:space="preserve">表 </w:t>
      </w:r>
      <w:r>
        <w:rPr>
          <w:rFonts w:ascii="宋体" w:eastAsia="宋体" w:hAnsi="宋体" w:cs="宋体" w:hint="eastAsia"/>
          <w:szCs w:val="21"/>
        </w:rPr>
        <w:fldChar w:fldCharType="begin"/>
      </w:r>
      <w:r>
        <w:rPr>
          <w:rFonts w:ascii="宋体" w:eastAsia="宋体" w:hAnsi="宋体" w:cs="宋体" w:hint="eastAsia"/>
          <w:szCs w:val="21"/>
        </w:rPr>
        <w:instrText xml:space="preserve"> SEQ 表 \* ARABIC </w:instrText>
      </w:r>
      <w:r>
        <w:rPr>
          <w:rFonts w:ascii="宋体" w:eastAsia="宋体" w:hAnsi="宋体" w:cs="宋体" w:hint="eastAsia"/>
          <w:szCs w:val="21"/>
        </w:rPr>
        <w:fldChar w:fldCharType="separate"/>
      </w:r>
      <w:r>
        <w:rPr>
          <w:rFonts w:ascii="宋体" w:eastAsia="宋体" w:hAnsi="宋体" w:cs="宋体" w:hint="eastAsia"/>
          <w:szCs w:val="21"/>
        </w:rPr>
        <w:t>54</w:t>
      </w:r>
      <w:r>
        <w:rPr>
          <w:rFonts w:ascii="宋体" w:eastAsia="宋体" w:hAnsi="宋体" w:cs="宋体" w:hint="eastAsia"/>
          <w:szCs w:val="21"/>
        </w:rPr>
        <w:fldChar w:fldCharType="end"/>
      </w:r>
      <w:r>
        <w:rPr>
          <w:rFonts w:ascii="宋体" w:eastAsia="宋体" w:hAnsi="宋体" w:cs="宋体" w:hint="eastAsia"/>
          <w:szCs w:val="21"/>
        </w:rPr>
        <w:t xml:space="preserve"> </w:t>
      </w:r>
      <w:r>
        <w:rPr>
          <w:rFonts w:ascii="宋体" w:eastAsia="宋体" w:hAnsi="宋体" w:cs="宋体" w:hint="eastAsia"/>
          <w:bCs/>
          <w:color w:val="000000"/>
          <w:szCs w:val="21"/>
        </w:rPr>
        <w:t>作业保障模组设备配置</w:t>
      </w:r>
    </w:p>
    <w:tbl>
      <w:tblPr>
        <w:tblStyle w:val="TableNormal"/>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1365"/>
        <w:gridCol w:w="4672"/>
        <w:gridCol w:w="730"/>
        <w:gridCol w:w="1019"/>
      </w:tblGrid>
      <w:tr>
        <w:tblPrEx>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名称</w:t>
            </w:r>
          </w:p>
        </w:tc>
        <w:tc>
          <w:tcPr>
            <w:tcW w:w="2745"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技术规格参数</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单位</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数量</w:t>
            </w:r>
          </w:p>
        </w:tc>
      </w:tr>
      <w:tr>
        <w:tblPrEx>
          <w:tblW w:w="4991" w:type="pct"/>
          <w:tblLook w:val="04A0"/>
        </w:tblPrEx>
        <w:trPr>
          <w:trHeight w:val="30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四</w:t>
            </w:r>
          </w:p>
        </w:tc>
        <w:tc>
          <w:tcPr>
            <w:tcW w:w="4575" w:type="pct"/>
            <w:gridSpan w:val="4"/>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作业保障模组分系统</w:t>
            </w:r>
          </w:p>
        </w:tc>
      </w:tr>
      <w:tr>
        <w:tblPrEx>
          <w:tblW w:w="4991" w:type="pct"/>
          <w:tblLook w:val="04A0"/>
        </w:tblPrEx>
        <w:trPr>
          <w:trHeight w:val="54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任务舱舱体</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包括舱体结构、门、窗、空调、加热器、换气扇、机柜、机柜减震及固定机构、供电电缆、光缆、电源及信号孔门(含接插件)、照明系统、随舱工具等。</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625"/>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1.1</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厢体</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定制，直角方舱，外形尺寸为≥6058×2438×2591（长×宽×高），八个角安装方舱角件，厢体按</w:t>
            </w:r>
            <w:r>
              <w:rPr>
                <w:rFonts w:ascii="宋体" w:eastAsia="宋体" w:hAnsi="宋体" w:cs="宋体" w:hint="eastAsia"/>
                <w:kern w:val="0"/>
                <w:szCs w:val="21"/>
              </w:rPr>
              <w:t>钢骨架铝合金蒙皮进行设计，外蒙皮选用厚度为3mm铝板，选用高密度的阻燃泡沫作为夹芯层（隔热芯材），大板中所用的骨架为钢骨架焊接而成，内外蒙皮与骨架粘接固定, 厢体骨架整体电泳处理，以保证骨架的防腐能力。</w:t>
            </w:r>
            <w:r>
              <w:rPr>
                <w:rFonts w:ascii="宋体" w:eastAsia="宋体" w:hAnsi="宋体" w:cs="宋体" w:hint="eastAsia"/>
                <w:kern w:val="0"/>
                <w:szCs w:val="21"/>
              </w:rPr>
              <w:br/>
              <w:t>侧围通风窗 ：配防蚊纱窗和反光布帘。</w:t>
            </w:r>
            <w:r>
              <w:rPr>
                <w:rFonts w:ascii="宋体" w:eastAsia="宋体" w:hAnsi="宋体" w:cs="宋体" w:hint="eastAsia"/>
                <w:kern w:val="0"/>
                <w:szCs w:val="21"/>
              </w:rPr>
              <w:br/>
              <w:t>车顶换气扇 ：用于车内强制换气</w:t>
            </w:r>
            <w:r>
              <w:rPr>
                <w:rFonts w:ascii="宋体" w:eastAsia="宋体" w:hAnsi="宋体" w:cs="宋体" w:hint="eastAsia"/>
                <w:kern w:val="0"/>
                <w:szCs w:val="21"/>
              </w:rPr>
              <w:br/>
              <w:t>设备机柜：安装通讯系统</w:t>
            </w:r>
            <w:r>
              <w:rPr>
                <w:rFonts w:ascii="宋体" w:eastAsia="宋体" w:hAnsi="宋体" w:cs="宋体" w:hint="eastAsia"/>
                <w:kern w:val="0"/>
                <w:szCs w:val="21"/>
              </w:rPr>
              <w:br/>
              <w:t>文件柜：文件柜</w:t>
            </w:r>
            <w:r>
              <w:rPr>
                <w:rFonts w:ascii="宋体" w:eastAsia="宋体" w:hAnsi="宋体" w:cs="宋体" w:hint="eastAsia"/>
                <w:kern w:val="0"/>
                <w:szCs w:val="21"/>
              </w:rPr>
              <w:br/>
              <w:t>工作桌：木质材质</w:t>
            </w:r>
            <w:r>
              <w:rPr>
                <w:rFonts w:ascii="宋体" w:eastAsia="宋体" w:hAnsi="宋体" w:cs="宋体" w:hint="eastAsia"/>
                <w:kern w:val="0"/>
                <w:szCs w:val="21"/>
              </w:rPr>
              <w:br/>
              <w:t>车载座椅： 固定前后滑移式车载座椅</w:t>
            </w:r>
            <w:r>
              <w:rPr>
                <w:rFonts w:ascii="宋体" w:eastAsia="宋体" w:hAnsi="宋体" w:cs="宋体" w:hint="eastAsia"/>
                <w:kern w:val="0"/>
                <w:szCs w:val="21"/>
              </w:rPr>
              <w:br/>
              <w:t>卫生间：坐便式卫生间，免水冲，打包坐便器</w:t>
            </w:r>
            <w:r>
              <w:rPr>
                <w:rFonts w:ascii="宋体" w:eastAsia="宋体" w:hAnsi="宋体" w:cs="宋体" w:hint="eastAsia"/>
                <w:kern w:val="0"/>
                <w:szCs w:val="21"/>
              </w:rPr>
              <w:br/>
              <w:t>洗手池：单人洗手池含水路、水箱及水泵等部件</w:t>
            </w:r>
            <w:r>
              <w:rPr>
                <w:rFonts w:ascii="宋体" w:eastAsia="宋体" w:hAnsi="宋体" w:cs="宋体" w:hint="eastAsia"/>
                <w:kern w:val="0"/>
                <w:szCs w:val="21"/>
              </w:rPr>
              <w:br/>
              <w:t>上下铺：床铺尺寸不小于1900*750mm</w:t>
            </w:r>
            <w:r>
              <w:rPr>
                <w:rFonts w:ascii="宋体" w:eastAsia="宋体" w:hAnsi="宋体" w:cs="宋体" w:hint="eastAsia"/>
                <w:kern w:val="0"/>
                <w:szCs w:val="21"/>
              </w:rPr>
              <w:br/>
              <w:t>车内地板： 竹材复合板，铺设仿木纹地板革</w:t>
            </w:r>
            <w:r>
              <w:rPr>
                <w:rFonts w:ascii="宋体" w:eastAsia="宋体" w:hAnsi="宋体" w:cs="宋体" w:hint="eastAsia"/>
                <w:kern w:val="0"/>
                <w:szCs w:val="21"/>
              </w:rPr>
              <w:br/>
              <w:t>油漆及外饰：专业烤漆房烤漆，外观贴字根据用户需求订制</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常规108件套工具箱、电动工具箱、棘s轮扳手套装</w:t>
            </w:r>
            <w:r>
              <w:rPr>
                <w:rFonts w:ascii="宋体" w:eastAsia="宋体" w:hAnsi="宋体" w:cs="宋体" w:hint="eastAsia"/>
                <w:kern w:val="0"/>
                <w:szCs w:val="21"/>
              </w:rPr>
              <w:br/>
              <w:t>含窗帘、灭火器、内外标牌及标识装配等</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156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1.2</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舱体升降机构</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额定提升重量：≥8T;</w:t>
            </w:r>
            <w:r>
              <w:rPr>
                <w:rFonts w:ascii="宋体" w:eastAsia="宋体" w:hAnsi="宋体" w:cs="宋体" w:hint="eastAsia"/>
                <w:kern w:val="0"/>
                <w:szCs w:val="21"/>
              </w:rPr>
              <w:br/>
              <w:t xml:space="preserve">额定提升高度：≥1500MM;  </w:t>
            </w:r>
            <w:r>
              <w:rPr>
                <w:rFonts w:ascii="宋体" w:eastAsia="宋体" w:hAnsi="宋体" w:cs="宋体" w:hint="eastAsia"/>
                <w:kern w:val="0"/>
                <w:szCs w:val="21"/>
              </w:rPr>
              <w:br/>
              <w:t xml:space="preserve">电机额定电压：AC220v;  </w:t>
            </w:r>
            <w:r>
              <w:rPr>
                <w:rFonts w:ascii="宋体" w:eastAsia="宋体" w:hAnsi="宋体" w:cs="宋体" w:hint="eastAsia"/>
                <w:kern w:val="0"/>
                <w:szCs w:val="21"/>
              </w:rPr>
              <w:br/>
              <w:t>升降时间(单程)：10min；</w:t>
            </w:r>
            <w:r>
              <w:rPr>
                <w:rFonts w:ascii="宋体" w:eastAsia="宋体" w:hAnsi="宋体" w:cs="宋体" w:hint="eastAsia"/>
                <w:kern w:val="0"/>
                <w:szCs w:val="21"/>
              </w:rPr>
              <w:br/>
              <w:t>调平时间＜3min,</w:t>
            </w:r>
            <w:r>
              <w:rPr>
                <w:rFonts w:ascii="宋体" w:eastAsia="宋体" w:hAnsi="宋体" w:cs="宋体" w:hint="eastAsia"/>
                <w:kern w:val="0"/>
                <w:szCs w:val="21"/>
              </w:rPr>
              <w:br/>
              <w:t>调平精度 0.5 度;</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7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1.3</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静音发电机</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 xml:space="preserve">额定频率：50 HZ </w:t>
            </w:r>
            <w:r>
              <w:rPr>
                <w:rFonts w:ascii="宋体" w:eastAsia="宋体" w:hAnsi="宋体" w:cs="宋体" w:hint="eastAsia"/>
                <w:kern w:val="0"/>
                <w:szCs w:val="21"/>
              </w:rPr>
              <w:br/>
              <w:t xml:space="preserve">额定输出功率：≮10KW  </w:t>
            </w:r>
            <w:r>
              <w:rPr>
                <w:rFonts w:ascii="宋体" w:eastAsia="宋体" w:hAnsi="宋体" w:cs="宋体" w:hint="eastAsia"/>
                <w:kern w:val="0"/>
                <w:szCs w:val="21"/>
              </w:rPr>
              <w:br/>
              <w:t>额定电压：240 V</w:t>
            </w:r>
          </w:p>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高原适配型：≥4000m可正常使用</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52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1.4</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配电箱</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集中式电源管理系统，含电源漏电保护、开关、电源电压电流显示等，开关分别控制空调、设备用电等；配电盘面板为数控机床加工，表面喷塑处理。</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1.5</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全车接地系统</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含接地桩、接地线，静电地拖电源防浪涌装置</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1.6</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接口板</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定制，含电源、信息接口</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1.7</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电源线缆盘</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手动线缆盘，含50米橡胶线缆</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54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车载监控子系统</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车内摄像机、车外摄像机、视频监控主机、温湿度传感器、烟雾传感器、声光报警器。</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2.1</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车内电视</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≮32英寸电视，分辨率不低于1080P</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28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2.2</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CO报警器</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车内安装CO报警器</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2.3</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温湿度传感器</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温湿度传感器1套</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2.4</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烟雾传感器</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烟雾传感器1套</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2.5</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声光报警器</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声光报警器1套</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60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2.6</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千兆交换机（含光模块）</w:t>
            </w:r>
          </w:p>
        </w:tc>
        <w:tc>
          <w:tcPr>
            <w:tcW w:w="2745"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支持不少于24个10/100/1000Base-TX以太网端口，4个千兆SFP；</w:t>
            </w:r>
            <w:r>
              <w:rPr>
                <w:rFonts w:ascii="宋体" w:eastAsia="宋体" w:hAnsi="宋体" w:cs="宋体" w:hint="eastAsia"/>
                <w:kern w:val="0"/>
                <w:szCs w:val="21"/>
              </w:rPr>
              <w:br/>
              <w:t>IP路由：支持IPv4和IPv6的三层路由功能；</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243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2.7</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车顶云台摄像机</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图像传感器：1/2.8″2.0MP Sony逐行扫描CMOS；</w:t>
            </w:r>
            <w:r>
              <w:rPr>
                <w:rFonts w:ascii="宋体" w:eastAsia="宋体" w:hAnsi="宋体" w:cs="宋体" w:hint="eastAsia"/>
                <w:kern w:val="0"/>
                <w:szCs w:val="21"/>
              </w:rPr>
              <w:br/>
              <w:t>镜头倍数：20倍光学变焦；</w:t>
            </w:r>
            <w:r>
              <w:rPr>
                <w:rFonts w:ascii="宋体" w:eastAsia="宋体" w:hAnsi="宋体" w:cs="宋体" w:hint="eastAsia"/>
                <w:kern w:val="0"/>
                <w:szCs w:val="21"/>
              </w:rPr>
              <w:br/>
              <w:t>焦距(mm)：f4.3～86mm；</w:t>
            </w:r>
            <w:r>
              <w:rPr>
                <w:rFonts w:ascii="宋体" w:eastAsia="宋体" w:hAnsi="宋体" w:cs="宋体" w:hint="eastAsia"/>
                <w:kern w:val="0"/>
                <w:szCs w:val="21"/>
              </w:rPr>
              <w:br/>
              <w:t>光圈：Fw1.6～Ft4.4；</w:t>
            </w:r>
            <w:r>
              <w:rPr>
                <w:rFonts w:ascii="宋体" w:eastAsia="宋体" w:hAnsi="宋体" w:cs="宋体" w:hint="eastAsia"/>
                <w:kern w:val="0"/>
                <w:szCs w:val="21"/>
              </w:rPr>
              <w:br/>
              <w:t>视频输出：HD-SDI SD—VBS；</w:t>
            </w:r>
            <w:r>
              <w:rPr>
                <w:rFonts w:ascii="宋体" w:eastAsia="宋体" w:hAnsi="宋体" w:cs="宋体" w:hint="eastAsia"/>
                <w:kern w:val="0"/>
                <w:szCs w:val="21"/>
              </w:rPr>
              <w:br/>
              <w:t>水平角度：360° 无限位旋转；</w:t>
            </w:r>
            <w:r>
              <w:rPr>
                <w:rFonts w:ascii="宋体" w:eastAsia="宋体" w:hAnsi="宋体" w:cs="宋体" w:hint="eastAsia"/>
                <w:kern w:val="0"/>
                <w:szCs w:val="21"/>
              </w:rPr>
              <w:br/>
              <w:t>垂直角度：+90°~-90°；</w:t>
            </w:r>
            <w:r>
              <w:rPr>
                <w:rFonts w:ascii="宋体" w:eastAsia="宋体" w:hAnsi="宋体" w:cs="宋体" w:hint="eastAsia"/>
                <w:kern w:val="0"/>
                <w:szCs w:val="21"/>
              </w:rPr>
              <w:br/>
              <w:t>防护等级：IP66；</w:t>
            </w:r>
            <w:r>
              <w:rPr>
                <w:rFonts w:ascii="宋体" w:eastAsia="宋体" w:hAnsi="宋体" w:cs="宋体" w:hint="eastAsia"/>
                <w:kern w:val="0"/>
                <w:szCs w:val="21"/>
              </w:rPr>
              <w:br/>
            </w:r>
            <w:r>
              <w:rPr>
                <w:rFonts w:ascii="宋体" w:eastAsia="宋体" w:hAnsi="宋体" w:cs="宋体" w:hint="eastAsia"/>
                <w:kern w:val="0"/>
                <w:szCs w:val="21"/>
              </w:rPr>
              <w:t>提供国家权威检测机构出具的CANS检测报告</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162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2.8</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车内摄像机</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成像设备：1/2.8-type Exmor CMOS；</w:t>
            </w:r>
            <w:r>
              <w:rPr>
                <w:rFonts w:ascii="宋体" w:eastAsia="宋体" w:hAnsi="宋体" w:cs="宋体" w:hint="eastAsia"/>
                <w:kern w:val="0"/>
                <w:szCs w:val="21"/>
              </w:rPr>
              <w:br/>
              <w:t>镜头：20倍光学变焦，12倍数字变焦，f=4.7mm—-94.0mm；</w:t>
            </w:r>
            <w:r>
              <w:rPr>
                <w:rFonts w:ascii="宋体" w:eastAsia="宋体" w:hAnsi="宋体" w:cs="宋体" w:hint="eastAsia"/>
                <w:kern w:val="0"/>
                <w:szCs w:val="21"/>
              </w:rPr>
              <w:br/>
              <w:t>光圈：F1.6 to F3.5；</w:t>
            </w:r>
            <w:r>
              <w:rPr>
                <w:rFonts w:ascii="宋体" w:eastAsia="宋体" w:hAnsi="宋体" w:cs="宋体" w:hint="eastAsia"/>
                <w:kern w:val="0"/>
                <w:szCs w:val="21"/>
              </w:rPr>
              <w:br/>
              <w:t>平移：±170°（最高速度为100°/秒），俯仰：+90°/-20°（最高速度为90°/秒）；</w:t>
            </w:r>
            <w:r>
              <w:rPr>
                <w:rFonts w:ascii="宋体" w:eastAsia="宋体" w:hAnsi="宋体" w:cs="宋体" w:hint="eastAsia"/>
                <w:kern w:val="0"/>
                <w:szCs w:val="21"/>
              </w:rPr>
              <w:br/>
              <w:t>视频输出：HD-SDI SD—VBS；</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810"/>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2.9</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硬盘录像机</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 xml:space="preserve">支持4路1080P视频输入； </w:t>
            </w:r>
            <w:r>
              <w:rPr>
                <w:rFonts w:ascii="宋体" w:eastAsia="宋体" w:hAnsi="宋体" w:cs="宋体" w:hint="eastAsia"/>
                <w:kern w:val="0"/>
                <w:szCs w:val="21"/>
              </w:rPr>
              <w:br/>
              <w:t>支持1个2.5寸SATA 硬盘；</w:t>
            </w:r>
            <w:r>
              <w:rPr>
                <w:rFonts w:ascii="宋体" w:eastAsia="宋体" w:hAnsi="宋体" w:cs="宋体" w:hint="eastAsia"/>
                <w:kern w:val="0"/>
                <w:szCs w:val="21"/>
              </w:rPr>
              <w:br/>
              <w:t>支持H.265编码；</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容量≥4T。</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1573"/>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2.10</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混切矩阵</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全数字化切换；</w:t>
            </w:r>
            <w:r>
              <w:rPr>
                <w:rFonts w:ascii="宋体" w:eastAsia="宋体" w:hAnsi="宋体" w:cs="宋体" w:hint="eastAsia"/>
                <w:kern w:val="0"/>
                <w:szCs w:val="21"/>
              </w:rPr>
              <w:br/>
              <w:t>输入16路信号，输出16路信号；</w:t>
            </w:r>
            <w:r>
              <w:rPr>
                <w:rFonts w:ascii="宋体" w:eastAsia="宋体" w:hAnsi="宋体" w:cs="宋体" w:hint="eastAsia"/>
                <w:kern w:val="0"/>
                <w:szCs w:val="21"/>
              </w:rPr>
              <w:br/>
              <w:t>任意信号输入输出；</w:t>
            </w:r>
            <w:r>
              <w:rPr>
                <w:rFonts w:ascii="宋体" w:eastAsia="宋体" w:hAnsi="宋体" w:cs="宋体" w:hint="eastAsia"/>
                <w:kern w:val="0"/>
                <w:szCs w:val="21"/>
              </w:rPr>
              <w:br/>
              <w:t>实时无缝切换；</w:t>
            </w:r>
            <w:r>
              <w:rPr>
                <w:rFonts w:ascii="宋体" w:eastAsia="宋体" w:hAnsi="宋体" w:cs="宋体" w:hint="eastAsia"/>
                <w:kern w:val="0"/>
                <w:szCs w:val="21"/>
              </w:rPr>
              <w:br/>
              <w:t>输入信号分辨率自适应，输出分辨率可调；</w:t>
            </w:r>
            <w:r>
              <w:rPr>
                <w:rFonts w:ascii="宋体" w:eastAsia="宋体" w:hAnsi="宋体" w:cs="宋体" w:hint="eastAsia"/>
                <w:kern w:val="0"/>
                <w:szCs w:val="21"/>
              </w:rPr>
              <w:br/>
              <w:t>支持模拟音频输入和输出；</w:t>
            </w:r>
            <w:r>
              <w:rPr>
                <w:rFonts w:ascii="宋体" w:eastAsia="宋体" w:hAnsi="宋体" w:cs="宋体" w:hint="eastAsia"/>
                <w:kern w:val="0"/>
                <w:szCs w:val="21"/>
              </w:rPr>
              <w:br/>
              <w:t>支持SDI音频加解嵌（SMPTE291）；</w:t>
            </w:r>
            <w:r>
              <w:rPr>
                <w:rFonts w:ascii="宋体" w:eastAsia="宋体" w:hAnsi="宋体" w:cs="宋体" w:hint="eastAsia"/>
                <w:kern w:val="0"/>
                <w:szCs w:val="21"/>
              </w:rPr>
              <w:br/>
              <w:t>支持RS232和以太网控制，开放控制协议，方便第三方串口控制；</w:t>
            </w:r>
            <w:r>
              <w:rPr>
                <w:rFonts w:ascii="宋体" w:eastAsia="宋体" w:hAnsi="宋体" w:cs="宋体" w:hint="eastAsia"/>
                <w:kern w:val="0"/>
                <w:szCs w:val="21"/>
              </w:rPr>
              <w:br/>
              <w:t>支持断电现场保护；</w:t>
            </w:r>
            <w:r>
              <w:rPr>
                <w:rFonts w:ascii="宋体" w:eastAsia="宋体" w:hAnsi="宋体" w:cs="宋体" w:hint="eastAsia"/>
                <w:kern w:val="0"/>
                <w:szCs w:val="21"/>
              </w:rPr>
              <w:br/>
              <w:t>标准插卡式工业机箱。</w:t>
            </w:r>
            <w:r>
              <w:rPr>
                <w:rFonts w:ascii="宋体" w:eastAsia="宋体" w:hAnsi="宋体" w:cs="宋体" w:hint="eastAsia"/>
                <w:kern w:val="0"/>
                <w:szCs w:val="21"/>
              </w:rPr>
              <w:br/>
              <w:t>产品符合GB/T标准高低温、盐雾、振动、冲击等试验要求，并出具第三方检测报告。</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1573"/>
        </w:trPr>
        <w:tc>
          <w:tcPr>
            <w:tcW w:w="424" w:type="pct"/>
            <w:noWrap/>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2.11</w:t>
            </w:r>
          </w:p>
        </w:tc>
        <w:tc>
          <w:tcPr>
            <w:tcW w:w="802"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应急和备份便携式工作站</w:t>
            </w:r>
          </w:p>
          <w:p w:rsidR="00800AF2">
            <w:pPr>
              <w:widowControl/>
              <w:spacing w:line="360" w:lineRule="auto"/>
              <w:jc w:val="left"/>
              <w:rPr>
                <w:rFonts w:ascii="宋体" w:eastAsia="宋体" w:hAnsi="宋体" w:cs="宋体" w:hint="eastAsia"/>
                <w:kern w:val="0"/>
                <w:szCs w:val="21"/>
              </w:rPr>
            </w:pP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内核数：≥16</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总线程数：≥22</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处理器基础频率：≥1.60GHz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最大睿频频率：≥4.20GHz</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屏幕约16英寸，搭载FHD+分辨率（1920×1200）</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内存≥32GB，可扩展至96GB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固态硬盘≥4TB</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包含网络、HDMI等基础配置</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安装和备份方舱所有软件系统</w:t>
            </w:r>
          </w:p>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每套方舱各2台。</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2</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工作生活单元</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满足野外作业所需工作、生活、急救、安全、防火等基本需求。</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电磁炉</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电磁炉1件</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3.2</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微波炉</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微波炉1件</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3.3</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厨柜</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用于存放电磁炉、微波炉</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3.4</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医疗急救箱</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医疗急救箱</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3.5</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电热水壶</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电热水壶，2L</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3.6</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冰箱</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食品储存</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3.7</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激光打印机</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激光打印机1件</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54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3.8</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冷暖空调</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车载顶置式空调/220V 50Hz/制热量不小于4000W/制冷量不小于6000W/工作温度-45～55℃</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54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3.9</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燃油加热器</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额定热容量（kW）:7.0，电压（V）:24，额定功率160W，耗油量0.9L/h，热风排量230m³/h</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台</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3.10</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车内照明系统</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车内LED照明灯</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3.11</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床铺照明灯</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安装在床头，可为单铺提供阅读需求，自带开关</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4</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件</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3.12</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开关插座</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定制，含220V10A五孔插座</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r>
        <w:tblPrEx>
          <w:tblW w:w="4991" w:type="pct"/>
          <w:tblLook w:val="04A0"/>
        </w:tblPrEx>
        <w:trPr>
          <w:trHeight w:val="280"/>
        </w:trPr>
        <w:tc>
          <w:tcPr>
            <w:tcW w:w="424"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3.13</w:t>
            </w:r>
          </w:p>
        </w:tc>
        <w:tc>
          <w:tcPr>
            <w:tcW w:w="802" w:type="pct"/>
            <w:vAlign w:val="center"/>
          </w:tcPr>
          <w:p w:rsidR="00800AF2">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车外照明灯</w:t>
            </w:r>
          </w:p>
        </w:tc>
        <w:tc>
          <w:tcPr>
            <w:tcW w:w="2745" w:type="pct"/>
            <w:vAlign w:val="center"/>
          </w:tcPr>
          <w:p w:rsidR="00800AF2">
            <w:pPr>
              <w:widowControl/>
              <w:spacing w:line="360" w:lineRule="auto"/>
              <w:rPr>
                <w:rFonts w:ascii="宋体" w:eastAsia="宋体" w:hAnsi="宋体" w:cs="宋体" w:hint="eastAsia"/>
                <w:kern w:val="0"/>
                <w:szCs w:val="21"/>
              </w:rPr>
            </w:pPr>
            <w:r>
              <w:rPr>
                <w:rFonts w:ascii="宋体" w:eastAsia="宋体" w:hAnsi="宋体" w:cs="宋体" w:hint="eastAsia"/>
                <w:kern w:val="0"/>
                <w:szCs w:val="21"/>
              </w:rPr>
              <w:t>LED灯源，满足车外照明</w:t>
            </w:r>
          </w:p>
        </w:tc>
        <w:tc>
          <w:tcPr>
            <w:tcW w:w="429"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1</w:t>
            </w:r>
          </w:p>
        </w:tc>
        <w:tc>
          <w:tcPr>
            <w:tcW w:w="598" w:type="pct"/>
            <w:vAlign w:val="center"/>
          </w:tcPr>
          <w:p w:rsidR="00800AF2">
            <w:pPr>
              <w:widowControl/>
              <w:spacing w:line="360" w:lineRule="auto"/>
              <w:jc w:val="center"/>
              <w:rPr>
                <w:rFonts w:ascii="宋体" w:eastAsia="宋体" w:hAnsi="宋体" w:cs="宋体" w:hint="eastAsia"/>
                <w:kern w:val="0"/>
                <w:szCs w:val="21"/>
              </w:rPr>
            </w:pPr>
            <w:r>
              <w:rPr>
                <w:rFonts w:ascii="宋体" w:eastAsia="宋体" w:hAnsi="宋体" w:cs="宋体" w:hint="eastAsia"/>
                <w:kern w:val="0"/>
                <w:szCs w:val="21"/>
              </w:rPr>
              <w:t>套</w:t>
            </w:r>
          </w:p>
        </w:tc>
      </w:tr>
    </w:tbl>
    <w:p w:rsidR="00800AF2"/>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111" w:name="货物一览表_index"/>
            <w:r>
              <w:rPr>
                <w:rFonts w:asciiTheme="minorEastAsia" w:eastAsiaTheme="minorEastAsia" w:hAnsiTheme="minorEastAsia" w:cstheme="minorEastAsia" w:hint="eastAsia"/>
                <w:kern w:val="0"/>
                <w:szCs w:val="21"/>
              </w:rPr>
              <w:t>序号</w:t>
            </w:r>
            <w:bookmarkEnd w:id="111"/>
          </w:p>
        </w:tc>
        <w:tc>
          <w:tcPr>
            <w:tcW w:w="1135" w:type="dxa"/>
          </w:tcPr>
          <w:p>
            <w:pPr>
              <w:autoSpaceDE w:val="0"/>
              <w:jc w:val="center"/>
              <w:rPr>
                <w:rFonts w:asciiTheme="minorEastAsia" w:hAnsiTheme="minorEastAsia" w:cstheme="minorEastAsia"/>
                <w:kern w:val="0"/>
                <w:szCs w:val="21"/>
              </w:rPr>
            </w:pPr>
            <w:bookmarkStart w:id="112" w:name="货物一览表_goodsName"/>
            <w:r>
              <w:rPr>
                <w:rFonts w:asciiTheme="minorEastAsia" w:eastAsiaTheme="minorEastAsia" w:hAnsiTheme="minorEastAsia" w:cstheme="minorEastAsia" w:hint="eastAsia"/>
                <w:kern w:val="0"/>
                <w:szCs w:val="21"/>
              </w:rPr>
              <w:t>设备名称</w:t>
            </w:r>
            <w:bookmarkEnd w:id="112"/>
          </w:p>
        </w:tc>
        <w:tc>
          <w:tcPr>
            <w:tcW w:w="965" w:type="dxa"/>
          </w:tcPr>
          <w:p>
            <w:pPr>
              <w:autoSpaceDE w:val="0"/>
              <w:jc w:val="center"/>
              <w:rPr>
                <w:rFonts w:asciiTheme="minorEastAsia" w:hAnsiTheme="minorEastAsia" w:cstheme="minorEastAsia"/>
                <w:kern w:val="0"/>
                <w:szCs w:val="21"/>
              </w:rPr>
            </w:pPr>
            <w:bookmarkStart w:id="113" w:name="货物一览表_nums"/>
            <w:r>
              <w:rPr>
                <w:rFonts w:asciiTheme="minorEastAsia" w:eastAsiaTheme="minorEastAsia" w:hAnsiTheme="minorEastAsia" w:cstheme="minorEastAsia" w:hint="eastAsia"/>
                <w:kern w:val="0"/>
                <w:szCs w:val="21"/>
              </w:rPr>
              <w:t>采购数量</w:t>
            </w:r>
            <w:bookmarkEnd w:id="113"/>
          </w:p>
        </w:tc>
        <w:tc>
          <w:tcPr>
            <w:tcW w:w="1062" w:type="dxa"/>
          </w:tcPr>
          <w:p>
            <w:pPr>
              <w:autoSpaceDE w:val="0"/>
              <w:jc w:val="center"/>
              <w:rPr>
                <w:rFonts w:asciiTheme="minorEastAsia" w:hAnsiTheme="minorEastAsia" w:cstheme="minorEastAsia"/>
                <w:kern w:val="0"/>
                <w:szCs w:val="21"/>
              </w:rPr>
            </w:pPr>
            <w:bookmarkStart w:id="114" w:name="货物一览表_units"/>
            <w:r>
              <w:rPr>
                <w:rFonts w:asciiTheme="minorEastAsia" w:eastAsiaTheme="minorEastAsia" w:hAnsiTheme="minorEastAsia" w:cstheme="minorEastAsia" w:hint="eastAsia"/>
                <w:kern w:val="0"/>
                <w:szCs w:val="21"/>
              </w:rPr>
              <w:t>计量单位</w:t>
            </w:r>
            <w:bookmarkEnd w:id="114"/>
          </w:p>
        </w:tc>
        <w:tc>
          <w:tcPr>
            <w:tcW w:w="1220" w:type="dxa"/>
          </w:tcPr>
          <w:p>
            <w:pPr>
              <w:autoSpaceDE w:val="0"/>
              <w:jc w:val="center"/>
              <w:rPr>
                <w:rFonts w:asciiTheme="minorEastAsia" w:hAnsiTheme="minorEastAsia" w:cstheme="minorEastAsia"/>
                <w:kern w:val="0"/>
                <w:szCs w:val="21"/>
              </w:rPr>
            </w:pPr>
            <w:bookmarkStart w:id="115" w:name="货物一览表_procurementBudget"/>
            <w:r>
              <w:rPr>
                <w:rFonts w:asciiTheme="minorEastAsia" w:eastAsiaTheme="minorEastAsia" w:hAnsiTheme="minorEastAsia" w:cstheme="minorEastAsia" w:hint="eastAsia"/>
                <w:kern w:val="0"/>
                <w:szCs w:val="21"/>
              </w:rPr>
              <w:t>采购预算（元）</w:t>
            </w:r>
            <w:bookmarkEnd w:id="115"/>
          </w:p>
        </w:tc>
        <w:tc>
          <w:tcPr>
            <w:tcW w:w="1329" w:type="dxa"/>
          </w:tcPr>
          <w:p>
            <w:pPr>
              <w:autoSpaceDE w:val="0"/>
              <w:jc w:val="center"/>
              <w:rPr>
                <w:rFonts w:asciiTheme="minorEastAsia" w:hAnsiTheme="minorEastAsia" w:cstheme="minorEastAsia" w:hint="eastAsia"/>
                <w:kern w:val="0"/>
                <w:szCs w:val="21"/>
              </w:rPr>
            </w:pPr>
            <w:bookmarkStart w:id="11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1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17" w:name="货物一览表_remark"/>
            <w:r>
              <w:rPr>
                <w:rFonts w:asciiTheme="minorEastAsia" w:eastAsiaTheme="minorEastAsia" w:hAnsiTheme="minorEastAsia" w:cstheme="minorEastAsia" w:hint="eastAsia"/>
                <w:kern w:val="0"/>
                <w:szCs w:val="21"/>
              </w:rPr>
              <w:t>备注</w:t>
            </w:r>
            <w:bookmarkEnd w:id="11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机动集成作业系统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17,800,000.00</w:t>
            </w:r>
          </w:p>
        </w:tc>
        <w:tc>
          <w:tcPr/>
          <w:p>
            <w:pPr>
              <w:autoSpaceDE w:val="0"/>
              <w:jc w:val="center"/>
              <w:rPr>
                <w:rFonts w:asciiTheme="minorEastAsia" w:hAnsiTheme="minorEastAsia" w:cstheme="minorEastAsia" w:hint="eastAsia"/>
                <w:kern w:val="0"/>
                <w:szCs w:val="21"/>
              </w:rPr>
            </w:pPr>
            <w:r>
              <w:t>240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9"/>
        <w:gridCol w:w="2944"/>
        <w:gridCol w:w="1369"/>
        <w:gridCol w:w="469"/>
        <w:gridCol w:w="1069"/>
        <w:gridCol w:w="966"/>
        <w:gridCol w:w="769"/>
        <w:gridCol w:w="4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1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青海省气象灾害防御技术中心(001057016)</w:t>
            </w:r>
          </w:p>
        </w:tc>
        <w:tc>
          <w:tcPr/>
          <w:p>
            <w:r>
              <w:t>机动集成作业系统</w:t>
            </w:r>
          </w:p>
        </w:tc>
        <w:tc>
          <w:tcPr/>
          <w:p>
            <w:r>
              <w:t>1</w:t>
            </w:r>
          </w:p>
        </w:tc>
        <w:tc>
          <w:tcPr/>
          <w:p>
            <w:r>
              <w:t>17800000.00</w:t>
            </w:r>
          </w:p>
        </w:tc>
        <w:tc>
          <w:tcPr/>
          <w:p>
            <w:r>
              <w:t xml:space="preserve">17800000.00  </w:t>
            </w:r>
          </w:p>
        </w:tc>
        <w:tc>
          <w:tcPr/>
          <w:p/>
        </w:tc>
        <w:tc>
          <w:tcPr/>
          <w:p/>
        </w:tc>
      </w:tr>
    </w:tbl>
    <w:p w:rsidR="00A77B3E"/>
    <w:p>
      <w:pPr>
        <w:spacing w:line="360" w:lineRule="auto"/>
        <w:rPr>
          <w:rFonts w:ascii="宋体" w:hAnsi="宋体"/>
          <w:szCs w:val="21"/>
        </w:rPr>
      </w:pPr>
      <w:bookmarkEnd w:id="11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51339">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119"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投标被拒绝条款专用部分</w:t>
      </w:r>
    </w:p>
    <w:p w:rsidR="00151339">
      <w:pPr>
        <w:adjustRightInd w:val="0"/>
        <w:snapToGrid w:val="0"/>
        <w:spacing w:before="156" w:beforeLines="50" w:line="360" w:lineRule="auto"/>
        <w:ind w:firstLine="420"/>
        <w:rPr>
          <w:rFonts w:ascii="宋体" w:eastAsia="宋体" w:hAnsi="宋体" w:cs="Times New Roman" w:hint="eastAsia"/>
          <w:szCs w:val="21"/>
        </w:rPr>
      </w:pPr>
      <w:r>
        <w:rPr>
          <w:rFonts w:ascii="宋体" w:eastAsia="宋体" w:hAnsi="宋体" w:cs="Times New Roman" w:hint="eastAsia"/>
          <w:szCs w:val="21"/>
        </w:rPr>
        <w:t>本项目投标被拒绝专用条款详见下表。除下表及</w:t>
      </w:r>
      <w:r>
        <w:rPr>
          <w:rFonts w:ascii="黑体" w:eastAsia="黑体" w:hAnsi="黑体" w:cs="Times New Roman" w:hint="eastAsia"/>
          <w:b/>
          <w:bCs/>
          <w:szCs w:val="21"/>
        </w:rPr>
        <w:t>第三章投标被拒绝条款通用部分</w:t>
      </w:r>
      <w:r>
        <w:rPr>
          <w:rFonts w:ascii="宋体" w:eastAsia="宋体" w:hAnsi="宋体" w:cs="Times New Roman"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W w:w="878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427"/>
        <w:gridCol w:w="6545"/>
      </w:tblGrid>
      <w:tr>
        <w:tblPrEx>
          <w:tblW w:w="878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817" w:type="dxa"/>
            <w:tcBorders>
              <w:top w:val="single" w:sz="4" w:space="0" w:color="auto"/>
              <w:left w:val="single" w:sz="4" w:space="0" w:color="auto"/>
              <w:bottom w:val="single" w:sz="4" w:space="0" w:color="auto"/>
              <w:right w:val="single" w:sz="4" w:space="0" w:color="auto"/>
            </w:tcBorders>
            <w:vAlign w:val="center"/>
          </w:tcPr>
          <w:p w:rsidR="00151339">
            <w:pPr>
              <w:jc w:val="center"/>
              <w:rPr>
                <w:rFonts w:ascii="Times New Roman" w:eastAsia="宋体" w:hAnsi="Times New Roman" w:cs="Times New Roman"/>
                <w:sz w:val="18"/>
                <w:szCs w:val="18"/>
              </w:rPr>
            </w:pPr>
            <w:r>
              <w:rPr>
                <w:rFonts w:ascii="宋体" w:eastAsia="宋体" w:hAnsi="宋体" w:cs="宋体" w:hint="eastAsia"/>
                <w:sz w:val="18"/>
                <w:szCs w:val="18"/>
                <w:lang w:bidi="ar"/>
              </w:rPr>
              <w:t>序号</w:t>
            </w:r>
          </w:p>
        </w:tc>
        <w:tc>
          <w:tcPr>
            <w:tcW w:w="1427" w:type="dxa"/>
            <w:tcBorders>
              <w:top w:val="single" w:sz="4" w:space="0" w:color="auto"/>
              <w:left w:val="single" w:sz="4" w:space="0" w:color="auto"/>
              <w:bottom w:val="single" w:sz="4" w:space="0" w:color="auto"/>
              <w:right w:val="single" w:sz="4" w:space="0" w:color="auto"/>
            </w:tcBorders>
            <w:vAlign w:val="center"/>
          </w:tcPr>
          <w:p w:rsidR="00151339">
            <w:pPr>
              <w:jc w:val="center"/>
              <w:rPr>
                <w:rFonts w:ascii="Times New Roman" w:eastAsia="宋体" w:hAnsi="Times New Roman" w:cs="Times New Roman"/>
                <w:sz w:val="18"/>
                <w:szCs w:val="18"/>
              </w:rPr>
            </w:pPr>
            <w:r>
              <w:rPr>
                <w:rFonts w:ascii="宋体" w:eastAsia="宋体" w:hAnsi="宋体" w:cs="宋体" w:hint="eastAsia"/>
                <w:sz w:val="18"/>
                <w:szCs w:val="18"/>
                <w:lang w:bidi="ar"/>
              </w:rPr>
              <w:t>对应</w:t>
            </w:r>
          </w:p>
          <w:p w:rsidR="00151339">
            <w:pPr>
              <w:jc w:val="center"/>
              <w:rPr>
                <w:rFonts w:ascii="Times New Roman" w:eastAsia="宋体" w:hAnsi="Times New Roman" w:cs="Times New Roman"/>
                <w:sz w:val="18"/>
                <w:szCs w:val="18"/>
              </w:rPr>
            </w:pPr>
            <w:r>
              <w:rPr>
                <w:rFonts w:ascii="宋体" w:eastAsia="宋体" w:hAnsi="宋体" w:cs="宋体" w:hint="eastAsia"/>
                <w:sz w:val="18"/>
                <w:szCs w:val="18"/>
                <w:lang w:bidi="ar"/>
              </w:rPr>
              <w:t>条款号</w:t>
            </w:r>
          </w:p>
        </w:tc>
        <w:tc>
          <w:tcPr>
            <w:tcW w:w="6545" w:type="dxa"/>
            <w:tcBorders>
              <w:top w:val="single" w:sz="4" w:space="0" w:color="auto"/>
              <w:left w:val="single" w:sz="4" w:space="0" w:color="auto"/>
              <w:bottom w:val="single" w:sz="4" w:space="0" w:color="auto"/>
              <w:right w:val="single" w:sz="4" w:space="0" w:color="auto"/>
            </w:tcBorders>
            <w:vAlign w:val="center"/>
          </w:tcPr>
          <w:p w:rsidR="00151339">
            <w:pPr>
              <w:jc w:val="center"/>
              <w:rPr>
                <w:rFonts w:ascii="Times New Roman" w:eastAsia="宋体" w:hAnsi="Times New Roman" w:cs="Times New Roman"/>
                <w:sz w:val="18"/>
                <w:szCs w:val="18"/>
              </w:rPr>
            </w:pPr>
            <w:r>
              <w:rPr>
                <w:rFonts w:ascii="宋体" w:eastAsia="宋体" w:hAnsi="宋体" w:cs="宋体" w:hint="eastAsia"/>
                <w:sz w:val="18"/>
                <w:szCs w:val="18"/>
                <w:lang w:bidi="ar"/>
              </w:rPr>
              <w:t>内</w:t>
            </w:r>
            <w:r>
              <w:rPr>
                <w:rFonts w:ascii="Times New Roman" w:eastAsia="宋体" w:hAnsi="Times New Roman" w:cs="Times New Roman" w:hint="eastAsia"/>
                <w:sz w:val="18"/>
                <w:szCs w:val="18"/>
                <w:lang w:bidi="ar"/>
              </w:rPr>
              <w:t xml:space="preserve"> </w:t>
            </w:r>
            <w:r>
              <w:rPr>
                <w:rFonts w:ascii="宋体" w:eastAsia="宋体" w:hAnsi="宋体" w:cs="宋体" w:hint="eastAsia"/>
                <w:sz w:val="18"/>
                <w:szCs w:val="18"/>
                <w:lang w:bidi="ar"/>
              </w:rPr>
              <w:t>容</w:t>
            </w:r>
          </w:p>
        </w:tc>
      </w:tr>
      <w:tr>
        <w:tblPrEx>
          <w:tblW w:w="8789" w:type="dxa"/>
          <w:tblInd w:w="135" w:type="dxa"/>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tcPr>
          <w:p w:rsidR="00151339">
            <w:pPr>
              <w:jc w:val="center"/>
              <w:rPr>
                <w:rFonts w:ascii="Times New Roman" w:eastAsia="宋体" w:hAnsi="Times New Roman" w:cs="Times New Roman"/>
                <w:b/>
                <w:sz w:val="18"/>
                <w:szCs w:val="18"/>
              </w:rPr>
            </w:pPr>
            <w:r>
              <w:rPr>
                <w:rFonts w:ascii="宋体" w:eastAsia="宋体" w:hAnsi="宋体" w:cs="宋体" w:hint="eastAsia"/>
                <w:b/>
                <w:sz w:val="18"/>
                <w:szCs w:val="18"/>
                <w:lang w:bidi="ar"/>
              </w:rPr>
              <w:t>第五章</w:t>
            </w:r>
            <w:r>
              <w:rPr>
                <w:rFonts w:ascii="Times New Roman" w:eastAsia="宋体" w:hAnsi="Times New Roman" w:cs="Times New Roman" w:hint="eastAsia"/>
                <w:b/>
                <w:sz w:val="18"/>
                <w:szCs w:val="18"/>
                <w:lang w:bidi="ar"/>
              </w:rPr>
              <w:t xml:space="preserve"> </w:t>
            </w:r>
            <w:r>
              <w:rPr>
                <w:rFonts w:ascii="宋体" w:eastAsia="宋体" w:hAnsi="宋体" w:cs="宋体" w:hint="eastAsia"/>
                <w:b/>
                <w:sz w:val="18"/>
                <w:szCs w:val="18"/>
                <w:lang w:bidi="ar"/>
              </w:rPr>
              <w:t>投标人须知专用部分</w:t>
            </w:r>
          </w:p>
        </w:tc>
      </w:tr>
      <w:tr>
        <w:tblPrEx>
          <w:tblW w:w="8789" w:type="dxa"/>
          <w:tblInd w:w="135" w:type="dxa"/>
          <w:tblLayout w:type="fixed"/>
          <w:tblLook w:val="04A0"/>
        </w:tblPrEx>
        <w:trPr>
          <w:cantSplit/>
          <w:trHeight w:val="404"/>
        </w:trPr>
        <w:tc>
          <w:tcPr>
            <w:tcW w:w="817" w:type="dxa"/>
            <w:tcBorders>
              <w:top w:val="single" w:sz="4" w:space="0" w:color="auto"/>
              <w:left w:val="single" w:sz="4" w:space="0" w:color="auto"/>
              <w:bottom w:val="single" w:sz="4" w:space="0" w:color="auto"/>
              <w:right w:val="single" w:sz="4" w:space="0" w:color="auto"/>
            </w:tcBorders>
            <w:vAlign w:val="center"/>
          </w:tcPr>
          <w:p w:rsidR="00151339">
            <w:pPr>
              <w:ind w:left="420" w:hanging="420"/>
              <w:jc w:val="center"/>
              <w:rPr>
                <w:rFonts w:ascii="宋体" w:eastAsia="宋体" w:hAnsi="宋体" w:cs="Times New Roman" w:hint="eastAsia"/>
                <w:b/>
                <w:sz w:val="18"/>
                <w:szCs w:val="18"/>
              </w:rPr>
            </w:pPr>
            <w:r>
              <w:rPr>
                <w:rFonts w:ascii="宋体" w:eastAsia="宋体" w:hAnsi="宋体" w:cs="Times New Roman" w:hint="eastAsia"/>
                <w:b/>
                <w:sz w:val="18"/>
                <w:szCs w:val="18"/>
              </w:rPr>
              <w:t>1</w:t>
            </w:r>
          </w:p>
        </w:tc>
        <w:tc>
          <w:tcPr>
            <w:tcW w:w="1427" w:type="dxa"/>
            <w:tcBorders>
              <w:top w:val="single" w:sz="4" w:space="0" w:color="auto"/>
              <w:left w:val="single" w:sz="4" w:space="0" w:color="auto"/>
              <w:bottom w:val="single" w:sz="4" w:space="0" w:color="auto"/>
              <w:right w:val="single" w:sz="4" w:space="0" w:color="auto"/>
            </w:tcBorders>
            <w:vAlign w:val="center"/>
          </w:tcPr>
          <w:p w:rsidR="00151339">
            <w:pPr>
              <w:jc w:val="center"/>
              <w:rPr>
                <w:rFonts w:ascii="宋体" w:eastAsia="宋体" w:hAnsi="宋体" w:cs="Times New Roman" w:hint="eastAsia"/>
                <w:bCs/>
                <w:sz w:val="18"/>
                <w:szCs w:val="18"/>
              </w:rPr>
            </w:pPr>
            <w:r>
              <w:rPr>
                <w:rFonts w:ascii="宋体" w:eastAsia="宋体" w:hAnsi="宋体" w:cs="Times New Roman" w:hint="eastAsia"/>
                <w:bCs/>
                <w:sz w:val="18"/>
                <w:szCs w:val="18"/>
              </w:rPr>
              <w:t>5.7</w:t>
            </w:r>
          </w:p>
        </w:tc>
        <w:tc>
          <w:tcPr>
            <w:tcW w:w="6545" w:type="dxa"/>
            <w:tcBorders>
              <w:top w:val="single" w:sz="4" w:space="0" w:color="auto"/>
              <w:left w:val="single" w:sz="4" w:space="0" w:color="auto"/>
              <w:bottom w:val="single" w:sz="4" w:space="0" w:color="auto"/>
              <w:right w:val="single" w:sz="4" w:space="0" w:color="auto"/>
            </w:tcBorders>
          </w:tcPr>
          <w:p w:rsidR="00151339">
            <w:pPr>
              <w:rPr>
                <w:rFonts w:ascii="宋体" w:eastAsia="宋体" w:hAnsi="宋体" w:cs="宋体" w:hint="eastAsia"/>
                <w:bCs/>
                <w:kern w:val="0"/>
                <w:szCs w:val="21"/>
                <w:lang w:bidi="ar"/>
              </w:rPr>
            </w:pPr>
            <w:r>
              <w:rPr>
                <w:rFonts w:ascii="宋体" w:eastAsia="宋体" w:hAnsi="宋体" w:cs="宋体" w:hint="eastAsia"/>
                <w:bCs/>
                <w:kern w:val="0"/>
                <w:szCs w:val="21"/>
                <w:lang w:bidi="ar"/>
              </w:rPr>
              <w:t>以下产品需要提供至投标截止日仍有效的《气象专用技术装备使用许可证》：</w:t>
            </w:r>
          </w:p>
          <w:p w:rsidR="00151339">
            <w:pPr>
              <w:rPr>
                <w:rFonts w:ascii="宋体" w:eastAsia="宋体" w:hAnsi="宋体" w:cs="宋体" w:hint="eastAsia"/>
                <w:bCs/>
                <w:kern w:val="0"/>
                <w:szCs w:val="21"/>
                <w:lang w:bidi="ar"/>
              </w:rPr>
            </w:pPr>
            <w:r>
              <w:rPr>
                <w:rFonts w:ascii="宋体" w:eastAsia="宋体" w:hAnsi="宋体" w:cs="宋体" w:hint="eastAsia"/>
                <w:bCs/>
                <w:kern w:val="0"/>
                <w:szCs w:val="21"/>
                <w:lang w:bidi="ar"/>
              </w:rPr>
              <w:t>1、激光云高仪，</w:t>
            </w:r>
          </w:p>
          <w:p w:rsidR="00151339">
            <w:pPr>
              <w:rPr>
                <w:rFonts w:ascii="宋体" w:eastAsia="宋体" w:hAnsi="宋体" w:cs="宋体" w:hint="eastAsia"/>
                <w:bCs/>
                <w:kern w:val="0"/>
                <w:szCs w:val="21"/>
                <w:lang w:bidi="ar"/>
              </w:rPr>
            </w:pPr>
            <w:r>
              <w:rPr>
                <w:rFonts w:ascii="宋体" w:eastAsia="宋体" w:hAnsi="宋体" w:cs="宋体" w:hint="eastAsia"/>
                <w:bCs/>
                <w:kern w:val="0"/>
                <w:szCs w:val="21"/>
                <w:lang w:bidi="ar"/>
              </w:rPr>
              <w:t>2、</w:t>
            </w:r>
            <w:r w:rsidRPr="00C90489" w:rsidR="00C90489">
              <w:rPr>
                <w:rFonts w:ascii="宋体" w:eastAsia="宋体" w:hAnsi="宋体" w:cs="宋体" w:hint="eastAsia"/>
                <w:bCs/>
                <w:kern w:val="0"/>
                <w:szCs w:val="21"/>
                <w:lang w:bidi="ar"/>
              </w:rPr>
              <w:t>全固态Ka波段双偏振云雷达</w:t>
            </w:r>
          </w:p>
          <w:p w:rsidR="00151339">
            <w:pPr>
              <w:rPr>
                <w:rFonts w:ascii="宋体" w:eastAsia="宋体" w:hAnsi="宋体" w:cs="Times New Roman" w:hint="eastAsia"/>
                <w:b/>
                <w:bCs/>
                <w:sz w:val="18"/>
                <w:szCs w:val="18"/>
              </w:rPr>
            </w:pPr>
            <w:r>
              <w:rPr>
                <w:rFonts w:ascii="宋体" w:eastAsia="宋体" w:hAnsi="宋体" w:cs="宋体" w:hint="eastAsia"/>
                <w:bCs/>
                <w:kern w:val="0"/>
                <w:szCs w:val="21"/>
                <w:lang w:bidi="ar"/>
              </w:rPr>
              <w:t>3、自动气象站具有中国气象局颁发的有效期内的自动气象站《气象专用技术装备使用许可证》或经中国气象局综合观测司批准设计定型的设备（非便携式自动气象站、海滨自动气象站）</w:t>
            </w:r>
          </w:p>
        </w:tc>
      </w:tr>
      <w:tr>
        <w:tblPrEx>
          <w:tblW w:w="8789" w:type="dxa"/>
          <w:tblInd w:w="135" w:type="dxa"/>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tcPr>
          <w:p w:rsidR="00151339">
            <w:pPr>
              <w:jc w:val="center"/>
              <w:rPr>
                <w:rFonts w:ascii="Times New Roman" w:eastAsia="宋体" w:hAnsi="Times New Roman" w:cs="Times New Roman"/>
                <w:sz w:val="18"/>
                <w:szCs w:val="18"/>
              </w:rPr>
            </w:pPr>
            <w:r>
              <w:rPr>
                <w:rFonts w:ascii="宋体" w:eastAsia="宋体" w:hAnsi="宋体" w:cs="宋体" w:hint="eastAsia"/>
                <w:b/>
                <w:sz w:val="18"/>
                <w:szCs w:val="18"/>
                <w:lang w:bidi="ar"/>
              </w:rPr>
              <w:t>第七章</w:t>
            </w:r>
            <w:r>
              <w:rPr>
                <w:rFonts w:ascii="Times New Roman" w:eastAsia="宋体" w:hAnsi="Times New Roman" w:cs="Times New Roman" w:hint="eastAsia"/>
                <w:b/>
                <w:sz w:val="18"/>
                <w:szCs w:val="18"/>
                <w:lang w:bidi="ar"/>
              </w:rPr>
              <w:t xml:space="preserve"> </w:t>
            </w:r>
            <w:r>
              <w:rPr>
                <w:rFonts w:ascii="Times New Roman" w:eastAsia="宋体" w:hAnsi="Times New Roman" w:cs="Times New Roman"/>
                <w:b/>
                <w:sz w:val="18"/>
                <w:szCs w:val="18"/>
                <w:lang w:bidi="ar"/>
              </w:rPr>
              <w:t xml:space="preserve"> </w:t>
            </w:r>
            <w:r>
              <w:rPr>
                <w:rFonts w:ascii="宋体" w:eastAsia="宋体" w:hAnsi="宋体" w:cs="宋体" w:hint="eastAsia"/>
                <w:b/>
                <w:sz w:val="18"/>
                <w:szCs w:val="18"/>
                <w:lang w:bidi="ar"/>
              </w:rPr>
              <w:t>采购需求</w:t>
            </w:r>
          </w:p>
        </w:tc>
      </w:tr>
      <w:tr>
        <w:tblPrEx>
          <w:tblW w:w="8789" w:type="dxa"/>
          <w:tblInd w:w="135" w:type="dxa"/>
          <w:tblLayout w:type="fixed"/>
          <w:tblLook w:val="04A0"/>
        </w:tblPrEx>
        <w:trPr>
          <w:cantSplit/>
        </w:trPr>
        <w:tc>
          <w:tcPr>
            <w:tcW w:w="817" w:type="dxa"/>
            <w:tcBorders>
              <w:top w:val="single" w:sz="4" w:space="0" w:color="auto"/>
              <w:left w:val="single" w:sz="4" w:space="0" w:color="auto"/>
              <w:bottom w:val="single" w:sz="4" w:space="0" w:color="auto"/>
              <w:right w:val="single" w:sz="4" w:space="0" w:color="auto"/>
            </w:tcBorders>
            <w:vAlign w:val="center"/>
          </w:tcPr>
          <w:p w:rsidR="00151339">
            <w:pPr>
              <w:ind w:left="420" w:hanging="420"/>
              <w:jc w:val="center"/>
              <w:rPr>
                <w:rFonts w:ascii="宋体" w:eastAsia="宋体" w:hAnsi="宋体" w:cs="Times New Roman" w:hint="eastAsia"/>
                <w:sz w:val="18"/>
                <w:szCs w:val="18"/>
              </w:rPr>
            </w:pPr>
            <w:r>
              <w:rPr>
                <w:rFonts w:ascii="Times New Roman" w:eastAsia="宋体" w:hAnsi="Times New Roman" w:cs="Times New Roman" w:hint="eastAsia"/>
                <w:b/>
                <w:sz w:val="18"/>
                <w:szCs w:val="18"/>
              </w:rPr>
              <w:t>1.</w:t>
            </w:r>
          </w:p>
        </w:tc>
        <w:tc>
          <w:tcPr>
            <w:tcW w:w="1427" w:type="dxa"/>
            <w:tcBorders>
              <w:top w:val="single" w:sz="4" w:space="0" w:color="auto"/>
              <w:left w:val="single" w:sz="4" w:space="0" w:color="auto"/>
              <w:bottom w:val="single" w:sz="4" w:space="0" w:color="auto"/>
              <w:right w:val="single" w:sz="4" w:space="0" w:color="auto"/>
            </w:tcBorders>
            <w:vAlign w:val="center"/>
          </w:tcPr>
          <w:p w:rsidR="00151339">
            <w:pPr>
              <w:spacing w:line="300" w:lineRule="exact"/>
              <w:jc w:val="center"/>
              <w:rPr>
                <w:rFonts w:ascii="宋体" w:eastAsia="宋体" w:hAnsi="宋体" w:cs="Times New Roman" w:hint="eastAsia"/>
                <w:b/>
                <w:sz w:val="18"/>
                <w:szCs w:val="18"/>
              </w:rPr>
            </w:pPr>
            <w:r>
              <w:rPr>
                <w:rFonts w:ascii="宋体" w:eastAsia="宋体" w:hAnsi="宋体" w:cs="Times New Roman" w:hint="eastAsia"/>
                <w:bCs/>
                <w:sz w:val="18"/>
                <w:szCs w:val="18"/>
              </w:rPr>
              <w:t>3.1.10售后服务</w:t>
            </w:r>
          </w:p>
        </w:tc>
        <w:tc>
          <w:tcPr>
            <w:tcW w:w="6545" w:type="dxa"/>
            <w:tcBorders>
              <w:top w:val="single" w:sz="4" w:space="0" w:color="auto"/>
              <w:left w:val="single" w:sz="4" w:space="0" w:color="auto"/>
              <w:bottom w:val="single" w:sz="4" w:space="0" w:color="auto"/>
              <w:right w:val="single" w:sz="4" w:space="0" w:color="auto"/>
            </w:tcBorders>
          </w:tcPr>
          <w:p w:rsidR="00151339">
            <w:pPr>
              <w:spacing w:line="300" w:lineRule="exact"/>
              <w:rPr>
                <w:rFonts w:ascii="宋体" w:eastAsia="宋体" w:hAnsi="宋体" w:cs="Times New Roman" w:hint="eastAsia"/>
                <w:bCs/>
                <w:sz w:val="18"/>
                <w:szCs w:val="18"/>
              </w:rPr>
            </w:pPr>
            <w:r>
              <w:rPr>
                <w:rFonts w:ascii="宋体" w:eastAsia="宋体" w:hAnsi="宋体" w:cs="宋体" w:hint="eastAsia"/>
                <w:bCs/>
                <w:kern w:val="0"/>
                <w:szCs w:val="21"/>
                <w:lang w:bidi="ar"/>
              </w:rPr>
              <w:t>质保期：自验收合格之日起至少8年，期间因非人为因素导致的任何故障、缺陷，乙方应免费维修、更换零部件，并承担全部费用（含人工、备件、差旅、流量等）。并提供上述质保期承诺函。</w:t>
            </w:r>
          </w:p>
        </w:tc>
      </w:tr>
      <w:tr>
        <w:tblPrEx>
          <w:tblW w:w="8789" w:type="dxa"/>
          <w:tblInd w:w="135" w:type="dxa"/>
          <w:tblLayout w:type="fixed"/>
          <w:tblLook w:val="04A0"/>
        </w:tblPrEx>
        <w:trPr>
          <w:cantSplit/>
        </w:trPr>
        <w:tc>
          <w:tcPr>
            <w:tcW w:w="817" w:type="dxa"/>
            <w:tcBorders>
              <w:top w:val="single" w:sz="4" w:space="0" w:color="auto"/>
              <w:left w:val="single" w:sz="4" w:space="0" w:color="auto"/>
              <w:bottom w:val="single" w:sz="4" w:space="0" w:color="auto"/>
              <w:right w:val="single" w:sz="4" w:space="0" w:color="auto"/>
            </w:tcBorders>
            <w:vAlign w:val="center"/>
          </w:tcPr>
          <w:p w:rsidR="00151339">
            <w:pPr>
              <w:ind w:left="420" w:hanging="420"/>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2.</w:t>
            </w:r>
          </w:p>
        </w:tc>
        <w:tc>
          <w:tcPr>
            <w:tcW w:w="1427" w:type="dxa"/>
            <w:tcBorders>
              <w:top w:val="single" w:sz="4" w:space="0" w:color="auto"/>
              <w:left w:val="single" w:sz="4" w:space="0" w:color="auto"/>
              <w:bottom w:val="single" w:sz="4" w:space="0" w:color="auto"/>
              <w:right w:val="single" w:sz="4" w:space="0" w:color="auto"/>
            </w:tcBorders>
            <w:vAlign w:val="center"/>
          </w:tcPr>
          <w:p w:rsidR="00151339">
            <w:pPr>
              <w:spacing w:line="300" w:lineRule="exact"/>
              <w:jc w:val="center"/>
              <w:rPr>
                <w:rFonts w:ascii="宋体" w:eastAsia="宋体" w:hAnsi="宋体" w:cs="Times New Roman" w:hint="eastAsia"/>
                <w:bCs/>
                <w:sz w:val="18"/>
                <w:szCs w:val="18"/>
              </w:rPr>
            </w:pPr>
            <w:r>
              <w:rPr>
                <w:rFonts w:ascii="宋体" w:eastAsia="宋体" w:hAnsi="宋体" w:cs="Times New Roman" w:hint="eastAsia"/>
                <w:bCs/>
                <w:sz w:val="18"/>
                <w:szCs w:val="18"/>
              </w:rPr>
              <w:t>3.1.8售后服务</w:t>
            </w:r>
          </w:p>
        </w:tc>
        <w:tc>
          <w:tcPr>
            <w:tcW w:w="6545" w:type="dxa"/>
            <w:tcBorders>
              <w:top w:val="single" w:sz="4" w:space="0" w:color="auto"/>
              <w:left w:val="single" w:sz="4" w:space="0" w:color="auto"/>
              <w:bottom w:val="single" w:sz="4" w:space="0" w:color="auto"/>
              <w:right w:val="single" w:sz="4" w:space="0" w:color="auto"/>
            </w:tcBorders>
          </w:tcPr>
          <w:p w:rsidR="00151339">
            <w:pPr>
              <w:spacing w:line="300" w:lineRule="exact"/>
              <w:rPr>
                <w:rFonts w:ascii="宋体" w:eastAsia="宋体" w:hAnsi="宋体" w:cs="宋体" w:hint="eastAsia"/>
                <w:bCs/>
                <w:kern w:val="0"/>
                <w:szCs w:val="21"/>
                <w:lang w:bidi="ar"/>
              </w:rPr>
            </w:pPr>
            <w:r>
              <w:rPr>
                <w:rFonts w:ascii="宋体" w:eastAsia="宋体" w:hAnsi="宋体" w:cs="宋体" w:hint="eastAsia"/>
                <w:bCs/>
                <w:kern w:val="0"/>
                <w:szCs w:val="21"/>
                <w:lang w:bidi="ar"/>
              </w:rPr>
              <w:t>提供相关设施所需 4G/5G 流量卡（含 8 年流量费），卫星通讯费（8年）并提供承诺函</w:t>
            </w:r>
          </w:p>
        </w:tc>
      </w:tr>
      <w:tr>
        <w:tblPrEx>
          <w:tblW w:w="8789" w:type="dxa"/>
          <w:tblInd w:w="135" w:type="dxa"/>
          <w:tblLayout w:type="fixed"/>
          <w:tblLook w:val="04A0"/>
        </w:tblPrEx>
        <w:trPr>
          <w:cantSplit/>
        </w:trPr>
        <w:tc>
          <w:tcPr>
            <w:tcW w:w="817" w:type="dxa"/>
            <w:tcBorders>
              <w:top w:val="single" w:sz="4" w:space="0" w:color="auto"/>
              <w:left w:val="single" w:sz="4" w:space="0" w:color="auto"/>
              <w:bottom w:val="single" w:sz="4" w:space="0" w:color="auto"/>
              <w:right w:val="single" w:sz="4" w:space="0" w:color="auto"/>
            </w:tcBorders>
            <w:vAlign w:val="center"/>
          </w:tcPr>
          <w:p w:rsidR="00151339">
            <w:pPr>
              <w:ind w:left="420" w:hanging="420"/>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3.</w:t>
            </w:r>
          </w:p>
        </w:tc>
        <w:tc>
          <w:tcPr>
            <w:tcW w:w="1427" w:type="dxa"/>
            <w:tcBorders>
              <w:top w:val="single" w:sz="4" w:space="0" w:color="auto"/>
              <w:left w:val="single" w:sz="4" w:space="0" w:color="auto"/>
              <w:bottom w:val="single" w:sz="4" w:space="0" w:color="auto"/>
              <w:right w:val="single" w:sz="4" w:space="0" w:color="auto"/>
            </w:tcBorders>
            <w:vAlign w:val="center"/>
          </w:tcPr>
          <w:p w:rsidR="00151339">
            <w:pPr>
              <w:spacing w:line="300" w:lineRule="exact"/>
              <w:jc w:val="center"/>
              <w:rPr>
                <w:rFonts w:ascii="宋体" w:eastAsia="宋体" w:hAnsi="宋体" w:cs="Times New Roman" w:hint="eastAsia"/>
                <w:bCs/>
                <w:sz w:val="18"/>
                <w:szCs w:val="18"/>
              </w:rPr>
            </w:pPr>
            <w:r>
              <w:rPr>
                <w:rFonts w:ascii="宋体" w:eastAsia="宋体" w:hAnsi="宋体" w:cs="Times New Roman" w:hint="eastAsia"/>
                <w:bCs/>
                <w:sz w:val="18"/>
                <w:szCs w:val="18"/>
              </w:rPr>
              <w:t>3.1.9售后服务</w:t>
            </w:r>
          </w:p>
        </w:tc>
        <w:tc>
          <w:tcPr>
            <w:tcW w:w="6545" w:type="dxa"/>
            <w:tcBorders>
              <w:top w:val="single" w:sz="4" w:space="0" w:color="auto"/>
              <w:left w:val="single" w:sz="4" w:space="0" w:color="auto"/>
              <w:bottom w:val="single" w:sz="4" w:space="0" w:color="auto"/>
              <w:right w:val="single" w:sz="4" w:space="0" w:color="auto"/>
            </w:tcBorders>
          </w:tcPr>
          <w:p w:rsidR="00151339">
            <w:pPr>
              <w:spacing w:line="300" w:lineRule="exact"/>
              <w:rPr>
                <w:rFonts w:ascii="宋体" w:eastAsia="宋体" w:hAnsi="宋体" w:cs="宋体" w:hint="eastAsia"/>
                <w:bCs/>
                <w:kern w:val="0"/>
                <w:szCs w:val="21"/>
                <w:lang w:bidi="ar"/>
              </w:rPr>
            </w:pPr>
            <w:r>
              <w:rPr>
                <w:rFonts w:ascii="宋体" w:eastAsia="宋体" w:hAnsi="宋体" w:cs="宋体" w:hint="eastAsia"/>
                <w:bCs/>
                <w:kern w:val="0"/>
                <w:szCs w:val="21"/>
                <w:lang w:bidi="ar"/>
              </w:rPr>
              <w:t>提供8年北斗服务费并提供承诺函</w:t>
            </w:r>
          </w:p>
        </w:tc>
      </w:tr>
      <w:tr>
        <w:tblPrEx>
          <w:tblW w:w="8789" w:type="dxa"/>
          <w:tblInd w:w="135" w:type="dxa"/>
          <w:tblLayout w:type="fixed"/>
          <w:tblLook w:val="04A0"/>
        </w:tblPrEx>
        <w:trPr>
          <w:cantSplit/>
        </w:trPr>
        <w:tc>
          <w:tcPr>
            <w:tcW w:w="817" w:type="dxa"/>
            <w:tcBorders>
              <w:top w:val="single" w:sz="4" w:space="0" w:color="auto"/>
              <w:left w:val="single" w:sz="4" w:space="0" w:color="auto"/>
              <w:bottom w:val="single" w:sz="4" w:space="0" w:color="auto"/>
              <w:right w:val="single" w:sz="4" w:space="0" w:color="auto"/>
            </w:tcBorders>
            <w:vAlign w:val="center"/>
          </w:tcPr>
          <w:p w:rsidR="00151339">
            <w:pPr>
              <w:ind w:left="420" w:hanging="420"/>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4</w:t>
            </w:r>
          </w:p>
        </w:tc>
        <w:tc>
          <w:tcPr>
            <w:tcW w:w="1427" w:type="dxa"/>
            <w:tcBorders>
              <w:top w:val="single" w:sz="4" w:space="0" w:color="auto"/>
              <w:left w:val="single" w:sz="4" w:space="0" w:color="auto"/>
              <w:bottom w:val="single" w:sz="4" w:space="0" w:color="auto"/>
              <w:right w:val="single" w:sz="4" w:space="0" w:color="auto"/>
            </w:tcBorders>
            <w:vAlign w:val="center"/>
          </w:tcPr>
          <w:p w:rsidR="00151339">
            <w:pPr>
              <w:spacing w:line="300" w:lineRule="exact"/>
              <w:jc w:val="center"/>
              <w:rPr>
                <w:rFonts w:ascii="宋体" w:eastAsia="宋体" w:hAnsi="宋体" w:cs="Times New Roman" w:hint="eastAsia"/>
                <w:bCs/>
                <w:sz w:val="18"/>
                <w:szCs w:val="18"/>
              </w:rPr>
            </w:pPr>
            <w:r>
              <w:rPr>
                <w:rFonts w:ascii="宋体" w:eastAsia="宋体" w:hAnsi="宋体" w:cs="Times New Roman" w:hint="eastAsia"/>
                <w:bCs/>
                <w:sz w:val="18"/>
                <w:szCs w:val="18"/>
              </w:rPr>
              <w:t>3.1.2售后服务</w:t>
            </w:r>
          </w:p>
        </w:tc>
        <w:tc>
          <w:tcPr>
            <w:tcW w:w="6545" w:type="dxa"/>
            <w:tcBorders>
              <w:top w:val="single" w:sz="4" w:space="0" w:color="auto"/>
              <w:left w:val="single" w:sz="4" w:space="0" w:color="auto"/>
              <w:bottom w:val="single" w:sz="4" w:space="0" w:color="auto"/>
              <w:right w:val="single" w:sz="4" w:space="0" w:color="auto"/>
            </w:tcBorders>
          </w:tcPr>
          <w:p w:rsidR="00151339">
            <w:pPr>
              <w:spacing w:line="300" w:lineRule="exact"/>
              <w:rPr>
                <w:rFonts w:ascii="宋体" w:eastAsia="宋体" w:hAnsi="宋体" w:cs="宋体" w:hint="eastAsia"/>
                <w:bCs/>
                <w:kern w:val="0"/>
                <w:szCs w:val="21"/>
                <w:lang w:bidi="ar"/>
              </w:rPr>
            </w:pPr>
            <w:r>
              <w:rPr>
                <w:rFonts w:ascii="宋体" w:eastAsia="宋体" w:hAnsi="宋体" w:cs="宋体" w:hint="eastAsia"/>
                <w:bCs/>
                <w:kern w:val="0"/>
                <w:szCs w:val="21"/>
                <w:lang w:bidi="ar"/>
              </w:rPr>
              <w:t>在质保期内，设备供应商服务时间应为7×24小时，当投标产品或软件遭到损坏或出现故障时，接到报修后2小时内响应，24小时内到达现场，48小时内修复；48小时内无法修复的，提供不低于原规格的备用设备。</w:t>
            </w:r>
          </w:p>
        </w:tc>
      </w:tr>
    </w:tbl>
    <w:p w:rsidR="00151339">
      <w:pPr>
        <w:spacing w:before="156" w:beforeLines="50" w:line="360" w:lineRule="auto"/>
        <w:ind w:firstLine="420"/>
        <w:rPr>
          <w:rFonts w:ascii="宋体" w:eastAsia="宋体" w:hAnsi="宋体" w:cs="Times New Roman" w:hint="eastAsia"/>
          <w:szCs w:val="21"/>
        </w:rPr>
      </w:pPr>
    </w:p>
    <w:p w:rsidR="00151339">
      <w:pPr>
        <w:spacing w:before="156" w:beforeLines="50" w:line="360" w:lineRule="auto"/>
        <w:ind w:firstLine="420"/>
        <w:rPr>
          <w:rFonts w:ascii="Times New Roman" w:eastAsia="宋体" w:hAnsi="Times New Roman" w:cs="Times New Roman"/>
          <w:szCs w:val="20"/>
        </w:rPr>
      </w:pPr>
      <w:r>
        <w:rPr>
          <w:rFonts w:ascii="宋体" w:eastAsia="宋体" w:hAnsi="宋体" w:cs="Times New Roman" w:hint="eastAsia"/>
          <w:szCs w:val="21"/>
        </w:rPr>
        <w:t>注：根据项目具体情况，对投标人有具体要求，且投标人必须遵守的，逐条列出。</w:t>
      </w:r>
    </w:p>
    <w:p w:rsidR="00151339"/>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11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jc w:val="center"/>
        <w:outlineLvl w:val="0"/>
        <w:rPr>
          <w:rFonts w:ascii="Times New Roman" w:eastAsia="宋体" w:hAnsi="Times New Roman" w:cs="Times New Roman"/>
          <w:b/>
          <w:sz w:val="48"/>
          <w:szCs w:val="36"/>
        </w:rPr>
      </w:pPr>
      <w:bookmarkStart w:id="120" w:name="采购公告合同部分_ZBGGHT"/>
      <w:r>
        <w:rPr>
          <w:rFonts w:ascii="Times New Roman" w:eastAsia="宋体" w:hAnsi="Times New Roman" w:cs="Times New Roman" w:hint="eastAsia"/>
          <w:b/>
          <w:sz w:val="48"/>
          <w:szCs w:val="36"/>
        </w:rPr>
        <w:t>第三分册：采购合同</w:t>
      </w:r>
    </w:p>
    <w:p>
      <w:pPr>
        <w:numPr>
          <w:ilvl w:val="0"/>
          <w:numId w:val="62"/>
        </w:numPr>
        <w:spacing w:line="360" w:lineRule="auto"/>
        <w:ind w:firstLine="3066" w:firstLineChars="1460"/>
        <w:jc w:val="left"/>
        <w:rPr>
          <w:rFonts w:ascii="Times New Roman" w:eastAsia="宋体" w:hAnsi="Times New Roman" w:cs="Times New Roman" w:hint="eastAsia"/>
          <w:b/>
          <w:bCs/>
          <w:szCs w:val="21"/>
          <w:highlight w:val="none"/>
        </w:rPr>
      </w:pPr>
      <w:bookmarkStart w:id="121" w:name="采购公告合同部分_ZBGGHT_0"/>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ascii="Times New Roman" w:eastAsia="宋体" w:hAnsi="Times New Roman" w:cs="Times New Roman" w:hint="eastAsia"/>
          <w:b/>
          <w:bCs/>
          <w:szCs w:val="21"/>
          <w:highlight w:val="none"/>
        </w:rPr>
        <w:t>必须明确合同金额支付条件及支付比例</w:t>
      </w:r>
    </w:p>
    <w:p>
      <w:pPr>
        <w:numPr>
          <w:ilvl w:val="0"/>
          <w:numId w:val="0"/>
        </w:numPr>
        <w:spacing w:line="360" w:lineRule="auto"/>
        <w:jc w:val="center"/>
        <w:rPr>
          <w:rFonts w:ascii="Times New Roman" w:eastAsia="宋体" w:hAnsi="Times New Roman" w:cs="Times New Roman" w:hint="eastAsia"/>
          <w:b/>
          <w:bCs/>
          <w:szCs w:val="21"/>
          <w:highlight w:val="yellow"/>
        </w:rPr>
      </w:pPr>
      <w:r>
        <w:rPr>
          <w:rFonts w:ascii="Times New Roman" w:eastAsia="宋体" w:hAnsi="Times New Roman" w:cs="Times New Roman" w:hint="eastAsia"/>
          <w:b/>
          <w:bCs/>
          <w:szCs w:val="21"/>
          <w:highlight w:val="yellow"/>
          <w:lang w:eastAsia="zh-CN"/>
        </w:rPr>
        <w:t>（本合同模板仅供参考，最终合同文本以双方签订为准）</w:t>
      </w:r>
    </w:p>
    <w:bookmarkEnd w:id="121"/>
    <w:p>
      <w:pPr>
        <w:spacing w:line="360" w:lineRule="auto"/>
        <w:ind w:right="-693" w:rightChars="-330"/>
        <w:rPr>
          <w:rFonts w:ascii="宋体" w:eastAsia="宋体" w:hAnsi="宋体" w:cs="Times New Roman" w:hint="eastAsia"/>
          <w:b/>
          <w:bCs/>
          <w:szCs w:val="20"/>
        </w:rPr>
      </w:pPr>
      <w:r>
        <w:rPr>
          <w:rFonts w:ascii="宋体" w:eastAsia="宋体" w:hAnsi="宋体" w:cs="Times New Roman" w:hint="eastAsia"/>
          <w:b/>
          <w:bCs/>
          <w:sz w:val="24"/>
          <w:szCs w:val="24"/>
        </w:rPr>
        <w:t>合同编号：</w:t>
      </w:r>
    </w:p>
    <w:p>
      <w:pPr>
        <w:spacing w:line="360" w:lineRule="auto"/>
        <w:ind w:right="-693" w:rightChars="-330"/>
        <w:rPr>
          <w:rFonts w:ascii="宋体" w:eastAsia="宋体" w:hAnsi="宋体" w:cs="Times New Roman" w:hint="eastAsia"/>
          <w:b/>
          <w:bCs/>
          <w:szCs w:val="20"/>
        </w:rPr>
      </w:pPr>
    </w:p>
    <w:p>
      <w:pPr>
        <w:spacing w:line="360" w:lineRule="auto"/>
        <w:ind w:right="-693" w:rightChars="-330"/>
        <w:rPr>
          <w:rFonts w:ascii="楷体_GB2312" w:eastAsia="楷体_GB2312" w:hAnsi="楷体_GB2312" w:cs="楷体_GB2312" w:hint="default"/>
          <w:sz w:val="28"/>
          <w:szCs w:val="20"/>
        </w:rPr>
      </w:pPr>
      <w:r>
        <w:rPr>
          <w:rFonts w:ascii="楷体_GB2312" w:eastAsia="楷体_GB2312" w:hAnsi="楷体_GB2312" w:cs="楷体_GB2312" w:hint="eastAsia"/>
          <w:sz w:val="28"/>
          <w:szCs w:val="20"/>
          <w:lang w:val="en-US" w:eastAsia="zh-CN"/>
        </w:rPr>
        <w:t>青海省人工影响天气水资源保障工程</w:t>
      </w:r>
    </w:p>
    <w:p>
      <w:pPr>
        <w:spacing w:line="360" w:lineRule="auto"/>
        <w:ind w:right="-693" w:rightChars="-330"/>
        <w:rPr>
          <w:rFonts w:ascii="宋体" w:eastAsia="宋体" w:hAnsi="宋体" w:cs="Times New Roman" w:hint="eastAsia"/>
          <w:b/>
          <w:bCs/>
          <w:szCs w:val="20"/>
        </w:rPr>
      </w:pPr>
    </w:p>
    <w:p>
      <w:pPr>
        <w:spacing w:line="360" w:lineRule="auto"/>
        <w:ind w:right="-693" w:rightChars="-330"/>
        <w:rPr>
          <w:rFonts w:ascii="宋体" w:eastAsia="宋体" w:hAnsi="宋体" w:cs="Times New Roman"/>
          <w:sz w:val="28"/>
          <w:szCs w:val="20"/>
        </w:rPr>
      </w:pPr>
    </w:p>
    <w:p>
      <w:pPr>
        <w:widowControl/>
        <w:spacing w:line="360" w:lineRule="auto"/>
        <w:ind w:right="-693" w:rightChars="-330"/>
        <w:jc w:val="center"/>
        <w:rPr>
          <w:rFonts w:ascii="Times New Roman" w:eastAsia="宋体" w:hAnsi="Times New Roman" w:cs="Times New Roman" w:hint="eastAsia"/>
          <w:b/>
          <w:bCs/>
          <w:color w:val="000000"/>
          <w:sz w:val="36"/>
          <w:szCs w:val="36"/>
          <w:lang w:bidi="ar"/>
        </w:rPr>
      </w:pPr>
    </w:p>
    <w:p>
      <w:pPr>
        <w:widowControl w:val="0"/>
        <w:spacing w:after="120" w:line="360" w:lineRule="auto"/>
        <w:ind w:left="0" w:firstLine="0" w:leftChars="0"/>
        <w:jc w:val="both"/>
        <w:rPr>
          <w:rFonts w:ascii="Times New Roman" w:eastAsia="宋体" w:hAnsi="Times New Roman" w:cs="Times New Roman"/>
          <w:szCs w:val="20"/>
        </w:rPr>
      </w:pPr>
    </w:p>
    <w:p>
      <w:pPr>
        <w:spacing w:line="360" w:lineRule="auto"/>
        <w:ind w:right="0" w:rightChars="0"/>
        <w:jc w:val="center"/>
        <w:rPr>
          <w:rFonts w:ascii="方正小标宋简体" w:eastAsia="方正小标宋简体" w:hAnsi="方正小标宋简体" w:cs="方正小标宋简体" w:hint="eastAsia"/>
          <w:b/>
          <w:sz w:val="48"/>
          <w:szCs w:val="48"/>
        </w:rPr>
      </w:pPr>
      <w:r>
        <w:rPr>
          <w:rFonts w:ascii="方正小标宋简体" w:eastAsia="方正小标宋简体" w:hAnsi="方正小标宋简体" w:cs="方正小标宋简体" w:hint="eastAsia"/>
          <w:b/>
          <w:sz w:val="48"/>
          <w:szCs w:val="48"/>
        </w:rPr>
        <w:t>采购合同书</w:t>
      </w:r>
    </w:p>
    <w:p>
      <w:pPr>
        <w:spacing w:line="360" w:lineRule="auto"/>
        <w:ind w:right="-693" w:firstLine="3840" w:rightChars="-330" w:firstLineChars="800"/>
        <w:jc w:val="both"/>
        <w:rPr>
          <w:rFonts w:ascii="Times New Roman" w:eastAsia="宋体" w:hAnsi="Times New Roman" w:cs="Times New Roman"/>
          <w:b/>
          <w:sz w:val="48"/>
          <w:szCs w:val="48"/>
        </w:rPr>
      </w:pPr>
    </w:p>
    <w:p>
      <w:pPr>
        <w:spacing w:line="360" w:lineRule="auto"/>
        <w:ind w:right="-693" w:firstLine="3840" w:rightChars="-330" w:firstLineChars="800"/>
        <w:jc w:val="both"/>
        <w:rPr>
          <w:rFonts w:ascii="Times New Roman" w:eastAsia="宋体" w:hAnsi="Times New Roman" w:cs="Times New Roman"/>
          <w:b/>
          <w:sz w:val="48"/>
          <w:szCs w:val="48"/>
        </w:rPr>
      </w:pPr>
    </w:p>
    <w:p>
      <w:pPr>
        <w:spacing w:line="360" w:lineRule="auto"/>
        <w:ind w:right="-693" w:firstLine="3840" w:rightChars="-330" w:firstLineChars="800"/>
        <w:jc w:val="both"/>
        <w:rPr>
          <w:rFonts w:ascii="Times New Roman" w:eastAsia="宋体" w:hAnsi="Times New Roman" w:cs="Times New Roman"/>
          <w:b/>
          <w:sz w:val="48"/>
          <w:szCs w:val="48"/>
        </w:rPr>
      </w:pPr>
    </w:p>
    <w:p>
      <w:pPr>
        <w:spacing w:line="360" w:lineRule="auto"/>
        <w:ind w:right="-693" w:firstLine="3840" w:rightChars="-330" w:firstLineChars="800"/>
        <w:jc w:val="both"/>
        <w:rPr>
          <w:rFonts w:ascii="Times New Roman" w:eastAsia="宋体" w:hAnsi="Times New Roman" w:cs="Times New Roman"/>
          <w:b/>
          <w:sz w:val="48"/>
          <w:szCs w:val="48"/>
        </w:rPr>
      </w:pPr>
    </w:p>
    <w:p>
      <w:pPr>
        <w:spacing w:line="360" w:lineRule="auto"/>
        <w:ind w:right="-693" w:firstLine="3840" w:rightChars="-330" w:firstLineChars="800"/>
        <w:jc w:val="both"/>
        <w:rPr>
          <w:rFonts w:ascii="Times New Roman" w:eastAsia="宋体" w:hAnsi="Times New Roman" w:cs="Times New Roman"/>
          <w:b/>
          <w:sz w:val="48"/>
          <w:szCs w:val="48"/>
        </w:rPr>
      </w:pPr>
    </w:p>
    <w:p>
      <w:pPr>
        <w:spacing w:line="360" w:lineRule="auto"/>
        <w:ind w:right="-693" w:firstLine="3840" w:rightChars="-330" w:firstLineChars="800"/>
        <w:jc w:val="both"/>
        <w:rPr>
          <w:rFonts w:ascii="Times New Roman" w:eastAsia="宋体" w:hAnsi="Times New Roman" w:cs="Times New Roman"/>
          <w:b/>
          <w:sz w:val="48"/>
          <w:szCs w:val="48"/>
        </w:rPr>
      </w:pPr>
    </w:p>
    <w:p>
      <w:pPr>
        <w:spacing w:line="360" w:lineRule="auto"/>
        <w:ind w:right="-693" w:firstLine="3840" w:rightChars="-330" w:firstLineChars="800"/>
        <w:jc w:val="both"/>
        <w:rPr>
          <w:rFonts w:ascii="Times New Roman" w:eastAsia="宋体" w:hAnsi="Times New Roman" w:cs="Times New Roman"/>
          <w:b/>
          <w:sz w:val="48"/>
          <w:szCs w:val="48"/>
        </w:rPr>
      </w:pPr>
    </w:p>
    <w:p>
      <w:pPr>
        <w:spacing w:line="360" w:lineRule="auto"/>
        <w:ind w:right="-693" w:firstLine="2240" w:rightChars="-330" w:firstLineChars="800"/>
        <w:jc w:val="both"/>
        <w:rPr>
          <w:rFonts w:ascii="宋体" w:eastAsia="宋体" w:hAnsi="宋体" w:cs="Times New Roman"/>
          <w:sz w:val="28"/>
          <w:szCs w:val="20"/>
        </w:rPr>
      </w:pPr>
    </w:p>
    <w:p>
      <w:pPr>
        <w:widowControl/>
        <w:spacing w:line="360" w:lineRule="auto"/>
        <w:ind w:firstLine="2240" w:firstLineChars="800"/>
        <w:rPr>
          <w:rFonts w:ascii="Times New Roman" w:eastAsia="宋体" w:hAnsi="Times New Roman" w:cs="Times New Roman"/>
          <w:b/>
          <w:bCs/>
          <w:color w:val="000000"/>
          <w:sz w:val="28"/>
          <w:szCs w:val="28"/>
          <w:u w:val="single"/>
          <w:lang w:bidi="ar"/>
        </w:rPr>
      </w:pPr>
      <w:r>
        <w:rPr>
          <w:rFonts w:ascii="宋体" w:eastAsia="宋体" w:hAnsi="宋体" w:cs="Times New Roman" w:hint="eastAsia"/>
          <w:b/>
          <w:bCs/>
          <w:color w:val="000000"/>
          <w:sz w:val="28"/>
          <w:szCs w:val="28"/>
          <w:u w:val="single"/>
          <w:lang w:bidi="ar"/>
        </w:rPr>
        <w:t>甲方：</w:t>
      </w:r>
      <w:r>
        <w:rPr>
          <w:rFonts w:ascii="Times New Roman" w:eastAsia="宋体" w:hAnsi="Times New Roman" w:cs="Times New Roman" w:hint="eastAsia"/>
          <w:b/>
          <w:bCs/>
          <w:color w:val="000000"/>
          <w:sz w:val="28"/>
          <w:szCs w:val="28"/>
          <w:u w:val="single"/>
          <w:lang w:bidi="ar"/>
        </w:rPr>
        <w:t xml:space="preserve">青海省气象灾害防御技术中心 </w:t>
      </w:r>
    </w:p>
    <w:p>
      <w:pPr>
        <w:widowControl w:val="0"/>
        <w:adjustRightInd w:val="0"/>
        <w:spacing w:line="360" w:lineRule="auto"/>
        <w:ind w:left="0" w:firstLine="2240" w:leftChars="0" w:firstLineChars="800"/>
        <w:jc w:val="both"/>
        <w:rPr>
          <w:rFonts w:ascii="Times New Roman" w:eastAsia="宋体" w:hAnsi="Times New Roman" w:cs="Times New Roman" w:hint="eastAsia"/>
          <w:b/>
          <w:bCs/>
          <w:color w:val="000000"/>
          <w:sz w:val="28"/>
          <w:szCs w:val="28"/>
          <w:u w:val="single"/>
          <w:lang w:bidi="ar"/>
        </w:rPr>
      </w:pPr>
      <w:r>
        <w:rPr>
          <w:rFonts w:ascii="Times New Roman" w:eastAsia="宋体" w:hAnsi="Times New Roman" w:cs="Times New Roman" w:hint="eastAsia"/>
          <w:b/>
          <w:bCs/>
          <w:color w:val="000000"/>
          <w:kern w:val="2"/>
          <w:sz w:val="28"/>
          <w:szCs w:val="28"/>
          <w:u w:val="single"/>
          <w:lang w:val="en-US" w:eastAsia="zh-CN" w:bidi="ar"/>
        </w:rPr>
        <w:t xml:space="preserve">乙方：         </w:t>
      </w:r>
    </w:p>
    <w:p>
      <w:pPr>
        <w:spacing w:before="52" w:line="360" w:lineRule="auto"/>
        <w:ind w:firstLine="560"/>
        <w:jc w:val="center"/>
        <w:rPr>
          <w:sz w:val="28"/>
        </w:rPr>
        <w:sectPr>
          <w:pgSz w:w="11906" w:h="16838"/>
          <w:pgMar w:top="1417" w:right="1701" w:bottom="1417" w:left="1701" w:header="851" w:footer="992" w:gutter="0"/>
          <w:cols w:num="1" w:space="720"/>
          <w:docGrid w:type="lines" w:linePitch="312" w:charSpace="0"/>
        </w:sectPr>
      </w:pP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青海省气象灾害防御技术中心</w:t>
      </w:r>
    </w:p>
    <w:p>
      <w:pPr>
        <w:snapToGrid w:val="0"/>
        <w:spacing w:line="360" w:lineRule="auto"/>
        <w:ind w:firstLine="420"/>
        <w:rPr>
          <w:rFonts w:ascii="Times New Roman" w:eastAsia="宋体" w:hAnsi="Times New Roman" w:cs="Times New Roman" w:hint="eastAsia"/>
          <w:szCs w:val="21"/>
          <w:u w:val="single"/>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pPr>
        <w:widowControl w:val="0"/>
        <w:spacing w:after="0"/>
        <w:ind w:left="0" w:firstLine="420" w:leftChars="0" w:firstLineChars="200"/>
        <w:jc w:val="both"/>
        <w:rPr>
          <w:rFonts w:ascii="宋体" w:eastAsia="宋体" w:hAnsi="宋体" w:cs="Times New Roman"/>
          <w:color w:val="000000"/>
          <w:szCs w:val="20"/>
        </w:rPr>
      </w:pP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Times New Roman" w:eastAsia="宋体" w:hAnsi="Times New Roman" w:cs="Times New Roman" w:hint="eastAsia"/>
          <w:szCs w:val="21"/>
        </w:rPr>
        <w:t>根据《中华人民共和国政府采购法》、《民法典》等相关法律法规以及本项目招标文件的规定，经平等协商达成合同如下：</w:t>
      </w:r>
    </w:p>
    <w:p>
      <w:pPr>
        <w:numPr>
          <w:ilvl w:val="0"/>
          <w:numId w:val="63"/>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定义</w:t>
      </w:r>
    </w:p>
    <w:p>
      <w:pPr>
        <w:adjustRightInd w:val="0"/>
        <w:snapToGrid w:val="0"/>
        <w:spacing w:line="360" w:lineRule="auto"/>
        <w:ind w:firstLine="420" w:firstLineChars="200"/>
        <w:rPr>
          <w:rFonts w:ascii="Times New Roman" w:eastAsia="宋体" w:hAnsi="Times New Roman" w:cs="Times New Roman" w:hint="eastAsia"/>
          <w:bCs/>
          <w:szCs w:val="20"/>
        </w:rPr>
      </w:pPr>
      <w:r>
        <w:rPr>
          <w:rFonts w:ascii="Times New Roman" w:eastAsia="宋体" w:hAnsi="Times New Roman" w:cs="Times New Roman" w:hint="eastAsia"/>
          <w:szCs w:val="21"/>
        </w:rPr>
        <w:t>采购人名称：</w:t>
      </w:r>
      <w:r>
        <w:rPr>
          <w:rFonts w:ascii="Times New Roman" w:eastAsia="宋体" w:hAnsi="Times New Roman" w:cs="Times New Roman" w:hint="eastAsia"/>
          <w:szCs w:val="21"/>
          <w:u w:val="single"/>
        </w:rPr>
        <w:t xml:space="preserve"> 青海省气象灾害防御技术中心</w:t>
      </w:r>
    </w:p>
    <w:p>
      <w:pPr>
        <w:adjustRightInd w:val="0"/>
        <w:snapToGrid w:val="0"/>
        <w:spacing w:line="360" w:lineRule="auto"/>
        <w:ind w:firstLine="420" w:firstLineChars="200"/>
        <w:rPr>
          <w:rFonts w:ascii="Times New Roman" w:eastAsia="宋体" w:hAnsi="Times New Roman" w:cs="Times New Roman" w:hint="default"/>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ZQC-   、共1包   </w:t>
      </w:r>
      <w:r>
        <w:rPr>
          <w:rFonts w:ascii="Times New Roman" w:eastAsia="宋体" w:hAnsi="Times New Roman" w:cs="Times New Roman" w:hint="eastAsia"/>
          <w:szCs w:val="21"/>
          <w:u w:val="single"/>
          <w:lang w:val="en-US" w:eastAsia="zh-CN"/>
        </w:rPr>
        <w:t xml:space="preserve">  </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pPr>
        <w:numPr>
          <w:ilvl w:val="0"/>
          <w:numId w:val="63"/>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合同标的</w:t>
      </w:r>
    </w:p>
    <w:p>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0"/>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643"/>
        <w:gridCol w:w="1500"/>
        <w:gridCol w:w="1213"/>
        <w:gridCol w:w="662"/>
        <w:gridCol w:w="663"/>
        <w:gridCol w:w="1462"/>
        <w:gridCol w:w="2221"/>
        <w:gridCol w:w="1559"/>
      </w:tblGrid>
      <w:tr>
        <w:tblPrEx>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445"/>
        </w:trPr>
        <w:tc>
          <w:tcPr>
            <w:tcW w:w="643"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序号</w:t>
            </w:r>
          </w:p>
        </w:tc>
        <w:tc>
          <w:tcPr>
            <w:tcW w:w="1500"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货物名称</w:t>
            </w:r>
          </w:p>
        </w:tc>
        <w:tc>
          <w:tcPr>
            <w:tcW w:w="1213"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型号</w:t>
            </w:r>
          </w:p>
        </w:tc>
        <w:tc>
          <w:tcPr>
            <w:tcW w:w="662"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数量</w:t>
            </w:r>
          </w:p>
        </w:tc>
        <w:tc>
          <w:tcPr>
            <w:tcW w:w="663"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单位</w:t>
            </w:r>
          </w:p>
        </w:tc>
        <w:tc>
          <w:tcPr>
            <w:tcW w:w="1462"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单价（元）</w:t>
            </w:r>
          </w:p>
        </w:tc>
        <w:tc>
          <w:tcPr>
            <w:tcW w:w="2221"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小计（元）</w:t>
            </w:r>
          </w:p>
        </w:tc>
        <w:tc>
          <w:tcPr>
            <w:tcW w:w="1559" w:type="dxa"/>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b/>
                <w:bCs/>
                <w:szCs w:val="21"/>
              </w:rPr>
            </w:pPr>
            <w:r>
              <w:rPr>
                <w:rFonts w:ascii="宋体" w:eastAsia="宋体" w:hAnsi="宋体" w:cs="宋体" w:hint="eastAsia"/>
                <w:b/>
                <w:bCs/>
                <w:kern w:val="2"/>
                <w:sz w:val="21"/>
                <w:szCs w:val="21"/>
                <w:lang w:val="en-US" w:eastAsia="zh-CN" w:bidi="ar-SA"/>
              </w:rPr>
              <w:t>备注</w:t>
            </w:r>
          </w:p>
        </w:tc>
      </w:tr>
      <w:tr>
        <w:tblPrEx>
          <w:tblW w:w="9923" w:type="dxa"/>
          <w:tblInd w:w="-147" w:type="dxa"/>
          <w:tblLayout w:type="fixed"/>
          <w:tblCellMar>
            <w:top w:w="0" w:type="dxa"/>
            <w:left w:w="0" w:type="dxa"/>
            <w:bottom w:w="0" w:type="dxa"/>
            <w:right w:w="0" w:type="dxa"/>
          </w:tblCellMar>
        </w:tblPrEx>
        <w:trPr>
          <w:trHeight w:val="724"/>
        </w:trPr>
        <w:tc>
          <w:tcPr>
            <w:tcW w:w="643" w:type="dxa"/>
            <w:tcBorders>
              <w:top w:val="single" w:sz="4" w:space="0" w:color="000000"/>
              <w:left w:val="single" w:sz="4" w:space="0" w:color="000000"/>
              <w:bottom w:val="single" w:sz="4" w:space="0" w:color="auto"/>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szCs w:val="21"/>
                <w:lang w:eastAsia="en-US"/>
              </w:rPr>
            </w:pPr>
            <w:r>
              <w:rPr>
                <w:rFonts w:ascii="宋体" w:eastAsia="宋体" w:hAnsi="宋体" w:cs="宋体" w:hint="eastAsia"/>
                <w:kern w:val="2"/>
                <w:sz w:val="21"/>
                <w:szCs w:val="21"/>
                <w:lang w:val="en-US" w:eastAsia="en-US" w:bidi="ar-SA"/>
              </w:rPr>
              <w:t>1</w:t>
            </w:r>
          </w:p>
        </w:tc>
        <w:tc>
          <w:tcPr>
            <w:tcW w:w="1500" w:type="dxa"/>
            <w:tcBorders>
              <w:top w:val="single" w:sz="4" w:space="0" w:color="000000"/>
              <w:left w:val="single" w:sz="4" w:space="0" w:color="000000"/>
              <w:bottom w:val="single" w:sz="4" w:space="0" w:color="auto"/>
              <w:right w:val="single" w:sz="4" w:space="0" w:color="000000"/>
            </w:tcBorders>
            <w:noWrap w:val="0"/>
            <w:vAlign w:val="center"/>
          </w:tcPr>
          <w:p>
            <w:pPr>
              <w:autoSpaceDE w:val="0"/>
              <w:autoSpaceDN w:val="0"/>
              <w:spacing w:line="240" w:lineRule="auto"/>
              <w:jc w:val="center"/>
              <w:rPr>
                <w:rFonts w:ascii="宋体" w:eastAsia="宋体" w:hAnsi="宋体" w:cs="宋体" w:hint="eastAsia"/>
                <w:szCs w:val="21"/>
              </w:rPr>
            </w:pPr>
          </w:p>
          <w:p>
            <w:pPr>
              <w:autoSpaceDE w:val="0"/>
              <w:autoSpaceDN w:val="0"/>
              <w:spacing w:line="240" w:lineRule="auto"/>
              <w:jc w:val="center"/>
              <w:rPr>
                <w:rFonts w:ascii="宋体" w:eastAsia="宋体" w:hAnsi="宋体" w:cs="宋体" w:hint="eastAsia"/>
                <w:szCs w:val="21"/>
              </w:rPr>
            </w:pPr>
          </w:p>
          <w:p>
            <w:pPr>
              <w:autoSpaceDE w:val="0"/>
              <w:autoSpaceDN w:val="0"/>
              <w:spacing w:line="240" w:lineRule="auto"/>
              <w:jc w:val="center"/>
              <w:rPr>
                <w:rFonts w:ascii="宋体" w:eastAsia="宋体" w:hAnsi="宋体" w:cs="宋体" w:hint="eastAsia"/>
                <w:szCs w:val="21"/>
              </w:rPr>
            </w:pPr>
          </w:p>
          <w:p>
            <w:pPr>
              <w:autoSpaceDE w:val="0"/>
              <w:autoSpaceDN w:val="0"/>
              <w:spacing w:before="94" w:beforeLines="30" w:after="94" w:afterLines="30" w:line="360" w:lineRule="auto"/>
              <w:jc w:val="center"/>
              <w:rPr>
                <w:rFonts w:ascii="宋体" w:eastAsia="宋体" w:hAnsi="宋体" w:cs="宋体" w:hint="eastAsia"/>
                <w:szCs w:val="21"/>
                <w:lang w:eastAsia="en-US"/>
              </w:rPr>
            </w:pPr>
          </w:p>
        </w:tc>
        <w:tc>
          <w:tcPr>
            <w:tcW w:w="1213" w:type="dxa"/>
            <w:tcBorders>
              <w:top w:val="single" w:sz="4" w:space="0" w:color="000000"/>
              <w:left w:val="single" w:sz="4" w:space="0" w:color="000000"/>
              <w:bottom w:val="single" w:sz="4" w:space="0" w:color="auto"/>
              <w:right w:val="single" w:sz="4" w:space="0" w:color="000000"/>
            </w:tcBorders>
            <w:noWrap w:val="0"/>
            <w:vAlign w:val="center"/>
          </w:tcPr>
          <w:p>
            <w:pPr>
              <w:autoSpaceDE w:val="0"/>
              <w:autoSpaceDN w:val="0"/>
              <w:spacing w:before="94" w:beforeLines="30" w:after="94" w:afterLines="30" w:line="360" w:lineRule="auto"/>
              <w:jc w:val="center"/>
              <w:rPr>
                <w:rFonts w:ascii="宋体" w:eastAsia="宋体" w:hAnsi="宋体" w:cs="宋体" w:hint="eastAsia"/>
                <w:szCs w:val="21"/>
                <w:lang w:eastAsia="en-US"/>
              </w:rPr>
            </w:pPr>
          </w:p>
        </w:tc>
        <w:tc>
          <w:tcPr>
            <w:tcW w:w="662" w:type="dxa"/>
            <w:tcBorders>
              <w:top w:val="single" w:sz="4" w:space="0" w:color="000000"/>
              <w:left w:val="single" w:sz="4" w:space="0" w:color="000000"/>
              <w:bottom w:val="single" w:sz="4" w:space="0" w:color="auto"/>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szCs w:val="21"/>
              </w:rPr>
            </w:pPr>
          </w:p>
        </w:tc>
        <w:tc>
          <w:tcPr>
            <w:tcW w:w="663" w:type="dxa"/>
            <w:tcBorders>
              <w:top w:val="single" w:sz="4" w:space="0" w:color="000000"/>
              <w:left w:val="single" w:sz="4" w:space="0" w:color="000000"/>
              <w:bottom w:val="single" w:sz="4" w:space="0" w:color="auto"/>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szCs w:val="21"/>
                <w:lang w:eastAsia="en-US"/>
              </w:rPr>
            </w:pPr>
          </w:p>
        </w:tc>
        <w:tc>
          <w:tcPr>
            <w:tcW w:w="1462" w:type="dxa"/>
            <w:tcBorders>
              <w:top w:val="single" w:sz="4" w:space="0" w:color="000000"/>
              <w:left w:val="single" w:sz="4" w:space="0" w:color="000000"/>
              <w:bottom w:val="single" w:sz="4" w:space="0" w:color="auto"/>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szCs w:val="21"/>
                <w:lang w:eastAsia="en-US"/>
              </w:rPr>
            </w:pPr>
          </w:p>
        </w:tc>
        <w:tc>
          <w:tcPr>
            <w:tcW w:w="2221" w:type="dxa"/>
            <w:tcBorders>
              <w:top w:val="single" w:sz="4" w:space="0" w:color="000000"/>
              <w:left w:val="single" w:sz="4" w:space="0" w:color="000000"/>
              <w:bottom w:val="single" w:sz="4" w:space="0" w:color="auto"/>
              <w:right w:val="single" w:sz="4" w:space="0" w:color="000000"/>
            </w:tcBorders>
            <w:noWrap w:val="0"/>
            <w:vAlign w:val="center"/>
          </w:tcPr>
          <w:p>
            <w:pPr>
              <w:widowControl w:val="0"/>
              <w:autoSpaceDE w:val="0"/>
              <w:autoSpaceDN w:val="0"/>
              <w:spacing w:line="360" w:lineRule="auto"/>
              <w:jc w:val="center"/>
              <w:rPr>
                <w:rFonts w:ascii="宋体" w:eastAsia="宋体" w:hAnsi="宋体" w:cs="宋体" w:hint="eastAsia"/>
                <w:szCs w:val="21"/>
                <w:lang w:eastAsia="en-US"/>
              </w:rPr>
            </w:pPr>
          </w:p>
        </w:tc>
        <w:tc>
          <w:tcPr>
            <w:tcW w:w="1559" w:type="dxa"/>
            <w:tcBorders>
              <w:top w:val="single" w:sz="4" w:space="0" w:color="000000"/>
              <w:left w:val="single" w:sz="4" w:space="0" w:color="000000"/>
              <w:right w:val="single" w:sz="4" w:space="0" w:color="000000"/>
            </w:tcBorders>
            <w:noWrap w:val="0"/>
            <w:vAlign w:val="center"/>
          </w:tcPr>
          <w:p>
            <w:pPr>
              <w:widowControl/>
              <w:autoSpaceDE w:val="0"/>
              <w:autoSpaceDN w:val="0"/>
              <w:spacing w:line="360" w:lineRule="auto"/>
              <w:rPr>
                <w:rFonts w:ascii="宋体" w:eastAsia="宋体" w:hAnsi="宋体" w:cs="宋体" w:hint="eastAsia"/>
                <w:szCs w:val="21"/>
              </w:rPr>
            </w:pPr>
            <w:r>
              <w:rPr>
                <w:rFonts w:ascii="宋体" w:eastAsia="宋体" w:hAnsi="宋体" w:cs="宋体" w:hint="eastAsia"/>
                <w:sz w:val="21"/>
                <w:szCs w:val="21"/>
                <w:lang w:eastAsia="zh-CN"/>
              </w:rPr>
              <w:t>含8年</w:t>
            </w:r>
            <w:r>
              <w:rPr>
                <w:rFonts w:ascii="宋体" w:eastAsia="宋体" w:hAnsi="宋体" w:cs="宋体" w:hint="eastAsia"/>
                <w:sz w:val="21"/>
                <w:szCs w:val="21"/>
                <w:lang w:val="en-US" w:eastAsia="zh-CN"/>
              </w:rPr>
              <w:t>质保</w:t>
            </w:r>
            <w:r>
              <w:rPr>
                <w:rFonts w:ascii="宋体" w:eastAsia="宋体" w:hAnsi="宋体" w:cs="宋体" w:hint="eastAsia"/>
                <w:sz w:val="21"/>
                <w:szCs w:val="21"/>
                <w:lang w:eastAsia="zh-CN"/>
              </w:rPr>
              <w:t>以及设备安装、建设、</w:t>
            </w:r>
            <w:r>
              <w:rPr>
                <w:rFonts w:ascii="宋体" w:eastAsia="宋体" w:hAnsi="宋体" w:cs="宋体" w:hint="eastAsia"/>
                <w:sz w:val="21"/>
                <w:szCs w:val="21"/>
                <w:lang w:val="en-US" w:eastAsia="zh-CN"/>
              </w:rPr>
              <w:t>乙</w:t>
            </w:r>
            <w:r>
              <w:rPr>
                <w:rFonts w:ascii="宋体" w:eastAsia="宋体" w:hAnsi="宋体" w:cs="宋体" w:hint="eastAsia"/>
                <w:sz w:val="21"/>
                <w:szCs w:val="21"/>
                <w:lang w:eastAsia="zh-CN"/>
              </w:rPr>
              <w:t>方人员差旅、</w:t>
            </w:r>
            <w:r>
              <w:rPr>
                <w:rFonts w:ascii="宋体" w:eastAsia="宋体" w:hAnsi="宋体" w:cs="宋体" w:hint="eastAsia"/>
                <w:sz w:val="21"/>
                <w:szCs w:val="21"/>
                <w:lang w:val="en-US" w:eastAsia="zh-CN"/>
              </w:rPr>
              <w:t>培训</w:t>
            </w:r>
            <w:r>
              <w:rPr>
                <w:rFonts w:ascii="宋体" w:eastAsia="宋体" w:hAnsi="宋体" w:cs="宋体" w:hint="eastAsia"/>
                <w:sz w:val="21"/>
                <w:szCs w:val="21"/>
                <w:lang w:eastAsia="zh-CN"/>
              </w:rPr>
              <w:t>费用</w:t>
            </w:r>
          </w:p>
        </w:tc>
      </w:tr>
      <w:tr>
        <w:tblPrEx>
          <w:tblW w:w="9923" w:type="dxa"/>
          <w:tblInd w:w="-147" w:type="dxa"/>
          <w:tblLayout w:type="fixed"/>
          <w:tblCellMar>
            <w:top w:w="0" w:type="dxa"/>
            <w:left w:w="0" w:type="dxa"/>
            <w:bottom w:w="0" w:type="dxa"/>
            <w:right w:w="0" w:type="dxa"/>
          </w:tblCellMar>
        </w:tblPrEx>
        <w:trPr>
          <w:trHeight w:val="284"/>
        </w:trPr>
        <w:tc>
          <w:tcPr>
            <w:tcW w:w="2143" w:type="dxa"/>
            <w:gridSpan w:val="2"/>
            <w:tcBorders>
              <w:top w:val="single" w:sz="4" w:space="0" w:color="000000"/>
              <w:left w:val="single" w:sz="4" w:space="0" w:color="000000"/>
              <w:bottom w:val="single" w:sz="4" w:space="0" w:color="000000"/>
              <w:right w:val="single" w:sz="4" w:space="0" w:color="000000"/>
            </w:tcBorders>
            <w:noWrap w:val="0"/>
            <w:vAlign w:val="center"/>
          </w:tcPr>
          <w:p>
            <w:pPr>
              <w:widowControl w:val="0"/>
              <w:autoSpaceDE w:val="0"/>
              <w:autoSpaceDN w:val="0"/>
              <w:spacing w:line="360" w:lineRule="auto"/>
              <w:ind w:firstLine="440"/>
              <w:jc w:val="center"/>
              <w:rPr>
                <w:rFonts w:ascii="宋体" w:eastAsia="宋体" w:hAnsi="宋体" w:cs="宋体" w:hint="eastAsia"/>
                <w:sz w:val="18"/>
                <w:szCs w:val="16"/>
                <w:lang w:eastAsia="en-US"/>
              </w:rPr>
            </w:pPr>
            <w:r>
              <w:rPr>
                <w:rFonts w:ascii="宋体" w:eastAsia="宋体" w:hAnsi="宋体" w:cs="宋体" w:hint="eastAsia"/>
                <w:kern w:val="2"/>
                <w:sz w:val="18"/>
                <w:szCs w:val="16"/>
                <w:lang w:val="en-US" w:eastAsia="en-US" w:bidi="ar-SA"/>
              </w:rPr>
              <w:t>合计</w:t>
            </w:r>
          </w:p>
        </w:tc>
        <w:tc>
          <w:tcPr>
            <w:tcW w:w="7780" w:type="dxa"/>
            <w:gridSpan w:val="6"/>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spacing w:before="94" w:beforeLines="30" w:after="94" w:afterLines="30" w:line="360" w:lineRule="auto"/>
              <w:ind w:firstLine="482"/>
              <w:rPr>
                <w:rFonts w:ascii="宋体" w:eastAsia="宋体" w:hAnsi="宋体" w:cs="宋体" w:hint="eastAsia"/>
                <w:szCs w:val="21"/>
              </w:rPr>
            </w:pPr>
            <w:r>
              <w:rPr>
                <w:rFonts w:ascii="宋体" w:eastAsia="宋体" w:hAnsi="宋体" w:cs="宋体" w:hint="eastAsia"/>
                <w:b/>
                <w:bCs/>
                <w:sz w:val="21"/>
                <w:szCs w:val="21"/>
                <w:lang w:eastAsia="zh-CN"/>
              </w:rPr>
              <w:t>大写：</w:t>
            </w:r>
            <w:bookmarkStart w:id="122" w:name="_Hlk112396854"/>
            <w:r>
              <w:rPr>
                <w:rFonts w:ascii="宋体" w:eastAsia="宋体" w:hAnsi="宋体" w:cs="宋体" w:hint="eastAsia"/>
                <w:b/>
                <w:bCs/>
                <w:sz w:val="21"/>
                <w:szCs w:val="21"/>
                <w:lang w:eastAsia="zh-CN"/>
              </w:rPr>
              <w:t>人民币</w:t>
            </w:r>
            <w:r>
              <w:rPr>
                <w:rFonts w:ascii="宋体" w:eastAsia="宋体" w:hAnsi="宋体" w:cs="宋体" w:hint="eastAsia"/>
                <w:b/>
                <w:bCs/>
                <w:sz w:val="21"/>
                <w:szCs w:val="21"/>
                <w:lang w:val="en-US" w:eastAsia="zh-CN"/>
              </w:rPr>
              <w:t xml:space="preserve">          </w:t>
            </w:r>
            <w:r>
              <w:rPr>
                <w:rFonts w:ascii="宋体" w:eastAsia="宋体" w:hAnsi="宋体" w:cs="宋体" w:hint="eastAsia"/>
                <w:b/>
                <w:sz w:val="21"/>
                <w:szCs w:val="16"/>
              </w:rPr>
              <w:fldChar w:fldCharType="begin"/>
            </w:r>
            <w:r>
              <w:rPr>
                <w:rFonts w:ascii="宋体" w:eastAsia="宋体" w:hAnsi="宋体" w:cs="宋体" w:hint="eastAsia"/>
                <w:b/>
                <w:sz w:val="21"/>
                <w:szCs w:val="16"/>
              </w:rPr>
              <w:instrText xml:space="preserve"> = 3825000 \* CHINESENUM4 \* MERGEFORMAT </w:instrText>
            </w:r>
            <w:r>
              <w:rPr>
                <w:rFonts w:ascii="宋体" w:eastAsia="宋体" w:hAnsi="宋体" w:cs="宋体" w:hint="eastAsia"/>
                <w:b/>
                <w:sz w:val="21"/>
                <w:szCs w:val="16"/>
              </w:rPr>
              <w:fldChar w:fldCharType="separate"/>
            </w:r>
            <w:r>
              <w:rPr>
                <w:rFonts w:ascii="宋体" w:eastAsia="宋体" w:hAnsi="宋体" w:cs="宋体" w:hint="eastAsia"/>
                <w:b/>
                <w:sz w:val="21"/>
                <w:szCs w:val="16"/>
              </w:rPr>
              <w:t>叁佰捌拾贰万伍仟元整</w:t>
            </w:r>
            <w:r>
              <w:rPr>
                <w:rFonts w:ascii="宋体" w:eastAsia="宋体" w:hAnsi="宋体" w:cs="宋体" w:hint="eastAsia"/>
                <w:b/>
                <w:sz w:val="21"/>
                <w:szCs w:val="16"/>
              </w:rPr>
              <w:fldChar w:fldCharType="end"/>
            </w:r>
            <w:bookmarkEnd w:id="122"/>
            <w:r>
              <w:rPr>
                <w:rFonts w:ascii="宋体" w:eastAsia="宋体" w:hAnsi="宋体" w:cs="宋体" w:hint="eastAsia"/>
                <w:b/>
                <w:bCs/>
                <w:sz w:val="21"/>
                <w:szCs w:val="21"/>
                <w:lang w:eastAsia="zh-CN"/>
              </w:rPr>
              <w:t>（小写：￥</w:t>
            </w:r>
            <w:r>
              <w:rPr>
                <w:rFonts w:ascii="宋体" w:eastAsia="宋体" w:hAnsi="宋体" w:cs="宋体" w:hint="eastAsia"/>
                <w:b/>
                <w:bCs/>
                <w:color w:val="000000"/>
                <w:sz w:val="21"/>
                <w:szCs w:val="16"/>
                <w:lang w:val="en-US" w:eastAsia="zh-CN"/>
              </w:rPr>
              <w:t xml:space="preserve">          </w:t>
            </w:r>
            <w:r>
              <w:rPr>
                <w:rFonts w:ascii="宋体" w:eastAsia="宋体" w:hAnsi="宋体" w:cs="宋体" w:hint="eastAsia"/>
                <w:b/>
                <w:bCs/>
                <w:sz w:val="21"/>
                <w:szCs w:val="21"/>
                <w:lang w:eastAsia="zh-CN"/>
              </w:rPr>
              <w:t>）</w:t>
            </w:r>
          </w:p>
        </w:tc>
      </w:tr>
    </w:tbl>
    <w:p>
      <w:pPr>
        <w:widowControl w:val="0"/>
        <w:spacing w:after="0"/>
        <w:ind w:left="0" w:firstLine="420" w:leftChars="0" w:firstLineChars="200"/>
        <w:jc w:val="both"/>
        <w:rPr>
          <w:rFonts w:ascii="宋体" w:eastAsia="宋体" w:hAnsi="宋体" w:cs="Times New Roman"/>
          <w:color w:val="000000"/>
          <w:szCs w:val="20"/>
        </w:rPr>
      </w:pPr>
    </w:p>
    <w:p>
      <w:pPr>
        <w:numPr>
          <w:ilvl w:val="0"/>
          <w:numId w:val="63"/>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质量标准及保证</w:t>
      </w:r>
    </w:p>
    <w:p>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rPr>
      </w:pPr>
      <w:r>
        <w:rPr>
          <w:rFonts w:ascii="Times New Roman" w:eastAsia="宋体" w:hAnsi="仿宋_GB2312" w:cs="仿宋_GB2312" w:hint="eastAsia"/>
          <w:szCs w:val="20"/>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Times New Roman" w:eastAsia="宋体" w:hAnsi="仿宋_GB2312" w:cs="仿宋_GB2312" w:hint="eastAsia"/>
          <w:szCs w:val="20"/>
        </w:rPr>
        <w:tab/>
      </w:r>
    </w:p>
    <w:p>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highlight w:val="none"/>
        </w:rPr>
      </w:pPr>
      <w:r>
        <w:rPr>
          <w:rFonts w:ascii="Times New Roman" w:eastAsia="宋体" w:hAnsi="仿宋_GB2312" w:cs="仿宋_GB2312" w:hint="eastAsia"/>
          <w:szCs w:val="20"/>
          <w:highlight w:val="none"/>
        </w:rPr>
        <w:t>2.乙方应提供产品达到合格标准的自测报告和出厂测试报告。</w:t>
      </w:r>
    </w:p>
    <w:p>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highlight w:val="none"/>
        </w:rPr>
      </w:pPr>
      <w:r>
        <w:rPr>
          <w:rFonts w:ascii="Times New Roman" w:eastAsia="宋体" w:hAnsi="仿宋_GB2312" w:cs="仿宋_GB2312" w:hint="eastAsia"/>
          <w:szCs w:val="20"/>
          <w:highlight w:val="none"/>
        </w:rPr>
        <w:t>3.</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年</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月</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日前，完成出厂测试。</w:t>
      </w:r>
    </w:p>
    <w:p>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highlight w:val="none"/>
        </w:rPr>
      </w:pPr>
      <w:r>
        <w:rPr>
          <w:rFonts w:ascii="Times New Roman" w:eastAsia="宋体" w:hAnsi="仿宋_GB2312" w:cs="仿宋_GB2312" w:hint="eastAsia"/>
          <w:szCs w:val="20"/>
          <w:highlight w:val="none"/>
        </w:rPr>
        <w:t>4.</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年</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月</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日前，完成</w:t>
      </w:r>
      <w:r>
        <w:rPr>
          <w:rFonts w:ascii="Times New Roman" w:eastAsia="宋体" w:hAnsi="仿宋_GB2312" w:cs="仿宋_GB2312" w:hint="eastAsia"/>
          <w:szCs w:val="20"/>
          <w:highlight w:val="none"/>
          <w:lang w:val="en-US" w:eastAsia="zh-CN"/>
        </w:rPr>
        <w:t>到货及</w:t>
      </w:r>
      <w:r>
        <w:rPr>
          <w:rFonts w:ascii="Times New Roman" w:eastAsia="宋体" w:hAnsi="仿宋_GB2312" w:cs="仿宋_GB2312" w:hint="eastAsia"/>
          <w:szCs w:val="20"/>
          <w:highlight w:val="none"/>
        </w:rPr>
        <w:t>现场验收，启动业务试运行。</w:t>
      </w:r>
    </w:p>
    <w:p>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default"/>
          <w:szCs w:val="20"/>
          <w:highlight w:val="none"/>
        </w:rPr>
      </w:pPr>
      <w:r>
        <w:rPr>
          <w:rFonts w:ascii="Times New Roman" w:eastAsia="宋体" w:hAnsi="仿宋_GB2312" w:cs="仿宋_GB2312" w:hint="eastAsia"/>
          <w:szCs w:val="20"/>
          <w:highlight w:val="none"/>
          <w:lang w:val="en-US" w:eastAsia="zh-CN"/>
        </w:rPr>
        <w:t>5.   年   月   日前，完成合同验收。</w:t>
      </w:r>
    </w:p>
    <w:p>
      <w:pPr>
        <w:numPr>
          <w:ilvl w:val="0"/>
          <w:numId w:val="63"/>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验收</w:t>
      </w:r>
    </w:p>
    <w:p>
      <w:pPr>
        <w:tabs>
          <w:tab w:val="left" w:pos="709"/>
        </w:tabs>
        <w:autoSpaceDE/>
        <w:autoSpaceDN/>
        <w:adjustRightInd w:val="0"/>
        <w:snapToGrid w:val="0"/>
        <w:spacing w:line="360" w:lineRule="auto"/>
        <w:ind w:firstLine="420" w:firstLineChars="200"/>
        <w:jc w:val="both"/>
        <w:rPr>
          <w:rFonts w:ascii="宋体" w:eastAsia="宋体" w:hAnsi="宋体" w:cs="仿宋_GB2312" w:hint="eastAsia"/>
          <w:kern w:val="0"/>
          <w:szCs w:val="21"/>
        </w:rPr>
      </w:pPr>
      <w:r>
        <w:rPr>
          <w:rFonts w:ascii="宋体" w:eastAsia="宋体" w:hAnsi="宋体" w:cs="仿宋_GB2312" w:hint="eastAsia"/>
          <w:kern w:val="0"/>
          <w:sz w:val="21"/>
          <w:szCs w:val="21"/>
          <w:lang w:val="en-US" w:eastAsia="zh-CN"/>
        </w:rPr>
        <w:t>1.</w:t>
      </w:r>
      <w:r>
        <w:rPr>
          <w:rFonts w:ascii="宋体" w:eastAsia="宋体" w:hAnsi="宋体" w:cs="仿宋_GB2312" w:hint="eastAsia"/>
          <w:kern w:val="0"/>
          <w:sz w:val="21"/>
          <w:szCs w:val="21"/>
        </w:rPr>
        <w:t>验收分为出厂验收、现场验收及合同验收</w:t>
      </w:r>
      <w:r>
        <w:rPr>
          <w:rFonts w:ascii="宋体" w:eastAsia="宋体" w:hAnsi="宋体" w:cs="仿宋_GB2312" w:hint="eastAsia"/>
          <w:kern w:val="0"/>
          <w:sz w:val="21"/>
          <w:szCs w:val="21"/>
          <w:lang w:eastAsia="zh-CN"/>
        </w:rPr>
        <w:t>。</w:t>
      </w:r>
    </w:p>
    <w:p>
      <w:pPr>
        <w:tabs>
          <w:tab w:val="left" w:pos="709"/>
        </w:tabs>
        <w:autoSpaceDE/>
        <w:autoSpaceDN/>
        <w:adjustRightInd w:val="0"/>
        <w:snapToGrid w:val="0"/>
        <w:spacing w:line="360" w:lineRule="auto"/>
        <w:ind w:firstLine="420" w:firstLineChars="200"/>
        <w:jc w:val="both"/>
        <w:rPr>
          <w:rFonts w:ascii="宋体" w:eastAsia="宋体" w:hAnsi="宋体" w:cs="仿宋_GB2312" w:hint="eastAsia"/>
          <w:color w:val="auto"/>
          <w:kern w:val="0"/>
          <w:szCs w:val="21"/>
          <w:highlight w:val="none"/>
        </w:rPr>
      </w:pPr>
      <w:r>
        <w:rPr>
          <w:rFonts w:ascii="宋体" w:eastAsia="宋体" w:hAnsi="宋体" w:cs="仿宋_GB2312" w:hint="eastAsia"/>
          <w:color w:val="auto"/>
          <w:kern w:val="0"/>
          <w:sz w:val="21"/>
          <w:szCs w:val="21"/>
          <w:highlight w:val="none"/>
          <w:lang w:val="en-US" w:eastAsia="zh-CN"/>
        </w:rPr>
        <w:t>2.出厂测试由乙方组织完成，应提供产品达到合格标准的出厂测试报告。</w:t>
      </w:r>
    </w:p>
    <w:p>
      <w:pPr>
        <w:tabs>
          <w:tab w:val="left" w:pos="709"/>
        </w:tabs>
        <w:autoSpaceDE/>
        <w:autoSpaceDN/>
        <w:adjustRightInd w:val="0"/>
        <w:snapToGrid w:val="0"/>
        <w:spacing w:line="360" w:lineRule="auto"/>
        <w:ind w:firstLine="420" w:firstLineChars="200"/>
        <w:jc w:val="both"/>
        <w:rPr>
          <w:rFonts w:ascii="宋体" w:eastAsia="宋体" w:hAnsi="宋体" w:cs="仿宋_GB2312" w:hint="eastAsia"/>
          <w:kern w:val="0"/>
          <w:szCs w:val="21"/>
        </w:rPr>
      </w:pPr>
      <w:r>
        <w:rPr>
          <w:rFonts w:ascii="宋体" w:eastAsia="宋体" w:hAnsi="宋体" w:cs="仿宋_GB2312" w:hint="eastAsia"/>
          <w:color w:val="auto"/>
          <w:kern w:val="0"/>
          <w:sz w:val="21"/>
          <w:szCs w:val="21"/>
          <w:highlight w:val="none"/>
          <w:lang w:val="en-US" w:eastAsia="zh-CN"/>
        </w:rPr>
        <w:t>3.</w:t>
      </w:r>
      <w:r>
        <w:rPr>
          <w:rFonts w:ascii="宋体" w:eastAsia="宋体" w:hAnsi="宋体" w:cs="仿宋_GB2312" w:hint="eastAsia"/>
          <w:color w:val="auto"/>
          <w:kern w:val="0"/>
          <w:sz w:val="21"/>
          <w:szCs w:val="21"/>
          <w:highlight w:val="none"/>
        </w:rPr>
        <w:t>现场验收由乙方在完成性能测试和设备安装调试后，向甲方提出现场验收申请并附验收大纲，甲方组织人员根据验收大纲进行现场验收。现场验收后启动业务试运行。</w:t>
      </w:r>
    </w:p>
    <w:p>
      <w:pPr>
        <w:widowControl w:val="0"/>
        <w:spacing w:after="0"/>
        <w:ind w:left="0" w:firstLine="420" w:leftChars="0" w:firstLineChars="200"/>
        <w:jc w:val="both"/>
        <w:rPr>
          <w:rFonts w:ascii="宋体" w:eastAsia="宋体" w:hAnsi="宋体" w:cs="仿宋_GB2312" w:hint="eastAsia"/>
          <w:color w:val="000000"/>
          <w:kern w:val="0"/>
          <w:szCs w:val="21"/>
        </w:rPr>
      </w:pPr>
      <w:r>
        <w:rPr>
          <w:rFonts w:ascii="宋体" w:eastAsia="宋体" w:hAnsi="宋体" w:cs="仿宋_GB2312" w:hint="eastAsia"/>
          <w:color w:val="000000"/>
          <w:kern w:val="0"/>
          <w:sz w:val="21"/>
          <w:szCs w:val="21"/>
          <w:lang w:val="en-US" w:eastAsia="zh-CN" w:bidi="ar-SA"/>
        </w:rPr>
        <w:t>4.业务试运行通过后由甲方组织人员进行合同验收，乙方应按照甲方要求提交合同实施情况报告、测试报告、货物/服务接收清单、现场验收报告、试运行情况报告等。</w:t>
      </w:r>
    </w:p>
    <w:p>
      <w:pPr>
        <w:widowControl w:val="0"/>
        <w:spacing w:after="0"/>
        <w:ind w:left="0" w:firstLine="420" w:leftChars="0" w:firstLineChars="200"/>
        <w:jc w:val="both"/>
        <w:rPr>
          <w:rFonts w:ascii="宋体" w:eastAsia="宋体" w:hAnsi="宋体" w:cs="仿宋_GB2312" w:hint="eastAsia"/>
          <w:color w:val="000000"/>
          <w:kern w:val="0"/>
          <w:szCs w:val="21"/>
        </w:rPr>
      </w:pPr>
    </w:p>
    <w:p>
      <w:pPr>
        <w:numPr>
          <w:ilvl w:val="0"/>
          <w:numId w:val="63"/>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运输</w:t>
      </w:r>
    </w:p>
    <w:p>
      <w:pPr>
        <w:tabs>
          <w:tab w:val="left" w:pos="726"/>
          <w:tab w:val="left" w:pos="1873"/>
        </w:tabs>
        <w:autoSpaceDE w:val="0"/>
        <w:autoSpaceDN w:val="0"/>
        <w:spacing w:before="0" w:line="360" w:lineRule="auto"/>
        <w:ind w:right="0" w:firstLine="420" w:firstLineChars="200"/>
        <w:jc w:val="both"/>
        <w:rPr>
          <w:rFonts w:ascii="宋体" w:eastAsia="宋体" w:hAnsi="宋体" w:cs="宋体"/>
          <w:spacing w:val="-4"/>
          <w:kern w:val="0"/>
          <w:szCs w:val="21"/>
        </w:rPr>
      </w:pPr>
      <w:r>
        <w:rPr>
          <w:rFonts w:ascii="宋体" w:eastAsia="宋体" w:hAnsi="宋体" w:cs="宋体" w:hint="eastAsia"/>
          <w:spacing w:val="-2"/>
          <w:kern w:val="0"/>
          <w:sz w:val="21"/>
          <w:szCs w:val="21"/>
        </w:rPr>
        <w:t>1.本合同项下货物应由乙方承运至甲方指定地点，运输所产生的费用由乙方承担。乙方应同时承担运输过程中合同货物的所有在途风险，包括但不限于毁损、丢</w:t>
      </w:r>
      <w:r>
        <w:rPr>
          <w:rFonts w:ascii="宋体" w:eastAsia="宋体" w:hAnsi="宋体" w:cs="宋体" w:hint="eastAsia"/>
          <w:spacing w:val="-4"/>
          <w:kern w:val="0"/>
          <w:sz w:val="21"/>
          <w:szCs w:val="21"/>
        </w:rPr>
        <w:t>失等。</w:t>
      </w:r>
    </w:p>
    <w:p>
      <w:pPr>
        <w:tabs>
          <w:tab w:val="left" w:pos="726"/>
          <w:tab w:val="left" w:pos="1873"/>
        </w:tabs>
        <w:autoSpaceDE w:val="0"/>
        <w:autoSpaceDN w:val="0"/>
        <w:spacing w:before="0" w:line="360" w:lineRule="auto"/>
        <w:ind w:right="0" w:firstLine="420" w:firstLineChars="200"/>
        <w:jc w:val="both"/>
        <w:rPr>
          <w:rFonts w:ascii="宋体" w:eastAsia="宋体" w:hAnsi="宋体" w:cs="宋体" w:hint="eastAsia"/>
          <w:kern w:val="0"/>
          <w:szCs w:val="21"/>
        </w:rPr>
      </w:pPr>
      <w:r>
        <w:rPr>
          <w:rFonts w:ascii="宋体" w:eastAsia="宋体" w:hAnsi="宋体" w:cs="宋体" w:hint="eastAsia"/>
          <w:kern w:val="0"/>
          <w:sz w:val="21"/>
          <w:szCs w:val="21"/>
          <w:lang w:val="en-US" w:eastAsia="zh-CN"/>
        </w:rPr>
        <w:t>2.货物运输过程中出现的所有事故，由乙方自行负责，与甲方无关，如因此给甲方造成损失的，乙方应该承担相应的赔偿责任。</w:t>
      </w:r>
    </w:p>
    <w:p>
      <w:pPr>
        <w:tabs>
          <w:tab w:val="left" w:pos="726"/>
          <w:tab w:val="left" w:pos="1873"/>
        </w:tabs>
        <w:autoSpaceDE w:val="0"/>
        <w:autoSpaceDN w:val="0"/>
        <w:spacing w:before="0" w:line="360" w:lineRule="auto"/>
        <w:ind w:right="0" w:firstLine="420" w:firstLineChars="200"/>
        <w:jc w:val="both"/>
        <w:rPr>
          <w:rFonts w:ascii="宋体" w:eastAsia="宋体" w:hAnsi="宋体" w:cs="宋体" w:hint="eastAsia"/>
          <w:kern w:val="0"/>
          <w:szCs w:val="21"/>
        </w:rPr>
      </w:pPr>
      <w:r>
        <w:rPr>
          <w:rFonts w:ascii="宋体" w:eastAsia="宋体" w:hAnsi="宋体" w:cs="宋体" w:hint="eastAsia"/>
          <w:kern w:val="0"/>
          <w:sz w:val="21"/>
          <w:szCs w:val="21"/>
          <w:lang w:val="en-US" w:eastAsia="zh-CN"/>
        </w:rPr>
        <w:t>3.货物运输途中发生的可对运输产生的不利影响的所有不可预计情况均由乙方自行协调解决。</w:t>
      </w:r>
    </w:p>
    <w:p>
      <w:pPr>
        <w:numPr>
          <w:ilvl w:val="0"/>
          <w:numId w:val="0"/>
        </w:numPr>
        <w:tabs>
          <w:tab w:val="left" w:pos="1573"/>
        </w:tabs>
        <w:adjustRightInd w:val="0"/>
        <w:snapToGrid w:val="0"/>
        <w:spacing w:line="360" w:lineRule="auto"/>
        <w:ind w:leftChars="0"/>
        <w:jc w:val="left"/>
        <w:rPr>
          <w:rFonts w:ascii="宋体" w:eastAsia="宋体" w:hAnsi="宋体" w:cs="Times New Roman"/>
          <w:szCs w:val="21"/>
        </w:rPr>
      </w:pPr>
      <w:r>
        <w:rPr>
          <w:rFonts w:ascii="宋体" w:eastAsia="宋体" w:hAnsi="宋体" w:cs="宋体" w:hint="eastAsia"/>
          <w:kern w:val="0"/>
          <w:sz w:val="21"/>
          <w:szCs w:val="21"/>
          <w:lang w:val="en-US" w:eastAsia="zh-CN"/>
        </w:rPr>
        <w:t>4.因自然灾害、政策变动等不可抗力因素导致送货延迟的，乙方须及时通知甲方，并取得相关证明，以便甲方处理后续工作。</w:t>
      </w:r>
    </w:p>
    <w:p>
      <w:pPr>
        <w:numPr>
          <w:ilvl w:val="0"/>
          <w:numId w:val="63"/>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收货时间、地点</w:t>
      </w:r>
    </w:p>
    <w:p>
      <w:pPr>
        <w:widowControl w:val="0"/>
        <w:tabs>
          <w:tab w:val="left" w:pos="2604"/>
          <w:tab w:val="left" w:pos="3242"/>
          <w:tab w:val="left" w:pos="3926"/>
          <w:tab w:val="left" w:pos="5551"/>
        </w:tabs>
        <w:autoSpaceDE w:val="0"/>
        <w:autoSpaceDN w:val="0"/>
        <w:spacing w:line="360" w:lineRule="auto"/>
        <w:ind w:right="0" w:firstLine="420" w:firstLineChars="200"/>
        <w:jc w:val="both"/>
        <w:rPr>
          <w:rFonts w:ascii="宋体" w:eastAsia="宋体" w:hAnsi="宋体" w:cs="宋体"/>
          <w:szCs w:val="21"/>
          <w:highlight w:val="none"/>
        </w:rPr>
      </w:pPr>
      <w:r>
        <w:rPr>
          <w:rFonts w:ascii="宋体" w:eastAsia="宋体" w:hAnsi="宋体" w:cs="宋体" w:hint="eastAsia"/>
          <w:sz w:val="21"/>
          <w:szCs w:val="21"/>
          <w:highlight w:val="none"/>
          <w:lang w:val="en-US" w:eastAsia="zh-CN" w:bidi="ar-SA"/>
        </w:rPr>
        <w:t>乙方应于</w:t>
      </w:r>
      <w:r>
        <w:rPr>
          <w:rFonts w:ascii="宋体" w:eastAsia="宋体" w:hAnsi="宋体" w:cs="宋体" w:hint="eastAsia"/>
          <w:sz w:val="21"/>
          <w:szCs w:val="21"/>
          <w:highlight w:val="none"/>
          <w:u w:val="single"/>
          <w:lang w:val="en-US" w:eastAsia="zh-CN" w:bidi="ar-SA"/>
        </w:rPr>
        <w:t>2026</w:t>
      </w:r>
      <w:r>
        <w:rPr>
          <w:rFonts w:ascii="宋体" w:eastAsia="宋体" w:hAnsi="宋体" w:cs="宋体" w:hint="eastAsia"/>
          <w:sz w:val="21"/>
          <w:szCs w:val="21"/>
          <w:highlight w:val="none"/>
          <w:lang w:val="en-US" w:eastAsia="zh-CN" w:bidi="ar-SA"/>
        </w:rPr>
        <w:t>年</w:t>
      </w:r>
      <w:r>
        <w:rPr>
          <w:rFonts w:ascii="宋体" w:eastAsia="宋体" w:hAnsi="宋体" w:cs="宋体" w:hint="eastAsia"/>
          <w:sz w:val="21"/>
          <w:szCs w:val="21"/>
          <w:highlight w:val="none"/>
          <w:u w:val="single"/>
          <w:lang w:val="en-US" w:eastAsia="zh-CN" w:bidi="ar-SA"/>
        </w:rPr>
        <w:t xml:space="preserve">  </w:t>
      </w:r>
      <w:r>
        <w:rPr>
          <w:rFonts w:ascii="宋体" w:eastAsia="宋体" w:hAnsi="宋体" w:cs="宋体" w:hint="eastAsia"/>
          <w:sz w:val="21"/>
          <w:szCs w:val="21"/>
          <w:highlight w:val="none"/>
          <w:lang w:val="en-US" w:eastAsia="zh-CN" w:bidi="ar-SA"/>
        </w:rPr>
        <w:t>月</w:t>
      </w:r>
      <w:r>
        <w:rPr>
          <w:rFonts w:ascii="宋体" w:eastAsia="宋体" w:hAnsi="宋体" w:cs="宋体" w:hint="eastAsia"/>
          <w:sz w:val="21"/>
          <w:szCs w:val="21"/>
          <w:highlight w:val="none"/>
          <w:u w:val="single"/>
          <w:lang w:val="en-US" w:eastAsia="zh-CN" w:bidi="ar-SA"/>
        </w:rPr>
        <w:t xml:space="preserve">  </w:t>
      </w:r>
      <w:r>
        <w:rPr>
          <w:rFonts w:ascii="宋体" w:eastAsia="宋体" w:hAnsi="宋体" w:cs="宋体" w:hint="eastAsia"/>
          <w:sz w:val="21"/>
          <w:szCs w:val="21"/>
          <w:highlight w:val="none"/>
          <w:lang w:val="en-US" w:eastAsia="zh-CN" w:bidi="ar-SA"/>
        </w:rPr>
        <w:t>日前将本合同货物运至以下地点：</w:t>
      </w:r>
    </w:p>
    <w:p>
      <w:pPr>
        <w:widowControl w:val="0"/>
        <w:tabs>
          <w:tab w:val="left" w:pos="2351"/>
          <w:tab w:val="left" w:pos="3084"/>
          <w:tab w:val="left" w:pos="3242"/>
          <w:tab w:val="left" w:pos="3926"/>
          <w:tab w:val="left" w:pos="5551"/>
        </w:tabs>
        <w:autoSpaceDE w:val="0"/>
        <w:autoSpaceDN w:val="0"/>
        <w:spacing w:line="360" w:lineRule="auto"/>
        <w:ind w:right="0" w:firstLine="420" w:firstLineChars="200"/>
        <w:jc w:val="both"/>
        <w:rPr>
          <w:rFonts w:ascii="宋体" w:eastAsia="宋体" w:hAnsi="宋体" w:cs="宋体"/>
          <w:szCs w:val="21"/>
          <w:highlight w:val="none"/>
        </w:rPr>
      </w:pPr>
      <w:r>
        <w:rPr>
          <w:rFonts w:ascii="宋体" w:eastAsia="宋体" w:hAnsi="宋体" w:cs="宋体" w:hint="eastAsia"/>
          <w:sz w:val="21"/>
          <w:szCs w:val="21"/>
          <w:highlight w:val="none"/>
          <w:lang w:val="en-US" w:eastAsia="zh-CN" w:bidi="ar-SA"/>
        </w:rPr>
        <w:t>收货单位：</w:t>
      </w:r>
      <w:r>
        <w:rPr>
          <w:rFonts w:ascii="宋体" w:eastAsia="宋体" w:hAnsi="宋体" w:cs="宋体" w:hint="eastAsia"/>
          <w:sz w:val="21"/>
          <w:szCs w:val="21"/>
          <w:highlight w:val="none"/>
          <w:u w:val="single"/>
          <w:lang w:val="en-US" w:eastAsia="zh-CN" w:bidi="ar-SA"/>
        </w:rPr>
        <w:t>青海省气象灾害防御技术中心</w:t>
      </w:r>
      <w:r>
        <w:rPr>
          <w:rFonts w:ascii="宋体" w:eastAsia="宋体" w:hAnsi="宋体" w:cs="宋体" w:hint="eastAsia"/>
          <w:sz w:val="21"/>
          <w:szCs w:val="21"/>
          <w:highlight w:val="none"/>
          <w:lang w:val="en-US" w:eastAsia="zh-CN" w:bidi="ar-SA"/>
        </w:rPr>
        <w:tab/>
      </w:r>
      <w:r>
        <w:rPr>
          <w:rFonts w:ascii="宋体" w:eastAsia="宋体" w:hAnsi="宋体" w:cs="宋体" w:hint="eastAsia"/>
          <w:sz w:val="21"/>
          <w:szCs w:val="21"/>
          <w:highlight w:val="none"/>
          <w:lang w:val="en-US" w:eastAsia="zh-CN" w:bidi="ar-SA"/>
        </w:rPr>
        <w:tab/>
      </w:r>
      <w:r>
        <w:rPr>
          <w:rFonts w:ascii="宋体" w:eastAsia="宋体" w:hAnsi="宋体" w:cs="宋体" w:hint="eastAsia"/>
          <w:sz w:val="21"/>
          <w:szCs w:val="21"/>
          <w:highlight w:val="none"/>
          <w:lang w:val="en-US" w:eastAsia="zh-CN" w:bidi="ar-SA"/>
        </w:rPr>
        <w:tab/>
      </w:r>
      <w:r>
        <w:rPr>
          <w:rFonts w:ascii="宋体" w:eastAsia="宋体" w:hAnsi="宋体" w:cs="宋体" w:hint="eastAsia"/>
          <w:sz w:val="21"/>
          <w:szCs w:val="21"/>
          <w:highlight w:val="none"/>
          <w:lang w:val="en-US" w:eastAsia="zh-CN" w:bidi="ar-SA"/>
        </w:rPr>
        <w:t xml:space="preserve">                          </w:t>
      </w:r>
    </w:p>
    <w:p>
      <w:pPr>
        <w:widowControl w:val="0"/>
        <w:tabs>
          <w:tab w:val="left" w:pos="5470"/>
          <w:tab w:val="left" w:pos="5551"/>
          <w:tab w:val="left" w:pos="5610"/>
          <w:tab w:val="left" w:pos="5640"/>
        </w:tabs>
        <w:autoSpaceDE w:val="0"/>
        <w:autoSpaceDN w:val="0"/>
        <w:spacing w:line="360" w:lineRule="auto"/>
        <w:ind w:right="0" w:firstLine="420" w:firstLineChars="200"/>
        <w:jc w:val="both"/>
        <w:rPr>
          <w:rFonts w:ascii="宋体" w:eastAsia="宋体" w:hAnsi="宋体" w:cs="宋体" w:hint="default"/>
          <w:szCs w:val="21"/>
          <w:highlight w:val="none"/>
          <w:u w:val="single"/>
        </w:rPr>
      </w:pPr>
      <w:r>
        <w:rPr>
          <w:rFonts w:ascii="宋体" w:eastAsia="宋体" w:hAnsi="宋体" w:cs="宋体" w:hint="eastAsia"/>
          <w:sz w:val="21"/>
          <w:szCs w:val="21"/>
          <w:highlight w:val="none"/>
          <w:lang w:val="en-US" w:eastAsia="zh-CN" w:bidi="ar-SA"/>
        </w:rPr>
        <w:t>收货人：</w:t>
      </w:r>
      <w:r>
        <w:rPr>
          <w:rFonts w:ascii="宋体" w:eastAsia="宋体" w:hAnsi="宋体" w:cs="宋体" w:hint="eastAsia"/>
          <w:sz w:val="21"/>
          <w:szCs w:val="21"/>
          <w:highlight w:val="none"/>
          <w:u w:val="single"/>
          <w:lang w:val="en-US" w:eastAsia="zh-CN" w:bidi="ar-SA"/>
        </w:rPr>
        <w:t xml:space="preserve">    </w:t>
      </w:r>
    </w:p>
    <w:p>
      <w:pPr>
        <w:widowControl w:val="0"/>
        <w:tabs>
          <w:tab w:val="left" w:pos="5230"/>
          <w:tab w:val="left" w:pos="5370"/>
          <w:tab w:val="left" w:pos="5400"/>
          <w:tab w:val="left" w:pos="5551"/>
        </w:tabs>
        <w:autoSpaceDE w:val="0"/>
        <w:autoSpaceDN w:val="0"/>
        <w:spacing w:line="360" w:lineRule="auto"/>
        <w:ind w:right="0" w:firstLine="420" w:firstLineChars="200"/>
        <w:jc w:val="both"/>
        <w:rPr>
          <w:rFonts w:ascii="宋体" w:eastAsia="宋体" w:hAnsi="宋体" w:cs="宋体" w:hint="default"/>
          <w:szCs w:val="21"/>
          <w:highlight w:val="none"/>
          <w:u w:val="single"/>
        </w:rPr>
      </w:pPr>
      <w:r>
        <w:rPr>
          <w:rFonts w:ascii="宋体" w:eastAsia="宋体" w:hAnsi="宋体" w:cs="宋体" w:hint="eastAsia"/>
          <w:sz w:val="21"/>
          <w:szCs w:val="21"/>
          <w:highlight w:val="none"/>
          <w:lang w:val="en-US" w:eastAsia="zh-CN" w:bidi="ar-SA"/>
        </w:rPr>
        <w:t>电话：</w:t>
      </w:r>
      <w:r>
        <w:rPr>
          <w:rFonts w:ascii="宋体" w:eastAsia="宋体" w:hAnsi="宋体" w:cs="宋体" w:hint="eastAsia"/>
          <w:sz w:val="21"/>
          <w:szCs w:val="21"/>
          <w:highlight w:val="none"/>
          <w:u w:val="single"/>
          <w:lang w:val="en-US" w:eastAsia="zh-CN" w:bidi="ar-SA"/>
        </w:rPr>
        <w:t xml:space="preserve">       </w:t>
      </w:r>
    </w:p>
    <w:p>
      <w:pPr>
        <w:tabs>
          <w:tab w:val="left" w:pos="5636"/>
        </w:tabs>
        <w:autoSpaceDE w:val="0"/>
        <w:autoSpaceDN w:val="0"/>
        <w:spacing w:line="360" w:lineRule="auto"/>
        <w:ind w:right="0" w:firstLine="420" w:firstLineChars="200"/>
        <w:jc w:val="both"/>
        <w:rPr>
          <w:rFonts w:ascii="宋体" w:eastAsia="宋体" w:hAnsi="宋体" w:cs="宋体" w:hint="default"/>
          <w:kern w:val="0"/>
          <w:szCs w:val="21"/>
          <w:highlight w:val="none"/>
          <w:u w:val="single"/>
        </w:rPr>
      </w:pPr>
      <w:r>
        <w:rPr>
          <w:rFonts w:ascii="宋体" w:eastAsia="宋体" w:hAnsi="宋体" w:cs="宋体" w:hint="eastAsia"/>
          <w:spacing w:val="-2"/>
          <w:kern w:val="0"/>
          <w:sz w:val="21"/>
          <w:szCs w:val="21"/>
          <w:highlight w:val="none"/>
        </w:rPr>
        <w:t>收货地址：</w:t>
      </w:r>
      <w:r>
        <w:rPr>
          <w:rFonts w:ascii="宋体" w:eastAsia="宋体" w:hAnsi="宋体" w:cs="宋体" w:hint="eastAsia"/>
          <w:spacing w:val="-2"/>
          <w:kern w:val="0"/>
          <w:sz w:val="21"/>
          <w:szCs w:val="21"/>
          <w:highlight w:val="none"/>
          <w:u w:val="single"/>
        </w:rPr>
        <w:t>青海省境内</w:t>
      </w:r>
      <w:r>
        <w:rPr>
          <w:rFonts w:ascii="宋体" w:eastAsia="宋体" w:hAnsi="宋体" w:cs="宋体" w:hint="eastAsia"/>
          <w:kern w:val="0"/>
          <w:sz w:val="21"/>
          <w:szCs w:val="21"/>
          <w:highlight w:val="none"/>
          <w:u w:val="single"/>
          <w:lang w:val="en-US" w:eastAsia="zh-CN"/>
        </w:rPr>
        <w:t>甲方指定地点</w:t>
      </w:r>
    </w:p>
    <w:p>
      <w:pPr>
        <w:tabs>
          <w:tab w:val="left" w:pos="3242"/>
        </w:tabs>
        <w:autoSpaceDE w:val="0"/>
        <w:autoSpaceDN w:val="0"/>
        <w:spacing w:line="360" w:lineRule="auto"/>
        <w:ind w:right="0" w:firstLine="420" w:firstLineChars="200"/>
        <w:jc w:val="both"/>
        <w:rPr>
          <w:rFonts w:ascii="宋体" w:eastAsia="宋体" w:hAnsi="宋体" w:cs="宋体" w:hint="eastAsia"/>
          <w:kern w:val="0"/>
          <w:szCs w:val="21"/>
          <w:highlight w:val="none"/>
          <w:u w:val="single"/>
        </w:rPr>
      </w:pPr>
      <w:r>
        <w:rPr>
          <w:rFonts w:ascii="宋体" w:eastAsia="宋体" w:hAnsi="宋体" w:cs="宋体"/>
          <w:spacing w:val="-2"/>
          <w:kern w:val="0"/>
          <w:sz w:val="21"/>
          <w:szCs w:val="21"/>
          <w:highlight w:val="none"/>
        </w:rPr>
        <w:t>邮编：</w:t>
      </w:r>
      <w:r>
        <w:rPr>
          <w:rFonts w:ascii="宋体" w:eastAsia="宋体" w:hAnsi="宋体" w:cs="宋体" w:hint="eastAsia"/>
          <w:kern w:val="0"/>
          <w:sz w:val="21"/>
          <w:szCs w:val="21"/>
          <w:highlight w:val="none"/>
          <w:u w:val="single"/>
          <w:lang w:val="en-US" w:eastAsia="zh-CN"/>
        </w:rPr>
        <w:t>810001</w:t>
      </w:r>
    </w:p>
    <w:p>
      <w:pPr>
        <w:numPr>
          <w:ilvl w:val="0"/>
          <w:numId w:val="63"/>
        </w:numPr>
        <w:adjustRightInd w:val="0"/>
        <w:snapToGrid w:val="0"/>
        <w:spacing w:line="360" w:lineRule="auto"/>
        <w:ind w:left="0" w:firstLine="420"/>
        <w:rPr>
          <w:rFonts w:ascii="Times New Roman" w:eastAsia="宋体" w:hAnsi="Times New Roman" w:cs="Times New Roman"/>
          <w:b/>
          <w:szCs w:val="21"/>
          <w:highlight w:val="none"/>
        </w:rPr>
      </w:pPr>
      <w:r>
        <w:rPr>
          <w:rFonts w:ascii="Times New Roman" w:eastAsia="宋体" w:hAnsi="Times New Roman" w:cs="Times New Roman" w:hint="eastAsia"/>
          <w:b/>
          <w:sz w:val="21"/>
          <w:szCs w:val="21"/>
          <w:highlight w:val="none"/>
        </w:rPr>
        <w:t>合同价格及付款方式</w:t>
      </w:r>
    </w:p>
    <w:p>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rPr>
      </w:pPr>
      <w:r>
        <w:rPr>
          <w:rFonts w:ascii="宋体" w:eastAsia="宋体" w:hAnsi="宋体" w:cs="宋体" w:hint="eastAsia"/>
          <w:kern w:val="0"/>
          <w:sz w:val="21"/>
          <w:szCs w:val="21"/>
          <w:highlight w:val="none"/>
        </w:rPr>
        <w:t>1.合同总金额为人民币    （大写），￥    （小写）。</w:t>
      </w:r>
    </w:p>
    <w:p>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rPr>
      </w:pPr>
      <w:r>
        <w:rPr>
          <w:rFonts w:ascii="宋体" w:eastAsia="宋体" w:hAnsi="宋体" w:cs="宋体" w:hint="eastAsia"/>
          <w:kern w:val="0"/>
          <w:sz w:val="21"/>
          <w:szCs w:val="21"/>
          <w:highlight w:val="none"/>
        </w:rPr>
        <w:t>2.合同生效后付款：双方签署合同后</w:t>
      </w:r>
      <w:r>
        <w:rPr>
          <w:rFonts w:ascii="宋体" w:eastAsia="宋体" w:hAnsi="宋体" w:cs="宋体" w:hint="eastAsia"/>
          <w:kern w:val="0"/>
          <w:sz w:val="21"/>
          <w:szCs w:val="21"/>
          <w:highlight w:val="none"/>
          <w:lang w:val="en-US" w:eastAsia="zh-CN"/>
        </w:rPr>
        <w:t>1</w:t>
      </w:r>
      <w:r>
        <w:rPr>
          <w:rFonts w:ascii="宋体" w:eastAsia="宋体" w:hAnsi="宋体" w:cs="宋体" w:hint="eastAsia"/>
          <w:kern w:val="0"/>
          <w:sz w:val="21"/>
          <w:szCs w:val="21"/>
          <w:highlight w:val="none"/>
        </w:rPr>
        <w:t>0个工作日内，乙方向甲方提供金额为合同总价5%，有效截止日期为202</w:t>
      </w:r>
      <w:r>
        <w:rPr>
          <w:rFonts w:ascii="宋体" w:eastAsia="宋体" w:hAnsi="宋体" w:cs="宋体" w:hint="eastAsia"/>
          <w:kern w:val="0"/>
          <w:sz w:val="21"/>
          <w:szCs w:val="21"/>
          <w:highlight w:val="none"/>
          <w:lang w:val="en-US" w:eastAsia="zh-CN"/>
        </w:rPr>
        <w:t>7</w:t>
      </w:r>
      <w:r>
        <w:rPr>
          <w:rFonts w:ascii="宋体" w:eastAsia="宋体" w:hAnsi="宋体" w:cs="宋体" w:hint="eastAsia"/>
          <w:kern w:val="0"/>
          <w:sz w:val="21"/>
          <w:szCs w:val="21"/>
          <w:highlight w:val="none"/>
        </w:rPr>
        <w:t>年</w:t>
      </w:r>
      <w:r>
        <w:rPr>
          <w:rFonts w:ascii="宋体" w:eastAsia="宋体" w:hAnsi="宋体" w:cs="宋体" w:hint="eastAsia"/>
          <w:kern w:val="0"/>
          <w:sz w:val="21"/>
          <w:szCs w:val="21"/>
          <w:highlight w:val="none"/>
          <w:lang w:val="en-US" w:eastAsia="zh-CN"/>
        </w:rPr>
        <w:t>8</w:t>
      </w:r>
      <w:r>
        <w:rPr>
          <w:rFonts w:ascii="宋体" w:eastAsia="宋体" w:hAnsi="宋体" w:cs="宋体" w:hint="eastAsia"/>
          <w:kern w:val="0"/>
          <w:sz w:val="21"/>
          <w:szCs w:val="21"/>
          <w:highlight w:val="none"/>
        </w:rPr>
        <w:t>月31日的银行履约保函，甲方向乙方支付合同总金额的60%预付款，即人民币     （大写），￥    元（小写），设备到达现场开箱验收合格后预付款转为合同支付款。</w:t>
      </w:r>
    </w:p>
    <w:p>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rPr>
      </w:pPr>
      <w:r>
        <w:rPr>
          <w:rFonts w:ascii="宋体" w:eastAsia="宋体" w:hAnsi="宋体" w:cs="宋体" w:hint="eastAsia"/>
          <w:kern w:val="0"/>
          <w:sz w:val="21"/>
          <w:szCs w:val="21"/>
          <w:highlight w:val="none"/>
        </w:rPr>
        <w:t>3.乙方提交的</w:t>
      </w:r>
      <w:r>
        <w:rPr>
          <w:rFonts w:ascii="宋体" w:eastAsia="宋体" w:hAnsi="宋体" w:cs="宋体" w:hint="eastAsia"/>
          <w:kern w:val="0"/>
          <w:sz w:val="21"/>
          <w:szCs w:val="21"/>
          <w:highlight w:val="none"/>
          <w:lang w:val="en-US" w:eastAsia="zh-CN"/>
        </w:rPr>
        <w:t>项目深化</w:t>
      </w:r>
      <w:r>
        <w:rPr>
          <w:rFonts w:ascii="宋体" w:eastAsia="宋体" w:hAnsi="宋体" w:cs="宋体" w:hint="eastAsia"/>
          <w:kern w:val="0"/>
          <w:sz w:val="21"/>
          <w:szCs w:val="21"/>
          <w:highlight w:val="none"/>
        </w:rPr>
        <w:t>设计方案通过论证后</w:t>
      </w:r>
      <w:r>
        <w:rPr>
          <w:rFonts w:ascii="宋体" w:eastAsia="宋体" w:hAnsi="宋体" w:cs="宋体" w:hint="eastAsia"/>
          <w:kern w:val="0"/>
          <w:sz w:val="21"/>
          <w:szCs w:val="21"/>
          <w:highlight w:val="none"/>
          <w:lang w:val="en-US" w:eastAsia="zh-CN"/>
        </w:rPr>
        <w:t>1</w:t>
      </w:r>
      <w:r>
        <w:rPr>
          <w:rFonts w:ascii="宋体" w:eastAsia="宋体" w:hAnsi="宋体" w:cs="宋体" w:hint="eastAsia"/>
          <w:kern w:val="0"/>
          <w:sz w:val="21"/>
          <w:szCs w:val="21"/>
          <w:highlight w:val="none"/>
        </w:rPr>
        <w:t>0个工作日内，甲方向乙方支付合同总金额的10%，即人民币    （大写），￥     元（小写）。</w:t>
      </w:r>
    </w:p>
    <w:p>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rPr>
      </w:pPr>
      <w:r>
        <w:rPr>
          <w:rFonts w:ascii="宋体" w:eastAsia="宋体" w:hAnsi="宋体" w:cs="宋体" w:hint="eastAsia"/>
          <w:kern w:val="0"/>
          <w:sz w:val="21"/>
          <w:szCs w:val="21"/>
          <w:highlight w:val="none"/>
        </w:rPr>
        <w:t>4.</w:t>
      </w:r>
      <w:r>
        <w:rPr>
          <w:rFonts w:ascii="宋体" w:eastAsia="宋体" w:hAnsi="宋体" w:cs="宋体" w:hint="eastAsia"/>
          <w:kern w:val="0"/>
          <w:sz w:val="21"/>
          <w:szCs w:val="21"/>
          <w:highlight w:val="none"/>
          <w:lang w:val="en-US" w:eastAsia="zh-CN"/>
        </w:rPr>
        <w:t>乙方完成</w:t>
      </w:r>
      <w:r>
        <w:rPr>
          <w:rFonts w:ascii="宋体" w:eastAsia="宋体" w:hAnsi="宋体" w:cs="宋体" w:hint="eastAsia"/>
          <w:kern w:val="0"/>
          <w:sz w:val="21"/>
          <w:szCs w:val="21"/>
          <w:highlight w:val="none"/>
        </w:rPr>
        <w:t>探测模组各设备出厂测试后</w:t>
      </w:r>
      <w:r>
        <w:rPr>
          <w:rFonts w:ascii="宋体" w:eastAsia="宋体" w:hAnsi="宋体" w:cs="宋体" w:hint="eastAsia"/>
          <w:kern w:val="0"/>
          <w:sz w:val="21"/>
          <w:szCs w:val="21"/>
          <w:highlight w:val="none"/>
          <w:lang w:val="en-US" w:eastAsia="zh-CN"/>
        </w:rPr>
        <w:t>1</w:t>
      </w:r>
      <w:r>
        <w:rPr>
          <w:rFonts w:ascii="宋体" w:eastAsia="宋体" w:hAnsi="宋体" w:cs="宋体" w:hint="eastAsia"/>
          <w:kern w:val="0"/>
          <w:sz w:val="21"/>
          <w:szCs w:val="21"/>
          <w:highlight w:val="none"/>
        </w:rPr>
        <w:t>0个工作日内</w:t>
      </w:r>
      <w:r>
        <w:rPr>
          <w:rFonts w:ascii="宋体" w:eastAsia="宋体" w:hAnsi="宋体" w:cs="宋体" w:hint="eastAsia"/>
          <w:kern w:val="0"/>
          <w:sz w:val="21"/>
          <w:szCs w:val="21"/>
          <w:highlight w:val="none"/>
          <w:lang w:eastAsia="zh-CN"/>
        </w:rPr>
        <w:t>，</w:t>
      </w:r>
      <w:r>
        <w:rPr>
          <w:rFonts w:ascii="宋体" w:eastAsia="宋体" w:hAnsi="宋体" w:cs="宋体" w:hint="eastAsia"/>
          <w:kern w:val="0"/>
          <w:sz w:val="21"/>
          <w:szCs w:val="21"/>
          <w:highlight w:val="none"/>
        </w:rPr>
        <w:t>甲方向乙方支付合同总金额的20%，即人民币     （大写），￥      元（小写）。</w:t>
      </w:r>
    </w:p>
    <w:p>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u w:val="single"/>
        </w:rPr>
      </w:pPr>
      <w:r>
        <w:rPr>
          <w:rFonts w:ascii="宋体" w:eastAsia="宋体" w:hAnsi="宋体" w:cs="宋体" w:hint="eastAsia"/>
          <w:kern w:val="0"/>
          <w:sz w:val="21"/>
          <w:szCs w:val="21"/>
          <w:highlight w:val="none"/>
        </w:rPr>
        <w:t>5.签署合同验收报告后付款：项目通过甲方组织的合同验收后</w:t>
      </w:r>
      <w:r>
        <w:rPr>
          <w:rFonts w:ascii="宋体" w:eastAsia="宋体" w:hAnsi="宋体" w:cs="宋体" w:hint="eastAsia"/>
          <w:kern w:val="0"/>
          <w:sz w:val="21"/>
          <w:szCs w:val="21"/>
          <w:highlight w:val="none"/>
          <w:lang w:val="en-US" w:eastAsia="zh-CN"/>
        </w:rPr>
        <w:t>1</w:t>
      </w:r>
      <w:r>
        <w:rPr>
          <w:rFonts w:ascii="宋体" w:eastAsia="宋体" w:hAnsi="宋体" w:cs="宋体" w:hint="eastAsia"/>
          <w:kern w:val="0"/>
          <w:sz w:val="21"/>
          <w:szCs w:val="21"/>
          <w:highlight w:val="none"/>
        </w:rPr>
        <w:t>0个工作日内，甲方向乙方支付合同总金额的10%，即人民币     （大写），￥    元（小写）。</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hint="eastAsia"/>
                <w:b/>
                <w:kern w:val="0"/>
                <w:sz w:val="21"/>
                <w:szCs w:val="21"/>
                <w:highlight w:val="none"/>
                <w:lang w:val="en-US" w:eastAsia="zh-CN"/>
              </w:rPr>
              <w:t>收</w:t>
            </w:r>
            <w:r>
              <w:rPr>
                <w:rFonts w:ascii="Times New Roman" w:eastAsia="宋体" w:hAnsi="Times New Roman" w:cs="Times New Roman"/>
                <w:b/>
                <w:kern w:val="0"/>
                <w:sz w:val="21"/>
                <w:szCs w:val="21"/>
                <w:highlight w:val="none"/>
              </w:rPr>
              <w:t>款</w:t>
            </w:r>
            <w:r>
              <w:rPr>
                <w:rFonts w:ascii="Times New Roman" w:eastAsia="宋体" w:hAnsi="Times New Roman" w:cs="Times New Roman" w:hint="eastAsia"/>
                <w:b/>
                <w:kern w:val="0"/>
                <w:sz w:val="21"/>
                <w:szCs w:val="21"/>
                <w:highlight w:val="none"/>
                <w:lang w:val="en-US" w:eastAsia="zh-CN"/>
              </w:rPr>
              <w:t>单位</w:t>
            </w:r>
            <w:r>
              <w:rPr>
                <w:rFonts w:ascii="Times New Roman" w:eastAsia="宋体" w:hAnsi="Times New Roman" w:cs="Times New Roman"/>
                <w:b/>
                <w:kern w:val="0"/>
                <w:sz w:val="21"/>
                <w:szCs w:val="21"/>
                <w:highlight w:val="none"/>
              </w:rPr>
              <w:t>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单位名称</w:t>
            </w:r>
          </w:p>
        </w:tc>
        <w:tc>
          <w:tcPr>
            <w:tcW w:w="7081" w:type="dxa"/>
            <w:noWrap w:val="0"/>
            <w:vAlign w:val="top"/>
          </w:tcPr>
          <w:p>
            <w:pPr>
              <w:autoSpaceDE w:val="0"/>
              <w:autoSpaceDN w:val="0"/>
              <w:spacing w:line="360" w:lineRule="auto"/>
              <w:jc w:val="left"/>
              <w:rPr>
                <w:rFonts w:ascii="Times New Roman" w:eastAsia="宋体" w:hAnsi="Times New Roman" w:cs="Times New Roman"/>
                <w:kern w:val="0"/>
                <w:szCs w:val="21"/>
                <w:highlight w:val="none"/>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开户银行</w:t>
            </w:r>
          </w:p>
        </w:tc>
        <w:tc>
          <w:tcPr>
            <w:tcW w:w="7081" w:type="dxa"/>
            <w:noWrap w:val="0"/>
            <w:vAlign w:val="top"/>
          </w:tcPr>
          <w:p>
            <w:pPr>
              <w:autoSpaceDE w:val="0"/>
              <w:autoSpaceDN w:val="0"/>
              <w:spacing w:line="360" w:lineRule="auto"/>
              <w:jc w:val="left"/>
              <w:rPr>
                <w:rFonts w:ascii="Times New Roman" w:eastAsia="宋体" w:hAnsi="Times New Roman" w:cs="Times New Roman"/>
                <w:kern w:val="0"/>
                <w:szCs w:val="21"/>
                <w:highlight w:val="none"/>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账号</w:t>
            </w:r>
          </w:p>
        </w:tc>
        <w:tc>
          <w:tcPr>
            <w:tcW w:w="7081" w:type="dxa"/>
            <w:noWrap w:val="0"/>
            <w:vAlign w:val="top"/>
          </w:tcPr>
          <w:p>
            <w:pPr>
              <w:autoSpaceDE w:val="0"/>
              <w:autoSpaceDN w:val="0"/>
              <w:spacing w:line="360" w:lineRule="auto"/>
              <w:jc w:val="left"/>
              <w:rPr>
                <w:rFonts w:ascii="Times New Roman" w:eastAsia="宋体" w:hAnsi="Times New Roman" w:cs="Times New Roman"/>
                <w:kern w:val="0"/>
                <w:szCs w:val="21"/>
                <w:highlight w:val="none"/>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b/>
                <w:kern w:val="0"/>
                <w:sz w:val="21"/>
                <w:szCs w:val="21"/>
                <w:highlight w:val="none"/>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单位名称</w:t>
            </w:r>
          </w:p>
        </w:tc>
        <w:tc>
          <w:tcPr>
            <w:tcW w:w="7081" w:type="dxa"/>
            <w:noWrap w:val="0"/>
            <w:vAlign w:val="center"/>
          </w:tcPr>
          <w:p>
            <w:pPr>
              <w:autoSpaceDE w:val="0"/>
              <w:autoSpaceDN w:val="0"/>
              <w:adjustRightInd w:val="0"/>
              <w:snapToGrid w:val="0"/>
              <w:jc w:val="left"/>
              <w:rPr>
                <w:rFonts w:ascii="Times New Roman" w:eastAsia="宋体" w:hAnsi="Times New Roman" w:cs="Times New Roman"/>
                <w:kern w:val="0"/>
                <w:szCs w:val="21"/>
                <w:highlight w:val="none"/>
              </w:rPr>
            </w:pPr>
            <w:r>
              <w:rPr>
                <w:rFonts w:ascii="Times New Roman" w:eastAsia="宋体" w:hAnsi="Times New Roman" w:cs="Times New Roman"/>
                <w:color w:val="000000"/>
                <w:kern w:val="0"/>
                <w:sz w:val="21"/>
                <w:szCs w:val="21"/>
                <w:highlight w:val="none"/>
                <w:lang w:bidi="ar"/>
              </w:rPr>
              <w:t>青海省气象灾害防御技术中心</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纳税人识别号</w:t>
            </w:r>
          </w:p>
        </w:tc>
        <w:tc>
          <w:tcPr>
            <w:tcW w:w="7081" w:type="dxa"/>
            <w:noWrap w:val="0"/>
            <w:vAlign w:val="center"/>
          </w:tcPr>
          <w:p>
            <w:pPr>
              <w:autoSpaceDE w:val="0"/>
              <w:autoSpaceDN w:val="0"/>
              <w:spacing w:line="360" w:lineRule="auto"/>
              <w:jc w:val="left"/>
              <w:rPr>
                <w:rFonts w:ascii="Times New Roman" w:eastAsia="宋体" w:hAnsi="Times New Roman" w:cs="Times New Roman"/>
                <w:kern w:val="0"/>
                <w:szCs w:val="21"/>
                <w:highlight w:val="none"/>
              </w:rPr>
            </w:pPr>
            <w:r>
              <w:rPr>
                <w:rFonts w:ascii="宋体" w:eastAsia="宋体" w:hAnsi="宋体" w:cs="宋体" w:hint="eastAsia"/>
                <w:kern w:val="0"/>
                <w:sz w:val="21"/>
                <w:szCs w:val="21"/>
                <w:highlight w:val="none"/>
              </w:rPr>
              <w:t>12630000710507172H</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发票类型</w:t>
            </w:r>
          </w:p>
        </w:tc>
        <w:tc>
          <w:tcPr>
            <w:tcW w:w="7081" w:type="dxa"/>
            <w:noWrap w:val="0"/>
            <w:vAlign w:val="top"/>
          </w:tcPr>
          <w:p>
            <w:pPr>
              <w:autoSpaceDE w:val="0"/>
              <w:autoSpaceDN w:val="0"/>
              <w:spacing w:line="360" w:lineRule="auto"/>
              <w:jc w:val="left"/>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■增值税普通发票  □增值税专用发票</w:t>
            </w:r>
          </w:p>
        </w:tc>
      </w:tr>
    </w:tbl>
    <w:p>
      <w:pPr>
        <w:numPr>
          <w:ilvl w:val="0"/>
          <w:numId w:val="63"/>
        </w:numPr>
        <w:adjustRightInd w:val="0"/>
        <w:snapToGrid w:val="0"/>
        <w:spacing w:line="360" w:lineRule="auto"/>
        <w:ind w:left="0" w:firstLine="420"/>
        <w:rPr>
          <w:rFonts w:ascii="Times New Roman" w:eastAsia="宋体" w:hAnsi="Times New Roman" w:cs="Times New Roman"/>
          <w:b/>
          <w:szCs w:val="21"/>
          <w:highlight w:val="none"/>
        </w:rPr>
      </w:pPr>
      <w:r>
        <w:rPr>
          <w:rFonts w:ascii="Times New Roman" w:eastAsia="宋体" w:hAnsi="Times New Roman" w:cs="Times New Roman" w:hint="eastAsia"/>
          <w:b/>
          <w:sz w:val="21"/>
          <w:szCs w:val="21"/>
          <w:highlight w:val="none"/>
        </w:rPr>
        <w:t>技术服务和保修责任方式</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highlight w:val="none"/>
        </w:rPr>
      </w:pPr>
      <w:r>
        <w:rPr>
          <w:rFonts w:ascii="宋体" w:eastAsia="宋体" w:hAnsi="宋体" w:cs="宋体" w:hint="eastAsia"/>
          <w:color w:val="000000"/>
          <w:kern w:val="0"/>
          <w:sz w:val="21"/>
          <w:szCs w:val="21"/>
          <w:highlight w:val="none"/>
          <w:lang w:bidi="ar"/>
        </w:rPr>
        <w:t>1</w:t>
      </w:r>
      <w:r>
        <w:rPr>
          <w:rFonts w:ascii="宋体" w:eastAsia="宋体" w:hAnsi="宋体" w:cs="宋体" w:hint="eastAsia"/>
          <w:color w:val="000000"/>
          <w:kern w:val="0"/>
          <w:sz w:val="21"/>
          <w:szCs w:val="21"/>
          <w:highlight w:val="none"/>
          <w:lang w:val="en-US" w:eastAsia="zh-CN" w:bidi="ar"/>
        </w:rPr>
        <w:t>.</w:t>
      </w:r>
      <w:r>
        <w:rPr>
          <w:rFonts w:ascii="宋体" w:eastAsia="宋体" w:hAnsi="宋体" w:cs="宋体" w:hint="eastAsia"/>
          <w:kern w:val="0"/>
          <w:sz w:val="21"/>
          <w:szCs w:val="21"/>
          <w:highlight w:val="none"/>
        </w:rPr>
        <w:t>乙方对合同货物的售后维修服务为验收证书签署之日起</w:t>
      </w:r>
      <w:r>
        <w:rPr>
          <w:rFonts w:ascii="宋体" w:eastAsia="宋体" w:hAnsi="宋体" w:cs="宋体" w:hint="eastAsia"/>
          <w:kern w:val="0"/>
          <w:sz w:val="21"/>
          <w:szCs w:val="21"/>
          <w:highlight w:val="none"/>
          <w:u w:val="single"/>
          <w:lang w:val="en-US" w:eastAsia="zh-CN"/>
        </w:rPr>
        <w:t>96</w:t>
      </w:r>
      <w:r>
        <w:rPr>
          <w:rFonts w:ascii="宋体" w:eastAsia="宋体" w:hAnsi="宋体" w:cs="宋体" w:hint="eastAsia"/>
          <w:kern w:val="0"/>
          <w:sz w:val="21"/>
          <w:szCs w:val="21"/>
          <w:highlight w:val="none"/>
        </w:rPr>
        <w:t>个月。</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乙方在合同货物的质量保修期内，免费为甲方提供合同货物的技术指导和维修服务的时间是：每周7天*24小时（工作时间）。</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3</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乙方保证在合同货物出现故障和缺陷时，或接到甲方提出的技术服务要求后2小时内予以答复，如甲方有要求或必要时，乙</w:t>
      </w:r>
      <w:r>
        <w:rPr>
          <w:rFonts w:ascii="宋体" w:eastAsia="宋体" w:hAnsi="宋体" w:cs="宋体" w:hint="eastAsia"/>
          <w:kern w:val="0"/>
          <w:sz w:val="21"/>
          <w:szCs w:val="21"/>
          <w:lang w:val="en-US" w:eastAsia="zh-CN"/>
        </w:rPr>
        <w:t>方</w:t>
      </w:r>
      <w:r>
        <w:rPr>
          <w:rFonts w:ascii="宋体" w:eastAsia="宋体" w:hAnsi="宋体" w:cs="宋体" w:hint="eastAsia"/>
          <w:kern w:val="0"/>
          <w:sz w:val="21"/>
          <w:szCs w:val="21"/>
        </w:rPr>
        <w:t>接到报修后2小时内响应，24小时内到达现场，48小时内修复。</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4</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如乙方在接到甲方维修通知后48小时内无法修复的，</w:t>
      </w:r>
      <w:r>
        <w:rPr>
          <w:rFonts w:ascii="宋体" w:eastAsia="宋体" w:hAnsi="宋体" w:cs="宋体" w:hint="eastAsia"/>
          <w:kern w:val="0"/>
          <w:sz w:val="21"/>
          <w:szCs w:val="21"/>
          <w:lang w:val="en-US" w:eastAsia="zh-CN"/>
        </w:rPr>
        <w:t>免费</w:t>
      </w:r>
      <w:r>
        <w:rPr>
          <w:rFonts w:ascii="宋体" w:eastAsia="宋体" w:hAnsi="宋体" w:cs="宋体" w:hint="eastAsia"/>
          <w:kern w:val="0"/>
          <w:sz w:val="21"/>
          <w:szCs w:val="21"/>
        </w:rPr>
        <w:t>提供不低于原规格的备用设备。</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5</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如乙方在接到甲方提出的技术服务要求或维修通知后48小时内没有响应、拒绝或没有派员到达甲方提供技术服务、修理或退换货物，甲方有权委托第三人对合同货物进行维修或提供技术服务</w:t>
      </w:r>
      <w:r>
        <w:rPr>
          <w:rFonts w:ascii="宋体" w:eastAsia="宋体" w:hAnsi="宋体" w:cs="宋体" w:hint="eastAsia"/>
          <w:kern w:val="0"/>
          <w:sz w:val="21"/>
          <w:szCs w:val="21"/>
          <w:lang w:eastAsia="zh-CN"/>
        </w:rPr>
        <w:t>，</w:t>
      </w:r>
      <w:r>
        <w:rPr>
          <w:rFonts w:ascii="宋体" w:eastAsia="宋体" w:hAnsi="宋体" w:cs="宋体" w:hint="eastAsia"/>
          <w:kern w:val="0"/>
          <w:sz w:val="21"/>
          <w:szCs w:val="21"/>
          <w:lang w:val="en-US" w:eastAsia="zh-CN"/>
        </w:rPr>
        <w:t>由此产生的相关费用由乙方承担</w:t>
      </w:r>
      <w:r>
        <w:rPr>
          <w:rFonts w:ascii="宋体" w:eastAsia="宋体" w:hAnsi="宋体" w:cs="宋体" w:hint="eastAsia"/>
          <w:kern w:val="0"/>
          <w:sz w:val="21"/>
          <w:szCs w:val="21"/>
        </w:rPr>
        <w:t>。</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6</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在合同货物保修期届满后，如果因合同货物硬件或软件的固有缺陷和瑕疵出现紧急故障和事故，乙方应在接到甲方通知之后72小时内到达现场。</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7.乙方应保证甲方在使用本合同项下的货物或其任何一部分时免受第三方提出侵犯其知识产权、商标权或工业设计权的起诉。如果发生此类问题，乙方应负责交涉并承担一切费用和责任。</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10.在质量保修期内，乙方必须按甲方要求及时免费维修、更换有缺陷的产品或部件。如发现产品有其它潜在缺陷及不符合标准要求，甲方有权退货或向乙方索赔。</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11.乙方还应提供下列服务：货物的现场安装、启动和试运行；提供货物组装和维修所需的工具；在质量保修期内对所交付货物提供运行监督、维修、保养等；在项目现场就货物的安装、启动、运行、维护等对甲方人员进行培训。</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12.乙方应按约定提供完善的培训服务，制定详实可行的培训计划，提供配套培训材料，对观测人员及设备维护人员制定有针对性的培训方案，有效组织和控制培训课程的顺利进行，确保培训质量。</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default"/>
          <w:kern w:val="0"/>
          <w:szCs w:val="21"/>
        </w:rPr>
      </w:pPr>
      <w:r>
        <w:rPr>
          <w:rFonts w:ascii="宋体" w:eastAsia="宋体" w:hAnsi="宋体" w:cs="宋体" w:hint="eastAsia"/>
          <w:kern w:val="0"/>
          <w:sz w:val="21"/>
          <w:szCs w:val="21"/>
          <w:lang w:val="en-US" w:eastAsia="zh-CN"/>
        </w:rPr>
        <w:t>13.本合同甲方所采购的设备质保期为8年。</w:t>
      </w:r>
      <w:r>
        <w:rPr>
          <w:rFonts w:ascii="宋体" w:eastAsia="宋体" w:hAnsi="宋体" w:cs="宋体" w:hint="default"/>
          <w:kern w:val="0"/>
          <w:sz w:val="21"/>
          <w:szCs w:val="21"/>
          <w:lang w:val="en-US" w:eastAsia="zh-CN"/>
        </w:rPr>
        <w:t>质保期自合同验收之日起计算，质保期内实行三包（包修、包换、包</w:t>
      </w:r>
      <w:r>
        <w:rPr>
          <w:rFonts w:ascii="宋体" w:eastAsia="宋体" w:hAnsi="宋体" w:cs="宋体" w:hint="eastAsia"/>
          <w:kern w:val="0"/>
          <w:sz w:val="21"/>
          <w:szCs w:val="21"/>
          <w:lang w:val="en-US" w:eastAsia="zh-CN"/>
        </w:rPr>
        <w:t>更新</w:t>
      </w:r>
      <w:r>
        <w:rPr>
          <w:rFonts w:ascii="宋体" w:eastAsia="宋体" w:hAnsi="宋体" w:cs="宋体" w:hint="default"/>
          <w:kern w:val="0"/>
          <w:sz w:val="21"/>
          <w:szCs w:val="21"/>
          <w:lang w:val="en-US" w:eastAsia="zh-CN"/>
        </w:rPr>
        <w:t>）。</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default"/>
          <w:kern w:val="0"/>
          <w:szCs w:val="21"/>
        </w:rPr>
      </w:pPr>
      <w:r>
        <w:rPr>
          <w:rFonts w:ascii="宋体" w:eastAsia="宋体" w:hAnsi="宋体" w:cs="宋体" w:hint="default"/>
          <w:kern w:val="0"/>
          <w:sz w:val="21"/>
          <w:szCs w:val="21"/>
          <w:lang w:val="en-US" w:eastAsia="zh-CN"/>
        </w:rPr>
        <w:t>1</w:t>
      </w:r>
      <w:r>
        <w:rPr>
          <w:rFonts w:ascii="宋体" w:eastAsia="宋体" w:hAnsi="宋体" w:cs="宋体" w:hint="eastAsia"/>
          <w:kern w:val="0"/>
          <w:sz w:val="21"/>
          <w:szCs w:val="21"/>
          <w:lang w:val="en-US" w:eastAsia="zh-CN"/>
        </w:rPr>
        <w:t>4</w:t>
      </w:r>
      <w:r>
        <w:rPr>
          <w:rFonts w:ascii="宋体" w:eastAsia="宋体" w:hAnsi="宋体" w:cs="宋体" w:hint="default"/>
          <w:kern w:val="0"/>
          <w:sz w:val="21"/>
          <w:szCs w:val="21"/>
          <w:lang w:val="en-US" w:eastAsia="zh-CN"/>
        </w:rPr>
        <w:t>.上述服务的费用应包含在合同价中，不单独进行支付。</w:t>
      </w:r>
    </w:p>
    <w:p>
      <w:pPr>
        <w:numPr>
          <w:ilvl w:val="0"/>
          <w:numId w:val="63"/>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违约责任</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1.双方签订合同后，任何一方未能按合同条款履行各自应尽义务的，一律视为违约。双方另有约定的除外。</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w:t>
      </w:r>
      <w:r>
        <w:rPr>
          <w:rFonts w:ascii="宋体" w:eastAsia="宋体" w:hAnsi="宋体" w:cs="宋体" w:hint="eastAsia"/>
          <w:kern w:val="0"/>
          <w:sz w:val="21"/>
          <w:szCs w:val="21"/>
        </w:rPr>
        <w:t>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损失或导致第三方受到损害的，全部赔偿责任均应由乙方承担。此时，相关货物的质量保修期及相关的其它期限也应相应顺延或重新起算。</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4.乙方无故解除合同的，承担合同总金额50%的违约金，乙方有违反本合同其他规定的情形均属于违约行为，应就每一单项违约向对方支付合同总金额5%的违约金。</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于承担违约责任。</w:t>
      </w:r>
    </w:p>
    <w:p>
      <w:pPr>
        <w:numPr>
          <w:ilvl w:val="0"/>
          <w:numId w:val="63"/>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争议的解决</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1.合同签订后甲乙双方即直接产生权利与义务的关系，合同执行过程中出现的问题应按照《中华人民共和国民法典》等有关规定处理。合同在执行过程中，如有争议，双方协商解决；协商仍未解决，</w:t>
      </w:r>
      <w:r>
        <w:rPr>
          <w:rFonts w:ascii="宋体" w:eastAsia="宋体" w:hAnsi="宋体" w:cs="宋体" w:hint="eastAsia"/>
          <w:kern w:val="0"/>
          <w:sz w:val="21"/>
          <w:szCs w:val="21"/>
          <w:lang w:val="en-US" w:eastAsia="zh-CN"/>
        </w:rPr>
        <w:t>可以向</w:t>
      </w:r>
      <w:r>
        <w:rPr>
          <w:rFonts w:ascii="宋体" w:eastAsia="宋体" w:hAnsi="宋体" w:cs="宋体" w:hint="eastAsia"/>
          <w:kern w:val="0"/>
          <w:sz w:val="21"/>
          <w:szCs w:val="21"/>
        </w:rPr>
        <w:t>甲方所在地人民法院</w:t>
      </w:r>
      <w:r>
        <w:rPr>
          <w:rFonts w:ascii="宋体" w:eastAsia="宋体" w:hAnsi="宋体" w:cs="宋体" w:hint="eastAsia"/>
          <w:kern w:val="0"/>
          <w:sz w:val="21"/>
          <w:szCs w:val="21"/>
          <w:lang w:val="en-US" w:eastAsia="zh-CN"/>
        </w:rPr>
        <w:t>提起诉讼</w:t>
      </w:r>
      <w:r>
        <w:rPr>
          <w:rFonts w:ascii="宋体" w:eastAsia="宋体" w:hAnsi="宋体" w:cs="宋体" w:hint="eastAsia"/>
          <w:kern w:val="0"/>
          <w:sz w:val="21"/>
          <w:szCs w:val="21"/>
        </w:rPr>
        <w:t>。</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2.诉讼期间，本合同继续履行。</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w:t>
      </w:r>
      <w:r>
        <w:rPr>
          <w:rFonts w:ascii="宋体" w:eastAsia="宋体" w:hAnsi="宋体" w:cs="宋体" w:hint="eastAsia"/>
          <w:kern w:val="0"/>
          <w:sz w:val="21"/>
          <w:szCs w:val="21"/>
        </w:rPr>
        <w:t>.未尽事宜，双方在不违背本合同和招标文件的原则下，协商解决。协商结果以书面形式签字盖章记录在案，作为本合同的附件，与本合同有同等效力。</w:t>
      </w:r>
    </w:p>
    <w:p>
      <w:pPr>
        <w:numPr>
          <w:ilvl w:val="0"/>
          <w:numId w:val="63"/>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联系与通知</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合同双方就合同中涉及各类通知、协议等文件以及就合同发生纠纷时相关文件和法律文书送达时的送达地址及法律后果作如下约定：</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1.一方基于本合同发出的任何通知或其他通信应全部满足以下条件，否则该等通知不应被视为完整、有效的正式书面通知：</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（1）以中文书面形式作出。</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（2）由通知发出方或其代表签署并加盖公章（用电子邮件发出的通知除外）。</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（3）按本条第3款所列地址送交相关方。</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2.通知可选择下述方式发送，并于下述对应时间视为送达：</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（1）亲自送达：送达双方指定的联系人签收之时。</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（2）采用邮寄方式：投递服务商记录的签收时间，或发件人按照经双方确认的地址寄送，邮件被退件或无法送达时，以邮件发出时间后的第五日为送达时间。</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3.通知或其他通信应被发送至：</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（1）甲方确认的其有效的送达地址为：</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甲方名称：【青海省气象灾害防御技术中心】</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甲方地址：【青海省西宁市五四大街19】</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收件人（联系人）：【】</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邮政编码：【810001】</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联系电话：【13327695665】</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传真：【09716135315】</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电子邮件：【541631787@qq.com】</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（2）乙方确认的其有效的送达地址为：</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乙方名称：【】</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乙方地址：【】</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收件人（联系人）：【】</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邮政编码：【】</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联系电话：【】</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传真：【】</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电子邮件：</w:t>
      </w:r>
      <w:hyperlink r:id="rId8" w:history="1">
        <w:r>
          <w:rPr>
            <w:rFonts w:ascii="宋体" w:eastAsia="宋体" w:hAnsi="宋体" w:cs="宋体" w:hint="eastAsia"/>
            <w:color w:val="auto"/>
            <w:kern w:val="0"/>
            <w:sz w:val="21"/>
            <w:szCs w:val="21"/>
            <w:u w:val="none"/>
            <w:lang w:val="en-US" w:eastAsia="zh-CN"/>
          </w:rPr>
          <w:t>【】</w:t>
        </w:r>
      </w:hyperlink>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5.双方的送达地址适用范围包括双方非诉时的各类通知、协议等文件，以及就合同发生纠纷时相关文件和法律文书的送达，同时包括在争议进入仲裁、民事诉讼程序后的一审、二审、再审和执行程序。</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6</w:t>
      </w:r>
      <w:r>
        <w:rPr>
          <w:rFonts w:ascii="宋体" w:eastAsia="宋体" w:hAnsi="宋体" w:cs="宋体" w:hint="eastAsia"/>
          <w:kern w:val="0"/>
          <w:sz w:val="21"/>
          <w:szCs w:val="21"/>
        </w:rPr>
        <w:t>.上述发出通知、回复的费用由发出一方承担。</w:t>
      </w:r>
    </w:p>
    <w:p>
      <w:pPr>
        <w:numPr>
          <w:ilvl w:val="0"/>
          <w:numId w:val="63"/>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其他</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1.本合同经双方法定代表人或书面授权代表签名并加盖合同专用章或公章后生效。授权代表签署的，必须向对方提交代理权限及代理期限的授权文书。</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w:t>
      </w:r>
      <w:r>
        <w:rPr>
          <w:rFonts w:ascii="宋体" w:eastAsia="宋体" w:hAnsi="宋体" w:cs="宋体" w:hint="eastAsia"/>
          <w:kern w:val="0"/>
          <w:sz w:val="21"/>
          <w:szCs w:val="21"/>
        </w:rPr>
        <w:t>.</w:t>
      </w:r>
      <w:r>
        <w:rPr>
          <w:rFonts w:ascii="宋体" w:eastAsia="宋体" w:hAnsi="宋体" w:cs="宋体" w:hint="eastAsia"/>
          <w:kern w:val="0"/>
          <w:sz w:val="21"/>
          <w:szCs w:val="21"/>
          <w:lang w:val="en-US" w:eastAsia="zh-CN"/>
        </w:rPr>
        <w:t>本合同所包含附件以及因</w:t>
      </w:r>
      <w:r>
        <w:rPr>
          <w:rFonts w:ascii="宋体" w:eastAsia="宋体" w:hAnsi="宋体" w:cs="宋体" w:hint="eastAsia"/>
          <w:kern w:val="0"/>
          <w:sz w:val="21"/>
          <w:szCs w:val="21"/>
        </w:rPr>
        <w:t>履行</w:t>
      </w:r>
      <w:r>
        <w:rPr>
          <w:rFonts w:ascii="宋体" w:eastAsia="宋体" w:hAnsi="宋体" w:cs="宋体" w:hint="eastAsia"/>
          <w:kern w:val="0"/>
          <w:sz w:val="21"/>
          <w:szCs w:val="21"/>
          <w:lang w:val="en-US" w:eastAsia="zh-CN"/>
        </w:rPr>
        <w:t>情况</w:t>
      </w:r>
      <w:r>
        <w:rPr>
          <w:rFonts w:ascii="宋体" w:eastAsia="宋体" w:hAnsi="宋体" w:cs="宋体" w:hint="eastAsia"/>
          <w:kern w:val="0"/>
          <w:sz w:val="21"/>
          <w:szCs w:val="21"/>
        </w:rPr>
        <w:t>而签署的变更协议、补充协议、配置明细表等均为本</w:t>
      </w:r>
      <w:r>
        <w:rPr>
          <w:rFonts w:ascii="宋体" w:eastAsia="宋体" w:hAnsi="宋体" w:cs="宋体" w:hint="eastAsia"/>
          <w:kern w:val="0"/>
          <w:sz w:val="21"/>
          <w:szCs w:val="21"/>
          <w:lang w:val="en-US" w:eastAsia="zh-CN"/>
        </w:rPr>
        <w:t>合同不可分割的一部分，与本合同具有同等法律效力。</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4.乙方在收到预付款前提供等额的银行履约保函（或合同总价5%的履约保函）作为履约保证，保函有效期至2027年8月31日。合同验收后退回履约保函。</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default"/>
          <w:kern w:val="0"/>
          <w:szCs w:val="21"/>
        </w:rPr>
      </w:pPr>
      <w:r>
        <w:rPr>
          <w:rFonts w:ascii="宋体" w:eastAsia="宋体" w:hAnsi="宋体" w:cs="宋体" w:hint="eastAsia"/>
          <w:kern w:val="0"/>
          <w:sz w:val="21"/>
          <w:szCs w:val="21"/>
          <w:lang w:val="en-US" w:eastAsia="zh-CN"/>
        </w:rPr>
        <w:t>5.</w:t>
      </w:r>
      <w:r>
        <w:rPr>
          <w:rFonts w:ascii="宋体" w:eastAsia="宋体" w:hAnsi="宋体" w:cs="宋体" w:hint="default"/>
          <w:kern w:val="0"/>
          <w:sz w:val="21"/>
          <w:szCs w:val="21"/>
          <w:lang w:val="en-US" w:eastAsia="zh-CN"/>
        </w:rPr>
        <w:t>本合同一式</w:t>
      </w:r>
      <w:r>
        <w:rPr>
          <w:rFonts w:ascii="宋体" w:eastAsia="宋体" w:hAnsi="宋体" w:cs="宋体" w:hint="eastAsia"/>
          <w:kern w:val="0"/>
          <w:sz w:val="21"/>
          <w:szCs w:val="21"/>
          <w:lang w:val="en-US" w:eastAsia="zh-CN"/>
        </w:rPr>
        <w:t>陆</w:t>
      </w:r>
      <w:r>
        <w:rPr>
          <w:rFonts w:ascii="宋体" w:eastAsia="宋体" w:hAnsi="宋体" w:cs="宋体" w:hint="default"/>
          <w:kern w:val="0"/>
          <w:sz w:val="21"/>
          <w:szCs w:val="21"/>
          <w:lang w:val="en-US" w:eastAsia="zh-CN"/>
        </w:rPr>
        <w:t>份，甲乙双方各持</w:t>
      </w:r>
      <w:r>
        <w:rPr>
          <w:rFonts w:ascii="宋体" w:eastAsia="宋体" w:hAnsi="宋体" w:cs="宋体" w:hint="eastAsia"/>
          <w:kern w:val="0"/>
          <w:sz w:val="21"/>
          <w:szCs w:val="21"/>
          <w:lang w:val="en-US" w:eastAsia="zh-CN"/>
        </w:rPr>
        <w:t>叁</w:t>
      </w:r>
      <w:r>
        <w:rPr>
          <w:rFonts w:ascii="宋体" w:eastAsia="宋体" w:hAnsi="宋体" w:cs="宋体" w:hint="default"/>
          <w:kern w:val="0"/>
          <w:sz w:val="21"/>
          <w:szCs w:val="21"/>
          <w:lang w:val="en-US" w:eastAsia="zh-CN"/>
        </w:rPr>
        <w:t>份，具有同等法律效力。</w:t>
      </w:r>
    </w:p>
    <w:p>
      <w:pPr>
        <w:numPr>
          <w:ilvl w:val="0"/>
          <w:numId w:val="63"/>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lang w:val="en-US" w:eastAsia="zh-CN"/>
        </w:rPr>
        <w:t>合同附件</w:t>
      </w:r>
    </w:p>
    <w:p>
      <w:pPr>
        <w:widowControl w:val="0"/>
        <w:ind w:firstLine="420" w:firstLineChars="200"/>
        <w:jc w:val="both"/>
        <w:rPr>
          <w:rFonts w:ascii="宋体" w:eastAsia="宋体" w:hAnsi="宋体" w:cs="Times New Roman"/>
          <w:color w:val="000000"/>
        </w:rPr>
      </w:pPr>
    </w:p>
    <w:tbl>
      <w:tblPr>
        <w:tblStyle w:val="TableGrid"/>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55"/>
        <w:gridCol w:w="4245"/>
      </w:tblGrid>
      <w:tr>
        <w:tblPrEx>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308"/>
        </w:trPr>
        <w:tc>
          <w:tcPr>
            <w:tcW w:w="4155" w:type="dxa"/>
            <w:noWrap w:val="0"/>
            <w:vAlign w:val="top"/>
          </w:tcPr>
          <w:p>
            <w:pPr>
              <w:tabs>
                <w:tab w:val="left" w:pos="709"/>
              </w:tabs>
              <w:autoSpaceDE w:val="0"/>
              <w:autoSpaceDN w:val="0"/>
              <w:adjustRightInd w:val="0"/>
              <w:snapToGrid w:val="0"/>
              <w:spacing w:line="360" w:lineRule="auto"/>
              <w:jc w:val="left"/>
              <w:rPr>
                <w:rFonts w:ascii="宋体" w:eastAsia="宋体" w:hAnsi="宋体" w:cs="宋体"/>
                <w:kern w:val="0"/>
                <w:szCs w:val="21"/>
              </w:rPr>
            </w:pPr>
            <w:r>
              <w:rPr>
                <w:rFonts w:ascii="宋体" w:eastAsia="宋体" w:hAnsi="宋体" w:cs="宋体" w:hint="eastAsia"/>
                <w:b/>
                <w:kern w:val="0"/>
                <w:sz w:val="21"/>
                <w:szCs w:val="21"/>
              </w:rPr>
              <w:t>甲方</w:t>
            </w:r>
            <w:r>
              <w:rPr>
                <w:rFonts w:ascii="宋体" w:eastAsia="宋体" w:hAnsi="宋体" w:cs="宋体" w:hint="eastAsia"/>
                <w:b/>
                <w:kern w:val="0"/>
                <w:sz w:val="21"/>
                <w:szCs w:val="21"/>
                <w:lang w:eastAsia="zh-CN"/>
              </w:rPr>
              <w:t>（</w:t>
            </w:r>
            <w:r>
              <w:rPr>
                <w:rFonts w:ascii="宋体" w:eastAsia="宋体" w:hAnsi="宋体" w:cs="宋体" w:hint="eastAsia"/>
                <w:b/>
                <w:kern w:val="0"/>
                <w:sz w:val="21"/>
                <w:szCs w:val="21"/>
                <w:lang w:val="en-US" w:eastAsia="zh-CN"/>
              </w:rPr>
              <w:t>盖章</w:t>
            </w:r>
            <w:r>
              <w:rPr>
                <w:rFonts w:ascii="宋体" w:eastAsia="宋体" w:hAnsi="宋体" w:cs="宋体" w:hint="eastAsia"/>
                <w:b/>
                <w:kern w:val="0"/>
                <w:sz w:val="21"/>
                <w:szCs w:val="21"/>
                <w:lang w:eastAsia="zh-CN"/>
              </w:rPr>
              <w:t>）</w:t>
            </w:r>
            <w:r>
              <w:rPr>
                <w:rFonts w:ascii="宋体" w:eastAsia="宋体" w:hAnsi="宋体" w:cs="宋体" w:hint="eastAsia"/>
                <w:b/>
                <w:spacing w:val="-10"/>
                <w:kern w:val="0"/>
                <w:sz w:val="21"/>
                <w:szCs w:val="21"/>
              </w:rPr>
              <w:t>：</w:t>
            </w:r>
            <w:r>
              <w:rPr>
                <w:rFonts w:ascii="宋体" w:eastAsia="宋体" w:hAnsi="宋体" w:cs="宋体" w:hint="eastAsia"/>
                <w:b/>
                <w:bCs/>
                <w:color w:val="000000"/>
                <w:kern w:val="0"/>
                <w:sz w:val="21"/>
                <w:szCs w:val="21"/>
                <w:lang w:bidi="ar"/>
              </w:rPr>
              <w:t>青海省气象灾害防御技术中心</w:t>
            </w:r>
          </w:p>
        </w:tc>
        <w:tc>
          <w:tcPr>
            <w:tcW w:w="4245" w:type="dxa"/>
            <w:noWrap w:val="0"/>
            <w:vAlign w:val="top"/>
          </w:tcPr>
          <w:p>
            <w:pPr>
              <w:tabs>
                <w:tab w:val="left" w:pos="709"/>
              </w:tabs>
              <w:autoSpaceDE w:val="0"/>
              <w:autoSpaceDN w:val="0"/>
              <w:adjustRightInd w:val="0"/>
              <w:snapToGrid w:val="0"/>
              <w:spacing w:line="360" w:lineRule="auto"/>
              <w:jc w:val="left"/>
              <w:rPr>
                <w:rFonts w:ascii="宋体" w:eastAsia="宋体" w:hAnsi="宋体" w:cs="宋体"/>
                <w:kern w:val="0"/>
                <w:szCs w:val="21"/>
              </w:rPr>
            </w:pPr>
            <w:r>
              <w:rPr>
                <w:rFonts w:ascii="宋体" w:eastAsia="宋体" w:hAnsi="宋体" w:cs="宋体" w:hint="eastAsia"/>
                <w:b/>
                <w:spacing w:val="-2"/>
                <w:kern w:val="0"/>
                <w:sz w:val="21"/>
                <w:szCs w:val="21"/>
              </w:rPr>
              <w:t>乙方</w:t>
            </w:r>
            <w:r>
              <w:rPr>
                <w:rFonts w:ascii="宋体" w:eastAsia="宋体" w:hAnsi="宋体" w:cs="宋体" w:hint="eastAsia"/>
                <w:b/>
                <w:spacing w:val="-2"/>
                <w:kern w:val="0"/>
                <w:sz w:val="21"/>
                <w:szCs w:val="21"/>
                <w:lang w:eastAsia="zh-CN"/>
              </w:rPr>
              <w:t>（</w:t>
            </w:r>
            <w:r>
              <w:rPr>
                <w:rFonts w:ascii="宋体" w:eastAsia="宋体" w:hAnsi="宋体" w:cs="宋体" w:hint="eastAsia"/>
                <w:b/>
                <w:spacing w:val="-2"/>
                <w:kern w:val="0"/>
                <w:sz w:val="21"/>
                <w:szCs w:val="21"/>
                <w:lang w:val="en-US" w:eastAsia="zh-CN"/>
              </w:rPr>
              <w:t>盖章</w:t>
            </w:r>
            <w:r>
              <w:rPr>
                <w:rFonts w:ascii="宋体" w:eastAsia="宋体" w:hAnsi="宋体" w:cs="宋体" w:hint="eastAsia"/>
                <w:b/>
                <w:spacing w:val="-2"/>
                <w:kern w:val="0"/>
                <w:sz w:val="21"/>
                <w:szCs w:val="21"/>
                <w:lang w:eastAsia="zh-CN"/>
              </w:rPr>
              <w:t>）</w:t>
            </w:r>
            <w:r>
              <w:rPr>
                <w:rFonts w:ascii="宋体" w:eastAsia="宋体" w:hAnsi="宋体" w:cs="宋体" w:hint="eastAsia"/>
                <w:b/>
                <w:spacing w:val="-10"/>
                <w:kern w:val="0"/>
                <w:sz w:val="21"/>
                <w:szCs w:val="21"/>
              </w:rPr>
              <w:t>：</w:t>
            </w:r>
          </w:p>
        </w:tc>
      </w:tr>
      <w:tr>
        <w:tblPrEx>
          <w:tblW w:w="8400" w:type="dxa"/>
          <w:tblInd w:w="235" w:type="dxa"/>
          <w:tblCellMar>
            <w:top w:w="0" w:type="dxa"/>
            <w:left w:w="108" w:type="dxa"/>
            <w:bottom w:w="0" w:type="dxa"/>
            <w:right w:w="108" w:type="dxa"/>
          </w:tblCellMar>
        </w:tblPrEx>
        <w:trPr>
          <w:trHeight w:val="1308"/>
        </w:trPr>
        <w:tc>
          <w:tcPr>
            <w:tcW w:w="415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eastAsia"/>
                <w:b/>
                <w:bCs/>
                <w:kern w:val="0"/>
                <w:szCs w:val="21"/>
              </w:rPr>
            </w:pPr>
            <w:r>
              <w:rPr>
                <w:rFonts w:ascii="宋体" w:eastAsia="宋体" w:hAnsi="宋体" w:cs="宋体" w:hint="eastAsia"/>
                <w:b/>
                <w:bCs/>
                <w:kern w:val="0"/>
                <w:sz w:val="21"/>
                <w:szCs w:val="21"/>
              </w:rPr>
              <w:t>地址</w:t>
            </w:r>
            <w:r>
              <w:rPr>
                <w:rFonts w:ascii="宋体" w:eastAsia="宋体" w:hAnsi="宋体" w:cs="宋体" w:hint="eastAsia"/>
                <w:b/>
                <w:bCs/>
                <w:kern w:val="0"/>
                <w:sz w:val="21"/>
                <w:szCs w:val="21"/>
                <w:lang w:eastAsia="zh-CN"/>
              </w:rPr>
              <w:t>：青海省西宁市城西区五四大街19号</w:t>
            </w:r>
          </w:p>
        </w:tc>
        <w:tc>
          <w:tcPr>
            <w:tcW w:w="4245" w:type="dxa"/>
            <w:noWrap w:val="0"/>
            <w:vAlign w:val="top"/>
          </w:tcPr>
          <w:p>
            <w:pPr>
              <w:tabs>
                <w:tab w:val="left" w:pos="709"/>
              </w:tabs>
              <w:autoSpaceDE w:val="0"/>
              <w:autoSpaceDN w:val="0"/>
              <w:adjustRightInd w:val="0"/>
              <w:snapToGrid w:val="0"/>
              <w:spacing w:line="360" w:lineRule="auto"/>
              <w:jc w:val="left"/>
              <w:rPr>
                <w:rFonts w:ascii="宋体" w:eastAsia="宋体" w:hAnsi="宋体" w:cs="宋体"/>
                <w:kern w:val="0"/>
                <w:szCs w:val="21"/>
              </w:rPr>
            </w:pPr>
            <w:r>
              <w:rPr>
                <w:rFonts w:ascii="宋体" w:eastAsia="宋体" w:hAnsi="宋体" w:cs="宋体" w:hint="eastAsia"/>
                <w:b/>
                <w:bCs/>
                <w:color w:val="000000"/>
                <w:kern w:val="0"/>
                <w:sz w:val="21"/>
                <w:szCs w:val="21"/>
                <w:lang w:bidi="ar"/>
              </w:rPr>
              <w:t>地址：</w:t>
            </w:r>
          </w:p>
        </w:tc>
      </w:tr>
      <w:tr>
        <w:tblPrEx>
          <w:tblW w:w="8400" w:type="dxa"/>
          <w:tblInd w:w="235" w:type="dxa"/>
          <w:tblCellMar>
            <w:top w:w="0" w:type="dxa"/>
            <w:left w:w="108" w:type="dxa"/>
            <w:bottom w:w="0" w:type="dxa"/>
            <w:right w:w="108" w:type="dxa"/>
          </w:tblCellMar>
        </w:tblPrEx>
        <w:trPr>
          <w:trHeight w:val="1308"/>
        </w:trPr>
        <w:tc>
          <w:tcPr>
            <w:tcW w:w="415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default"/>
                <w:b/>
                <w:bCs/>
                <w:kern w:val="0"/>
                <w:szCs w:val="21"/>
              </w:rPr>
            </w:pPr>
            <w:r>
              <w:rPr>
                <w:rFonts w:ascii="宋体" w:eastAsia="宋体" w:hAnsi="宋体" w:cs="宋体" w:hint="eastAsia"/>
                <w:b/>
                <w:bCs/>
                <w:kern w:val="0"/>
                <w:sz w:val="21"/>
                <w:szCs w:val="21"/>
              </w:rPr>
              <w:t>电话：</w:t>
            </w:r>
            <w:r>
              <w:rPr>
                <w:rFonts w:ascii="宋体" w:eastAsia="宋体" w:hAnsi="宋体" w:cs="宋体" w:hint="eastAsia"/>
                <w:b/>
                <w:bCs/>
                <w:kern w:val="0"/>
                <w:sz w:val="21"/>
                <w:szCs w:val="21"/>
                <w:lang w:val="en-US" w:eastAsia="zh-CN"/>
              </w:rPr>
              <w:t>0971-6136071</w:t>
            </w:r>
          </w:p>
        </w:tc>
        <w:tc>
          <w:tcPr>
            <w:tcW w:w="424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电话：</w:t>
            </w:r>
          </w:p>
        </w:tc>
      </w:tr>
      <w:tr>
        <w:tblPrEx>
          <w:tblW w:w="8400" w:type="dxa"/>
          <w:tblInd w:w="235" w:type="dxa"/>
          <w:tblCellMar>
            <w:top w:w="0" w:type="dxa"/>
            <w:left w:w="108" w:type="dxa"/>
            <w:bottom w:w="0" w:type="dxa"/>
            <w:right w:w="108" w:type="dxa"/>
          </w:tblCellMar>
        </w:tblPrEx>
        <w:trPr>
          <w:trHeight w:val="1308"/>
        </w:trPr>
        <w:tc>
          <w:tcPr>
            <w:tcW w:w="415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default"/>
                <w:b/>
                <w:bCs/>
                <w:kern w:val="0"/>
                <w:szCs w:val="21"/>
              </w:rPr>
            </w:pPr>
            <w:r>
              <w:rPr>
                <w:rFonts w:ascii="宋体" w:eastAsia="宋体" w:hAnsi="宋体" w:cs="宋体" w:hint="eastAsia"/>
                <w:b/>
                <w:bCs/>
                <w:kern w:val="0"/>
                <w:sz w:val="21"/>
                <w:szCs w:val="21"/>
              </w:rPr>
              <w:t>开户银行：</w:t>
            </w:r>
            <w:r>
              <w:rPr>
                <w:rFonts w:ascii="宋体" w:eastAsia="宋体" w:hAnsi="宋体" w:cs="宋体" w:hint="eastAsia"/>
                <w:b/>
                <w:bCs/>
                <w:kern w:val="0"/>
                <w:sz w:val="21"/>
                <w:szCs w:val="21"/>
                <w:lang w:val="en-US" w:eastAsia="zh-CN"/>
              </w:rPr>
              <w:t>建行西宁市城西支行</w:t>
            </w:r>
          </w:p>
        </w:tc>
        <w:tc>
          <w:tcPr>
            <w:tcW w:w="424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开户银行：</w:t>
            </w:r>
          </w:p>
        </w:tc>
      </w:tr>
      <w:tr>
        <w:tblPrEx>
          <w:tblW w:w="8400" w:type="dxa"/>
          <w:tblInd w:w="235" w:type="dxa"/>
          <w:tblCellMar>
            <w:top w:w="0" w:type="dxa"/>
            <w:left w:w="108" w:type="dxa"/>
            <w:bottom w:w="0" w:type="dxa"/>
            <w:right w:w="108" w:type="dxa"/>
          </w:tblCellMar>
        </w:tblPrEx>
        <w:trPr>
          <w:trHeight w:val="1308"/>
        </w:trPr>
        <w:tc>
          <w:tcPr>
            <w:tcW w:w="415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default"/>
                <w:b/>
                <w:bCs/>
                <w:kern w:val="0"/>
                <w:szCs w:val="21"/>
              </w:rPr>
            </w:pPr>
            <w:r>
              <w:rPr>
                <w:rFonts w:ascii="宋体" w:eastAsia="宋体" w:hAnsi="宋体" w:cs="宋体" w:hint="eastAsia"/>
                <w:b/>
                <w:bCs/>
                <w:kern w:val="0"/>
                <w:sz w:val="21"/>
                <w:szCs w:val="21"/>
              </w:rPr>
              <w:t>账号：</w:t>
            </w:r>
            <w:r>
              <w:rPr>
                <w:rFonts w:ascii="宋体" w:eastAsia="宋体" w:hAnsi="宋体" w:cs="宋体" w:hint="eastAsia"/>
                <w:b/>
                <w:bCs/>
                <w:kern w:val="0"/>
                <w:sz w:val="21"/>
                <w:szCs w:val="21"/>
                <w:lang w:val="en-US" w:eastAsia="zh-CN"/>
              </w:rPr>
              <w:t>63001373637050014232</w:t>
            </w:r>
          </w:p>
        </w:tc>
        <w:tc>
          <w:tcPr>
            <w:tcW w:w="424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账号：</w:t>
            </w:r>
          </w:p>
        </w:tc>
      </w:tr>
      <w:tr>
        <w:tblPrEx>
          <w:tblW w:w="8400" w:type="dxa"/>
          <w:tblInd w:w="235" w:type="dxa"/>
          <w:tblCellMar>
            <w:top w:w="0" w:type="dxa"/>
            <w:left w:w="108" w:type="dxa"/>
            <w:bottom w:w="0" w:type="dxa"/>
            <w:right w:w="108" w:type="dxa"/>
          </w:tblCellMar>
        </w:tblPrEx>
        <w:trPr>
          <w:trHeight w:val="1308"/>
        </w:trPr>
        <w:tc>
          <w:tcPr>
            <w:tcW w:w="4155" w:type="dxa"/>
            <w:noWrap w:val="0"/>
            <w:vAlign w:val="top"/>
          </w:tcPr>
          <w:p>
            <w:pPr>
              <w:tabs>
                <w:tab w:val="left" w:pos="709"/>
              </w:tabs>
              <w:autoSpaceDE w:val="0"/>
              <w:autoSpaceDN w:val="0"/>
              <w:adjustRightInd w:val="0"/>
              <w:snapToGrid w:val="0"/>
              <w:spacing w:line="360" w:lineRule="auto"/>
              <w:jc w:val="left"/>
              <w:rPr>
                <w:rFonts w:ascii="宋体" w:eastAsia="宋体" w:hAnsi="宋体" w:cs="宋体"/>
                <w:b/>
                <w:bCs/>
                <w:kern w:val="0"/>
                <w:szCs w:val="21"/>
              </w:rPr>
            </w:pPr>
            <w:r>
              <w:rPr>
                <w:rFonts w:ascii="宋体" w:eastAsia="宋体" w:hAnsi="宋体" w:cs="宋体" w:hint="eastAsia"/>
                <w:b/>
                <w:bCs/>
                <w:kern w:val="0"/>
                <w:sz w:val="21"/>
                <w:szCs w:val="21"/>
              </w:rPr>
              <w:t>法定代表人</w:t>
            </w:r>
            <w:r>
              <w:rPr>
                <w:rFonts w:ascii="宋体" w:eastAsia="宋体" w:hAnsi="宋体" w:cs="宋体" w:hint="eastAsia"/>
                <w:b/>
                <w:bCs/>
                <w:kern w:val="0"/>
                <w:sz w:val="21"/>
                <w:szCs w:val="21"/>
                <w:lang w:val="en-US" w:eastAsia="zh-CN"/>
              </w:rPr>
              <w:t>或授权代表（签章）</w:t>
            </w:r>
            <w:r>
              <w:rPr>
                <w:rFonts w:ascii="宋体" w:eastAsia="宋体" w:hAnsi="宋体" w:cs="宋体" w:hint="eastAsia"/>
                <w:b/>
                <w:bCs/>
                <w:kern w:val="0"/>
                <w:sz w:val="21"/>
                <w:szCs w:val="21"/>
              </w:rPr>
              <w:t>：</w:t>
            </w:r>
          </w:p>
        </w:tc>
        <w:tc>
          <w:tcPr>
            <w:tcW w:w="424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法定代表人</w:t>
            </w:r>
            <w:r>
              <w:rPr>
                <w:rFonts w:ascii="宋体" w:eastAsia="宋体" w:hAnsi="宋体" w:cs="宋体" w:hint="eastAsia"/>
                <w:b/>
                <w:kern w:val="0"/>
                <w:sz w:val="21"/>
                <w:szCs w:val="21"/>
                <w:lang w:val="en-US" w:eastAsia="zh-CN"/>
              </w:rPr>
              <w:t>或</w:t>
            </w:r>
            <w:r>
              <w:rPr>
                <w:rFonts w:ascii="宋体" w:eastAsia="宋体" w:hAnsi="宋体" w:cs="宋体" w:hint="eastAsia"/>
                <w:b/>
                <w:kern w:val="0"/>
                <w:sz w:val="21"/>
                <w:szCs w:val="21"/>
              </w:rPr>
              <w:t>授权代表</w:t>
            </w:r>
            <w:r>
              <w:rPr>
                <w:rFonts w:ascii="宋体" w:eastAsia="宋体" w:hAnsi="宋体" w:cs="宋体" w:hint="eastAsia"/>
                <w:b/>
                <w:bCs/>
                <w:kern w:val="0"/>
                <w:sz w:val="21"/>
                <w:szCs w:val="21"/>
                <w:lang w:val="en-US" w:eastAsia="zh-CN"/>
              </w:rPr>
              <w:t>（签章）</w:t>
            </w:r>
            <w:r>
              <w:rPr>
                <w:rFonts w:ascii="宋体" w:eastAsia="宋体" w:hAnsi="宋体" w:cs="宋体" w:hint="eastAsia"/>
                <w:b/>
                <w:kern w:val="0"/>
                <w:sz w:val="21"/>
                <w:szCs w:val="21"/>
              </w:rPr>
              <w:t>：</w:t>
            </w:r>
          </w:p>
        </w:tc>
      </w:tr>
      <w:tr>
        <w:tblPrEx>
          <w:tblW w:w="8400" w:type="dxa"/>
          <w:tblInd w:w="235" w:type="dxa"/>
          <w:tblCellMar>
            <w:top w:w="0" w:type="dxa"/>
            <w:left w:w="108" w:type="dxa"/>
            <w:bottom w:w="0" w:type="dxa"/>
            <w:right w:w="108" w:type="dxa"/>
          </w:tblCellMar>
        </w:tblPrEx>
        <w:trPr>
          <w:trHeight w:val="1308"/>
        </w:trPr>
        <w:tc>
          <w:tcPr>
            <w:tcW w:w="4155" w:type="dxa"/>
            <w:noWrap w:val="0"/>
            <w:vAlign w:val="top"/>
          </w:tcPr>
          <w:p>
            <w:pPr>
              <w:tabs>
                <w:tab w:val="left" w:pos="709"/>
              </w:tabs>
              <w:autoSpaceDE w:val="0"/>
              <w:autoSpaceDN w:val="0"/>
              <w:adjustRightInd w:val="0"/>
              <w:snapToGrid w:val="0"/>
              <w:spacing w:line="360" w:lineRule="auto"/>
              <w:jc w:val="left"/>
              <w:rPr>
                <w:rFonts w:ascii="宋体" w:eastAsia="宋体" w:hAnsi="宋体" w:cs="宋体"/>
                <w:b/>
                <w:bCs/>
                <w:kern w:val="0"/>
                <w:szCs w:val="21"/>
              </w:rPr>
            </w:pPr>
            <w:r>
              <w:rPr>
                <w:rFonts w:ascii="宋体" w:eastAsia="宋体" w:hAnsi="宋体" w:cs="宋体" w:hint="eastAsia"/>
                <w:b/>
                <w:bCs/>
                <w:kern w:val="0"/>
                <w:sz w:val="21"/>
                <w:szCs w:val="21"/>
              </w:rPr>
              <w:t>日期：</w:t>
            </w:r>
          </w:p>
        </w:tc>
        <w:tc>
          <w:tcPr>
            <w:tcW w:w="4245" w:type="dxa"/>
            <w:noWrap w:val="0"/>
            <w:vAlign w:val="top"/>
          </w:tcPr>
          <w:p>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日期：</w:t>
            </w:r>
          </w:p>
        </w:tc>
      </w:tr>
    </w:tbl>
    <w:p/>
    <w:p w:rsidR="00A77B3E"/>
    <w:p>
      <w:pPr>
        <w:spacing w:line="360" w:lineRule="auto"/>
        <w:ind w:firstLine="3066" w:firstLineChars="1460"/>
        <w:jc w:val="left"/>
        <w:rPr>
          <w:b/>
          <w:bCs/>
          <w:szCs w:val="21"/>
          <w:highlight w:val="none"/>
        </w:rPr>
      </w:pPr>
      <w:bookmarkEnd w:id="120"/>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4BFC6D"/>
    <w:multiLevelType w:val="singleLevel"/>
    <w:tmpl w:val="804BFC6D"/>
    <w:lvl w:ilvl="0">
      <w:start w:val="1"/>
      <w:numFmt w:val="lowerLetter"/>
      <w:suff w:val="space"/>
      <w:lvlText w:val="%1)"/>
      <w:lvlJc w:val="left"/>
    </w:lvl>
  </w:abstractNum>
  <w:abstractNum w:abstractNumId="1">
    <w:nsid w:val="8748A596"/>
    <w:multiLevelType w:val="singleLevel"/>
    <w:tmpl w:val="8748A596"/>
    <w:lvl w:ilvl="0">
      <w:start w:val="1"/>
      <w:numFmt w:val="lowerLetter"/>
      <w:suff w:val="space"/>
      <w:lvlText w:val="%1)"/>
      <w:lvlJc w:val="left"/>
    </w:lvl>
  </w:abstractNum>
  <w:abstractNum w:abstractNumId="2">
    <w:nsid w:val="8B6C569F"/>
    <w:multiLevelType w:val="singleLevel"/>
    <w:tmpl w:val="8B6C569F"/>
    <w:lvl w:ilvl="0">
      <w:start w:val="1"/>
      <w:numFmt w:val="lowerLetter"/>
      <w:suff w:val="space"/>
      <w:lvlText w:val="%1)"/>
      <w:lvlJc w:val="left"/>
    </w:lvl>
  </w:abstractNum>
  <w:abstractNum w:abstractNumId="3">
    <w:nsid w:val="9304A4D1"/>
    <w:multiLevelType w:val="singleLevel"/>
    <w:tmpl w:val="9304A4D1"/>
    <w:lvl w:ilvl="0">
      <w:start w:val="1"/>
      <w:numFmt w:val="lowerLetter"/>
      <w:suff w:val="space"/>
      <w:lvlText w:val="%1)"/>
      <w:lvlJc w:val="left"/>
    </w:lvl>
  </w:abstractNum>
  <w:abstractNum w:abstractNumId="4">
    <w:nsid w:val="998210C7"/>
    <w:multiLevelType w:val="singleLevel"/>
    <w:tmpl w:val="998210C7"/>
    <w:lvl w:ilvl="0">
      <w:start w:val="1"/>
      <w:numFmt w:val="decimal"/>
      <w:suff w:val="nothing"/>
      <w:lvlText w:val="（%1）"/>
      <w:lvlJc w:val="left"/>
    </w:lvl>
  </w:abstractNum>
  <w:abstractNum w:abstractNumId="5">
    <w:nsid w:val="9FEA7C92"/>
    <w:multiLevelType w:val="singleLevel"/>
    <w:tmpl w:val="9FEA7C92"/>
    <w:lvl w:ilvl="0">
      <w:start w:val="1"/>
      <w:numFmt w:val="lowerLetter"/>
      <w:suff w:val="space"/>
      <w:lvlText w:val="%1)"/>
      <w:lvlJc w:val="left"/>
    </w:lvl>
  </w:abstractNum>
  <w:abstractNum w:abstractNumId="6">
    <w:nsid w:val="A2472F5E"/>
    <w:multiLevelType w:val="singleLevel"/>
    <w:tmpl w:val="A2472F5E"/>
    <w:lvl w:ilvl="0">
      <w:start w:val="1"/>
      <w:numFmt w:val="lowerLetter"/>
      <w:suff w:val="space"/>
      <w:lvlText w:val="%1)"/>
      <w:lvlJc w:val="left"/>
    </w:lvl>
  </w:abstractNum>
  <w:abstractNum w:abstractNumId="7">
    <w:nsid w:val="A413F0D1"/>
    <w:multiLevelType w:val="singleLevel"/>
    <w:tmpl w:val="A413F0D1"/>
    <w:lvl w:ilvl="0">
      <w:start w:val="1"/>
      <w:numFmt w:val="lowerLetter"/>
      <w:suff w:val="space"/>
      <w:lvlText w:val="%1)"/>
      <w:lvlJc w:val="left"/>
    </w:lvl>
  </w:abstractNum>
  <w:abstractNum w:abstractNumId="8">
    <w:nsid w:val="A4B882B6"/>
    <w:multiLevelType w:val="singleLevel"/>
    <w:tmpl w:val="A4B882B6"/>
    <w:lvl w:ilvl="0">
      <w:start w:val="1"/>
      <w:numFmt w:val="lowerLetter"/>
      <w:suff w:val="space"/>
      <w:lvlText w:val="%1)"/>
      <w:lvlJc w:val="left"/>
    </w:lvl>
  </w:abstractNum>
  <w:abstractNum w:abstractNumId="9">
    <w:nsid w:val="AB3EAC51"/>
    <w:multiLevelType w:val="singleLevel"/>
    <w:tmpl w:val="AB3EAC51"/>
    <w:lvl w:ilvl="0">
      <w:start w:val="1"/>
      <w:numFmt w:val="lowerLetter"/>
      <w:suff w:val="space"/>
      <w:lvlText w:val="%1)"/>
      <w:lvlJc w:val="left"/>
    </w:lvl>
  </w:abstractNum>
  <w:abstractNum w:abstractNumId="10">
    <w:nsid w:val="AEB43408"/>
    <w:multiLevelType w:val="singleLevel"/>
    <w:tmpl w:val="AEB43408"/>
    <w:lvl w:ilvl="0">
      <w:start w:val="1"/>
      <w:numFmt w:val="lowerLetter"/>
      <w:suff w:val="space"/>
      <w:lvlText w:val="%1)"/>
      <w:lvlJc w:val="left"/>
    </w:lvl>
  </w:abstractNum>
  <w:abstractNum w:abstractNumId="11">
    <w:nsid w:val="AF7AB6C2"/>
    <w:multiLevelType w:val="singleLevel"/>
    <w:tmpl w:val="AF7AB6C2"/>
    <w:lvl w:ilvl="0">
      <w:start w:val="1"/>
      <w:numFmt w:val="lowerLetter"/>
      <w:suff w:val="space"/>
      <w:lvlText w:val="%1)"/>
      <w:lvlJc w:val="left"/>
    </w:lvl>
  </w:abstractNum>
  <w:abstractNum w:abstractNumId="12">
    <w:nsid w:val="B28AD04C"/>
    <w:multiLevelType w:val="singleLevel"/>
    <w:tmpl w:val="B28AD04C"/>
    <w:lvl w:ilvl="0">
      <w:start w:val="1"/>
      <w:numFmt w:val="lowerLetter"/>
      <w:suff w:val="space"/>
      <w:lvlText w:val="%1)"/>
      <w:lvlJc w:val="left"/>
    </w:lvl>
  </w:abstractNum>
  <w:abstractNum w:abstractNumId="13">
    <w:nsid w:val="B2E9B621"/>
    <w:multiLevelType w:val="singleLevel"/>
    <w:tmpl w:val="B2E9B621"/>
    <w:lvl w:ilvl="0">
      <w:start w:val="1"/>
      <w:numFmt w:val="lowerLetter"/>
      <w:suff w:val="space"/>
      <w:lvlText w:val="%1)"/>
      <w:lvlJc w:val="left"/>
    </w:lvl>
  </w:abstractNum>
  <w:abstractNum w:abstractNumId="14">
    <w:nsid w:val="B6587ABD"/>
    <w:multiLevelType w:val="singleLevel"/>
    <w:tmpl w:val="B6587ABD"/>
    <w:lvl w:ilvl="0">
      <w:start w:val="1"/>
      <w:numFmt w:val="lowerLetter"/>
      <w:suff w:val="space"/>
      <w:lvlText w:val="%1)"/>
      <w:lvlJc w:val="left"/>
    </w:lvl>
  </w:abstractNum>
  <w:abstractNum w:abstractNumId="15">
    <w:nsid w:val="BD4BC1AE"/>
    <w:multiLevelType w:val="singleLevel"/>
    <w:tmpl w:val="BD4BC1AE"/>
    <w:lvl w:ilvl="0">
      <w:start w:val="1"/>
      <w:numFmt w:val="lowerLetter"/>
      <w:suff w:val="space"/>
      <w:lvlText w:val="%1)"/>
      <w:lvlJc w:val="left"/>
    </w:lvl>
  </w:abstractNum>
  <w:abstractNum w:abstractNumId="16">
    <w:nsid w:val="BD4F8373"/>
    <w:multiLevelType w:val="singleLevel"/>
    <w:tmpl w:val="BD4F8373"/>
    <w:lvl w:ilvl="0">
      <w:start w:val="1"/>
      <w:numFmt w:val="lowerLetter"/>
      <w:suff w:val="space"/>
      <w:lvlText w:val="%1)"/>
      <w:lvlJc w:val="left"/>
    </w:lvl>
  </w:abstractNum>
  <w:abstractNum w:abstractNumId="17">
    <w:nsid w:val="C6BE625C"/>
    <w:multiLevelType w:val="singleLevel"/>
    <w:tmpl w:val="C6BE625C"/>
    <w:lvl w:ilvl="0">
      <w:start w:val="1"/>
      <w:numFmt w:val="lowerLetter"/>
      <w:suff w:val="space"/>
      <w:lvlText w:val="%1)"/>
      <w:lvlJc w:val="left"/>
    </w:lvl>
  </w:abstractNum>
  <w:abstractNum w:abstractNumId="18">
    <w:nsid w:val="D6052E79"/>
    <w:multiLevelType w:val="singleLevel"/>
    <w:tmpl w:val="D6052E79"/>
    <w:lvl w:ilvl="0">
      <w:start w:val="1"/>
      <w:numFmt w:val="lowerLetter"/>
      <w:suff w:val="space"/>
      <w:lvlText w:val="%1)"/>
      <w:lvlJc w:val="left"/>
    </w:lvl>
  </w:abstractNum>
  <w:abstractNum w:abstractNumId="19">
    <w:nsid w:val="D92F325A"/>
    <w:multiLevelType w:val="singleLevel"/>
    <w:tmpl w:val="D92F325A"/>
    <w:lvl w:ilvl="0">
      <w:start w:val="1"/>
      <w:numFmt w:val="lowerLetter"/>
      <w:suff w:val="space"/>
      <w:lvlText w:val="%1)"/>
      <w:lvlJc w:val="left"/>
    </w:lvl>
  </w:abstractNum>
  <w:abstractNum w:abstractNumId="20">
    <w:nsid w:val="F256F926"/>
    <w:multiLevelType w:val="singleLevel"/>
    <w:tmpl w:val="F256F926"/>
    <w:lvl w:ilvl="0">
      <w:start w:val="1"/>
      <w:numFmt w:val="lowerLetter"/>
      <w:suff w:val="space"/>
      <w:lvlText w:val="%1)"/>
      <w:lvlJc w:val="left"/>
    </w:lvl>
  </w:abstractNum>
  <w:abstractNum w:abstractNumId="21">
    <w:nsid w:val="F410902A"/>
    <w:multiLevelType w:val="singleLevel"/>
    <w:tmpl w:val="F410902A"/>
    <w:lvl w:ilvl="0">
      <w:start w:val="1"/>
      <w:numFmt w:val="lowerLetter"/>
      <w:suff w:val="space"/>
      <w:lvlText w:val="%1)"/>
      <w:lvlJc w:val="left"/>
    </w:lvl>
  </w:abstractNum>
  <w:abstractNum w:abstractNumId="22">
    <w:nsid w:val="F7082189"/>
    <w:multiLevelType w:val="singleLevel"/>
    <w:tmpl w:val="F7082189"/>
    <w:lvl w:ilvl="0">
      <w:start w:val="1"/>
      <w:numFmt w:val="lowerLetter"/>
      <w:suff w:val="space"/>
      <w:lvlText w:val="%1)"/>
      <w:lvlJc w:val="left"/>
    </w:lvl>
  </w:abstractNum>
  <w:abstractNum w:abstractNumId="23">
    <w:nsid w:val="F713A063"/>
    <w:multiLevelType w:val="singleLevel"/>
    <w:tmpl w:val="F713A063"/>
    <w:lvl w:ilvl="0">
      <w:start w:val="1"/>
      <w:numFmt w:val="lowerLetter"/>
      <w:suff w:val="space"/>
      <w:lvlText w:val="%1)"/>
      <w:lvlJc w:val="left"/>
    </w:lvl>
  </w:abstractNum>
  <w:abstractNum w:abstractNumId="24">
    <w:nsid w:val="FA28CE95"/>
    <w:multiLevelType w:val="singleLevel"/>
    <w:tmpl w:val="FA28CE95"/>
    <w:lvl w:ilvl="0">
      <w:start w:val="1"/>
      <w:numFmt w:val="lowerLetter"/>
      <w:lvlText w:val="%1)"/>
      <w:lvlJc w:val="left"/>
      <w:pPr>
        <w:tabs>
          <w:tab w:val="left" w:pos="312"/>
        </w:tabs>
      </w:pPr>
    </w:lvl>
  </w:abstractNum>
  <w:abstractNum w:abstractNumId="25">
    <w:nsid w:val="FCB45F6B"/>
    <w:multiLevelType w:val="singleLevel"/>
    <w:tmpl w:val="FCB45F6B"/>
    <w:lvl w:ilvl="0">
      <w:start w:val="1"/>
      <w:numFmt w:val="lowerLetter"/>
      <w:suff w:val="space"/>
      <w:lvlText w:val="%1)"/>
      <w:lvlJc w:val="left"/>
    </w:lvl>
  </w:abstractNum>
  <w:abstractNum w:abstractNumId="26">
    <w:nsid w:val="FE774CC0"/>
    <w:multiLevelType w:val="singleLevel"/>
    <w:tmpl w:val="FE774CC0"/>
    <w:lvl w:ilvl="0">
      <w:start w:val="1"/>
      <w:numFmt w:val="lowerLetter"/>
      <w:suff w:val="space"/>
      <w:lvlText w:val="%1)"/>
      <w:lvlJc w:val="left"/>
    </w:lvl>
  </w:abstractNum>
  <w:abstractNum w:abstractNumId="2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9">
    <w:nsid w:val="06FDA06F"/>
    <w:multiLevelType w:val="singleLevel"/>
    <w:tmpl w:val="06FDA06F"/>
    <w:lvl w:ilvl="0">
      <w:start w:val="1"/>
      <w:numFmt w:val="lowerLetter"/>
      <w:suff w:val="space"/>
      <w:lvlText w:val="%1)"/>
      <w:lvlJc w:val="left"/>
    </w:lvl>
  </w:abstractNum>
  <w:abstractNum w:abstractNumId="3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0CC581E6"/>
    <w:multiLevelType w:val="singleLevel"/>
    <w:tmpl w:val="0CC581E6"/>
    <w:lvl w:ilvl="0">
      <w:start w:val="1"/>
      <w:numFmt w:val="lowerLetter"/>
      <w:suff w:val="space"/>
      <w:lvlText w:val="%1)"/>
      <w:lvlJc w:val="left"/>
    </w:lvl>
  </w:abstractNum>
  <w:abstractNum w:abstractNumId="32">
    <w:nsid w:val="10548B5E"/>
    <w:multiLevelType w:val="singleLevel"/>
    <w:tmpl w:val="10548B5E"/>
    <w:lvl w:ilvl="0">
      <w:start w:val="1"/>
      <w:numFmt w:val="lowerLetter"/>
      <w:suff w:val="space"/>
      <w:lvlText w:val="%1)"/>
      <w:lvlJc w:val="left"/>
    </w:lvl>
  </w:abstractNum>
  <w:abstractNum w:abstractNumId="33">
    <w:nsid w:val="15784B83"/>
    <w:multiLevelType w:val="singleLevel"/>
    <w:tmpl w:val="15784B83"/>
    <w:lvl w:ilvl="0">
      <w:start w:val="1"/>
      <w:numFmt w:val="lowerLetter"/>
      <w:suff w:val="space"/>
      <w:lvlText w:val="%1)"/>
      <w:lvlJc w:val="left"/>
    </w:lvl>
  </w:abstractNum>
  <w:abstractNum w:abstractNumId="34">
    <w:nsid w:val="19C5C09B"/>
    <w:multiLevelType w:val="singleLevel"/>
    <w:tmpl w:val="19C5C09B"/>
    <w:lvl w:ilvl="0">
      <w:start w:val="1"/>
      <w:numFmt w:val="lowerLetter"/>
      <w:suff w:val="space"/>
      <w:lvlText w:val="%1)"/>
      <w:lvlJc w:val="left"/>
    </w:lvl>
  </w:abstractNum>
  <w:abstractNum w:abstractNumId="35">
    <w:nsid w:val="1ABEF77E"/>
    <w:multiLevelType w:val="singleLevel"/>
    <w:tmpl w:val="1ABEF77E"/>
    <w:lvl w:ilvl="0">
      <w:start w:val="1"/>
      <w:numFmt w:val="lowerLetter"/>
      <w:suff w:val="space"/>
      <w:lvlText w:val="%1)"/>
      <w:lvlJc w:val="left"/>
    </w:lvl>
  </w:abstractNum>
  <w:abstractNum w:abstractNumId="36">
    <w:nsid w:val="1CB40F12"/>
    <w:multiLevelType w:val="singleLevel"/>
    <w:tmpl w:val="1CB40F12"/>
    <w:lvl w:ilvl="0">
      <w:start w:val="1"/>
      <w:numFmt w:val="lowerLetter"/>
      <w:suff w:val="space"/>
      <w:lvlText w:val="%1)"/>
      <w:lvlJc w:val="left"/>
    </w:lvl>
  </w:abstractNum>
  <w:abstractNum w:abstractNumId="37">
    <w:nsid w:val="1F36BBDA"/>
    <w:multiLevelType w:val="singleLevel"/>
    <w:tmpl w:val="1F36BBDA"/>
    <w:lvl w:ilvl="0">
      <w:start w:val="1"/>
      <w:numFmt w:val="lowerLetter"/>
      <w:suff w:val="space"/>
      <w:lvlText w:val="%1)"/>
      <w:lvlJc w:val="left"/>
    </w:lvl>
  </w:abstractNum>
  <w:abstractNum w:abstractNumId="38">
    <w:nsid w:val="1F3844DC"/>
    <w:multiLevelType w:val="singleLevel"/>
    <w:tmpl w:val="1F3844DC"/>
    <w:lvl w:ilvl="0">
      <w:start w:val="1"/>
      <w:numFmt w:val="lowerLetter"/>
      <w:suff w:val="nothing"/>
      <w:lvlText w:val="%1）"/>
      <w:lvlJc w:val="left"/>
    </w:lvl>
  </w:abstractNum>
  <w:abstractNum w:abstractNumId="39">
    <w:nsid w:val="1F855C11"/>
    <w:multiLevelType w:val="multilevel"/>
    <w:tmpl w:val="1F855C11"/>
    <w:lvl w:ilvl="0">
      <w:start w:val="1"/>
      <w:numFmt w:val="lowerLetter"/>
      <w:lvlText w:val="%1)"/>
      <w:lvlJc w:val="left"/>
      <w:pPr>
        <w:tabs>
          <w:tab w:val="left" w:pos="851"/>
        </w:tabs>
        <w:ind w:left="851" w:hanging="371"/>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0">
    <w:nsid w:val="23CFA842"/>
    <w:multiLevelType w:val="singleLevel"/>
    <w:tmpl w:val="23CFA842"/>
    <w:lvl w:ilvl="0">
      <w:start w:val="1"/>
      <w:numFmt w:val="lowerLetter"/>
      <w:suff w:val="space"/>
      <w:lvlText w:val="%1)"/>
      <w:lvlJc w:val="left"/>
    </w:lvl>
  </w:abstractNum>
  <w:abstractNum w:abstractNumId="41">
    <w:nsid w:val="2A615DC6"/>
    <w:multiLevelType w:val="singleLevel"/>
    <w:tmpl w:val="2A615DC6"/>
    <w:lvl w:ilvl="0">
      <w:start w:val="1"/>
      <w:numFmt w:val="lowerLetter"/>
      <w:suff w:val="space"/>
      <w:lvlText w:val="%1)"/>
      <w:lvlJc w:val="left"/>
    </w:lvl>
  </w:abstractNum>
  <w:abstractNum w:abstractNumId="42">
    <w:nsid w:val="2D0B5768"/>
    <w:multiLevelType w:val="singleLevel"/>
    <w:tmpl w:val="2D0B5768"/>
    <w:lvl w:ilvl="0">
      <w:start w:val="1"/>
      <w:numFmt w:val="lowerLetter"/>
      <w:suff w:val="space"/>
      <w:lvlText w:val="%1)"/>
      <w:lvlJc w:val="left"/>
    </w:lvl>
  </w:abstractNum>
  <w:abstractNum w:abstractNumId="43">
    <w:nsid w:val="2E4C779A"/>
    <w:multiLevelType w:val="singleLevel"/>
    <w:tmpl w:val="2E4C779A"/>
    <w:lvl w:ilvl="0">
      <w:start w:val="1"/>
      <w:numFmt w:val="lowerLetter"/>
      <w:lvlText w:val="%1)"/>
      <w:lvlJc w:val="left"/>
      <w:pPr>
        <w:tabs>
          <w:tab w:val="left" w:pos="312"/>
        </w:tabs>
      </w:pPr>
    </w:lvl>
  </w:abstractNum>
  <w:abstractNum w:abstractNumId="44">
    <w:nsid w:val="3260ABE6"/>
    <w:multiLevelType w:val="singleLevel"/>
    <w:tmpl w:val="3260ABE6"/>
    <w:lvl w:ilvl="0">
      <w:start w:val="1"/>
      <w:numFmt w:val="lowerLetter"/>
      <w:suff w:val="space"/>
      <w:lvlText w:val="%1)"/>
      <w:lvlJc w:val="left"/>
    </w:lvl>
  </w:abstractNum>
  <w:abstractNum w:abstractNumId="45">
    <w:nsid w:val="4A1D064F"/>
    <w:multiLevelType w:val="singleLevel"/>
    <w:tmpl w:val="4A1D064F"/>
    <w:lvl w:ilvl="0">
      <w:start w:val="1"/>
      <w:numFmt w:val="lowerLetter"/>
      <w:lvlText w:val="%1)"/>
      <w:lvlJc w:val="left"/>
      <w:pPr>
        <w:tabs>
          <w:tab w:val="left" w:pos="312"/>
        </w:tabs>
      </w:pPr>
    </w:lvl>
  </w:abstractNum>
  <w:abstractNum w:abstractNumId="46">
    <w:nsid w:val="4B11A378"/>
    <w:multiLevelType w:val="singleLevel"/>
    <w:tmpl w:val="4B11A378"/>
    <w:lvl w:ilvl="0">
      <w:start w:val="1"/>
      <w:numFmt w:val="lowerLetter"/>
      <w:suff w:val="space"/>
      <w:lvlText w:val="%1)"/>
      <w:lvlJc w:val="left"/>
    </w:lvl>
  </w:abstractNum>
  <w:abstractNum w:abstractNumId="47">
    <w:nsid w:val="5054272A"/>
    <w:multiLevelType w:val="singleLevel"/>
    <w:tmpl w:val="5054272A"/>
    <w:lvl w:ilvl="0">
      <w:start w:val="1"/>
      <w:numFmt w:val="lowerLetter"/>
      <w:suff w:val="space"/>
      <w:lvlText w:val="%1)"/>
      <w:lvlJc w:val="left"/>
    </w:lvl>
  </w:abstractNum>
  <w:abstractNum w:abstractNumId="48">
    <w:nsid w:val="535C81F6"/>
    <w:multiLevelType w:val="singleLevel"/>
    <w:tmpl w:val="535C81F6"/>
    <w:lvl w:ilvl="0">
      <w:start w:val="1"/>
      <w:numFmt w:val="lowerLetter"/>
      <w:suff w:val="space"/>
      <w:lvlText w:val="%1)"/>
      <w:lvlJc w:val="left"/>
    </w:lvl>
  </w:abstractNum>
  <w:abstractNum w:abstractNumId="49">
    <w:nsid w:val="537E4726"/>
    <w:multiLevelType w:val="singleLevel"/>
    <w:tmpl w:val="537E4726"/>
    <w:lvl w:ilvl="0">
      <w:start w:val="1"/>
      <w:numFmt w:val="lowerLetter"/>
      <w:suff w:val="space"/>
      <w:lvlText w:val="%1)"/>
      <w:lvlJc w:val="left"/>
    </w:lvl>
  </w:abstractNum>
  <w:abstractNum w:abstractNumId="50">
    <w:nsid w:val="53A08313"/>
    <w:multiLevelType w:val="singleLevel"/>
    <w:tmpl w:val="53A08313"/>
    <w:lvl w:ilvl="0">
      <w:start w:val="9"/>
      <w:numFmt w:val="chineseCounting"/>
      <w:suff w:val="space"/>
      <w:lvlText w:val="第%1章"/>
      <w:lvlJc w:val="left"/>
      <w:rPr>
        <w:rFonts w:hint="eastAsia"/>
      </w:rPr>
    </w:lvl>
  </w:abstractNum>
  <w:abstractNum w:abstractNumId="51">
    <w:nsid w:val="60A1B3A6"/>
    <w:multiLevelType w:val="singleLevel"/>
    <w:tmpl w:val="60A1B3A6"/>
    <w:lvl w:ilvl="0">
      <w:start w:val="1"/>
      <w:numFmt w:val="chineseCounting"/>
      <w:suff w:val="nothing"/>
      <w:lvlText w:val="%1、"/>
      <w:lvlJc w:val="left"/>
      <w:pPr>
        <w:ind w:left="0" w:firstLine="420"/>
      </w:pPr>
      <w:rPr>
        <w:rFonts w:hint="eastAsia"/>
      </w:rPr>
    </w:lvl>
  </w:abstractNum>
  <w:abstractNum w:abstractNumId="52">
    <w:nsid w:val="61DF7C63"/>
    <w:multiLevelType w:val="singleLevel"/>
    <w:tmpl w:val="61DF7C63"/>
    <w:lvl w:ilvl="0">
      <w:start w:val="1"/>
      <w:numFmt w:val="lowerLetter"/>
      <w:suff w:val="space"/>
      <w:lvlText w:val="%1)"/>
      <w:lvlJc w:val="left"/>
    </w:lvl>
  </w:abstractNum>
  <w:abstractNum w:abstractNumId="53">
    <w:nsid w:val="64EE47AD"/>
    <w:multiLevelType w:val="singleLevel"/>
    <w:tmpl w:val="64EE47AD"/>
    <w:lvl w:ilvl="0">
      <w:start w:val="1"/>
      <w:numFmt w:val="lowerLetter"/>
      <w:suff w:val="space"/>
      <w:lvlText w:val="%1)"/>
      <w:lvlJc w:val="left"/>
    </w:lvl>
  </w:abstractNum>
  <w:abstractNum w:abstractNumId="54">
    <w:nsid w:val="6BECA13E"/>
    <w:multiLevelType w:val="singleLevel"/>
    <w:tmpl w:val="6BECA13E"/>
    <w:lvl w:ilvl="0">
      <w:start w:val="1"/>
      <w:numFmt w:val="lowerLetter"/>
      <w:suff w:val="space"/>
      <w:lvlText w:val="%1)"/>
      <w:lvlJc w:val="left"/>
    </w:lvl>
  </w:abstractNum>
  <w:abstractNum w:abstractNumId="55">
    <w:nsid w:val="6CFAFBD4"/>
    <w:multiLevelType w:val="singleLevel"/>
    <w:tmpl w:val="6CFAFBD4"/>
    <w:lvl w:ilvl="0">
      <w:start w:val="1"/>
      <w:numFmt w:val="lowerLetter"/>
      <w:suff w:val="space"/>
      <w:lvlText w:val="%1)"/>
      <w:lvlJc w:val="left"/>
    </w:lvl>
  </w:abstractNum>
  <w:abstractNum w:abstractNumId="56">
    <w:nsid w:val="6D154AC0"/>
    <w:multiLevelType w:val="singleLevel"/>
    <w:tmpl w:val="6D154AC0"/>
    <w:lvl w:ilvl="0">
      <w:start w:val="1"/>
      <w:numFmt w:val="lowerLetter"/>
      <w:suff w:val="space"/>
      <w:lvlText w:val="%1)"/>
      <w:lvlJc w:val="left"/>
    </w:lvl>
  </w:abstractNum>
  <w:abstractNum w:abstractNumId="57">
    <w:nsid w:val="70CB6CB4"/>
    <w:multiLevelType w:val="singleLevel"/>
    <w:tmpl w:val="70CB6CB4"/>
    <w:lvl w:ilvl="0">
      <w:start w:val="1"/>
      <w:numFmt w:val="lowerLetter"/>
      <w:suff w:val="space"/>
      <w:lvlText w:val="%1)"/>
      <w:lvlJc w:val="left"/>
    </w:lvl>
  </w:abstractNum>
  <w:abstractNum w:abstractNumId="58">
    <w:nsid w:val="7266728A"/>
    <w:multiLevelType w:val="singleLevel"/>
    <w:tmpl w:val="7266728A"/>
    <w:lvl w:ilvl="0">
      <w:start w:val="1"/>
      <w:numFmt w:val="lowerLetter"/>
      <w:suff w:val="space"/>
      <w:lvlText w:val="%1)"/>
      <w:lvlJc w:val="left"/>
    </w:lvl>
  </w:abstractNum>
  <w:abstractNum w:abstractNumId="59">
    <w:nsid w:val="72C70B33"/>
    <w:multiLevelType w:val="multilevel"/>
    <w:tmpl w:val="72C70B33"/>
    <w:lvl w:ilvl="0">
      <w:start w:val="1"/>
      <w:numFmt w:val="lowerLetter"/>
      <w:lvlText w:val="%1)"/>
      <w:lvlJc w:val="left"/>
      <w:pPr>
        <w:tabs>
          <w:tab w:val="left" w:pos="851"/>
        </w:tabs>
        <w:ind w:left="851" w:hanging="371"/>
      </w:pPr>
      <w:rPr>
        <w:rFonts w:ascii="宋体" w:eastAsia="宋体" w:hAnsi="宋体"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0">
    <w:nsid w:val="740D5B1E"/>
    <w:multiLevelType w:val="singleLevel"/>
    <w:tmpl w:val="740D5B1E"/>
    <w:lvl w:ilvl="0">
      <w:start w:val="1"/>
      <w:numFmt w:val="lowerLetter"/>
      <w:suff w:val="space"/>
      <w:lvlText w:val="%1)"/>
      <w:lvlJc w:val="left"/>
    </w:lvl>
  </w:abstractNum>
  <w:abstractNum w:abstractNumId="61">
    <w:nsid w:val="781C47A9"/>
    <w:multiLevelType w:val="singleLevel"/>
    <w:tmpl w:val="781C47A9"/>
    <w:lvl w:ilvl="0">
      <w:start w:val="1"/>
      <w:numFmt w:val="lowerLetter"/>
      <w:suff w:val="space"/>
      <w:lvlText w:val="%1)"/>
      <w:lvlJc w:val="left"/>
    </w:lvl>
  </w:abstractNum>
  <w:abstractNum w:abstractNumId="62">
    <w:nsid w:val="7ACB0FC7"/>
    <w:multiLevelType w:val="singleLevel"/>
    <w:tmpl w:val="7ACB0FC7"/>
    <w:lvl w:ilvl="0">
      <w:start w:val="1"/>
      <w:numFmt w:val="lowerLetter"/>
      <w:suff w:val="space"/>
      <w:lvlText w:val="%1)"/>
      <w:lvlJc w:val="left"/>
    </w:lvl>
  </w:abstractNum>
  <w:num w:numId="1">
    <w:abstractNumId w:val="28"/>
  </w:num>
  <w:num w:numId="2">
    <w:abstractNumId w:val="27"/>
  </w:num>
  <w:num w:numId="3">
    <w:abstractNumId w:val="30"/>
  </w:num>
  <w:num w:numId="4">
    <w:abstractNumId w:val="58"/>
  </w:num>
  <w:num w:numId="5">
    <w:abstractNumId w:val="32"/>
  </w:num>
  <w:num w:numId="6">
    <w:abstractNumId w:val="9"/>
  </w:num>
  <w:num w:numId="7">
    <w:abstractNumId w:val="11"/>
  </w:num>
  <w:num w:numId="8">
    <w:abstractNumId w:val="34"/>
  </w:num>
  <w:num w:numId="9">
    <w:abstractNumId w:val="22"/>
  </w:num>
  <w:num w:numId="10">
    <w:abstractNumId w:val="46"/>
  </w:num>
  <w:num w:numId="11">
    <w:abstractNumId w:val="24"/>
  </w:num>
  <w:num w:numId="12">
    <w:abstractNumId w:val="43"/>
  </w:num>
  <w:num w:numId="13">
    <w:abstractNumId w:val="59"/>
  </w:num>
  <w:num w:numId="14">
    <w:abstractNumId w:val="39"/>
  </w:num>
  <w:num w:numId="15">
    <w:abstractNumId w:val="35"/>
  </w:num>
  <w:num w:numId="16">
    <w:abstractNumId w:val="49"/>
  </w:num>
  <w:num w:numId="17">
    <w:abstractNumId w:val="60"/>
  </w:num>
  <w:num w:numId="18">
    <w:abstractNumId w:val="52"/>
  </w:num>
  <w:num w:numId="19">
    <w:abstractNumId w:val="33"/>
  </w:num>
  <w:num w:numId="20">
    <w:abstractNumId w:val="62"/>
  </w:num>
  <w:num w:numId="21">
    <w:abstractNumId w:val="55"/>
  </w:num>
  <w:num w:numId="22">
    <w:abstractNumId w:val="12"/>
  </w:num>
  <w:num w:numId="23">
    <w:abstractNumId w:val="21"/>
  </w:num>
  <w:num w:numId="24">
    <w:abstractNumId w:val="53"/>
  </w:num>
  <w:num w:numId="25">
    <w:abstractNumId w:val="44"/>
  </w:num>
  <w:num w:numId="26">
    <w:abstractNumId w:val="7"/>
  </w:num>
  <w:num w:numId="27">
    <w:abstractNumId w:val="56"/>
  </w:num>
  <w:num w:numId="28">
    <w:abstractNumId w:val="6"/>
  </w:num>
  <w:num w:numId="29">
    <w:abstractNumId w:val="38"/>
  </w:num>
  <w:num w:numId="30">
    <w:abstractNumId w:val="14"/>
  </w:num>
  <w:num w:numId="31">
    <w:abstractNumId w:val="40"/>
  </w:num>
  <w:num w:numId="32">
    <w:abstractNumId w:val="4"/>
  </w:num>
  <w:num w:numId="33">
    <w:abstractNumId w:val="31"/>
  </w:num>
  <w:num w:numId="34">
    <w:abstractNumId w:val="45"/>
  </w:num>
  <w:num w:numId="35">
    <w:abstractNumId w:val="3"/>
  </w:num>
  <w:num w:numId="36">
    <w:abstractNumId w:val="25"/>
  </w:num>
  <w:num w:numId="37">
    <w:abstractNumId w:val="18"/>
  </w:num>
  <w:num w:numId="38">
    <w:abstractNumId w:val="2"/>
  </w:num>
  <w:num w:numId="39">
    <w:abstractNumId w:val="26"/>
  </w:num>
  <w:num w:numId="40">
    <w:abstractNumId w:val="48"/>
  </w:num>
  <w:num w:numId="41">
    <w:abstractNumId w:val="36"/>
  </w:num>
  <w:num w:numId="42">
    <w:abstractNumId w:val="15"/>
  </w:num>
  <w:num w:numId="43">
    <w:abstractNumId w:val="42"/>
  </w:num>
  <w:num w:numId="44">
    <w:abstractNumId w:val="0"/>
  </w:num>
  <w:num w:numId="45">
    <w:abstractNumId w:val="54"/>
  </w:num>
  <w:num w:numId="46">
    <w:abstractNumId w:val="19"/>
  </w:num>
  <w:num w:numId="47">
    <w:abstractNumId w:val="10"/>
  </w:num>
  <w:num w:numId="48">
    <w:abstractNumId w:val="41"/>
  </w:num>
  <w:num w:numId="49">
    <w:abstractNumId w:val="1"/>
  </w:num>
  <w:num w:numId="50">
    <w:abstractNumId w:val="13"/>
  </w:num>
  <w:num w:numId="51">
    <w:abstractNumId w:val="16"/>
  </w:num>
  <w:num w:numId="52">
    <w:abstractNumId w:val="29"/>
  </w:num>
  <w:num w:numId="53">
    <w:abstractNumId w:val="5"/>
  </w:num>
  <w:num w:numId="54">
    <w:abstractNumId w:val="57"/>
  </w:num>
  <w:num w:numId="55">
    <w:abstractNumId w:val="8"/>
  </w:num>
  <w:num w:numId="56">
    <w:abstractNumId w:val="37"/>
  </w:num>
  <w:num w:numId="57">
    <w:abstractNumId w:val="23"/>
  </w:num>
  <w:num w:numId="58">
    <w:abstractNumId w:val="61"/>
  </w:num>
  <w:num w:numId="59">
    <w:abstractNumId w:val="47"/>
  </w:num>
  <w:num w:numId="60">
    <w:abstractNumId w:val="20"/>
  </w:num>
  <w:num w:numId="61">
    <w:abstractNumId w:val="17"/>
  </w:num>
  <w:num w:numId="62">
    <w:abstractNumId w:val="50"/>
  </w:num>
  <w:num w:numId="63">
    <w:abstractNumId w:val="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339"/>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04AC"/>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0AF2"/>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489"/>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table" w:customStyle="1" w:styleId="TableNormal0">
    <w:name w:val="Table Normal_0"/>
    <w:unhideWhenUsed/>
    <w:qFormat/>
    <w:rPr>
      <w:rFonts w:ascii="Arial" w:eastAsia="等线" w:hAnsi="Arial" w:cs="Arial"/>
      <w:lang w:eastAsia="zh-CN"/>
    </w:rPr>
    <w:tblPr>
      <w:tblCellMar>
        <w:top w:w="0" w:type="dxa"/>
        <w:left w:w="0" w:type="dxa"/>
        <w:bottom w:w="0" w:type="dxa"/>
        <w:right w:w="0" w:type="dxa"/>
      </w:tblCellMar>
    </w:tbl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mailto:&#12304;13327695665@163.com&#12305;" TargetMode="Externa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