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人工影响天气作业飞机（运-12E）任务系统升级改造（重新招标）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ZQCD-25301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w:t>
      </w:r>
      <w:r>
        <w:rPr>
          <w:rFonts w:ascii="宋体" w:eastAsia="宋体" w:hAnsi="宋体" w:cs="Times New Roman" w:hint="eastAsia"/>
          <w:szCs w:val="21"/>
        </w:rPr>
        <w:t>货物报价及品牌、型号、产地、装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588" w:firstLineChars="196"/>
        <w:jc w:val="center"/>
        <w:outlineLvl w:val="2"/>
        <w:rPr>
          <w:b/>
          <w:bCs/>
          <w:sz w:val="30"/>
          <w:szCs w:val="30"/>
          <w:highlight w:val="none"/>
        </w:rPr>
      </w:pPr>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第五章投标人须知专用部分5.6条</w:t>
            </w:r>
            <w:r>
              <w:rPr>
                <w:rFonts w:hint="eastAsia"/>
                <w:sz w:val="18"/>
                <w:szCs w:val="18"/>
                <w:highlight w:val="none"/>
              </w:rPr>
              <w:t>有关代理商投标要求，以及进口产品代理商未按</w:t>
            </w:r>
            <w:r>
              <w:rPr>
                <w:rFonts w:hint="eastAsia"/>
                <w:b/>
                <w:sz w:val="18"/>
                <w:szCs w:val="18"/>
                <w:highlight w:val="none"/>
              </w:rPr>
              <w:t>第五章投标人须知专用部分5.7条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bCs/>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（如本次采购内容不包括货物，或者投标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hint="eastAsia"/>
                <w:bCs/>
                <w:sz w:val="18"/>
                <w:szCs w:val="18"/>
                <w:highlight w:val="none"/>
              </w:rPr>
              <w:t>中小</w:t>
            </w:r>
            <w:r>
              <w:rPr>
                <w:bCs/>
                <w:sz w:val="18"/>
                <w:szCs w:val="18"/>
                <w:highlight w:val="none"/>
              </w:rPr>
              <w:t>企业声明函</w:t>
            </w:r>
            <w:r>
              <w:rPr>
                <w:rFonts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hint="eastAsia"/>
                <w:bCs/>
                <w:sz w:val="18"/>
                <w:szCs w:val="18"/>
                <w:highlight w:val="none"/>
              </w:rPr>
              <w:t>；</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第五章投标人须知专用部分5.12条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rPr>
                <w:sz w:val="18"/>
                <w:szCs w:val="18"/>
                <w:highlight w:val="none"/>
              </w:rPr>
            </w:pPr>
            <w:r>
              <w:rPr>
                <w:rFonts w:hint="eastAsia"/>
                <w:sz w:val="18"/>
                <w:szCs w:val="18"/>
                <w:highlight w:val="none"/>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center"/>
        <w:rPr>
          <w:b/>
          <w:sz w:val="48"/>
          <w:szCs w:val="36"/>
          <w:highlight w:val="none"/>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黑龙江省人民政府人工降雨办公室</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人工影响天气作业飞机（运-12E）任务系统升级改造（重新招标）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ZQCD-25301</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合同签订后90天内交货，120天内完成安装调试并具备验收条件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黑龙江</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2025年09月29日 00:00:00</w:t>
      </w:r>
      <w:bookmarkEnd w:id="26"/>
      <w:r>
        <w:rPr>
          <w:rFonts w:ascii="宋体" w:hint="eastAsia"/>
          <w:szCs w:val="21"/>
          <w:highlight w:val="none"/>
        </w:rPr>
        <w:t>至</w:t>
      </w:r>
      <w:bookmarkStart w:id="27" w:name="项目公告_signUpLastTime"/>
      <w:r>
        <w:rPr>
          <w:rFonts w:ascii="宋体" w:hint="eastAsia"/>
          <w:szCs w:val="21"/>
          <w:highlight w:val="none"/>
        </w:rPr>
        <w:t>2025年10月13日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2025年10月24日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黑龙江省人民政府人工降雨办公室</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李佳帅</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0451-88138898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黑龙江省哈尔滨市香坊区电碳路71号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黑龙江省人民政府人工降雨办公室</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投标人具备中国民用航空局颁发的经营许可证，具备CCAR-145R4部维修许可证。</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5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是</w:t>
            </w:r>
          </w:p>
          <w:p>
            <w:pPr>
              <w:rPr>
                <w:rFonts w:ascii="宋体" w:eastAsia="宋体" w:hAnsi="宋体" w:cs="微软雅黑" w:hint="eastAsia"/>
                <w:kern w:val="0"/>
                <w:szCs w:val="21"/>
                <w:highlight w:val="none"/>
              </w:rPr>
            </w:pPr>
            <w:r>
              <w:rPr>
                <w:rFonts w:ascii="宋体" w:eastAsia="宋体" w:hAnsi="宋体" w:cs="微软雅黑" w:hint="eastAsia"/>
                <w:kern w:val="0"/>
                <w:szCs w:val="21"/>
                <w:highlight w:val="none"/>
              </w:rPr>
              <w:t>投标货物（不必须）取得《气象专用技术装备使用许可证》</w:t>
            </w:r>
          </w:p>
          <w:p>
            <w:pPr>
              <w:rPr>
                <w:rFonts w:ascii="宋体" w:eastAsia="宋体" w:hAnsi="宋体" w:cs="微软雅黑" w:hint="eastAsia"/>
                <w:kern w:val="0"/>
                <w:szCs w:val="21"/>
                <w:highlight w:val="none"/>
              </w:rPr>
            </w:pPr>
            <w:r>
              <w:rPr>
                <w:rFonts w:ascii="宋体" w:eastAsia="宋体" w:hAnsi="宋体" w:cs="微软雅黑" w:hint="eastAsia"/>
                <w:kern w:val="0"/>
                <w:szCs w:val="21"/>
                <w:highlight w:val="none"/>
              </w:rPr>
              <w:t xml:space="preserve">（允许）代理商投标 </w:t>
            </w:r>
          </w:p>
          <w:p>
            <w:pPr>
              <w:rPr>
                <w:rFonts w:ascii="宋体" w:eastAsia="宋体" w:hAnsi="宋体" w:cs="微软雅黑" w:hint="eastAsia"/>
                <w:kern w:val="0"/>
                <w:szCs w:val="21"/>
                <w:highlight w:val="none"/>
              </w:rPr>
            </w:pPr>
            <w:r>
              <w:rPr>
                <w:rFonts w:ascii="宋体" w:eastAsia="宋体" w:hAnsi="宋体" w:cs="微软雅黑" w:hint="eastAsia"/>
                <w:kern w:val="0"/>
                <w:szCs w:val="21"/>
                <w:highlight w:val="none"/>
              </w:rPr>
              <w:t>针对以下产品允许代理商投标：1、催化播撒子系统，2、国产云物理探测子系统，3、空地通信子系统，4、任务集成子系统（地面操控型），5、人工影响天气飞机运行管理终端；</w:t>
            </w:r>
          </w:p>
          <w:p>
            <w:pPr>
              <w:rPr>
                <w:rFonts w:ascii="宋体" w:eastAsia="宋体" w:hAnsi="宋体" w:cs="微软雅黑" w:hint="eastAsia"/>
                <w:kern w:val="0"/>
                <w:szCs w:val="21"/>
                <w:highlight w:val="none"/>
              </w:rPr>
            </w:pPr>
            <w:r>
              <w:rPr>
                <w:rFonts w:ascii="宋体" w:eastAsia="宋体" w:hAnsi="宋体" w:cs="微软雅黑" w:hint="eastAsia"/>
                <w:kern w:val="0"/>
                <w:szCs w:val="21"/>
                <w:highlight w:val="none"/>
              </w:rPr>
              <w:t>（不允许）进口产品投标</w:t>
            </w:r>
          </w:p>
          <w:p>
            <w:pPr>
              <w:rPr>
                <w:rFonts w:ascii="宋体" w:eastAsia="宋体" w:hAnsi="宋体" w:cs="微软雅黑" w:hint="eastAsia"/>
                <w:kern w:val="0"/>
                <w:szCs w:val="21"/>
                <w:highlight w:val="none"/>
              </w:rPr>
            </w:pP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r>
              <w:rPr>
                <w:rFonts w:ascii="宋体" w:hAnsi="宋体" w:cs="微软雅黑" w:hint="eastAsia"/>
                <w:kern w:val="0"/>
                <w:szCs w:val="21"/>
                <w:highlight w:val="none"/>
              </w:rPr>
              <w:t>无</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（1）标的：人工影响天气作业飞机（运-12E）任务系统升级改造，属于  工业  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是，代理服务费：8.1万元。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1,442.640000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1,442.640000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无</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895"/>
        <w:gridCol w:w="253"/>
        <w:gridCol w:w="744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投标人业绩与经验（客观分）</w:t>
            </w:r>
          </w:p>
        </w:tc>
        <w:tc>
          <w:tcPr/>
          <w:p>
            <w:r>
              <w:t>区间打分</w:t>
            </w:r>
            <w:r>
              <w:t>(5)</w:t>
            </w:r>
          </w:p>
        </w:tc>
        <w:tc>
          <w:tcPr/>
          <w:p>
            <w:r>
              <w:t>评审标准：</w:t>
            </w:r>
          </w:p>
          <w:p>
            <w:r>
              <w:t>1.投标人具有2名及以上民用航空器维修执照人员，得1分，每多1名得0.5分，本项最多2分，没有得0分。须提供中国民航管理局颁发的资格证书。</w:t>
              <w:cr/>
              <w:t>2.投标人具有增雨飞机改装经验得3分，否则得0分。须提供中国民航管理局颁发的STC或MDA证书。</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投标人对关键设备的供应能力(客观分)</w:t>
            </w:r>
          </w:p>
        </w:tc>
        <w:tc>
          <w:tcPr/>
          <w:p>
            <w:r>
              <w:t>区间打分</w:t>
            </w:r>
            <w:r>
              <w:t>(8)</w:t>
            </w:r>
          </w:p>
        </w:tc>
        <w:tc>
          <w:tcPr/>
          <w:p>
            <w:r>
              <w:t>评审标准：</w:t>
            </w:r>
          </w:p>
          <w:p>
            <w:r>
              <w:t>提供本项目所采购的探测设备：气象要素探测设备、液态水探测设备、激光云粒子谱仪、云粒子成像仪、降水粒子成像仪、降水粒子谱探头、气溶胶探测仪和结冰传感器的制造商或其授权代理商出具的针对本项目的授权书。8种设备每提供一项得1分，最高8分。</w:t>
            </w:r>
          </w:p>
          <w:p>
            <w:r>
              <w:t>评审标准说明：</w:t>
            </w:r>
          </w:p>
          <w:p>
            <w:r>
              <w:t>需提供制造商或其授权代理商出具的针对本项目的授权书原件或复印件并加盖投标人公章。</w:t>
            </w:r>
          </w:p>
          <w:p/>
        </w:tc>
      </w:tr>
      <w:tr>
        <w:tblPrEx>
          <w:tblW w:w="5000" w:type="pct"/>
          <w:tblCellMar>
            <w:left w:w="108" w:type="dxa"/>
            <w:right w:w="108" w:type="dxa"/>
          </w:tblCellMar>
        </w:tblPrEx>
        <w:tc>
          <w:tcPr/>
          <w:p>
            <w:r>
              <w:t>4</w:t>
            </w:r>
          </w:p>
        </w:tc>
        <w:tc>
          <w:tcPr>
            <w:vMerge/>
          </w:tcPr>
          <w:p>
            <w:r>
              <w:t>商务部分</w:t>
            </w:r>
          </w:p>
        </w:tc>
        <w:tc>
          <w:tcPr/>
          <w:p>
            <w:r>
              <w:t>适航取证能力（客观分）</w:t>
            </w:r>
          </w:p>
        </w:tc>
        <w:tc>
          <w:tcPr/>
          <w:p>
            <w:r>
              <w:t>区间打分</w:t>
            </w:r>
            <w:r>
              <w:t>(7)</w:t>
            </w:r>
          </w:p>
        </w:tc>
        <w:tc>
          <w:tcPr/>
          <w:p>
            <w:r>
              <w:t>评审标准：</w:t>
            </w:r>
          </w:p>
          <w:p>
            <w:r>
              <w:t>1.具有涡桨双发飞机CAAC适航取“三证”能力（型号合格证TC、生产许可证PC、适航证AC）得3分，否则得0分。</w:t>
              <w:cr/>
              <w:t>2.能直接获得CAAC颁发补充型号合格证（STC）得2分，否则得0分。</w:t>
              <w:cr/>
              <w:t>3.承诺具有大型航空器改装CAAC STC适航取证能力得2分，否则得0分。</w:t>
            </w:r>
          </w:p>
          <w:p>
            <w:r>
              <w:t>评审标准说明：</w:t>
            </w:r>
          </w:p>
          <w:p>
            <w:r>
              <w:t>第1.2.项需提供有效期内的相关证书复印件并加盖投标人公章。第3.项需提供承诺书并加盖投标人公章。</w:t>
            </w:r>
          </w:p>
          <w:p/>
        </w:tc>
      </w:tr>
      <w:tr>
        <w:tblPrEx>
          <w:tblW w:w="5000" w:type="pct"/>
          <w:tblCellMar>
            <w:left w:w="108" w:type="dxa"/>
            <w:right w:w="108" w:type="dxa"/>
          </w:tblCellMar>
        </w:tblPrEx>
        <w:tc>
          <w:tcPr/>
          <w:p>
            <w:r>
              <w:t>5</w:t>
            </w:r>
          </w:p>
        </w:tc>
        <w:tc>
          <w:tcPr>
            <w:vMerge w:val="restart"/>
          </w:tcPr>
          <w:p>
            <w:r>
              <w:t>服务部分</w:t>
            </w:r>
          </w:p>
        </w:tc>
        <w:tc>
          <w:tcPr/>
          <w:p>
            <w:r>
              <w:t>质量保障与实施方案（主观分）</w:t>
            </w:r>
          </w:p>
        </w:tc>
        <w:tc>
          <w:tcPr/>
          <w:p>
            <w:r>
              <w:t>勾选打分</w:t>
            </w:r>
            <w:r>
              <w:t>(3)</w:t>
            </w:r>
          </w:p>
        </w:tc>
        <w:tc>
          <w:tcPr/>
          <w:p>
            <w:r>
              <w:t>评审标准：</w:t>
            </w:r>
          </w:p>
          <w:p>
            <w:r>
              <w:t>一档0分</w:t>
              <w:cr/>
              <w:t>二档1分</w:t>
              <w:cr/>
              <w:t>三档2分</w:t>
              <w:cr/>
              <w:t>四档3分</w:t>
            </w:r>
          </w:p>
          <w:p>
            <w:r>
              <w:t>评审标准说明：</w:t>
            </w:r>
          </w:p>
          <w:p>
            <w:r>
              <w:t>提供质量保障与实施方案，提出合理的项目全过程质量保证措施，过程检查有明确依据，质量保证工作量化。</w:t>
              <w:cr/>
              <w:t>一档：未提供方案；</w:t>
              <w:cr/>
              <w:t>二档：方案不完整，无针对性，合理性、可行性差；</w:t>
              <w:cr/>
              <w:t>三档：方案内容较完整，但详细程度一般，进度控制保证措施针对性、合理性、可行性一般。</w:t>
              <w:cr/>
              <w:t>四档：方案内容完整详实，项目组织机构清晰，进度控制保证措施针对性强，切实可行。</w:t>
            </w:r>
          </w:p>
          <w:p/>
        </w:tc>
      </w:tr>
      <w:tr>
        <w:tblPrEx>
          <w:tblW w:w="5000" w:type="pct"/>
          <w:tblCellMar>
            <w:left w:w="108" w:type="dxa"/>
            <w:right w:w="108" w:type="dxa"/>
          </w:tblCellMar>
        </w:tblPrEx>
        <w:tc>
          <w:tcPr/>
          <w:p>
            <w:r>
              <w:t>6</w:t>
            </w:r>
          </w:p>
        </w:tc>
        <w:tc>
          <w:tcPr>
            <w:vMerge/>
          </w:tcPr>
          <w:p>
            <w:r>
              <w:t>服务部分</w:t>
            </w:r>
          </w:p>
        </w:tc>
        <w:tc>
          <w:tcPr/>
          <w:p>
            <w:r>
              <w:t>项目需求分析</w:t>
            </w:r>
          </w:p>
        </w:tc>
        <w:tc>
          <w:tcPr/>
          <w:p>
            <w:r>
              <w:t>勾选打分</w:t>
            </w:r>
            <w:r>
              <w:t>(3)</w:t>
            </w:r>
          </w:p>
        </w:tc>
        <w:tc>
          <w:tcPr/>
          <w:p>
            <w:r>
              <w:t>评审标准：</w:t>
            </w:r>
          </w:p>
          <w:p>
            <w:r>
              <w:t>一档0分</w:t>
              <w:cr/>
              <w:t>二档1分</w:t>
              <w:cr/>
              <w:t>三档2分</w:t>
              <w:cr/>
              <w:t>四档3分</w:t>
            </w:r>
          </w:p>
          <w:p>
            <w:r>
              <w:t>评审标准说明：</w:t>
            </w:r>
          </w:p>
          <w:p>
            <w:r>
              <w:t>根据投标人提供项目需求分析材料进行评分。具体评分标准如下：</w:t>
              <w:cr/>
              <w:t>一档：未提供分析报告。</w:t>
              <w:cr/>
              <w:t>二档：对项目范围和内容及用户总体需求理解有一定偏差，描述简单。</w:t>
              <w:cr/>
              <w:t>三档：对项目范围和内容及用户总体需求分析无偏差，但描述简单、不清晰。</w:t>
              <w:cr/>
              <w:t>四档：对项目范围和内容及用户总体需求分析无偏差，描述详实、清晰。</w:t>
            </w:r>
          </w:p>
          <w:p/>
        </w:tc>
      </w:tr>
      <w:tr>
        <w:tblPrEx>
          <w:tblW w:w="5000" w:type="pct"/>
          <w:tblCellMar>
            <w:left w:w="108" w:type="dxa"/>
            <w:right w:w="108" w:type="dxa"/>
          </w:tblCellMar>
        </w:tblPrEx>
        <w:tc>
          <w:tcPr/>
          <w:p>
            <w:r>
              <w:t>7</w:t>
            </w:r>
          </w:p>
        </w:tc>
        <w:tc>
          <w:tcPr>
            <w:vMerge/>
          </w:tcPr>
          <w:p>
            <w:r>
              <w:t>服务部分</w:t>
            </w:r>
          </w:p>
        </w:tc>
        <w:tc>
          <w:tcPr/>
          <w:p>
            <w:r>
              <w:t>总体服务方案</w:t>
            </w:r>
          </w:p>
        </w:tc>
        <w:tc>
          <w:tcPr/>
          <w:p>
            <w:r>
              <w:t>勾选打分</w:t>
            </w:r>
            <w:r>
              <w:t>(5)</w:t>
            </w:r>
          </w:p>
        </w:tc>
        <w:tc>
          <w:tcPr/>
          <w:p>
            <w:r>
              <w:t>评审标准：</w:t>
            </w:r>
          </w:p>
          <w:p>
            <w:r>
              <w:t>一档0分</w:t>
              <w:cr/>
              <w:t>二档1分</w:t>
              <w:cr/>
              <w:t>三档3分</w:t>
              <w:cr/>
              <w:t>四档5分</w:t>
            </w:r>
          </w:p>
          <w:p>
            <w:r>
              <w:t>评审标准说明：</w:t>
            </w:r>
          </w:p>
          <w:p>
            <w:r>
              <w:t>根据投标人提供总体服务方案进行评分。具体评分标准如下：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8</w:t>
            </w:r>
          </w:p>
        </w:tc>
        <w:tc>
          <w:tcPr>
            <w:vMerge/>
          </w:tcPr>
          <w:p>
            <w:r>
              <w:t>服务部分</w:t>
            </w:r>
          </w:p>
        </w:tc>
        <w:tc>
          <w:tcPr/>
          <w:p>
            <w:r>
              <w:t>售后服务</w:t>
            </w:r>
          </w:p>
        </w:tc>
        <w:tc>
          <w:tcPr/>
          <w:p>
            <w:r>
              <w:t>勾选打分</w:t>
            </w:r>
            <w:r>
              <w:t>(5)</w:t>
            </w:r>
          </w:p>
        </w:tc>
        <w:tc>
          <w:tcPr/>
          <w:p>
            <w:r>
              <w:t>评审标准：</w:t>
            </w:r>
          </w:p>
          <w:p>
            <w:r>
              <w:t>针对以下每项服务内容提交具体服务方案：</w:t>
              <w:cr/>
              <w:t>1、服务内容1</w:t>
              <w:cr/>
              <w:t>提供运12-E飞机售后维修服务能力并提供系统售后服务保障计划方案。</w:t>
              <w:cr/>
              <w:t>一档0分</w:t>
              <w:cr/>
              <w:t>二档1分</w:t>
              <w:cr/>
              <w:t>三档3分</w:t>
              <w:cr/>
              <w:t>四档5分</w:t>
            </w:r>
          </w:p>
          <w:p>
            <w:r>
              <w:t>评审标准说明：</w:t>
            </w:r>
          </w:p>
          <w:p>
            <w:r>
              <w:t>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9</w:t>
            </w:r>
          </w:p>
        </w:tc>
        <w:tc>
          <w:tcPr>
            <w:vMerge/>
          </w:tcPr>
          <w:p>
            <w:r>
              <w:t>服务部分</w:t>
            </w:r>
          </w:p>
        </w:tc>
        <w:tc>
          <w:tcPr/>
          <w:p>
            <w:r>
              <w:t>针对本项目的合理化建议（主观分）</w:t>
            </w:r>
          </w:p>
        </w:tc>
        <w:tc>
          <w:tcPr/>
          <w:p>
            <w:r>
              <w:t>勾选打分</w:t>
            </w:r>
            <w:r>
              <w:t>(2)</w:t>
            </w:r>
          </w:p>
        </w:tc>
        <w:tc>
          <w:tcPr/>
          <w:p>
            <w:r>
              <w:t>评审标准：</w:t>
            </w:r>
          </w:p>
          <w:p>
            <w:r>
              <w:t>每提供一条合理化建议得1分，满分2分。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10</w:t>
            </w:r>
          </w:p>
        </w:tc>
        <w:tc>
          <w:tcPr>
            <w:vMerge/>
          </w:tcPr>
          <w:p>
            <w:r>
              <w:t>服务部分</w:t>
            </w:r>
          </w:p>
        </w:tc>
        <w:tc>
          <w:tcPr/>
          <w:p>
            <w:r>
              <w:t>风险管理方案（主观分）</w:t>
            </w:r>
          </w:p>
        </w:tc>
        <w:tc>
          <w:tcPr/>
          <w:p>
            <w:r>
              <w:t>勾选打分</w:t>
            </w:r>
            <w:r>
              <w:t>(3)</w:t>
            </w:r>
          </w:p>
        </w:tc>
        <w:tc>
          <w:tcPr/>
          <w:p>
            <w:r>
              <w:t>评审标准：</w:t>
            </w:r>
          </w:p>
          <w:p>
            <w:r>
              <w:t>一档0分</w:t>
              <w:cr/>
              <w:t>二档1分</w:t>
              <w:cr/>
              <w:t>三档2分</w:t>
              <w:cr/>
              <w:t>四档3分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r>
        <w:tblPrEx>
          <w:tblW w:w="5000" w:type="pct"/>
          <w:tblCellMar>
            <w:left w:w="108" w:type="dxa"/>
            <w:right w:w="108" w:type="dxa"/>
          </w:tblCellMar>
        </w:tblPrEx>
        <w:tc>
          <w:tcPr/>
          <w:p>
            <w:r>
              <w:t>11</w:t>
            </w:r>
          </w:p>
        </w:tc>
        <w:tc>
          <w:tcPr>
            <w:vMerge/>
          </w:tcPr>
          <w:p>
            <w:r>
              <w:t>服务部分</w:t>
            </w:r>
          </w:p>
        </w:tc>
        <w:tc>
          <w:tcPr/>
          <w:p>
            <w:r>
              <w:t>投标产品技术性能</w:t>
            </w:r>
          </w:p>
        </w:tc>
        <w:tc>
          <w:tcPr/>
          <w:p>
            <w:r>
              <w:t>区间打分</w:t>
            </w:r>
            <w:r>
              <w:t>(23)</w:t>
            </w:r>
          </w:p>
        </w:tc>
        <w:tc>
          <w:tcPr/>
          <w:p>
            <w:r>
              <w:t>评审标准：</w:t>
            </w:r>
          </w:p>
          <w:p>
            <w:r>
              <w:t>每个子系统技术指标满足第七章“采购需求任务系统设备清单及主要技术指标”的规定：</w:t>
              <w:cr/>
              <w:t>（1）国产云物理探测子系统满足技术性能指标要求得3分，不满足得0分</w:t>
              <w:cr/>
              <w:t>（2）催化播撒子系统满足技术性能指标要求得3分，不满足得0分</w:t>
              <w:cr/>
              <w:t>（3）空地通信子系统满足技术性能指标要求得3分，不满足得0分</w:t>
              <w:cr/>
              <w:t>（4）任务集成子系统（地面操控型）满足技术性能指标要求得3分，不满足得0分</w:t>
              <w:cr/>
              <w:t>（5）人工影响天气飞机运行管理终端满足技术性能指标要求得3分，不满足得0分</w:t>
              <w:cr/>
              <w:t>（6）载机平台改装满足技术性能指标要求得3分，不满足得0分</w:t>
              <w:cr/>
              <w:t>（7）技术服务满足技术性能指标要求得5分，不满足得0分。</w:t>
            </w:r>
          </w:p>
          <w:p>
            <w:r>
              <w:t>评审标准说明：</w:t>
            </w:r>
          </w:p>
          <w:p>
            <w:r>
              <w:t>需提供投标人满足技术性能指标承诺书复并加盖投标人公章。</w:t>
            </w:r>
          </w:p>
          <w:p/>
        </w:tc>
      </w:tr>
      <w:tr>
        <w:tblPrEx>
          <w:tblW w:w="5000" w:type="pct"/>
          <w:tblCellMar>
            <w:left w:w="108" w:type="dxa"/>
            <w:right w:w="108" w:type="dxa"/>
          </w:tblCellMar>
        </w:tblPrEx>
        <w:tc>
          <w:tcPr/>
          <w:p>
            <w:r>
              <w:t>12</w:t>
            </w:r>
          </w:p>
        </w:tc>
        <w:tc>
          <w:tcPr>
            <w:vMerge/>
          </w:tcPr>
          <w:p>
            <w:r>
              <w:t>服务部分</w:t>
            </w:r>
          </w:p>
        </w:tc>
        <w:tc>
          <w:tcPr/>
          <w:p>
            <w:r>
              <w:t>飞机改装方案设计</w:t>
            </w:r>
          </w:p>
        </w:tc>
        <w:tc>
          <w:tcPr/>
          <w:p>
            <w:r>
              <w:t>区间打分</w:t>
            </w:r>
            <w:r>
              <w:t>(18)</w:t>
            </w:r>
          </w:p>
        </w:tc>
        <w:tc>
          <w:tcPr/>
          <w:p>
            <w:r>
              <w:t>评审标准：</w:t>
            </w:r>
          </w:p>
          <w:p>
            <w:r>
              <w:t>提供飞机催化播撒子系统的加改装方案、飞机国产云物理探测子系统的加改装方案、飞机空地通信子系统的加改装方案、飞机任务集成子系统（地面操控型）的加改装方案、飞机人工影响天气飞机运行管理终端的加改装方案、飞机载机平台改装的方案，以上方案设计应遵循“六性”（可靠性、维修性、测试性、安全性、保障性和环境适应性）等要求，每一项方案评分如下：</w:t>
              <w:cr/>
              <w:t>一档0分</w:t>
              <w:cr/>
              <w:t>二档1分</w:t>
              <w:cr/>
              <w:t>三档2分</w:t>
              <w:cr/>
              <w:t>四档3分</w:t>
            </w:r>
          </w:p>
          <w:p>
            <w:r>
              <w:t>评审标准说明：</w:t>
            </w:r>
          </w:p>
          <w:p>
            <w:r>
              <w:t>根据提交的技术方案评分：</w:t>
              <w:cr/>
              <w:t>一档：未提供；</w:t>
              <w:cr/>
              <w:t>二档：改装方案设计有一定合理性，但无针对性，功能不完整；</w:t>
              <w:cr/>
              <w:t>三档：改装方案设计基本合理可行，有一定针对性，功能完整；</w:t>
              <w:cr/>
              <w:t>四档：改装方案设计合理可行，技术先进，功能完整，针对性强。</w:t>
            </w:r>
          </w:p>
          <w:p/>
        </w:tc>
      </w:tr>
      <w:tr>
        <w:tblPrEx>
          <w:tblW w:w="5000" w:type="pct"/>
          <w:tblCellMar>
            <w:left w:w="108" w:type="dxa"/>
            <w:right w:w="108" w:type="dxa"/>
          </w:tblCellMar>
        </w:tblPrEx>
        <w:tc>
          <w:tcPr/>
          <w:p>
            <w:r>
              <w:t>13</w:t>
            </w:r>
          </w:p>
        </w:tc>
        <w:tc>
          <w:tcPr>
            <w:vMerge/>
          </w:tcPr>
          <w:p>
            <w:r>
              <w:t>服务部分</w:t>
            </w:r>
          </w:p>
        </w:tc>
        <w:tc>
          <w:tcPr/>
          <w:p>
            <w:r>
              <w:t>任务集成方案</w:t>
            </w:r>
          </w:p>
        </w:tc>
        <w:tc>
          <w:tcPr/>
          <w:p>
            <w:r>
              <w:t>勾选打分</w:t>
            </w:r>
            <w:r>
              <w:t>(5)</w:t>
            </w:r>
          </w:p>
        </w:tc>
        <w:tc>
          <w:tcPr/>
          <w:p>
            <w:r>
              <w:t>评审标准：</w:t>
            </w:r>
          </w:p>
          <w:p>
            <w:r>
              <w:t>提供机载设备系统集成设计方案，设计应遵循完整性、实用性、先进性、可扩展性、可靠性和安全性、开放性标准化等原则及要求。</w:t>
              <w:cr/>
              <w:t>一档0分</w:t>
              <w:cr/>
              <w:t>二档1分</w:t>
              <w:cr/>
              <w:t>三档3分</w:t>
              <w:cr/>
              <w:t>四档5分</w:t>
            </w:r>
          </w:p>
          <w:p>
            <w:r>
              <w:t>评审标准说明：</w:t>
            </w:r>
          </w:p>
          <w:p>
            <w:r>
              <w:t>根据提交的技术方案评分：</w:t>
              <w:cr/>
              <w:t>一档：未提供；</w:t>
              <w:cr/>
              <w:t>二档：任务集成系统方案设计有一定合理性，但无针对性，功能不完整；</w:t>
              <w:cr/>
              <w:t>三档：任务集成系统方案设计基本合理可行，有一定针对性，功能完整；</w:t>
              <w:cr/>
              <w:t>四档：任务集成系统方案设计合理可行，技术先进，功能完整，针对性强。</w:t>
            </w:r>
          </w:p>
          <w:p/>
        </w:tc>
      </w:tr>
      <w:tr>
        <w:tblPrEx>
          <w:tblW w:w="5000" w:type="pct"/>
          <w:tblCellMar>
            <w:left w:w="108" w:type="dxa"/>
            <w:right w:w="108" w:type="dxa"/>
          </w:tblCellMar>
        </w:tblPrEx>
        <w:tc>
          <w:tcPr/>
          <w:p>
            <w:r>
              <w:t>14</w:t>
            </w:r>
          </w:p>
        </w:tc>
        <w:tc>
          <w:tcPr>
            <w:vMerge/>
          </w:tcPr>
          <w:p>
            <w:r>
              <w:t>服务部分</w:t>
            </w:r>
          </w:p>
        </w:tc>
        <w:tc>
          <w:tcPr/>
          <w:p>
            <w:r>
              <w:t>技术培训方案</w:t>
            </w:r>
          </w:p>
        </w:tc>
        <w:tc>
          <w:tcPr/>
          <w:p>
            <w:r>
              <w:t>勾选打分</w:t>
            </w:r>
            <w:r>
              <w:t>(3)</w:t>
            </w:r>
          </w:p>
        </w:tc>
        <w:tc>
          <w:tcPr/>
          <w:p>
            <w:r>
              <w:t>评审标准：</w:t>
            </w:r>
          </w:p>
          <w:p>
            <w:r>
              <w:t>一档0分</w:t>
              <w:cr/>
              <w:t>二档1分</w:t>
              <w:cr/>
              <w:t>三档2分</w:t>
              <w:cr/>
              <w:t>四档3分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7"/>
    </w:p>
    <w:p>
      <w:pPr>
        <w:spacing w:before="156" w:beforeLines="50" w:line="360" w:lineRule="auto"/>
        <w:jc w:val="center"/>
        <w:outlineLvl w:val="1"/>
        <w:rPr>
          <w:rFonts w:ascii="宋体" w:hAnsi="宋体"/>
          <w:b/>
          <w:sz w:val="30"/>
          <w:szCs w:val="30"/>
          <w:highlight w:val="none"/>
        </w:rPr>
      </w:pPr>
      <w:r>
        <w:rPr>
          <w:bCs/>
          <w:szCs w:val="21"/>
          <w:highlight w:val="none"/>
        </w:rPr>
        <w:br w:type="page"/>
      </w:r>
      <w:bookmarkStart w:id="58" w:name="插入_采购需求书"/>
      <w:bookmarkStart w:id="59" w:name="插入_采购需求书_0"/>
      <w:r>
        <w:rPr>
          <w:rFonts w:ascii="宋体" w:eastAsia="宋体" w:hAnsi="宋体" w:cs="Times New Roman" w:hint="eastAsia"/>
          <w:b/>
          <w:sz w:val="30"/>
          <w:szCs w:val="30"/>
          <w:highlight w:val="none"/>
        </w:rPr>
        <w:t>第七章  采购需求</w:t>
      </w:r>
    </w:p>
    <w:p>
      <w:pPr>
        <w:jc w:val="left"/>
        <w:rPr>
          <w:b/>
          <w:szCs w:val="21"/>
          <w:highlight w:val="none"/>
        </w:rPr>
      </w:pPr>
    </w:p>
    <w:p>
      <w:pPr>
        <w:numPr>
          <w:ilvl w:val="0"/>
          <w:numId w:val="4"/>
        </w:numPr>
        <w:spacing w:before="156" w:beforeLines="50" w:line="360" w:lineRule="auto"/>
        <w:outlineLvl w:val="1"/>
        <w:rPr>
          <w:rFonts w:ascii="宋体" w:hAnsi="宋体" w:hint="eastAsia"/>
          <w:b/>
          <w:bCs/>
        </w:rPr>
      </w:pPr>
      <w:r>
        <w:rPr>
          <w:rFonts w:ascii="宋体" w:hAnsi="宋体" w:hint="eastAsia"/>
          <w:b/>
          <w:bCs/>
          <w:sz w:val="24"/>
          <w:szCs w:val="24"/>
        </w:rPr>
        <w:t>项目概况及总体要求</w:t>
      </w:r>
    </w:p>
    <w:p>
      <w:pPr>
        <w:spacing w:line="360" w:lineRule="auto"/>
        <w:ind w:firstLine="420" w:firstLineChars="200"/>
        <w:rPr>
          <w:rFonts w:ascii="宋体" w:hAnsi="宋体" w:hint="eastAsia"/>
          <w:szCs w:val="21"/>
        </w:rPr>
      </w:pPr>
      <w:r>
        <w:rPr>
          <w:rFonts w:ascii="宋体" w:hAnsi="宋体" w:hint="eastAsia"/>
          <w:szCs w:val="21"/>
          <w:lang w:eastAsia="zh-CN"/>
        </w:rPr>
        <w:t>（</w:t>
      </w:r>
      <w:r>
        <w:rPr>
          <w:rFonts w:ascii="宋体" w:hAnsi="宋体" w:hint="eastAsia"/>
          <w:szCs w:val="21"/>
          <w:lang w:val="en-US" w:eastAsia="zh-CN"/>
        </w:rPr>
        <w:t>一</w:t>
      </w:r>
      <w:r>
        <w:rPr>
          <w:rFonts w:ascii="宋体" w:hAnsi="宋体" w:hint="eastAsia"/>
          <w:szCs w:val="21"/>
          <w:lang w:eastAsia="zh-CN"/>
        </w:rPr>
        <w:t>）</w:t>
      </w:r>
      <w:r>
        <w:rPr>
          <w:rFonts w:ascii="宋体" w:hAnsi="宋体" w:hint="eastAsia"/>
          <w:szCs w:val="21"/>
        </w:rPr>
        <w:t>项目名称：黑龙江省人工影响天气水资源保障工程（人工影响天气作业飞机</w:t>
      </w:r>
      <w:r>
        <w:rPr>
          <w:rFonts w:ascii="宋体" w:hAnsi="宋体" w:hint="eastAsia"/>
          <w:szCs w:val="21"/>
          <w:lang w:eastAsia="zh-CN"/>
        </w:rPr>
        <w:t>（</w:t>
      </w:r>
      <w:r>
        <w:rPr>
          <w:rFonts w:ascii="宋体" w:hAnsi="宋体" w:hint="eastAsia"/>
          <w:szCs w:val="21"/>
          <w:lang w:val="en-US" w:eastAsia="zh-CN"/>
        </w:rPr>
        <w:t>运-12E</w:t>
      </w:r>
      <w:r>
        <w:rPr>
          <w:rFonts w:ascii="宋体" w:hAnsi="宋体" w:hint="eastAsia"/>
          <w:szCs w:val="21"/>
          <w:lang w:eastAsia="zh-CN"/>
        </w:rPr>
        <w:t>）</w:t>
      </w:r>
      <w:r>
        <w:rPr>
          <w:rFonts w:ascii="宋体" w:hAnsi="宋体" w:hint="eastAsia"/>
          <w:szCs w:val="21"/>
        </w:rPr>
        <w:t>任务系统升级改造</w:t>
      </w:r>
      <w:r>
        <w:rPr>
          <w:rFonts w:ascii="宋体" w:hAnsi="宋体" w:hint="eastAsia"/>
          <w:szCs w:val="21"/>
          <w:lang w:eastAsia="zh-CN"/>
        </w:rPr>
        <w:t>（</w:t>
      </w:r>
      <w:r>
        <w:rPr>
          <w:rFonts w:ascii="宋体" w:hAnsi="宋体" w:hint="eastAsia"/>
          <w:szCs w:val="21"/>
          <w:lang w:val="en-US" w:eastAsia="zh-CN"/>
        </w:rPr>
        <w:t>重新招标</w:t>
      </w:r>
      <w:r>
        <w:rPr>
          <w:rFonts w:ascii="宋体" w:hAnsi="宋体" w:hint="eastAsia"/>
          <w:szCs w:val="21"/>
          <w:lang w:eastAsia="zh-CN"/>
        </w:rPr>
        <w:t>）</w:t>
      </w:r>
      <w:r>
        <w:rPr>
          <w:rFonts w:ascii="宋体" w:hAnsi="宋体" w:hint="eastAsia"/>
          <w:szCs w:val="21"/>
        </w:rPr>
        <w:t>）</w:t>
      </w:r>
      <w:r>
        <w:rPr>
          <w:rFonts w:ascii="宋体" w:hAnsi="宋体" w:hint="eastAsia"/>
          <w:szCs w:val="21"/>
          <w:lang w:eastAsia="zh-CN"/>
        </w:rPr>
        <w:t>。</w:t>
      </w:r>
    </w:p>
    <w:p>
      <w:pPr>
        <w:spacing w:line="360" w:lineRule="auto"/>
        <w:ind w:firstLine="420" w:firstLineChars="200"/>
        <w:rPr>
          <w:rFonts w:ascii="宋体" w:hAnsi="宋体" w:hint="eastAsia"/>
          <w:szCs w:val="21"/>
        </w:rPr>
      </w:pPr>
      <w:r>
        <w:rPr>
          <w:rFonts w:ascii="宋体" w:hAnsi="宋体" w:hint="eastAsia"/>
          <w:szCs w:val="21"/>
          <w:lang w:eastAsia="zh-CN"/>
        </w:rPr>
        <w:t>（</w:t>
      </w:r>
      <w:r>
        <w:rPr>
          <w:rFonts w:ascii="宋体" w:hAnsi="宋体" w:hint="eastAsia"/>
          <w:szCs w:val="21"/>
          <w:lang w:val="en-US" w:eastAsia="zh-CN"/>
        </w:rPr>
        <w:t>二</w:t>
      </w:r>
      <w:r>
        <w:rPr>
          <w:rFonts w:ascii="宋体" w:hAnsi="宋体" w:hint="eastAsia"/>
          <w:szCs w:val="21"/>
          <w:lang w:eastAsia="zh-CN"/>
        </w:rPr>
        <w:t>）</w:t>
      </w:r>
      <w:r>
        <w:rPr>
          <w:rFonts w:ascii="宋体" w:hAnsi="宋体" w:hint="eastAsia"/>
          <w:szCs w:val="21"/>
        </w:rPr>
        <w:t>预算金额：1442.64万元。</w:t>
      </w:r>
    </w:p>
    <w:p>
      <w:pPr>
        <w:spacing w:line="360" w:lineRule="auto"/>
        <w:ind w:firstLine="420" w:firstLineChars="200"/>
        <w:rPr>
          <w:rFonts w:ascii="宋体" w:hAnsi="宋体" w:hint="eastAsia"/>
          <w:szCs w:val="21"/>
        </w:rPr>
      </w:pPr>
      <w:r>
        <w:rPr>
          <w:rFonts w:ascii="宋体" w:hAnsi="宋体" w:hint="eastAsia"/>
          <w:szCs w:val="21"/>
          <w:lang w:eastAsia="zh-CN"/>
        </w:rPr>
        <w:t>（</w:t>
      </w:r>
      <w:r>
        <w:rPr>
          <w:rFonts w:ascii="宋体" w:hAnsi="宋体" w:hint="eastAsia"/>
          <w:szCs w:val="21"/>
          <w:lang w:val="en-US" w:eastAsia="zh-CN"/>
        </w:rPr>
        <w:t>三</w:t>
      </w:r>
      <w:r>
        <w:rPr>
          <w:rFonts w:ascii="宋体" w:hAnsi="宋体" w:hint="eastAsia"/>
          <w:szCs w:val="21"/>
          <w:lang w:eastAsia="zh-CN"/>
        </w:rPr>
        <w:t>）</w:t>
      </w:r>
      <w:r>
        <w:rPr>
          <w:rFonts w:ascii="宋体" w:hAnsi="宋体" w:hint="eastAsia"/>
          <w:szCs w:val="21"/>
        </w:rPr>
        <w:t>采购标的需实现的功能或者目标，以及为落实政府采购政策需满足的要求；</w:t>
      </w:r>
    </w:p>
    <w:p>
      <w:pPr>
        <w:numPr>
          <w:ilvl w:val="0"/>
          <w:numId w:val="5"/>
        </w:numPr>
        <w:spacing w:line="360" w:lineRule="auto"/>
        <w:ind w:left="982" w:hanging="425" w:leftChars="0" w:firstLineChars="0"/>
        <w:rPr>
          <w:rFonts w:ascii="宋体" w:hAnsi="宋体" w:hint="eastAsia"/>
          <w:szCs w:val="21"/>
          <w:highlight w:val="none"/>
        </w:rPr>
      </w:pPr>
      <w:r>
        <w:rPr>
          <w:rFonts w:ascii="宋体" w:hAnsi="宋体" w:hint="eastAsia"/>
          <w:szCs w:val="21"/>
          <w:highlight w:val="none"/>
          <w:lang w:val="en-US" w:eastAsia="zh-CN"/>
        </w:rPr>
        <w:t>采购内容</w:t>
      </w:r>
    </w:p>
    <w:p>
      <w:pPr>
        <w:numPr>
          <w:ilvl w:val="0"/>
          <w:numId w:val="0"/>
        </w:numPr>
        <w:spacing w:line="360" w:lineRule="auto"/>
        <w:ind w:firstLine="420" w:firstLineChars="200"/>
        <w:rPr>
          <w:rFonts w:ascii="宋体" w:hAnsi="宋体" w:eastAsiaTheme="minorEastAsia" w:hint="eastAsia"/>
          <w:szCs w:val="21"/>
          <w:highlight w:val="none"/>
        </w:rPr>
      </w:pPr>
      <w:r>
        <w:rPr>
          <w:rFonts w:ascii="宋体" w:hAnsi="宋体" w:hint="eastAsia"/>
          <w:szCs w:val="21"/>
          <w:lang w:val="en-US" w:eastAsia="zh-CN"/>
        </w:rPr>
        <w:t>采购</w:t>
      </w:r>
      <w:r>
        <w:rPr>
          <w:rFonts w:ascii="宋体" w:hAnsi="宋体" w:hint="eastAsia"/>
          <w:szCs w:val="21"/>
        </w:rPr>
        <w:t>催化播撒子系统1套、国产云物理探测子系统1套、空地通信子系统1套、任务集成子系统（地面操控型）1套、人工影响天气飞机运行管理终端1套</w:t>
      </w:r>
      <w:r>
        <w:rPr>
          <w:rFonts w:ascii="宋体" w:hAnsi="宋体" w:hint="eastAsia"/>
          <w:szCs w:val="21"/>
          <w:lang w:eastAsia="zh-CN"/>
        </w:rPr>
        <w:t>，</w:t>
      </w:r>
      <w:r>
        <w:rPr>
          <w:rFonts w:ascii="宋体" w:hAnsi="宋体" w:hint="eastAsia"/>
          <w:szCs w:val="21"/>
          <w:lang w:val="en-US" w:eastAsia="zh-CN"/>
        </w:rPr>
        <w:t>用于黑龙江省人影作业飞机（运-12E）</w:t>
      </w:r>
      <w:r>
        <w:rPr>
          <w:rFonts w:ascii="宋体" w:hAnsi="宋体" w:hint="eastAsia"/>
          <w:szCs w:val="21"/>
        </w:rPr>
        <w:t>载机平台改装</w:t>
      </w:r>
      <w:r>
        <w:rPr>
          <w:rFonts w:ascii="宋体" w:hAnsi="宋体" w:hint="eastAsia"/>
          <w:szCs w:val="21"/>
          <w:lang w:val="en-US" w:eastAsia="zh-CN"/>
        </w:rPr>
        <w:t>取得适航证</w:t>
      </w:r>
      <w:r>
        <w:rPr>
          <w:rFonts w:ascii="宋体" w:hAnsi="宋体" w:hint="eastAsia"/>
          <w:szCs w:val="21"/>
          <w:lang w:eastAsia="zh-CN"/>
        </w:rPr>
        <w:t>，</w:t>
      </w:r>
      <w:r>
        <w:rPr>
          <w:rFonts w:ascii="宋体" w:hAnsi="宋体" w:hint="eastAsia"/>
          <w:szCs w:val="21"/>
          <w:lang w:val="en-US" w:eastAsia="zh-CN"/>
        </w:rPr>
        <w:t>提供相关通信和</w:t>
      </w:r>
      <w:r>
        <w:rPr>
          <w:rFonts w:ascii="宋体" w:hAnsi="宋体" w:hint="eastAsia"/>
          <w:szCs w:val="21"/>
        </w:rPr>
        <w:t>技术服务</w:t>
      </w:r>
      <w:r>
        <w:rPr>
          <w:rFonts w:ascii="宋体" w:hAnsi="宋体" w:hint="eastAsia"/>
          <w:szCs w:val="21"/>
          <w:lang w:eastAsia="zh-CN"/>
        </w:rPr>
        <w:t>，</w:t>
      </w:r>
      <w:r>
        <w:rPr>
          <w:rFonts w:ascii="宋体" w:hAnsi="宋体" w:hint="eastAsia"/>
          <w:szCs w:val="21"/>
          <w:lang w:val="en-US" w:eastAsia="zh-CN"/>
        </w:rPr>
        <w:t>提供售后及技术</w:t>
      </w:r>
      <w:r>
        <w:rPr>
          <w:rFonts w:ascii="宋体" w:hAnsi="宋体" w:hint="eastAsia"/>
          <w:szCs w:val="21"/>
          <w:highlight w:val="none"/>
          <w:lang w:val="en-US" w:eastAsia="zh-CN"/>
        </w:rPr>
        <w:t>培训</w:t>
      </w:r>
      <w:r>
        <w:rPr>
          <w:rFonts w:ascii="宋体" w:hAnsi="宋体" w:hint="eastAsia"/>
          <w:szCs w:val="21"/>
          <w:highlight w:val="none"/>
        </w:rPr>
        <w:t>。</w:t>
      </w:r>
      <w:r>
        <w:rPr>
          <w:rFonts w:ascii="宋体" w:hAnsi="宋体" w:hint="eastAsia"/>
          <w:szCs w:val="21"/>
          <w:highlight w:val="none"/>
          <w:lang w:eastAsia="zh-CN"/>
        </w:rPr>
        <w:t>（任务系统设备清单及主要技术指标见表1。）</w:t>
      </w:r>
    </w:p>
    <w:p>
      <w:pPr>
        <w:spacing w:line="360" w:lineRule="auto"/>
        <w:ind w:firstLine="420" w:firstLineChars="200"/>
        <w:rPr>
          <w:rFonts w:ascii="宋体" w:hAnsi="宋体" w:hint="eastAsia"/>
          <w:szCs w:val="21"/>
        </w:rPr>
      </w:pPr>
      <w:r>
        <w:rPr>
          <w:rFonts w:ascii="宋体" w:hAnsi="宋体" w:hint="eastAsia"/>
          <w:szCs w:val="21"/>
          <w:lang w:val="en-US" w:eastAsia="zh-CN"/>
        </w:rPr>
        <w:t>（2）系统功能要求</w:t>
      </w:r>
    </w:p>
    <w:p>
      <w:pPr>
        <w:spacing w:line="360" w:lineRule="auto"/>
        <w:ind w:firstLine="420" w:firstLineChars="200"/>
        <w:rPr>
          <w:rFonts w:ascii="宋体" w:hAnsi="宋体" w:hint="eastAsia"/>
          <w:szCs w:val="21"/>
        </w:rPr>
      </w:pPr>
      <w:r>
        <w:rPr>
          <w:rFonts w:ascii="宋体" w:hAnsi="宋体" w:hint="eastAsia"/>
          <w:szCs w:val="21"/>
        </w:rPr>
        <w:t>增雨飞机机载任务系统的主要功能是通过系统集成，实现对其它各子系统的集中控制及综合显示，完成大气探测、催化作业、视频监视、空地通信、信息综合与系统管理功能。</w:t>
      </w:r>
    </w:p>
    <w:p>
      <w:pPr>
        <w:spacing w:line="360" w:lineRule="auto"/>
        <w:ind w:firstLine="420" w:firstLineChars="200"/>
        <w:rPr>
          <w:rFonts w:ascii="宋体" w:hAnsi="宋体" w:hint="eastAsia"/>
          <w:szCs w:val="21"/>
        </w:rPr>
      </w:pPr>
      <w:r>
        <w:rPr>
          <w:rFonts w:ascii="宋体" w:hAnsi="宋体" w:hint="eastAsia"/>
          <w:szCs w:val="21"/>
        </w:rPr>
        <w:t>1.云微物理探测功能</w:t>
      </w:r>
    </w:p>
    <w:p>
      <w:pPr>
        <w:spacing w:line="360" w:lineRule="auto"/>
        <w:ind w:firstLine="420" w:firstLineChars="200"/>
        <w:rPr>
          <w:rFonts w:ascii="宋体" w:hAnsi="宋体" w:hint="eastAsia"/>
          <w:szCs w:val="21"/>
        </w:rPr>
      </w:pPr>
      <w:r>
        <w:rPr>
          <w:rFonts w:ascii="宋体" w:hAnsi="宋体" w:hint="eastAsia"/>
          <w:szCs w:val="21"/>
        </w:rPr>
        <w:t>主要完成云降水（云滴、雨滴、冰雪晶等）粒子谱分布，云降水粒子二维图像，云中液态水含量，大气温、压、湿、风等气象数据的连续测量，飞机飞行高度、经纬度、空速和航向等飞行参数测量，以及座舱状态实景监控等。</w:t>
      </w:r>
    </w:p>
    <w:p>
      <w:pPr>
        <w:spacing w:line="360" w:lineRule="auto"/>
        <w:ind w:firstLine="420" w:firstLineChars="200"/>
        <w:rPr>
          <w:rFonts w:ascii="宋体" w:hAnsi="宋体" w:hint="eastAsia"/>
          <w:szCs w:val="21"/>
        </w:rPr>
      </w:pPr>
      <w:r>
        <w:rPr>
          <w:rFonts w:ascii="宋体" w:hAnsi="宋体" w:hint="eastAsia"/>
          <w:szCs w:val="21"/>
        </w:rPr>
        <w:t>具体功能包括：</w:t>
      </w:r>
    </w:p>
    <w:p>
      <w:pPr>
        <w:spacing w:line="360" w:lineRule="auto"/>
        <w:ind w:firstLine="420" w:firstLineChars="200"/>
        <w:rPr>
          <w:rFonts w:ascii="宋体" w:hAnsi="宋体" w:hint="eastAsia"/>
          <w:szCs w:val="21"/>
        </w:rPr>
      </w:pPr>
      <w:r>
        <w:rPr>
          <w:rFonts w:ascii="宋体" w:hAnsi="宋体" w:hint="eastAsia"/>
          <w:szCs w:val="21"/>
        </w:rPr>
        <w:t>1）具备25～1550μm的云降水粒子谱及其粒子二维图像数据采集、处理和显示功能；</w:t>
      </w:r>
    </w:p>
    <w:p>
      <w:pPr>
        <w:spacing w:line="360" w:lineRule="auto"/>
        <w:ind w:firstLine="420" w:firstLineChars="200"/>
        <w:rPr>
          <w:rFonts w:ascii="宋体" w:hAnsi="宋体" w:hint="eastAsia"/>
          <w:szCs w:val="21"/>
        </w:rPr>
      </w:pPr>
      <w:r>
        <w:rPr>
          <w:rFonts w:ascii="宋体" w:hAnsi="宋体" w:hint="eastAsia"/>
          <w:szCs w:val="21"/>
        </w:rPr>
        <w:t>2）具备2～50μm的云粒子谱数据采集、处理和显示功能；</w:t>
      </w:r>
    </w:p>
    <w:p>
      <w:pPr>
        <w:spacing w:line="360" w:lineRule="auto"/>
        <w:ind w:firstLine="420" w:firstLineChars="200"/>
        <w:rPr>
          <w:rFonts w:ascii="宋体" w:hAnsi="宋体" w:hint="eastAsia"/>
          <w:szCs w:val="21"/>
        </w:rPr>
      </w:pPr>
      <w:r>
        <w:rPr>
          <w:rFonts w:ascii="宋体" w:hAnsi="宋体" w:hint="eastAsia"/>
          <w:szCs w:val="21"/>
        </w:rPr>
        <w:t>3）具备大气温度、湿度、动静压、风速、风向以及飞机的攻角、侧滑角、加速度、姿态等数据采集、处理和显示功能；</w:t>
      </w:r>
    </w:p>
    <w:p>
      <w:pPr>
        <w:spacing w:line="360" w:lineRule="auto"/>
        <w:ind w:firstLine="420" w:firstLineChars="200"/>
        <w:rPr>
          <w:rFonts w:ascii="宋体" w:hAnsi="宋体" w:hint="eastAsia"/>
          <w:szCs w:val="21"/>
        </w:rPr>
      </w:pPr>
      <w:r>
        <w:rPr>
          <w:rFonts w:ascii="宋体" w:hAnsi="宋体" w:hint="eastAsia"/>
          <w:szCs w:val="21"/>
        </w:rPr>
        <w:t>4）具备液水含量数据采集、处理和显示功能；</w:t>
      </w:r>
    </w:p>
    <w:p>
      <w:pPr>
        <w:spacing w:line="360" w:lineRule="auto"/>
        <w:ind w:firstLine="420" w:firstLineChars="200"/>
        <w:rPr>
          <w:rFonts w:ascii="宋体" w:hAnsi="宋体" w:hint="eastAsia"/>
          <w:szCs w:val="21"/>
        </w:rPr>
      </w:pPr>
      <w:r>
        <w:rPr>
          <w:rFonts w:ascii="宋体" w:hAnsi="宋体" w:hint="eastAsia"/>
          <w:szCs w:val="21"/>
        </w:rPr>
        <w:t>5）能够对同类大气探测数据进行融合处理和综合显示。</w:t>
      </w:r>
    </w:p>
    <w:p>
      <w:pPr>
        <w:spacing w:line="360" w:lineRule="auto"/>
        <w:ind w:firstLine="420" w:firstLineChars="200"/>
        <w:rPr>
          <w:rFonts w:ascii="宋体" w:hAnsi="宋体" w:hint="eastAsia"/>
          <w:szCs w:val="21"/>
        </w:rPr>
      </w:pPr>
      <w:r>
        <w:rPr>
          <w:rFonts w:ascii="宋体" w:hAnsi="宋体" w:hint="eastAsia"/>
          <w:szCs w:val="21"/>
        </w:rPr>
        <w:t>2.催化作业功能</w:t>
      </w:r>
    </w:p>
    <w:p>
      <w:pPr>
        <w:spacing w:line="360" w:lineRule="auto"/>
        <w:ind w:firstLine="420" w:firstLineChars="200"/>
        <w:rPr>
          <w:rFonts w:ascii="宋体" w:hAnsi="宋体" w:hint="eastAsia"/>
          <w:szCs w:val="21"/>
        </w:rPr>
      </w:pPr>
      <w:r>
        <w:rPr>
          <w:rFonts w:ascii="宋体" w:hAnsi="宋体" w:hint="eastAsia"/>
          <w:szCs w:val="21"/>
        </w:rPr>
        <w:t>完成催化作业的综合控制和显示。</w:t>
      </w:r>
    </w:p>
    <w:p>
      <w:pPr>
        <w:spacing w:line="360" w:lineRule="auto"/>
        <w:ind w:firstLine="420" w:firstLineChars="200"/>
        <w:rPr>
          <w:rFonts w:ascii="宋体" w:hAnsi="宋体" w:hint="eastAsia"/>
          <w:szCs w:val="21"/>
        </w:rPr>
      </w:pPr>
      <w:r>
        <w:rPr>
          <w:rFonts w:ascii="宋体" w:hAnsi="宋体" w:hint="eastAsia"/>
          <w:szCs w:val="21"/>
        </w:rPr>
        <w:t>具体功能包括：</w:t>
      </w:r>
    </w:p>
    <w:p>
      <w:pPr>
        <w:spacing w:line="360" w:lineRule="auto"/>
        <w:ind w:firstLine="420" w:firstLineChars="200"/>
        <w:rPr>
          <w:rFonts w:ascii="宋体" w:hAnsi="宋体" w:hint="eastAsia"/>
          <w:szCs w:val="21"/>
        </w:rPr>
      </w:pPr>
      <w:r>
        <w:rPr>
          <w:rFonts w:ascii="宋体" w:hAnsi="宋体" w:hint="eastAsia"/>
          <w:szCs w:val="21"/>
        </w:rPr>
        <w:t>1）具有云物理数据融合处理，实时计算冷/暖云综合催化潜力指数，判别作业条件，生成催化作业方案建议；</w:t>
      </w:r>
    </w:p>
    <w:p>
      <w:pPr>
        <w:spacing w:line="360" w:lineRule="auto"/>
        <w:ind w:firstLine="420" w:firstLineChars="200"/>
        <w:rPr>
          <w:rFonts w:ascii="宋体" w:hAnsi="宋体" w:hint="eastAsia"/>
          <w:szCs w:val="21"/>
        </w:rPr>
      </w:pPr>
      <w:r>
        <w:rPr>
          <w:rFonts w:ascii="宋体" w:hAnsi="宋体" w:hint="eastAsia"/>
          <w:szCs w:val="21"/>
        </w:rPr>
        <w:t>2）具有焰条、制冷剂播撒器点火控制和状态信息显示功能；</w:t>
      </w:r>
    </w:p>
    <w:p>
      <w:pPr>
        <w:spacing w:line="360" w:lineRule="auto"/>
        <w:ind w:firstLine="420" w:firstLineChars="200"/>
        <w:rPr>
          <w:rFonts w:ascii="宋体" w:hAnsi="宋体" w:hint="eastAsia"/>
          <w:szCs w:val="21"/>
        </w:rPr>
      </w:pPr>
      <w:r>
        <w:rPr>
          <w:rFonts w:ascii="宋体" w:hAnsi="宋体" w:hint="eastAsia"/>
          <w:szCs w:val="21"/>
        </w:rPr>
        <w:t>3）具有主用和备用两种播撒作业控制方式以及切换功能，能够相互共享焰条燃烧状态，催化剂余量等数据；</w:t>
      </w:r>
    </w:p>
    <w:p>
      <w:pPr>
        <w:spacing w:line="360" w:lineRule="auto"/>
        <w:ind w:firstLine="420" w:firstLineChars="200"/>
        <w:rPr>
          <w:rFonts w:ascii="宋体" w:hAnsi="宋体" w:hint="eastAsia"/>
          <w:szCs w:val="21"/>
        </w:rPr>
      </w:pPr>
      <w:r>
        <w:rPr>
          <w:rFonts w:ascii="宋体" w:hAnsi="宋体" w:hint="eastAsia"/>
          <w:szCs w:val="21"/>
        </w:rPr>
        <w:t>4）具有催化剂厂商代码、催化剂种类、弹药样式、弹药型号设置功能；</w:t>
      </w:r>
    </w:p>
    <w:p>
      <w:pPr>
        <w:spacing w:line="360" w:lineRule="auto"/>
        <w:ind w:firstLine="420" w:firstLineChars="200"/>
        <w:rPr>
          <w:rFonts w:ascii="宋体" w:hAnsi="宋体" w:hint="eastAsia"/>
          <w:szCs w:val="21"/>
        </w:rPr>
      </w:pPr>
      <w:r>
        <w:rPr>
          <w:rFonts w:ascii="宋体" w:hAnsi="宋体" w:hint="eastAsia"/>
          <w:szCs w:val="21"/>
        </w:rPr>
        <w:t>5）具有禁止播撒区域加载或设置功能；</w:t>
      </w:r>
    </w:p>
    <w:p>
      <w:pPr>
        <w:spacing w:line="360" w:lineRule="auto"/>
        <w:ind w:firstLine="420" w:firstLineChars="200"/>
        <w:rPr>
          <w:rFonts w:ascii="宋体" w:hAnsi="宋体" w:hint="eastAsia"/>
          <w:szCs w:val="21"/>
        </w:rPr>
      </w:pPr>
      <w:r>
        <w:rPr>
          <w:rFonts w:ascii="宋体" w:hAnsi="宋体" w:hint="eastAsia"/>
          <w:szCs w:val="21"/>
        </w:rPr>
        <w:t>6）具有飞机进入禁止播撒区域后的提示功能；</w:t>
      </w:r>
    </w:p>
    <w:p>
      <w:pPr>
        <w:spacing w:line="360" w:lineRule="auto"/>
        <w:ind w:firstLine="420" w:firstLineChars="200"/>
        <w:rPr>
          <w:rFonts w:ascii="宋体" w:hAnsi="宋体" w:hint="eastAsia"/>
          <w:szCs w:val="21"/>
        </w:rPr>
      </w:pPr>
      <w:r>
        <w:rPr>
          <w:rFonts w:ascii="宋体" w:hAnsi="宋体" w:hint="eastAsia"/>
          <w:szCs w:val="21"/>
        </w:rPr>
        <w:t>7）具备作业计划编辑和加载功能。</w:t>
      </w:r>
    </w:p>
    <w:p>
      <w:pPr>
        <w:spacing w:line="360" w:lineRule="auto"/>
        <w:ind w:firstLine="420" w:firstLineChars="200"/>
        <w:rPr>
          <w:rFonts w:ascii="宋体" w:hAnsi="宋体" w:hint="eastAsia"/>
          <w:szCs w:val="21"/>
        </w:rPr>
      </w:pPr>
      <w:r>
        <w:rPr>
          <w:rFonts w:ascii="宋体" w:hAnsi="宋体" w:hint="eastAsia"/>
          <w:szCs w:val="21"/>
        </w:rPr>
        <w:t>3.视频监视功能</w:t>
      </w:r>
    </w:p>
    <w:p>
      <w:pPr>
        <w:spacing w:line="360" w:lineRule="auto"/>
        <w:ind w:firstLine="420" w:firstLineChars="200"/>
        <w:rPr>
          <w:rFonts w:ascii="宋体" w:hAnsi="宋体" w:hint="eastAsia"/>
          <w:szCs w:val="21"/>
        </w:rPr>
      </w:pPr>
      <w:r>
        <w:rPr>
          <w:rFonts w:ascii="宋体" w:hAnsi="宋体" w:hint="eastAsia"/>
          <w:szCs w:val="21"/>
        </w:rPr>
        <w:t>使用监视摄像头完成一路舱内视频监视、两路舱外视频监视，监视视频上电立即工作，视频流发送到视频服务器上。视频服务器接收到各个视频流后，保存并推送到特定端口，如果机载任务系统或地面需要看到那一路视频，访问对应端口即可。</w:t>
      </w:r>
    </w:p>
    <w:p>
      <w:pPr>
        <w:spacing w:line="360" w:lineRule="auto"/>
        <w:ind w:firstLine="420" w:firstLineChars="200"/>
        <w:rPr>
          <w:rFonts w:ascii="宋体" w:hAnsi="宋体" w:hint="eastAsia"/>
          <w:szCs w:val="21"/>
        </w:rPr>
      </w:pPr>
      <w:r>
        <w:rPr>
          <w:rFonts w:ascii="宋体" w:hAnsi="宋体" w:hint="eastAsia"/>
          <w:szCs w:val="21"/>
        </w:rPr>
        <w:t>具体功能如下：</w:t>
      </w:r>
    </w:p>
    <w:p>
      <w:pPr>
        <w:spacing w:line="360" w:lineRule="auto"/>
        <w:ind w:firstLine="420" w:firstLineChars="200"/>
        <w:rPr>
          <w:rFonts w:ascii="宋体" w:hAnsi="宋体" w:hint="eastAsia"/>
          <w:szCs w:val="21"/>
        </w:rPr>
      </w:pPr>
      <w:r>
        <w:rPr>
          <w:rFonts w:ascii="宋体" w:hAnsi="宋体" w:hint="eastAsia"/>
          <w:szCs w:val="21"/>
        </w:rPr>
        <w:t>1）具有机内视频监测功能；</w:t>
      </w:r>
    </w:p>
    <w:p>
      <w:pPr>
        <w:spacing w:line="360" w:lineRule="auto"/>
        <w:ind w:firstLine="420" w:firstLineChars="200"/>
        <w:rPr>
          <w:rFonts w:ascii="宋体" w:hAnsi="宋体" w:hint="eastAsia"/>
          <w:szCs w:val="21"/>
        </w:rPr>
      </w:pPr>
      <w:r>
        <w:rPr>
          <w:rFonts w:ascii="宋体" w:hAnsi="宋体" w:hint="eastAsia"/>
          <w:szCs w:val="21"/>
        </w:rPr>
        <w:t>2）具备左焰条视频监测功能；</w:t>
      </w:r>
    </w:p>
    <w:p>
      <w:pPr>
        <w:spacing w:line="360" w:lineRule="auto"/>
        <w:ind w:firstLine="420" w:firstLineChars="200"/>
        <w:rPr>
          <w:rFonts w:ascii="宋体" w:hAnsi="宋体" w:hint="eastAsia"/>
          <w:szCs w:val="21"/>
        </w:rPr>
      </w:pPr>
      <w:r>
        <w:rPr>
          <w:rFonts w:ascii="宋体" w:hAnsi="宋体" w:hint="eastAsia"/>
          <w:szCs w:val="21"/>
        </w:rPr>
        <w:t>3）具备焰条视频监测功能；</w:t>
      </w:r>
    </w:p>
    <w:p>
      <w:pPr>
        <w:spacing w:line="360" w:lineRule="auto"/>
        <w:ind w:firstLine="420" w:firstLineChars="200"/>
        <w:rPr>
          <w:rFonts w:ascii="宋体" w:hAnsi="宋体" w:hint="eastAsia"/>
          <w:szCs w:val="21"/>
        </w:rPr>
      </w:pPr>
      <w:r>
        <w:rPr>
          <w:rFonts w:ascii="宋体" w:hAnsi="宋体" w:hint="eastAsia"/>
          <w:szCs w:val="21"/>
        </w:rPr>
        <w:t>4）具备焰弹视频监测功能；</w:t>
      </w:r>
    </w:p>
    <w:p>
      <w:pPr>
        <w:spacing w:line="360" w:lineRule="auto"/>
        <w:ind w:firstLine="420" w:firstLineChars="200"/>
        <w:rPr>
          <w:rFonts w:ascii="宋体" w:hAnsi="宋体" w:hint="eastAsia"/>
          <w:szCs w:val="21"/>
        </w:rPr>
      </w:pPr>
      <w:r>
        <w:rPr>
          <w:rFonts w:ascii="宋体" w:hAnsi="宋体" w:hint="eastAsia"/>
          <w:szCs w:val="21"/>
        </w:rPr>
        <w:t>5）具备视频通话视频流管理功能；</w:t>
      </w:r>
    </w:p>
    <w:p>
      <w:pPr>
        <w:spacing w:line="360" w:lineRule="auto"/>
        <w:ind w:firstLine="420" w:firstLineChars="200"/>
        <w:rPr>
          <w:rFonts w:ascii="宋体" w:hAnsi="宋体" w:hint="eastAsia"/>
          <w:szCs w:val="21"/>
        </w:rPr>
      </w:pPr>
      <w:r>
        <w:rPr>
          <w:rFonts w:ascii="宋体" w:hAnsi="宋体" w:hint="eastAsia"/>
          <w:szCs w:val="21"/>
        </w:rPr>
        <w:t>6）能够控制摄像头进行座舱内部状况监视。</w:t>
      </w:r>
    </w:p>
    <w:p>
      <w:pPr>
        <w:spacing w:line="360" w:lineRule="auto"/>
        <w:ind w:firstLine="420" w:firstLineChars="200"/>
        <w:rPr>
          <w:rFonts w:ascii="宋体" w:hAnsi="宋体" w:hint="eastAsia"/>
          <w:szCs w:val="21"/>
        </w:rPr>
      </w:pPr>
      <w:r>
        <w:rPr>
          <w:rFonts w:ascii="宋体" w:hAnsi="宋体" w:hint="eastAsia"/>
          <w:szCs w:val="21"/>
        </w:rPr>
        <w:t>4.空地通信功能</w:t>
      </w:r>
    </w:p>
    <w:p>
      <w:pPr>
        <w:spacing w:line="360" w:lineRule="auto"/>
        <w:ind w:firstLine="420" w:firstLineChars="200"/>
        <w:rPr>
          <w:rFonts w:ascii="宋体" w:hAnsi="宋体" w:hint="eastAsia"/>
          <w:szCs w:val="21"/>
        </w:rPr>
      </w:pPr>
      <w:r>
        <w:rPr>
          <w:rFonts w:ascii="宋体" w:hAnsi="宋体" w:hint="eastAsia"/>
          <w:szCs w:val="21"/>
        </w:rPr>
        <w:t>主要完成作业飞机之间以及与地面人影业务平台之间的文字、数据、语音及低码率视频的互传，实现空地协同指挥调度，通过机载空地卫星链路，可以实现空地数据互传，完成地面遥控机载播撒设备播撒作业的功能。</w:t>
      </w:r>
    </w:p>
    <w:p>
      <w:pPr>
        <w:spacing w:line="360" w:lineRule="auto"/>
        <w:ind w:firstLine="420" w:firstLineChars="200"/>
        <w:rPr>
          <w:rFonts w:ascii="宋体" w:hAnsi="宋体" w:hint="eastAsia"/>
          <w:szCs w:val="21"/>
        </w:rPr>
      </w:pPr>
      <w:r>
        <w:rPr>
          <w:rFonts w:ascii="宋体" w:hAnsi="宋体" w:hint="eastAsia"/>
          <w:szCs w:val="21"/>
        </w:rPr>
        <w:t>具体功能包括：</w:t>
      </w:r>
    </w:p>
    <w:p>
      <w:pPr>
        <w:spacing w:line="360" w:lineRule="auto"/>
        <w:ind w:firstLine="420" w:firstLineChars="200"/>
        <w:rPr>
          <w:rFonts w:ascii="宋体" w:hAnsi="宋体" w:hint="eastAsia"/>
          <w:szCs w:val="21"/>
        </w:rPr>
      </w:pPr>
      <w:r>
        <w:rPr>
          <w:rFonts w:ascii="宋体" w:hAnsi="宋体" w:hint="eastAsia"/>
          <w:szCs w:val="21"/>
        </w:rPr>
        <w:t>1）具有北斗、卫星通信状态及参数显示功能；</w:t>
      </w:r>
    </w:p>
    <w:p>
      <w:pPr>
        <w:spacing w:line="360" w:lineRule="auto"/>
        <w:ind w:firstLine="420" w:firstLineChars="200"/>
        <w:rPr>
          <w:rFonts w:ascii="宋体" w:hAnsi="宋体" w:hint="eastAsia"/>
          <w:szCs w:val="21"/>
        </w:rPr>
      </w:pPr>
      <w:r>
        <w:rPr>
          <w:rFonts w:ascii="宋体" w:hAnsi="宋体" w:hint="eastAsia"/>
          <w:szCs w:val="21"/>
        </w:rPr>
        <w:t>2）具有上传云图预览、删除和显示功能；</w:t>
      </w:r>
    </w:p>
    <w:p>
      <w:pPr>
        <w:spacing w:line="360" w:lineRule="auto"/>
        <w:ind w:firstLine="420" w:firstLineChars="200"/>
        <w:rPr>
          <w:rFonts w:ascii="宋体" w:hAnsi="宋体" w:hint="eastAsia"/>
          <w:szCs w:val="21"/>
        </w:rPr>
      </w:pPr>
      <w:r>
        <w:rPr>
          <w:rFonts w:ascii="宋体" w:hAnsi="宋体" w:hint="eastAsia"/>
          <w:szCs w:val="21"/>
        </w:rPr>
        <w:t>3）具有下传信息种类及下传频率设置功能，并控制下传的启动和停止；</w:t>
      </w:r>
    </w:p>
    <w:p>
      <w:pPr>
        <w:spacing w:line="360" w:lineRule="auto"/>
        <w:ind w:firstLine="420" w:firstLineChars="200"/>
        <w:rPr>
          <w:rFonts w:ascii="宋体" w:hAnsi="宋体" w:hint="eastAsia"/>
          <w:szCs w:val="21"/>
        </w:rPr>
      </w:pPr>
      <w:r>
        <w:rPr>
          <w:rFonts w:ascii="宋体" w:hAnsi="宋体" w:hint="eastAsia"/>
          <w:szCs w:val="21"/>
        </w:rPr>
        <w:t>4）具有北斗、卫星通信短信编辑和收发功能；</w:t>
      </w:r>
    </w:p>
    <w:p>
      <w:pPr>
        <w:spacing w:line="360" w:lineRule="auto"/>
        <w:ind w:firstLine="420" w:firstLineChars="200"/>
        <w:rPr>
          <w:rFonts w:ascii="宋体" w:hAnsi="宋体" w:hint="eastAsia"/>
          <w:szCs w:val="21"/>
        </w:rPr>
      </w:pPr>
      <w:r>
        <w:rPr>
          <w:rFonts w:ascii="宋体" w:hAnsi="宋体" w:hint="eastAsia"/>
          <w:szCs w:val="21"/>
        </w:rPr>
        <w:t>5）具有低码率视频和音频通讯控制功能。</w:t>
      </w:r>
    </w:p>
    <w:p>
      <w:pPr>
        <w:spacing w:line="360" w:lineRule="auto"/>
        <w:ind w:firstLine="420" w:firstLineChars="200"/>
        <w:rPr>
          <w:rFonts w:ascii="宋体" w:hAnsi="宋体" w:hint="eastAsia"/>
          <w:szCs w:val="21"/>
        </w:rPr>
      </w:pPr>
      <w:r>
        <w:rPr>
          <w:rFonts w:ascii="宋体" w:hAnsi="宋体" w:hint="eastAsia"/>
          <w:szCs w:val="21"/>
        </w:rPr>
        <w:t>5.信息综合功能</w:t>
      </w:r>
    </w:p>
    <w:p>
      <w:pPr>
        <w:spacing w:line="360" w:lineRule="auto"/>
        <w:ind w:firstLine="420" w:firstLineChars="200"/>
        <w:rPr>
          <w:rFonts w:ascii="宋体" w:hAnsi="宋体" w:hint="eastAsia"/>
          <w:szCs w:val="21"/>
        </w:rPr>
      </w:pPr>
      <w:r>
        <w:rPr>
          <w:rFonts w:ascii="宋体" w:hAnsi="宋体" w:hint="eastAsia"/>
          <w:szCs w:val="21"/>
        </w:rPr>
        <w:t>主要完成数字地图导航及叠加显示大气探测、综合气象、作业航迹等信息。具体功能包括：</w:t>
      </w:r>
    </w:p>
    <w:p>
      <w:pPr>
        <w:spacing w:line="360" w:lineRule="auto"/>
        <w:ind w:firstLine="420" w:firstLineChars="200"/>
        <w:rPr>
          <w:rFonts w:ascii="宋体" w:hAnsi="宋体" w:hint="eastAsia"/>
          <w:szCs w:val="21"/>
        </w:rPr>
      </w:pPr>
      <w:r>
        <w:rPr>
          <w:rFonts w:ascii="宋体" w:hAnsi="宋体" w:hint="eastAsia"/>
          <w:szCs w:val="21"/>
        </w:rPr>
        <w:t>1）能够在数字地图进行导航源选择、放大、缩小、漫游、量算（距离和面积）、航向/北向等控制；</w:t>
      </w:r>
    </w:p>
    <w:p>
      <w:pPr>
        <w:spacing w:line="360" w:lineRule="auto"/>
        <w:ind w:firstLine="420" w:firstLineChars="200"/>
        <w:rPr>
          <w:rFonts w:ascii="宋体" w:hAnsi="宋体" w:hint="eastAsia"/>
          <w:szCs w:val="21"/>
        </w:rPr>
      </w:pPr>
      <w:r>
        <w:rPr>
          <w:rFonts w:ascii="宋体" w:hAnsi="宋体" w:hint="eastAsia"/>
          <w:szCs w:val="21"/>
        </w:rPr>
        <w:t>2）能够在数字地图上叠加显示综合气象、催化方案、作业航迹、作业计划等信息；</w:t>
      </w:r>
    </w:p>
    <w:p>
      <w:pPr>
        <w:spacing w:line="360" w:lineRule="auto"/>
        <w:ind w:firstLine="420" w:firstLineChars="200"/>
        <w:rPr>
          <w:rFonts w:ascii="宋体" w:hAnsi="宋体" w:hint="eastAsia"/>
          <w:szCs w:val="21"/>
        </w:rPr>
      </w:pPr>
      <w:r>
        <w:rPr>
          <w:rFonts w:ascii="宋体" w:hAnsi="宋体" w:hint="eastAsia"/>
          <w:szCs w:val="21"/>
        </w:rPr>
        <w:t>3）气象雷达图像信息显示；</w:t>
      </w:r>
    </w:p>
    <w:p>
      <w:pPr>
        <w:spacing w:line="360" w:lineRule="auto"/>
        <w:ind w:firstLine="420" w:firstLineChars="200"/>
        <w:rPr>
          <w:rFonts w:ascii="宋体" w:hAnsi="宋体" w:hint="eastAsia"/>
          <w:szCs w:val="21"/>
        </w:rPr>
      </w:pPr>
      <w:r>
        <w:rPr>
          <w:rFonts w:ascii="宋体" w:hAnsi="宋体" w:hint="eastAsia"/>
          <w:szCs w:val="21"/>
        </w:rPr>
        <w:t>4）飞机穿云、入云、颠簸状态显示。</w:t>
      </w:r>
    </w:p>
    <w:p>
      <w:pPr>
        <w:spacing w:line="360" w:lineRule="auto"/>
        <w:ind w:firstLine="420" w:firstLineChars="200"/>
        <w:rPr>
          <w:rFonts w:ascii="宋体" w:hAnsi="宋体" w:hint="eastAsia"/>
          <w:szCs w:val="21"/>
        </w:rPr>
      </w:pPr>
      <w:r>
        <w:rPr>
          <w:rFonts w:ascii="宋体" w:hAnsi="宋体" w:hint="eastAsia"/>
          <w:szCs w:val="21"/>
        </w:rPr>
        <w:t>6.系统管理功能</w:t>
      </w:r>
    </w:p>
    <w:p>
      <w:pPr>
        <w:spacing w:line="360" w:lineRule="auto"/>
        <w:ind w:firstLine="420" w:firstLineChars="200"/>
        <w:rPr>
          <w:rFonts w:ascii="宋体" w:hAnsi="宋体" w:hint="eastAsia"/>
          <w:szCs w:val="21"/>
        </w:rPr>
      </w:pPr>
      <w:r>
        <w:rPr>
          <w:rFonts w:ascii="宋体" w:hAnsi="宋体" w:hint="eastAsia"/>
          <w:szCs w:val="21"/>
        </w:rPr>
        <w:t>主要功能包括：</w:t>
      </w:r>
    </w:p>
    <w:p>
      <w:pPr>
        <w:spacing w:line="360" w:lineRule="auto"/>
        <w:ind w:firstLine="420" w:firstLineChars="200"/>
        <w:rPr>
          <w:rFonts w:ascii="宋体" w:hAnsi="宋体" w:hint="eastAsia"/>
          <w:szCs w:val="21"/>
        </w:rPr>
      </w:pPr>
      <w:r>
        <w:rPr>
          <w:rFonts w:ascii="宋体" w:hAnsi="宋体" w:hint="eastAsia"/>
          <w:szCs w:val="21"/>
        </w:rPr>
        <w:t>1）具有任务系统供电管理功能；</w:t>
      </w:r>
    </w:p>
    <w:p>
      <w:pPr>
        <w:spacing w:line="360" w:lineRule="auto"/>
        <w:ind w:firstLine="420" w:firstLineChars="200"/>
        <w:rPr>
          <w:rFonts w:ascii="宋体" w:hAnsi="宋体" w:hint="eastAsia"/>
          <w:szCs w:val="21"/>
        </w:rPr>
      </w:pPr>
      <w:r>
        <w:rPr>
          <w:rFonts w:ascii="宋体" w:hAnsi="宋体" w:hint="eastAsia"/>
          <w:szCs w:val="21"/>
        </w:rPr>
        <w:t>2）具有任务系统时统功能；</w:t>
      </w:r>
    </w:p>
    <w:p>
      <w:pPr>
        <w:spacing w:line="360" w:lineRule="auto"/>
        <w:ind w:firstLine="420" w:firstLineChars="200"/>
        <w:rPr>
          <w:rFonts w:ascii="宋体" w:hAnsi="宋体" w:hint="eastAsia"/>
          <w:szCs w:val="21"/>
        </w:rPr>
      </w:pPr>
      <w:r>
        <w:rPr>
          <w:rFonts w:ascii="宋体" w:hAnsi="宋体" w:hint="eastAsia"/>
          <w:szCs w:val="21"/>
        </w:rPr>
        <w:t>3）具有GPS、北斗导航等数据综合显示功能；</w:t>
      </w:r>
    </w:p>
    <w:p>
      <w:pPr>
        <w:spacing w:line="360" w:lineRule="auto"/>
        <w:ind w:firstLine="420" w:firstLineChars="200"/>
        <w:rPr>
          <w:rFonts w:ascii="宋体" w:hAnsi="宋体" w:hint="eastAsia"/>
          <w:szCs w:val="21"/>
        </w:rPr>
      </w:pPr>
      <w:r>
        <w:rPr>
          <w:rFonts w:ascii="宋体" w:hAnsi="宋体" w:hint="eastAsia"/>
          <w:szCs w:val="21"/>
        </w:rPr>
        <w:t>4）具有不同作业区域综合催化潜力模型配置功能；</w:t>
      </w:r>
    </w:p>
    <w:p>
      <w:pPr>
        <w:spacing w:line="360" w:lineRule="auto"/>
        <w:ind w:firstLine="420" w:firstLineChars="200"/>
        <w:rPr>
          <w:rFonts w:ascii="宋体" w:hAnsi="宋体" w:hint="eastAsia"/>
          <w:szCs w:val="21"/>
        </w:rPr>
      </w:pPr>
      <w:r>
        <w:rPr>
          <w:rFonts w:ascii="宋体" w:hAnsi="宋体" w:hint="eastAsia"/>
          <w:szCs w:val="21"/>
        </w:rPr>
        <w:t>5）具有通过轮载信号禁止地面播撒和设备加温功能；</w:t>
      </w:r>
    </w:p>
    <w:p>
      <w:pPr>
        <w:spacing w:line="360" w:lineRule="auto"/>
        <w:ind w:firstLine="420" w:firstLineChars="200"/>
        <w:rPr>
          <w:rFonts w:ascii="宋体" w:hAnsi="宋体" w:hint="eastAsia"/>
          <w:szCs w:val="21"/>
        </w:rPr>
      </w:pPr>
      <w:r>
        <w:rPr>
          <w:rFonts w:ascii="宋体" w:hAnsi="宋体" w:hint="eastAsia"/>
          <w:szCs w:val="21"/>
        </w:rPr>
        <w:t>6）具有模拟轮载信号进行任务系统地面检查功能；</w:t>
      </w:r>
    </w:p>
    <w:p>
      <w:pPr>
        <w:spacing w:line="360" w:lineRule="auto"/>
        <w:ind w:firstLine="420" w:firstLineChars="200"/>
        <w:rPr>
          <w:rFonts w:ascii="宋体" w:hAnsi="宋体" w:hint="eastAsia"/>
          <w:szCs w:val="21"/>
        </w:rPr>
      </w:pPr>
      <w:r>
        <w:rPr>
          <w:rFonts w:ascii="宋体" w:hAnsi="宋体" w:hint="eastAsia"/>
          <w:szCs w:val="21"/>
        </w:rPr>
        <w:t>7）具有任务系统各设备状态、软件版本显示功能；</w:t>
      </w:r>
    </w:p>
    <w:p>
      <w:pPr>
        <w:spacing w:line="360" w:lineRule="auto"/>
        <w:ind w:firstLine="420" w:firstLineChars="200"/>
        <w:rPr>
          <w:rFonts w:ascii="宋体" w:hAnsi="宋体" w:hint="eastAsia"/>
          <w:szCs w:val="21"/>
        </w:rPr>
      </w:pPr>
      <w:r>
        <w:rPr>
          <w:rFonts w:ascii="宋体" w:hAnsi="宋体" w:hint="eastAsia"/>
          <w:szCs w:val="21"/>
        </w:rPr>
        <w:t>8）具有任务系统各设备故障信息提示功能；</w:t>
      </w:r>
    </w:p>
    <w:p>
      <w:pPr>
        <w:spacing w:line="360" w:lineRule="auto"/>
        <w:ind w:firstLine="420" w:firstLineChars="200"/>
        <w:rPr>
          <w:rFonts w:ascii="宋体" w:hAnsi="宋体" w:hint="eastAsia"/>
          <w:szCs w:val="21"/>
        </w:rPr>
      </w:pPr>
      <w:r>
        <w:rPr>
          <w:rFonts w:ascii="宋体" w:hAnsi="宋体" w:hint="eastAsia"/>
          <w:szCs w:val="21"/>
        </w:rPr>
        <w:t>9）具有飞行数据、大气探测数据、作业信息和监控视频信息记录及快速下载功能；</w:t>
      </w:r>
    </w:p>
    <w:p>
      <w:pPr>
        <w:spacing w:line="360" w:lineRule="auto"/>
        <w:ind w:firstLine="420" w:firstLineChars="200"/>
        <w:rPr>
          <w:rFonts w:ascii="宋体" w:hAnsi="宋体" w:hint="eastAsia"/>
          <w:szCs w:val="21"/>
        </w:rPr>
      </w:pPr>
      <w:r>
        <w:rPr>
          <w:rFonts w:ascii="宋体" w:hAnsi="宋体" w:hint="eastAsia"/>
          <w:szCs w:val="21"/>
        </w:rPr>
        <w:t>10）具备飞行任务报送文件自动输出功能。</w:t>
      </w:r>
    </w:p>
    <w:p>
      <w:pPr>
        <w:spacing w:line="360" w:lineRule="auto"/>
        <w:ind w:firstLine="420" w:firstLineChars="200"/>
        <w:rPr>
          <w:rFonts w:ascii="宋体" w:hAnsi="宋体" w:hint="eastAsia"/>
          <w:szCs w:val="21"/>
        </w:rPr>
      </w:pPr>
      <w:r>
        <w:rPr>
          <w:rFonts w:ascii="宋体" w:hAnsi="宋体" w:hint="eastAsia"/>
          <w:szCs w:val="21"/>
        </w:rPr>
        <w:t>7.飞机地面运行管理功能</w:t>
      </w:r>
    </w:p>
    <w:p>
      <w:pPr>
        <w:spacing w:line="360" w:lineRule="auto"/>
        <w:ind w:firstLine="420" w:firstLineChars="200"/>
        <w:rPr>
          <w:rFonts w:ascii="宋体" w:hAnsi="宋体" w:hint="eastAsia"/>
          <w:szCs w:val="21"/>
        </w:rPr>
      </w:pPr>
      <w:r>
        <w:rPr>
          <w:rFonts w:ascii="宋体" w:hAnsi="宋体" w:hint="eastAsia"/>
          <w:szCs w:val="21"/>
        </w:rPr>
        <w:t>飞机地面运行管理功能通过配置安全运行监控设备（全景监控设备、个人监控设备（记录仪）人员定位设备（高精度定位卡）、安全运行管理移动端，实现对飞机外场作业全流程监管。</w:t>
      </w:r>
    </w:p>
    <w:p>
      <w:pPr>
        <w:spacing w:line="360" w:lineRule="auto"/>
        <w:ind w:firstLine="420" w:firstLineChars="200"/>
        <w:rPr>
          <w:rFonts w:ascii="宋体" w:hAnsi="宋体" w:hint="eastAsia"/>
          <w:szCs w:val="21"/>
        </w:rPr>
      </w:pPr>
      <w:r>
        <w:rPr>
          <w:rFonts w:ascii="宋体" w:hAnsi="宋体" w:hint="eastAsia"/>
          <w:szCs w:val="21"/>
        </w:rPr>
        <w:t>1）全景监控设备</w:t>
      </w:r>
    </w:p>
    <w:p>
      <w:pPr>
        <w:spacing w:line="360" w:lineRule="auto"/>
        <w:ind w:firstLine="420" w:firstLineChars="200"/>
        <w:rPr>
          <w:rFonts w:ascii="宋体" w:hAnsi="宋体" w:hint="eastAsia"/>
          <w:szCs w:val="21"/>
        </w:rPr>
      </w:pPr>
      <w:r>
        <w:rPr>
          <w:rFonts w:ascii="宋体" w:hAnsi="宋体" w:hint="eastAsia"/>
          <w:szCs w:val="21"/>
        </w:rPr>
        <w:t>实现对航前航后、日常维护等现场实况和人员动作进行远景录制，同时实时回传到天工平台。通过人工智能实现告警并拍照（抽烟检测、工服检测、危险动作）。</w:t>
      </w:r>
    </w:p>
    <w:p>
      <w:pPr>
        <w:spacing w:line="360" w:lineRule="auto"/>
        <w:ind w:firstLine="420" w:firstLineChars="200"/>
        <w:rPr>
          <w:rFonts w:ascii="宋体" w:hAnsi="宋体" w:hint="eastAsia"/>
          <w:szCs w:val="21"/>
        </w:rPr>
      </w:pPr>
      <w:r>
        <w:rPr>
          <w:rFonts w:ascii="宋体" w:hAnsi="宋体" w:hint="eastAsia"/>
          <w:szCs w:val="21"/>
        </w:rPr>
        <w:t>2）个人监控设备（记录仪）</w:t>
      </w:r>
    </w:p>
    <w:p>
      <w:pPr>
        <w:spacing w:line="360" w:lineRule="auto"/>
        <w:ind w:firstLine="420" w:firstLineChars="200"/>
        <w:rPr>
          <w:rFonts w:ascii="宋体" w:hAnsi="宋体" w:hint="eastAsia"/>
          <w:szCs w:val="21"/>
        </w:rPr>
      </w:pPr>
      <w:r>
        <w:rPr>
          <w:rFonts w:ascii="宋体" w:hAnsi="宋体" w:hint="eastAsia"/>
          <w:szCs w:val="21"/>
        </w:rPr>
        <w:t>实现人员动作进行近景录制，同时实时回传到天工平台。通过人工智能实现告警并拍照（抽烟检测、工服检测、危险动作）。</w:t>
      </w:r>
    </w:p>
    <w:p>
      <w:pPr>
        <w:spacing w:line="360" w:lineRule="auto"/>
        <w:ind w:firstLine="420" w:firstLineChars="200"/>
        <w:rPr>
          <w:rFonts w:ascii="宋体" w:hAnsi="宋体" w:hint="eastAsia"/>
          <w:szCs w:val="21"/>
        </w:rPr>
      </w:pPr>
      <w:r>
        <w:rPr>
          <w:rFonts w:ascii="宋体" w:hAnsi="宋体" w:hint="eastAsia"/>
          <w:szCs w:val="21"/>
        </w:rPr>
        <w:t>3）个人定位设备（高精度定位卡）</w:t>
      </w:r>
    </w:p>
    <w:p>
      <w:pPr>
        <w:spacing w:line="360" w:lineRule="auto"/>
        <w:ind w:firstLine="420" w:firstLineChars="200"/>
        <w:rPr>
          <w:rFonts w:ascii="宋体" w:hAnsi="宋体" w:hint="eastAsia"/>
          <w:szCs w:val="21"/>
        </w:rPr>
      </w:pPr>
      <w:r>
        <w:rPr>
          <w:rFonts w:ascii="宋体" w:hAnsi="宋体" w:hint="eastAsia"/>
          <w:szCs w:val="21"/>
        </w:rPr>
        <w:t>通过北斗卫星+RTK精细化定位功能，配合视频，区分人影人员和机务人员。</w:t>
      </w:r>
    </w:p>
    <w:p>
      <w:pPr>
        <w:spacing w:line="360" w:lineRule="auto"/>
        <w:ind w:firstLine="420" w:firstLineChars="200"/>
        <w:rPr>
          <w:rFonts w:ascii="宋体" w:hAnsi="宋体" w:hint="eastAsia"/>
          <w:szCs w:val="21"/>
        </w:rPr>
      </w:pPr>
      <w:r>
        <w:rPr>
          <w:rFonts w:ascii="宋体" w:hAnsi="宋体" w:hint="eastAsia"/>
          <w:szCs w:val="21"/>
        </w:rPr>
        <w:t>4）安全运行管理移动端</w:t>
      </w:r>
    </w:p>
    <w:p>
      <w:pPr>
        <w:spacing w:line="360" w:lineRule="auto"/>
        <w:ind w:firstLine="420" w:firstLineChars="200"/>
        <w:rPr>
          <w:rFonts w:ascii="宋体" w:hAnsi="宋体" w:hint="eastAsia"/>
          <w:szCs w:val="21"/>
          <w:highlight w:val="cyan"/>
        </w:rPr>
      </w:pPr>
      <w:r>
        <w:rPr>
          <w:rFonts w:ascii="宋体" w:hAnsi="宋体" w:hint="eastAsia"/>
          <w:szCs w:val="21"/>
        </w:rPr>
        <w:t>具有“天工”平台安全管理模块，实现飞机运行监管音视频以及人员身份与位置数据的收集、处理、分发与上传，依托“天工”平台，实现对运行监管音视频以及人员身份与位置数据的实时处理，实现对飞机运行安全的提示与告警；作业人员可通过移动端实时访问“天工”平台，实现相关信息的填报以及与各级指挥中心的对接。</w:t>
      </w:r>
    </w:p>
    <w:p>
      <w:pPr>
        <w:numPr>
          <w:ilvl w:val="0"/>
          <w:numId w:val="4"/>
        </w:numPr>
        <w:spacing w:before="156" w:beforeLines="50" w:line="360" w:lineRule="auto"/>
        <w:outlineLvl w:val="1"/>
        <w:rPr>
          <w:rFonts w:ascii="宋体" w:hAnsi="宋体" w:hint="eastAsia"/>
          <w:b/>
          <w:bCs/>
        </w:rPr>
      </w:pPr>
      <w:r>
        <w:rPr>
          <w:rFonts w:ascii="宋体" w:hAnsi="宋体" w:hint="eastAsia"/>
          <w:b/>
          <w:bCs/>
          <w:sz w:val="24"/>
          <w:szCs w:val="24"/>
        </w:rPr>
        <w:t>采购标的需执行的国家相关标准、行业标准、地方标准或者其他标准、规范；</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CCAR-21  《民用航空产品和零件合格审定的规定》</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CCAR-23  《正常类、实用类、特技类和通勤类飞机适航规定》</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CCAR-43  《维修与改装的一般规则》</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AP-21-14  《补充型号合格审定程序》</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HB/Z 81  《飞机熔断器选用指南》</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HB/Z 86  《机载天线分系统设计和布置准则》</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HB/Z 96  《机载天线分系统设计和布置准则》</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HB/Z 106  《飞机结构密封工艺》</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HB/Z 185  《民用飞机雷电防护及搭接设计指南》</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HB/Z 223.1  《飞机装配工艺》第1部分 定力扳手的校正与使用</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HB/Z 223.2  《飞机装配工艺》第2部分 螺栓安装</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HB/Z 223.3  《飞机装配工艺》第3部分 普通铆接</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HB/Z 223.5  《飞机装配工艺》第5部分 涂覆密封胶的密封铆接</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HB/Z 223.12 《飞机装配工艺》第12部分 制孔</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HB/Z 223.15 《飞机装配工艺》第15部分 实心铆钉铆接后的检查及验收</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HB/Z 223.16 《飞机装配工艺》第16部分 电缆敷设</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HB/Z 223.17 《飞机装配工艺》第17部分 螺纹连接防松</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HB/Z 223.18 《飞机装配工艺》第18部分 压窝与锪窝</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HB/Z 223.20 《飞机装配工艺》第20部分 导管安装</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HB/Z 298  《民用飞机航空电子设备设计指南》</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HB/Z 302  《民用飞机供电系统设计指南》</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 5929  《机载电子设备安装和试验通用规范》</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 5940  《飞机系统电磁兼容性要求》</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 6088  《机载天线通用技术条件》</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 6129  《飞机雷电防护要求及试验方法》</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 6438  《飞机线束加工通用要求》</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 7087  《民用飞机电气安装技术要求》</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 7486  《机载视频记录系统通用规范》</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 7487  《机载任务计算机通用规范》</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GJB 150.16A  《军用装备实验室环境试验方法第16部分：振动试验》</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GJB 181A  《飞机供电特性》</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ISO 11172  《国际图像音视频编码标准》</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G.703  《数字通信接口标准》</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RTCA/DO-160C/F  《机载设备环境条件及试验程序》</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ARINC404A  《空中交通设备的机箱和支架》；</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ARINC650  《综合化的航空电子模块结构和接口》</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DO-254  《机载电子硬件设计保证指南》</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AC20-158  《运行在高强度辐射场环境的飞机电子电气系统的合格规定》</w:t>
      </w:r>
    </w:p>
    <w:p>
      <w:pPr>
        <w:numPr>
          <w:ilvl w:val="0"/>
          <w:numId w:val="4"/>
        </w:numPr>
        <w:spacing w:before="156" w:beforeLines="50" w:line="360" w:lineRule="auto"/>
        <w:outlineLvl w:val="1"/>
        <w:rPr>
          <w:rFonts w:ascii="宋体" w:hAnsi="宋体" w:hint="eastAsia"/>
          <w:b/>
          <w:bCs/>
        </w:rPr>
      </w:pPr>
      <w:r>
        <w:rPr>
          <w:rFonts w:ascii="宋体" w:hAnsi="宋体" w:hint="eastAsia"/>
          <w:b/>
          <w:bCs/>
          <w:sz w:val="24"/>
          <w:szCs w:val="24"/>
        </w:rPr>
        <w:t>采购标的需满足的质量、安全、技术规格、物理特性等要求；</w:t>
      </w:r>
    </w:p>
    <w:p>
      <w:pPr>
        <w:shd w:val="clear" w:color="auto" w:fill="FFFFFF"/>
        <w:spacing w:line="360" w:lineRule="auto"/>
        <w:ind w:firstLine="420" w:firstLineChars="200"/>
        <w:rPr>
          <w:rFonts w:ascii="宋体" w:hAnsi="宋体" w:cs="宋体" w:hint="eastAsia"/>
          <w:szCs w:val="21"/>
        </w:rPr>
      </w:pPr>
      <w:r>
        <w:rPr>
          <w:rFonts w:ascii="宋体" w:hAnsi="宋体" w:cs="宋体" w:hint="eastAsia"/>
          <w:sz w:val="21"/>
          <w:szCs w:val="21"/>
        </w:rPr>
        <w:t>任务系统设备清单及主要技术指标见表</w:t>
      </w:r>
      <w:r>
        <w:rPr>
          <w:rFonts w:ascii="宋体" w:hAnsi="宋体" w:cs="宋体" w:hint="eastAsia"/>
          <w:sz w:val="21"/>
          <w:szCs w:val="21"/>
          <w:lang w:val="en-US" w:eastAsia="zh-CN"/>
        </w:rPr>
        <w:t>1</w:t>
      </w:r>
      <w:r>
        <w:rPr>
          <w:rFonts w:ascii="宋体" w:hAnsi="宋体" w:cs="宋体" w:hint="eastAsia"/>
          <w:sz w:val="21"/>
          <w:szCs w:val="21"/>
        </w:rPr>
        <w:t>。</w:t>
      </w:r>
    </w:p>
    <w:p>
      <w:pPr>
        <w:shd w:val="clear" w:color="auto" w:fill="FFFFFF"/>
        <w:spacing w:line="360" w:lineRule="auto"/>
        <w:jc w:val="center"/>
        <w:rPr>
          <w:rFonts w:ascii="黑体" w:eastAsia="黑体" w:hAnsi="黑体" w:cs="黑体" w:hint="eastAsia"/>
        </w:rPr>
      </w:pPr>
      <w:r>
        <w:rPr>
          <w:rFonts w:ascii="黑体" w:eastAsia="黑体" w:hAnsi="黑体" w:cs="黑体" w:hint="eastAsia"/>
          <w:sz w:val="24"/>
          <w:szCs w:val="24"/>
          <w:lang w:val="en-US" w:eastAsia="zh-CN"/>
        </w:rPr>
        <w:t xml:space="preserve">       </w:t>
      </w:r>
      <w:r>
        <w:rPr>
          <w:rFonts w:ascii="黑体" w:eastAsia="黑体" w:hAnsi="黑体" w:cs="黑体" w:hint="eastAsia"/>
          <w:sz w:val="24"/>
          <w:szCs w:val="24"/>
        </w:rPr>
        <w:t>表</w:t>
      </w:r>
      <w:r>
        <w:rPr>
          <w:rFonts w:ascii="黑体" w:eastAsia="黑体" w:hAnsi="黑体" w:cs="黑体" w:hint="eastAsia"/>
          <w:sz w:val="24"/>
          <w:szCs w:val="24"/>
          <w:lang w:val="en-US" w:eastAsia="zh-CN"/>
        </w:rPr>
        <w:t>1</w:t>
      </w:r>
      <w:r>
        <w:rPr>
          <w:rFonts w:ascii="黑体" w:eastAsia="黑体" w:hAnsi="黑体" w:cs="黑体" w:hint="eastAsia"/>
          <w:sz w:val="24"/>
          <w:szCs w:val="24"/>
        </w:rPr>
        <w:t xml:space="preserve">  任务系统设备清单及主要技术指标</w:t>
      </w:r>
    </w:p>
    <w:tbl>
      <w:tblPr>
        <w:tblStyle w:val="TableNormal"/>
        <w:tblW w:w="4999"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top w:w="0" w:type="dxa"/>
          <w:left w:w="108" w:type="dxa"/>
          <w:bottom w:w="0" w:type="dxa"/>
          <w:right w:w="108" w:type="dxa"/>
        </w:tblCellMar>
      </w:tblPr>
      <w:tblGrid>
        <w:gridCol w:w="846"/>
        <w:gridCol w:w="1023"/>
        <w:gridCol w:w="6023"/>
        <w:gridCol w:w="553"/>
        <w:gridCol w:w="556"/>
      </w:tblGrid>
      <w:tr>
        <w:tblPrEx>
          <w:tblW w:w="4999"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top w:w="0" w:type="dxa"/>
            <w:left w:w="108" w:type="dxa"/>
            <w:bottom w:w="0" w:type="dxa"/>
            <w:right w:w="108" w:type="dxa"/>
          </w:tblCellMar>
        </w:tblPrEx>
        <w:trPr>
          <w:trHeight w:val="735"/>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p>
        </w:tc>
        <w:tc>
          <w:tcPr>
            <w:tcW w:w="4664" w:type="pct"/>
            <w:gridSpan w:val="4"/>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人工影响天气作业飞机任务系统升级改造</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i w:val="0"/>
                <w:iCs w:val="0"/>
                <w:color w:val="auto"/>
                <w:kern w:val="0"/>
                <w:szCs w:val="21"/>
                <w:u w:val="none"/>
                <w:lang w:bidi="ar"/>
              </w:rPr>
            </w:pPr>
            <w:r>
              <w:rPr>
                <w:rFonts w:cs="Times New Roman" w:hint="eastAsia"/>
                <w:i w:val="0"/>
                <w:iCs w:val="0"/>
                <w:color w:val="auto"/>
                <w:kern w:val="0"/>
                <w:sz w:val="21"/>
                <w:szCs w:val="21"/>
                <w:u w:val="none"/>
                <w:lang w:val="en-US" w:eastAsia="zh-CN" w:bidi="ar"/>
              </w:rPr>
              <w:t>序号</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i w:val="0"/>
                <w:iCs w:val="0"/>
                <w:color w:val="auto"/>
                <w:kern w:val="0"/>
                <w:szCs w:val="21"/>
                <w:u w:val="none"/>
                <w:lang w:bidi="ar"/>
              </w:rPr>
            </w:pPr>
            <w:r>
              <w:rPr>
                <w:rFonts w:cs="Times New Roman" w:hint="eastAsia"/>
                <w:i w:val="0"/>
                <w:iCs w:val="0"/>
                <w:color w:val="auto"/>
                <w:kern w:val="0"/>
                <w:sz w:val="21"/>
                <w:szCs w:val="21"/>
                <w:u w:val="none"/>
                <w:lang w:val="en-US" w:eastAsia="zh-CN" w:bidi="ar"/>
              </w:rPr>
              <w:t>名称</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i w:val="0"/>
                <w:iCs w:val="0"/>
                <w:color w:val="auto"/>
                <w:kern w:val="0"/>
                <w:szCs w:val="21"/>
                <w:u w:val="none"/>
                <w:lang w:bidi="ar"/>
              </w:rPr>
            </w:pPr>
            <w:r>
              <w:rPr>
                <w:rFonts w:cs="Times New Roman" w:hint="eastAsia"/>
                <w:i w:val="0"/>
                <w:iCs w:val="0"/>
                <w:color w:val="auto"/>
                <w:kern w:val="0"/>
                <w:sz w:val="21"/>
                <w:szCs w:val="21"/>
                <w:u w:val="none"/>
                <w:lang w:val="en-US" w:eastAsia="zh-CN" w:bidi="ar"/>
              </w:rPr>
              <w:t>技术指标</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i w:val="0"/>
                <w:iCs w:val="0"/>
                <w:color w:val="auto"/>
                <w:kern w:val="0"/>
                <w:szCs w:val="21"/>
                <w:u w:val="none"/>
                <w:lang w:bidi="ar"/>
              </w:rPr>
            </w:pPr>
            <w:r>
              <w:rPr>
                <w:rFonts w:cs="Times New Roman" w:hint="eastAsia"/>
                <w:i w:val="0"/>
                <w:iCs w:val="0"/>
                <w:color w:val="auto"/>
                <w:kern w:val="0"/>
                <w:sz w:val="21"/>
                <w:szCs w:val="21"/>
                <w:u w:val="none"/>
                <w:lang w:val="en-US" w:eastAsia="zh-CN" w:bidi="ar"/>
              </w:rPr>
              <w:t>单位</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i w:val="0"/>
                <w:iCs w:val="0"/>
                <w:color w:val="auto"/>
                <w:kern w:val="0"/>
                <w:szCs w:val="21"/>
                <w:u w:val="none"/>
                <w:lang w:bidi="ar"/>
              </w:rPr>
            </w:pPr>
            <w:r>
              <w:rPr>
                <w:rFonts w:cs="Times New Roman" w:hint="eastAsia"/>
                <w:i w:val="0"/>
                <w:iCs w:val="0"/>
                <w:color w:val="auto"/>
                <w:kern w:val="0"/>
                <w:sz w:val="21"/>
                <w:szCs w:val="21"/>
                <w:u w:val="none"/>
                <w:lang w:val="en-US" w:eastAsia="zh-CN" w:bidi="ar"/>
              </w:rPr>
              <w:t>数量</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催化播撒子系统</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p>
        </w:tc>
        <w:tc>
          <w:tcPr>
            <w:tcW w:w="341" w:type="pct"/>
            <w:vMerge w:val="restar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套</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1.1</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催化播撒装置</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1.功能说明：实现对制冷剂的存储与播撒，主要包括制冷剂存储设备、播撒设备以及固定设备。</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2.技术指标：</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制冷剂存储量不低于80升；</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播撒速度不低于3升/分钟；</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3.维保期不低于8年</w:t>
            </w:r>
          </w:p>
        </w:tc>
        <w:tc>
          <w:tcPr>
            <w:tcW w:w="341" w:type="pct"/>
            <w:vMerge/>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1..2</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焰条监测设备</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配备播撒监视设备不少于2个摄像头</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 传感器类型 1/2.7" Progressive Scan CMOS</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 码流 标准h.264算法</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 帧率 大于25帧/秒</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 分辨率 3840*2160，4K高清</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 调节角度水平 0°~355°，垂直：0°~75°，旋转：0°~355°</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 网络协议 TCP/IP协议</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7 工作温度 -40°~60°</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8 环境试验 符合DO-160G环境和电磁及电源特定要求</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9.维保期不低于8年</w:t>
            </w:r>
          </w:p>
        </w:tc>
        <w:tc>
          <w:tcPr>
            <w:tcW w:w="341" w:type="pct"/>
            <w:vMerge/>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2</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国产云物理探测子系统</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套</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2.1</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气象要素探测设备</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1.机载大气参数观测仪主要适用于对特定领域的高空高速机载常规大气参数观测，包括：空气温度、空气湿度、三维风速、三维风向、静压、航姿，等要素信息；</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2.机载大气参数观测仪由五孔探针模块、温湿度模块、航姿导航模块和数据融合处理模块组成；</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3.机载大气参数观测仪的基本要求：</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1）高空温度观测：能够实时采集高空高速飞行条件下的大气温度；</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2）高空湿度观测：能够实时采集高空高速飞行条件下的大气相对湿度；</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3）高空三维风向观测：能够实时采集高空高速飞行条件下的大气真实三维风向；</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4）高空三维风速观测：能够实时采集高空高速飞行条件下的大气真实三维风速；</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5）高空静压观测：能够实时采集高空高速飞行条件下的大气静压力；</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6）高空仪器姿态测量：能够实时采集高空高速飞行条件下设备姿态信息、航速信息、航向信息、定位信息；</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7）设备自检：能够自动检测设备状态、报警等信息，自动诊断出设备工作是否正常以及进行故障定位，便于实时监控和维护保障；</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8）在线升级：通过规定的通信接口，能够实现程序在线升级；</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9）设备自启停：实现上电设备自动根据采集信息进行模块联动式启动和停止并进入正常监测状态。</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须符合中国气象局人工影响天气中心下发《气象机载装备—机载大气参数观测仪功能规格需求书》有关测量性能指标、环境适应性指标、可靠性指标、可维护性指标、设计寿命、功耗指标、外形尺寸等计技术指标要求、以及结构及材料要求、安全要求、供电要求、防雷要求等内容；</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5</w:t>
            </w:r>
            <w:r>
              <w:rPr>
                <w:rFonts w:cs="Times New Roman"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维保期不低于8年</w:t>
            </w:r>
          </w:p>
        </w:tc>
        <w:tc>
          <w:tcPr>
            <w:tcW w:w="341" w:type="pct"/>
            <w:vMerge w:val="restar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套</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2.2</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液态水探测设备</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1.功能要求：实现对飞行路径上的液态水含量进行探测。</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2.性能要求：</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1）云水含量测量范围0～53g/m3，测量灵敏度为0.005 g/m3。</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2）探头能够实时记录液水含量、总水含量、有效线温、环境温度等数据。</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 xml:space="preserve">3）探头能够根据需要调整采样频率，范围为1～10SPS。 </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4）能够显示包括液水含量、总水含量、有效线温、环境温度、设置线温、采样电压等数据，能够实时显示融冰工作状态。</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5）能够显示测量的液水含量、总水含量、冰水含量的时序图。</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6）能够实时记录探头输出的数据。</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3.维保期不低于8年</w:t>
            </w:r>
          </w:p>
        </w:tc>
        <w:tc>
          <w:tcPr>
            <w:tcW w:w="341" w:type="pct"/>
            <w:vMerge/>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2.3</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云和降水粒子微物理探测设备</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1.激光云粒子谱仪探测</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1)对2～50 µm的云粒子谱进行测量，测量精度为1µm。</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2)探头能够实时记录数浓度、体浓度、液水含量、粒子有效直径和平均有效直径等数据；</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3)能够显示包括景深内外粒子数、采样周期、空速、温度、激光电压和激光器温度等探头工作状态。</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4)能够显示数浓度、体浓度、液水含量的时序图；</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5)能够显示各粒子尺寸对应的粒子数实时测量值直方图；</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6)能够实时记录探头输出的数据。</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2.云粒子成像仪探测</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1)对25µm～1550 µm的降水粒子进行测量，测量分辨率为25µm。</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2)探头能够实时记录数浓度、体浓度、液水含量、粒子中值粒径和有效直径等数据；</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3)能够显示测量粒子实时图像；</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4)能够显示数浓度、体浓度、液水含量的时序图；</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5)能够显示各粒子尺寸对应的粒子数实时测量值直方图；</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6)能够实时记录探头输出的数据。</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3.降水粒子成像仪探测</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1)对100µm～6200 µm的降水粒子进行测量，测量分辨率为100µm。</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2)探头能够实时记录数浓度、体浓度、液水含量、粒子中值粒径和有效直径等数据；</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3)能够显示测量粒子实时图像；</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4)能够显示数浓度、体浓度、液水含量的时序图；</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5)能够显示各粒子尺寸对应的粒子数实时测量值直方图；</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6)能够实时记录探头输出的数据。</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4.降水粒子谱探头探测</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1)对300µm～19200µm的降水粒子进行测量，测量分辨率为300µm。</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2)探头能够实时记录数浓度、体浓度、液水含量、粒子中值粒径和有效直径等数据；</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3)能够显示测量粒子实时图像；</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4)能够显示数浓度、体浓度、液水含量的时序图；</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5)能够显示各粒子尺寸对应的粒子数实时测量值直方图；</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6)能够实时记录探头输出的数据。</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5.气溶胶探测仪探测</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1)能够对直径为0.1～3μm范围内的气溶胶粒子径谱进行测量；</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2)能够辅助测量温度、动压、标准采样气体和鞘气的流量等参数；</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3)能够显示探头数据，包括粒子数浓度、液水含量、等效直径、体积中值直径、高增益基线、中增益基线、低增益基线、采样流量、激光电压、辅助模拟量1、电元件温度、鞘气流量（标准）等；</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4)能够显示体积浓度/数浓度、等效直径/体积中值直径、体积流量、标准流量、可选变量的时序图，粒子谱直方图；</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能够实时记录探头输出的数据。</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6.结冰传感器探测</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1)能够探测结冰情况；</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2)能够接收静温、真空速功能；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3)具备探头加热控制功能；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4)具备探头除冰加热电流监测功能；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5)具备底座迎风面加热器除冰加热电流监测功能；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6)能够实时记录探头输出的数据。</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7.维保期不低于8年</w:t>
            </w:r>
          </w:p>
        </w:tc>
        <w:tc>
          <w:tcPr>
            <w:tcW w:w="341" w:type="pct"/>
            <w:vMerge/>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3</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空地通信子系统</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1.功能要求</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空地通信系统由机载通信控制设备、机载卫星通信系统、机载北斗卫星通信系统和综合机内通话系统等组成。具备作业飞机与地面人影业务平台之间文字、语音及数据信息的互传与共享，实现空地多种尺度和不同种类的信息实时采集、快速传输、集中存储、综合分析和直观显示，实现作业飞机空地之间快速和高效的信息传输、实时指挥。</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2.机载国产卫星通信</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1)能够在全国范围内使作业飞机与地面指挥中心之间利用通信卫星进行实时话音通信、数据文件传输以及视频图像的传输，</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2)具有视频下传功能；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3)能够控制数据传输间隔；</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4)数据：标准数据高达5Mbps；</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5)能够记录上下传信息。</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3.机载北斗卫星通信</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1)能够进行全天候、全国范围内人影飞机的导航定位；</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2)具有通讯录编辑功能，包括添加、编辑、删除联系人；</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3)能够与地面指挥中心、其他飞机之间短信通信；</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4)短信容量：68字节；</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5)定位/作业信息长度：71字节。</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4.维保期不低于8年</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套</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4</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任务集成子系统（地面操控型）</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主要要求是通过系统集成，实现对其它各子系统的集中控制及综合显示，完成大气探测、催化作业、视频监视、空地通信、信息综合与系统管理功能。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该系统作为 “天工”平台的一个组件，实现飞机作业的地面操控，确保地面操控不干扰飞机飞行安全。</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1.智能配电</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智能配电系统主要实现直流负载和交流负载的集中电能分配与保护管理，同时对直流电源、交流电源供电状态和电源参数进行采集显示。该系统由电源显控器、电源控制盒、智能配电箱和逆变器等设备组成，主要用来完成载机28V直流输入、逆变成设备需要的交流115V和220V电源并分配到多路任务设备用电输出的通断控制和保护</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2.催化作业功能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针对适宜于冷暖云系催化的碘化银焰条和焰弹催化播撒装置，完成催化作业的综合控制和显示。</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3.云微物理探测功能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主要完成云降水（云滴、雨滴、冰雪晶等）粒子谱分布，云降水粒子二维图像，云中液态水含量，大气温、压、湿、风等气象数据的连续测量，飞机飞行高度、经纬度、空速和航向等飞行参数测量，以及座舱状态实景监控等。</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4.视频监视功能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使用监视摄像头完成一路舱内视频监视、两路舱外视频监视，监视视频上电立即工作，视频流发送到视频服务器上。视频服务器接受到各个视频流后，保存并推送到特定端口，如果机载任务系统或地面需要看到那哪一路视频，访问对应端口即可。</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5.空地通信功能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主要完成作业飞机之间以及与地面人影业务平台之间的文字、数据、语音及低码率视频的互传，实现空地协同指挥调度，通过机载空地卫星链路，可以实现空地数据互传，完成地面遥控机载播撒设备播撒作业的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6.信息综合功能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主要完成数字地图导航及叠加显示大气探测、综合气象、作业航迹等信息。具体功能包括：</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1)能够在数字地图进行导航源选择、放大、缩小、漫游、量算（距离和面积）、航向/北向等控制；</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2)能够在数字地图上叠加显示综合气象、催化方案、作业航迹、作业计划等信息；</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3)气象雷达图像信息显示；</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4)飞机穿云、入云、颠簸状态显示。</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7.系统管理功能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主要功能包括：</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1)具有任务系统供电管理功能；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2)具有任务系统时统功能；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3)具有GPS、北斗导航等数据综合显示功能；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4)具有不同作业区域综合催化潜力模型配置功能；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5)具有通过轮载信号禁止地面播撒和设备加温功能；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6)具有模拟轮载信号进行任务系统地面检查功能；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7)具有任务系统各设备状态、软件版本显示功能；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8)具有任务系统各设备故障信息提示功能；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9)具有飞行数据、大气探测数据、作业信息和监控视频信息记录及快速下载功能；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10)具备飞行任务报送文件自动输出功能。</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8.维保期不低于8年</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套</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5</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人工影响天气飞机运行管理终端</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套</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vMerge w:val="restar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5.1</w:t>
            </w:r>
          </w:p>
        </w:tc>
        <w:tc>
          <w:tcPr>
            <w:tcW w:w="602" w:type="pct"/>
            <w:vMerge w:val="restar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安全运行监控设备</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1.功能要求：安全运行监控设备采用全景监控设备，配备移动监控系统，对周界入侵、催化剂装卸、大气探测系统维护安全性、未穿反光衣等违规行进行告警。所有数据可与“天工”平台无缝对接。</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2.技术指标要求</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1)摄像头支持4K分辨率全彩影像录制，并支持陀螺仪电子防抖功能，支持360度全向云台；</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2)防护等级不低于IP66；</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3)室温环境下，电池供电连续工作时长≥8小时；</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4)支持4G/5G全网通、Wi-Fi网络。</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3.维保期不低于8年</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台</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2</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vMerge/>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p>
        </w:tc>
        <w:tc>
          <w:tcPr>
            <w:tcW w:w="602" w:type="pct"/>
            <w:vMerge/>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功能要求：安全运行监控采用个人监控设备，具备视频监控，音视频通话，卫星定位等功能；对进场人员动作、飞机以及任务系统更为细致地监管，对维护动作的规范性与完整性进行告警。与布控球协同监测，支持集群对讲、实时视频指挥、双向视频对讲，所有数据可与“天工”平台无缝对接。</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2：技术指标</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1)摄像头具备2k视频录像，4000万像素拍照；</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2)防护等级≥IP67；</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3)室温环境下，电池供电连续工作时长≥8小时；</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4)支持4G/5G全网通、WiFi网络。</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3.维保期不低于8年</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部</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8</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vMerge/>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p>
        </w:tc>
        <w:tc>
          <w:tcPr>
            <w:tcW w:w="602" w:type="pct"/>
            <w:vMerge/>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1.功能要求：安全运行监控设备采用人员定位设备，具备北斗卫星+RTK精细化定位功能，具备后台下发文字，语音播报功能；所有数据可与“天工”平台无缝对接。</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2.技术指标要求</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1)定位精度小于等于20厘米左右；</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2)防护等级不低于IP66；</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3)支持4G全网通传输；</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3.工作时间大于7天（每天24小时，每5分钟工作一次）</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4.维保期不低于8年</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部</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8</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5.2</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安全运行管理移动端</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功能要求安全运行管理移动端采用一个定制的PAD设备，在“天工”平台安全管理模块，实现飞机运行监管音视频以及人员身份与位置数据的收集、处理、分发与上传，依托“天工”平台，实现对运行监管音视频以及人员身份与位置数据的实时处理，实现对飞机运行安全的提示与告警；作业人员可通过移动端实时访问“天工”平台，实现相关信息的填报以及与各级指挥中心的对接。</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2.技术指标要求</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1)内存：≥12GB；</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2)存储：≥512GB；</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3)网络：4/5G、Wifi；</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4)防护：具备防水和防摔功能。</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3.维保期不低于8年</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台</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cs="Times New Roman" w:hint="eastAsia"/>
                <w:i w:val="0"/>
                <w:iCs w:val="0"/>
                <w:color w:val="auto"/>
                <w:kern w:val="0"/>
                <w:sz w:val="21"/>
                <w:szCs w:val="21"/>
                <w:u w:val="none"/>
                <w:lang w:val="en-US" w:eastAsia="zh-CN" w:bidi="ar"/>
              </w:rPr>
              <w:t>（二）</w:t>
            </w:r>
          </w:p>
        </w:tc>
        <w:tc>
          <w:tcPr>
            <w:tcW w:w="4664" w:type="pct"/>
            <w:gridSpan w:val="4"/>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宋体" w:hAnsi="宋体" w:hint="eastAsia"/>
                <w:sz w:val="24"/>
                <w:szCs w:val="24"/>
              </w:rPr>
              <w:t>作业飞机集成改装</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cs="Times New Roman" w:hint="eastAsia"/>
                <w:i w:val="0"/>
                <w:iCs w:val="0"/>
                <w:color w:val="auto"/>
                <w:kern w:val="0"/>
                <w:sz w:val="21"/>
                <w:szCs w:val="21"/>
                <w:u w:val="none"/>
                <w:lang w:val="en-US" w:eastAsia="zh-CN" w:bidi="ar"/>
              </w:rPr>
              <w:t>序号</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cs="Times New Roman" w:hint="eastAsia"/>
                <w:i w:val="0"/>
                <w:iCs w:val="0"/>
                <w:color w:val="auto"/>
                <w:kern w:val="0"/>
                <w:sz w:val="21"/>
                <w:szCs w:val="21"/>
                <w:u w:val="none"/>
                <w:lang w:val="en-US" w:eastAsia="zh-CN" w:bidi="ar"/>
              </w:rPr>
              <w:t>名称</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cs="Times New Roman" w:hint="eastAsia"/>
                <w:i w:val="0"/>
                <w:iCs w:val="0"/>
                <w:color w:val="auto"/>
                <w:kern w:val="0"/>
                <w:sz w:val="21"/>
                <w:szCs w:val="21"/>
                <w:u w:val="none"/>
                <w:lang w:val="en-US" w:eastAsia="zh-CN" w:bidi="ar"/>
              </w:rPr>
              <w:t>技术指标</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cs="Times New Roman" w:hint="eastAsia"/>
                <w:i w:val="0"/>
                <w:iCs w:val="0"/>
                <w:color w:val="auto"/>
                <w:kern w:val="0"/>
                <w:sz w:val="21"/>
                <w:szCs w:val="21"/>
                <w:u w:val="none"/>
                <w:lang w:val="en-US" w:eastAsia="zh-CN" w:bidi="ar"/>
              </w:rPr>
              <w:t>单位</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cs="Times New Roman" w:hint="eastAsia"/>
                <w:i w:val="0"/>
                <w:iCs w:val="0"/>
                <w:color w:val="auto"/>
                <w:kern w:val="0"/>
                <w:sz w:val="21"/>
                <w:szCs w:val="21"/>
                <w:u w:val="none"/>
                <w:lang w:val="en-US" w:eastAsia="zh-CN" w:bidi="ar"/>
              </w:rPr>
              <w:t>数量</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6</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载机平台改装</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1.将飞机任务集成子系统、智能配电子系统、云微物理探测子系统、催化作业子系统、视频监视子系统和空地通信子系统等多个子系统的软硬件在飞机平台加装测试。</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2.改装后的运-12作业飞机须取得中国民航局颁发的补充适航合格证。</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3.改装必须符合《正常类飞机适航规定》（中华人民共和国交通运输部令2022年第16号）适用条款。</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4.改装设计应满足飞机机体强度和刚度要求以及重量重心范围限制，不会对飞机性能及飞行品质产生重大影响，保证飞机安全飞行，满足飞机适航性要求。</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5.改装应布局合理，保证飞行安全，确保机载任务系统设备能够正常运行、探测数据真实可信，播撒作业稳定可靠、空地通信便捷畅通以及集成操作简洁高效。</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6.须严格按照中国民用航空局规定和制定的试验大纲要求开展飞机、称重、地面导通、电磁兼容和飞行验证等各项试验，确保飞机改装后满足适航要求。</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7.飞机结构件、航电设备等改装设备等应至少满足CCAR-25-R4和DO-160G等适航标准的相关环境适应能力要求。</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套</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7</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技术服务</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1.本系统包括以上所有系统，以上所有系统的报价包含本清单描述的所有内容</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2.包括满足飞机任务系统内部所有系统、设备、各级作业点之间的连接、联动、关联及数据传输等所有功能所需要的一切费用；</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3.包括满足飞机任务系统与其他系统、设备之间的连接、联动、关联及数据传输等功能所需要的一切费用；</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4.包括但不限于二次设计、本系统的所有设备设施运送甲方指定地点、各系统及整个平台安装调试以及与相关联设备、系统的联动等满足以上功能所发生的一切费用；</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5.技术服务</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（1）设备运输、搬运、安装、连接、系统调试等服务；</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（2）须满足中国气象局人工影响天气中心下发有关《人工增雨飞机任务系统技术要求》《人工增雨飞机任务系统测试大纲》相关技术要求；</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（3）提供相关设施所需通信费（含8年通信费）</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（4）对于随机批准的成品，在地面试验/空中试验时必须提供相应的适航批准放行证书//适航批准标签。</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（5）产品适航批准后，承制单位负责将产品无偿更改（或换新）至适航批准产品，同时更换产品的质量证明文件（履历本或合格证）及随机技术资料。</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（6）负责集成系统设备间连接线缆的制作，线缆应符合适航标准及规范要求，并提供阻燃试验报告。</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（7）提供的元器件、接插件应符合国家军用标准或航空标准要求</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（8）飞机结构件、航电设备等改装设备等应至少满足CCAR-25-R4和DO-160G等适航标准的相关环境适应能力要求。</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（9）机载任务系统所有的硬件设备可靠性指标为无故障运行时间大于2400小时，即系统硬件设备出故障间隔时间大于三年。</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（10）验收合格交付后</w:t>
            </w:r>
            <w:r>
              <w:rPr>
                <w:rFonts w:cs="Times New Roman"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免费质保3年。</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p>
        </w:tc>
      </w:tr>
    </w:tbl>
    <w:p>
      <w:pPr>
        <w:numPr>
          <w:ilvl w:val="0"/>
          <w:numId w:val="0"/>
        </w:numPr>
        <w:snapToGrid w:val="0"/>
        <w:spacing w:line="360" w:lineRule="auto"/>
        <w:jc w:val="left"/>
        <w:rPr>
          <w:rFonts w:ascii="宋体" w:hAnsi="宋体" w:hint="eastAsia"/>
          <w:szCs w:val="21"/>
          <w:highlight w:val="none"/>
        </w:rPr>
      </w:pPr>
    </w:p>
    <w:p>
      <w:pPr>
        <w:numPr>
          <w:ilvl w:val="0"/>
          <w:numId w:val="4"/>
        </w:numPr>
        <w:spacing w:before="156" w:beforeLines="50" w:line="360" w:lineRule="auto"/>
        <w:outlineLvl w:val="1"/>
        <w:rPr>
          <w:rFonts w:ascii="宋体" w:hAnsi="宋体" w:hint="eastAsia"/>
          <w:b/>
          <w:bCs/>
        </w:rPr>
      </w:pPr>
      <w:r>
        <w:rPr>
          <w:rFonts w:ascii="宋体" w:hAnsi="宋体" w:hint="eastAsia"/>
          <w:b/>
          <w:bCs/>
          <w:sz w:val="24"/>
          <w:szCs w:val="24"/>
        </w:rPr>
        <w:t>采购标的的数量、采购项目交付或者实施的时间和地点；</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人影飞机任务系统升级改造。</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项目交付时间：合同签订生效后，4个月内完成项目验收交付。</w:t>
      </w:r>
    </w:p>
    <w:p>
      <w:pPr>
        <w:numPr>
          <w:ilvl w:val="0"/>
          <w:numId w:val="0"/>
        </w:numPr>
        <w:snapToGrid w:val="0"/>
        <w:spacing w:line="360" w:lineRule="auto"/>
        <w:ind w:firstLine="420" w:leftChars="0" w:firstLineChars="200"/>
        <w:jc w:val="left"/>
        <w:rPr>
          <w:rFonts w:ascii="宋体" w:hAnsi="宋体" w:hint="default"/>
          <w:szCs w:val="21"/>
          <w:highlight w:val="none"/>
        </w:rPr>
      </w:pPr>
      <w:r>
        <w:rPr>
          <w:rFonts w:ascii="宋体" w:eastAsia="宋体" w:hAnsi="宋体" w:cs="Times New Roman" w:hint="eastAsia"/>
          <w:szCs w:val="21"/>
          <w:highlight w:val="none"/>
          <w:lang w:val="en-US" w:eastAsia="zh-CN"/>
        </w:rPr>
        <w:t>项目交付地点：黑龙江。</w:t>
      </w:r>
    </w:p>
    <w:p>
      <w:pPr>
        <w:numPr>
          <w:ilvl w:val="0"/>
          <w:numId w:val="4"/>
        </w:numPr>
        <w:spacing w:before="156" w:beforeLines="50" w:line="360" w:lineRule="auto"/>
        <w:outlineLvl w:val="1"/>
        <w:rPr>
          <w:rFonts w:ascii="宋体" w:hAnsi="宋体" w:hint="eastAsia"/>
          <w:b/>
          <w:bCs/>
        </w:rPr>
      </w:pPr>
      <w:r>
        <w:rPr>
          <w:rFonts w:ascii="宋体" w:hAnsi="宋体" w:hint="eastAsia"/>
          <w:b/>
          <w:bCs/>
          <w:sz w:val="24"/>
          <w:szCs w:val="24"/>
        </w:rPr>
        <w:t>采购标的需满足的服务标准、期限、效率等要求；</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售后服务包含两个部分：机载任务系统设备保修、改装集成系统的设备及软件保修。质保期内一般故障24小时内技术响应，重大故障7个工作日内到现场排除故障。</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1.设备运输、搬运、安装、连接、系统调试等服务；</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2.须满足中国气象局人工影响天气中心下发有关《人工增雨飞机任务系统技术要求》《人工增雨飞机任务系统测试大纲》相关技术要求；</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3.提供相关设施所需通信费（含8年通信费）</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4.对于随机批准的成品，在地面试验/空中试验时必须提供相应的适航批准放行证书//适航批准标签。</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5.产品适航批准后，承制单位负责将产品无偿更改（或换新）至适航批准产品，同时更换产品的质量证明文件（履历本或合格证）及随机技术资料。</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6.负责集成系统设备间连接线缆的制作，线缆应符合适航标准及规范要求，并提供阻燃试验报告。</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7.提供的元器件、接插件应符合国家军用标准或航空标准要求</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8.飞机结构件、航电设备等改装设备等应至少满足CCAR-25-R4和DO-160G等适航标准的相关环境适应能力要求。</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9.机载任务系统所有的硬件设备可靠性指标为无故障运行时间大于2400小时，即系统硬件设备出故障间隔时间大于三年。</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10.验收合格交付后3年，免费质保。</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11.提供培训课时及培训人数的承诺和培训方案，培训方案完整，课程设计重点突出、针对性强。</w:t>
      </w:r>
    </w:p>
    <w:p>
      <w:pPr>
        <w:numPr>
          <w:ilvl w:val="0"/>
          <w:numId w:val="0"/>
        </w:numPr>
        <w:spacing w:before="156" w:beforeLines="50" w:line="360" w:lineRule="auto"/>
        <w:outlineLvl w:val="1"/>
        <w:rPr>
          <w:rFonts w:ascii="宋体" w:hAnsi="宋体" w:hint="eastAsia"/>
          <w:b/>
          <w:bCs/>
        </w:rPr>
      </w:pPr>
      <w:r>
        <w:rPr>
          <w:rFonts w:ascii="宋体" w:hAnsi="宋体" w:hint="eastAsia"/>
          <w:b/>
          <w:bCs/>
          <w:sz w:val="24"/>
          <w:szCs w:val="24"/>
          <w:lang w:val="en-US" w:eastAsia="zh-CN"/>
        </w:rPr>
        <w:t>六、</w:t>
      </w:r>
      <w:r>
        <w:rPr>
          <w:rFonts w:ascii="宋体" w:hAnsi="宋体" w:hint="eastAsia"/>
          <w:b/>
          <w:bCs/>
          <w:sz w:val="24"/>
          <w:szCs w:val="24"/>
        </w:rPr>
        <w:t>采购标的的验收标准；</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1.设备验收</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投标人完成关键设备采购交付后，需采购人与投标人共同在现场完成机载设备的开箱、测试，有采购人委托的验收人员或代表签字才能确认，才能完成机载设备的交付验收。</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2.集成改装出厂验收</w:t>
      </w:r>
    </w:p>
    <w:p>
      <w:pPr>
        <w:numPr>
          <w:ilvl w:val="0"/>
          <w:numId w:val="0"/>
        </w:numPr>
        <w:snapToGrid w:val="0"/>
        <w:spacing w:line="360" w:lineRule="auto"/>
        <w:ind w:firstLine="420" w:leftChars="0" w:firstLineChars="200"/>
        <w:jc w:val="left"/>
        <w:rPr>
          <w:rFonts w:ascii="宋体" w:hAnsi="宋体" w:hint="eastAsia"/>
          <w:color w:val="000000" w:themeColor="text1"/>
          <w:szCs w:val="21"/>
          <w:highlight w:val="none"/>
        </w:rPr>
      </w:pPr>
      <w:r>
        <w:rPr>
          <w:rFonts w:ascii="宋体" w:eastAsia="宋体" w:hAnsi="宋体" w:cs="Times New Roman" w:hint="eastAsia"/>
          <w:color w:val="000000" w:themeColor="text1"/>
          <w:szCs w:val="21"/>
          <w:highlight w:val="none"/>
          <w:lang w:val="en-US" w:eastAsia="zh-CN"/>
        </w:rPr>
        <w:t>投标人应在合同生效之日起</w:t>
      </w:r>
      <w:r>
        <w:rPr>
          <w:rFonts w:ascii="宋体" w:hAnsi="宋体" w:cs="Times New Roman" w:hint="eastAsia"/>
          <w:color w:val="000000" w:themeColor="text1"/>
          <w:szCs w:val="21"/>
          <w:highlight w:val="none"/>
          <w:lang w:val="en-US" w:eastAsia="zh-CN"/>
        </w:rPr>
        <w:t>3</w:t>
      </w:r>
      <w:r>
        <w:rPr>
          <w:rFonts w:ascii="宋体" w:eastAsia="宋体" w:hAnsi="宋体" w:cs="Times New Roman" w:hint="eastAsia"/>
          <w:color w:val="000000" w:themeColor="text1"/>
          <w:szCs w:val="21"/>
          <w:highlight w:val="none"/>
          <w:lang w:val="en-US" w:eastAsia="zh-CN"/>
        </w:rPr>
        <w:t>个月内完成改装集成工作后，向甲方申请组织进行出厂验收，投标人应提交项目总结报告，项目总结报告内容包括：项目实施概况、加装的主要设备、提出售后维修服务条款，经采购人书面认可视为出集成改装验收通过。</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3.合同验收</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投标人完成改装集成工作后两个月内，由采购人组织制定验收大纲，并通知投标人开始验收，投标人配合采购人完成验收工作。投标人应在正式交付飞机时提供经中国民航管理部门批准的与改装相关的适航文件，包括但不限于如下文件：STC文件（如有）、改装后的使用限制说明文件、称重报告、电气负载分析报告、补充维护手册、补充飞行手册等。</w:t>
      </w:r>
    </w:p>
    <w:p>
      <w:pPr>
        <w:numPr>
          <w:ilvl w:val="0"/>
          <w:numId w:val="0"/>
        </w:numPr>
        <w:spacing w:before="156" w:beforeLines="50" w:line="360" w:lineRule="auto"/>
        <w:outlineLvl w:val="1"/>
        <w:rPr>
          <w:rFonts w:ascii="宋体" w:hAnsi="宋体" w:hint="eastAsia"/>
          <w:b/>
          <w:bCs/>
        </w:rPr>
      </w:pPr>
      <w:r>
        <w:rPr>
          <w:rFonts w:ascii="宋体" w:hAnsi="宋体" w:hint="eastAsia"/>
          <w:b/>
          <w:bCs/>
          <w:sz w:val="24"/>
          <w:szCs w:val="24"/>
          <w:lang w:val="en-US" w:eastAsia="zh-CN"/>
        </w:rPr>
        <w:t>七、</w:t>
      </w:r>
      <w:r>
        <w:rPr>
          <w:rFonts w:ascii="宋体" w:hAnsi="宋体" w:hint="eastAsia"/>
          <w:b/>
          <w:bCs/>
          <w:sz w:val="24"/>
          <w:szCs w:val="24"/>
        </w:rPr>
        <w:t>采购标的的其他技术、服务等要求。</w:t>
      </w:r>
    </w:p>
    <w:p>
      <w:pPr>
        <w:numPr>
          <w:ilvl w:val="0"/>
          <w:numId w:val="0"/>
        </w:numPr>
        <w:snapToGrid w:val="0"/>
        <w:spacing w:line="360" w:lineRule="auto"/>
        <w:ind w:firstLine="420"/>
        <w:jc w:val="left"/>
        <w:rPr>
          <w:rFonts w:ascii="宋体" w:hAnsi="宋体" w:hint="eastAsia"/>
          <w:szCs w:val="21"/>
          <w:highlight w:val="none"/>
        </w:rPr>
      </w:pPr>
      <w:r>
        <w:rPr>
          <w:rFonts w:ascii="宋体" w:eastAsia="宋体" w:hAnsi="宋体" w:cs="Times New Roman" w:hint="eastAsia"/>
          <w:szCs w:val="21"/>
          <w:highlight w:val="none"/>
          <w:lang w:val="en-US" w:eastAsia="zh-CN"/>
        </w:rPr>
        <w:t>1.本标的所包含的适航证的获取需要的各项费用均由中标供应商负责。</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 7486  《机载视频记录系统通用规范》</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HB 7487  《机载任务计算机通用规范》</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GJB 150.16A  《军用装备实验室环境试验方法第16部分：振动试验》</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GJB 181A  《飞机供电特性》</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ISO 11172  《国际图像音视频编码标准》</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G.703  《数字通信接口标准》</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RTCA/DO-160C/F  《机载设备环境条件及试验程序》</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ARINC404A  《空中交通设备的机箱和支架》；</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ARINC650  《综合化的航空电子模块结构和接口》</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DO-254  《机载电子硬件设计保证指南》</w:t>
      </w:r>
    </w:p>
    <w:p>
      <w:pPr>
        <w:numPr>
          <w:ilvl w:val="0"/>
          <w:numId w:val="6"/>
        </w:numPr>
        <w:spacing w:line="360" w:lineRule="auto"/>
        <w:ind w:left="840" w:hanging="420" w:leftChars="200" w:hangingChars="200"/>
        <w:jc w:val="left"/>
        <w:rPr>
          <w:rFonts w:ascii="宋体" w:hAnsi="宋体" w:hint="eastAsia"/>
          <w:szCs w:val="21"/>
        </w:rPr>
      </w:pPr>
      <w:r>
        <w:rPr>
          <w:rFonts w:ascii="宋体" w:hAnsi="宋体" w:hint="eastAsia"/>
          <w:szCs w:val="21"/>
        </w:rPr>
        <w:t>AC20-158  《运行在高强度辐射场环境的飞机电子电气系统的合格规定》</w:t>
      </w:r>
    </w:p>
    <w:p>
      <w:pPr>
        <w:numPr>
          <w:ilvl w:val="0"/>
          <w:numId w:val="7"/>
        </w:numPr>
        <w:snapToGrid w:val="0"/>
        <w:spacing w:line="360" w:lineRule="auto"/>
        <w:jc w:val="left"/>
        <w:rPr>
          <w:rFonts w:ascii="宋体" w:hAnsi="宋体" w:hint="eastAsia"/>
          <w:szCs w:val="21"/>
          <w:highlight w:val="none"/>
        </w:rPr>
      </w:pPr>
      <w:r>
        <w:rPr>
          <w:rFonts w:ascii="宋体" w:eastAsia="宋体" w:hAnsi="宋体" w:cs="Times New Roman" w:hint="eastAsia"/>
          <w:szCs w:val="21"/>
          <w:highlight w:val="none"/>
        </w:rPr>
        <w:t>采购标的需满足的质量、安全、技术规格、物理特性等要求；</w:t>
      </w:r>
    </w:p>
    <w:p>
      <w:pPr>
        <w:shd w:val="clear" w:color="auto" w:fill="FFFFFF"/>
        <w:spacing w:line="360" w:lineRule="auto"/>
        <w:ind w:firstLine="420" w:firstLineChars="200"/>
        <w:rPr>
          <w:rFonts w:ascii="宋体" w:hAnsi="宋体" w:cs="宋体" w:hint="eastAsia"/>
          <w:szCs w:val="21"/>
        </w:rPr>
      </w:pPr>
      <w:r>
        <w:rPr>
          <w:rFonts w:ascii="宋体" w:hAnsi="宋体" w:cs="宋体" w:hint="eastAsia"/>
          <w:sz w:val="21"/>
          <w:szCs w:val="21"/>
        </w:rPr>
        <w:t>任务系统设备清单及主要技术指标见表</w:t>
      </w:r>
      <w:r>
        <w:rPr>
          <w:rFonts w:ascii="宋体" w:hAnsi="宋体" w:cs="宋体" w:hint="eastAsia"/>
          <w:sz w:val="21"/>
          <w:szCs w:val="21"/>
          <w:lang w:val="en-US" w:eastAsia="zh-CN"/>
        </w:rPr>
        <w:t>1</w:t>
      </w:r>
      <w:r>
        <w:rPr>
          <w:rFonts w:ascii="宋体" w:hAnsi="宋体" w:cs="宋体" w:hint="eastAsia"/>
          <w:sz w:val="21"/>
          <w:szCs w:val="21"/>
        </w:rPr>
        <w:t>。</w:t>
      </w:r>
    </w:p>
    <w:p>
      <w:pPr>
        <w:shd w:val="clear" w:color="auto" w:fill="FFFFFF"/>
        <w:spacing w:line="360" w:lineRule="auto"/>
        <w:jc w:val="center"/>
        <w:rPr>
          <w:rFonts w:ascii="黑体" w:eastAsia="黑体" w:hAnsi="黑体" w:cs="黑体" w:hint="eastAsia"/>
        </w:rPr>
      </w:pPr>
      <w:r>
        <w:rPr>
          <w:rFonts w:ascii="黑体" w:eastAsia="黑体" w:hAnsi="黑体" w:cs="黑体" w:hint="eastAsia"/>
          <w:sz w:val="24"/>
          <w:szCs w:val="24"/>
          <w:lang w:val="en-US" w:eastAsia="zh-CN"/>
        </w:rPr>
        <w:t xml:space="preserve">       </w:t>
      </w:r>
      <w:r>
        <w:rPr>
          <w:rFonts w:ascii="黑体" w:eastAsia="黑体" w:hAnsi="黑体" w:cs="黑体" w:hint="eastAsia"/>
          <w:sz w:val="24"/>
          <w:szCs w:val="24"/>
        </w:rPr>
        <w:t>表</w:t>
      </w:r>
      <w:r>
        <w:rPr>
          <w:rFonts w:ascii="黑体" w:eastAsia="黑体" w:hAnsi="黑体" w:cs="黑体" w:hint="eastAsia"/>
          <w:sz w:val="24"/>
          <w:szCs w:val="24"/>
          <w:lang w:val="en-US" w:eastAsia="zh-CN"/>
        </w:rPr>
        <w:t>1</w:t>
      </w:r>
      <w:r>
        <w:rPr>
          <w:rFonts w:ascii="黑体" w:eastAsia="黑体" w:hAnsi="黑体" w:cs="黑体" w:hint="eastAsia"/>
          <w:sz w:val="24"/>
          <w:szCs w:val="24"/>
        </w:rPr>
        <w:t xml:space="preserve">  任务系统设备清单及主要技术指标</w:t>
      </w:r>
    </w:p>
    <w:tbl>
      <w:tblPr>
        <w:tblStyle w:val="TableNormal"/>
        <w:tblW w:w="4999"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top w:w="0" w:type="dxa"/>
          <w:left w:w="108" w:type="dxa"/>
          <w:bottom w:w="0" w:type="dxa"/>
          <w:right w:w="108" w:type="dxa"/>
        </w:tblCellMar>
      </w:tblPr>
      <w:tblGrid>
        <w:gridCol w:w="846"/>
        <w:gridCol w:w="1023"/>
        <w:gridCol w:w="6023"/>
        <w:gridCol w:w="553"/>
        <w:gridCol w:w="556"/>
      </w:tblGrid>
      <w:tr>
        <w:tblPrEx>
          <w:tblW w:w="4999"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top w:w="0" w:type="dxa"/>
            <w:left w:w="108" w:type="dxa"/>
            <w:bottom w:w="0" w:type="dxa"/>
            <w:right w:w="108" w:type="dxa"/>
          </w:tblCellMar>
        </w:tblPrEx>
        <w:trPr>
          <w:trHeight w:val="735"/>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p>
        </w:tc>
        <w:tc>
          <w:tcPr>
            <w:tcW w:w="4664" w:type="pct"/>
            <w:gridSpan w:val="4"/>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人工影响天气作业飞机任务系统升级改造</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i w:val="0"/>
                <w:iCs w:val="0"/>
                <w:color w:val="auto"/>
                <w:kern w:val="0"/>
                <w:szCs w:val="21"/>
                <w:u w:val="none"/>
                <w:lang w:bidi="ar"/>
              </w:rPr>
            </w:pPr>
            <w:r>
              <w:rPr>
                <w:rFonts w:cs="Times New Roman" w:hint="eastAsia"/>
                <w:i w:val="0"/>
                <w:iCs w:val="0"/>
                <w:color w:val="auto"/>
                <w:kern w:val="0"/>
                <w:sz w:val="21"/>
                <w:szCs w:val="21"/>
                <w:u w:val="none"/>
                <w:lang w:val="en-US" w:eastAsia="zh-CN" w:bidi="ar"/>
              </w:rPr>
              <w:t>序号</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i w:val="0"/>
                <w:iCs w:val="0"/>
                <w:color w:val="auto"/>
                <w:kern w:val="0"/>
                <w:szCs w:val="21"/>
                <w:u w:val="none"/>
                <w:lang w:bidi="ar"/>
              </w:rPr>
            </w:pPr>
            <w:r>
              <w:rPr>
                <w:rFonts w:cs="Times New Roman" w:hint="eastAsia"/>
                <w:i w:val="0"/>
                <w:iCs w:val="0"/>
                <w:color w:val="auto"/>
                <w:kern w:val="0"/>
                <w:sz w:val="21"/>
                <w:szCs w:val="21"/>
                <w:u w:val="none"/>
                <w:lang w:val="en-US" w:eastAsia="zh-CN" w:bidi="ar"/>
              </w:rPr>
              <w:t>名称</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i w:val="0"/>
                <w:iCs w:val="0"/>
                <w:color w:val="auto"/>
                <w:kern w:val="0"/>
                <w:szCs w:val="21"/>
                <w:u w:val="none"/>
                <w:lang w:bidi="ar"/>
              </w:rPr>
            </w:pPr>
            <w:r>
              <w:rPr>
                <w:rFonts w:cs="Times New Roman" w:hint="eastAsia"/>
                <w:i w:val="0"/>
                <w:iCs w:val="0"/>
                <w:color w:val="auto"/>
                <w:kern w:val="0"/>
                <w:sz w:val="21"/>
                <w:szCs w:val="21"/>
                <w:u w:val="none"/>
                <w:lang w:val="en-US" w:eastAsia="zh-CN" w:bidi="ar"/>
              </w:rPr>
              <w:t>技术指标</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i w:val="0"/>
                <w:iCs w:val="0"/>
                <w:color w:val="auto"/>
                <w:kern w:val="0"/>
                <w:szCs w:val="21"/>
                <w:u w:val="none"/>
                <w:lang w:bidi="ar"/>
              </w:rPr>
            </w:pPr>
            <w:r>
              <w:rPr>
                <w:rFonts w:cs="Times New Roman" w:hint="eastAsia"/>
                <w:i w:val="0"/>
                <w:iCs w:val="0"/>
                <w:color w:val="auto"/>
                <w:kern w:val="0"/>
                <w:sz w:val="21"/>
                <w:szCs w:val="21"/>
                <w:u w:val="none"/>
                <w:lang w:val="en-US" w:eastAsia="zh-CN" w:bidi="ar"/>
              </w:rPr>
              <w:t>单位</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i w:val="0"/>
                <w:iCs w:val="0"/>
                <w:color w:val="auto"/>
                <w:kern w:val="0"/>
                <w:szCs w:val="21"/>
                <w:u w:val="none"/>
                <w:lang w:bidi="ar"/>
              </w:rPr>
            </w:pPr>
            <w:r>
              <w:rPr>
                <w:rFonts w:cs="Times New Roman" w:hint="eastAsia"/>
                <w:i w:val="0"/>
                <w:iCs w:val="0"/>
                <w:color w:val="auto"/>
                <w:kern w:val="0"/>
                <w:sz w:val="21"/>
                <w:szCs w:val="21"/>
                <w:u w:val="none"/>
                <w:lang w:val="en-US" w:eastAsia="zh-CN" w:bidi="ar"/>
              </w:rPr>
              <w:t>数量</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催化播撒子系统</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p>
        </w:tc>
        <w:tc>
          <w:tcPr>
            <w:tcW w:w="341" w:type="pct"/>
            <w:vMerge w:val="restar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套</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1.1</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催化播撒装置</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1.功能说明：实现对制冷剂的存储与播撒，主要包括制冷剂存储设备、播撒设备以及固定设备。</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2.技术指标：</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制冷剂存储量不低于80升；</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播撒速度不低于3升/分钟；</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3.维保期不低于8年</w:t>
            </w:r>
          </w:p>
        </w:tc>
        <w:tc>
          <w:tcPr>
            <w:tcW w:w="341" w:type="pct"/>
            <w:vMerge/>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1..2</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焰条监测设备</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配备播撒监视设备不少于2个摄像头</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 传感器类型 1/2.7" Progressive Scan CMOS</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 码流 标准h.264算法</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 帧率 大于25帧/秒</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 分辨率 3840*2160，4K高清</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 调节角度水平 0°~355°，垂直：0°~75°，旋转：0°~355°</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 网络协议 TCP/IP协议</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7 工作温度 -40°~60°</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8 环境试验 符合DO-160G环境和电磁及电源特定要求</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9.维保期不低于8年</w:t>
            </w:r>
          </w:p>
        </w:tc>
        <w:tc>
          <w:tcPr>
            <w:tcW w:w="341" w:type="pct"/>
            <w:vMerge/>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2</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国产云物理探测子系统</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套</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2.1</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气象要素探测设备</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1.机载大气参数观测仪主要适用于对特定领域的高空高速机载常规大气参数观测，包括：空气温度、空气湿度、三维风速、三维风向、静压、航姿，等要素信息；</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2.机载大气参数观测仪由五孔探针模块、温湿度模块、航姿导航模块和数据融合处理模块组成；</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3.机载大气参数观测仪的基本要求：</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1）高空温度观测：能够实时采集高空高速飞行条件下的大气温度；</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2）高空湿度观测：能够实时采集高空高速飞行条件下的大气相对湿度；</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3）高空三维风向观测：能够实时采集高空高速飞行条件下的大气真实三维风向；</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4）高空三维风速观测：能够实时采集高空高速飞行条件下的大气真实三维风速；</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5）高空静压观测：能够实时采集高空高速飞行条件下的大气静压力；</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6）高空仪器姿态测量：能够实时采集高空高速飞行条件下设备姿态信息、航速信息、航向信息、定位信息；</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7）设备自检：能够自动检测设备状态、报警等信息，自动诊断出设备工作是否正常以及进行故障定位，便于实时监控和维护保障；</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8）在线升级：通过规定的通信接口，能够实现程序在线升级；</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9）设备自启停：实现上电设备自动根据采集信息进行模块联动式启动和停止并进入正常监测状态。</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须符合中国气象局人工影响天气中心下发《气象机载装备—机载大气参数观测仪功能规格需求书》有关测量性能指标、环境适应性指标、可靠性指标、可维护性指标、设计寿命、功耗指标、外形尺寸等计技术指标要求、以及结构及材料要求、安全要求、供电要求、防雷要求等内容；</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5</w:t>
            </w:r>
            <w:r>
              <w:rPr>
                <w:rFonts w:cs="Times New Roman"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维保期不低于8年</w:t>
            </w:r>
          </w:p>
        </w:tc>
        <w:tc>
          <w:tcPr>
            <w:tcW w:w="341" w:type="pct"/>
            <w:vMerge w:val="restar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套</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2.2</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液态水探测设备</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1.功能要求：实现对飞行路径上的液态水含量进行探测。</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2.性能要求：</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1）云水含量测量范围0～53g/m3，测量灵敏度为0.005 g/m3。</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2）探头能够实时记录液水含量、总水含量、有效线温、环境温度等数据。</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 xml:space="preserve">3）探头能够根据需要调整采样频率，范围为1～10SPS。 </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4）能够显示包括液水含量、总水含量、有效线温、环境温度、设置线温、采样电压等数据，能够实时显示融冰工作状态。</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5）能够显示测量的液水含量、总水含量、冰水含量的时序图。</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6）能够实时记录探头输出的数据。</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3.维保期不低于8年</w:t>
            </w:r>
          </w:p>
        </w:tc>
        <w:tc>
          <w:tcPr>
            <w:tcW w:w="341" w:type="pct"/>
            <w:vMerge/>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2.3</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云和降水粒子微物理探测设备</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1.激光云粒子谱仪探测</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1)对2～50 µm的云粒子谱进行测量，测量精度为1µm。</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2)探头能够实时记录数浓度、体浓度、液水含量、粒子有效直径和平均有效直径等数据；</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3)能够显示包括景深内外粒子数、采样周期、空速、温度、激光电压和激光器温度等探头工作状态。</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4)能够显示数浓度、体浓度、液水含量的时序图；</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5)能够显示各粒子尺寸对应的粒子数实时测量值直方图；</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6)能够实时记录探头输出的数据。</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2.云粒子成像仪探测</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1)对25µm～1550 µm的降水粒子进行测量，测量分辨率为25µm。</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2)探头能够实时记录数浓度、体浓度、液水含量、粒子中值粒径和有效直径等数据；</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3)能够显示测量粒子实时图像；</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4)能够显示数浓度、体浓度、液水含量的时序图；</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5)能够显示各粒子尺寸对应的粒子数实时测量值直方图；</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6)能够实时记录探头输出的数据。</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3.降水粒子成像仪探测</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1)对100µm～6200 µm的降水粒子进行测量，测量分辨率为100µm。</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2)探头能够实时记录数浓度、体浓度、液水含量、粒子中值粒径和有效直径等数据；</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3)能够显示测量粒子实时图像；</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4)能够显示数浓度、体浓度、液水含量的时序图；</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5)能够显示各粒子尺寸对应的粒子数实时测量值直方图；</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6)能够实时记录探头输出的数据。</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4.降水粒子谱探头探测</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1)对300µm～19200µm的降水粒子进行测量，测量分辨率为300µm。</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2)探头能够实时记录数浓度、体浓度、液水含量、粒子中值粒径和有效直径等数据；</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3)能够显示测量粒子实时图像；</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4)能够显示数浓度、体浓度、液水含量的时序图；</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5)能够显示各粒子尺寸对应的粒子数实时测量值直方图；</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6)能够实时记录探头输出的数据。</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5.气溶胶探测仪探测</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1)能够对直径为0.1～3μm范围内的气溶胶粒子径谱进行测量；</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2)能够辅助测量温度、动压、标准采样气体和鞘气的流量等参数；</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3)能够显示探头数据，包括粒子数浓度、液水含量、等效直径、体积中值直径、高增益基线、中增益基线、低增益基线、采样流量、激光电压、辅助模拟量1、电元件温度、鞘气流量（标准）等；</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4)能够显示体积浓度/数浓度、等效直径/体积中值直径、体积流量、标准流量、可选变量的时序图，粒子谱直方图；</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能够实时记录探头输出的数据。</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6.结冰传感器探测</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1)能够探测结冰情况；</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2)能够接收静温、真空速功能；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3)具备探头加热控制功能；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4)具备探头除冰加热电流监测功能；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5)具备底座迎风面加热器除冰加热电流监测功能；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6)能够实时记录探头输出的数据。</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7.维保期不低于8年</w:t>
            </w:r>
          </w:p>
        </w:tc>
        <w:tc>
          <w:tcPr>
            <w:tcW w:w="341" w:type="pct"/>
            <w:vMerge/>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3</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空地通信子系统</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1.功能要求</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空地通信系统由机载通信控制设备、机载卫星通信系统、机载北斗卫星通信系统和综合机内通话系统等组成。具备作业飞机与地面人影业务平台之间文字、语音及数据信息的互传与共享，实现空地多种尺度和不同种类的信息实时采集、快速传输、集中存储、综合分析和直观显示，实现作业飞机空地之间快速和高效的信息传输、实时指挥。</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2.机载国产卫星通信</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1)能够在全国范围内使作业飞机与地面指挥中心之间利用通信卫星进行实时话音通信、数据文件传输以及视频图像的传输，</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2)具有视频下传功能；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3)能够控制数据传输间隔；</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4)数据：标准数据高达5Mbps；</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5)能够记录上下传信息。</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3.机载北斗卫星通信</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1)能够进行全天候、全国范围内人影飞机的导航定位；</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2)具有通讯录编辑功能，包括添加、编辑、删除联系人；</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3)能够与地面指挥中心、其他飞机之间短信通信；</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4)短信容量：68字节；</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5)定位/作业信息长度：71字节。</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4.维保期不低于8年</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套</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4</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任务集成子系统（地面操控型）</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主要要求是通过系统集成，实现对其它各子系统的集中控制及综合显示，完成大气探测、催化作业、视频监视、空地通信、信息综合与系统管理功能。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该系统作为 “天工”平台的一个组件，实现飞机作业的地面操控，确保地面操控不干扰飞机飞行安全。</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1.智能配电</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智能配电系统主要实现直流负载和交流负载的集中电能分配与保护管理，同时对直流电源、交流电源供电状态和电源参数进行采集显示。该系统由电源显控器、电源控制盒、智能配电箱和逆变器等设备组成，主要用来完成载机28V直流输入、逆变成设备需要的交流115V和220V电源并分配到多路任务设备用电输出的通断控制和保护</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2.催化作业功能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针对适宜于冷暖云系催化的碘化银焰条和焰弹催化播撒装置，完成催化作业的综合控制和显示。</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3.云微物理探测功能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主要完成云降水（云滴、雨滴、冰雪晶等）粒子谱分布，云降水粒子二维图像，云中液态水含量，大气温、压、湿、风等气象数据的连续测量，飞机飞行高度、经纬度、空速和航向等飞行参数测量，以及座舱状态实景监控等。</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4.视频监视功能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使用监视摄像头完成一路舱内视频监视、两路舱外视频监视，监视视频上电立即工作，视频流发送到视频服务器上。视频服务器接受到各个视频流后，保存并推送到特定端口，如果机载任务系统或地面需要看到那哪一路视频，访问对应端口即可。</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5.空地通信功能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主要完成作业飞机之间以及与地面人影业务平台之间的文字、数据、语音及低码率视频的互传，实现空地协同指挥调度，通过机载空地卫星链路，可以实现空地数据互传，完成地面遥控机载播撒设备播撒作业的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6.信息综合功能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主要完成数字地图导航及叠加显示大气探测、综合气象、作业航迹等信息。具体功能包括：</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1)能够在数字地图进行导航源选择、放大、缩小、漫游、量算（距离和面积）、航向/北向等控制；</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2)能够在数字地图上叠加显示综合气象、催化方案、作业航迹、作业计划等信息；</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3)气象雷达图像信息显示；</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4)飞机穿云、入云、颠簸状态显示。</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7.系统管理功能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主要功能包括：</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1)具有任务系统供电管理功能；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2)具有任务系统时统功能；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3)具有GPS、北斗导航等数据综合显示功能；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4)具有不同作业区域综合催化潜力模型配置功能；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5)具有通过轮载信号禁止地面播撒和设备加温功能；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6)具有模拟轮载信号进行任务系统地面检查功能；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7)具有任务系统各设备状态、软件版本显示功能；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8)具有任务系统各设备故障信息提示功能；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9)具有飞行数据、大气探测数据、作业信息和监控视频信息记录及快速下载功能；</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10)具备飞行任务报送文件自动输出功能。</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8.维保期不低于8年</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套</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5</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人工影响天气飞机运行管理终端</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套</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vMerge w:val="restar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5.1</w:t>
            </w:r>
          </w:p>
        </w:tc>
        <w:tc>
          <w:tcPr>
            <w:tcW w:w="602" w:type="pct"/>
            <w:vMerge w:val="restar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安全运行监控设备</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1.功能要求：安全运行监控设备采用全景监控设备，配备移动监控系统，对周界入侵、催化剂装卸、大气探测系统维护安全性、未穿反光衣等违规行进行告警。所有数据可与“天工”平台无缝对接。</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2.技术指标要求</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1)摄像头支持4K分辨率全彩影像录制，并支持陀螺仪电子防抖功能，支持360度全向云台；</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2)防护等级不低于IP66；</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3)室温环境下，电池供电连续工作时长≥8小时；</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4)支持4G/5G全网通、Wi-Fi网络。</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3.维保期不低于8年</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台</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2</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vMerge/>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p>
        </w:tc>
        <w:tc>
          <w:tcPr>
            <w:tcW w:w="602" w:type="pct"/>
            <w:vMerge/>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功能要求：安全运行监控采用个人监控设备，具备视频监控，音视频通话，卫星定位等功能；对进场人员动作、飞机以及任务系统更为细致地监管，对维护动作的规范性与完整性进行告警。与布控球协同监测，支持集群对讲、实时视频指挥、双向视频对讲，所有数据可与“天工”平台无缝对接。</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2：技术指标</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1)摄像头具备2k视频录像，4000万像素拍照；</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2)防护等级≥IP67；</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3)室温环境下，电池供电连续工作时长≥8小时；</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4)支持4G/5G全网通、WiFi网络。</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3.维保期不低于8年</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部</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8</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vMerge/>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p>
        </w:tc>
        <w:tc>
          <w:tcPr>
            <w:tcW w:w="602" w:type="pct"/>
            <w:vMerge/>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1.功能要求：安全运行监控设备采用人员定位设备，具备北斗卫星+RTK精细化定位功能，具备后台下发文字，语音播报功能；所有数据可与“天工”平台无缝对接。</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2.技术指标要求</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1)定位精度小于等于20厘米左右；</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2)防护等级不低于IP66；</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3)支持4G全网通传输；</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3.工作时间大于7天（每天24小时，每5分钟工作一次）</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4.维保期不低于8年</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部</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8</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5.2</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安全运行管理移动端</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功能要求安全运行管理移动端采用一个定制的PAD设备，在“天工”平台安全管理模块，实现飞机运行监管音视频以及人员身份与位置数据的收集、处理、分发与上传，依托“天工”平台，实现对运行监管音视频以及人员身份与位置数据的实时处理，实现对飞机运行安全的提示与告警；作业人员可通过移动端实时访问“天工”平台，实现相关信息的填报以及与各级指挥中心的对接。</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2.技术指标要求</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1)内存：≥12GB；</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2)存储：≥512GB；</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3)网络：4/5G、Wifi；</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4)防护：具备防水和防摔功能。</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3.维保期不低于8年</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台</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cs="Times New Roman" w:hint="eastAsia"/>
                <w:i w:val="0"/>
                <w:iCs w:val="0"/>
                <w:color w:val="auto"/>
                <w:kern w:val="0"/>
                <w:sz w:val="21"/>
                <w:szCs w:val="21"/>
                <w:u w:val="none"/>
                <w:lang w:val="en-US" w:eastAsia="zh-CN" w:bidi="ar"/>
              </w:rPr>
              <w:t>（二）</w:t>
            </w:r>
          </w:p>
        </w:tc>
        <w:tc>
          <w:tcPr>
            <w:tcW w:w="4664" w:type="pct"/>
            <w:gridSpan w:val="4"/>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宋体" w:hAnsi="宋体" w:hint="eastAsia"/>
                <w:sz w:val="24"/>
                <w:szCs w:val="24"/>
              </w:rPr>
              <w:t>作业飞机集成改装</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cs="Times New Roman" w:hint="eastAsia"/>
                <w:i w:val="0"/>
                <w:iCs w:val="0"/>
                <w:color w:val="auto"/>
                <w:kern w:val="0"/>
                <w:sz w:val="21"/>
                <w:szCs w:val="21"/>
                <w:u w:val="none"/>
                <w:lang w:val="en-US" w:eastAsia="zh-CN" w:bidi="ar"/>
              </w:rPr>
              <w:t>序号</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cs="Times New Roman" w:hint="eastAsia"/>
                <w:i w:val="0"/>
                <w:iCs w:val="0"/>
                <w:color w:val="auto"/>
                <w:kern w:val="0"/>
                <w:sz w:val="21"/>
                <w:szCs w:val="21"/>
                <w:u w:val="none"/>
                <w:lang w:val="en-US" w:eastAsia="zh-CN" w:bidi="ar"/>
              </w:rPr>
              <w:t>名称</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cs="Times New Roman" w:hint="eastAsia"/>
                <w:i w:val="0"/>
                <w:iCs w:val="0"/>
                <w:color w:val="auto"/>
                <w:kern w:val="0"/>
                <w:sz w:val="21"/>
                <w:szCs w:val="21"/>
                <w:u w:val="none"/>
                <w:lang w:val="en-US" w:eastAsia="zh-CN" w:bidi="ar"/>
              </w:rPr>
              <w:t>技术指标</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cs="Times New Roman" w:hint="eastAsia"/>
                <w:i w:val="0"/>
                <w:iCs w:val="0"/>
                <w:color w:val="auto"/>
                <w:kern w:val="0"/>
                <w:sz w:val="21"/>
                <w:szCs w:val="21"/>
                <w:u w:val="none"/>
                <w:lang w:val="en-US" w:eastAsia="zh-CN" w:bidi="ar"/>
              </w:rPr>
              <w:t>单位</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cs="Times New Roman" w:hint="eastAsia"/>
                <w:i w:val="0"/>
                <w:iCs w:val="0"/>
                <w:color w:val="auto"/>
                <w:kern w:val="0"/>
                <w:sz w:val="21"/>
                <w:szCs w:val="21"/>
                <w:u w:val="none"/>
                <w:lang w:val="en-US" w:eastAsia="zh-CN" w:bidi="ar"/>
              </w:rPr>
              <w:t>数量</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6</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载机平台改装</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1.将飞机任务集成子系统、智能配电子系统、云微物理探测子系统、催化作业子系统、视频监视子系统和空地通信子系统等多个子系统的软硬件在飞机平台加装测试。</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2.改装后的运-12作业飞机须取得中国民航局颁发的补充适航合格证。</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3.改装必须符合《正常类飞机适航规定》（中华人民共和国交通运输部令2022年第16号）适用条款。</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4.改装设计应满足飞机机体强度和刚度要求以及重量重心范围限制，不会对飞机性能及飞行品质产生重大影响，保证飞机安全飞行，满足飞机适航性要求。</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5.改装应布局合理，保证飞行安全，确保机载任务系统设备能够正常运行、探测数据真实可信，播撒作业稳定可靠、空地通信便捷畅通以及集成操作简洁高效。</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6.须严格按照中国民用航空局规定和制定的试验大纲要求开展飞机、称重、地面导通、电磁兼容和飞行验证等各项试验，确保飞机改装后满足适航要求。</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7.飞机结构件、航电设备等改装设备等应至少满足CCAR-25-R4和DO-160G等适航标准的相关环境适应能力要求。</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套</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w:t>
            </w:r>
          </w:p>
        </w:tc>
      </w:tr>
      <w:tr>
        <w:tblPrEx>
          <w:tblW w:w="4999" w:type="pct"/>
          <w:tblInd w:w="0" w:type="dxa"/>
          <w:shd w:val="clear" w:color="auto" w:fill="FFFFFF"/>
          <w:tblCellMar>
            <w:top w:w="0" w:type="dxa"/>
            <w:left w:w="108" w:type="dxa"/>
            <w:bottom w:w="0" w:type="dxa"/>
            <w:right w:w="108" w:type="dxa"/>
          </w:tblCellMar>
        </w:tblPrEx>
        <w:trPr>
          <w:trHeight w:val="400"/>
        </w:trPr>
        <w:tc>
          <w:tcPr>
            <w:tcW w:w="335"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7</w:t>
            </w:r>
          </w:p>
        </w:tc>
        <w:tc>
          <w:tcPr>
            <w:tcW w:w="602"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技术服务</w:t>
            </w:r>
          </w:p>
        </w:tc>
        <w:tc>
          <w:tcPr>
            <w:tcW w:w="3379"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1.本系统包括以上所有系统，以上所有系统的报价包含本清单描述的所有内容</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2.包括满足飞机任务系统内部所有系统、设备、各级作业点之间的连接、联动、关联及数据传输等所有功能所需要的一切费用；</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3.包括满足飞机任务系统与其他系统、设备之间的连接、联动、关联及数据传输等功能所需要的一切费用；</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4.包括但不限于二次设计、本系统的所有设备设施运送甲方指定地点、各系统及整个平台安装调试以及与相关联设备、系统的联动等满足以上功能所发生的一切费用；</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5.技术服务</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（1）设备运输、搬运、安装、连接、系统调试等服务；</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（2）须满足中国气象局人工影响天气中心下发有关《人工增雨飞机任务系统技术要求》《人工增雨飞机任务系统测试大纲》相关技术要求；</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（3）提供相关设施所需通信费（含8年通信费）</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（4）对于随机批准的成品，在地面试验/空中试验时必须提供相应的适航批准放行证书//适航批准标签。</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（5）产品适航批准后，承制单位负责将产品无偿更改（或换新）至适航批准产品，同时更换产品的质量证明文件（履历本或合格证）及随机技术资料。</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（6）负责集成系统设备间连接线缆的制作，线缆应符合适航标准及规范要求，并提供阻燃试验报告。</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（7）提供的元器件、接插件应符合国家军用标准或航空标准要求</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（8）飞机结构件、航电设备等改装设备等应至少满足CCAR-25-R4和DO-160G等适航标准的相关环境适应能力要求。</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（9）机载任务系统所有的硬件设备可靠性指标为无故障运行时间大于2400小时，即系统硬件设备出故障间隔时间大于三年。</w:t>
            </w:r>
            <w:r>
              <w:rPr>
                <w:rFonts w:ascii="Times New Roman" w:eastAsia="宋体" w:hAnsi="Times New Roman" w:cs="Times New Roman" w:hint="eastAsia"/>
                <w:i w:val="0"/>
                <w:iCs w:val="0"/>
                <w:color w:val="auto"/>
                <w:kern w:val="0"/>
                <w:sz w:val="21"/>
                <w:szCs w:val="21"/>
                <w:u w:val="none"/>
                <w:lang w:val="en-US" w:eastAsia="zh-CN" w:bidi="ar"/>
              </w:rPr>
              <w:br/>
            </w:r>
            <w:r>
              <w:rPr>
                <w:rFonts w:ascii="宋体" w:eastAsia="宋体" w:hAnsi="宋体" w:cs="宋体"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（10）验收合格交付后</w:t>
            </w:r>
            <w:r>
              <w:rPr>
                <w:rFonts w:cs="Times New Roman" w:hint="eastAsia"/>
                <w:i w:val="0"/>
                <w:iCs w:val="0"/>
                <w:color w:val="auto"/>
                <w:kern w:val="0"/>
                <w:sz w:val="21"/>
                <w:szCs w:val="21"/>
                <w:u w:val="none"/>
                <w:lang w:val="en-US" w:eastAsia="zh-CN" w:bidi="ar"/>
              </w:rPr>
              <w:t>，</w:t>
            </w:r>
            <w:r>
              <w:rPr>
                <w:rFonts w:ascii="Times New Roman" w:eastAsia="宋体" w:hAnsi="Times New Roman" w:cs="Times New Roman" w:hint="eastAsia"/>
                <w:i w:val="0"/>
                <w:iCs w:val="0"/>
                <w:color w:val="auto"/>
                <w:kern w:val="0"/>
                <w:sz w:val="21"/>
                <w:szCs w:val="21"/>
                <w:u w:val="none"/>
                <w:lang w:val="en-US" w:eastAsia="zh-CN" w:bidi="ar"/>
              </w:rPr>
              <w:t>免费质保3年。</w:t>
            </w: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p>
        </w:tc>
        <w:tc>
          <w:tcPr>
            <w:tcW w:w="341" w:type="pct"/>
            <w:tcBorders>
              <w:top w:val="single" w:sz="4" w:space="0" w:color="000000"/>
              <w:left w:val="single" w:sz="4" w:space="0" w:color="000000"/>
              <w:bottom w:val="single" w:sz="4" w:space="0" w:color="000000"/>
              <w:right w:val="single" w:sz="4" w:space="0" w:color="00000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i w:val="0"/>
                <w:iCs w:val="0"/>
                <w:color w:val="auto"/>
                <w:kern w:val="0"/>
                <w:szCs w:val="21"/>
                <w:u w:val="none"/>
                <w:lang w:bidi="ar"/>
              </w:rPr>
            </w:pPr>
          </w:p>
        </w:tc>
      </w:tr>
    </w:tbl>
    <w:p>
      <w:pPr>
        <w:numPr>
          <w:ilvl w:val="0"/>
          <w:numId w:val="0"/>
        </w:numPr>
        <w:snapToGrid w:val="0"/>
        <w:spacing w:line="360" w:lineRule="auto"/>
        <w:jc w:val="left"/>
        <w:rPr>
          <w:rFonts w:ascii="宋体" w:hAnsi="宋体" w:hint="eastAsia"/>
          <w:szCs w:val="21"/>
          <w:highlight w:val="none"/>
        </w:rPr>
      </w:pPr>
    </w:p>
    <w:p>
      <w:pPr>
        <w:numPr>
          <w:ilvl w:val="0"/>
          <w:numId w:val="7"/>
        </w:numPr>
        <w:snapToGrid w:val="0"/>
        <w:spacing w:line="360" w:lineRule="auto"/>
        <w:ind w:left="0" w:firstLine="0" w:leftChars="0" w:firstLineChars="0"/>
        <w:jc w:val="left"/>
        <w:rPr>
          <w:rFonts w:ascii="宋体" w:hAnsi="宋体" w:hint="eastAsia"/>
          <w:szCs w:val="21"/>
          <w:highlight w:val="none"/>
        </w:rPr>
      </w:pPr>
      <w:r>
        <w:rPr>
          <w:rFonts w:ascii="宋体" w:eastAsia="宋体" w:hAnsi="宋体" w:cs="Times New Roman" w:hint="eastAsia"/>
          <w:szCs w:val="21"/>
          <w:highlight w:val="none"/>
        </w:rPr>
        <w:t>采购标的的数量、采购项目交付或者实施的时间和地点；</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人影飞机任务系统升级改造。</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项目交付时间：合同签订生效后，4个月内完成项目验收交付。</w:t>
      </w:r>
    </w:p>
    <w:p>
      <w:pPr>
        <w:numPr>
          <w:ilvl w:val="0"/>
          <w:numId w:val="0"/>
        </w:numPr>
        <w:snapToGrid w:val="0"/>
        <w:spacing w:line="360" w:lineRule="auto"/>
        <w:ind w:firstLine="420" w:leftChars="0" w:firstLineChars="200"/>
        <w:jc w:val="left"/>
        <w:rPr>
          <w:rFonts w:ascii="宋体" w:hAnsi="宋体" w:hint="default"/>
          <w:szCs w:val="21"/>
          <w:highlight w:val="none"/>
        </w:rPr>
      </w:pPr>
      <w:r>
        <w:rPr>
          <w:rFonts w:ascii="宋体" w:eastAsia="宋体" w:hAnsi="宋体" w:cs="Times New Roman" w:hint="eastAsia"/>
          <w:szCs w:val="21"/>
          <w:highlight w:val="none"/>
          <w:lang w:val="en-US" w:eastAsia="zh-CN"/>
        </w:rPr>
        <w:t>项目交付地点：黑龙江。</w:t>
      </w:r>
    </w:p>
    <w:p>
      <w:pPr>
        <w:numPr>
          <w:ilvl w:val="0"/>
          <w:numId w:val="7"/>
        </w:numPr>
        <w:snapToGrid w:val="0"/>
        <w:spacing w:line="360" w:lineRule="auto"/>
        <w:ind w:left="0" w:firstLine="0" w:leftChars="0" w:firstLineChars="0"/>
        <w:jc w:val="left"/>
        <w:rPr>
          <w:rFonts w:ascii="宋体" w:hAnsi="宋体"/>
          <w:szCs w:val="21"/>
          <w:highlight w:val="none"/>
        </w:rPr>
      </w:pPr>
      <w:r>
        <w:rPr>
          <w:rFonts w:ascii="宋体" w:eastAsia="宋体" w:hAnsi="宋体" w:cs="Times New Roman" w:hint="eastAsia"/>
          <w:szCs w:val="21"/>
          <w:highlight w:val="none"/>
        </w:rPr>
        <w:t>采购标的需满足的服务标准、期限、效率等要求；</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售后服务包含两个部分：机载任务系统设备保修、改装集成系统的设备及软件保修。质保期内一般故障24小时内技术响应，重大故障7个工作日内到现场排除故障。</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1.设备运输、搬运、安装、连接、系统调试等服务；</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2.须满足中国气象局人工影响天气中心下发有关《人工增雨飞机任务系统技术要求》《人工增雨飞机任务系统测试大纲》相关技术要求；</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3.提供相关设施所需通信费（含8年通信费）</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4.对于随机批准的成品，在地面试验/空中试验时必须提供相应的适航批准放行证书//适航批准标签。</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5.产品适航批准后，承制单位负责将产品无偿更改（或换新）至适航批准产品，同时更换产品的质量证明文件（履历本或合格证）及随机技术资料。</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6.负责集成系统设备间连接线缆的制作，线缆应符合适航标准及规范要求，并提供阻燃试验报告。</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7.提供的元器件、接插件应符合国家军用标准或航空标准要求</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8.飞机结构件、航电设备等改装设备等应至少满足CCAR-25-R4和DO-160G等适航标准的相关环境适应能力要求。</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9.机载任务系统所有的硬件设备可靠性指标为无故障运行时间大于2400小时，即系统硬件设备出故障间隔时间大于三年。</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10.验收合格交付后3年，免费质保。</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11.提供培训课时及培训人数的承诺和培训方案，培训方案完整，课程设计重点突出、针对性强。</w:t>
      </w:r>
    </w:p>
    <w:p>
      <w:pPr>
        <w:numPr>
          <w:ilvl w:val="0"/>
          <w:numId w:val="0"/>
        </w:numPr>
        <w:snapToGrid w:val="0"/>
        <w:spacing w:line="360" w:lineRule="auto"/>
        <w:ind w:leftChars="0"/>
        <w:jc w:val="left"/>
        <w:rPr>
          <w:rFonts w:ascii="宋体" w:hAnsi="宋体"/>
          <w:szCs w:val="21"/>
          <w:highlight w:val="none"/>
        </w:rPr>
      </w:pPr>
    </w:p>
    <w:p>
      <w:pPr>
        <w:numPr>
          <w:ilvl w:val="0"/>
          <w:numId w:val="7"/>
        </w:numPr>
        <w:snapToGrid w:val="0"/>
        <w:spacing w:line="360" w:lineRule="auto"/>
        <w:ind w:left="0" w:firstLine="0" w:leftChars="0" w:firstLineChars="0"/>
        <w:jc w:val="left"/>
        <w:rPr>
          <w:rFonts w:ascii="宋体" w:hAnsi="宋体" w:hint="eastAsia"/>
          <w:szCs w:val="21"/>
          <w:highlight w:val="none"/>
        </w:rPr>
      </w:pPr>
      <w:r>
        <w:rPr>
          <w:rFonts w:ascii="宋体" w:eastAsia="宋体" w:hAnsi="宋体" w:cs="Times New Roman" w:hint="eastAsia"/>
          <w:szCs w:val="21"/>
          <w:highlight w:val="none"/>
        </w:rPr>
        <w:t>采购标的的验收标准；</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1.设备验收</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投标人完成关键设备采购交付后，需采购人与投标人共同在现场完成机载设备的开箱、测试，有采购人委托的验收人员或代表签字才能确认，才能完成机载设备的交付验收。</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2.集成改装出厂验收</w:t>
      </w:r>
    </w:p>
    <w:p>
      <w:pPr>
        <w:numPr>
          <w:ilvl w:val="0"/>
          <w:numId w:val="0"/>
        </w:numPr>
        <w:snapToGrid w:val="0"/>
        <w:spacing w:line="360" w:lineRule="auto"/>
        <w:ind w:firstLine="420" w:leftChars="0" w:firstLineChars="200"/>
        <w:jc w:val="left"/>
        <w:rPr>
          <w:rFonts w:ascii="宋体" w:hAnsi="宋体" w:hint="eastAsia"/>
          <w:color w:val="000000" w:themeColor="text1"/>
          <w:szCs w:val="21"/>
          <w:highlight w:val="none"/>
        </w:rPr>
      </w:pPr>
      <w:r>
        <w:rPr>
          <w:rFonts w:ascii="宋体" w:eastAsia="宋体" w:hAnsi="宋体" w:cs="Times New Roman" w:hint="eastAsia"/>
          <w:color w:val="000000" w:themeColor="text1"/>
          <w:szCs w:val="21"/>
          <w:highlight w:val="none"/>
          <w:lang w:val="en-US" w:eastAsia="zh-CN"/>
        </w:rPr>
        <w:t>投标人应在合同生效之日起</w:t>
      </w:r>
      <w:r>
        <w:rPr>
          <w:rFonts w:ascii="宋体" w:hAnsi="宋体" w:cs="Times New Roman" w:hint="eastAsia"/>
          <w:color w:val="000000" w:themeColor="text1"/>
          <w:szCs w:val="21"/>
          <w:highlight w:val="none"/>
          <w:lang w:val="en-US" w:eastAsia="zh-CN"/>
        </w:rPr>
        <w:t>3</w:t>
      </w:r>
      <w:r>
        <w:rPr>
          <w:rFonts w:ascii="宋体" w:eastAsia="宋体" w:hAnsi="宋体" w:cs="Times New Roman" w:hint="eastAsia"/>
          <w:color w:val="000000" w:themeColor="text1"/>
          <w:szCs w:val="21"/>
          <w:highlight w:val="none"/>
          <w:lang w:val="en-US" w:eastAsia="zh-CN"/>
        </w:rPr>
        <w:t>个月内完成改装集成工作后，向甲方申请组织进行出厂验收，投标人应提交项目总结报告，项目总结报告内容包括：项目实施概况、加装的主要设备、提出售后维修服务条款，经采购人书面认可视为出集成改装验收通过。</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3.合同验收</w:t>
      </w:r>
    </w:p>
    <w:p>
      <w:pPr>
        <w:numPr>
          <w:ilvl w:val="0"/>
          <w:numId w:val="0"/>
        </w:numPr>
        <w:snapToGrid w:val="0"/>
        <w:spacing w:line="360" w:lineRule="auto"/>
        <w:ind w:firstLine="420" w:leftChars="0" w:firstLineChars="200"/>
        <w:jc w:val="left"/>
        <w:rPr>
          <w:rFonts w:ascii="宋体" w:hAnsi="宋体" w:hint="eastAsia"/>
          <w:szCs w:val="21"/>
          <w:highlight w:val="none"/>
        </w:rPr>
      </w:pPr>
      <w:r>
        <w:rPr>
          <w:rFonts w:ascii="宋体" w:eastAsia="宋体" w:hAnsi="宋体" w:cs="Times New Roman" w:hint="eastAsia"/>
          <w:szCs w:val="21"/>
          <w:highlight w:val="none"/>
          <w:lang w:val="en-US" w:eastAsia="zh-CN"/>
        </w:rPr>
        <w:t>投标人完成改装集成工作后两个月内，由采购人组织制定验收大纲，并通知投标人开始验收，投标人配合采购人完成验收工作。投标人应在正式交付飞机时提供经中国民航管理部门批准的与改装相关的适航文件，包括但不限于如下文件：STC文件（如有）、改装后的使用限制说明文件、称重报告、电气负载分析报告、补充维护手册、补充飞行手册等。</w:t>
      </w:r>
    </w:p>
    <w:p>
      <w:pPr>
        <w:numPr>
          <w:ilvl w:val="0"/>
          <w:numId w:val="0"/>
        </w:numPr>
        <w:snapToGrid w:val="0"/>
        <w:spacing w:line="360" w:lineRule="auto"/>
        <w:jc w:val="left"/>
        <w:rPr>
          <w:rFonts w:ascii="宋体" w:hAnsi="宋体" w:hint="eastAsia"/>
          <w:szCs w:val="21"/>
          <w:highlight w:val="none"/>
        </w:rPr>
      </w:pPr>
      <w:r>
        <w:rPr>
          <w:rFonts w:ascii="宋体" w:eastAsia="宋体" w:hAnsi="宋体" w:cs="Times New Roman" w:hint="eastAsia"/>
          <w:szCs w:val="21"/>
          <w:highlight w:val="none"/>
          <w:lang w:val="en-US" w:eastAsia="zh-CN"/>
        </w:rPr>
        <w:t>七、</w:t>
      </w:r>
      <w:r>
        <w:rPr>
          <w:rFonts w:ascii="宋体" w:eastAsia="宋体" w:hAnsi="宋体" w:cs="Times New Roman" w:hint="eastAsia"/>
          <w:szCs w:val="21"/>
          <w:highlight w:val="none"/>
        </w:rPr>
        <w:t>采购标的的其他技术、服务等要求。</w:t>
      </w:r>
    </w:p>
    <w:p>
      <w:pPr>
        <w:numPr>
          <w:ilvl w:val="0"/>
          <w:numId w:val="0"/>
        </w:numPr>
        <w:snapToGrid w:val="0"/>
        <w:spacing w:line="360" w:lineRule="auto"/>
        <w:ind w:firstLine="420"/>
        <w:jc w:val="left"/>
        <w:rPr>
          <w:rFonts w:ascii="宋体" w:hAnsi="宋体" w:hint="eastAsia"/>
          <w:szCs w:val="21"/>
          <w:highlight w:val="none"/>
        </w:rPr>
      </w:pPr>
      <w:r>
        <w:rPr>
          <w:rFonts w:ascii="宋体" w:eastAsia="宋体" w:hAnsi="宋体" w:cs="Times New Roman" w:hint="eastAsia"/>
          <w:szCs w:val="21"/>
          <w:highlight w:val="none"/>
          <w:lang w:val="en-US" w:eastAsia="zh-CN"/>
        </w:rPr>
        <w:t>1.本标的所包含的适航证的获取需要的各项费用均由中标供应商负责。</w:t>
      </w:r>
    </w:p>
    <w:p>
      <w:pPr>
        <w:numPr>
          <w:ilvl w:val="0"/>
          <w:numId w:val="0"/>
        </w:numPr>
        <w:snapToGrid w:val="0"/>
        <w:spacing w:line="360" w:lineRule="auto"/>
        <w:ind w:firstLine="420"/>
        <w:jc w:val="left"/>
        <w:rPr>
          <w:rFonts w:ascii="宋体" w:hAnsi="宋体" w:hint="default"/>
          <w:szCs w:val="21"/>
          <w:highlight w:val="none"/>
        </w:rPr>
      </w:pPr>
      <w:r>
        <w:rPr>
          <w:rFonts w:ascii="宋体" w:eastAsia="宋体" w:hAnsi="宋体" w:cs="Times New Roman" w:hint="eastAsia"/>
          <w:szCs w:val="21"/>
          <w:highlight w:val="none"/>
          <w:lang w:val="en-US" w:eastAsia="zh-CN"/>
        </w:rPr>
        <w:t>2.因本项目需经黑龙江省财政评审，如财政评审价格低于中标价格，供应商应认可财政评审价格作为成交价格。</w:t>
      </w:r>
    </w:p>
    <w:p>
      <w:pPr>
        <w:spacing w:line="360" w:lineRule="auto"/>
        <w:ind w:firstLine="420" w:firstLineChars="200"/>
        <w:rPr>
          <w:rFonts w:ascii="宋体" w:hAnsi="宋体"/>
          <w:szCs w:val="21"/>
          <w:highlight w:val="none"/>
        </w:rPr>
      </w:pPr>
    </w:p>
    <w:p/>
    <w:bookmarkEnd w:id="59"/>
    <w:p>
      <w:pPr>
        <w:adjustRightInd w:val="0"/>
        <w:snapToGrid w:val="0"/>
        <w:spacing w:line="360" w:lineRule="auto"/>
        <w:jc w:val="center"/>
        <w:rPr>
          <w:rFonts w:ascii="宋体" w:hAnsi="宋体" w:hint="eastAsia"/>
          <w:b/>
          <w:sz w:val="30"/>
          <w:szCs w:val="30"/>
        </w:rPr>
        <w:sectPr>
          <w:pgSz w:w="11906" w:h="16838"/>
          <w:pgMar w:top="1418" w:right="1418" w:bottom="1418" w:left="1701" w:header="851" w:footer="851" w:gutter="0"/>
          <w:cols w:num="1" w:space="720"/>
          <w:docGrid w:type="linesAndChars" w:linePitch="312" w:charSpace="0"/>
        </w:sect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8"/>
    </w:p>
    <w:p>
      <w:pPr>
        <w:spacing w:before="156" w:beforeLines="50" w:line="360" w:lineRule="auto"/>
        <w:jc w:val="center"/>
        <w:outlineLvl w:val="1"/>
        <w:rPr>
          <w:rFonts w:ascii="宋体" w:hAnsi="宋体"/>
          <w:b/>
          <w:sz w:val="30"/>
          <w:szCs w:val="30"/>
          <w:highlight w:val="none"/>
        </w:rPr>
      </w:pPr>
      <w:bookmarkStart w:id="60" w:name="投标被拒绝条款专用部分_JJTK"/>
      <w:bookmarkStart w:id="61" w:name="投标被拒绝条款专用部分_JJTK_0"/>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rPr>
          <w:rFonts w:ascii="宋体" w:hAnsi="宋体"/>
          <w:szCs w:val="21"/>
          <w:highlight w:val="none"/>
        </w:rPr>
      </w:pP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1"/>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top"/>
          </w:tcPr>
          <w:p>
            <w:pPr>
              <w:tabs>
                <w:tab w:val="left" w:pos="709"/>
              </w:tabs>
              <w:spacing w:line="360" w:lineRule="auto"/>
              <w:jc w:val="left"/>
              <w:rPr>
                <w:rFonts w:ascii="宋体" w:hAnsi="宋体" w:hint="default"/>
                <w:sz w:val="18"/>
                <w:szCs w:val="18"/>
                <w:highlight w:val="none"/>
              </w:rPr>
            </w:pPr>
            <w:r>
              <w:rPr>
                <w:rFonts w:ascii="宋体" w:hAnsi="宋体" w:hint="eastAsia"/>
                <w:sz w:val="18"/>
                <w:szCs w:val="18"/>
                <w:highlight w:val="none"/>
                <w:lang w:val="en-US" w:eastAsia="zh-CN"/>
              </w:rPr>
              <w:t>无</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1"/>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hint="eastAsia"/>
                <w:sz w:val="18"/>
                <w:szCs w:val="18"/>
                <w:highlight w:val="none"/>
                <w:lang w:val="en-US" w:eastAsia="zh-CN"/>
              </w:rPr>
              <w:t>无</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1"/>
              </w:numPr>
              <w:rPr>
                <w:rFonts w:ascii="宋体" w:hAnsi="宋体"/>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1.1</w:t>
            </w: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Times New Roman" w:eastAsia="宋体" w:hAnsi="Times New Roman" w:cs="Times New Roman" w:hint="eastAsia"/>
                <w:i w:val="0"/>
                <w:iCs w:val="0"/>
                <w:color w:val="auto"/>
                <w:kern w:val="0"/>
                <w:sz w:val="21"/>
                <w:szCs w:val="21"/>
                <w:u w:val="none"/>
                <w:lang w:val="en-US" w:eastAsia="zh-CN" w:bidi="ar"/>
              </w:rPr>
              <w:t>催化播撒装置维保期不低于8年</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1"/>
              </w:numPr>
              <w:rPr>
                <w:rFonts w:ascii="宋体" w:hAnsi="宋体"/>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1.2</w:t>
            </w:r>
          </w:p>
        </w:tc>
        <w:tc>
          <w:tcPr>
            <w:tcW w:w="7347" w:type="dxa"/>
            <w:noWrap w:val="0"/>
            <w:vAlign w:val="center"/>
          </w:tcPr>
          <w:p>
            <w:pPr>
              <w:tabs>
                <w:tab w:val="left" w:pos="709"/>
              </w:tabs>
              <w:spacing w:line="360" w:lineRule="auto"/>
              <w:jc w:val="left"/>
              <w:rPr>
                <w:rFonts w:ascii="宋体" w:hAnsi="宋体" w:cs="微软雅黑" w:hint="default"/>
                <w:b/>
                <w:color w:val="0000FF"/>
                <w:kern w:val="0"/>
                <w:sz w:val="18"/>
                <w:szCs w:val="18"/>
                <w:highlight w:val="none"/>
              </w:rPr>
            </w:pPr>
            <w:r>
              <w:rPr>
                <w:rFonts w:ascii="Times New Roman" w:eastAsia="宋体" w:hAnsi="Times New Roman" w:cs="Times New Roman" w:hint="eastAsia"/>
                <w:i w:val="0"/>
                <w:iCs w:val="0"/>
                <w:color w:val="auto"/>
                <w:kern w:val="0"/>
                <w:sz w:val="21"/>
                <w:szCs w:val="21"/>
                <w:u w:val="none"/>
                <w:lang w:val="en-US" w:eastAsia="zh-CN" w:bidi="ar"/>
              </w:rPr>
              <w:t>焰条监测设备维保期不低于8年</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1"/>
              </w:numPr>
              <w:rPr>
                <w:rFonts w:ascii="宋体" w:hAnsi="宋体"/>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2.1</w:t>
            </w:r>
          </w:p>
        </w:tc>
        <w:tc>
          <w:tcPr>
            <w:tcW w:w="7347" w:type="dxa"/>
            <w:noWrap w:val="0"/>
            <w:vAlign w:val="center"/>
          </w:tcPr>
          <w:p>
            <w:pPr>
              <w:tabs>
                <w:tab w:val="left" w:pos="709"/>
              </w:tabs>
              <w:spacing w:line="360" w:lineRule="auto"/>
              <w:jc w:val="left"/>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气象要素探测设备维保期不低于8年</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1"/>
              </w:numPr>
              <w:rPr>
                <w:rFonts w:ascii="宋体" w:hAnsi="宋体"/>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2.2</w:t>
            </w:r>
          </w:p>
        </w:tc>
        <w:tc>
          <w:tcPr>
            <w:tcW w:w="7347" w:type="dxa"/>
            <w:noWrap w:val="0"/>
            <w:vAlign w:val="center"/>
          </w:tcPr>
          <w:p>
            <w:pPr>
              <w:tabs>
                <w:tab w:val="left" w:pos="709"/>
              </w:tabs>
              <w:spacing w:line="360" w:lineRule="auto"/>
              <w:jc w:val="left"/>
              <w:rPr>
                <w:rFonts w:hint="default"/>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液态水探测设备维保期不低于8年</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1"/>
              </w:numPr>
              <w:rPr>
                <w:rFonts w:ascii="宋体" w:hAnsi="宋体"/>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2.3</w:t>
            </w:r>
          </w:p>
        </w:tc>
        <w:tc>
          <w:tcPr>
            <w:tcW w:w="7347" w:type="dxa"/>
            <w:noWrap w:val="0"/>
            <w:vAlign w:val="center"/>
          </w:tcPr>
          <w:p>
            <w:pPr>
              <w:tabs>
                <w:tab w:val="left" w:pos="709"/>
              </w:tabs>
              <w:spacing w:line="360" w:lineRule="auto"/>
              <w:jc w:val="left"/>
              <w:rPr>
                <w:rFonts w:hint="default"/>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云和降水粒子微物理探测设备维保期不低于8年</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1"/>
              </w:numPr>
              <w:rPr>
                <w:rFonts w:ascii="宋体" w:hAnsi="宋体"/>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3</w:t>
            </w:r>
          </w:p>
        </w:tc>
        <w:tc>
          <w:tcPr>
            <w:tcW w:w="7347" w:type="dxa"/>
            <w:noWrap w:val="0"/>
            <w:vAlign w:val="center"/>
          </w:tcPr>
          <w:p>
            <w:pPr>
              <w:tabs>
                <w:tab w:val="left" w:pos="709"/>
              </w:tabs>
              <w:spacing w:line="360" w:lineRule="auto"/>
              <w:jc w:val="left"/>
              <w:rPr>
                <w:rFonts w:hint="default"/>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空地通信子系统维保期不低于8年</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1"/>
              </w:numPr>
              <w:rPr>
                <w:rFonts w:ascii="宋体" w:hAnsi="宋体"/>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4</w:t>
            </w:r>
          </w:p>
        </w:tc>
        <w:tc>
          <w:tcPr>
            <w:tcW w:w="7347" w:type="dxa"/>
            <w:noWrap w:val="0"/>
            <w:vAlign w:val="center"/>
          </w:tcPr>
          <w:p>
            <w:pPr>
              <w:tabs>
                <w:tab w:val="left" w:pos="709"/>
              </w:tabs>
              <w:spacing w:line="360" w:lineRule="auto"/>
              <w:jc w:val="left"/>
              <w:rPr>
                <w:rFonts w:hint="default"/>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任务集成子系统（地面操控型）维保期不低于8年</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1"/>
              </w:numPr>
              <w:rPr>
                <w:rFonts w:ascii="宋体" w:hAnsi="宋体"/>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5.1</w:t>
            </w:r>
          </w:p>
        </w:tc>
        <w:tc>
          <w:tcPr>
            <w:tcW w:w="7347" w:type="dxa"/>
            <w:noWrap w:val="0"/>
            <w:vAlign w:val="center"/>
          </w:tcPr>
          <w:p>
            <w:pPr>
              <w:tabs>
                <w:tab w:val="left" w:pos="709"/>
              </w:tabs>
              <w:spacing w:line="360" w:lineRule="auto"/>
              <w:jc w:val="left"/>
              <w:rPr>
                <w:rFonts w:hint="default"/>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安全运行监控设备维保期不低于8年</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1"/>
              </w:numPr>
              <w:rPr>
                <w:rFonts w:ascii="宋体" w:hAnsi="宋体"/>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5.2</w:t>
            </w:r>
          </w:p>
        </w:tc>
        <w:tc>
          <w:tcPr>
            <w:tcW w:w="7347" w:type="dxa"/>
            <w:noWrap w:val="0"/>
            <w:vAlign w:val="center"/>
          </w:tcPr>
          <w:p>
            <w:pPr>
              <w:tabs>
                <w:tab w:val="left" w:pos="709"/>
              </w:tabs>
              <w:spacing w:line="360" w:lineRule="auto"/>
              <w:jc w:val="left"/>
              <w:rPr>
                <w:rFonts w:hint="default"/>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安全运行管理移动端维保期不低于8年</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1"/>
              </w:numPr>
              <w:rPr>
                <w:rFonts w:ascii="宋体" w:hAnsi="宋体"/>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6</w:t>
            </w:r>
          </w:p>
        </w:tc>
        <w:tc>
          <w:tcPr>
            <w:tcW w:w="7347" w:type="dxa"/>
            <w:noWrap w:val="0"/>
            <w:vAlign w:val="center"/>
          </w:tcPr>
          <w:p>
            <w:pPr>
              <w:tabs>
                <w:tab w:val="left" w:pos="709"/>
              </w:tabs>
              <w:spacing w:line="360" w:lineRule="auto"/>
              <w:jc w:val="left"/>
              <w:rPr>
                <w:rFonts w:hint="default"/>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载机平台改装后的运-12作业飞机须取得中国民航局颁发的补充适航合格证。</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1"/>
              </w:numPr>
              <w:rPr>
                <w:rFonts w:ascii="宋体" w:hAnsi="宋体"/>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7</w:t>
            </w:r>
          </w:p>
        </w:tc>
        <w:tc>
          <w:tcPr>
            <w:tcW w:w="7347" w:type="dxa"/>
            <w:noWrap w:val="0"/>
            <w:vAlign w:val="center"/>
          </w:tcPr>
          <w:p>
            <w:pPr>
              <w:tabs>
                <w:tab w:val="left" w:pos="709"/>
              </w:tabs>
              <w:spacing w:line="360" w:lineRule="auto"/>
              <w:jc w:val="left"/>
              <w:rPr>
                <w:rFonts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（3）提供相关设施所需通信费（含8年通信费）</w:t>
            </w:r>
            <w:r>
              <w:rPr>
                <w:rFonts w:ascii="Times New Roman" w:eastAsia="宋体" w:hAnsi="Times New Roman" w:cs="Times New Roman" w:hint="eastAsia"/>
                <w:i w:val="0"/>
                <w:iCs w:val="0"/>
                <w:color w:val="auto"/>
                <w:kern w:val="0"/>
                <w:sz w:val="21"/>
                <w:szCs w:val="21"/>
                <w:u w:val="none"/>
                <w:lang w:val="en-US" w:eastAsia="zh-CN" w:bidi="ar"/>
              </w:rPr>
              <w:br/>
            </w:r>
            <w:r>
              <w:rPr>
                <w:rFonts w:ascii="Times New Roman" w:eastAsia="宋体" w:hAnsi="Times New Roman" w:cs="Times New Roman" w:hint="eastAsia"/>
                <w:i w:val="0"/>
                <w:iCs w:val="0"/>
                <w:color w:val="auto"/>
                <w:kern w:val="0"/>
                <w:sz w:val="21"/>
                <w:szCs w:val="21"/>
                <w:u w:val="none"/>
                <w:lang w:val="en-US" w:eastAsia="zh-CN" w:bidi="ar"/>
              </w:rPr>
              <w:t>（10）验收合格交付后，免费质保3年。</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注：根据项目具体情况，对投标人有具体要求，且投标人必须遵守的，逐条列出。</w:t>
      </w:r>
    </w:p>
    <w:p>
      <w:pPr>
        <w:spacing w:before="156" w:beforeLines="50" w:line="360" w:lineRule="auto"/>
        <w:ind w:firstLine="420"/>
        <w:rPr>
          <w:highlight w:val="none"/>
        </w:rPr>
      </w:pPr>
    </w:p>
    <w:p/>
    <w:bookmarkEnd w:id="61"/>
    <w:p>
      <w:pPr>
        <w:tabs>
          <w:tab w:val="left" w:pos="1573"/>
        </w:tabs>
        <w:adjustRightInd w:val="0"/>
        <w:snapToGrid w:val="0"/>
        <w:spacing w:line="360" w:lineRule="auto"/>
        <w:jc w:val="center"/>
        <w:outlineLvl w:val="1"/>
        <w:rPr>
          <w:rFonts w:hint="eastAsia"/>
          <w:b/>
          <w:sz w:val="48"/>
          <w:szCs w:val="36"/>
        </w:rPr>
        <w:sectPr>
          <w:headerReference w:type="default" r:id="rId6"/>
          <w:footerReference w:type="default" r:id="rId7"/>
          <w:pgSz w:w="11906" w:h="16838"/>
          <w:pgMar w:top="1440" w:right="1800" w:bottom="1440" w:left="1800" w:header="851" w:footer="992" w:gutter="0"/>
          <w:cols w:num="1" w:space="720"/>
          <w:docGrid w:type="lines" w:linePitch="312" w:charSpace="0"/>
        </w:sectPr>
      </w:pPr>
    </w:p>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8"/>
          <w:footerReference w:type="default" r:id="rId9"/>
          <w:pgSz w:w="11906" w:h="16838"/>
          <w:pgMar w:top="1440" w:right="1800" w:bottom="1440" w:left="1800" w:header="851" w:footer="992" w:gutter="0"/>
          <w:cols w:space="708"/>
          <w:docGrid w:type="lines" w:linePitch="312"/>
        </w:sectPr>
      </w:pPr>
      <w:bookmarkEnd w:id="6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8"/>
        </w:numPr>
        <w:spacing w:line="360" w:lineRule="auto"/>
        <w:ind w:firstLine="3066" w:firstLineChars="1460"/>
        <w:jc w:val="left"/>
        <w:rPr>
          <w:rFonts w:ascii="Times New Roman" w:eastAsia="宋体" w:hAnsi="Times New Roman" w:cs="Times New Roman" w:hint="eastAsia"/>
          <w:b/>
          <w:bCs/>
          <w:szCs w:val="21"/>
          <w:highlight w:val="none"/>
        </w:rPr>
      </w:pPr>
      <w:bookmarkStart w:id="62" w:name="采购公告合同部分_ZBGGHT"/>
      <w:r>
        <w:rPr>
          <w:rFonts w:ascii="Times New Roman" w:eastAsia="宋体" w:hAnsi="Times New Roman" w:cs="Times New Roman" w:hint="eastAsia"/>
          <w:b/>
          <w:bCs/>
          <w:szCs w:val="21"/>
          <w:highlight w:val="none"/>
        </w:rPr>
        <w:t xml:space="preserve"> 采购合同</w:t>
      </w:r>
    </w:p>
    <w:p>
      <w:pPr>
        <w:numPr>
          <w:ilvl w:val="0"/>
          <w:numId w:val="0"/>
        </w:numPr>
        <w:spacing w:line="360" w:lineRule="auto"/>
        <w:ind w:left="1680" w:firstLine="420" w:leftChars="0" w:firstLineChars="0"/>
        <w:jc w:val="left"/>
        <w:rPr>
          <w:rFonts w:ascii="Times New Roman" w:eastAsia="宋体" w:hAnsi="Times New Roman" w:cs="Times New Roman" w:hint="eastAsia"/>
          <w:b/>
          <w:bCs/>
          <w:szCs w:val="21"/>
          <w:highlight w:val="none"/>
        </w:rPr>
      </w:pPr>
      <w:r>
        <w:rPr>
          <w:rFonts w:hint="eastAsia"/>
          <w:b/>
          <w:bCs/>
          <w:szCs w:val="21"/>
          <w:highlight w:val="none"/>
        </w:rPr>
        <w:t>必须明确合同金额支付条件及支付比例</w:t>
      </w:r>
    </w:p>
    <w:p>
      <w:pPr>
        <w:spacing w:line="360" w:lineRule="auto"/>
        <w:ind w:firstLine="3066" w:firstLineChars="1460"/>
        <w:jc w:val="left"/>
        <w:rPr>
          <w:rFonts w:ascii="Times New Roman" w:eastAsia="宋体" w:hAnsi="Times New Roman" w:cs="Times New Roman"/>
          <w:b/>
          <w:bCs/>
          <w:szCs w:val="21"/>
          <w:highlight w:val="none"/>
        </w:rPr>
      </w:pPr>
      <w:r>
        <w:rPr>
          <w:rFonts w:ascii="Times New Roman" w:eastAsia="宋体" w:hAnsi="Times New Roman" w:cs="Times New Roman"/>
          <w:b/>
          <w:bCs/>
          <w:szCs w:val="21"/>
          <w:highlight w:val="none"/>
        </w:rPr>
        <w:br w:type="page"/>
      </w:r>
    </w:p>
    <w:p>
      <w:pPr>
        <w:widowControl/>
        <w:jc w:val="center"/>
        <w:rPr>
          <w:rFonts w:ascii="宋体" w:eastAsia="微软雅黑" w:hAnsi="宋体" w:cs="宋体"/>
          <w:b/>
          <w:bCs/>
          <w:color w:val="595959"/>
          <w:spacing w:val="-20"/>
          <w:kern w:val="44"/>
          <w:sz w:val="48"/>
          <w:szCs w:val="48"/>
          <w:highlight w:val="none"/>
          <w:lang w:val="zh-CN"/>
        </w:rPr>
      </w:pPr>
      <w:r>
        <w:rPr>
          <w:rFonts w:ascii="宋体" w:eastAsia="微软雅黑" w:hAnsi="宋体" w:cs="宋体" w:hint="eastAsia"/>
          <w:b/>
          <w:bCs/>
          <w:color w:val="595959"/>
          <w:spacing w:val="-20"/>
          <w:kern w:val="44"/>
          <w:sz w:val="48"/>
          <w:szCs w:val="48"/>
          <w:highlight w:val="none"/>
          <w:lang w:val="zh-CN"/>
        </w:rPr>
        <w:t>服务类政府采购合同</w:t>
      </w: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spacing w:line="360" w:lineRule="auto"/>
        <w:ind w:left="420" w:leftChars="200"/>
        <w:rPr>
          <w:rFonts w:ascii="Times New Roman" w:eastAsia="宋体" w:hAnsi="Times New Roman" w:cs="Times New Roman"/>
          <w:sz w:val="32"/>
          <w:szCs w:val="32"/>
          <w:highlight w:val="none"/>
        </w:rPr>
      </w:pPr>
      <w:r>
        <w:rPr>
          <w:rFonts w:ascii="宋体" w:eastAsia="宋体" w:hAnsi="宋体" w:cs="宋体" w:hint="eastAsia"/>
          <w:kern w:val="0"/>
          <w:sz w:val="32"/>
          <w:szCs w:val="32"/>
          <w:highlight w:val="none"/>
        </w:rPr>
        <w:t>项目名称：</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合同编号：</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甲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乙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签订时间：</w:t>
      </w:r>
      <w:r>
        <w:rPr>
          <w:rFonts w:ascii="Times New Roman" w:eastAsia="宋体" w:hAnsi="Times New Roman" w:cs="Times New Roman" w:hint="eastAsia"/>
          <w:sz w:val="32"/>
          <w:szCs w:val="32"/>
          <w:highlight w:val="none"/>
          <w:u w:val="single"/>
        </w:rPr>
        <w:t xml:space="preserve">      </w:t>
      </w:r>
      <w:r>
        <w:rPr>
          <w:rFonts w:ascii="Times New Roman" w:eastAsia="宋体" w:hAnsi="Times New Roman" w:cs="Times New Roman"/>
          <w:sz w:val="32"/>
          <w:szCs w:val="32"/>
          <w:highlight w:val="none"/>
          <w:u w:val="single"/>
        </w:rPr>
        <w:t xml:space="preserve">           </w:t>
      </w:r>
      <w:r>
        <w:rPr>
          <w:rFonts w:ascii="Times New Roman" w:eastAsia="宋体" w:hAnsi="Times New Roman" w:cs="Times New Roman" w:hint="eastAsia"/>
          <w:sz w:val="32"/>
          <w:szCs w:val="32"/>
          <w:highlight w:val="none"/>
          <w:u w:val="single"/>
        </w:rPr>
        <w:t xml:space="preserve">            </w:t>
      </w:r>
    </w:p>
    <w:p>
      <w:pPr>
        <w:rPr>
          <w:rFonts w:ascii="Times New Roman" w:eastAsia="宋体" w:hAnsi="Times New Roman" w:cs="Times New Roman"/>
          <w:szCs w:val="20"/>
          <w:highlight w:val="none"/>
        </w:rPr>
      </w:pPr>
    </w:p>
    <w:p>
      <w:pPr>
        <w:rPr>
          <w:rFonts w:ascii="Times New Roman" w:eastAsia="黑体" w:hAnsi="Times New Roman" w:cs="Times New Roman"/>
          <w:sz w:val="44"/>
          <w:szCs w:val="44"/>
          <w:highlight w:val="none"/>
        </w:rPr>
      </w:pPr>
      <w:r>
        <w:rPr>
          <w:rFonts w:ascii="Times New Roman" w:eastAsia="黑体" w:hAnsi="Times New Roman" w:cs="Times New Roman"/>
          <w:sz w:val="44"/>
          <w:szCs w:val="44"/>
          <w:highlight w:val="none"/>
        </w:rPr>
        <w:br w:type="page"/>
      </w:r>
    </w:p>
    <w:p>
      <w:pPr>
        <w:rPr>
          <w:rFonts w:ascii="Times New Roman" w:eastAsia="黑体" w:hAnsi="Times New Roman" w:cs="Times New Roman"/>
          <w:sz w:val="44"/>
          <w:szCs w:val="44"/>
          <w:highlight w:val="none"/>
        </w:rPr>
      </w:pPr>
    </w:p>
    <w:p>
      <w:pPr>
        <w:rPr>
          <w:rFonts w:ascii="Times New Roman" w:eastAsia="黑体" w:hAnsi="Times New Roman" w:cs="Times New Roman"/>
          <w:sz w:val="44"/>
          <w:szCs w:val="44"/>
          <w:highlight w:val="none"/>
        </w:rPr>
      </w:pPr>
    </w:p>
    <w:p>
      <w:pPr>
        <w:jc w:val="center"/>
        <w:rPr>
          <w:rFonts w:ascii="Times New Roman" w:eastAsia="黑体" w:hAnsi="Times New Roman" w:cs="Times New Roman"/>
          <w:sz w:val="44"/>
          <w:szCs w:val="44"/>
          <w:highlight w:val="none"/>
        </w:rPr>
      </w:pPr>
      <w:r>
        <w:rPr>
          <w:rFonts w:ascii="Times New Roman" w:eastAsia="黑体" w:hAnsi="Times New Roman" w:cs="Times New Roman"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numPr>
          <w:ilvl w:val="0"/>
          <w:numId w:val="9"/>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本合同标准文本适用于气象部门服务类（非定制开发软件）采购项目。</w:t>
      </w:r>
    </w:p>
    <w:p>
      <w:pPr>
        <w:numPr>
          <w:ilvl w:val="0"/>
          <w:numId w:val="9"/>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可以结合采购项目具体情况，对文本作必要的调整修订后使用。</w:t>
      </w:r>
    </w:p>
    <w:p>
      <w:pPr>
        <w:numPr>
          <w:ilvl w:val="0"/>
          <w:numId w:val="9"/>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本合同标准文本各条款中，如涉及填写多家供应商、多种采购标的等信息的，可根据采购项目具体情况添加信息项。</w:t>
      </w:r>
    </w:p>
    <w:p>
      <w:pPr>
        <w:widowControl/>
        <w:jc w:val="left"/>
        <w:rPr>
          <w:rFonts w:ascii="宋体" w:eastAsia="宋体" w:hAnsi="宋体" w:cs="Times New Roman"/>
          <w:szCs w:val="21"/>
          <w:highlight w:val="none"/>
        </w:rPr>
      </w:pPr>
      <w:r>
        <w:rPr>
          <w:rFonts w:ascii="宋体" w:eastAsia="宋体" w:hAnsi="宋体" w:cs="Times New Roman"/>
          <w:szCs w:val="21"/>
          <w:highlight w:val="none"/>
        </w:rPr>
        <w:br w:type="page"/>
      </w:r>
    </w:p>
    <w:p>
      <w:pPr>
        <w:snapToGrid w:val="0"/>
        <w:spacing w:line="360" w:lineRule="auto"/>
        <w:ind w:firstLine="420"/>
        <w:rPr>
          <w:rFonts w:ascii="宋体" w:eastAsia="宋体" w:hAnsi="宋体" w:cs="Times New Roman"/>
          <w:szCs w:val="21"/>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第一部分  合同专用部分</w:t>
      </w:r>
    </w:p>
    <w:p>
      <w:pPr>
        <w:snapToGrid w:val="0"/>
        <w:spacing w:line="360" w:lineRule="auto"/>
        <w:ind w:firstLine="420"/>
        <w:jc w:val="center"/>
        <w:rPr>
          <w:rFonts w:ascii="宋体" w:eastAsia="宋体" w:hAnsi="宋体" w:cs="Times New Roman"/>
          <w:szCs w:val="21"/>
          <w:highlight w:val="none"/>
        </w:rPr>
      </w:pP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甲方（采购人）：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乙方（中标人）：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甲乙双方</w:t>
      </w:r>
      <w:r>
        <w:rPr>
          <w:rFonts w:ascii="Calibri" w:eastAsia="宋体" w:hAnsi="Calibri" w:cs="Times New Roman" w:hint="eastAsia"/>
          <w:szCs w:val="21"/>
          <w:highlight w:val="none"/>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highlight w:val="none"/>
        </w:rPr>
        <w:t>经平等协商达成合同如下：</w:t>
      </w:r>
    </w:p>
    <w:p>
      <w:pPr>
        <w:adjustRightInd w:val="0"/>
        <w:snapToGrid w:val="0"/>
        <w:spacing w:line="360" w:lineRule="auto"/>
        <w:ind w:firstLine="412" w:firstLineChars="196"/>
        <w:rPr>
          <w:rFonts w:ascii="Times New Roman" w:eastAsia="宋体" w:hAnsi="Times New Roman" w:cs="Times New Roman"/>
          <w:b/>
          <w:szCs w:val="20"/>
          <w:highlight w:val="none"/>
        </w:rPr>
      </w:pPr>
      <w:r>
        <w:rPr>
          <w:rFonts w:ascii="Times New Roman" w:eastAsia="宋体" w:hAnsi="Times New Roman" w:cs="Times New Roman" w:hint="eastAsia"/>
          <w:b/>
          <w:szCs w:val="20"/>
          <w:highlight w:val="none"/>
        </w:rPr>
        <w:t>一、项目</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项目名称：</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项目编号和分包号：</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宋体" w:eastAsia="宋体" w:hAnsi="宋体" w:cs="Times New Roman"/>
          <w:b/>
          <w:szCs w:val="28"/>
          <w:highlight w:val="none"/>
        </w:rPr>
      </w:pPr>
      <w:r>
        <w:rPr>
          <w:rFonts w:ascii="Times New Roman" w:eastAsia="宋体" w:hAnsi="Times New Roman" w:cs="Times New Roman" w:hint="eastAsia"/>
          <w:szCs w:val="21"/>
          <w:highlight w:val="none"/>
        </w:rPr>
        <w:t>二、</w:t>
      </w:r>
      <w:r>
        <w:rPr>
          <w:rFonts w:ascii="宋体" w:eastAsia="宋体" w:hAnsi="宋体" w:cs="Times New Roman" w:hint="eastAsia"/>
          <w:b/>
          <w:szCs w:val="28"/>
          <w:highlight w:val="none"/>
        </w:rPr>
        <w:t>合同标的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序号</w:t>
            </w:r>
          </w:p>
        </w:tc>
        <w:tc>
          <w:tcPr>
            <w:tcW w:w="29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服务产品名称</w:t>
            </w:r>
          </w:p>
        </w:tc>
        <w:tc>
          <w:tcPr>
            <w:tcW w:w="7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数量</w:t>
            </w:r>
          </w:p>
        </w:tc>
        <w:tc>
          <w:tcPr>
            <w:tcW w:w="131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质量说明</w:t>
            </w:r>
          </w:p>
        </w:tc>
        <w:tc>
          <w:tcPr>
            <w:tcW w:w="750"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价格</w:t>
            </w:r>
          </w:p>
        </w:tc>
        <w:tc>
          <w:tcPr>
            <w:tcW w:w="1275" w:type="dxa"/>
            <w:noWrap w:val="0"/>
            <w:vAlign w:val="center"/>
          </w:tcPr>
          <w:p>
            <w:pPr>
              <w:tabs>
                <w:tab w:val="left" w:pos="1573"/>
              </w:tabs>
              <w:autoSpaceDE w:val="0"/>
              <w:autoSpaceDN w:val="0"/>
              <w:adjustRightInd w:val="0"/>
              <w:snapToGrid w:val="0"/>
              <w:spacing w:line="360" w:lineRule="auto"/>
              <w:jc w:val="center"/>
              <w:rPr>
                <w:rFonts w:ascii="宋体" w:eastAsia="宋体" w:hAnsi="宋体" w:cs="Times New Roman"/>
                <w:szCs w:val="21"/>
                <w:highlight w:val="none"/>
              </w:rPr>
            </w:pPr>
            <w:r>
              <w:rPr>
                <w:rFonts w:ascii="宋体" w:eastAsia="宋体" w:hAnsi="宋体" w:cs="Times New Roman" w:hint="eastAsia"/>
                <w:szCs w:val="21"/>
                <w:highlight w:val="none"/>
              </w:rPr>
              <w:t>交付时间</w:t>
            </w: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bl>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三</w:t>
      </w:r>
      <w:r>
        <w:rPr>
          <w:rFonts w:ascii="Times New Roman" w:eastAsia="宋体" w:hAnsi="宋体" w:cs="Times New Roman" w:hint="eastAsia"/>
          <w:b/>
          <w:szCs w:val="20"/>
          <w:highlight w:val="none"/>
        </w:rPr>
        <w:t>、合同价格及</w:t>
      </w:r>
      <w:r>
        <w:rPr>
          <w:rFonts w:ascii="宋体" w:eastAsia="宋体" w:hAnsi="宋体" w:cs="Times New Roman" w:hint="eastAsia"/>
          <w:b/>
          <w:szCs w:val="28"/>
          <w:highlight w:val="none"/>
        </w:rPr>
        <w:t>付款方式</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1、合同总金额为人民币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2、合同生效后付款：双方签署合同后7个工作日内，甲方向乙方支付合同总金额的</w:t>
      </w:r>
      <w:r>
        <w:rPr>
          <w:rFonts w:ascii="宋体" w:eastAsia="宋体" w:hAnsi="宋体" w:cs="Times New Roman" w:hint="eastAsia"/>
          <w:szCs w:val="21"/>
          <w:highlight w:val="none"/>
          <w:lang w:val="en-US" w:eastAsia="zh-CN"/>
        </w:rPr>
        <w:t>35</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3、进度</w:t>
      </w:r>
      <w:r>
        <w:rPr>
          <w:rFonts w:ascii="宋体" w:eastAsia="宋体" w:hAnsi="宋体" w:cs="Times New Roman" w:hint="eastAsia"/>
          <w:szCs w:val="21"/>
          <w:highlight w:val="none"/>
        </w:rPr>
        <w:t>付款</w:t>
      </w:r>
      <w:r>
        <w:rPr>
          <w:rFonts w:ascii="宋体" w:eastAsia="宋体" w:hAnsi="宋体" w:cs="Times New Roman" w:hint="eastAsia"/>
          <w:szCs w:val="21"/>
          <w:highlight w:val="none"/>
          <w:lang w:eastAsia="zh-CN"/>
        </w:rPr>
        <w:t>：</w:t>
      </w:r>
      <w:r>
        <w:rPr>
          <w:rFonts w:ascii="宋体" w:eastAsia="宋体" w:hAnsi="宋体" w:cs="Times New Roman" w:hint="eastAsia"/>
          <w:szCs w:val="21"/>
          <w:highlight w:val="none"/>
          <w:lang w:val="en-US" w:eastAsia="zh-CN"/>
        </w:rPr>
        <w:t>乙方完成集成改装并提供相关材料，</w:t>
      </w:r>
      <w:r>
        <w:rPr>
          <w:rFonts w:ascii="宋体" w:eastAsia="宋体" w:hAnsi="宋体" w:cs="Times New Roman" w:hint="eastAsia"/>
          <w:szCs w:val="21"/>
          <w:highlight w:val="none"/>
        </w:rPr>
        <w:t>甲方向乙方支付合同总金额的</w:t>
      </w:r>
      <w:r>
        <w:rPr>
          <w:rFonts w:ascii="宋体" w:eastAsia="宋体" w:hAnsi="宋体" w:cs="Times New Roman" w:hint="eastAsia"/>
          <w:szCs w:val="21"/>
          <w:highlight w:val="none"/>
          <w:lang w:val="en-US" w:eastAsia="zh-CN"/>
        </w:rPr>
        <w:t>55</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lang w:val="en-US" w:eastAsia="zh-CN"/>
        </w:rPr>
        <w:t>4</w:t>
      </w:r>
      <w:r>
        <w:rPr>
          <w:rFonts w:ascii="宋体" w:eastAsia="宋体" w:hAnsi="宋体" w:cs="Times New Roman" w:hint="eastAsia"/>
          <w:szCs w:val="21"/>
          <w:highlight w:val="none"/>
        </w:rPr>
        <w:t>、签署验收报告后付款：双方签署验收报告后7个工作日内，甲方向乙方支付合同总金额的</w:t>
      </w:r>
      <w:r>
        <w:rPr>
          <w:rFonts w:ascii="宋体" w:eastAsia="宋体" w:hAnsi="宋体" w:cs="Times New Roman" w:hint="eastAsia"/>
          <w:szCs w:val="21"/>
          <w:highlight w:val="none"/>
          <w:lang w:val="en-US" w:eastAsia="zh-CN"/>
        </w:rPr>
        <w:t>10</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元（小写）； </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5</w:t>
      </w:r>
      <w:r>
        <w:rPr>
          <w:rFonts w:ascii="宋体" w:eastAsia="宋体" w:hAnsi="宋体" w:cs="Times New Roman" w:hint="eastAsia"/>
          <w:szCs w:val="21"/>
          <w:highlight w:val="none"/>
        </w:rPr>
        <w:t>、</w:t>
      </w:r>
      <w:r>
        <w:rPr>
          <w:rFonts w:ascii="宋体" w:eastAsia="宋体" w:hAnsi="宋体" w:cs="Times New Roman" w:hint="eastAsia"/>
          <w:szCs w:val="21"/>
          <w:highlight w:val="none"/>
          <w:lang w:val="en-US" w:eastAsia="zh-CN"/>
        </w:rPr>
        <w:t>履约保证金：双方签署合同后</w:t>
      </w:r>
      <w:r>
        <w:rPr>
          <w:rFonts w:ascii="宋体" w:eastAsia="宋体" w:hAnsi="宋体" w:cs="Times New Roman" w:hint="eastAsia"/>
          <w:szCs w:val="21"/>
          <w:highlight w:val="none"/>
        </w:rPr>
        <w:t>7个工作日内</w:t>
      </w:r>
      <w:r>
        <w:rPr>
          <w:rFonts w:ascii="宋体" w:eastAsia="宋体" w:hAnsi="宋体" w:cs="Times New Roman" w:hint="eastAsia"/>
          <w:szCs w:val="21"/>
          <w:highlight w:val="none"/>
          <w:lang w:eastAsia="zh-CN"/>
        </w:rPr>
        <w:t>，</w:t>
      </w:r>
      <w:r>
        <w:rPr>
          <w:rFonts w:ascii="宋体" w:eastAsia="宋体" w:hAnsi="宋体" w:cs="Times New Roman" w:hint="eastAsia"/>
          <w:szCs w:val="21"/>
          <w:highlight w:val="none"/>
          <w:lang w:val="en-US" w:eastAsia="zh-CN"/>
        </w:rPr>
        <w:t>乙</w:t>
      </w:r>
      <w:r>
        <w:rPr>
          <w:rFonts w:ascii="宋体" w:eastAsia="宋体" w:hAnsi="宋体" w:cs="Times New Roman" w:hint="eastAsia"/>
          <w:szCs w:val="21"/>
          <w:highlight w:val="none"/>
        </w:rPr>
        <w:t>方向</w:t>
      </w:r>
      <w:r>
        <w:rPr>
          <w:rFonts w:ascii="宋体" w:eastAsia="宋体" w:hAnsi="宋体" w:cs="Times New Roman" w:hint="eastAsia"/>
          <w:szCs w:val="21"/>
          <w:highlight w:val="none"/>
          <w:lang w:val="en-US" w:eastAsia="zh-CN"/>
        </w:rPr>
        <w:t>甲</w:t>
      </w:r>
      <w:r>
        <w:rPr>
          <w:rFonts w:ascii="宋体" w:eastAsia="宋体" w:hAnsi="宋体" w:cs="Times New Roman" w:hint="eastAsia"/>
          <w:szCs w:val="21"/>
          <w:highlight w:val="none"/>
        </w:rPr>
        <w:t>方支付合同总金额的</w:t>
      </w:r>
      <w:r>
        <w:rPr>
          <w:rFonts w:ascii="宋体" w:eastAsia="宋体" w:hAnsi="宋体" w:cs="Times New Roman" w:hint="eastAsia"/>
          <w:szCs w:val="21"/>
          <w:highlight w:val="none"/>
          <w:lang w:val="en-US" w:eastAsia="zh-CN"/>
        </w:rPr>
        <w:t>3</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lang w:val="en-US" w:eastAsia="zh-CN"/>
        </w:rPr>
        <w:t>或等价的履约保函，验收合格</w:t>
      </w:r>
      <w:r>
        <w:rPr>
          <w:rFonts w:ascii="宋体" w:eastAsia="宋体" w:hAnsi="宋体" w:cs="Times New Roman" w:hint="eastAsia"/>
          <w:szCs w:val="21"/>
          <w:highlight w:val="none"/>
        </w:rPr>
        <w:t>后</w:t>
      </w:r>
      <w:r>
        <w:rPr>
          <w:rFonts w:ascii="宋体" w:eastAsia="宋体" w:hAnsi="宋体" w:cs="Times New Roman" w:hint="eastAsia"/>
          <w:szCs w:val="21"/>
          <w:highlight w:val="none"/>
          <w:lang w:val="en-US" w:eastAsia="zh-CN"/>
        </w:rPr>
        <w:t>1年后乙方提出申请</w:t>
      </w:r>
      <w:r>
        <w:rPr>
          <w:rFonts w:ascii="宋体" w:eastAsia="宋体" w:hAnsi="宋体" w:cs="Times New Roman" w:hint="eastAsia"/>
          <w:szCs w:val="21"/>
          <w:highlight w:val="none"/>
        </w:rPr>
        <w:t>，甲方</w:t>
      </w:r>
      <w:r>
        <w:rPr>
          <w:rFonts w:ascii="宋体" w:eastAsia="宋体" w:hAnsi="宋体" w:cs="Times New Roman" w:hint="eastAsia"/>
          <w:szCs w:val="21"/>
          <w:highlight w:val="none"/>
          <w:lang w:val="en-US" w:eastAsia="zh-CN"/>
        </w:rPr>
        <w:t>无息返还</w:t>
      </w:r>
      <w:r>
        <w:rPr>
          <w:rFonts w:ascii="宋体" w:eastAsia="宋体" w:hAnsi="宋体" w:cs="Times New Roman" w:hint="eastAsia"/>
          <w:szCs w:val="21"/>
          <w:highlight w:val="none"/>
        </w:rPr>
        <w:t>。</w:t>
      </w:r>
    </w:p>
    <w:p>
      <w:pPr>
        <w:numPr>
          <w:ilvl w:val="0"/>
          <w:numId w:val="0"/>
        </w:numPr>
        <w:snapToGrid w:val="0"/>
        <w:spacing w:line="360" w:lineRule="auto"/>
        <w:ind w:firstLine="420"/>
        <w:jc w:val="left"/>
        <w:rPr>
          <w:rFonts w:ascii="宋体" w:eastAsia="宋体" w:hAnsi="宋体" w:cs="Times New Roman" w:hint="eastAsia"/>
          <w:szCs w:val="21"/>
          <w:highlight w:val="none"/>
        </w:rPr>
      </w:pPr>
      <w:r>
        <w:rPr>
          <w:rFonts w:ascii="宋体" w:hAnsi="宋体" w:cs="Times New Roman" w:hint="eastAsia"/>
          <w:szCs w:val="21"/>
          <w:highlight w:val="none"/>
          <w:lang w:val="en-US" w:eastAsia="zh-CN"/>
        </w:rPr>
        <w:t>6、</w:t>
      </w:r>
      <w:r>
        <w:rPr>
          <w:rFonts w:ascii="宋体" w:eastAsia="宋体" w:hAnsi="宋体" w:cs="Times New Roman" w:hint="eastAsia"/>
          <w:szCs w:val="21"/>
          <w:highlight w:val="none"/>
          <w:lang w:val="en-US" w:eastAsia="zh-CN"/>
        </w:rPr>
        <w:t>本项目需经黑龙江省财政评审</w:t>
      </w:r>
      <w:r>
        <w:rPr>
          <w:rFonts w:ascii="宋体" w:hAnsi="宋体" w:cs="Times New Roman" w:hint="eastAsia"/>
          <w:szCs w:val="21"/>
          <w:highlight w:val="none"/>
          <w:lang w:val="en-US" w:eastAsia="zh-CN"/>
        </w:rPr>
        <w:t>，</w:t>
      </w:r>
      <w:r>
        <w:rPr>
          <w:rFonts w:ascii="宋体" w:eastAsia="宋体" w:hAnsi="宋体" w:cs="Times New Roman" w:hint="eastAsia"/>
          <w:szCs w:val="21"/>
          <w:highlight w:val="none"/>
          <w:lang w:val="en-US" w:eastAsia="zh-CN"/>
        </w:rPr>
        <w:t>如财政评审</w:t>
      </w:r>
      <w:r>
        <w:rPr>
          <w:rFonts w:ascii="宋体" w:hAnsi="宋体" w:cs="Times New Roman" w:hint="eastAsia"/>
          <w:szCs w:val="21"/>
          <w:highlight w:val="none"/>
          <w:lang w:val="en-US" w:eastAsia="zh-CN"/>
        </w:rPr>
        <w:t>金额</w:t>
      </w:r>
      <w:r>
        <w:rPr>
          <w:rFonts w:ascii="宋体" w:eastAsia="宋体" w:hAnsi="宋体" w:cs="Times New Roman" w:hint="eastAsia"/>
          <w:szCs w:val="21"/>
          <w:highlight w:val="none"/>
          <w:lang w:val="en-US" w:eastAsia="zh-CN"/>
        </w:rPr>
        <w:t>低于中标</w:t>
      </w:r>
      <w:r>
        <w:rPr>
          <w:rFonts w:ascii="宋体" w:hAnsi="宋体" w:cs="Times New Roman" w:hint="eastAsia"/>
          <w:szCs w:val="21"/>
          <w:highlight w:val="none"/>
          <w:lang w:val="en-US" w:eastAsia="zh-CN"/>
        </w:rPr>
        <w:t>金额</w:t>
      </w:r>
      <w:r>
        <w:rPr>
          <w:rFonts w:ascii="宋体" w:eastAsia="宋体" w:hAnsi="宋体" w:cs="Times New Roman" w:hint="eastAsia"/>
          <w:szCs w:val="21"/>
          <w:highlight w:val="none"/>
          <w:lang w:val="en-US" w:eastAsia="zh-CN"/>
        </w:rPr>
        <w:t>，供应商应认可财政评审</w:t>
      </w:r>
      <w:r>
        <w:rPr>
          <w:rFonts w:ascii="宋体" w:hAnsi="宋体" w:cs="Times New Roman" w:hint="eastAsia"/>
          <w:szCs w:val="21"/>
          <w:highlight w:val="none"/>
          <w:lang w:val="en-US" w:eastAsia="zh-CN"/>
        </w:rPr>
        <w:t>金额</w:t>
      </w:r>
      <w:r>
        <w:rPr>
          <w:rFonts w:ascii="宋体" w:eastAsia="宋体" w:hAnsi="宋体" w:cs="Times New Roman" w:hint="eastAsia"/>
          <w:szCs w:val="21"/>
          <w:highlight w:val="none"/>
          <w:lang w:val="en-US" w:eastAsia="zh-CN"/>
        </w:rPr>
        <w:t>作为成交</w:t>
      </w:r>
      <w:r>
        <w:rPr>
          <w:rFonts w:ascii="宋体" w:hAnsi="宋体" w:cs="Times New Roman" w:hint="eastAsia"/>
          <w:szCs w:val="21"/>
          <w:highlight w:val="none"/>
          <w:lang w:val="en-US" w:eastAsia="zh-CN"/>
        </w:rPr>
        <w:t>金额</w:t>
      </w:r>
      <w:r>
        <w:rPr>
          <w:rFonts w:ascii="宋体" w:eastAsia="宋体" w:hAnsi="宋体" w:cs="Times New Roman" w:hint="eastAsia"/>
          <w:szCs w:val="21"/>
          <w:highlight w:val="none"/>
          <w:lang w:val="en-US" w:eastAsia="zh-CN"/>
        </w:rPr>
        <w:t>。</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四、甲方应向乙方提供的资料</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甲方提供该乙方履行合同所需的资料清单如下：</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五、进度要求及交付</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1、交付日期：</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2、交付地点：</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3、其他约定事项：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left="420" w:leftChars="200"/>
        <w:rPr>
          <w:rFonts w:ascii="Times New Roman" w:eastAsia="宋体" w:hAnsi="Times New Roman" w:cs="Times New Roman"/>
          <w:b/>
          <w:szCs w:val="21"/>
          <w:highlight w:val="none"/>
        </w:rPr>
      </w:pPr>
      <w:r>
        <w:rPr>
          <w:rFonts w:ascii="宋体" w:eastAsia="宋体" w:hAnsi="宋体" w:cs="Times New Roman" w:hint="eastAsia"/>
          <w:b/>
          <w:szCs w:val="21"/>
          <w:highlight w:val="none"/>
        </w:rPr>
        <w:t>六、</w:t>
      </w:r>
      <w:r>
        <w:rPr>
          <w:rFonts w:ascii="Times New Roman" w:eastAsia="宋体" w:hAnsi="Times New Roman" w:cs="Times New Roman" w:hint="eastAsia"/>
          <w:b/>
          <w:szCs w:val="21"/>
          <w:highlight w:val="none"/>
        </w:rPr>
        <w:t>技术服务和保修责任</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乙方对合同服务的质量保修期为验收证书签署之日起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个月。</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七、履约验收</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（略）</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szCs w:val="28"/>
          <w:highlight w:val="none"/>
        </w:rPr>
        <w:t>具体条款由甲方商乙方拟定。基本内容应包括：验收时间；验收地点；一次性验收还是分阶段、分期验收；验收方式（包括</w:t>
      </w:r>
      <w:r>
        <w:rPr>
          <w:rFonts w:ascii="宋体" w:eastAsia="宋体" w:hAnsi="宋体" w:cs="Times New Roman" w:hint="eastAsia"/>
          <w:szCs w:val="21"/>
          <w:highlight w:val="none"/>
        </w:rPr>
        <w:t>自行简易验收、验收小组验收、委托第三方验收等）；验收内容和标准（参见附表）；验收未通过（整体未通过或部分未通过）的处理措施；验收费用承担方等</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八、风险管理</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（略）</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none"/>
        </w:rPr>
        <w:t>国家政策变化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实施环境变化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重大技术变化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预算项目调整</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因质疑投诉影响</w:t>
      </w:r>
      <w:r>
        <w:rPr>
          <w:rFonts w:ascii="Times New Roman" w:eastAsia="宋体" w:hAnsi="Times New Roman" w:cs="Times New Roman" w:hint="eastAsia"/>
          <w:szCs w:val="20"/>
          <w:highlight w:val="none"/>
        </w:rPr>
        <w:t>合同</w:t>
      </w:r>
      <w:r>
        <w:rPr>
          <w:rFonts w:ascii="Times New Roman" w:eastAsia="宋体" w:hAnsi="Times New Roman" w:cs="Times New Roman"/>
          <w:szCs w:val="20"/>
          <w:highlight w:val="none"/>
        </w:rPr>
        <w:t>进度</w:t>
      </w:r>
      <w:r>
        <w:rPr>
          <w:rFonts w:ascii="Times New Roman" w:eastAsia="宋体" w:hAnsi="Times New Roman" w:cs="Times New Roman" w:hint="eastAsia"/>
          <w:szCs w:val="20"/>
          <w:highlight w:val="none"/>
        </w:rPr>
        <w:t>等）</w:t>
      </w:r>
      <w:r>
        <w:rPr>
          <w:rFonts w:ascii="宋体" w:eastAsia="宋体" w:hAnsi="宋体" w:cs="Times New Roman" w:hint="eastAsia"/>
          <w:szCs w:val="20"/>
          <w:highlight w:val="none"/>
        </w:rPr>
        <w:t>的可能性、影响程度进行研判，明确管控责任，提出有针对性的处置措施和替代方案。如本项目不属于上述项目，“八、风险管理”可省略）</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九、违约责任</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8"/>
          <w:highlight w:val="none"/>
        </w:rPr>
        <w:t>1、</w:t>
      </w:r>
      <w:r>
        <w:rPr>
          <w:rFonts w:ascii="宋体" w:eastAsia="宋体" w:hAnsi="宋体" w:cs="Times New Roman" w:hint="eastAsia"/>
          <w:szCs w:val="21"/>
          <w:highlight w:val="none"/>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的比例向对方支付违约金，但该违约金累计不得超过合同总金额的</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%；上述逾期超过</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天，守约方有权解除合同，并要求违约方赔偿由此造成的损失。</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2、其它违约责任</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违约方应就每一单项违约向对方支付合同总金额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%的违约金。</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十、联系方式</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甲方：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乙方：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Times New Roman" w:eastAsia="宋体" w:hAnsi="Times New Roman" w:cs="Times New Roman" w:hint="eastAsia"/>
          <w:b/>
          <w:szCs w:val="21"/>
          <w:highlight w:val="none"/>
        </w:rPr>
        <w:t>十一、</w:t>
      </w:r>
      <w:r>
        <w:rPr>
          <w:rFonts w:ascii="宋体" w:eastAsia="宋体" w:hAnsi="宋体" w:cs="Times New Roman" w:hint="eastAsia"/>
          <w:b/>
          <w:szCs w:val="28"/>
          <w:highlight w:val="none"/>
        </w:rPr>
        <w:t>争议的解决</w:t>
      </w:r>
    </w:p>
    <w:p>
      <w:pPr>
        <w:tabs>
          <w:tab w:val="left" w:pos="1573"/>
        </w:tabs>
        <w:adjustRightInd w:val="0"/>
        <w:snapToGrid w:val="0"/>
        <w:spacing w:line="360" w:lineRule="auto"/>
        <w:ind w:firstLine="420" w:firstLineChars="200"/>
        <w:jc w:val="left"/>
        <w:rPr>
          <w:rFonts w:ascii="宋体" w:eastAsia="宋体" w:hAnsi="宋体" w:cs="Times New Roman"/>
          <w:szCs w:val="28"/>
          <w:highlight w:val="none"/>
        </w:rPr>
      </w:pPr>
      <w:r>
        <w:rPr>
          <w:rFonts w:ascii="宋体" w:eastAsia="宋体" w:hAnsi="宋体" w:cs="Times New Roman" w:hint="eastAsia"/>
          <w:szCs w:val="28"/>
          <w:highlight w:val="none"/>
        </w:rPr>
        <w:t>本项目选择</w:t>
      </w:r>
      <w:r>
        <w:rPr>
          <w:rFonts w:ascii="宋体" w:eastAsia="宋体" w:hAnsi="宋体" w:cs="Times New Roman" w:hint="eastAsia"/>
          <w:b/>
          <w:szCs w:val="28"/>
          <w:highlight w:val="none"/>
        </w:rPr>
        <w:t>第二章合同条款通用部分</w:t>
      </w:r>
      <w:r>
        <w:rPr>
          <w:rFonts w:ascii="宋体" w:eastAsia="宋体" w:hAnsi="宋体" w:cs="Times New Roman" w:hint="eastAsia"/>
          <w:szCs w:val="28"/>
          <w:highlight w:val="none"/>
        </w:rPr>
        <w:t>“争议的解决”所属第</w:t>
      </w:r>
      <w:r>
        <w:rPr>
          <w:rFonts w:ascii="宋体" w:eastAsia="宋体" w:hAnsi="宋体" w:cs="Times New Roman" w:hint="eastAsia"/>
          <w:szCs w:val="28"/>
          <w:highlight w:val="none"/>
          <w:u w:val="single"/>
        </w:rPr>
        <w:t xml:space="preserve">      </w:t>
      </w:r>
      <w:r>
        <w:rPr>
          <w:rFonts w:ascii="宋体" w:eastAsia="宋体" w:hAnsi="宋体" w:cs="Times New Roman" w:hint="eastAsia"/>
          <w:szCs w:val="28"/>
          <w:highlight w:val="none"/>
        </w:rPr>
        <w:t>种方式解决。</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十二、履约保证金</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中标人在收到中标通知书后</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个工作日内，向甲方提供相当于合同总价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%的履约保证金。 </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甲方：                                   乙方：</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单位名称：（公章）                        单位名称：（公章）</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法定代表人：                             法定代表人：</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授权代表：                               授权代表：</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签约日期：                               签约日期：</w:t>
      </w:r>
    </w:p>
    <w:p>
      <w:pPr>
        <w:widowControl/>
        <w:jc w:val="left"/>
        <w:rPr>
          <w:rFonts w:ascii="宋体" w:eastAsia="宋体" w:hAnsi="宋体" w:cs="Times New Roman"/>
          <w:b/>
          <w:szCs w:val="21"/>
          <w:highlight w:val="none"/>
        </w:rPr>
      </w:pPr>
      <w:r>
        <w:rPr>
          <w:rFonts w:ascii="宋体" w:eastAsia="宋体" w:hAnsi="宋体" w:cs="Times New Roman"/>
          <w:b/>
          <w:szCs w:val="21"/>
          <w:highlight w:val="none"/>
        </w:rPr>
        <w:br w:type="page"/>
      </w:r>
    </w:p>
    <w:p>
      <w:pPr>
        <w:spacing w:line="360" w:lineRule="auto"/>
        <w:jc w:val="left"/>
        <w:rPr>
          <w:rFonts w:ascii="Times New Roman" w:eastAsia="宋体" w:hAnsi="Times New Roman" w:cs="Times New Roman"/>
          <w:b/>
          <w:bCs/>
          <w:sz w:val="44"/>
          <w:szCs w:val="44"/>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第二部分  合同通用部分</w:t>
      </w:r>
    </w:p>
    <w:p>
      <w:pPr>
        <w:tabs>
          <w:tab w:val="left" w:pos="1573"/>
        </w:tabs>
        <w:snapToGrid w:val="0"/>
        <w:spacing w:line="360" w:lineRule="auto"/>
        <w:jc w:val="center"/>
        <w:rPr>
          <w:rFonts w:ascii="宋体" w:eastAsia="宋体" w:hAnsi="宋体" w:cs="Times New Roman"/>
          <w:szCs w:val="21"/>
          <w:highlight w:val="none"/>
        </w:rPr>
      </w:pPr>
    </w:p>
    <w:p>
      <w:pPr>
        <w:tabs>
          <w:tab w:val="left" w:pos="1573"/>
        </w:tabs>
        <w:adjustRightInd w:val="0"/>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highlight w:val="none"/>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highlight w:val="none"/>
        </w:rPr>
        <w:t xml:space="preserve"> </w:t>
      </w:r>
    </w:p>
    <w:p>
      <w:pPr>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本合同所附下列文件是构成本合同不可分割的部分，若各文件之间存在含糊不清或互相冲突之处，优先顺序应按下列文件顺序解释：</w:t>
      </w:r>
    </w:p>
    <w:p>
      <w:pPr>
        <w:numPr>
          <w:ilvl w:val="0"/>
          <w:numId w:val="10"/>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中标通知书</w:t>
      </w:r>
    </w:p>
    <w:p>
      <w:pPr>
        <w:numPr>
          <w:ilvl w:val="0"/>
          <w:numId w:val="10"/>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开标一览表及投标分项报价表</w:t>
      </w:r>
    </w:p>
    <w:p>
      <w:pPr>
        <w:numPr>
          <w:ilvl w:val="0"/>
          <w:numId w:val="10"/>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商务和技术偏离表</w:t>
      </w:r>
    </w:p>
    <w:p>
      <w:pPr>
        <w:numPr>
          <w:ilvl w:val="0"/>
          <w:numId w:val="10"/>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合同条款专用部分</w:t>
      </w:r>
    </w:p>
    <w:p>
      <w:pPr>
        <w:numPr>
          <w:ilvl w:val="0"/>
          <w:numId w:val="10"/>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合同条款通用部分</w:t>
      </w:r>
    </w:p>
    <w:p>
      <w:pPr>
        <w:numPr>
          <w:ilvl w:val="0"/>
          <w:numId w:val="10"/>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采购需求</w:t>
      </w:r>
    </w:p>
    <w:p>
      <w:pPr>
        <w:numPr>
          <w:ilvl w:val="0"/>
          <w:numId w:val="10"/>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双方有关服务的洽商、变更等书面协议或文件</w:t>
      </w:r>
    </w:p>
    <w:p>
      <w:pPr>
        <w:numPr>
          <w:ilvl w:val="0"/>
          <w:numId w:val="10"/>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投标文件、招标文件除以上的其他部分</w:t>
      </w:r>
    </w:p>
    <w:p>
      <w:pPr>
        <w:numPr>
          <w:ilvl w:val="0"/>
          <w:numId w:val="10"/>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其他合同文本</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一、定义</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除非另有特别解释或说明，在本合同及与本合同相关的，双方另行签署的其他文件（包括但不限于本合同的附件）中，下述词语均依如下定义进行解释：</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1、“项目”详见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2、“合同”指甲乙双方签署的，与本项目相关的协议、附件、附录和其他一切文件，还</w:t>
      </w:r>
      <w:r>
        <w:rPr>
          <w:rFonts w:ascii="宋体" w:eastAsia="宋体" w:hAnsi="宋体" w:cs="Times New Roman"/>
          <w:szCs w:val="21"/>
          <w:highlight w:val="none"/>
        </w:rPr>
        <w:t>包括招标文件、投标文件中的相关内容及其有效补充文件</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3、“附件”是指与本合同的订立、履行有关的，经甲乙双方认可的，对本合同约定的内容进行细化、补充、修改、变更的文件、图纸、音像制品等资料。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4、“合同服务”指合同服务清单（同投标文件中分项报价表，下同）中所规定的服务内容、设备和软件购置等内容。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5、“验收证书”指验收完成后由合同双方签署的最终验收确认书。</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6、“保修期”指自验收证书甲方签署之日起，乙方免费对所提供给甲方服务内容进行技术支持、现场服务、升级服务等，并自担费用方式保证合同服务正常运行的时期。</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7、“第三人”是指本合同双方以外的任何中国境内、外的自然人、法人或其他经济组织。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8、“法律、法规”是指由中国有关部门制定的法律、行政法规、地方性法规、规章及其他规范性文件以及经全国人民代表大会常务委员会批准的中国缔结、参加的国际条（公）约的有关规定。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9、“招标文件”指采购中心发布的本项目招标文件。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10、“投标文件”指乙方按照采购中心发布的本项目招标文件的要求编制和投递，并最终被采购中心接受的投标文件。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11、“合同标的”指甲方同意从乙方购买，乙方同意向甲方提供</w:t>
      </w:r>
      <w:r>
        <w:rPr>
          <w:rFonts w:ascii="黑体" w:eastAsia="黑体" w:hAnsi="黑体" w:cs="Times New Roman" w:hint="eastAsia"/>
          <w:b/>
          <w:szCs w:val="21"/>
          <w:highlight w:val="none"/>
        </w:rPr>
        <w:t>合同服务清单（同投标文件中分项报价表）</w:t>
      </w:r>
      <w:r>
        <w:rPr>
          <w:rFonts w:ascii="宋体" w:eastAsia="宋体" w:hAnsi="宋体" w:cs="Times New Roman" w:hint="eastAsia"/>
          <w:szCs w:val="21"/>
          <w:highlight w:val="none"/>
        </w:rPr>
        <w:t>中所列服务内容、设备和软件购置等内容。</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二、合同标的</w:t>
      </w:r>
    </w:p>
    <w:p>
      <w:pPr>
        <w:numPr>
          <w:ilvl w:val="6"/>
          <w:numId w:val="0"/>
        </w:num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三、合同价格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1、合同总金额详见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2、本合同价格包括服务产品金额，是在项目交付前、交付时所发生或引起的本合同相关的全部成本、费用等，且为完税后价格。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3、合同服务产品详细目录及价格见</w:t>
      </w:r>
      <w:r>
        <w:rPr>
          <w:rFonts w:ascii="黑体" w:eastAsia="黑体" w:hAnsi="黑体" w:cs="Times New Roman" w:hint="eastAsia"/>
          <w:b/>
          <w:bCs/>
          <w:szCs w:val="21"/>
          <w:highlight w:val="none"/>
        </w:rPr>
        <w:t>合同服务产品清单（同投标文件中服务产品清单）</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四、支付和结算方式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1、双方因本合同发生的一切费用均以人民币结算及支付。</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2、双方的帐户名称、开户银行及帐号以本合同提供的为准。</w:t>
      </w:r>
    </w:p>
    <w:p>
      <w:pPr>
        <w:tabs>
          <w:tab w:val="left" w:pos="1573"/>
        </w:tabs>
        <w:adjustRightInd w:val="0"/>
        <w:snapToGrid w:val="0"/>
        <w:spacing w:line="360" w:lineRule="auto"/>
        <w:ind w:firstLine="420" w:firstLineChars="200"/>
        <w:rPr>
          <w:rFonts w:ascii="Times New Roman" w:eastAsia="宋体" w:hAnsi="宋体" w:cs="Times New Roman"/>
          <w:kern w:val="0"/>
          <w:szCs w:val="21"/>
          <w:highlight w:val="none"/>
        </w:rPr>
      </w:pPr>
      <w:r>
        <w:rPr>
          <w:rFonts w:ascii="宋体" w:eastAsia="宋体" w:hAnsi="宋体" w:cs="Times New Roman" w:hint="eastAsia"/>
          <w:szCs w:val="21"/>
          <w:highlight w:val="none"/>
        </w:rPr>
        <w:t>3、付款方式：</w:t>
      </w:r>
      <w:r>
        <w:rPr>
          <w:rFonts w:ascii="Times New Roman" w:eastAsia="宋体" w:hAnsi="宋体" w:cs="Times New Roman" w:hint="eastAsia"/>
          <w:kern w:val="0"/>
          <w:szCs w:val="21"/>
          <w:highlight w:val="none"/>
        </w:rPr>
        <w:t xml:space="preserve"> </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（1）合同生效后付款：双方签署合同后7个工作日内，甲方向乙方支付合同总金额的一定比例货款，支付比例、金额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 xml:space="preserve">； </w:t>
      </w:r>
    </w:p>
    <w:p>
      <w:pPr>
        <w:tabs>
          <w:tab w:val="left" w:pos="1573"/>
        </w:tabs>
        <w:adjustRightInd w:val="0"/>
        <w:snapToGrid w:val="0"/>
        <w:spacing w:line="360" w:lineRule="auto"/>
        <w:ind w:firstLine="420" w:firstLineChars="200"/>
        <w:rPr>
          <w:rFonts w:ascii="宋体" w:eastAsia="宋体" w:hAnsi="宋体" w:cs="Times New Roman"/>
          <w:kern w:val="0"/>
          <w:szCs w:val="20"/>
          <w:highlight w:val="none"/>
        </w:rPr>
      </w:pPr>
      <w:r>
        <w:rPr>
          <w:rFonts w:ascii="宋体" w:eastAsia="宋体" w:hAnsi="宋体" w:cs="Times New Roman" w:hint="eastAsia"/>
          <w:kern w:val="0"/>
          <w:szCs w:val="20"/>
          <w:highlight w:val="none"/>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kern w:val="0"/>
          <w:szCs w:val="20"/>
          <w:highlight w:val="none"/>
        </w:rPr>
        <w:t>，作为本合同最终结款。</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4、乙方在收到甲方每一笔付款的同时，应向甲方开具相应金额的商业发票。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五、资料的使用</w:t>
      </w:r>
    </w:p>
    <w:p>
      <w:pPr>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2、没有甲方事先书面同意，除了履行本合同之外，乙方不应使用甲方提供的任何文件和资料。</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3、没有甲方事先书面同意，乙方不得泄露与本项目有关的任何资料、数据及其它信息。</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4、除了合同本身以外，甲方提供给乙方的任何文件是甲方的财产。如果甲方有要求，乙方在完成合同后应将这些文件(全部拷贝)还给甲方。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甲方提供该乙方履行合同所需的资料清单见</w:t>
      </w:r>
      <w:r>
        <w:rPr>
          <w:rFonts w:ascii="黑体" w:eastAsia="黑体" w:hAnsi="黑体" w:cs="Times New Roman" w:hint="eastAsia"/>
          <w:b/>
          <w:bCs/>
          <w:szCs w:val="21"/>
          <w:highlight w:val="none"/>
        </w:rPr>
        <w:t>合同条款专用部分。</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六、知识产权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1、在本协议生效日前业已存在的版权及其他知识产权应属于本协议生效前既拥有该等权利的一方。</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2、任何一方均不可凭借本协议取得另一方此前所已经拥有且根据本合同不应被合理的推论为其已经同意转移的版权、专利、商业秘密、商标或其他知识产权的所有权。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3、符合法律规定及当事人约定的原则：任何相关事项均应当符合法律规定，及应当符合当事人约定。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6、甲方将拥有其在本协议项下所从事的所有工作（包括各类纸质文档，电子文档及其他可交付物）中所包含的或与之相关的全部版权、专利、商业秘密、商标和其他知识产权以及所有权和其他权益。</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七、进度要求</w:t>
      </w:r>
    </w:p>
    <w:p>
      <w:pPr>
        <w:numPr>
          <w:ilvl w:val="6"/>
          <w:numId w:val="0"/>
        </w:numPr>
        <w:adjustRightInd w:val="0"/>
        <w:snapToGrid w:val="0"/>
        <w:spacing w:line="360" w:lineRule="auto"/>
        <w:ind w:firstLine="420" w:firstLineChars="200"/>
        <w:rPr>
          <w:rFonts w:ascii="宋体" w:eastAsia="宋体" w:hAnsi="宋体" w:cs="Times New Roman"/>
          <w:b/>
          <w:szCs w:val="21"/>
          <w:highlight w:val="none"/>
        </w:rPr>
      </w:pPr>
      <w:r>
        <w:rPr>
          <w:rFonts w:ascii="宋体" w:eastAsia="宋体" w:hAnsi="宋体" w:cs="Times New Roman" w:hint="eastAsia"/>
          <w:b/>
          <w:szCs w:val="21"/>
          <w:highlight w:val="none"/>
        </w:rPr>
        <w:t>见</w:t>
      </w:r>
      <w:r>
        <w:rPr>
          <w:rFonts w:ascii="黑体" w:eastAsia="黑体" w:hAnsi="黑体" w:cs="Times New Roman" w:hint="eastAsia"/>
          <w:b/>
          <w:bCs/>
          <w:szCs w:val="20"/>
          <w:highlight w:val="none"/>
        </w:rPr>
        <w:t>合同条款专用部分</w:t>
      </w:r>
      <w:r>
        <w:rPr>
          <w:rFonts w:ascii="宋体" w:eastAsia="宋体" w:hAnsi="宋体" w:cs="Times New Roman" w:hint="eastAsia"/>
          <w:b/>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八、技术服务和保修责任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1、乙方对合同服务的质量保修期见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。乙方应保证所提供的产品、服务，符合合同规定的技术要求。如不符时，乙方应负全责并尽快处理解决，由此造成的损失和相关费用由乙方负责，甲方保留终止合同及索赔的权利。</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2、乙方应保证通过执行合同中全部方案后，可以取得本合同规定的结果，达到本合同规定的预期目标。对任何情况下出现问题的，应尽快提出解决方案。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3、如果乙方提供的产品、服务和解决方案不符合甲方要求，或在规定的时间内没有弥补缺陷，甲方有权采取一切必要的补救措施，由此产生的费用全部由乙方负责。</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九、履约保证金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1、中标人应在收到中标通知书后规定时间内（具体时间</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）内，以信汇、电汇或履约保函形式向甲方提供履约保证金，保证金金额：见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2、如果中标人没有按照上述规定执行，甲方将有充分理由取消该中标决定，并不予退还其投标保证金。在此情况下甲方可将合同授予排名第二的中标候选人，或重新招标。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3、如果中标人在与甲方签定合同以后，将中标项目转包给第三方或者</w:t>
      </w:r>
      <w:r>
        <w:rPr>
          <w:rFonts w:ascii="Times New Roman" w:eastAsia="宋体" w:hAnsi="Times New Roman" w:cs="Times New Roman" w:hint="eastAsia"/>
          <w:szCs w:val="20"/>
          <w:highlight w:val="none"/>
        </w:rPr>
        <w:t>将合同全部及任何权利、义务向第三方转让，或者在</w:t>
      </w:r>
      <w:r>
        <w:rPr>
          <w:rFonts w:ascii="宋体" w:eastAsia="宋体" w:hAnsi="宋体" w:cs="Times New Roman" w:hint="eastAsia"/>
          <w:szCs w:val="21"/>
          <w:highlight w:val="none"/>
        </w:rPr>
        <w:t>本项目不允许分包的情况下将中标项目分包给第三方，甲方将有充分理由终止合同，并不予退还其履约保证金。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4、中标人的履约保证金将在合同服务试经甲方终验合格，履行完必要的审批手续后30日内退还中标人。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5、如乙方未能完全履行合同规定的义务，甲方有权从履约保证金中得到补偿。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十、审计及检查</w:t>
      </w:r>
    </w:p>
    <w:p>
      <w:pPr>
        <w:tabs>
          <w:tab w:val="left" w:pos="360"/>
          <w:tab w:val="left" w:pos="1573"/>
        </w:tabs>
        <w:adjustRightInd w:val="0"/>
        <w:snapToGrid w:val="0"/>
        <w:spacing w:line="360" w:lineRule="auto"/>
        <w:ind w:firstLine="420" w:firstLineChars="200"/>
        <w:rPr>
          <w:rFonts w:ascii="宋体" w:eastAsia="宋体" w:hAnsi="宋体" w:cs="Times New Roman"/>
          <w:bCs/>
          <w:szCs w:val="21"/>
          <w:highlight w:val="none"/>
        </w:rPr>
      </w:pPr>
      <w:r>
        <w:rPr>
          <w:rFonts w:ascii="宋体" w:eastAsia="宋体" w:hAnsi="宋体" w:cs="Times New Roman" w:hint="eastAsia"/>
          <w:bCs/>
          <w:szCs w:val="21"/>
          <w:highlight w:val="none"/>
        </w:rPr>
        <w:t>如果采购人要求，中标人应允许采购人检查中标人与实施本合同有关的资金、帐户和记录，并由采购人指定的审计人员对其进行审计。</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十一、违约责任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（1）在甲方同意延长的期限内交付服务产品并承担由此给甲方造成的直接损失及甲方因此产生的对第三方的责任。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（2）甲方有权部分或全部解除合同并要求乙方赔偿由此造成的损失及甲方因此产生的对第三方的责任。此时甲方可采取必要的补救措施，相关费用由乙方承担。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（3）上述情形下甲方为采取必要的补救措施或因防止损失扩大而支出的合理费用应由乙方承担。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）向对方支付违约金，但该违约金累计不得超过合同总金额的一定比例（详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）；上述逾期超过一定时间（详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），守约方有权解除合同，并要求违约方赔偿由此造成的损失。</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 xml:space="preserve">5、其它违约责任 </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（2）如乙方在合同规定的交付日期后10天内仍未能交付，则视为乙方不能交付，甲方有权解除合同，乙方若已经收取了甲方的定金则同时还应双倍返还已收取的定金。</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6、乙方违反规定，有下列行为之一的，甲方有权对因此造成的损失追究责任；构成犯罪的，由司法机关追究其刑事责任：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1）擅自向第三方提供或者转让项目资料的；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2）未经甲方许可使用项目资料的；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3）项目完成后，乙方未经甲方许可保留项目资料的；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4）对项目资料保管不当，造成数据全部或者部分丢失、被窃的。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7、乙方在进行项目时违反有关保密规定的，依照《中华人民共和国保密法》等有关法律法规的规定处理。</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9、以上各项交付的违约金并不影响违约方履行合同的各项义务。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adjustRightInd w:val="0"/>
        <w:snapToGrid w:val="0"/>
        <w:spacing w:line="360" w:lineRule="auto"/>
        <w:ind w:firstLine="315" w:firstLineChars="150"/>
        <w:rPr>
          <w:rFonts w:ascii="宋体" w:eastAsia="宋体" w:hAnsi="宋体" w:cs="Times New Roman"/>
          <w:b/>
          <w:szCs w:val="21"/>
          <w:highlight w:val="none"/>
        </w:rPr>
      </w:pPr>
      <w:r>
        <w:rPr>
          <w:rFonts w:ascii="宋体" w:eastAsia="宋体" w:hAnsi="宋体" w:cs="Times New Roman" w:hint="eastAsia"/>
          <w:szCs w:val="21"/>
          <w:highlight w:val="none"/>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十二、不可抗力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1、不可抗力指下列事件：战争、动乱、瘟疫、严重火灾、洪水、地震、风暴或其他自然灾害，以及本合同各方不可预见、不可防止并不能避免或克服的一切其他因素及事件。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4、合同各方应根据不可抗力对本合同履行的影响程度，协商确定是否终止本合同，或是继续履行本合同。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十三、联系方式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2、合同双方发出的与本合同有关的通知或回复均应发至</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中的通讯地址，付款或收款应使用</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中的帐号，一方变更通讯地址或帐号，应自变更之日起三个工作日内，将变更后的地址通知对方。变更方不履行通知义务的，应对此造成的一切后果承担法律责任。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3、上述发出通知、回复的费用由发出一方承担。</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十四、保密条款</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0"/>
          <w:highlight w:val="none"/>
        </w:rPr>
        <w:t>1、</w:t>
      </w:r>
      <w:r>
        <w:rPr>
          <w:rFonts w:ascii="宋体" w:eastAsia="宋体" w:hAnsi="宋体" w:cs="Times New Roman" w:hint="eastAsia"/>
          <w:szCs w:val="21"/>
          <w:highlight w:val="none"/>
        </w:rPr>
        <w:t>任何一方对其获知的本合同及附件中其他各方的商业秘密和国家秘密负有保密义务。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十五、合同的解释和法律适用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3、对本合同的任何解释均应以书面作出。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4、本合同及附件的订立、效力、解释、履行、争议的解决等适用本合同签订时有效的中华人民共和国法律、法规的有关规定。</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十六、合同的终止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1、本合同因下列原因而终止：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（1）本合同正常履行完毕；</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（2）合同双方协议终止本合同的履行；</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（3）不可抗力事件导致本合同无法履行或履行不必要；</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（4）任何一方行使解除权，解除本合同。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2、对本合同终止有过错的一方应赔偿另一方因合同终止而受到的损失。对合同终止双方均无过错的，则各自承担所受到的损失。</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十七、法律适用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2、在本合同履行期间，因中国法律、法规、政策的变化致使本合同的部分条款相冲突、无效或失去可强制执行效力时，双方同意将密切合作，尽快修改本合同中相冲突或无效或失去强制执行效力的有关条款。</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十八、权利的保留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十九、争议的解决</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1、合同双方应通过友好协商解决因解释﹑执行本合同所发生的和本合同有关的一切争议。如果经协商不能达成协议，则双方同意：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（1）在甲方所在地有管辖权的人民法院提起诉讼。</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（2）由贸易仲裁委员会根据现行有效的仲裁程序进行仲裁。仲裁裁决为最终裁决对双方均具有约束力。仲裁费除仲裁机关另有裁决外的应由败诉方承担。</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本项目选择的具体解决方式见</w:t>
      </w:r>
      <w:r>
        <w:rPr>
          <w:rFonts w:ascii="黑体" w:eastAsia="黑体" w:hAnsi="黑体" w:cs="Times New Roman" w:hint="eastAsia"/>
          <w:b/>
          <w:bCs/>
          <w:szCs w:val="20"/>
          <w:highlight w:val="none"/>
        </w:rPr>
        <w:t>合同条款专用部分。</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w:t>
      </w:r>
      <w:r>
        <w:rPr>
          <w:rFonts w:ascii="宋体" w:eastAsia="宋体" w:hAnsi="宋体" w:cs="Times New Roman"/>
          <w:szCs w:val="21"/>
          <w:highlight w:val="none"/>
        </w:rPr>
        <w:t>合同</w:t>
      </w:r>
      <w:r>
        <w:rPr>
          <w:rFonts w:ascii="宋体" w:eastAsia="宋体" w:hAnsi="宋体" w:cs="Times New Roman" w:hint="eastAsia"/>
          <w:szCs w:val="21"/>
          <w:highlight w:val="none"/>
        </w:rPr>
        <w:t>甲、乙双方一致认为，本</w:t>
      </w:r>
      <w:r>
        <w:rPr>
          <w:rFonts w:ascii="宋体" w:eastAsia="宋体" w:hAnsi="宋体" w:cs="Times New Roman"/>
          <w:szCs w:val="21"/>
          <w:highlight w:val="none"/>
        </w:rPr>
        <w:t>合同</w:t>
      </w:r>
      <w:r>
        <w:rPr>
          <w:rFonts w:ascii="宋体" w:eastAsia="宋体" w:hAnsi="宋体" w:cs="Times New Roman" w:hint="eastAsia"/>
          <w:szCs w:val="21"/>
          <w:highlight w:val="none"/>
        </w:rPr>
        <w:t>仅</w:t>
      </w:r>
      <w:r>
        <w:rPr>
          <w:rFonts w:ascii="宋体" w:eastAsia="宋体" w:hAnsi="宋体" w:cs="Times New Roman"/>
          <w:szCs w:val="21"/>
          <w:highlight w:val="none"/>
        </w:rPr>
        <w:t>属于</w:t>
      </w:r>
      <w:r>
        <w:rPr>
          <w:rFonts w:ascii="宋体" w:eastAsia="宋体" w:hAnsi="宋体" w:cs="Times New Roman" w:hint="eastAsia"/>
          <w:szCs w:val="21"/>
          <w:highlight w:val="none"/>
        </w:rPr>
        <w:t>甲、乙双方</w:t>
      </w:r>
      <w:r>
        <w:rPr>
          <w:rFonts w:ascii="宋体" w:eastAsia="宋体" w:hAnsi="宋体" w:cs="Times New Roman"/>
          <w:szCs w:val="21"/>
          <w:highlight w:val="none"/>
        </w:rPr>
        <w:t>之间的</w:t>
      </w:r>
      <w:r>
        <w:rPr>
          <w:rFonts w:ascii="宋体" w:eastAsia="宋体" w:hAnsi="宋体" w:cs="Times New Roman" w:hint="eastAsia"/>
          <w:szCs w:val="21"/>
          <w:highlight w:val="none"/>
        </w:rPr>
        <w:t>协议，任何</w:t>
      </w:r>
      <w:r>
        <w:rPr>
          <w:rFonts w:ascii="宋体" w:eastAsia="宋体" w:hAnsi="宋体" w:cs="Times New Roman"/>
          <w:szCs w:val="21"/>
          <w:highlight w:val="none"/>
        </w:rPr>
        <w:t>争议</w:t>
      </w:r>
      <w:r>
        <w:rPr>
          <w:rFonts w:ascii="宋体" w:eastAsia="宋体" w:hAnsi="宋体" w:cs="Times New Roman" w:hint="eastAsia"/>
          <w:szCs w:val="21"/>
          <w:highlight w:val="none"/>
        </w:rPr>
        <w:t>均只</w:t>
      </w:r>
      <w:r>
        <w:rPr>
          <w:rFonts w:ascii="宋体" w:eastAsia="宋体" w:hAnsi="宋体" w:cs="Times New Roman"/>
          <w:szCs w:val="21"/>
          <w:highlight w:val="none"/>
        </w:rPr>
        <w:t>应当</w:t>
      </w:r>
      <w:r>
        <w:rPr>
          <w:rFonts w:ascii="宋体" w:eastAsia="宋体" w:hAnsi="宋体" w:cs="Times New Roman" w:hint="eastAsia"/>
          <w:szCs w:val="21"/>
          <w:highlight w:val="none"/>
        </w:rPr>
        <w:t>按照本合同</w:t>
      </w:r>
      <w:r>
        <w:rPr>
          <w:rFonts w:ascii="宋体" w:eastAsia="宋体" w:hAnsi="宋体" w:cs="Times New Roman"/>
          <w:szCs w:val="21"/>
          <w:highlight w:val="none"/>
        </w:rPr>
        <w:t>的约定方式处理，</w:t>
      </w:r>
      <w:r>
        <w:rPr>
          <w:rFonts w:ascii="宋体" w:eastAsia="宋体" w:hAnsi="宋体" w:cs="Times New Roman" w:hint="eastAsia"/>
          <w:szCs w:val="21"/>
          <w:highlight w:val="none"/>
        </w:rPr>
        <w:t>任何情形下采购中心均</w:t>
      </w:r>
      <w:r>
        <w:rPr>
          <w:rFonts w:ascii="宋体" w:eastAsia="宋体" w:hAnsi="宋体" w:cs="Times New Roman"/>
          <w:szCs w:val="21"/>
          <w:highlight w:val="none"/>
        </w:rPr>
        <w:t>不应当成为该等争议的当事人，无论该等诉讼均不得</w:t>
      </w:r>
      <w:r>
        <w:rPr>
          <w:rFonts w:ascii="宋体" w:eastAsia="宋体" w:hAnsi="宋体" w:cs="Times New Roman" w:hint="eastAsia"/>
          <w:szCs w:val="21"/>
          <w:highlight w:val="none"/>
        </w:rPr>
        <w:t>针</w:t>
      </w:r>
      <w:r>
        <w:rPr>
          <w:rFonts w:ascii="宋体" w:eastAsia="宋体" w:hAnsi="宋体" w:cs="Times New Roman"/>
          <w:szCs w:val="21"/>
          <w:highlight w:val="none"/>
        </w:rPr>
        <w:t>对</w:t>
      </w:r>
      <w:r>
        <w:rPr>
          <w:rFonts w:ascii="宋体" w:eastAsia="宋体" w:hAnsi="宋体" w:cs="Times New Roman" w:hint="eastAsia"/>
          <w:szCs w:val="21"/>
          <w:highlight w:val="none"/>
        </w:rPr>
        <w:t>采购中心</w:t>
      </w:r>
      <w:r>
        <w:rPr>
          <w:rFonts w:ascii="宋体" w:eastAsia="宋体" w:hAnsi="宋体" w:cs="Times New Roman"/>
          <w:szCs w:val="21"/>
          <w:highlight w:val="none"/>
        </w:rPr>
        <w:t>提起。</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3、在争议解决期间，除了诉讼进行过程中正在解决的部分问题外，合同其余部分应继续履行。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二十、合同的补充、修改和变更</w:t>
      </w:r>
    </w:p>
    <w:p>
      <w:pPr>
        <w:adjustRightInd w:val="0"/>
        <w:snapToGrid w:val="0"/>
        <w:spacing w:line="360" w:lineRule="auto"/>
        <w:ind w:firstLine="420" w:firstLineChars="200"/>
        <w:rPr>
          <w:rFonts w:ascii="宋体" w:eastAsia="宋体" w:hAnsi="宋体" w:cs="Times New Roman"/>
          <w:b/>
          <w:bCs/>
          <w:szCs w:val="21"/>
          <w:highlight w:val="none"/>
        </w:rPr>
      </w:pPr>
      <w:r>
        <w:rPr>
          <w:rFonts w:ascii="宋体" w:eastAsia="宋体" w:hAnsi="宋体" w:cs="Times New Roman" w:hint="eastAsia"/>
          <w:szCs w:val="21"/>
          <w:highlight w:val="none"/>
        </w:rPr>
        <w:t>在不背离</w:t>
      </w:r>
      <w:r>
        <w:rPr>
          <w:rFonts w:ascii="Calibri" w:eastAsia="宋体" w:hAnsi="Calibri" w:cs="Times New Roman" w:hint="eastAsia"/>
          <w:szCs w:val="22"/>
          <w:highlight w:val="none"/>
        </w:rPr>
        <w:t>招标文件、投标文件及评审过程中的有关澄清、说明或者补正文件的实质性内容的前提下，</w:t>
      </w:r>
      <w:r>
        <w:rPr>
          <w:rFonts w:ascii="宋体" w:eastAsia="宋体" w:hAnsi="宋体" w:cs="Times New Roman" w:hint="eastAsia"/>
          <w:szCs w:val="21"/>
          <w:highlight w:val="none"/>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2、甲方收到乙方的上述回应后，应在3日内以书面方式通知乙方是否同意和接受乙方的上述回应。如果甲方接受乙方的上述回应，则双方另行对此修改签署予以确认，乙方则按修改后的约定履行本合同。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4、如乙方提出项目的部分修改建议，乙方应同时详细阐明该变更对合同价格、项目交付日期、项目技术参数的影响和变化以及对合同条款的影响等。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6、所有的修改应在双方签署书面的修改备忘录时生效。修改备忘录将变更或取代有关的技术文件中或先前的任何修改备忘录中所有不一致的条款。</w:t>
      </w:r>
    </w:p>
    <w:p>
      <w:pPr>
        <w:adjustRightInd w:val="0"/>
        <w:snapToGrid w:val="0"/>
        <w:spacing w:line="360" w:lineRule="auto"/>
        <w:ind w:left="420"/>
        <w:rPr>
          <w:rFonts w:ascii="宋体" w:eastAsia="宋体" w:hAnsi="宋体" w:cs="Times New Roman"/>
          <w:szCs w:val="21"/>
          <w:highlight w:val="none"/>
        </w:rPr>
      </w:pPr>
      <w:r>
        <w:rPr>
          <w:rFonts w:ascii="宋体" w:eastAsia="宋体" w:hAnsi="宋体" w:cs="Times New Roman" w:hint="eastAsia"/>
          <w:szCs w:val="21"/>
          <w:highlight w:val="none"/>
        </w:rPr>
        <w:t>7、任何对合同条件的变更或修改均须双方签订书面的修改书。</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8、招投标文件及其全部条款、双方签订的补充协议以及修改或变更的条款与本合同具有同等法律效力。补充、修改或变更的协议的签署及生效方式与本合同的签署及生效方式相同。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二十一、合同的生效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本合同经双方法定代表人（负责人）或授权代表签字并加盖单位公章后生效。</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二十二、其它约定事项</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1、本合同中的附件均为本合同不可分割的部分，与本合同具有相同的法律效力。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3、本合同正本一式两份，甲、乙双方各执一份，每份正本具有同等法律效力，副本报财政部备案。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4、本合同涉及的招标文件和投标文件，正本由中国气象局政府采购中心保存。</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p>
    <w:p>
      <w:pPr>
        <w:rPr>
          <w:highlight w:val="none"/>
        </w:rPr>
      </w:pPr>
    </w:p>
    <w:p w:rsidR="00A77B3E"/>
    <w:p>
      <w:pPr>
        <w:spacing w:line="360" w:lineRule="auto"/>
        <w:ind w:firstLine="3066" w:firstLineChars="1460"/>
        <w:jc w:val="left"/>
        <w:rPr>
          <w:b/>
          <w:bCs/>
          <w:szCs w:val="21"/>
          <w:highlight w:val="none"/>
        </w:rPr>
      </w:pPr>
      <w:bookmarkEnd w:id="62"/>
    </w:p>
    <w:sectPr>
      <w:headerReference w:type="even" r:id="rId10"/>
      <w:headerReference w:type="default" r:id="rId11"/>
      <w:footerReference w:type="default" r:id="rId12"/>
      <w:headerReference w:type="first" r:id="rId13"/>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modern"/>
    <w:pitch w:val="default"/>
    <w:sig w:usb0="00000203" w:usb1="288F0000" w:usb2="00000006" w:usb3="00000000" w:csb0="001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napToGrid w:val="0"/>
      <w:jc w:val="center"/>
      <w:rPr>
        <w:sz w:val="18"/>
      </w:rPr>
    </w:pPr>
    <w:r>
      <w:rPr>
        <w:rFonts w:ascii="Times New Roman" w:eastAsia="宋体" w:hAnsi="Times New Roman" w:cs="Times New Roman"/>
        <w:kern w:val="2"/>
        <w:sz w:val="18"/>
        <w:lang w:val="en-US" w:eastAsia="zh-CN" w:bidi="ar-SA"/>
      </w:rPr>
      <w:fldChar w:fldCharType="begin"/>
    </w:r>
    <w:r>
      <w:rPr>
        <w:rFonts w:ascii="Times New Roman" w:eastAsia="宋体" w:hAnsi="Times New Roman" w:cs="Times New Roman"/>
        <w:kern w:val="2"/>
        <w:sz w:val="18"/>
        <w:lang w:val="en-US" w:eastAsia="zh-CN" w:bidi="ar-SA"/>
      </w:rPr>
      <w:instrText xml:space="preserve"> PAGE   \* MERGEFORMAT </w:instrText>
    </w:r>
    <w:r>
      <w:rPr>
        <w:rFonts w:ascii="Times New Roman" w:eastAsia="宋体" w:hAnsi="Times New Roman" w:cs="Times New Roman"/>
        <w:kern w:val="2"/>
        <w:sz w:val="18"/>
        <w:lang w:val="en-US" w:eastAsia="zh-CN" w:bidi="ar-SA"/>
      </w:rPr>
      <w:fldChar w:fldCharType="separate"/>
    </w:r>
    <w:r>
      <w:rPr>
        <w:rFonts w:ascii="Times New Roman" w:eastAsia="宋体" w:hAnsi="Times New Roman" w:cs="Times New Roman"/>
        <w:kern w:val="2"/>
        <w:sz w:val="18"/>
        <w:lang w:val="zh-CN" w:eastAsia="zh-CN" w:bidi="ar-SA"/>
      </w:rPr>
      <w:t>1</w:t>
    </w:r>
    <w:r>
      <w:rPr>
        <w:rFonts w:ascii="Times New Roman" w:eastAsia="宋体" w:hAnsi="Times New Roman" w:cs="Times New Roman"/>
        <w:kern w:val="2"/>
        <w:sz w:val="18"/>
        <w:lang w:val="en-US" w:eastAsia="zh-CN" w:bidi="ar-SA"/>
      </w:rPr>
      <w:fldChar w:fldCharType="end"/>
    </w:r>
  </w:p>
  <w:p>
    <w:pPr>
      <w:widowControl w:val="0"/>
      <w:snapToGrid w:val="0"/>
      <w:jc w:val="left"/>
      <w:rPr>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Bdr>
        <w:top w:val="none" w:sz="0" w:space="1" w:color="auto"/>
        <w:left w:val="none" w:sz="0" w:space="4" w:color="auto"/>
        <w:bottom w:val="none" w:sz="0" w:space="1" w:color="auto"/>
        <w:right w:val="none" w:sz="0" w:space="4" w:color="auto"/>
      </w:pBdr>
      <w:snapToGrid w:val="0"/>
      <w:jc w:val="left"/>
      <w:rPr>
        <w:sz w:val="18"/>
      </w:rPr>
    </w:pPr>
    <w:r>
      <w:rPr>
        <w:rFonts w:ascii="Times New Roman" w:eastAsia="宋体" w:hAnsi="Times New Roman" w:cs="Times New Roman"/>
        <w:kern w:val="2"/>
        <w:sz w:val="18"/>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1" type="#_x0000_t136" style="width:567.75pt;height:51.6pt;margin-top:0;margin-left:0;mso-position-horizontal:center;mso-position-horizontal-relative:margin;mso-position-vertical:center;mso-position-vertical-relative:margin;mso-wrap-style:square;position:absolute;rotation:315;z-index:-251653120" o:allowincell="f" filled="t"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3" type="#_x0000_t136" style="width:567.75pt;height:51.6pt;margin-top:0;margin-left:0;mso-position-horizontal:center;mso-position-horizontal-relative:margin;mso-position-vertical:center;mso-position-vertical-relative:margin;mso-wrap-style:square;position:absolute;rotation:315;z-index:-251655168" o:allowincell="f" fillcolor="silver" stroked="f">
          <v:fill opacity="0.5"/>
          <v:stroke linestyle="single"/>
          <v:textpath style="font-family:宋体;font-size:8pt" string="中国气象局政府采购中心"/>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4"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1CA122F2"/>
    <w:multiLevelType w:val="singleLevel"/>
    <w:tmpl w:val="1CA122F2"/>
    <w:lvl w:ilvl="0">
      <w:start w:val="1"/>
      <w:numFmt w:val="chineseCounting"/>
      <w:suff w:val="space"/>
      <w:lvlText w:val="%1、"/>
      <w:lvlJc w:val="left"/>
      <w:rPr>
        <w:rFonts w:hint="eastAsia"/>
      </w:rPr>
    </w:lvl>
  </w:abstractNum>
  <w:abstractNum w:abstractNumId="6">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7">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60AF526C"/>
    <w:multiLevelType w:val="singleLevel"/>
    <w:tmpl w:val="60AF526C"/>
    <w:lvl w:ilvl="0">
      <w:start w:val="1"/>
      <w:numFmt w:val="decimal"/>
      <w:lvlText w:val="(%1)"/>
      <w:lvlJc w:val="left"/>
      <w:pPr>
        <w:ind w:left="425" w:hanging="425"/>
      </w:pPr>
      <w:rPr>
        <w:rFonts w:hint="default"/>
      </w:rPr>
    </w:lvl>
  </w:abstractNum>
  <w:abstractNum w:abstractNumId="9">
    <w:nsid w:val="679943A3"/>
    <w:multiLevelType w:val="singleLevel"/>
    <w:tmpl w:val="679943A3"/>
    <w:lvl w:ilvl="0">
      <w:start w:val="3"/>
      <w:numFmt w:val="chineseCounting"/>
      <w:suff w:val="nothing"/>
      <w:lvlText w:val="%1、"/>
      <w:lvlJc w:val="left"/>
      <w:rPr>
        <w:rFonts w:hint="eastAsia"/>
      </w:rPr>
    </w:lvl>
  </w:abstractNum>
  <w:abstractNum w:abstractNumId="10">
    <w:nsid w:val="6AC8286D"/>
    <w:multiLevelType w:val="singleLevel"/>
    <w:tmpl w:val="6AC8286D"/>
    <w:lvl w:ilvl="0">
      <w:start w:val="1"/>
      <w:numFmt w:val="decimal"/>
      <w:lvlText w:val="%1."/>
      <w:lvlJc w:val="left"/>
      <w:pPr>
        <w:ind w:left="425" w:hanging="425"/>
      </w:pPr>
      <w:rPr>
        <w:rFonts w:hint="default"/>
      </w:rPr>
    </w:lvl>
  </w:abstractNum>
  <w:num w:numId="1">
    <w:abstractNumId w:val="3"/>
  </w:num>
  <w:num w:numId="2">
    <w:abstractNumId w:val="2"/>
  </w:num>
  <w:num w:numId="3">
    <w:abstractNumId w:val="4"/>
  </w:num>
  <w:num w:numId="4">
    <w:abstractNumId w:val="5"/>
  </w:num>
  <w:num w:numId="5">
    <w:abstractNumId w:val="8"/>
  </w:num>
  <w:num w:numId="6">
    <w:abstractNumId w:val="10"/>
  </w:num>
  <w:num w:numId="7">
    <w:abstractNumId w:val="9"/>
  </w:num>
  <w:num w:numId="8">
    <w:abstractNumId w:val="1"/>
  </w:num>
  <w:num w:numId="9">
    <w:abstractNumId w:val="0"/>
  </w:num>
  <w:num w:numId="10">
    <w:abstractNumId w:val="6"/>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78451F1"/>
    <w:rsid w:val="08C230B8"/>
    <w:rsid w:val="0E576F53"/>
    <w:rsid w:val="125B2CFC"/>
    <w:rsid w:val="13405E2E"/>
    <w:rsid w:val="2F605368"/>
    <w:rsid w:val="31FD4B93"/>
    <w:rsid w:val="3FCA68B7"/>
    <w:rsid w:val="45196B36"/>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header" Target="header6.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157263360</TotalTime>
  <Pages>38</Pages>
  <Words>26681</Words>
  <Characters>28214</Characters>
  <Application>Microsoft Office Word</Application>
  <DocSecurity>0</DocSecurity>
  <Lines>216</Lines>
  <Paragraphs>61</Paragraphs>
  <ScaleCrop>false</ScaleCrop>
  <Company>中国气象局</Company>
  <LinksUpToDate>false</LinksUpToDate>
  <CharactersWithSpaces>28397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2025-08-12T01:56:21Z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