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国家气象信息中心信息安全运行保障服务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ZQCD-25397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w:t>
      </w:r>
      <w:r>
        <w:rPr>
          <w:rFonts w:ascii="宋体" w:eastAsia="宋体" w:hAnsi="宋体" w:cs="Times New Roman" w:hint="eastAsia"/>
          <w:szCs w:val="21"/>
        </w:rPr>
        <w:t>货物报价及品牌、型号、产地、装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588" w:firstLineChars="196"/>
        <w:jc w:val="center"/>
        <w:outlineLvl w:val="2"/>
        <w:rPr>
          <w:b/>
          <w:bCs/>
          <w:sz w:val="30"/>
          <w:szCs w:val="30"/>
          <w:highlight w:val="none"/>
        </w:rPr>
      </w:pPr>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第五章投标人须知专用部分5.6条</w:t>
            </w:r>
            <w:r>
              <w:rPr>
                <w:rFonts w:hint="eastAsia"/>
                <w:sz w:val="18"/>
                <w:szCs w:val="18"/>
                <w:highlight w:val="none"/>
              </w:rPr>
              <w:t>有关代理商投标要求，以及进口产品代理商未按</w:t>
            </w:r>
            <w:r>
              <w:rPr>
                <w:rFonts w:hint="eastAsia"/>
                <w:b/>
                <w:sz w:val="18"/>
                <w:szCs w:val="18"/>
                <w:highlight w:val="none"/>
              </w:rPr>
              <w:t>第五章投标人须知专用部分5.7条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bCs/>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（如本次采购内容不包括货物，或者投标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hint="eastAsia"/>
                <w:bCs/>
                <w:sz w:val="18"/>
                <w:szCs w:val="18"/>
                <w:highlight w:val="none"/>
              </w:rPr>
              <w:t>中小</w:t>
            </w:r>
            <w:r>
              <w:rPr>
                <w:bCs/>
                <w:sz w:val="18"/>
                <w:szCs w:val="18"/>
                <w:highlight w:val="none"/>
              </w:rPr>
              <w:t>企业声明函</w:t>
            </w:r>
            <w:r>
              <w:rPr>
                <w:rFonts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第五章投标人须知专用部分5.12条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rPr>
                <w:sz w:val="18"/>
                <w:szCs w:val="18"/>
                <w:highlight w:val="none"/>
              </w:rPr>
            </w:pPr>
            <w:r>
              <w:rPr>
                <w:rFonts w:hint="eastAsia"/>
                <w:sz w:val="18"/>
                <w:szCs w:val="18"/>
                <w:highlight w:val="none"/>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center"/>
        <w:rPr>
          <w:b/>
          <w:sz w:val="48"/>
          <w:szCs w:val="36"/>
          <w:highlight w:val="none"/>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国家气象信息中心信息安全运行保障服务</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ZQCD-25397</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合同签订后，自2026年1月1日至2026年12月31日完成项目，其余事项详见合同文本</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北京市海淀区中关村南大街46号国家气象信息中心</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2025年11月12日 00:00:00</w:t>
      </w:r>
      <w:bookmarkEnd w:id="26"/>
      <w:r>
        <w:rPr>
          <w:rFonts w:ascii="宋体" w:hint="eastAsia"/>
          <w:szCs w:val="21"/>
          <w:highlight w:val="none"/>
        </w:rPr>
        <w:t>至</w:t>
      </w:r>
      <w:bookmarkStart w:id="27" w:name="项目公告_signUpLastTime"/>
      <w:r>
        <w:rPr>
          <w:rFonts w:ascii="宋体" w:hint="eastAsia"/>
          <w:szCs w:val="21"/>
          <w:highlight w:val="none"/>
        </w:rPr>
        <w:t>2025年11月19日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2025年12月03日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李楠</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010-68408545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北京市海淀区中关村南大街46号国家气象信息中心</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5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5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标的：信息安全运行保障服务，属于软件和信息技术服务业行业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是，代理服务费：2.1万元。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180.000000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180.000000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5"/>
        <w:gridCol w:w="287"/>
        <w:gridCol w:w="904"/>
        <w:gridCol w:w="287"/>
        <w:gridCol w:w="735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w:t>
            </w:r>
          </w:p>
        </w:tc>
        <w:tc>
          <w:tcPr/>
          <w:p>
            <w:r>
              <w:t>勾选打分</w:t>
            </w:r>
            <w:r>
              <w:t>(6)</w:t>
            </w:r>
          </w:p>
        </w:tc>
        <w:tc>
          <w:tcPr/>
          <w:p>
            <w:r>
              <w:t>评审标准：</w:t>
            </w:r>
          </w:p>
          <w:p>
            <w:r>
              <w:t>1、投标人具有 ITSS 运行维护符合性证书：二级以上 (含)得 2 分，否则不得分。</w:t>
              <w:cr/>
              <w:t>2、投标人具有国家信息安全测评/信息安全服务资质（云计算安全类)：一级以上(含)得 1 分，否则不得分。</w:t>
              <w:cr/>
              <w:t>3、投标人具有中国通信企业协会通信网络安全服务能力评定证书-应急响应二级资质，二级以上（含）得1分，否则不得分。</w:t>
              <w:cr/>
              <w:t>4、投标人具有国家信息安全测评信息安全服务资质证书-安全运营二级及以上(含)得 1 分，否则不得分。</w:t>
              <w:cr/>
              <w:t>5、投标人具有CCRC数据安全管理认证证书得1分，否则不得分。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w:t>
            </w:r>
          </w:p>
        </w:tc>
        <w:tc>
          <w:tcPr/>
          <w:p>
            <w:r>
              <w:t>勾选打分</w:t>
            </w:r>
            <w:r>
              <w:t>(3)</w:t>
            </w:r>
          </w:p>
        </w:tc>
        <w:tc>
          <w:tcPr/>
          <w:p>
            <w:r>
              <w:t>评审标准：</w:t>
            </w:r>
          </w:p>
          <w:p>
            <w:r>
              <w:t>每提供1份合同得0.5分，最多得3分。否则不得分。</w:t>
            </w:r>
          </w:p>
          <w:p>
            <w:r>
              <w:t>评审标准说明：</w:t>
            </w:r>
          </w:p>
          <w:p>
            <w:r>
              <w:t>1、需提供投标人的与本项目类似项目的服务合同（必须包括合同首页、金额页、标的页、签字盖章页）复印件并加盖投标人公章。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安全能力</w:t>
            </w:r>
          </w:p>
        </w:tc>
        <w:tc>
          <w:tcPr/>
          <w:p>
            <w:r>
              <w:t>勾选打分</w:t>
            </w:r>
            <w:r>
              <w:t>(2)</w:t>
            </w:r>
          </w:p>
        </w:tc>
        <w:tc>
          <w:tcPr/>
          <w:p>
            <w:r>
              <w:t>评审标准：</w:t>
            </w:r>
          </w:p>
          <w:p>
            <w:r>
              <w:t>每提供1份安全保障相关的证明文件得1分，最多得2分。否则不得分。</w:t>
            </w:r>
          </w:p>
          <w:p>
            <w:r>
              <w:t>评审标准说明：</w:t>
            </w:r>
          </w:p>
          <w:p>
            <w:r>
              <w:t>投标人需熟悉网络安全监督检查工作流程与内容。提供2021年1月1日以来与公安网络安全部门签署的相关安全保障的证明文件（复印件）。</w:t>
            </w:r>
          </w:p>
          <w:p/>
        </w:tc>
      </w:tr>
      <w:tr>
        <w:tblPrEx>
          <w:tblW w:w="5000" w:type="pct"/>
          <w:tblCellMar>
            <w:left w:w="108" w:type="dxa"/>
            <w:right w:w="108" w:type="dxa"/>
          </w:tblCellMar>
        </w:tblPrEx>
        <w:tc>
          <w:tcPr/>
          <w:p>
            <w:r>
              <w:t>5</w:t>
            </w:r>
          </w:p>
        </w:tc>
        <w:tc>
          <w:tcPr>
            <w:vMerge w:val="restart"/>
          </w:tcPr>
          <w:p>
            <w:r>
              <w:t>服务部分</w:t>
            </w:r>
          </w:p>
        </w:tc>
        <w:tc>
          <w:tcPr/>
          <w:p>
            <w:r>
              <w:t>用户满意度证明</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6</w:t>
            </w:r>
          </w:p>
        </w:tc>
        <w:tc>
          <w:tcPr>
            <w:vMerge/>
          </w:tcPr>
          <w:p>
            <w:r>
              <w:t>服务部分</w:t>
            </w:r>
          </w:p>
        </w:tc>
        <w:tc>
          <w:tcPr/>
          <w:p>
            <w:r>
              <w:t>服务团队</w:t>
            </w:r>
          </w:p>
        </w:tc>
        <w:tc>
          <w:tcPr/>
          <w:p>
            <w:r>
              <w:t>区间打分</w:t>
            </w:r>
            <w:r>
              <w:t>(12)</w:t>
            </w:r>
          </w:p>
        </w:tc>
        <w:tc>
          <w:tcPr/>
          <w:p>
            <w:r>
              <w:t>评审标准：</w:t>
            </w:r>
          </w:p>
          <w:p>
            <w:r>
              <w:t>投标人承诺为本项目提供服务团队，开展本项目服务工作，具体评审要求如下：</w:t>
              <w:cr/>
              <w:t>1.组成至少5人的驻场服务团队，得2分，否则不得分。</w:t>
              <w:cr/>
              <w:t>2.项目经理1名，具有5年以上网络安全、信息化建设或服务项目经验，同时具备CISAW-应急服务方向资质证书和工信部颁发的高级网络信息安全工程师资质证书，得2分，否则不得分。</w:t>
              <w:cr/>
              <w:t>3.技术负责人（除项目经理外）1名，具有5年以上网络安全、信息化建设或服务项目经验，同时具备CISAW-安全集成方向资质证书和CISAW-软件安全方向资质证书，得2分，否则不得分。</w:t>
              <w:cr/>
              <w:t>4.团队其他人员（除项目负责人和技术负责人外）至少3人具有CCSK资质证书，且具备3年及以上安全分析工作经验，得2分，否则不得分。</w:t>
              <w:cr/>
              <w:t>5.投标人提供具备注册渗透测试工程师（CISP-PTE）证书的工程师开展渗透测试工作 。每有1名得1分，最高得3分，否则不得分。</w:t>
              <w:cr/>
              <w:t>6.承诺针对重要时期（重大气象灾害应急响应、重大气象服务保障等）网络安全保障提供的服务优于需求（增加至少1名驻场人员）的，得1分，否则不得分。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服务保障（主观分）</w:t>
            </w:r>
          </w:p>
        </w:tc>
        <w:tc>
          <w:tcPr/>
          <w:p>
            <w:r>
              <w:t>勾选打分</w:t>
            </w:r>
            <w:r>
              <w:t>(4)</w:t>
            </w:r>
          </w:p>
        </w:tc>
        <w:tc>
          <w:tcPr/>
          <w:p>
            <w:r>
              <w:t>评审标准：</w:t>
            </w:r>
          </w:p>
          <w:p>
            <w:r>
              <w:t>1、为确保采购人现网安全运营平台充分发挥最佳效果，投标人需提供基于现网安全运营平台（现网建设情况参照采购需求部分描述内容）的安全运营服务方案。方案至少应涵盖安全告警或事件运营、国省协同工单、自动化编排与响应（SOAR）剧本配置。</w:t>
              <w:cr/>
              <w:t>2、投标人需提供基于采购人现网安全运营平台（现网建设情况参照采购需求部分描述内容）的威胁狩猎服务方案。方案包括但不限于对潜在威胁、系统漏洞的分析与验证方法。</w:t>
              <w:cr/>
              <w:t>以上1、2项，评分如下：</w:t>
              <w:cr/>
              <w:t>一档0分</w:t>
              <w:cr/>
              <w:t>二档1分</w:t>
              <w:cr/>
              <w:t>三档2分</w:t>
              <w:cr/>
              <w:t>满分4分。</w:t>
            </w:r>
          </w:p>
          <w:p>
            <w:r>
              <w:t>评审标准说明：</w:t>
            </w:r>
          </w:p>
          <w:p>
            <w:r>
              <w:t>投标人需根据需求提供方案，具体评分标准如下：</w:t>
              <w:cr/>
              <w:t>一档：投标人未提供方案。</w:t>
              <w:cr/>
              <w:t>二档：投标人提供的方案较为简单，合理性、针对性一般，基本满足招标文件的要求。</w:t>
              <w:cr/>
              <w:t>三档：投标人提供的方案描述内容可行、合理、可实施，完全满足招标文件要求。</w:t>
            </w:r>
          </w:p>
          <w:p/>
        </w:tc>
      </w:tr>
      <w:tr>
        <w:tblPrEx>
          <w:tblW w:w="5000" w:type="pct"/>
          <w:tblCellMar>
            <w:left w:w="108" w:type="dxa"/>
            <w:right w:w="108" w:type="dxa"/>
          </w:tblCellMar>
        </w:tblPrEx>
        <w:tc>
          <w:tcPr/>
          <w:p>
            <w:r>
              <w:t>8</w:t>
            </w:r>
          </w:p>
        </w:tc>
        <w:tc>
          <w:tcPr>
            <w:vMerge/>
          </w:tcPr>
          <w:p>
            <w:r>
              <w:t>服务部分</w:t>
            </w:r>
          </w:p>
        </w:tc>
        <w:tc>
          <w:tcPr/>
          <w:p>
            <w:r>
              <w:t>服务管理（主观分）</w:t>
            </w:r>
          </w:p>
        </w:tc>
        <w:tc>
          <w:tcPr/>
          <w:p>
            <w:r>
              <w:t>勾选打分</w:t>
            </w:r>
            <w:r>
              <w:t>(4)</w:t>
            </w:r>
          </w:p>
        </w:tc>
        <w:tc>
          <w:tcPr/>
          <w:p>
            <w:r>
              <w:t>评审标准：</w:t>
            </w:r>
          </w:p>
          <w:p>
            <w:r>
              <w:t>一档0分</w:t>
              <w:cr/>
              <w:t>二档2分</w:t>
              <w:cr/>
              <w:t>三档4分</w:t>
            </w:r>
          </w:p>
          <w:p>
            <w:r>
              <w:t>评审标准说明：</w:t>
            </w:r>
          </w:p>
          <w:p>
            <w:r>
              <w:t>根据投标人提供服务管理材料进行评分。具体评分标准如下：</w:t>
              <w:cr/>
              <w:t>一档：投标人无项目服务档案管理及质量考核机制。</w:t>
              <w:cr/>
              <w:t>二档：投标人提供的项目服务档案管理及质量考核机制不完善。</w:t>
              <w:cr/>
              <w:t>三档：投标人有完善的项目服务档案管理及质量考核机制，能够建立完整的项目运维相关的知识库体系。</w:t>
            </w:r>
          </w:p>
          <w:p/>
        </w:tc>
      </w:tr>
      <w:tr>
        <w:tblPrEx>
          <w:tblW w:w="5000" w:type="pct"/>
          <w:tblCellMar>
            <w:left w:w="108" w:type="dxa"/>
            <w:right w:w="108" w:type="dxa"/>
          </w:tblCellMar>
        </w:tblPrEx>
        <w:tc>
          <w:tcPr/>
          <w:p>
            <w:r>
              <w:t>9</w:t>
            </w:r>
          </w:p>
        </w:tc>
        <w:tc>
          <w:tcPr>
            <w:vMerge/>
          </w:tcPr>
          <w:p>
            <w:r>
              <w:t>服务部分</w:t>
            </w:r>
          </w:p>
        </w:tc>
        <w:tc>
          <w:tcPr/>
          <w:p>
            <w:r>
              <w:t>培训方案（主观分）</w:t>
            </w:r>
          </w:p>
        </w:tc>
        <w:tc>
          <w:tcPr/>
          <w:p>
            <w:r>
              <w:t>勾选打分</w:t>
            </w:r>
            <w:r>
              <w:t>(4)</w:t>
            </w:r>
          </w:p>
        </w:tc>
        <w:tc>
          <w:tcPr/>
          <w:p>
            <w:r>
              <w:t>评审标准：</w:t>
            </w:r>
          </w:p>
          <w:p>
            <w:r>
              <w:t>一档0分</w:t>
              <w:cr/>
              <w:t>二档2分</w:t>
              <w:cr/>
              <w:t>三档4分</w:t>
            </w:r>
          </w:p>
          <w:p>
            <w:r>
              <w:t>评审标准说明：</w:t>
            </w:r>
          </w:p>
          <w:p>
            <w:r>
              <w:t>根据投标人提供的培训方案进行评分。具体评分标准如下：</w:t>
              <w:cr/>
              <w:t>一档：投标人未提供培训方案。</w:t>
              <w:cr/>
              <w:t>二档：投标人提供的培训方案较为简单，合理性、针对性一般，基本满足招标文件的要求。</w:t>
              <w:cr/>
              <w:t>三档：投标人提供的培训方案详细具体，内容合理、针对性强，完全满足文件的要求。</w:t>
            </w:r>
          </w:p>
          <w:p/>
        </w:tc>
      </w:tr>
      <w:tr>
        <w:tblPrEx>
          <w:tblW w:w="5000" w:type="pct"/>
          <w:tblCellMar>
            <w:left w:w="108" w:type="dxa"/>
            <w:right w:w="108" w:type="dxa"/>
          </w:tblCellMar>
        </w:tblPrEx>
        <w:tc>
          <w:tcPr/>
          <w:p>
            <w:r>
              <w:t>10</w:t>
            </w:r>
          </w:p>
        </w:tc>
        <w:tc>
          <w:tcPr>
            <w:vMerge/>
          </w:tcPr>
          <w:p>
            <w:r>
              <w:t>服务部分</w:t>
            </w:r>
          </w:p>
        </w:tc>
        <w:tc>
          <w:tcPr/>
          <w:p>
            <w:r>
              <w:t>项目需求理解（主观分）</w:t>
            </w:r>
          </w:p>
        </w:tc>
        <w:tc>
          <w:tcPr/>
          <w:p>
            <w:r>
              <w:t>勾选打分</w:t>
            </w:r>
            <w:r>
              <w:t>(4)</w:t>
            </w:r>
          </w:p>
        </w:tc>
        <w:tc>
          <w:tcPr/>
          <w:p>
            <w:r>
              <w:t>评审标准：</w:t>
            </w:r>
          </w:p>
          <w:p>
            <w:r>
              <w:t>一档0分</w:t>
              <w:cr/>
              <w:t>二档2分</w:t>
              <w:cr/>
              <w:t>三档4分</w:t>
            </w:r>
          </w:p>
          <w:p>
            <w:r>
              <w:t>评审标准说明：</w:t>
            </w:r>
          </w:p>
          <w:p>
            <w:r>
              <w:t>根据投标人对项目的需求理解进行评分。具体评分标准如下：</w:t>
              <w:cr/>
              <w:t>一档：投标人未提供该部分内容。</w:t>
              <w:cr/>
              <w:t>二档：投标人对项目需求理解较为简单，合理性、针对性一般，基本满足招标文件的要求。</w:t>
              <w:cr/>
              <w:t>三档：投标人对项目背景和现状理解深刻，内容合理、针对性强，完全满足文件的要求。</w:t>
            </w:r>
          </w:p>
          <w:p/>
        </w:tc>
      </w:tr>
      <w:tr>
        <w:tblPrEx>
          <w:tblW w:w="5000" w:type="pct"/>
          <w:tblCellMar>
            <w:left w:w="108" w:type="dxa"/>
            <w:right w:w="108" w:type="dxa"/>
          </w:tblCellMar>
        </w:tblPrEx>
        <w:tc>
          <w:tcPr/>
          <w:p>
            <w:r>
              <w:t>11</w:t>
            </w:r>
          </w:p>
        </w:tc>
        <w:tc>
          <w:tcPr>
            <w:vMerge/>
          </w:tcPr>
          <w:p>
            <w:r>
              <w:t>服务部分</w:t>
            </w:r>
          </w:p>
        </w:tc>
        <w:tc>
          <w:tcPr/>
          <w:p>
            <w:r>
              <w:t>项目实施方案（主观分）</w:t>
            </w:r>
          </w:p>
        </w:tc>
        <w:tc>
          <w:tcPr/>
          <w:p>
            <w:r>
              <w:t>勾选打分</w:t>
            </w:r>
            <w:r>
              <w:t>(4)</w:t>
            </w:r>
          </w:p>
        </w:tc>
        <w:tc>
          <w:tcPr/>
          <w:p>
            <w:r>
              <w:t>评审标准：</w:t>
            </w:r>
          </w:p>
          <w:p>
            <w:r>
              <w:t>一档0分</w:t>
              <w:cr/>
              <w:t>二档2分</w:t>
              <w:cr/>
              <w:t>三档4分</w:t>
            </w:r>
          </w:p>
          <w:p>
            <w:r>
              <w:t>评审标准说明：</w:t>
            </w:r>
          </w:p>
          <w:p>
            <w:r>
              <w:t>根据投标人提供的项目实施方案进行评分。具体评分标准如下：</w:t>
              <w:cr/>
              <w:t>一档：投标人未提供该部分内容。</w:t>
              <w:cr/>
              <w:t>二档：投标人提供的项目实施方案完整性有欠缺，合理性、针对性一般，基本满足招标文件的要求。</w:t>
              <w:cr/>
              <w:t>三档：投标人提供的项目实施方案内容详尽、全面，内容合理、针对性强，完全满足文件的要求。</w:t>
            </w:r>
          </w:p>
          <w:p/>
        </w:tc>
      </w:tr>
      <w:tr>
        <w:tblPrEx>
          <w:tblW w:w="5000" w:type="pct"/>
          <w:tblCellMar>
            <w:left w:w="108" w:type="dxa"/>
            <w:right w:w="108" w:type="dxa"/>
          </w:tblCellMar>
        </w:tblPrEx>
        <w:tc>
          <w:tcPr/>
          <w:p>
            <w:r>
              <w:t>12</w:t>
            </w:r>
          </w:p>
        </w:tc>
        <w:tc>
          <w:tcPr>
            <w:vMerge/>
          </w:tcPr>
          <w:p>
            <w:r>
              <w:t>服务部分</w:t>
            </w:r>
          </w:p>
        </w:tc>
        <w:tc>
          <w:tcPr/>
          <w:p>
            <w:r>
              <w:t>安全运维服务总体设计（主观分）</w:t>
            </w:r>
          </w:p>
        </w:tc>
        <w:tc>
          <w:tcPr/>
          <w:p>
            <w:r>
              <w:t>勾选打分</w:t>
            </w:r>
            <w:r>
              <w:t>(4)</w:t>
            </w:r>
          </w:p>
        </w:tc>
        <w:tc>
          <w:tcPr/>
          <w:p>
            <w:r>
              <w:t>评审标准：</w:t>
            </w:r>
          </w:p>
          <w:p>
            <w:r>
              <w:t>一档0分</w:t>
              <w:cr/>
              <w:t>二档2分</w:t>
              <w:cr/>
              <w:t>三档4分</w:t>
            </w:r>
          </w:p>
          <w:p>
            <w:r>
              <w:t>评审标准说明：</w:t>
            </w:r>
          </w:p>
          <w:p>
            <w:r>
              <w:t>根据投标人提供的安全运维服务总体设计进行评分。具体评分标准如下：</w:t>
              <w:cr/>
              <w:t>一档：投标人未提供该部分内容。</w:t>
              <w:cr/>
              <w:t>二档：投标人提供的总体设计完整性有欠缺，合理性、针对性一般，基本满足招标文件的要求。</w:t>
              <w:cr/>
              <w:t>三档：投标人提供的总体设计内容合理（包含设计依据、设计框架、设计基础、实施原则等内容）、针对性强，完全满足文件的要求。</w:t>
            </w:r>
          </w:p>
          <w:p/>
        </w:tc>
      </w:tr>
      <w:tr>
        <w:tblPrEx>
          <w:tblW w:w="5000" w:type="pct"/>
          <w:tblCellMar>
            <w:left w:w="108" w:type="dxa"/>
            <w:right w:w="108" w:type="dxa"/>
          </w:tblCellMar>
        </w:tblPrEx>
        <w:tc>
          <w:tcPr/>
          <w:p>
            <w:r>
              <w:t>13</w:t>
            </w:r>
          </w:p>
        </w:tc>
        <w:tc>
          <w:tcPr>
            <w:vMerge/>
          </w:tcPr>
          <w:p>
            <w:r>
              <w:t>服务部分</w:t>
            </w:r>
          </w:p>
        </w:tc>
        <w:tc>
          <w:tcPr/>
          <w:p>
            <w:r>
              <w:t>资产台账专项梳理服务支撑工具</w:t>
            </w:r>
          </w:p>
        </w:tc>
        <w:tc>
          <w:tcPr/>
          <w:p>
            <w:r>
              <w:t>勾选打分</w:t>
            </w:r>
            <w:r>
              <w:t>(6)</w:t>
            </w:r>
          </w:p>
        </w:tc>
        <w:tc>
          <w:tcPr/>
          <w:p>
            <w:r>
              <w:t>评审标准：</w:t>
            </w:r>
          </w:p>
          <w:p>
            <w:r>
              <w:t>投标人应提供合理的服务支撑工具开展资产台账专项梳理服务，工具应至少具备以下能力：</w:t>
              <w:cr/>
              <w:t>（1）采购人现有资产管理工具包括：气象安全运营平台、FoEYE资产测绘系统、深信服主机安全软件aES、画方终端准入系统。服务支撑工具需与采购人使用的同品牌资产管理工具完成对接。</w:t>
              <w:cr/>
              <w:t>（2）提供对话问答查询功能，对接入后的资产进行各个维度的统计、查询；支持根据不同的字段与属性进行查询，如特定开放的端口、资产的责任人、资产的类型、不同的区域等多个维度。</w:t>
              <w:cr/>
              <w:t>以上每满足1项得3分，最高得6分。</w:t>
            </w:r>
          </w:p>
          <w:p>
            <w:r>
              <w:t>评审标准说明：</w:t>
            </w:r>
          </w:p>
          <w:p>
            <w:r>
              <w:t>投标人需提供成功应用案例或证明可行的工具白皮书。</w:t>
            </w:r>
          </w:p>
          <w:p/>
        </w:tc>
      </w:tr>
      <w:tr>
        <w:tblPrEx>
          <w:tblW w:w="5000" w:type="pct"/>
          <w:tblCellMar>
            <w:left w:w="108" w:type="dxa"/>
            <w:right w:w="108" w:type="dxa"/>
          </w:tblCellMar>
        </w:tblPrEx>
        <w:tc>
          <w:tcPr/>
          <w:p>
            <w:r>
              <w:t>14</w:t>
            </w:r>
          </w:p>
        </w:tc>
        <w:tc>
          <w:tcPr>
            <w:vMerge/>
          </w:tcPr>
          <w:p>
            <w:r>
              <w:t>服务部分</w:t>
            </w:r>
          </w:p>
        </w:tc>
        <w:tc>
          <w:tcPr/>
          <w:p>
            <w:r>
              <w:t>风险管理能力建设服务支撑工具</w:t>
            </w:r>
          </w:p>
        </w:tc>
        <w:tc>
          <w:tcPr/>
          <w:p>
            <w:r>
              <w:t>勾选打分</w:t>
            </w:r>
            <w:r>
              <w:t>(9)</w:t>
            </w:r>
          </w:p>
        </w:tc>
        <w:tc>
          <w:tcPr/>
          <w:p>
            <w:r>
              <w:t>评审标准：</w:t>
            </w:r>
          </w:p>
          <w:p>
            <w:r>
              <w:t>投标人应提供合理的服务支撑工具开展风险管理能力建设服务，工具应至少具备以下能力：</w:t>
              <w:cr/>
              <w:t>（1）采购人现有漏洞扫描工具包括：启明星辰天镜、奇安信SecVSS 3600漏洞扫描系统、深信服云镜，绿盟RSAS。服务支撑工具需与采购人使用的同品牌漏洞扫描工具完成对接。</w:t>
              <w:cr/>
              <w:t>（2）提供对话问答查询功能，对接入后的漏洞信息进行各个维度的统计、查询；支持问答查询指定漏洞的资产影响范围。</w:t>
              <w:cr/>
              <w:t>（3）提供7*24H风险预警服务。支持采购人以服务监控门户（或用户portal）的形式对服务细节进行查看，需包含采购人资产暴露面变动的提醒、资产上下线、端口增减等；对攻击面变动的预警，包括漏洞预警、新增风险等；对敏感数据泄露事件的预警，包括事件时间、事件类型、事件情况等。</w:t>
              <w:cr/>
              <w:t>以上每满足1项得3分，最高得9分。</w:t>
            </w:r>
          </w:p>
          <w:p>
            <w:r>
              <w:t>评审标准说明：</w:t>
            </w:r>
          </w:p>
          <w:p>
            <w:r>
              <w:t>投标人需提供成功应用案例或证明可行的工具白皮书。</w:t>
            </w:r>
          </w:p>
          <w:p/>
        </w:tc>
      </w:tr>
      <w:tr>
        <w:tblPrEx>
          <w:tblW w:w="5000" w:type="pct"/>
          <w:tblCellMar>
            <w:left w:w="108" w:type="dxa"/>
            <w:right w:w="108" w:type="dxa"/>
          </w:tblCellMar>
        </w:tblPrEx>
        <w:tc>
          <w:tcPr/>
          <w:p>
            <w:r>
              <w:t>15</w:t>
            </w:r>
          </w:p>
        </w:tc>
        <w:tc>
          <w:tcPr>
            <w:vMerge/>
          </w:tcPr>
          <w:p>
            <w:r>
              <w:t>服务部分</w:t>
            </w:r>
          </w:p>
        </w:tc>
        <w:tc>
          <w:tcPr/>
          <w:p>
            <w:r>
              <w:t>态势感知能力建设服务支撑工具</w:t>
            </w:r>
          </w:p>
        </w:tc>
        <w:tc>
          <w:tcPr/>
          <w:p>
            <w:r>
              <w:t>勾选打分</w:t>
            </w:r>
            <w:r>
              <w:t>(9)</w:t>
            </w:r>
          </w:p>
        </w:tc>
        <w:tc>
          <w:tcPr/>
          <w:p>
            <w:r>
              <w:t>评审标准：</w:t>
            </w:r>
          </w:p>
          <w:p>
            <w:r>
              <w:t>投标人应提供合理的服务支撑工具开展态势感知能力建设服务，工具应至少具备以下能力：</w:t>
              <w:cr/>
              <w:t>（1）支持告警智能定性分析，可以将告警诊断定性为定向攻击、攻防演练、内部测试、监管通报、病毒、扫描器攻击、脆弱性风险、业务不规范与其他威胁等。</w:t>
              <w:cr/>
              <w:t>（2）支持基于对话框的模式，查询安全事件的列表、并能够根据事件的危害等级进行排查整理。</w:t>
              <w:cr/>
              <w:t>（3）支持以故事线、自然语言的方式对安全事件进行解读，进行讲述、帮助用户看清当前事件的来龙去脉。需提供工具功能界面截图并加盖投标人公章。</w:t>
              <w:cr/>
              <w:t>以上每满足1项得3分，最高得9分。</w:t>
            </w:r>
          </w:p>
          <w:p>
            <w:r>
              <w:t>评审标准说明：</w:t>
            </w:r>
          </w:p>
          <w:p>
            <w:r>
              <w:t>投标人需提供成功应用案例或证明可行的工具白皮书。</w:t>
            </w:r>
          </w:p>
          <w:p/>
        </w:tc>
      </w:tr>
      <w:tr>
        <w:tblPrEx>
          <w:tblW w:w="5000" w:type="pct"/>
          <w:tblCellMar>
            <w:left w:w="108" w:type="dxa"/>
            <w:right w:w="108" w:type="dxa"/>
          </w:tblCellMar>
        </w:tblPrEx>
        <w:tc>
          <w:tcPr/>
          <w:p>
            <w:r>
              <w:t>16</w:t>
            </w:r>
          </w:p>
        </w:tc>
        <w:tc>
          <w:tcPr>
            <w:vMerge/>
          </w:tcPr>
          <w:p>
            <w:r>
              <w:t>服务部分</w:t>
            </w:r>
          </w:p>
        </w:tc>
        <w:tc>
          <w:tcPr/>
          <w:p>
            <w:r>
              <w:t>事件处置能力建设服务支撑工具</w:t>
            </w:r>
          </w:p>
        </w:tc>
        <w:tc>
          <w:tcPr/>
          <w:p>
            <w:r>
              <w:t>勾选打分</w:t>
            </w:r>
            <w:r>
              <w:t>(6)</w:t>
            </w:r>
          </w:p>
        </w:tc>
        <w:tc>
          <w:tcPr/>
          <w:p>
            <w:r>
              <w:t>评审标准：</w:t>
            </w:r>
          </w:p>
          <w:p>
            <w:r>
              <w:t>投标人应提供合理的服务支撑工具开展事件处置能力建设服务，工具应至少具备以下能力：</w:t>
              <w:cr/>
              <w:t>（1）支持自定义安全处置剧本，并有效执行响应动作。安全事件告警产生后，对于符合预置条件的能够在5分钟内完成自动化响应处置。需提供单个工作日的IP封禁记录的工具截图并加盖制造厂商公章。</w:t>
              <w:cr/>
              <w:t>（2）支持基于场景智能推荐安全处置剧本，可选择对应剧本进行预览或快速执行。</w:t>
              <w:cr/>
              <w:t>以上每满足1项得3分，最高得6分。</w:t>
            </w:r>
          </w:p>
          <w:p>
            <w:r>
              <w:t>评审标准说明：</w:t>
            </w:r>
          </w:p>
          <w:p>
            <w:r>
              <w:t>投标人需提供成功应用案例或证明可行的工具白皮书。</w:t>
            </w:r>
          </w:p>
          <w:p/>
        </w:tc>
      </w:tr>
      <w:tr>
        <w:tblPrEx>
          <w:tblW w:w="5000" w:type="pct"/>
          <w:tblCellMar>
            <w:left w:w="108" w:type="dxa"/>
            <w:right w:w="108" w:type="dxa"/>
          </w:tblCellMar>
        </w:tblPrEx>
        <w:tc>
          <w:tcPr/>
          <w:p>
            <w:r>
              <w:t>17</w:t>
            </w:r>
          </w:p>
        </w:tc>
        <w:tc>
          <w:tcPr>
            <w:vMerge/>
          </w:tcPr>
          <w:p>
            <w:r>
              <w:t>服务部分</w:t>
            </w:r>
          </w:p>
        </w:tc>
        <w:tc>
          <w:tcPr/>
          <w:p>
            <w:r>
              <w:t>安全日志分析服务支撑工具</w:t>
            </w:r>
          </w:p>
        </w:tc>
        <w:tc>
          <w:tcPr/>
          <w:p>
            <w:r>
              <w:t>勾选打分</w:t>
            </w:r>
            <w:r>
              <w:t>(3)</w:t>
            </w:r>
          </w:p>
        </w:tc>
        <w:tc>
          <w:tcPr/>
          <w:p>
            <w:r>
              <w:t>评审标准：</w:t>
            </w:r>
          </w:p>
          <w:p>
            <w:r>
              <w:t>投标人应提供合理的服务支撑工具开展安全日志分析服务，工具应至少具备以下能力：</w:t>
              <w:cr/>
              <w:t>支持对接入安全日志的数据质量效果开展评级，以确定安全日志分析的预期效果，应至少支持三个等级进行区分，并统计每个等级的分析结果。</w:t>
              <w:cr/>
              <w:t>完全满足得3分，否则不得分。</w:t>
            </w:r>
          </w:p>
          <w:p>
            <w:r>
              <w:t>评审标准说明：</w:t>
            </w:r>
          </w:p>
          <w:p>
            <w:r>
              <w:t>投标人需提供成功应用案例或证明可行的工具白皮书。</w:t>
            </w:r>
          </w:p>
          <w:p/>
        </w:tc>
      </w:tr>
      <w:tr>
        <w:tblPrEx>
          <w:tblW w:w="5000" w:type="pct"/>
          <w:tblCellMar>
            <w:left w:w="108" w:type="dxa"/>
            <w:right w:w="108" w:type="dxa"/>
          </w:tblCellMar>
        </w:tblPrEx>
        <w:tc>
          <w:tcPr/>
          <w:p>
            <w:r>
              <w:t>18</w:t>
            </w:r>
          </w:p>
        </w:tc>
        <w:tc>
          <w:tcPr>
            <w:vMerge/>
          </w:tcPr>
          <w:p>
            <w:r>
              <w:t>服务部分</w:t>
            </w:r>
          </w:p>
        </w:tc>
        <w:tc>
          <w:tcPr/>
          <w:p>
            <w:r>
              <w:t>项目关键点分析和理解</w:t>
            </w:r>
          </w:p>
        </w:tc>
        <w:tc>
          <w:tcPr/>
          <w:p>
            <w:r>
              <w:t>勾选打分</w:t>
            </w:r>
            <w:r>
              <w:t>(4)</w:t>
            </w:r>
          </w:p>
        </w:tc>
        <w:tc>
          <w:tcPr/>
          <w:p>
            <w:r>
              <w:t>评审标准：</w:t>
            </w:r>
          </w:p>
          <w:p>
            <w:r>
              <w:t>一档0分</w:t>
              <w:cr/>
              <w:t>二档2分</w:t>
              <w:cr/>
              <w:t>三档4分</w:t>
            </w:r>
          </w:p>
          <w:p>
            <w:r>
              <w:t>评审标准说明：</w:t>
            </w:r>
          </w:p>
          <w:p>
            <w:r>
              <w:t>根据投标人对项目可能面临的难点和关键点进行充分分析与准备，提供关键点分析理解。具体评分标准如下：</w:t>
              <w:cr/>
              <w:t>一档：未提供相关内容。</w:t>
              <w:cr/>
              <w:t>二档：对关键点、难点有所描述，但理解分析一般。</w:t>
              <w:cr/>
              <w:t>三档：对关键点、难点总结清晰、描述准确，问题理解分析科学合理，有明确的解决办法建议。</w:t>
            </w:r>
          </w:p>
          <w:p/>
        </w:tc>
      </w:tr>
    </w:tbl>
    <w:p w:rsidR="00A77B3E">
      <w:r>
        <w:t xml:space="preserve">      </w:t>
      </w:r>
    </w:p>
    <w:p w:rsidR="00A77B3E"/>
    <w:p w:rsidR="00A77B3E">
      <w:bookmarkEnd w:id="57"/>
    </w:p>
    <w:p>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bookmarkStart w:id="59" w:name="插入_采购需求书_0"/>
      <w:r>
        <w:rPr>
          <w:rFonts w:ascii="宋体" w:hAnsi="宋体" w:hint="eastAsia"/>
          <w:b/>
          <w:sz w:val="30"/>
          <w:szCs w:val="30"/>
        </w:rPr>
        <w:t>第七章  采购需求</w:t>
      </w:r>
    </w:p>
    <w:p>
      <w:pPr>
        <w:ind w:firstLine="422"/>
        <w:jc w:val="left"/>
        <w:rPr>
          <w:b/>
          <w:szCs w:val="21"/>
        </w:rPr>
      </w:pPr>
    </w:p>
    <w:p>
      <w:pPr>
        <w:autoSpaceDE w:val="0"/>
        <w:autoSpaceDN w:val="0"/>
        <w:ind w:firstLine="420"/>
        <w:contextualSpacing/>
        <w:rPr>
          <w:rFonts w:ascii="宋体" w:hAnsi="宋体" w:cs="宋体"/>
          <w:kern w:val="0"/>
          <w:szCs w:val="21"/>
        </w:rPr>
      </w:pPr>
      <w:r>
        <w:rPr>
          <w:rFonts w:ascii="宋体" w:hAnsi="宋体" w:cs="宋体" w:hint="eastAsia"/>
          <w:kern w:val="0"/>
          <w:szCs w:val="21"/>
        </w:rPr>
        <w:t>根据中国气象局网络安全和信息化领导小组2024年第一次会议指示精神，国家气象信息中心正在多措并举，扎实推进筑牢气象网络安全新屏障相关工作。通过组建国家气象信息中心网络安全服务团队，开展国家气象信息中心日常安全运营工作，并同步构建面向国省气象部门的安全监测预警能力，向着“整体防护、纵深防御、联防联控”的气象网络空间安全防护目标稳步推进。</w:t>
      </w:r>
    </w:p>
    <w:p>
      <w:pPr>
        <w:autoSpaceDE w:val="0"/>
        <w:autoSpaceDN w:val="0"/>
        <w:ind w:firstLine="420"/>
        <w:contextualSpacing/>
        <w:rPr>
          <w:rFonts w:ascii="宋体" w:hAnsi="宋体" w:cs="宋体"/>
          <w:kern w:val="0"/>
          <w:szCs w:val="21"/>
        </w:rPr>
      </w:pPr>
      <w:r>
        <w:rPr>
          <w:rFonts w:ascii="宋体" w:hAnsi="宋体" w:cs="宋体" w:hint="eastAsia"/>
          <w:kern w:val="0"/>
          <w:szCs w:val="21"/>
        </w:rPr>
        <w:t>当前，国家气象信息中心已建成安全运营平台，广泛收集国家级各直属单位安全日志，并通过安全运营平台协同响应组件收集各省局网络安全日志及关键原始流量日志，形成了国省联动、一体化防护的安全管理能力。现网安全运营平台已建成资产管理、脆弱性管理、威胁与事件管理等功能，下一步计划通过采购网络安全服务，持续推动国家气象信息中心建成满足常态化、实战化网络安全运行要求的立体安全防护体系。一方面确保平时的网络安全高质量健康发展，另一方面不断提升网络安全对抗能力，做好关键时期的网络安全保障工作，持续不断把网络安全运行所做的各项工作运用到关键信息基础设施网络安全防护工作中，促进网络安全综合防护能力和水平持续提升。</w:t>
      </w:r>
    </w:p>
    <w:p>
      <w:pPr>
        <w:keepNext/>
        <w:keepLines/>
        <w:numPr>
          <w:ilvl w:val="0"/>
          <w:numId w:val="4"/>
        </w:numPr>
        <w:autoSpaceDE w:val="0"/>
        <w:autoSpaceDN w:val="0"/>
        <w:ind w:left="0" w:firstLine="418"/>
        <w:contextualSpacing/>
        <w:jc w:val="left"/>
        <w:outlineLvl w:val="2"/>
        <w:rPr>
          <w:rFonts w:ascii="Calibri" w:hAnsi="Calibri"/>
          <w:b/>
          <w:bCs/>
          <w:spacing w:val="-1"/>
          <w:szCs w:val="21"/>
        </w:rPr>
      </w:pPr>
      <w:r>
        <w:rPr>
          <w:rFonts w:ascii="Calibri" w:hAnsi="Calibri"/>
          <w:b/>
          <w:bCs/>
          <w:spacing w:val="-1"/>
          <w:szCs w:val="21"/>
        </w:rPr>
        <w:t>服务时间</w:t>
      </w:r>
    </w:p>
    <w:p>
      <w:pPr>
        <w:autoSpaceDE w:val="0"/>
        <w:autoSpaceDN w:val="0"/>
        <w:ind w:firstLine="420"/>
        <w:contextualSpacing/>
        <w:rPr>
          <w:rFonts w:ascii="宋体" w:hAnsi="宋体" w:cs="宋体"/>
          <w:kern w:val="0"/>
          <w:szCs w:val="21"/>
        </w:rPr>
      </w:pPr>
      <w:r>
        <w:rPr>
          <w:rFonts w:ascii="宋体" w:hAnsi="宋体" w:cs="宋体"/>
          <w:kern w:val="0"/>
          <w:szCs w:val="21"/>
        </w:rPr>
        <w:t>2026年1月1日至2026年12月31日（若合同签订时间晚于2026年1月1日，则从合同签订之日起一年）。</w:t>
      </w:r>
    </w:p>
    <w:p>
      <w:pPr>
        <w:keepNext/>
        <w:keepLines/>
        <w:numPr>
          <w:ilvl w:val="0"/>
          <w:numId w:val="4"/>
        </w:numPr>
        <w:autoSpaceDE w:val="0"/>
        <w:autoSpaceDN w:val="0"/>
        <w:ind w:left="0" w:firstLine="418"/>
        <w:contextualSpacing/>
        <w:jc w:val="left"/>
        <w:outlineLvl w:val="2"/>
        <w:rPr>
          <w:rFonts w:ascii="Calibri" w:hAnsi="Calibri"/>
          <w:b/>
          <w:bCs/>
          <w:spacing w:val="-1"/>
          <w:szCs w:val="21"/>
        </w:rPr>
      </w:pPr>
      <w:r>
        <w:rPr>
          <w:rFonts w:ascii="Calibri" w:hAnsi="Calibri"/>
          <w:b/>
          <w:bCs/>
          <w:spacing w:val="-1"/>
          <w:szCs w:val="21"/>
        </w:rPr>
        <w:t>服务内容基本要求</w:t>
      </w:r>
    </w:p>
    <w:p/>
    <w:p>
      <w:pPr>
        <w:numPr>
          <w:ilvl w:val="1"/>
          <w:numId w:val="5"/>
        </w:numPr>
        <w:autoSpaceDE w:val="0"/>
        <w:autoSpaceDN w:val="0"/>
        <w:ind w:hanging="642"/>
        <w:contextualSpacing/>
        <w:jc w:val="left"/>
        <w:outlineLvl w:val="3"/>
        <w:rPr>
          <w:rFonts w:asciiTheme="minorEastAsia" w:hAnsiTheme="minorEastAsia" w:cstheme="minorEastAsia"/>
          <w:b/>
          <w:bCs/>
          <w:szCs w:val="28"/>
        </w:rPr>
      </w:pPr>
      <w:r>
        <w:rPr>
          <w:rFonts w:asciiTheme="minorEastAsia" w:hAnsiTheme="minorEastAsia" w:cstheme="minorEastAsia" w:hint="eastAsia"/>
          <w:b/>
          <w:bCs/>
          <w:szCs w:val="28"/>
        </w:rPr>
        <w:t>管理规范能力建设</w:t>
      </w: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 w:val="28"/>
          <w:szCs w:val="28"/>
        </w:rPr>
      </w:pPr>
      <w:r>
        <w:rPr>
          <w:rFonts w:asciiTheme="minorEastAsia" w:hAnsiTheme="minorEastAsia" w:cstheme="minorEastAsia" w:hint="eastAsia"/>
          <w:b/>
          <w:bCs/>
          <w:szCs w:val="21"/>
        </w:rPr>
        <w:t>安全运营咨询规划</w:t>
      </w:r>
    </w:p>
    <w:p>
      <w:pPr>
        <w:autoSpaceDE w:val="0"/>
        <w:autoSpaceDN w:val="0"/>
        <w:ind w:firstLine="420"/>
        <w:contextualSpacing/>
        <w:rPr>
          <w:rFonts w:ascii="宋体" w:hAnsi="宋体" w:cs="宋体"/>
          <w:kern w:val="0"/>
          <w:szCs w:val="21"/>
        </w:rPr>
      </w:pPr>
      <w:r>
        <w:rPr>
          <w:rFonts w:ascii="宋体" w:hAnsi="宋体" w:cs="宋体" w:hint="eastAsia"/>
          <w:kern w:val="0"/>
          <w:szCs w:val="21"/>
        </w:rPr>
        <w:t>投标人应综合运用人员访谈、问卷调查、专题研讨及文档审阅等方法，全面协助国家气象信息中心系统梳理网络安全运营现状，准确掌握职能部门职责、现有工作模式、核心需求及各相关单位实际情况。在此基础上，须从管理、技术、运营三个体系维度深入剖析薄弱环节与突出矛盾，精准定位影响安全运营效能的关键因素，提炼形成符合中心实际的安全能力建设需求。投标人应紧密依据国家网络安全法律法规和行业标准规范，结合中心业务发展战略与安全要求，系统分析内外部安全威胁与当前工作挑战，科学制定与中心使命任务相匹配、兼具前瞻性与可行性的安全运营工作目标。进而，须围绕现状与中长期目标开展顶层业务设计，对安全运营服务、组织、平台、制度等核心要素按建设优先级与实施路径进行科学规划，形成分阶段能力建设方案。最终，应结合现有基础完成体系架构的详细设计，明确技术架构优化、组织职能设置、管理制度完善和流程规范建设等内容，确保形成支撑业务、符合合规、可持续演进的安全运营体系。</w:t>
      </w:r>
    </w:p>
    <w:p>
      <w:pPr>
        <w:tabs>
          <w:tab w:val="left" w:pos="1060"/>
          <w:tab w:val="left" w:pos="1061"/>
        </w:tabs>
        <w:ind w:firstLine="414"/>
        <w:contextualSpacing/>
        <w:rPr>
          <w:rFonts w:asciiTheme="minorEastAsia" w:hAnsiTheme="minorEastAsia" w:cstheme="minorEastAsia"/>
          <w:b/>
          <w:bCs/>
          <w:color w:val="0F1115"/>
          <w:sz w:val="19"/>
          <w:szCs w:val="19"/>
          <w:shd w:val="clear" w:color="auto" w:fill="FFFFFF"/>
        </w:rPr>
      </w:pPr>
      <w:r>
        <w:rPr>
          <w:rFonts w:asciiTheme="minorEastAsia" w:hAnsiTheme="minorEastAsia" w:cstheme="minorEastAsia" w:hint="eastAsia"/>
          <w:b/>
          <w:bCs/>
          <w:color w:val="0F1115"/>
          <w:sz w:val="19"/>
          <w:szCs w:val="19"/>
          <w:shd w:val="clear" w:color="auto" w:fill="FFFFFF"/>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 xml:space="preserve">《国家气象信息中心网络安全运营管理办法》 </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《国家气象信息中心安全运营整体规划设计》</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《国家气象信息中心安全运营组织职能设计》</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《国家气象信息中心安全运营流程规范》</w:t>
      </w:r>
    </w:p>
    <w:p>
      <w:pPr>
        <w:rPr>
          <w:rFonts w:asciiTheme="minorEastAsia" w:hAnsiTheme="minorEastAsia" w:cstheme="minorEastAsia"/>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运营流程制定与优化服务</w:t>
      </w:r>
    </w:p>
    <w:p>
      <w:pPr>
        <w:tabs>
          <w:tab w:val="left" w:pos="1060"/>
          <w:tab w:val="left" w:pos="1061"/>
        </w:tabs>
        <w:ind w:firstLine="416"/>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投标人应围绕国家气象信息中心行业特征、重点安全需求与内部职能分工，针对性制定科学、规范的专属安全运营流程。在流程实施过程中，须结合气象安全运营平台运行实际持续优化改进，及时调整执行不畅环节，固化行之有效的实践经验，形成迭代更新、自我完善的良性机制。要注重沉淀和提炼标准化的安全处置预案，确保预案可操作、见实效。重点提升安全事件自动化处置能力，在告警触发且符合预设条件时，须在5分钟内完成自动化响应与处置，切实增强安全运营的时效性与精准性。</w:t>
      </w:r>
    </w:p>
    <w:p>
      <w:pPr>
        <w:tabs>
          <w:tab w:val="left" w:pos="1060"/>
          <w:tab w:val="left" w:pos="1061"/>
        </w:tabs>
        <w:ind w:firstLine="414"/>
        <w:contextualSpacing/>
        <w:rPr>
          <w:rFonts w:asciiTheme="minorEastAsia" w:hAnsiTheme="minorEastAsia" w:cstheme="minorEastAsia"/>
          <w:b/>
          <w:bCs/>
          <w:color w:val="0F1115"/>
          <w:sz w:val="19"/>
          <w:szCs w:val="19"/>
          <w:shd w:val="clear" w:color="auto" w:fill="FFFFFF"/>
        </w:rPr>
      </w:pPr>
      <w:r>
        <w:rPr>
          <w:rFonts w:asciiTheme="minorEastAsia" w:hAnsiTheme="minorEastAsia" w:cstheme="minorEastAsia" w:hint="eastAsia"/>
          <w:b/>
          <w:bCs/>
          <w:color w:val="0F1115"/>
          <w:sz w:val="19"/>
          <w:szCs w:val="19"/>
          <w:shd w:val="clear" w:color="auto" w:fill="FFFFFF"/>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 xml:space="preserve">《国家气象信息中心资产运营流程》 </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《国家气象信息中心脆弱性运营流程》</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《国家气象信息中心事件处置流程》</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《国家气象信息中心数据外发监测流程》</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《国家气象信息中心异常接口监测流程》</w:t>
      </w:r>
    </w:p>
    <w:p>
      <w:pPr>
        <w:tabs>
          <w:tab w:val="left" w:pos="1060"/>
          <w:tab w:val="left" w:pos="1061"/>
        </w:tabs>
        <w:ind w:firstLine="416"/>
        <w:contextualSpacing/>
        <w:rPr>
          <w:rFonts w:asciiTheme="minorEastAsia" w:hAnsiTheme="minorEastAsia" w:cstheme="minorEastAsia"/>
          <w:color w:val="0F1115"/>
          <w:sz w:val="19"/>
          <w:szCs w:val="19"/>
          <w:shd w:val="clear" w:color="auto" w:fill="FFFFFF"/>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 w:val="28"/>
          <w:szCs w:val="28"/>
        </w:rPr>
      </w:pPr>
      <w:r>
        <w:rPr>
          <w:rFonts w:asciiTheme="minorEastAsia" w:hAnsiTheme="minorEastAsia" w:cstheme="minorEastAsia" w:hint="eastAsia"/>
          <w:b/>
          <w:bCs/>
          <w:szCs w:val="21"/>
        </w:rPr>
        <w:t>协助业务系统合规服务</w:t>
      </w:r>
    </w:p>
    <w:p>
      <w:pPr>
        <w:tabs>
          <w:tab w:val="left" w:pos="1060"/>
          <w:tab w:val="left" w:pos="1061"/>
        </w:tabs>
        <w:ind w:firstLine="416"/>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投标人应根据上级主管机关的工作部署与要求，积极配合完成国家气象信息中心所辖关键信息基础设施的合规性建设工作。系统开展所辖信息系统的定级备案、专家评审、差距分析、整改方案设计与评审、整改实施及等级测评协助等全流程安全服务，确保各项环节符合规范要求。严格遵循等级保护制度，确保三级系统每年、二级系统每两年完成一次等级测评工作，确保持续符合国家网络安全标准。</w:t>
      </w:r>
    </w:p>
    <w:p>
      <w:pPr>
        <w:autoSpaceDE w:val="0"/>
        <w:autoSpaceDN w:val="0"/>
        <w:ind w:firstLine="422"/>
        <w:contextualSpacing/>
        <w:jc w:val="left"/>
        <w:rPr>
          <w:rFonts w:asciiTheme="minorEastAsia" w:hAnsiTheme="minorEastAsia" w:cstheme="minorEastAsia"/>
          <w:b/>
          <w:kern w:val="0"/>
          <w:szCs w:val="21"/>
        </w:rPr>
      </w:pPr>
      <w:r>
        <w:rPr>
          <w:rFonts w:asciiTheme="minorEastAsia" w:hAnsiTheme="minorEastAsia" w:cstheme="minorEastAsia" w:hint="eastAsia"/>
          <w:b/>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《国家气象信息中心等保三级系统差距分析报告》</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《国家气象信息中心等保三级系统整改方案》</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其他材料根据上级主管部门要求提供</w:t>
      </w:r>
    </w:p>
    <w:p>
      <w:pPr>
        <w:rPr>
          <w:rFonts w:asciiTheme="minorEastAsia" w:hAnsiTheme="minorEastAsia" w:cstheme="minorEastAsia"/>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协助安全绩效评估服务</w:t>
      </w:r>
    </w:p>
    <w:p>
      <w:pPr>
        <w:tabs>
          <w:tab w:val="left" w:pos="1060"/>
          <w:tab w:val="left" w:pos="1061"/>
        </w:tabs>
        <w:ind w:firstLine="416"/>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投标人应协助国家气象信息中心建立健全网络安全绩效评估体系，科学构建评估指标，系统开展网络安全工作成效的常态化监测与量化评价。通过全面评估安全管理制度落实、技术防护能力建设、安全运营成效等关键方面，准确反映网络安全工作现状与短板，为中心持续优化资源投入、落实安全责任、提升整体网络安全保障水平提供决策依据。</w:t>
      </w:r>
    </w:p>
    <w:p>
      <w:pPr>
        <w:autoSpaceDE w:val="0"/>
        <w:autoSpaceDN w:val="0"/>
        <w:ind w:firstLine="422"/>
        <w:contextualSpacing/>
        <w:jc w:val="left"/>
        <w:rPr>
          <w:rFonts w:asciiTheme="minorEastAsia" w:hAnsiTheme="minorEastAsia" w:cstheme="minorEastAsia"/>
          <w:b/>
          <w:kern w:val="0"/>
          <w:szCs w:val="21"/>
        </w:rPr>
      </w:pPr>
      <w:r>
        <w:rPr>
          <w:rFonts w:asciiTheme="minorEastAsia" w:hAnsiTheme="minorEastAsia" w:cstheme="minorEastAsia" w:hint="eastAsia"/>
          <w:b/>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《国家气象信息中心安全绩效评估流程》</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《国家气象信息中心安全绩效评估报告》</w:t>
      </w:r>
    </w:p>
    <w:p>
      <w:pPr>
        <w:tabs>
          <w:tab w:val="left" w:pos="1060"/>
          <w:tab w:val="left" w:pos="1061"/>
        </w:tabs>
        <w:ind w:firstLine="416"/>
        <w:contextualSpacing/>
        <w:rPr>
          <w:rFonts w:asciiTheme="minorEastAsia" w:hAnsiTheme="minorEastAsia" w:cstheme="minorEastAsia"/>
          <w:color w:val="0F1115"/>
          <w:sz w:val="19"/>
          <w:szCs w:val="19"/>
          <w:shd w:val="clear" w:color="auto" w:fill="FFFFFF"/>
        </w:rPr>
      </w:pPr>
    </w:p>
    <w:p>
      <w:pPr>
        <w:rPr>
          <w:rFonts w:asciiTheme="minorEastAsia" w:hAnsiTheme="minorEastAsia" w:cstheme="minorEastAsia"/>
          <w:color w:val="0F1115"/>
          <w:sz w:val="19"/>
          <w:szCs w:val="19"/>
          <w:shd w:val="clear" w:color="auto" w:fill="FFFFFF"/>
        </w:rPr>
      </w:pPr>
    </w:p>
    <w:p>
      <w:pPr>
        <w:numPr>
          <w:ilvl w:val="1"/>
          <w:numId w:val="5"/>
        </w:numPr>
        <w:autoSpaceDE w:val="0"/>
        <w:autoSpaceDN w:val="0"/>
        <w:ind w:hanging="642"/>
        <w:contextualSpacing/>
        <w:jc w:val="left"/>
        <w:outlineLvl w:val="3"/>
        <w:rPr>
          <w:rFonts w:asciiTheme="minorEastAsia" w:hAnsiTheme="minorEastAsia" w:cstheme="minorEastAsia"/>
          <w:b/>
          <w:bCs/>
          <w:szCs w:val="28"/>
        </w:rPr>
      </w:pPr>
      <w:r>
        <w:rPr>
          <w:rFonts w:asciiTheme="minorEastAsia" w:hAnsiTheme="minorEastAsia" w:cstheme="minorEastAsia" w:hint="eastAsia"/>
          <w:b/>
          <w:bCs/>
          <w:szCs w:val="28"/>
        </w:rPr>
        <w:t>风险管理能力建设</w:t>
      </w: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信息安全风险评估服务</w:t>
      </w:r>
    </w:p>
    <w:p>
      <w:pPr>
        <w:tabs>
          <w:tab w:val="left" w:pos="1060"/>
          <w:tab w:val="left" w:pos="1061"/>
        </w:tabs>
        <w:ind w:firstLine="416"/>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投标人应依据国家网络安全法律法规及相关标准要求，定期对国家气象信息中心关基系统开展全面、深入的安全风险评估。通过系统化的技术检测与管理核查，精准识别系统存在的脆弱性、潜在安全威胁及管理薄弱环节，科学分析安全风险可能造成的业务影响，并据此提出具有针对性与可操作性的加固整改建议，形成系统性的风险评估成果，为提升中心整体网络安全防护能力提供决策依据与实践指引。</w:t>
      </w:r>
    </w:p>
    <w:p>
      <w:pPr>
        <w:autoSpaceDE w:val="0"/>
        <w:autoSpaceDN w:val="0"/>
        <w:ind w:firstLine="422"/>
        <w:contextualSpacing/>
        <w:jc w:val="left"/>
        <w:rPr>
          <w:rFonts w:asciiTheme="minorEastAsia" w:hAnsiTheme="minorEastAsia" w:cstheme="minorEastAsia"/>
          <w:b/>
          <w:kern w:val="0"/>
          <w:szCs w:val="21"/>
        </w:rPr>
      </w:pPr>
      <w:r>
        <w:rPr>
          <w:rFonts w:asciiTheme="minorEastAsia" w:hAnsiTheme="minorEastAsia" w:cstheme="minorEastAsia" w:hint="eastAsia"/>
          <w:b/>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《国家气象信息中心信息系统信息安全风险评估报告》</w:t>
      </w:r>
    </w:p>
    <w:p>
      <w:pPr>
        <w:rPr>
          <w:rFonts w:asciiTheme="minorEastAsia" w:hAnsiTheme="minorEastAsia" w:cstheme="minorEastAsia"/>
        </w:rPr>
      </w:pPr>
    </w:p>
    <w:p>
      <w:pPr>
        <w:tabs>
          <w:tab w:val="left" w:pos="1060"/>
          <w:tab w:val="left" w:pos="1061"/>
        </w:tabs>
        <w:contextualSpacing/>
        <w:rPr>
          <w:rFonts w:asciiTheme="minorEastAsia" w:hAnsiTheme="minorEastAsia" w:cstheme="minorEastAsia"/>
          <w:color w:val="0F1115"/>
          <w:sz w:val="19"/>
          <w:szCs w:val="19"/>
          <w:shd w:val="clear" w:color="auto" w:fill="FFFFFF"/>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渗透测试与漏洞扫描服务</w:t>
      </w:r>
    </w:p>
    <w:p>
      <w:pPr>
        <w:tabs>
          <w:tab w:val="left" w:pos="1060"/>
          <w:tab w:val="left" w:pos="1061"/>
        </w:tabs>
        <w:ind w:firstLine="416"/>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投标人应在严格授权与全程监督下，对国家气象信息中心指定的不少于40个互联网域名开展至少两次受控、非破坏性的渗透测试，全面检测与深度验证系统存在的安全隐患，并提出针对性修复方案。完成整改加固后须实施复测，验证防护措施有效性，确保安全问题闭环管理。服务期内每季度对国家级业务全网（含备份中心及超算中心）实施至少一次系统性漏洞扫描，精准识别安全脆弱点，并编制详尽的处置建议与整改指引，全面强化网络安全纵深防御能力。</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《国家气象信息中心渗透测试报告》</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《国家气象信息中心漏洞扫描报告》</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《国家气象信息中心漏洞反馈表》</w:t>
      </w:r>
    </w:p>
    <w:p>
      <w:pPr>
        <w:rPr>
          <w:rFonts w:asciiTheme="minorEastAsia" w:hAnsiTheme="minorEastAsia" w:cstheme="minorEastAsia"/>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源代码安全审计服务</w:t>
      </w:r>
    </w:p>
    <w:p>
      <w:pPr>
        <w:ind w:firstLine="422"/>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为严格贯彻“同步规划、同步建设、同步运行”的网络安全原则，针对国家气象信息中心指定业务系统，全面开展源代码安全审计服务。投标人须采用自研代码审计工具，系统检测源代码中存在的安全缺陷与潜在隐患，精准定位由编码问题可能引发的安全漏洞，并提供专业修复建议与技术支持，从开发源头有效控制和降低安全风险。服务过程须严格遵循规范流程：前期明确审计范围、对象与技术标准；综合运用自动化工具检测与专家人工复核，确保分析全面、判断准确；形成系统化审计成果并完成专项汇报，全面体现审计工作成效，为提升系统自身安全性提供有力保障。</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《应用系统代码审计报告》</w:t>
      </w:r>
    </w:p>
    <w:p>
      <w:pPr>
        <w:rPr>
          <w:rFonts w:asciiTheme="minorEastAsia" w:hAnsiTheme="minorEastAsia" w:cstheme="minorEastAsia"/>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APP安全审计服务</w:t>
      </w:r>
    </w:p>
    <w:p>
      <w:pPr>
        <w:ind w:firstLine="422"/>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投标人应对国家气象信息中心在用的移动应用（APP）开展系统性安全检测，全面排查其在技术实现与业务逻辑层面存在的安全隐患。检测工作须综合运用静态与动态分析技术，覆盖客户端程序、运行环境及交互数据的安全评估，并同步对相应服务器端开展渗透测试，形成客户端与服务器端一体化的安全检测闭环。服务范围应涵盖Android与IOS两类平台的客户端及对应服务器端，服务期内完成检测的APP总量不低于十个，且每个APP均须进行不少于两次的全面检测，确保安全隐患有效发现并指导整改，切实保障移动业务安全稳定运行。</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 xml:space="preserve">交付成果： </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《APP 安全检测报告》</w:t>
      </w:r>
    </w:p>
    <w:p>
      <w:pPr>
        <w:rPr>
          <w:rFonts w:asciiTheme="minorEastAsia" w:hAnsiTheme="minorEastAsia" w:cstheme="minorEastAsia"/>
        </w:rPr>
      </w:pPr>
    </w:p>
    <w:p>
      <w:pPr>
        <w:numPr>
          <w:ilvl w:val="1"/>
          <w:numId w:val="5"/>
        </w:numPr>
        <w:autoSpaceDE w:val="0"/>
        <w:autoSpaceDN w:val="0"/>
        <w:ind w:hanging="642"/>
        <w:contextualSpacing/>
        <w:jc w:val="left"/>
        <w:outlineLvl w:val="3"/>
        <w:rPr>
          <w:rFonts w:asciiTheme="minorEastAsia" w:hAnsiTheme="minorEastAsia" w:cstheme="minorEastAsia"/>
          <w:b/>
          <w:bCs/>
          <w:szCs w:val="28"/>
        </w:rPr>
      </w:pPr>
      <w:r>
        <w:rPr>
          <w:rFonts w:asciiTheme="minorEastAsia" w:hAnsiTheme="minorEastAsia" w:cstheme="minorEastAsia" w:hint="eastAsia"/>
          <w:b/>
          <w:bCs/>
          <w:szCs w:val="28"/>
        </w:rPr>
        <w:t>安全运营能力建设</w:t>
      </w: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外部攻击面管理服务</w:t>
      </w:r>
    </w:p>
    <w:p>
      <w:pPr>
        <w:ind w:firstLine="422"/>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投标人应围绕外部攻击面管理服务要求，协助国家气象信息中心全面梳理并持续监测暴露在互联网的各类资产，系统识别Web服务、域名及IP地址等外部入口，开展常态化漏洞扫描与攻击面分析，科学评估安全风险等级并制定针对性处置方案。须配套建设专用服务监控门户，实现对资产状态变更、风险动态及敏感信息泄露事件的实时预警与闭环管理，为中心构建外部威胁可知、可管、可控的主动防御能力提供技术支撑。</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《国家气象信息中心外部攻击面管理报告》</w:t>
      </w:r>
    </w:p>
    <w:p>
      <w:pPr>
        <w:rPr>
          <w:rFonts w:asciiTheme="minorEastAsia" w:hAnsiTheme="minorEastAsia" w:cstheme="minorEastAsia"/>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 w:val="28"/>
          <w:szCs w:val="28"/>
        </w:rPr>
      </w:pPr>
      <w:r>
        <w:rPr>
          <w:rFonts w:asciiTheme="minorEastAsia" w:hAnsiTheme="minorEastAsia" w:cstheme="minorEastAsia" w:hint="eastAsia"/>
          <w:b/>
          <w:bCs/>
          <w:szCs w:val="21"/>
        </w:rPr>
        <w:t>内部攻击面管理服务</w:t>
      </w:r>
    </w:p>
    <w:p>
      <w:pPr>
        <w:ind w:firstLine="422"/>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投标人应围绕内部攻击面管理服务要求，协助国家气象信息中心系统梳理内部网络资产与访问路径，全面识别因配置缺陷、权限过度、端口暴露或脆弱服务等因素形成的内部安全风险。通过持续监测与分析内部网络行为，精准定位潜在威胁入口与横向移动路径，有效收敛内部攻击面，降低由内部脆弱性引发的安全事件发生概率，切实增强网络纵深防护能力，构建内外协同、全面覆盖的主动安全防御体系。</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《国家气象信息中心内部攻击面管理报告》</w:t>
      </w:r>
    </w:p>
    <w:p>
      <w:pPr>
        <w:ind w:firstLine="422"/>
        <w:contextualSpacing/>
        <w:rPr>
          <w:rFonts w:asciiTheme="minorEastAsia" w:hAnsiTheme="minorEastAsia" w:cstheme="minorEastAsia"/>
          <w:color w:val="0F1115"/>
          <w:sz w:val="19"/>
          <w:szCs w:val="19"/>
          <w:shd w:val="clear" w:color="auto" w:fill="FFFFFF"/>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资产台账专项梳理服务</w:t>
      </w:r>
    </w:p>
    <w:p>
      <w:pPr>
        <w:ind w:firstLine="422"/>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在开展资产运营服务过程中，投标人应充分整合利用国家气象信息中心现有资产管理工具及数据资源，依托FoEYE资产测绘系统、深信服主机安全软件aES、画方终端准入系统等既有平台，通过规范化流程与人工核查相结合的方式，系统梳理内网信息系统资产及业务关联关系。资产运营需深度融合现有安全运营平台，实现资产全生命周期可视化管理，确保多维度统计分析与快速检索能力，为网络安全精准管控和高效运维提供坚实基础。</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《国家气象信息中心资产台账》</w:t>
      </w:r>
    </w:p>
    <w:p>
      <w:pPr>
        <w:rPr>
          <w:rFonts w:asciiTheme="minorEastAsia" w:hAnsiTheme="minorEastAsia" w:cstheme="minorEastAsia"/>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安全策略专项梳理服务</w:t>
      </w:r>
    </w:p>
    <w:p>
      <w:pPr>
        <w:ind w:firstLine="422"/>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在重大网络安全保障任务前期，投标人应为国家气象信息中心提供系统性策略梳理服务，全面检视现有安全策略体系。通过梳理设备部署位置、功能定位及策略配置现状，精准识别冗余、无效及可合并策略，优化策略结构，提升安全设备运行效能。在此基础上，综合评估安全设备种类、部署合理性及策略有效性，形成科学调优方案，确保策略配置贴合实际防护需求，为重要时期网络安全保障工作奠定坚实基础。</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《国家气象信息中心策略台账》</w:t>
      </w:r>
    </w:p>
    <w:p>
      <w:pPr>
        <w:ind w:firstLine="422"/>
        <w:contextualSpacing/>
        <w:rPr>
          <w:rFonts w:asciiTheme="minorEastAsia" w:hAnsiTheme="minorEastAsia" w:cstheme="minorEastAsia"/>
          <w:color w:val="0F1115"/>
          <w:sz w:val="19"/>
          <w:szCs w:val="19"/>
          <w:shd w:val="clear" w:color="auto" w:fill="FFFFFF"/>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协助梳理核心业务关系服务</w:t>
      </w:r>
    </w:p>
    <w:p>
      <w:pPr>
        <w:ind w:firstLine="422"/>
        <w:contextualSpacing/>
        <w:rPr>
          <w:rFonts w:asciiTheme="minorEastAsia" w:hAnsiTheme="minorEastAsia" w:cstheme="minorEastAsia"/>
          <w:color w:val="800080"/>
          <w:sz w:val="16"/>
          <w:szCs w:val="16"/>
        </w:rPr>
      </w:pPr>
      <w:r>
        <w:rPr>
          <w:rFonts w:asciiTheme="minorEastAsia" w:hAnsiTheme="minorEastAsia" w:cstheme="minorEastAsia" w:hint="eastAsia"/>
          <w:color w:val="0F1115"/>
          <w:sz w:val="19"/>
          <w:szCs w:val="19"/>
          <w:shd w:val="clear" w:color="auto" w:fill="FFFFFF"/>
        </w:rPr>
        <w:t>投标人应协助梳理国家气象信息中心关键业务系统间的逻辑关联与依赖关系，通过分析数据交互、服务调用及资源支撑等核心链路，精准识别业务连续性所依赖的关键路径与潜在单点故障风险。基于分析结果，明确安全防护边界与保障优先级，为优化系统架构、完善应急预案及合理配置资源提供决策依据，切实增强关键业务系统的韧性与稳定运行能力。</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《国家气象信息中心核心</w:t>
      </w:r>
      <w:r>
        <w:rPr>
          <w:rFonts w:asciiTheme="minorEastAsia" w:hAnsiTheme="minorEastAsia" w:cstheme="minorEastAsia" w:hint="eastAsia"/>
          <w:szCs w:val="21"/>
        </w:rPr>
        <w:t>业务关系</w:t>
      </w:r>
      <w:r>
        <w:rPr>
          <w:rFonts w:asciiTheme="minorEastAsia" w:hAnsiTheme="minorEastAsia" w:cstheme="minorEastAsia" w:hint="eastAsia"/>
        </w:rPr>
        <w:t>》</w:t>
      </w:r>
    </w:p>
    <w:p>
      <w:pPr>
        <w:rPr>
          <w:rFonts w:asciiTheme="minorEastAsia" w:hAnsiTheme="minorEastAsia" w:cstheme="minorEastAsia"/>
          <w:color w:val="0F1115"/>
          <w:sz w:val="19"/>
          <w:szCs w:val="19"/>
          <w:shd w:val="clear" w:color="auto" w:fill="FFFFFF"/>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配置管理与安全加固服务</w:t>
      </w:r>
    </w:p>
    <w:p>
      <w:pPr>
        <w:ind w:firstLine="380"/>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 xml:space="preserve">投标人应依据安全风险评估结果及最新漏洞态势，对国家气象信息中心相关信息系统开展针对性安全加固与配置优化。协助加固工作严格遵循业务连续性优先原则，在保障系统稳定运行与维护需求的前提下，系统实施漏洞修复、权限收敛、策略强化等防护措施，覆盖主机、数据库、网络设备、安全设施及Web系统等关键节点，全面提升系统自身安全基线，确保信息系统持续稳定、安全、可靠运行。   </w:t>
      </w:r>
    </w:p>
    <w:p>
      <w:pPr>
        <w:ind w:firstLine="416"/>
        <w:contextualSpacing/>
        <w:rPr>
          <w:rFonts w:asciiTheme="minorEastAsia" w:hAnsiTheme="minorEastAsia" w:cstheme="minorEastAsia"/>
          <w:szCs w:val="21"/>
        </w:rPr>
      </w:pPr>
      <w:r>
        <w:rPr>
          <w:rFonts w:asciiTheme="minorEastAsia" w:hAnsiTheme="minorEastAsia" w:cstheme="minorEastAsia" w:hint="eastAsia"/>
          <w:spacing w:val="-1"/>
          <w:szCs w:val="21"/>
        </w:rPr>
        <w:t>安全设备加固，包含但不限于以下内容：</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漏洞修复</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账号、口令策略调整</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网络与服务加固</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文件系统权限增强</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访问控制管理</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日志审核功能增强</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安全性增强</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防DDOS攻击增强</w:t>
      </w:r>
    </w:p>
    <w:p>
      <w:pPr>
        <w:ind w:firstLine="420"/>
        <w:contextualSpacing/>
        <w:rPr>
          <w:rFonts w:asciiTheme="minorEastAsia" w:hAnsiTheme="minorEastAsia" w:cstheme="minorEastAsia"/>
          <w:szCs w:val="21"/>
        </w:rPr>
      </w:pPr>
      <w:r>
        <w:rPr>
          <w:rFonts w:asciiTheme="minorEastAsia" w:hAnsiTheme="minorEastAsia" w:cstheme="minorEastAsia" w:hint="eastAsia"/>
          <w:szCs w:val="21"/>
        </w:rPr>
        <w:t>数据库加固，包含但不限于以下内容：</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漏洞修复</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账号、口令策略调整</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访问控制管理</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日志审核功能增强</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安全性增强</w:t>
      </w:r>
    </w:p>
    <w:p>
      <w:pPr>
        <w:ind w:firstLine="420"/>
        <w:contextualSpacing/>
        <w:rPr>
          <w:rFonts w:asciiTheme="minorEastAsia" w:hAnsiTheme="minorEastAsia" w:cstheme="minorEastAsia"/>
        </w:rPr>
      </w:pPr>
      <w:r>
        <w:rPr>
          <w:rFonts w:asciiTheme="minorEastAsia" w:hAnsiTheme="minorEastAsia" w:cstheme="minorEastAsia" w:hint="eastAsia"/>
        </w:rPr>
        <w:t>网络设备加固，包含但不限于以下内容：</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账号和口令加固</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网络与服务加固</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访问控制策略增强</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路由协议加固</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日志审核策略增强</w:t>
      </w:r>
    </w:p>
    <w:p>
      <w:pPr>
        <w:ind w:firstLine="420"/>
        <w:contextualSpacing/>
        <w:rPr>
          <w:rFonts w:asciiTheme="minorEastAsia" w:hAnsiTheme="minorEastAsia" w:cstheme="minorEastAsia"/>
        </w:rPr>
      </w:pPr>
      <w:r>
        <w:rPr>
          <w:rFonts w:asciiTheme="minorEastAsia" w:hAnsiTheme="minorEastAsia" w:cstheme="minorEastAsia" w:hint="eastAsia"/>
        </w:rPr>
        <w:t>安全设备加固，包含但不限于以下内容：</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账号和口令加固</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访问控制策略增强</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日志审核策略增强</w:t>
      </w:r>
    </w:p>
    <w:p>
      <w:pPr>
        <w:ind w:firstLine="420"/>
        <w:contextualSpacing/>
        <w:rPr>
          <w:rFonts w:asciiTheme="minorEastAsia" w:hAnsiTheme="minorEastAsia" w:cstheme="minorEastAsia"/>
          <w:szCs w:val="21"/>
        </w:rPr>
      </w:pPr>
      <w:r>
        <w:rPr>
          <w:rFonts w:asciiTheme="minorEastAsia" w:hAnsiTheme="minorEastAsia" w:cstheme="minorEastAsia" w:hint="eastAsia"/>
          <w:szCs w:val="21"/>
        </w:rPr>
        <w:t>Web系统</w:t>
      </w:r>
      <w:r>
        <w:rPr>
          <w:rFonts w:asciiTheme="minorEastAsia" w:hAnsiTheme="minorEastAsia" w:cstheme="minorEastAsia" w:hint="eastAsia"/>
        </w:rPr>
        <w:t>加固</w:t>
      </w:r>
      <w:r>
        <w:rPr>
          <w:rFonts w:asciiTheme="minorEastAsia" w:hAnsiTheme="minorEastAsia" w:cstheme="minorEastAsia" w:hint="eastAsia"/>
          <w:szCs w:val="21"/>
        </w:rPr>
        <w:t>，包含但不限于以下内容：</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Web 系统引擎和中间件的加固</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配置加固</w:t>
      </w:r>
    </w:p>
    <w:p>
      <w:pPr>
        <w:numPr>
          <w:ilvl w:val="0"/>
          <w:numId w:val="7"/>
        </w:numPr>
        <w:tabs>
          <w:tab w:val="left" w:pos="840"/>
          <w:tab w:val="left" w:pos="841"/>
        </w:tabs>
        <w:autoSpaceDE w:val="0"/>
        <w:autoSpaceDN w:val="0"/>
        <w:ind w:firstLine="0"/>
        <w:contextualSpacing/>
        <w:jc w:val="left"/>
        <w:rPr>
          <w:rFonts w:asciiTheme="minorEastAsia" w:hAnsiTheme="minorEastAsia" w:cstheme="minorEastAsia"/>
          <w:szCs w:val="21"/>
        </w:rPr>
      </w:pPr>
      <w:r>
        <w:rPr>
          <w:rFonts w:asciiTheme="minorEastAsia" w:hAnsiTheme="minorEastAsia" w:cstheme="minorEastAsia" w:hint="eastAsia"/>
          <w:szCs w:val="21"/>
        </w:rPr>
        <w:t>日志审核策略增强</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 xml:space="preserve">交付成果： </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《国家气象信息中心信息系统安全加固方案》</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《国家气象信息中心信息系统安全加固复测报告》</w:t>
      </w:r>
    </w:p>
    <w:p>
      <w:pPr>
        <w:rPr>
          <w:rFonts w:asciiTheme="minorEastAsia" w:hAnsiTheme="minorEastAsia" w:cstheme="minorEastAsia"/>
        </w:rPr>
      </w:pPr>
    </w:p>
    <w:p>
      <w:pPr>
        <w:numPr>
          <w:ilvl w:val="1"/>
          <w:numId w:val="5"/>
        </w:numPr>
        <w:autoSpaceDE w:val="0"/>
        <w:autoSpaceDN w:val="0"/>
        <w:ind w:firstLine="0"/>
        <w:contextualSpacing/>
        <w:jc w:val="left"/>
        <w:outlineLvl w:val="3"/>
        <w:rPr>
          <w:rFonts w:asciiTheme="minorEastAsia" w:hAnsiTheme="minorEastAsia" w:cstheme="minorEastAsia"/>
          <w:b/>
          <w:bCs/>
          <w:szCs w:val="28"/>
        </w:rPr>
      </w:pPr>
      <w:r>
        <w:rPr>
          <w:rFonts w:asciiTheme="minorEastAsia" w:hAnsiTheme="minorEastAsia" w:cstheme="minorEastAsia" w:hint="eastAsia"/>
          <w:b/>
          <w:bCs/>
          <w:szCs w:val="28"/>
        </w:rPr>
        <w:t>态势感知能力建设</w:t>
      </w:r>
    </w:p>
    <w:p>
      <w:pPr>
        <w:numPr>
          <w:ilvl w:val="2"/>
          <w:numId w:val="5"/>
        </w:numPr>
        <w:tabs>
          <w:tab w:val="left" w:pos="1060"/>
          <w:tab w:val="left" w:pos="1061"/>
        </w:tabs>
        <w:autoSpaceDE w:val="0"/>
        <w:autoSpaceDN w:val="0"/>
        <w:ind w:firstLine="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网站常态化安全监测服务</w:t>
      </w:r>
    </w:p>
    <w:p>
      <w:pPr>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投标人应对国家气象信息中心指定的不少于75个互联网域名实施常态化安全监测，包括漏洞利用、页面篡改、恶意挂马、隐蔽暗链及敏感信息泄露等安全风险。监测系统实行7×24小时不间断运行，每5分钟完成一次全面检测，确保安全威胁实时感知。服务期内组织4次专项Web漏洞扫描，对发现的中高危漏洞开展无限制验证与跟踪。建立1小时快速处置机制，自监测平台告警触发起，1小时内完成安全事件核实与处置闭环，切实保障关键网站系统安全稳定运行。</w:t>
      </w:r>
    </w:p>
    <w:p>
      <w:pPr>
        <w:autoSpaceDE w:val="0"/>
        <w:autoSpaceDN w:val="0"/>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0"/>
        <w:rPr>
          <w:rFonts w:asciiTheme="minorEastAsia" w:hAnsiTheme="minorEastAsia" w:cstheme="minorEastAsia"/>
        </w:rPr>
      </w:pPr>
      <w:r>
        <w:rPr>
          <w:rFonts w:asciiTheme="minorEastAsia" w:hAnsiTheme="minorEastAsia" w:cstheme="minorEastAsia" w:hint="eastAsia"/>
        </w:rPr>
        <w:t>《国家气象信息中心网站安全监测周报》</w:t>
      </w:r>
    </w:p>
    <w:p>
      <w:pPr>
        <w:numPr>
          <w:ilvl w:val="0"/>
          <w:numId w:val="6"/>
        </w:numPr>
        <w:ind w:left="0" w:firstLine="0"/>
        <w:rPr>
          <w:rFonts w:asciiTheme="minorEastAsia" w:hAnsiTheme="minorEastAsia" w:cstheme="minorEastAsia"/>
        </w:rPr>
      </w:pPr>
      <w:r>
        <w:rPr>
          <w:rFonts w:asciiTheme="minorEastAsia" w:hAnsiTheme="minorEastAsia" w:cstheme="minorEastAsia" w:hint="eastAsia"/>
        </w:rPr>
        <w:t>《国家气象信息中心网站安全监测月报》</w:t>
      </w:r>
    </w:p>
    <w:p>
      <w:pPr>
        <w:numPr>
          <w:ilvl w:val="0"/>
          <w:numId w:val="6"/>
        </w:numPr>
        <w:ind w:left="0" w:firstLine="0"/>
        <w:rPr>
          <w:rFonts w:asciiTheme="minorEastAsia" w:hAnsiTheme="minorEastAsia" w:cstheme="minorEastAsia"/>
        </w:rPr>
      </w:pPr>
      <w:r>
        <w:rPr>
          <w:rFonts w:asciiTheme="minorEastAsia" w:hAnsiTheme="minorEastAsia" w:cstheme="minorEastAsia" w:hint="eastAsia"/>
        </w:rPr>
        <w:t>《国家气象信息中心网站安全监测年报》</w:t>
      </w:r>
    </w:p>
    <w:p>
      <w:pPr>
        <w:numPr>
          <w:ilvl w:val="0"/>
          <w:numId w:val="6"/>
        </w:numPr>
        <w:ind w:left="0" w:firstLine="0"/>
        <w:rPr>
          <w:rFonts w:asciiTheme="minorEastAsia" w:hAnsiTheme="minorEastAsia" w:cstheme="minorEastAsia"/>
        </w:rPr>
      </w:pPr>
      <w:r>
        <w:rPr>
          <w:rFonts w:asciiTheme="minorEastAsia" w:hAnsiTheme="minorEastAsia" w:cstheme="minorEastAsia" w:hint="eastAsia"/>
        </w:rPr>
        <w:t>《国家气象信息中心网站安全监测汇总报告》</w:t>
      </w:r>
    </w:p>
    <w:p>
      <w:pPr>
        <w:rPr>
          <w:rFonts w:asciiTheme="minorEastAsia" w:hAnsiTheme="minorEastAsia" w:cstheme="minorEastAsia"/>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内部攻防演习服务</w:t>
      </w:r>
    </w:p>
    <w:p>
      <w:pPr>
        <w:ind w:firstLine="422"/>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投标人应每年组织一次网络安全实战攻防演习，在严格授权与全程监督下，依托专业攻防团队，采用多种非破坏性攻击手段，对国家气象信息中心目标系统开展实战化攻防对抗。通过系统检验监测发现、安全防护、应急处置与协同联动能力，全面评估防御体系有效性。演习过程需涵盖演练筹备、组织实施与复盘总结三阶段，系统开展需求调研、方案制定、实战攻击、监测防护与成果固化等工作，对发现的安全问题提供针对性解决方案，切实提升信息系统安全稳定运行水平，推动网络安全防护体系实现闭环管理与持续优化。</w:t>
      </w:r>
    </w:p>
    <w:p>
      <w:pPr>
        <w:autoSpaceDE w:val="0"/>
        <w:autoSpaceDN w:val="0"/>
        <w:ind w:firstLine="422"/>
        <w:contextualSpacing/>
        <w:jc w:val="left"/>
        <w:rPr>
          <w:rFonts w:asciiTheme="minorEastAsia" w:hAnsiTheme="minorEastAsia" w:cstheme="minorEastAsia"/>
          <w:b/>
          <w:kern w:val="0"/>
          <w:szCs w:val="21"/>
        </w:rPr>
      </w:pPr>
      <w:r>
        <w:rPr>
          <w:rFonts w:asciiTheme="minorEastAsia" w:hAnsiTheme="minorEastAsia" w:cstheme="minorEastAsia" w:hint="eastAsia"/>
          <w:b/>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《内部攻防演习方案》</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《内部攻防演习总结》</w:t>
      </w:r>
    </w:p>
    <w:p>
      <w:pPr>
        <w:rPr>
          <w:rFonts w:asciiTheme="minorEastAsia" w:hAnsiTheme="minorEastAsia" w:cstheme="minorEastAsia"/>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外部攻防演习协防服务</w:t>
      </w:r>
    </w:p>
    <w:p>
      <w:pPr>
        <w:ind w:firstLine="422"/>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投标人应根据网络安全监管部门统一部署，在重大专项实战攻防演习期间，为国家气象信息中心提供全过程现场协防保障。演习前期编制系统化防守方案，明确防护策略与处置流程；演习期间增配专业安全团队全程值守，实时开展攻击监测、分析研判与协同调度，设立涵盖流量监测、分析研判、封禁处置、应急响应等专业岗位。建立分级处置机制，在授权范围内及时通报攻击行为并提供处置建议，遇重大安全事件立即协调二线专家实施远程或现场支援。演习结束后协助编制全面总结报告，履行安全预警、整改加固等保障职责。若因服务疏漏导致非0day漏洞引发的系统失陷（包括名誉损失，但不包含0day漏洞引起的失陷），采购人有权扣除合同金额25%违约金。</w:t>
      </w:r>
    </w:p>
    <w:p>
      <w:pPr>
        <w:autoSpaceDE w:val="0"/>
        <w:autoSpaceDN w:val="0"/>
        <w:ind w:firstLine="422"/>
        <w:contextualSpacing/>
        <w:jc w:val="left"/>
        <w:rPr>
          <w:rFonts w:asciiTheme="minorEastAsia" w:hAnsiTheme="minorEastAsia" w:cstheme="minorEastAsia"/>
          <w:b/>
          <w:kern w:val="0"/>
          <w:szCs w:val="21"/>
        </w:rPr>
      </w:pPr>
      <w:r>
        <w:rPr>
          <w:rFonts w:asciiTheme="minorEastAsia" w:hAnsiTheme="minorEastAsia" w:cstheme="minorEastAsia" w:hint="eastAsia"/>
          <w:b/>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《外部攻防演习防守方案》</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《外部攻防演习监测分析日报》</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《外部攻防演习总结报告》</w:t>
      </w: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专项安全提升服务</w:t>
      </w:r>
    </w:p>
    <w:p>
      <w:pPr>
        <w:tabs>
          <w:tab w:val="left" w:pos="1060"/>
          <w:tab w:val="left" w:pos="1061"/>
        </w:tabs>
        <w:ind w:firstLine="418"/>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投标人应面向国家气象信息中心指定的2–3个试点省级气象单位，系统开展专项安全能力提升工作。针对攻防演习期间已失陷的主机或系统，深入分析安全根因，制定系统化整改加固方案，并全程指导实施，有效提升现有系统防护水平。同时对试点单位新上线业务实施专项安全检查，全面排查潜在安全隐患，指导完成针对性整改加固，强化源头防控能力，确保新业务系统安全、高效、稳定运行，整体增强试点单位网络安全综合防御能力。</w:t>
      </w:r>
    </w:p>
    <w:p>
      <w:pPr>
        <w:autoSpaceDE w:val="0"/>
        <w:autoSpaceDN w:val="0"/>
        <w:ind w:firstLine="422"/>
        <w:contextualSpacing/>
        <w:jc w:val="left"/>
        <w:rPr>
          <w:rFonts w:asciiTheme="minorEastAsia" w:hAnsiTheme="minorEastAsia" w:cstheme="minorEastAsia"/>
          <w:b/>
          <w:kern w:val="0"/>
          <w:szCs w:val="21"/>
        </w:rPr>
      </w:pPr>
      <w:r>
        <w:rPr>
          <w:rFonts w:asciiTheme="minorEastAsia" w:hAnsiTheme="minorEastAsia" w:cstheme="minorEastAsia" w:hint="eastAsia"/>
          <w:b/>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《失陷系统分析及整改加固方案》</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《试点省新上线系统网络安全评估指导方案》</w:t>
      </w:r>
    </w:p>
    <w:p>
      <w:pPr>
        <w:rPr>
          <w:rFonts w:asciiTheme="minorEastAsia" w:hAnsiTheme="minorEastAsia" w:cstheme="minorEastAsia"/>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 w:val="28"/>
          <w:szCs w:val="28"/>
        </w:rPr>
      </w:pPr>
      <w:r>
        <w:rPr>
          <w:rFonts w:asciiTheme="minorEastAsia" w:hAnsiTheme="minorEastAsia" w:cstheme="minorEastAsia" w:hint="eastAsia"/>
          <w:b/>
          <w:bCs/>
          <w:szCs w:val="21"/>
        </w:rPr>
        <w:t>协助整改加固服务</w:t>
      </w:r>
    </w:p>
    <w:p>
      <w:pPr>
        <w:tabs>
          <w:tab w:val="left" w:pos="1060"/>
          <w:tab w:val="left" w:pos="1061"/>
        </w:tabs>
        <w:ind w:firstLine="418"/>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投标人应聚焦攻防演习期间暴露的安全事件，在演习结束后进行全面复盘与系统梳理。通过对攻击事件进行科学分类与深度归因，提炼形成具有代表性的典型案例，并针对每个案例提供专业的原因分析报告与针对性解决方案。基于案例成果，协助国家气象信息中心开展经验总结与成果转化，为各省级气象单位提供精准、有效的安全防护指导，推动全网安全防护能力整体提升。</w:t>
      </w:r>
    </w:p>
    <w:p>
      <w:pPr>
        <w:autoSpaceDE w:val="0"/>
        <w:autoSpaceDN w:val="0"/>
        <w:ind w:firstLine="422"/>
        <w:contextualSpacing/>
        <w:jc w:val="left"/>
        <w:rPr>
          <w:rFonts w:asciiTheme="minorEastAsia" w:hAnsiTheme="minorEastAsia" w:cstheme="minorEastAsia"/>
          <w:b/>
          <w:kern w:val="0"/>
          <w:szCs w:val="21"/>
        </w:rPr>
      </w:pPr>
      <w:r>
        <w:rPr>
          <w:rFonts w:asciiTheme="minorEastAsia" w:hAnsiTheme="minorEastAsia" w:cstheme="minorEastAsia" w:hint="eastAsia"/>
          <w:b/>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《实战攻防典型案例分析及加固方案》</w:t>
      </w: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内网攻击测试服务</w:t>
      </w:r>
    </w:p>
    <w:p>
      <w:pPr>
        <w:tabs>
          <w:tab w:val="left" w:pos="1060"/>
          <w:tab w:val="left" w:pos="1061"/>
        </w:tabs>
        <w:ind w:firstLine="418"/>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投标人应通过模拟攻击者视角，在严格授权与全程监督下，对国家气象信息中心内部网络环境开展系统性的攻击测试。测试内容需全面覆盖权限提升、横向移动、数据窃取等典型内网攻击路径，重点检验内部访问控制、身份认证与安全监测机制的有效性。通过深度还原攻击链，精准识别内网环境中存在的安全漏洞与配置缺陷，全面评估纵深防御体系的实战能力，并为后续防护策略优化与安全加固提供详实依据，切实提升国家气象信息中心内部网络的整体防护水平与威胁应对能力。</w:t>
      </w:r>
    </w:p>
    <w:p>
      <w:pPr>
        <w:autoSpaceDE w:val="0"/>
        <w:autoSpaceDN w:val="0"/>
        <w:ind w:firstLine="422"/>
        <w:contextualSpacing/>
        <w:jc w:val="left"/>
        <w:rPr>
          <w:rFonts w:asciiTheme="minorEastAsia" w:hAnsiTheme="minorEastAsia" w:cstheme="minorEastAsia"/>
          <w:b/>
          <w:kern w:val="0"/>
          <w:szCs w:val="21"/>
        </w:rPr>
      </w:pPr>
      <w:r>
        <w:rPr>
          <w:rFonts w:asciiTheme="minorEastAsia" w:hAnsiTheme="minorEastAsia" w:cstheme="minorEastAsia" w:hint="eastAsia"/>
          <w:b/>
          <w:kern w:val="0"/>
          <w:szCs w:val="21"/>
        </w:rPr>
        <w:t>交付成果：</w:t>
      </w:r>
    </w:p>
    <w:p>
      <w:pPr>
        <w:numPr>
          <w:ilvl w:val="0"/>
          <w:numId w:val="6"/>
        </w:numPr>
        <w:ind w:left="0" w:firstLine="420"/>
        <w:rPr>
          <w:rFonts w:asciiTheme="minorEastAsia" w:hAnsiTheme="minorEastAsia" w:cstheme="minorEastAsia"/>
          <w:color w:val="0F1115"/>
          <w:sz w:val="19"/>
          <w:szCs w:val="19"/>
          <w:shd w:val="clear" w:color="auto" w:fill="FFFFFF"/>
        </w:rPr>
      </w:pPr>
      <w:r>
        <w:rPr>
          <w:rFonts w:asciiTheme="minorEastAsia" w:hAnsiTheme="minorEastAsia" w:cstheme="minorEastAsia" w:hint="eastAsia"/>
        </w:rPr>
        <w:t>《内网攻击测试报告》</w:t>
      </w:r>
    </w:p>
    <w:p>
      <w:pPr>
        <w:ind w:left="420"/>
        <w:rPr>
          <w:rFonts w:asciiTheme="minorEastAsia" w:hAnsiTheme="minorEastAsia" w:cstheme="minorEastAsia"/>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深度威胁狩猎服务</w:t>
      </w:r>
    </w:p>
    <w:p>
      <w:pPr>
        <w:tabs>
          <w:tab w:val="left" w:pos="1060"/>
          <w:tab w:val="left" w:pos="1061"/>
        </w:tabs>
        <w:ind w:firstLine="418"/>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投标人应通过系统性、常态化的深度威胁狩猎，主动发现国家气象信息中心网络环境中潜藏的高级持续性威胁与未知安全风险，每季度至少开展1次。依托多维数据关联分析、攻击行为建模与异常活动检测等先进技术，结合内外部威胁情报，对网络流量、终端行为、日志数据进行深度挖掘与溯源分析，精准识别传统防御手段难以检测的复杂攻击链与潜伏威胁。通过建立"线索发现-行为分析-攻击链还原-溯源处置"的全流程狩猎机制，形成常态化主动防御能力，实现对高级网络威胁的早发现、早研判、早处置，全面提升中心应对新型网络攻击的预警与响应能力。</w:t>
      </w:r>
    </w:p>
    <w:p>
      <w:pPr>
        <w:autoSpaceDE w:val="0"/>
        <w:autoSpaceDN w:val="0"/>
        <w:ind w:firstLine="422"/>
        <w:contextualSpacing/>
        <w:jc w:val="left"/>
        <w:rPr>
          <w:rFonts w:asciiTheme="minorEastAsia" w:hAnsiTheme="minorEastAsia" w:cstheme="minorEastAsia"/>
          <w:b/>
          <w:kern w:val="0"/>
          <w:szCs w:val="21"/>
        </w:rPr>
      </w:pPr>
      <w:r>
        <w:rPr>
          <w:rFonts w:asciiTheme="minorEastAsia" w:hAnsiTheme="minorEastAsia" w:cstheme="minorEastAsia" w:hint="eastAsia"/>
          <w:b/>
          <w:kern w:val="0"/>
          <w:szCs w:val="21"/>
        </w:rPr>
        <w:t>交付成果：</w:t>
      </w:r>
    </w:p>
    <w:p>
      <w:pPr>
        <w:numPr>
          <w:ilvl w:val="0"/>
          <w:numId w:val="6"/>
        </w:numPr>
        <w:ind w:left="0" w:firstLine="420"/>
        <w:rPr>
          <w:rFonts w:asciiTheme="minorEastAsia" w:hAnsiTheme="minorEastAsia" w:cstheme="minorEastAsia"/>
          <w:color w:val="0F1115"/>
          <w:sz w:val="19"/>
          <w:szCs w:val="19"/>
          <w:shd w:val="clear" w:color="auto" w:fill="FFFFFF"/>
        </w:rPr>
      </w:pPr>
      <w:r>
        <w:rPr>
          <w:rFonts w:asciiTheme="minorEastAsia" w:hAnsiTheme="minorEastAsia" w:cstheme="minorEastAsia" w:hint="eastAsia"/>
        </w:rPr>
        <w:t>《深度威胁狩猎报告》</w:t>
      </w:r>
    </w:p>
    <w:p>
      <w:pPr>
        <w:tabs>
          <w:tab w:val="left" w:pos="1060"/>
          <w:tab w:val="left" w:pos="1061"/>
        </w:tabs>
        <w:ind w:firstLine="418"/>
        <w:contextualSpacing/>
        <w:rPr>
          <w:rFonts w:asciiTheme="minorEastAsia" w:hAnsiTheme="minorEastAsia" w:cstheme="minorEastAsia"/>
          <w:color w:val="0F1115"/>
          <w:sz w:val="19"/>
          <w:szCs w:val="19"/>
          <w:shd w:val="clear" w:color="auto" w:fill="FFFFFF"/>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 w:val="28"/>
          <w:szCs w:val="28"/>
        </w:rPr>
      </w:pPr>
      <w:r>
        <w:rPr>
          <w:rFonts w:asciiTheme="minorEastAsia" w:hAnsiTheme="minorEastAsia" w:cstheme="minorEastAsia" w:hint="eastAsia"/>
          <w:b/>
          <w:bCs/>
          <w:szCs w:val="21"/>
        </w:rPr>
        <w:t>策略优化与效果运营服务</w:t>
      </w:r>
    </w:p>
    <w:p>
      <w:pPr>
        <w:tabs>
          <w:tab w:val="left" w:pos="1060"/>
          <w:tab w:val="left" w:pos="1061"/>
        </w:tabs>
        <w:ind w:firstLine="418"/>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投标人应基于现网威胁态势的动态分析与深度研判，持续开展安全检测规则的精细化调优与策略迭代。通过修正智能化安全告警的研判结论，优化检测模型与响应策略，有效提升告警准确率，显著降低误报比例，确保安全检测效能持续符合既定基准。在此基础上，全面推进安全运营平台的效能优化与闭环管理，固化运营经验，提升平台实战能力，实现安全运营体系的自我完善与持续提升。</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《策略优化与效果运营服务报告》</w:t>
      </w:r>
    </w:p>
    <w:p>
      <w:pPr>
        <w:rPr>
          <w:rFonts w:asciiTheme="minorEastAsia" w:hAnsiTheme="minorEastAsia" w:cstheme="minorEastAsia"/>
        </w:rPr>
      </w:pPr>
    </w:p>
    <w:p>
      <w:pPr>
        <w:numPr>
          <w:ilvl w:val="1"/>
          <w:numId w:val="5"/>
        </w:numPr>
        <w:autoSpaceDE w:val="0"/>
        <w:autoSpaceDN w:val="0"/>
        <w:ind w:hanging="642"/>
        <w:contextualSpacing/>
        <w:jc w:val="left"/>
        <w:outlineLvl w:val="3"/>
        <w:rPr>
          <w:rFonts w:asciiTheme="minorEastAsia" w:hAnsiTheme="minorEastAsia" w:cstheme="minorEastAsia"/>
          <w:b/>
          <w:bCs/>
          <w:szCs w:val="28"/>
        </w:rPr>
      </w:pPr>
      <w:r>
        <w:rPr>
          <w:rFonts w:asciiTheme="minorEastAsia" w:hAnsiTheme="minorEastAsia" w:cstheme="minorEastAsia" w:hint="eastAsia"/>
          <w:b/>
          <w:bCs/>
          <w:szCs w:val="28"/>
        </w:rPr>
        <w:t>主动防御能力建设</w:t>
      </w: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 w:val="28"/>
          <w:szCs w:val="28"/>
        </w:rPr>
      </w:pPr>
      <w:r>
        <w:rPr>
          <w:rFonts w:asciiTheme="minorEastAsia" w:hAnsiTheme="minorEastAsia" w:cstheme="minorEastAsia" w:hint="eastAsia"/>
          <w:b/>
          <w:bCs/>
          <w:szCs w:val="21"/>
        </w:rPr>
        <w:t>口令安全问题监测服务</w:t>
      </w:r>
    </w:p>
    <w:p>
      <w:pPr>
        <w:tabs>
          <w:tab w:val="left" w:pos="1060"/>
          <w:tab w:val="left" w:pos="1061"/>
        </w:tabs>
        <w:ind w:firstLine="418"/>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在重大网络安全保障任务前期，投标人应为国家气象信息中心提供系统性口令安全梳理服务。通过技术检测与管理核查相结合的方式，全面排查弱口令、默认口令及疑似泄露口令等风险点，建立规范化口令安全管理机制，有效消除因口令问题引发的安全隐患，切实提升身份认证安全与系统纵深防御能力。</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《国家气象信息中心口令安全检测报告》</w:t>
      </w:r>
    </w:p>
    <w:p>
      <w:pPr>
        <w:rPr>
          <w:rFonts w:asciiTheme="minorEastAsia" w:hAnsiTheme="minorEastAsia" w:cstheme="minorEastAsia"/>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运维安全专项检查服务</w:t>
      </w:r>
    </w:p>
    <w:p>
      <w:pPr>
        <w:tabs>
          <w:tab w:val="left" w:pos="1060"/>
          <w:tab w:val="left" w:pos="1061"/>
        </w:tabs>
        <w:ind w:firstLine="418"/>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投标人应围绕国家气象信息中心运维体系开展系统性安全检查，重点针对运维操作流程、权限分配机制及技术管控措施进行全面排查。通过技术检测与人工审核相结合的方式，深入发现运维环节中存在的管理漏洞与安全风险，提出针对性整改要求与优化建议，推动构建规范、受控、可追溯的运维安全体系，切实提升日常运维工作的安全性与可靠性。</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《国家气象信息中心运维安全检查报告》</w:t>
      </w:r>
    </w:p>
    <w:p>
      <w:pPr>
        <w:tabs>
          <w:tab w:val="left" w:pos="1060"/>
          <w:tab w:val="left" w:pos="1061"/>
        </w:tabs>
        <w:ind w:firstLine="418"/>
        <w:contextualSpacing/>
        <w:rPr>
          <w:rFonts w:asciiTheme="minorEastAsia" w:hAnsiTheme="minorEastAsia" w:cstheme="minorEastAsia"/>
          <w:color w:val="0F1115"/>
          <w:sz w:val="19"/>
          <w:szCs w:val="19"/>
          <w:shd w:val="clear" w:color="auto" w:fill="FFFFFF"/>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敏感信息泄露监测服务</w:t>
      </w:r>
    </w:p>
    <w:p>
      <w:pPr>
        <w:tabs>
          <w:tab w:val="left" w:pos="1060"/>
          <w:tab w:val="left" w:pos="1061"/>
        </w:tabs>
        <w:ind w:firstLine="418"/>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投标人应为国家气象信息中心提供系统化的敏感数据泄露监测，采用攻击方视角，在获得合法授权前提下，依据中心定义的敏感关键词（包括但不限于系统账号密码、内部代码、合同文件、业务系统名称等），对互联网及暗网平台开展多维度探查。监测范围全面覆盖搜索引擎、代码托管平台、网盘文库、社交网络等各类信息传播渠道，通过历史数据排查、实时动态监测与专家支持相结合的方式，实现敏感信息泄露风险的早发现、早预警、早处置，形成持续有效的监测闭环，全力保障核心数据安全。服务期内持续提供敏感数据泄露监测服务。</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《国家气象信息中心敏感信息泄露监测报告》</w:t>
      </w: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 w:val="28"/>
          <w:szCs w:val="28"/>
        </w:rPr>
      </w:pPr>
      <w:r>
        <w:rPr>
          <w:rFonts w:asciiTheme="minorEastAsia" w:hAnsiTheme="minorEastAsia" w:cstheme="minorEastAsia" w:hint="eastAsia"/>
          <w:b/>
          <w:bCs/>
          <w:szCs w:val="21"/>
        </w:rPr>
        <w:t>蜜罐监测分析服务</w:t>
      </w:r>
    </w:p>
    <w:p>
      <w:pPr>
        <w:tabs>
          <w:tab w:val="left" w:pos="1060"/>
          <w:tab w:val="left" w:pos="1061"/>
        </w:tabs>
        <w:ind w:firstLine="418"/>
        <w:contextualSpacing/>
        <w:rPr>
          <w:rFonts w:asciiTheme="minorEastAsia" w:hAnsiTheme="minorEastAsia" w:cstheme="minorEastAsia"/>
          <w:color w:val="0F1115"/>
          <w:sz w:val="19"/>
          <w:szCs w:val="19"/>
          <w:shd w:val="clear" w:color="auto" w:fill="FFFFFF"/>
        </w:rPr>
      </w:pPr>
      <w:r>
        <w:rPr>
          <w:rFonts w:asciiTheme="minorEastAsia" w:hAnsiTheme="minorEastAsia" w:cstheme="minorEastAsia" w:hint="eastAsia"/>
          <w:color w:val="0F1115"/>
          <w:sz w:val="19"/>
          <w:szCs w:val="19"/>
          <w:shd w:val="clear" w:color="auto" w:fill="FFFFFF"/>
        </w:rPr>
        <w:t>投标人应协助国家气象信息中心，对已部署的蜜罐系统配置、点位布设等进行优化，提高攻击诱捕能力，将蜜罐系统告警数据及事件信息完整接入安全运营平台，实现集中化监测、实时关联分析与威胁识别。针对平台监测到的蜜罐触发事件，快速定位攻击特征、分析攻击意图，并制定合理处置策略，全程提供技术指导与优化建议，保障监测覆盖全面性及响应时效性。</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《蜜罐系统监测处置总结报告》</w:t>
      </w:r>
    </w:p>
    <w:p>
      <w:pPr>
        <w:numPr>
          <w:ilvl w:val="1"/>
          <w:numId w:val="5"/>
        </w:numPr>
        <w:autoSpaceDE w:val="0"/>
        <w:autoSpaceDN w:val="0"/>
        <w:ind w:hanging="642"/>
        <w:contextualSpacing/>
        <w:jc w:val="left"/>
        <w:outlineLvl w:val="3"/>
        <w:rPr>
          <w:rFonts w:asciiTheme="minorEastAsia" w:hAnsiTheme="minorEastAsia" w:cstheme="minorEastAsia"/>
          <w:b/>
          <w:bCs/>
          <w:szCs w:val="28"/>
        </w:rPr>
      </w:pPr>
      <w:r>
        <w:rPr>
          <w:rFonts w:asciiTheme="minorEastAsia" w:hAnsiTheme="minorEastAsia" w:cstheme="minorEastAsia" w:hint="eastAsia"/>
          <w:b/>
          <w:bCs/>
          <w:szCs w:val="28"/>
        </w:rPr>
        <w:t>事件处置能力建设</w:t>
      </w: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威胁分析与应急响应服务</w:t>
      </w:r>
    </w:p>
    <w:p>
      <w:pPr>
        <w:ind w:firstLine="416"/>
        <w:contextualSpacing/>
        <w:rPr>
          <w:rFonts w:asciiTheme="minorEastAsia" w:hAnsiTheme="minorEastAsia" w:cstheme="minorEastAsia"/>
          <w:spacing w:val="-1"/>
          <w:szCs w:val="21"/>
        </w:rPr>
      </w:pPr>
      <w:r>
        <w:rPr>
          <w:rFonts w:asciiTheme="minorEastAsia" w:hAnsiTheme="minorEastAsia" w:cstheme="minorEastAsia" w:hint="eastAsia"/>
          <w:spacing w:val="-1"/>
          <w:szCs w:val="21"/>
        </w:rPr>
        <w:t>投标人应依托国家气象信息中心现有安全运营平台，通过智能化告警定性分析技术，将安全告警精准分类为定向攻击、攻防演练、内部测试、监管通报、病毒传播、扫描器攻击、脆弱性风险、业务不规范及其他威胁等九类安全事件。基于攻击行为特征与最新威胁情报，全面深入挖掘网络环境中的外部威胁，精准辨识威胁属性与攻击意图，实现对潜藏安全威胁的快速发现、受害目标与攻击源头的精准定位、入侵途径与攻击背景的深度溯源。服务需支持自然语言交互模式，实现安全事件列表查询与危害等级排序，确保分析报告可读性。配备专业团队（含项目经理、监测分析、数据运营、设备运维及安全专家，其中监测分析人员不少于2人）开展全流程威胁处置，通过攻击链还原、事件成因挖掘、业务影响评估、攻击面探查、告警闭环管理及配置有效性核查，提供可落地的修复处置建议，推动安全管理闭环，切实提升安全运营效能，为国家气象信息中心安全决策提供有力支撑。服务涉及的全部工具及软件均由中标人提供。</w:t>
      </w:r>
    </w:p>
    <w:p>
      <w:pPr>
        <w:ind w:firstLine="416"/>
        <w:contextualSpacing/>
        <w:rPr>
          <w:rFonts w:asciiTheme="minorEastAsia" w:hAnsiTheme="minorEastAsia" w:cstheme="minorEastAsia"/>
          <w:spacing w:val="-1"/>
          <w:szCs w:val="21"/>
        </w:rPr>
      </w:pPr>
      <w:r>
        <w:rPr>
          <w:rFonts w:asciiTheme="minorEastAsia" w:hAnsiTheme="minorEastAsia" w:cstheme="minorEastAsia" w:hint="eastAsia"/>
          <w:spacing w:val="-1"/>
          <w:szCs w:val="21"/>
        </w:rPr>
        <w:t>投标人应为国家气象信息中心提供全方位的应急响应技术支持服务，对中心无法独立处置的各类紧急网络安全事件立即介入，包括但不限于网络入侵、拒绝服务攻击、恶意代码传播、大规模病毒爆发、未授权访问、主机或网络异常及不当应用等安全事件。服务范围涵盖网站非法内容清理、黑客攻击阻断、病毒查杀、系统恢复、数据库修复、网络中断处置及设备安全应急等全面场景。服务实行7×24小时响应机制，当驻场人员无法解决问题时，二线专业团队须在接到通知后1小时内抵达现场。响应方式采用远程与现场相结合模式，优先通过电话、邮件、加密远程登录等方式提供支持；当远程支持无法有效解决问题时，须立即派遣专业人员赶赴现场处置。服务目标包括及时采取紧急措施恢复业务正常运行，深入调查事件根源防止同类事件复发，并在需要时提供符合法律要求的数字证据支持。若因漏报或处置不当导致中心遭受损失或收到安全通报，需扣除不少于合同金额10%的违约金，并承担相应法律责任。</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spacing w:val="-1"/>
          <w:szCs w:val="21"/>
        </w:rPr>
        <w:t>《</w:t>
      </w:r>
      <w:r>
        <w:rPr>
          <w:rFonts w:asciiTheme="minorEastAsia" w:hAnsiTheme="minorEastAsia" w:cstheme="minorEastAsia" w:hint="eastAsia"/>
        </w:rPr>
        <w:t>国家气象信息中心威胁分析报告》</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rPr>
        <w:t>《国家气象信息中心应急响应报告》</w:t>
      </w:r>
    </w:p>
    <w:p>
      <w:pPr>
        <w:rPr>
          <w:rFonts w:asciiTheme="minorEastAsia" w:hAnsiTheme="minorEastAsia" w:cstheme="minorEastAsia"/>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 w:val="28"/>
          <w:szCs w:val="28"/>
        </w:rPr>
      </w:pPr>
      <w:r>
        <w:rPr>
          <w:rFonts w:asciiTheme="minorEastAsia" w:hAnsiTheme="minorEastAsia" w:cstheme="minorEastAsia" w:hint="eastAsia"/>
          <w:b/>
          <w:bCs/>
          <w:szCs w:val="21"/>
        </w:rPr>
        <w:t>安全预警与情报共享服务</w:t>
      </w:r>
    </w:p>
    <w:p>
      <w:pPr>
        <w:ind w:firstLine="416"/>
        <w:contextualSpacing/>
        <w:rPr>
          <w:rFonts w:asciiTheme="minorEastAsia" w:hAnsiTheme="minorEastAsia" w:cstheme="minorEastAsia"/>
          <w:spacing w:val="-1"/>
          <w:szCs w:val="21"/>
        </w:rPr>
      </w:pPr>
      <w:r>
        <w:rPr>
          <w:rFonts w:asciiTheme="minorEastAsia" w:hAnsiTheme="minorEastAsia" w:cstheme="minorEastAsia" w:hint="eastAsia"/>
          <w:spacing w:val="-1"/>
          <w:szCs w:val="21"/>
        </w:rPr>
        <w:t>投标人应按要求建立系统化安全预警与情报共享机制，依托内外部多渠道情报信息，结合国家气象信息中心业务特点与安全态势，开展深度分析与精准研判。通过及时发布分级分类安全预警，同步共享高质量威胁情报，实现对新型攻击手法、重大漏洞风险及重大安全威胁的先期感知与有效应对。服务需确保预警信息的及时性、准确性与可操作性，为核心开展主动防御、策略调整及应急决策提供有力支撑，全面提升安全防护的前瞻性与针对性。</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spacing w:val="-1"/>
          <w:szCs w:val="21"/>
        </w:rPr>
        <w:t>《</w:t>
      </w:r>
      <w:r>
        <w:rPr>
          <w:rFonts w:asciiTheme="minorEastAsia" w:hAnsiTheme="minorEastAsia" w:cstheme="minorEastAsia" w:hint="eastAsia"/>
        </w:rPr>
        <w:t>国家气象信息中心安全预警通告》</w:t>
      </w:r>
    </w:p>
    <w:p>
      <w:pPr>
        <w:ind w:firstLine="416"/>
        <w:contextualSpacing/>
        <w:rPr>
          <w:rFonts w:asciiTheme="minorEastAsia" w:hAnsiTheme="minorEastAsia" w:cstheme="minorEastAsia"/>
          <w:spacing w:val="-1"/>
          <w:szCs w:val="21"/>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风险提示与安全通报服务</w:t>
      </w:r>
    </w:p>
    <w:p>
      <w:pPr>
        <w:ind w:firstLine="416"/>
        <w:contextualSpacing/>
        <w:rPr>
          <w:rFonts w:asciiTheme="minorEastAsia" w:hAnsiTheme="minorEastAsia" w:cstheme="minorEastAsia"/>
          <w:spacing w:val="-1"/>
          <w:szCs w:val="21"/>
        </w:rPr>
      </w:pPr>
      <w:r>
        <w:rPr>
          <w:rFonts w:asciiTheme="minorEastAsia" w:hAnsiTheme="minorEastAsia" w:cstheme="minorEastAsia" w:hint="eastAsia"/>
          <w:spacing w:val="-1"/>
          <w:szCs w:val="21"/>
        </w:rPr>
        <w:t>投标人应按要求建立健全风险提示与安全通报工作机制，基于实时安全监测数据与深度分析研判成果，及时发布网络安全风险提示与安全态势通报。内容需全面涵盖安全事件分析及防护应对建议等关键要素，确保信息传递的准确性与时效性。通过规范化通报流程与分级推送机制，有效指导各相关部门开展针对性防护工作，实现安全风险的早期发现、及时预警和闭环处置，全面提升国家气象信息中心整体网络安全防护水平和协同应对能力。</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spacing w:val="-1"/>
          <w:szCs w:val="21"/>
        </w:rPr>
        <w:t>《</w:t>
      </w:r>
      <w:r>
        <w:rPr>
          <w:rFonts w:asciiTheme="minorEastAsia" w:hAnsiTheme="minorEastAsia" w:cstheme="minorEastAsia" w:hint="eastAsia"/>
        </w:rPr>
        <w:t>国家气象信息中心风险提示清单》</w:t>
      </w:r>
    </w:p>
    <w:p>
      <w:pPr>
        <w:numPr>
          <w:ilvl w:val="0"/>
          <w:numId w:val="6"/>
        </w:numPr>
        <w:ind w:left="0" w:firstLine="420"/>
        <w:rPr>
          <w:rFonts w:asciiTheme="minorEastAsia" w:hAnsiTheme="minorEastAsia" w:cstheme="minorEastAsia"/>
        </w:rPr>
      </w:pPr>
      <w:r>
        <w:rPr>
          <w:rFonts w:asciiTheme="minorEastAsia" w:hAnsiTheme="minorEastAsia" w:cstheme="minorEastAsia" w:hint="eastAsia"/>
          <w:spacing w:val="-1"/>
          <w:szCs w:val="21"/>
        </w:rPr>
        <w:t>《</w:t>
      </w:r>
      <w:r>
        <w:rPr>
          <w:rFonts w:asciiTheme="minorEastAsia" w:hAnsiTheme="minorEastAsia" w:cstheme="minorEastAsia" w:hint="eastAsia"/>
        </w:rPr>
        <w:t>国家气象信息中心安全通报报告》</w:t>
      </w:r>
    </w:p>
    <w:p>
      <w:pPr>
        <w:ind w:firstLine="416"/>
        <w:contextualSpacing/>
        <w:rPr>
          <w:rFonts w:asciiTheme="minorEastAsia" w:hAnsiTheme="minorEastAsia" w:cstheme="minorEastAsia"/>
          <w:spacing w:val="-1"/>
          <w:szCs w:val="21"/>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 w:val="28"/>
          <w:szCs w:val="28"/>
        </w:rPr>
      </w:pPr>
      <w:r>
        <w:rPr>
          <w:rFonts w:asciiTheme="minorEastAsia" w:hAnsiTheme="minorEastAsia" w:cstheme="minorEastAsia" w:hint="eastAsia"/>
          <w:b/>
          <w:bCs/>
          <w:szCs w:val="21"/>
        </w:rPr>
        <w:t>应急预案修订与演练服务</w:t>
      </w:r>
    </w:p>
    <w:p>
      <w:pPr>
        <w:ind w:firstLine="422"/>
        <w:contextualSpacing/>
        <w:rPr>
          <w:rFonts w:asciiTheme="minorEastAsia" w:hAnsiTheme="minorEastAsia" w:cstheme="minorEastAsia"/>
          <w:spacing w:val="-1"/>
          <w:szCs w:val="21"/>
        </w:rPr>
      </w:pPr>
      <w:r>
        <w:rPr>
          <w:rFonts w:asciiTheme="minorEastAsia" w:hAnsiTheme="minorEastAsia" w:cstheme="minorEastAsia" w:hint="eastAsia"/>
          <w:spacing w:val="-1"/>
          <w:szCs w:val="21"/>
        </w:rPr>
        <w:t>投标人应为国家气象信息中心系统开展《国家气象信息中心网络与信息安全事件应急预案》的编制与动态修订工作。在此基础之上，组织一次涵盖中心多部门的综合性网络安全应急演练，具体负责演练方案制定、过程协调与总结评估工作。同时，根据中心统一部署，积极配合完成年度汛前应急演练中涉及安全设备调试、策略配置及应急处置等关键环节的技术支撑，切实提升预案的实用性与可操作性，全面增强跨部门协同应急处置能力。</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spacing w:val="-1"/>
          <w:szCs w:val="21"/>
        </w:rPr>
      </w:pPr>
      <w:r>
        <w:rPr>
          <w:rFonts w:asciiTheme="minorEastAsia" w:hAnsiTheme="minorEastAsia" w:cstheme="minorEastAsia" w:hint="eastAsia"/>
          <w:spacing w:val="-1"/>
          <w:szCs w:val="21"/>
        </w:rPr>
        <w:t>《国家气象信息中心网络与信息安全事件应急预案》</w:t>
      </w:r>
    </w:p>
    <w:p>
      <w:pPr>
        <w:numPr>
          <w:ilvl w:val="0"/>
          <w:numId w:val="6"/>
        </w:numPr>
        <w:ind w:left="0" w:firstLine="420"/>
        <w:rPr>
          <w:rFonts w:asciiTheme="minorEastAsia" w:hAnsiTheme="minorEastAsia" w:cstheme="minorEastAsia"/>
          <w:spacing w:val="-1"/>
          <w:szCs w:val="21"/>
        </w:rPr>
      </w:pPr>
      <w:r>
        <w:rPr>
          <w:rFonts w:asciiTheme="minorEastAsia" w:hAnsiTheme="minorEastAsia" w:cstheme="minorEastAsia" w:hint="eastAsia"/>
          <w:spacing w:val="-1"/>
          <w:szCs w:val="21"/>
        </w:rPr>
        <w:t>《国家气象信息中心安全应急演练方案》</w:t>
      </w:r>
    </w:p>
    <w:p>
      <w:pPr>
        <w:numPr>
          <w:ilvl w:val="0"/>
          <w:numId w:val="6"/>
        </w:numPr>
        <w:ind w:left="0" w:firstLine="420"/>
        <w:rPr>
          <w:rFonts w:asciiTheme="minorEastAsia" w:hAnsiTheme="minorEastAsia" w:cstheme="minorEastAsia"/>
          <w:spacing w:val="-1"/>
          <w:szCs w:val="21"/>
        </w:rPr>
      </w:pPr>
      <w:r>
        <w:rPr>
          <w:rFonts w:asciiTheme="minorEastAsia" w:hAnsiTheme="minorEastAsia" w:cstheme="minorEastAsia" w:hint="eastAsia"/>
          <w:spacing w:val="-1"/>
          <w:szCs w:val="21"/>
        </w:rPr>
        <w:t>《国家气象信息中心安全应急演练总结》</w:t>
      </w:r>
    </w:p>
    <w:p>
      <w:pPr>
        <w:rPr>
          <w:rFonts w:asciiTheme="minorEastAsia" w:hAnsiTheme="minorEastAsia" w:cstheme="minorEastAsia"/>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 w:val="28"/>
          <w:szCs w:val="28"/>
        </w:rPr>
      </w:pPr>
      <w:r>
        <w:rPr>
          <w:rFonts w:asciiTheme="minorEastAsia" w:hAnsiTheme="minorEastAsia" w:cstheme="minorEastAsia" w:hint="eastAsia"/>
          <w:b/>
          <w:bCs/>
          <w:szCs w:val="21"/>
        </w:rPr>
        <w:t>行业安全检查服务</w:t>
      </w:r>
    </w:p>
    <w:p>
      <w:pPr>
        <w:ind w:firstLine="422"/>
        <w:contextualSpacing/>
        <w:rPr>
          <w:rFonts w:asciiTheme="minorEastAsia" w:hAnsiTheme="minorEastAsia" w:cstheme="minorEastAsia"/>
          <w:spacing w:val="-1"/>
          <w:szCs w:val="21"/>
        </w:rPr>
      </w:pPr>
      <w:r>
        <w:rPr>
          <w:rFonts w:asciiTheme="minorEastAsia" w:hAnsiTheme="minorEastAsia" w:cstheme="minorEastAsia" w:hint="eastAsia"/>
          <w:spacing w:val="-1"/>
          <w:szCs w:val="21"/>
        </w:rPr>
        <w:t>投标人应按要求建立常态化网络安全监测机制，对国家级及其他相关单位安全设备告警进行实时监测，通过对各类安全事件日志的深度关联分析，精准识别潜在威胁，全面评估国家气象信息中心网络安全态势，并实施有效处置。严格遵循安全事件告警1小时内完成发现与处置的时效要求，同步履行全国网络安全事件的预警通报、分析研判及应急响应职责。若因未能主动发现风险而收到相关部门安全通报，须在半小时内完成处置并反馈结果，同时扣除合同金额的5%。服务所用技术工具须具备支撑国家级和省级两级单位安全日志采集处理的性能容量，并对接入的省级单位安全日志实施数据质量效果评级，至少设立三个等级进行精准区分与管理。</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spacing w:val="-1"/>
          <w:szCs w:val="21"/>
        </w:rPr>
      </w:pPr>
      <w:r>
        <w:rPr>
          <w:rFonts w:asciiTheme="minorEastAsia" w:hAnsiTheme="minorEastAsia" w:cstheme="minorEastAsia" w:hint="eastAsia"/>
          <w:spacing w:val="-1"/>
          <w:szCs w:val="21"/>
        </w:rPr>
        <w:t>《国家气象信息中心网络安全事件处置报告》</w:t>
      </w:r>
    </w:p>
    <w:p>
      <w:pPr>
        <w:numPr>
          <w:ilvl w:val="0"/>
          <w:numId w:val="6"/>
        </w:numPr>
        <w:ind w:left="0" w:firstLine="420"/>
        <w:rPr>
          <w:rFonts w:asciiTheme="minorEastAsia" w:hAnsiTheme="minorEastAsia" w:cstheme="minorEastAsia"/>
          <w:spacing w:val="-1"/>
          <w:szCs w:val="21"/>
        </w:rPr>
      </w:pPr>
      <w:r>
        <w:rPr>
          <w:rFonts w:asciiTheme="minorEastAsia" w:hAnsiTheme="minorEastAsia" w:cstheme="minorEastAsia" w:hint="eastAsia"/>
          <w:spacing w:val="-1"/>
          <w:szCs w:val="21"/>
        </w:rPr>
        <w:t>《国家气象信息中心信息系统安全状况周报》</w:t>
      </w:r>
    </w:p>
    <w:p>
      <w:pPr>
        <w:numPr>
          <w:ilvl w:val="0"/>
          <w:numId w:val="6"/>
        </w:numPr>
        <w:ind w:left="0" w:firstLine="420"/>
        <w:rPr>
          <w:rFonts w:asciiTheme="minorEastAsia" w:hAnsiTheme="minorEastAsia" w:cstheme="minorEastAsia"/>
          <w:spacing w:val="-1"/>
          <w:szCs w:val="21"/>
        </w:rPr>
      </w:pPr>
      <w:r>
        <w:rPr>
          <w:rFonts w:asciiTheme="minorEastAsia" w:hAnsiTheme="minorEastAsia" w:cstheme="minorEastAsia" w:hint="eastAsia"/>
          <w:spacing w:val="-1"/>
          <w:szCs w:val="21"/>
        </w:rPr>
        <w:t>《国家气象信息中心信息系统安全状况月报》</w:t>
      </w:r>
    </w:p>
    <w:p>
      <w:pPr>
        <w:numPr>
          <w:ilvl w:val="0"/>
          <w:numId w:val="6"/>
        </w:numPr>
        <w:ind w:left="0" w:firstLine="420"/>
        <w:rPr>
          <w:rFonts w:asciiTheme="minorEastAsia" w:hAnsiTheme="minorEastAsia" w:cstheme="minorEastAsia"/>
          <w:spacing w:val="-1"/>
          <w:szCs w:val="21"/>
        </w:rPr>
      </w:pPr>
      <w:r>
        <w:rPr>
          <w:rFonts w:asciiTheme="minorEastAsia" w:hAnsiTheme="minorEastAsia" w:cstheme="minorEastAsia" w:hint="eastAsia"/>
          <w:spacing w:val="-1"/>
          <w:szCs w:val="21"/>
        </w:rPr>
        <w:t>《国家气象信息中心信息系统安全状况年报》</w:t>
      </w:r>
    </w:p>
    <w:p>
      <w:pPr>
        <w:rPr>
          <w:rFonts w:asciiTheme="minorEastAsia" w:hAnsiTheme="minorEastAsia" w:cstheme="minorEastAsia"/>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协助安全检查服务</w:t>
      </w:r>
    </w:p>
    <w:p>
      <w:pPr>
        <w:ind w:firstLine="422"/>
        <w:contextualSpacing/>
        <w:rPr>
          <w:rFonts w:asciiTheme="minorEastAsia" w:hAnsiTheme="minorEastAsia" w:cstheme="minorEastAsia"/>
          <w:spacing w:val="-1"/>
          <w:szCs w:val="21"/>
        </w:rPr>
      </w:pPr>
      <w:r>
        <w:rPr>
          <w:rFonts w:asciiTheme="minorEastAsia" w:hAnsiTheme="minorEastAsia" w:cstheme="minorEastAsia" w:hint="eastAsia"/>
          <w:color w:val="0F1115"/>
          <w:sz w:val="19"/>
          <w:szCs w:val="19"/>
          <w:shd w:val="clear" w:color="auto" w:fill="FFFFFF"/>
        </w:rPr>
        <w:t>投标人应</w:t>
      </w:r>
      <w:r>
        <w:rPr>
          <w:rFonts w:asciiTheme="minorEastAsia" w:hAnsiTheme="minorEastAsia" w:cstheme="minorEastAsia" w:hint="eastAsia"/>
          <w:spacing w:val="-1"/>
          <w:szCs w:val="21"/>
        </w:rPr>
        <w:t>要求严格对照上级主管机关的检查要求，积极配合国家气象信息中心完成各项网络安全检查任务。服务内容包括但不限于：协助开展检查前准备工作，系统梳理备查资料与技术环境；全程配合现场检查工作，提供专业技术支持与情况说明；针对检查发现的问题，协助制定整改方案并指导落实；按时提交符合规范要求的检查报告及整改情况说明。确保各项迎检工作准备充分、响应及时、整改到位，切实提升中心网络安全管理的规范性与合规水平。</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spacing w:val="-1"/>
          <w:szCs w:val="21"/>
        </w:rPr>
      </w:pPr>
      <w:r>
        <w:rPr>
          <w:rFonts w:asciiTheme="minorEastAsia" w:hAnsiTheme="minorEastAsia" w:cstheme="minorEastAsia" w:hint="eastAsia"/>
          <w:spacing w:val="-1"/>
          <w:szCs w:val="21"/>
        </w:rPr>
        <w:t>《国家气象信息中心安全检查报告》</w:t>
      </w:r>
    </w:p>
    <w:p>
      <w:pPr>
        <w:numPr>
          <w:ilvl w:val="0"/>
          <w:numId w:val="6"/>
        </w:numPr>
        <w:ind w:left="0" w:firstLine="420"/>
        <w:rPr>
          <w:rFonts w:asciiTheme="minorEastAsia" w:hAnsiTheme="minorEastAsia" w:cstheme="minorEastAsia"/>
          <w:spacing w:val="-1"/>
          <w:szCs w:val="21"/>
        </w:rPr>
      </w:pPr>
      <w:r>
        <w:rPr>
          <w:rFonts w:asciiTheme="minorEastAsia" w:hAnsiTheme="minorEastAsia" w:cstheme="minorEastAsia" w:hint="eastAsia"/>
          <w:spacing w:val="-1"/>
          <w:szCs w:val="21"/>
        </w:rPr>
        <w:t>其他上级主管机关要求提供的安全检查相关材料</w:t>
      </w:r>
    </w:p>
    <w:p>
      <w:pPr>
        <w:rPr>
          <w:rFonts w:asciiTheme="minorEastAsia" w:hAnsiTheme="minorEastAsia" w:cstheme="minorEastAsia"/>
        </w:rPr>
      </w:pPr>
    </w:p>
    <w:p>
      <w:pPr>
        <w:numPr>
          <w:ilvl w:val="1"/>
          <w:numId w:val="5"/>
        </w:numPr>
        <w:autoSpaceDE w:val="0"/>
        <w:autoSpaceDN w:val="0"/>
        <w:ind w:hanging="642"/>
        <w:contextualSpacing/>
        <w:jc w:val="left"/>
        <w:outlineLvl w:val="3"/>
        <w:rPr>
          <w:rFonts w:asciiTheme="minorEastAsia" w:hAnsiTheme="minorEastAsia" w:cstheme="minorEastAsia"/>
          <w:b/>
          <w:bCs/>
          <w:szCs w:val="28"/>
        </w:rPr>
      </w:pPr>
      <w:r>
        <w:rPr>
          <w:rFonts w:asciiTheme="minorEastAsia" w:hAnsiTheme="minorEastAsia" w:cstheme="minorEastAsia" w:hint="eastAsia"/>
          <w:b/>
          <w:bCs/>
          <w:szCs w:val="28"/>
        </w:rPr>
        <w:t>安全教育培训宣传</w:t>
      </w: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 w:val="28"/>
          <w:szCs w:val="28"/>
        </w:rPr>
      </w:pPr>
      <w:r>
        <w:rPr>
          <w:rFonts w:asciiTheme="minorEastAsia" w:hAnsiTheme="minorEastAsia" w:cstheme="minorEastAsia" w:hint="eastAsia"/>
          <w:b/>
          <w:bCs/>
          <w:szCs w:val="21"/>
        </w:rPr>
        <w:t>攻防知识与技术培训服务</w:t>
      </w:r>
    </w:p>
    <w:p>
      <w:pPr>
        <w:ind w:firstLine="422"/>
        <w:contextualSpacing/>
        <w:rPr>
          <w:rFonts w:asciiTheme="minorEastAsia" w:hAnsiTheme="minorEastAsia" w:cstheme="minorEastAsia"/>
          <w:spacing w:val="-1"/>
          <w:szCs w:val="21"/>
        </w:rPr>
      </w:pPr>
      <w:r>
        <w:rPr>
          <w:rFonts w:asciiTheme="minorEastAsia" w:hAnsiTheme="minorEastAsia" w:cstheme="minorEastAsia" w:hint="eastAsia"/>
          <w:spacing w:val="-1"/>
          <w:szCs w:val="21"/>
        </w:rPr>
        <w:t>投标人应严格依据国家气象信息中心实际需求，在服务期内组织不少于2次专项攻防技术培训，每次培训为期5天。中标人须选派具备丰富实战经验的信息安全领域资深讲师，围绕网络安全攻防技术体系，通过系统化的理论讲授与实战化的操作演练相结合方式，为中心技术人员提供专业化培训。培训内容应根据中心业务特点和技术发展态势进行定制化设计，重点强化参训人员的攻防实战技能与安全防护能力，切实提升国家气象信息中心网络安全技术队伍的专业素养和整体防御水平。</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spacing w:val="-1"/>
          <w:szCs w:val="21"/>
        </w:rPr>
      </w:pPr>
      <w:r>
        <w:rPr>
          <w:rFonts w:asciiTheme="minorEastAsia" w:hAnsiTheme="minorEastAsia" w:cstheme="minorEastAsia" w:hint="eastAsia"/>
          <w:spacing w:val="-1"/>
          <w:szCs w:val="21"/>
        </w:rPr>
        <w:t>《国家气象信息中心攻防技术培训PPT》</w:t>
      </w:r>
    </w:p>
    <w:p>
      <w:pPr>
        <w:rPr>
          <w:rFonts w:asciiTheme="minorEastAsia" w:hAnsiTheme="minorEastAsia" w:cstheme="minorEastAsia"/>
        </w:rPr>
      </w:pPr>
    </w:p>
    <w:p>
      <w:pPr>
        <w:numPr>
          <w:ilvl w:val="2"/>
          <w:numId w:val="5"/>
        </w:numPr>
        <w:tabs>
          <w:tab w:val="left" w:pos="1060"/>
          <w:tab w:val="left" w:pos="1061"/>
        </w:tabs>
        <w:autoSpaceDE w:val="0"/>
        <w:autoSpaceDN w:val="0"/>
        <w:contextualSpacing/>
        <w:jc w:val="left"/>
        <w:outlineLvl w:val="4"/>
        <w:rPr>
          <w:rFonts w:asciiTheme="minorEastAsia" w:hAnsiTheme="minorEastAsia" w:cstheme="minorEastAsia"/>
          <w:b/>
          <w:bCs/>
          <w:szCs w:val="21"/>
        </w:rPr>
      </w:pPr>
      <w:r>
        <w:rPr>
          <w:rFonts w:asciiTheme="minorEastAsia" w:hAnsiTheme="minorEastAsia" w:cstheme="minorEastAsia" w:hint="eastAsia"/>
          <w:b/>
          <w:bCs/>
          <w:szCs w:val="21"/>
        </w:rPr>
        <w:t>协助网络安全宣传周服务</w:t>
      </w:r>
    </w:p>
    <w:p>
      <w:pPr>
        <w:ind w:firstLine="422"/>
        <w:contextualSpacing/>
        <w:rPr>
          <w:rFonts w:asciiTheme="minorEastAsia" w:hAnsiTheme="minorEastAsia" w:cstheme="minorEastAsia"/>
          <w:spacing w:val="-1"/>
          <w:szCs w:val="21"/>
        </w:rPr>
      </w:pPr>
      <w:r>
        <w:rPr>
          <w:rFonts w:asciiTheme="minorEastAsia" w:hAnsiTheme="minorEastAsia" w:cstheme="minorEastAsia" w:hint="eastAsia"/>
          <w:spacing w:val="-1"/>
          <w:szCs w:val="21"/>
        </w:rPr>
        <w:t>投标人应依据国家气象信息中心实际需求，组织开展专项技术交流与培训活动，其中网络安全意识专题培训不少于2次。通过系统化宣传教育，切实增强全员网络安全防护意识，普及基础安全知识，筑牢网络安全思想防线，全面提升国家气象信息中心整体安全防护水平。</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spacing w:val="-1"/>
          <w:szCs w:val="21"/>
        </w:rPr>
      </w:pPr>
      <w:r>
        <w:rPr>
          <w:rFonts w:asciiTheme="minorEastAsia" w:hAnsiTheme="minorEastAsia" w:cstheme="minorEastAsia" w:hint="eastAsia"/>
          <w:spacing w:val="-1"/>
          <w:szCs w:val="21"/>
        </w:rPr>
        <w:t>《国家气象信息中心安全意识培训PPT》</w:t>
      </w:r>
    </w:p>
    <w:p>
      <w:pPr>
        <w:rPr>
          <w:rFonts w:asciiTheme="minorEastAsia" w:hAnsiTheme="minorEastAsia" w:cstheme="minorEastAsia"/>
        </w:rPr>
      </w:pPr>
    </w:p>
    <w:p>
      <w:pPr>
        <w:numPr>
          <w:ilvl w:val="1"/>
          <w:numId w:val="5"/>
        </w:numPr>
        <w:autoSpaceDE w:val="0"/>
        <w:autoSpaceDN w:val="0"/>
        <w:ind w:hanging="642"/>
        <w:contextualSpacing/>
        <w:jc w:val="left"/>
        <w:outlineLvl w:val="3"/>
        <w:rPr>
          <w:rFonts w:asciiTheme="minorEastAsia" w:hAnsiTheme="minorEastAsia" w:cstheme="minorEastAsia"/>
          <w:b/>
          <w:bCs/>
          <w:szCs w:val="28"/>
        </w:rPr>
      </w:pPr>
      <w:r>
        <w:rPr>
          <w:rFonts w:asciiTheme="minorEastAsia" w:hAnsiTheme="minorEastAsia" w:cstheme="minorEastAsia" w:hint="eastAsia"/>
          <w:b/>
          <w:bCs/>
          <w:szCs w:val="28"/>
        </w:rPr>
        <w:t>重要时期网络安全保障服务</w:t>
      </w:r>
    </w:p>
    <w:p>
      <w:pPr>
        <w:ind w:firstLine="422"/>
        <w:contextualSpacing/>
        <w:rPr>
          <w:rFonts w:asciiTheme="minorEastAsia" w:hAnsiTheme="minorEastAsia" w:cstheme="minorEastAsia"/>
          <w:spacing w:val="-1"/>
          <w:szCs w:val="21"/>
        </w:rPr>
      </w:pPr>
      <w:r>
        <w:rPr>
          <w:rFonts w:asciiTheme="minorEastAsia" w:hAnsiTheme="minorEastAsia" w:cstheme="minorEastAsia" w:hint="eastAsia"/>
          <w:spacing w:val="-1"/>
          <w:szCs w:val="21"/>
        </w:rPr>
        <w:t>在"两会"、"汛期"等重要时间节点，投标人应严格强化驻场及二线技术支持力量，按照国家气象信息中心统一部署要求，全面落实7×24小时现场值班值守机制。当启动三级及以上应急响应或进入需每日报送安全态势的特殊时期，遇周末及法定节假日必须确保至少1名专业人员持续在岗值守，全面履行安全监测、风险预警和应急处置职责，切实保障重要时期网络安全态势平稳可控。</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spacing w:val="-1"/>
          <w:szCs w:val="21"/>
        </w:rPr>
      </w:pPr>
      <w:r>
        <w:rPr>
          <w:rFonts w:asciiTheme="minorEastAsia" w:hAnsiTheme="minorEastAsia" w:cstheme="minorEastAsia" w:hint="eastAsia"/>
          <w:spacing w:val="-1"/>
          <w:szCs w:val="21"/>
        </w:rPr>
        <w:t>《重要时期网络安全保障服务报告》</w:t>
      </w:r>
    </w:p>
    <w:p>
      <w:pPr>
        <w:numPr>
          <w:ilvl w:val="1"/>
          <w:numId w:val="5"/>
        </w:numPr>
        <w:autoSpaceDE w:val="0"/>
        <w:autoSpaceDN w:val="0"/>
        <w:ind w:hanging="642"/>
        <w:contextualSpacing/>
        <w:jc w:val="left"/>
        <w:outlineLvl w:val="3"/>
        <w:rPr>
          <w:rFonts w:asciiTheme="minorEastAsia" w:hAnsiTheme="minorEastAsia" w:cstheme="minorEastAsia"/>
          <w:b/>
          <w:bCs/>
          <w:szCs w:val="28"/>
        </w:rPr>
      </w:pPr>
      <w:r>
        <w:rPr>
          <w:rFonts w:asciiTheme="minorEastAsia" w:hAnsiTheme="minorEastAsia" w:cstheme="minorEastAsia" w:hint="eastAsia"/>
          <w:b/>
          <w:bCs/>
          <w:szCs w:val="28"/>
        </w:rPr>
        <w:t xml:space="preserve"> 其他安全服务工作</w:t>
      </w:r>
    </w:p>
    <w:p>
      <w:pPr>
        <w:ind w:firstLine="422"/>
        <w:contextualSpacing/>
        <w:rPr>
          <w:rFonts w:asciiTheme="minorEastAsia" w:hAnsiTheme="minorEastAsia" w:cstheme="minorEastAsia"/>
          <w:spacing w:val="-1"/>
          <w:szCs w:val="21"/>
        </w:rPr>
      </w:pPr>
      <w:r>
        <w:rPr>
          <w:rFonts w:asciiTheme="minorEastAsia" w:hAnsiTheme="minorEastAsia" w:cstheme="minorEastAsia" w:hint="eastAsia"/>
          <w:spacing w:val="-1"/>
          <w:szCs w:val="21"/>
        </w:rPr>
        <w:t>投标人应全面履行以下网络安全保障职责：当国家气象信息中心外网网络或应用系统出现异常时，须立即配合开展安全排查工作，迅速分析异常原因并在最短时间内完成恢复处置；同时负责对中心网络安全相关文档资料（包括安全资产清单、安全拓扑图、安全设备技术资料、安全策略等）进行系统梳理与实时更新维护，并完成本项目各类验收文档的系统整理与归档工作；此外，须按时保质完成国家气象信息中心交办的其他各项网络安全技术相关工作。</w:t>
      </w:r>
    </w:p>
    <w:p>
      <w:pPr>
        <w:autoSpaceDE w:val="0"/>
        <w:autoSpaceDN w:val="0"/>
        <w:ind w:firstLine="402"/>
        <w:contextualSpacing/>
        <w:jc w:val="left"/>
        <w:rPr>
          <w:rFonts w:asciiTheme="minorEastAsia" w:hAnsiTheme="minorEastAsia" w:cstheme="minorEastAsia"/>
          <w:b/>
          <w:bCs/>
          <w:w w:val="95"/>
          <w:kern w:val="0"/>
          <w:szCs w:val="21"/>
        </w:rPr>
      </w:pPr>
      <w:r>
        <w:rPr>
          <w:rFonts w:asciiTheme="minorEastAsia" w:hAnsiTheme="minorEastAsia" w:cstheme="minorEastAsia" w:hint="eastAsia"/>
          <w:b/>
          <w:bCs/>
          <w:w w:val="95"/>
          <w:kern w:val="0"/>
          <w:szCs w:val="21"/>
        </w:rPr>
        <w:t>交付成果：</w:t>
      </w:r>
    </w:p>
    <w:p>
      <w:pPr>
        <w:numPr>
          <w:ilvl w:val="0"/>
          <w:numId w:val="6"/>
        </w:numPr>
        <w:ind w:left="0" w:firstLine="420"/>
        <w:rPr>
          <w:rFonts w:asciiTheme="minorEastAsia" w:hAnsiTheme="minorEastAsia" w:cstheme="minorEastAsia"/>
          <w:spacing w:val="-1"/>
          <w:szCs w:val="21"/>
        </w:rPr>
      </w:pPr>
      <w:r>
        <w:rPr>
          <w:rFonts w:asciiTheme="minorEastAsia" w:hAnsiTheme="minorEastAsia" w:cstheme="minorEastAsia" w:hint="eastAsia"/>
          <w:spacing w:val="-1"/>
          <w:szCs w:val="21"/>
        </w:rPr>
        <w:t>其他安全服务报告</w:t>
      </w:r>
    </w:p>
    <w:p>
      <w:pPr>
        <w:tabs>
          <w:tab w:val="left" w:pos="1060"/>
          <w:tab w:val="left" w:pos="1061"/>
        </w:tabs>
        <w:ind w:firstLine="420"/>
        <w:contextualSpacing/>
        <w:rPr>
          <w:spacing w:val="-1"/>
          <w:szCs w:val="21"/>
        </w:rPr>
      </w:pPr>
    </w:p>
    <w:p>
      <w:pPr>
        <w:keepNext/>
        <w:keepLines/>
        <w:numPr>
          <w:ilvl w:val="0"/>
          <w:numId w:val="4"/>
        </w:numPr>
        <w:autoSpaceDE w:val="0"/>
        <w:autoSpaceDN w:val="0"/>
        <w:ind w:left="0" w:firstLine="418"/>
        <w:contextualSpacing/>
        <w:jc w:val="left"/>
        <w:outlineLvl w:val="2"/>
        <w:rPr>
          <w:rFonts w:ascii="Calibri" w:hAnsi="Calibri"/>
          <w:b/>
          <w:bCs/>
          <w:spacing w:val="-1"/>
          <w:szCs w:val="21"/>
        </w:rPr>
      </w:pPr>
      <w:r>
        <w:rPr>
          <w:rFonts w:ascii="Calibri" w:hAnsi="Calibri" w:hint="eastAsia"/>
          <w:b/>
          <w:bCs/>
          <w:spacing w:val="-1"/>
          <w:szCs w:val="21"/>
        </w:rPr>
        <w:t>人力资源要求</w:t>
      </w:r>
    </w:p>
    <w:p>
      <w:pPr>
        <w:tabs>
          <w:tab w:val="left" w:pos="1060"/>
          <w:tab w:val="left" w:pos="1061"/>
        </w:tabs>
        <w:ind w:firstLine="416"/>
        <w:contextualSpacing/>
        <w:rPr>
          <w:spacing w:val="-1"/>
          <w:szCs w:val="21"/>
        </w:rPr>
      </w:pPr>
      <w:r>
        <w:rPr>
          <w:spacing w:val="-1"/>
          <w:szCs w:val="21"/>
        </w:rPr>
        <w:t>须提供项目管理机构和详细人员配置计划，并明确各岗位的职责和任务分工。中标人服务</w:t>
      </w:r>
      <w:r>
        <w:rPr>
          <w:rFonts w:hint="eastAsia"/>
          <w:spacing w:val="-1"/>
          <w:szCs w:val="21"/>
          <w:lang w:val="en-US" w:eastAsia="zh-CN"/>
        </w:rPr>
        <w:t>驻场</w:t>
      </w:r>
      <w:r>
        <w:rPr>
          <w:spacing w:val="-1"/>
          <w:szCs w:val="21"/>
        </w:rPr>
        <w:t>团队由项目经理</w:t>
      </w:r>
      <w:r>
        <w:rPr>
          <w:rFonts w:hint="eastAsia"/>
          <w:spacing w:val="-1"/>
          <w:szCs w:val="21"/>
          <w:lang w:eastAsia="zh-CN"/>
        </w:rPr>
        <w:t>、</w:t>
      </w:r>
      <w:r>
        <w:rPr>
          <w:rFonts w:hint="eastAsia"/>
          <w:spacing w:val="-1"/>
          <w:szCs w:val="21"/>
          <w:lang w:val="en-US" w:eastAsia="zh-CN"/>
        </w:rPr>
        <w:t>技术负责人和技术专家</w:t>
      </w:r>
      <w:r>
        <w:rPr>
          <w:spacing w:val="-1"/>
          <w:szCs w:val="21"/>
        </w:rPr>
        <w:t xml:space="preserve">构成，团队成员要求全部人员具有部委安全服务经验，需要提供简历。团队成员不少于 </w:t>
      </w:r>
      <w:r>
        <w:rPr>
          <w:rFonts w:hint="eastAsia"/>
          <w:spacing w:val="-1"/>
          <w:szCs w:val="21"/>
        </w:rPr>
        <w:t>5</w:t>
      </w:r>
      <w:r>
        <w:rPr>
          <w:spacing w:val="-1"/>
          <w:szCs w:val="21"/>
        </w:rPr>
        <w:t xml:space="preserve"> 人。</w:t>
      </w:r>
    </w:p>
    <w:p>
      <w:pPr>
        <w:tabs>
          <w:tab w:val="left" w:pos="1060"/>
          <w:tab w:val="left" w:pos="1061"/>
        </w:tabs>
        <w:ind w:firstLine="416"/>
        <w:contextualSpacing/>
        <w:rPr>
          <w:rFonts w:hint="eastAsia"/>
          <w:spacing w:val="-1"/>
          <w:szCs w:val="21"/>
        </w:rPr>
      </w:pPr>
      <w:r>
        <w:rPr>
          <w:rFonts w:hint="eastAsia"/>
          <w:spacing w:val="-1"/>
          <w:szCs w:val="21"/>
        </w:rPr>
        <w:t>项目经理</w:t>
      </w:r>
      <w:r>
        <w:rPr>
          <w:rFonts w:hint="eastAsia"/>
          <w:spacing w:val="-1"/>
          <w:szCs w:val="21"/>
          <w:lang w:val="en-US" w:eastAsia="zh-CN"/>
        </w:rPr>
        <w:t>1人，</w:t>
      </w:r>
      <w:r>
        <w:rPr>
          <w:rFonts w:hint="eastAsia"/>
          <w:spacing w:val="-1"/>
          <w:szCs w:val="21"/>
        </w:rPr>
        <w:t>要求具有5年以上网络安全、信息化建设或服务项目经验，同时具备CISAW-应急服务方向资质证书和工信部颁发的高级网络信息安全工程师资质证书。</w:t>
      </w:r>
    </w:p>
    <w:p>
      <w:pPr>
        <w:tabs>
          <w:tab w:val="left" w:pos="1060"/>
          <w:tab w:val="left" w:pos="1061"/>
        </w:tabs>
        <w:ind w:firstLine="416"/>
        <w:contextualSpacing/>
        <w:rPr>
          <w:rFonts w:hint="eastAsia"/>
          <w:spacing w:val="-1"/>
          <w:szCs w:val="21"/>
        </w:rPr>
      </w:pPr>
      <w:r>
        <w:rPr>
          <w:rFonts w:hint="eastAsia"/>
          <w:spacing w:val="-1"/>
          <w:szCs w:val="21"/>
        </w:rPr>
        <w:t>技术负责人</w:t>
      </w:r>
      <w:r>
        <w:rPr>
          <w:rFonts w:hint="eastAsia"/>
          <w:spacing w:val="-1"/>
          <w:szCs w:val="21"/>
          <w:lang w:val="en-US" w:eastAsia="zh-CN"/>
        </w:rPr>
        <w:t>1人，</w:t>
      </w:r>
      <w:r>
        <w:rPr>
          <w:rFonts w:hint="eastAsia"/>
          <w:spacing w:val="-1"/>
          <w:szCs w:val="21"/>
        </w:rPr>
        <w:t>具有5年以上网络安全、信息化建设或服务项目经验，同时具备CISAW-安全集成方向资质证书和CISAW-软件安全方向资质证书。</w:t>
      </w:r>
    </w:p>
    <w:p>
      <w:pPr>
        <w:tabs>
          <w:tab w:val="left" w:pos="1060"/>
          <w:tab w:val="left" w:pos="1061"/>
        </w:tabs>
        <w:ind w:firstLine="416"/>
        <w:contextualSpacing/>
        <w:rPr>
          <w:rFonts w:hint="eastAsia"/>
          <w:spacing w:val="-1"/>
          <w:szCs w:val="21"/>
        </w:rPr>
      </w:pPr>
      <w:r>
        <w:rPr>
          <w:rFonts w:hint="eastAsia"/>
          <w:spacing w:val="-1"/>
          <w:szCs w:val="21"/>
        </w:rPr>
        <w:t>驻场工程师3</w:t>
      </w:r>
      <w:r>
        <w:rPr>
          <w:rFonts w:hint="eastAsia"/>
          <w:spacing w:val="-1"/>
          <w:szCs w:val="21"/>
          <w:lang w:val="en-US" w:eastAsia="zh-CN"/>
        </w:rPr>
        <w:t>人</w:t>
      </w:r>
      <w:r>
        <w:rPr>
          <w:rFonts w:hint="eastAsia"/>
          <w:spacing w:val="-1"/>
          <w:szCs w:val="21"/>
        </w:rPr>
        <w:t>，均已获得CCSK资质证书，具备3年及以上安全分析工作经验。</w:t>
      </w:r>
    </w:p>
    <w:p>
      <w:pPr>
        <w:tabs>
          <w:tab w:val="left" w:pos="1060"/>
          <w:tab w:val="left" w:pos="1061"/>
        </w:tabs>
        <w:ind w:firstLine="416"/>
        <w:contextualSpacing/>
        <w:rPr>
          <w:spacing w:val="-1"/>
          <w:szCs w:val="21"/>
        </w:rPr>
      </w:pPr>
      <w:r>
        <w:rPr>
          <w:spacing w:val="-1"/>
          <w:szCs w:val="21"/>
        </w:rPr>
        <w:t>除国家气象信息中心提出更换要求和驻场人员个人离职两种情况外，不可随意更换驻场人员。项目组人员一经国家气象信息中心认可后，在整个项目实施过程中未经国家气象信息中心同意不得更换。指定的专职项目经理和技术服务责任人如有变化，必须提前 15 天通知国家气象信息中心，并且所更换人员要具备原替换人员的相同能力和资质，得到国家气象信息中心的同意并进行备案，同时扣除合同金额的 3%（每次），若未经国家气象信息中心同意更换人员，则扣除合同金额的 5%（每次。）</w:t>
      </w:r>
    </w:p>
    <w:p>
      <w:pPr>
        <w:tabs>
          <w:tab w:val="left" w:pos="1060"/>
          <w:tab w:val="left" w:pos="1061"/>
        </w:tabs>
        <w:ind w:firstLine="416"/>
        <w:contextualSpacing/>
        <w:rPr>
          <w:spacing w:val="-1"/>
          <w:szCs w:val="21"/>
        </w:rPr>
      </w:pPr>
      <w:r>
        <w:rPr>
          <w:spacing w:val="-1"/>
          <w:szCs w:val="21"/>
        </w:rPr>
        <w:t>提供全年 7×8 安全驻场值守服务。安全驻场人员分为常驻人员及二线人员。5 名常驻人员执行 7×8 小时安全值守服务，当常驻人员因故不能解决问题时，二线人员应 1 小时内抵达现场， 并按要求完成各项工作。</w:t>
      </w:r>
    </w:p>
    <w:p>
      <w:pPr>
        <w:keepNext/>
        <w:keepLines/>
        <w:numPr>
          <w:ilvl w:val="0"/>
          <w:numId w:val="4"/>
        </w:numPr>
        <w:autoSpaceDE w:val="0"/>
        <w:autoSpaceDN w:val="0"/>
        <w:ind w:left="0" w:firstLine="418"/>
        <w:contextualSpacing/>
        <w:jc w:val="left"/>
        <w:outlineLvl w:val="2"/>
        <w:rPr>
          <w:rFonts w:ascii="Calibri" w:hAnsi="Calibri"/>
          <w:b/>
          <w:bCs/>
          <w:spacing w:val="-1"/>
          <w:szCs w:val="21"/>
        </w:rPr>
      </w:pPr>
      <w:r>
        <w:rPr>
          <w:rFonts w:ascii="Calibri" w:hAnsi="Calibri" w:hint="eastAsia"/>
          <w:b/>
          <w:bCs/>
          <w:spacing w:val="-1"/>
          <w:szCs w:val="21"/>
        </w:rPr>
        <w:t>违约责任</w:t>
      </w:r>
    </w:p>
    <w:p>
      <w:pPr>
        <w:tabs>
          <w:tab w:val="left" w:pos="1060"/>
          <w:tab w:val="left" w:pos="1061"/>
        </w:tabs>
        <w:ind w:firstLine="416"/>
        <w:contextualSpacing/>
        <w:rPr>
          <w:spacing w:val="-1"/>
          <w:szCs w:val="21"/>
        </w:rPr>
      </w:pPr>
      <w:r>
        <w:rPr>
          <w:rFonts w:hint="eastAsia"/>
          <w:spacing w:val="-1"/>
          <w:szCs w:val="21"/>
        </w:rPr>
        <w:t>（</w:t>
      </w:r>
      <w:r>
        <w:rPr>
          <w:spacing w:val="-1"/>
          <w:szCs w:val="21"/>
        </w:rPr>
        <w:t>1</w:t>
      </w:r>
      <w:r>
        <w:rPr>
          <w:rFonts w:hint="eastAsia"/>
          <w:spacing w:val="-1"/>
          <w:szCs w:val="21"/>
        </w:rPr>
        <w:t>）</w:t>
      </w:r>
      <w:r>
        <w:rPr>
          <w:spacing w:val="-1"/>
          <w:szCs w:val="21"/>
        </w:rPr>
        <w:t xml:space="preserve">服务期间，不可出现网站系统被页面篡改、攻陷、挂马、可用性被破坏等安全事件中标人未及时发现，而导致网站问题被第三方机构或个人更早发现或披露，对国家气象信息中心造成不良影响的事件； </w:t>
      </w:r>
    </w:p>
    <w:p>
      <w:pPr>
        <w:tabs>
          <w:tab w:val="left" w:pos="1060"/>
          <w:tab w:val="left" w:pos="1061"/>
        </w:tabs>
        <w:ind w:firstLine="416"/>
        <w:contextualSpacing/>
        <w:rPr>
          <w:spacing w:val="-1"/>
          <w:szCs w:val="21"/>
        </w:rPr>
      </w:pPr>
      <w:r>
        <w:rPr>
          <w:rFonts w:hint="eastAsia"/>
          <w:spacing w:val="-1"/>
          <w:szCs w:val="21"/>
        </w:rPr>
        <w:t>（</w:t>
      </w:r>
      <w:r>
        <w:rPr>
          <w:spacing w:val="-1"/>
          <w:szCs w:val="21"/>
        </w:rPr>
        <w:t>2</w:t>
      </w:r>
      <w:r>
        <w:rPr>
          <w:rFonts w:hint="eastAsia"/>
          <w:spacing w:val="-1"/>
          <w:szCs w:val="21"/>
        </w:rPr>
        <w:t>）</w:t>
      </w:r>
      <w:r>
        <w:rPr>
          <w:spacing w:val="-1"/>
          <w:szCs w:val="21"/>
        </w:rPr>
        <w:t xml:space="preserve">服务期间，不可出现由于中标人未及时发现国家气象信息中心安全漏洞隐患，而导致系统漏洞被第三方机构或个人更早发现或披露，对国家气象信息中心造成不良影响的事件； </w:t>
      </w:r>
    </w:p>
    <w:p>
      <w:pPr>
        <w:tabs>
          <w:tab w:val="left" w:pos="1060"/>
          <w:tab w:val="left" w:pos="1061"/>
        </w:tabs>
        <w:ind w:firstLine="416"/>
        <w:contextualSpacing/>
        <w:rPr>
          <w:spacing w:val="-1"/>
          <w:szCs w:val="21"/>
        </w:rPr>
      </w:pPr>
      <w:r>
        <w:rPr>
          <w:rFonts w:hint="eastAsia"/>
          <w:spacing w:val="-1"/>
          <w:szCs w:val="21"/>
        </w:rPr>
        <w:t>（</w:t>
      </w:r>
      <w:r>
        <w:rPr>
          <w:spacing w:val="-1"/>
          <w:szCs w:val="21"/>
        </w:rPr>
        <w:t>3</w:t>
      </w:r>
      <w:r>
        <w:rPr>
          <w:rFonts w:hint="eastAsia"/>
          <w:spacing w:val="-1"/>
          <w:szCs w:val="21"/>
        </w:rPr>
        <w:t>）</w:t>
      </w:r>
      <w:r>
        <w:rPr>
          <w:spacing w:val="-1"/>
          <w:szCs w:val="21"/>
        </w:rPr>
        <w:t>服务期间，不可出现由于中标人未及时发现国家气象信息中心安全漏洞隐患，而导致系统漏洞被第三方机构或个人利用，对国家气象信息中心造成不良影响的事件</w:t>
      </w:r>
      <w:r>
        <w:rPr>
          <w:rFonts w:hint="eastAsia"/>
          <w:spacing w:val="-1"/>
          <w:szCs w:val="21"/>
        </w:rPr>
        <w:t>；</w:t>
      </w:r>
    </w:p>
    <w:p>
      <w:pPr>
        <w:tabs>
          <w:tab w:val="left" w:pos="1060"/>
          <w:tab w:val="left" w:pos="1061"/>
        </w:tabs>
        <w:ind w:firstLine="416"/>
        <w:contextualSpacing/>
        <w:rPr>
          <w:spacing w:val="-1"/>
          <w:szCs w:val="21"/>
        </w:rPr>
      </w:pPr>
      <w:r>
        <w:rPr>
          <w:rFonts w:hint="eastAsia"/>
          <w:spacing w:val="-1"/>
          <w:szCs w:val="21"/>
        </w:rPr>
        <w:t>（</w:t>
      </w:r>
      <w:r>
        <w:rPr>
          <w:spacing w:val="-1"/>
          <w:szCs w:val="21"/>
        </w:rPr>
        <w:t>4</w:t>
      </w:r>
      <w:r>
        <w:rPr>
          <w:rFonts w:hint="eastAsia"/>
          <w:spacing w:val="-1"/>
          <w:szCs w:val="21"/>
        </w:rPr>
        <w:t>）</w:t>
      </w:r>
      <w:r>
        <w:rPr>
          <w:spacing w:val="-1"/>
          <w:szCs w:val="21"/>
        </w:rPr>
        <w:t xml:space="preserve">服务期间，不可出现由于终端安全而导致的网络影响事件； </w:t>
      </w:r>
    </w:p>
    <w:p>
      <w:pPr>
        <w:tabs>
          <w:tab w:val="left" w:pos="1060"/>
          <w:tab w:val="left" w:pos="1061"/>
        </w:tabs>
        <w:ind w:firstLine="416"/>
        <w:contextualSpacing/>
        <w:rPr>
          <w:spacing w:val="-1"/>
          <w:szCs w:val="21"/>
        </w:rPr>
      </w:pPr>
      <w:r>
        <w:rPr>
          <w:rFonts w:hint="eastAsia"/>
          <w:spacing w:val="-1"/>
          <w:szCs w:val="21"/>
        </w:rPr>
        <w:t>（</w:t>
      </w:r>
      <w:r>
        <w:rPr>
          <w:spacing w:val="-1"/>
          <w:szCs w:val="21"/>
        </w:rPr>
        <w:t>5</w:t>
      </w:r>
      <w:r>
        <w:rPr>
          <w:rFonts w:hint="eastAsia"/>
          <w:spacing w:val="-1"/>
          <w:szCs w:val="21"/>
        </w:rPr>
        <w:t>）</w:t>
      </w:r>
      <w:r>
        <w:rPr>
          <w:spacing w:val="-1"/>
          <w:szCs w:val="21"/>
        </w:rPr>
        <w:t xml:space="preserve">不可出现应急安全事件不可解决的情况。 </w:t>
      </w:r>
    </w:p>
    <w:p>
      <w:pPr>
        <w:tabs>
          <w:tab w:val="left" w:pos="1060"/>
          <w:tab w:val="left" w:pos="1061"/>
        </w:tabs>
        <w:ind w:firstLine="416"/>
        <w:contextualSpacing/>
        <w:rPr>
          <w:szCs w:val="21"/>
        </w:rPr>
      </w:pPr>
      <w:r>
        <w:rPr>
          <w:spacing w:val="-1"/>
          <w:szCs w:val="21"/>
        </w:rPr>
        <w:t>如上述要求出现违约，每出现一次扣除不少于合同金额 10%的违约金，对国家气象信息中心造成的不良影响及损失，中标人需承担相应法律责任。</w:t>
      </w:r>
      <w:r>
        <w:t xml:space="preserve"> </w:t>
      </w:r>
    </w:p>
    <w:p>
      <w:pPr>
        <w:keepNext/>
        <w:keepLines/>
        <w:numPr>
          <w:ilvl w:val="0"/>
          <w:numId w:val="4"/>
        </w:numPr>
        <w:autoSpaceDE w:val="0"/>
        <w:autoSpaceDN w:val="0"/>
        <w:ind w:left="0" w:firstLine="418"/>
        <w:contextualSpacing/>
        <w:jc w:val="left"/>
        <w:outlineLvl w:val="2"/>
        <w:rPr>
          <w:rFonts w:ascii="Calibri" w:hAnsi="Calibri"/>
          <w:b/>
          <w:bCs/>
          <w:spacing w:val="-1"/>
          <w:szCs w:val="21"/>
        </w:rPr>
      </w:pPr>
      <w:r>
        <w:rPr>
          <w:rFonts w:ascii="Calibri" w:hAnsi="Calibri" w:hint="eastAsia"/>
          <w:b/>
          <w:bCs/>
          <w:spacing w:val="-1"/>
          <w:szCs w:val="21"/>
        </w:rPr>
        <w:t>服务工作基本要求</w:t>
      </w:r>
    </w:p>
    <w:p>
      <w:pPr>
        <w:tabs>
          <w:tab w:val="left" w:pos="1060"/>
          <w:tab w:val="left" w:pos="1061"/>
        </w:tabs>
        <w:ind w:firstLine="416"/>
        <w:contextualSpacing/>
        <w:rPr>
          <w:spacing w:val="-1"/>
          <w:szCs w:val="21"/>
        </w:rPr>
      </w:pPr>
      <w:r>
        <w:rPr>
          <w:spacing w:val="-1"/>
          <w:szCs w:val="21"/>
        </w:rPr>
        <w:t>驻场</w:t>
      </w:r>
      <w:r>
        <w:rPr>
          <w:rFonts w:hint="eastAsia"/>
          <w:spacing w:val="-1"/>
          <w:szCs w:val="21"/>
        </w:rPr>
        <w:t>安全服务团队</w:t>
      </w:r>
      <w:r>
        <w:rPr>
          <w:spacing w:val="-1"/>
          <w:szCs w:val="21"/>
        </w:rPr>
        <w:t>工作内容包括但不限于：</w:t>
      </w:r>
      <w:r>
        <w:rPr>
          <w:rFonts w:hint="eastAsia"/>
          <w:spacing w:val="-1"/>
          <w:szCs w:val="21"/>
        </w:rPr>
        <w:t>安全监督检查、常态化安全运营（资产运营、脆弱性管理运营、威胁管理运营、事件管理运营、威胁建模服务和运营流程制定与优化服务）、</w:t>
      </w:r>
      <w:r>
        <w:rPr>
          <w:spacing w:val="-1"/>
          <w:szCs w:val="21"/>
        </w:rPr>
        <w:t>安全通报与预警通告编写、重大活动的7×24小时安全保障、现场应急处理、安全故障处理及技术支持等具体工作。</w:t>
      </w:r>
    </w:p>
    <w:p>
      <w:pPr>
        <w:tabs>
          <w:tab w:val="left" w:pos="1060"/>
          <w:tab w:val="left" w:pos="1061"/>
        </w:tabs>
        <w:ind w:firstLine="416"/>
        <w:contextualSpacing/>
        <w:rPr>
          <w:spacing w:val="-1"/>
          <w:szCs w:val="21"/>
        </w:rPr>
      </w:pPr>
      <w:r>
        <w:rPr>
          <w:rFonts w:hint="eastAsia"/>
          <w:spacing w:val="-1"/>
          <w:szCs w:val="21"/>
        </w:rPr>
        <w:t>云端安全服务团队工作内容包括但不限于：互联网暴露面发现、敏感数据泄露监测、攻击面分析、7*24小时风险预警服务。</w:t>
      </w:r>
    </w:p>
    <w:p>
      <w:pPr>
        <w:tabs>
          <w:tab w:val="left" w:pos="1060"/>
          <w:tab w:val="left" w:pos="1061"/>
        </w:tabs>
        <w:ind w:firstLine="416"/>
        <w:contextualSpacing/>
        <w:rPr>
          <w:spacing w:val="-1"/>
          <w:szCs w:val="21"/>
        </w:rPr>
      </w:pPr>
      <w:r>
        <w:rPr>
          <w:rFonts w:hint="eastAsia"/>
          <w:spacing w:val="-1"/>
          <w:szCs w:val="21"/>
        </w:rPr>
        <w:t>根据服务工作，总结可量化的指标数据（包括但不限于告警分析数量、上机排查次数、发出通报次数、漏洞扫描主机数、渗透测试系统数等），每日统计，并按周、月、季、年进行汇总上报。</w:t>
      </w:r>
    </w:p>
    <w:p>
      <w:pPr>
        <w:autoSpaceDE w:val="0"/>
        <w:autoSpaceDN w:val="0"/>
        <w:ind w:left="642"/>
        <w:contextualSpacing/>
        <w:jc w:val="left"/>
        <w:outlineLvl w:val="3"/>
        <w:rPr>
          <w:rFonts w:asciiTheme="minorEastAsia" w:hAnsiTheme="minorEastAsia" w:cstheme="minorEastAsia"/>
          <w:b/>
          <w:bCs/>
          <w:szCs w:val="28"/>
        </w:rPr>
      </w:pPr>
      <w:r>
        <w:rPr>
          <w:rFonts w:asciiTheme="minorEastAsia" w:hAnsiTheme="minorEastAsia" w:cstheme="minorEastAsia" w:hint="eastAsia"/>
          <w:b/>
          <w:bCs/>
          <w:szCs w:val="28"/>
        </w:rPr>
        <w:t>5</w:t>
      </w:r>
      <w:r>
        <w:rPr>
          <w:rFonts w:asciiTheme="minorEastAsia" w:hAnsiTheme="minorEastAsia" w:cstheme="minorEastAsia"/>
          <w:b/>
          <w:bCs/>
          <w:szCs w:val="28"/>
        </w:rPr>
        <w:t xml:space="preserve">.1 </w:t>
      </w:r>
      <w:r>
        <w:rPr>
          <w:rFonts w:asciiTheme="minorEastAsia" w:hAnsiTheme="minorEastAsia" w:cstheme="minorEastAsia" w:hint="eastAsia"/>
          <w:b/>
          <w:bCs/>
          <w:szCs w:val="28"/>
        </w:rPr>
        <w:t>技术支持</w:t>
      </w:r>
    </w:p>
    <w:p>
      <w:pPr>
        <w:tabs>
          <w:tab w:val="left" w:pos="1060"/>
          <w:tab w:val="left" w:pos="1061"/>
        </w:tabs>
        <w:ind w:firstLine="416"/>
        <w:contextualSpacing/>
        <w:rPr>
          <w:spacing w:val="-1"/>
          <w:szCs w:val="21"/>
        </w:rPr>
      </w:pPr>
      <w:r>
        <w:rPr>
          <w:spacing w:val="-1"/>
          <w:szCs w:val="21"/>
        </w:rPr>
        <w:t>根据突发安全事件要求，进行现场快速支持服务，根据事件解决需求可实行现场服务可与远程服务并行开展。</w:t>
      </w:r>
    </w:p>
    <w:p>
      <w:pPr>
        <w:tabs>
          <w:tab w:val="left" w:pos="1060"/>
          <w:tab w:val="left" w:pos="1061"/>
        </w:tabs>
        <w:ind w:firstLine="416"/>
        <w:contextualSpacing/>
        <w:rPr>
          <w:spacing w:val="-1"/>
          <w:szCs w:val="21"/>
        </w:rPr>
      </w:pPr>
      <w:r>
        <w:rPr>
          <w:spacing w:val="-1"/>
          <w:szCs w:val="21"/>
        </w:rPr>
        <w:t>在春节、劳动节、重要会议、重大活动、黄金周长假、汛期、重要项目测试及年终决算、结息等对安全运行要求较高的特殊时段，提供驻场服务人员，并将值班工程师的时间表以及联系电话表以传真或Email的方式传送给国家气象信息中心负责人，7×24小时重点技术支持服务。</w:t>
      </w:r>
    </w:p>
    <w:p>
      <w:pPr>
        <w:tabs>
          <w:tab w:val="left" w:pos="1060"/>
          <w:tab w:val="left" w:pos="1061"/>
        </w:tabs>
        <w:ind w:firstLine="416"/>
        <w:contextualSpacing/>
        <w:rPr>
          <w:spacing w:val="-1"/>
          <w:szCs w:val="21"/>
        </w:rPr>
      </w:pPr>
      <w:r>
        <w:rPr>
          <w:spacing w:val="-1"/>
          <w:szCs w:val="21"/>
        </w:rPr>
        <w:t>项目经理、驻场工程师、二线专家手机全天候开通，提供7×24小时电话、电子邮件和传真的免费技术支持。支持范围包括产品的功能、配置、安装、调试、优化以及使用中遇到的各种技术问题的一般性咨询，并随时准备处理各种突发事件；同时在得到国家气象信息中心允许后，可通过远程访问系统，为国家气象信息中心提供远程的诊断服务。</w:t>
      </w:r>
    </w:p>
    <w:p>
      <w:pPr>
        <w:tabs>
          <w:tab w:val="left" w:pos="1060"/>
          <w:tab w:val="left" w:pos="1061"/>
        </w:tabs>
        <w:ind w:firstLine="416"/>
        <w:contextualSpacing/>
        <w:rPr>
          <w:spacing w:val="-1"/>
          <w:szCs w:val="21"/>
        </w:rPr>
      </w:pPr>
      <w:r>
        <w:rPr>
          <w:spacing w:val="-1"/>
          <w:szCs w:val="21"/>
        </w:rPr>
        <w:t>本次服务质量要求如下：</w:t>
      </w:r>
    </w:p>
    <w:tbl>
      <w:tblPr>
        <w:tblStyle w:val="TableNormal"/>
        <w:tblW w:w="0" w:type="auto"/>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082"/>
        <w:gridCol w:w="1890"/>
        <w:gridCol w:w="5182"/>
      </w:tblGrid>
      <w:tr>
        <w:tblPrEx>
          <w:tblW w:w="0" w:type="auto"/>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082" w:type="dxa"/>
          </w:tcPr>
          <w:p>
            <w:pPr>
              <w:autoSpaceDE w:val="0"/>
              <w:autoSpaceDN w:val="0"/>
              <w:contextualSpacing/>
              <w:jc w:val="center"/>
              <w:rPr>
                <w:rFonts w:ascii="宋体" w:eastAsia="等线" w:hAnsi="宋体" w:cs="宋体"/>
                <w:b/>
                <w:kern w:val="0"/>
              </w:rPr>
            </w:pPr>
            <w:r>
              <w:rPr>
                <w:rFonts w:ascii="宋体" w:eastAsia="等线" w:hAnsi="宋体" w:cs="宋体" w:hint="eastAsia"/>
                <w:b/>
                <w:kern w:val="0"/>
              </w:rPr>
              <w:t>序号</w:t>
            </w:r>
          </w:p>
        </w:tc>
        <w:tc>
          <w:tcPr>
            <w:tcW w:w="1890" w:type="dxa"/>
          </w:tcPr>
          <w:p>
            <w:pPr>
              <w:autoSpaceDE w:val="0"/>
              <w:autoSpaceDN w:val="0"/>
              <w:contextualSpacing/>
              <w:jc w:val="center"/>
              <w:rPr>
                <w:rFonts w:ascii="宋体" w:eastAsia="等线" w:hAnsi="宋体" w:cs="宋体"/>
                <w:b/>
                <w:kern w:val="0"/>
              </w:rPr>
            </w:pPr>
            <w:r>
              <w:rPr>
                <w:rFonts w:ascii="宋体" w:eastAsia="等线" w:hAnsi="宋体" w:cs="宋体" w:hint="eastAsia"/>
                <w:b/>
                <w:kern w:val="0"/>
              </w:rPr>
              <w:t>指标名称</w:t>
            </w:r>
          </w:p>
        </w:tc>
        <w:tc>
          <w:tcPr>
            <w:tcW w:w="5182" w:type="dxa"/>
          </w:tcPr>
          <w:p>
            <w:pPr>
              <w:autoSpaceDE w:val="0"/>
              <w:autoSpaceDN w:val="0"/>
              <w:contextualSpacing/>
              <w:jc w:val="center"/>
              <w:rPr>
                <w:rFonts w:ascii="宋体" w:eastAsia="等线" w:hAnsi="宋体" w:cs="宋体"/>
                <w:b/>
                <w:kern w:val="0"/>
              </w:rPr>
            </w:pPr>
            <w:r>
              <w:rPr>
                <w:rFonts w:ascii="宋体" w:eastAsia="等线" w:hAnsi="宋体" w:cs="宋体" w:hint="eastAsia"/>
                <w:b/>
                <w:kern w:val="0"/>
              </w:rPr>
              <w:t>指标内容</w:t>
            </w:r>
          </w:p>
        </w:tc>
      </w:tr>
      <w:tr>
        <w:tblPrEx>
          <w:tblW w:w="0" w:type="auto"/>
          <w:tblInd w:w="139" w:type="dxa"/>
          <w:tblLayout w:type="fixed"/>
          <w:tblCellMar>
            <w:top w:w="0" w:type="dxa"/>
            <w:left w:w="108" w:type="dxa"/>
            <w:bottom w:w="0" w:type="dxa"/>
            <w:right w:w="108" w:type="dxa"/>
          </w:tblCellMar>
        </w:tblPrEx>
        <w:tc>
          <w:tcPr>
            <w:tcW w:w="1082" w:type="dxa"/>
            <w:vAlign w:val="center"/>
          </w:tcPr>
          <w:p>
            <w:pPr>
              <w:autoSpaceDE w:val="0"/>
              <w:autoSpaceDN w:val="0"/>
              <w:ind w:firstLine="416"/>
              <w:contextualSpacing/>
              <w:rPr>
                <w:spacing w:val="-1"/>
                <w:szCs w:val="21"/>
              </w:rPr>
            </w:pPr>
            <w:r>
              <w:rPr>
                <w:spacing w:val="-1"/>
                <w:szCs w:val="21"/>
              </w:rPr>
              <w:t>1</w:t>
            </w:r>
          </w:p>
        </w:tc>
        <w:tc>
          <w:tcPr>
            <w:tcW w:w="1890" w:type="dxa"/>
            <w:vAlign w:val="center"/>
          </w:tcPr>
          <w:p>
            <w:pPr>
              <w:autoSpaceDE w:val="0"/>
              <w:autoSpaceDN w:val="0"/>
              <w:contextualSpacing/>
              <w:jc w:val="center"/>
              <w:rPr>
                <w:spacing w:val="-1"/>
                <w:szCs w:val="21"/>
              </w:rPr>
            </w:pPr>
            <w:r>
              <w:rPr>
                <w:rFonts w:hint="eastAsia"/>
                <w:spacing w:val="-1"/>
                <w:szCs w:val="21"/>
              </w:rPr>
              <w:t>投诉次数</w:t>
            </w:r>
          </w:p>
        </w:tc>
        <w:tc>
          <w:tcPr>
            <w:tcW w:w="5182" w:type="dxa"/>
            <w:vAlign w:val="center"/>
          </w:tcPr>
          <w:p>
            <w:pPr>
              <w:autoSpaceDE w:val="0"/>
              <w:autoSpaceDN w:val="0"/>
              <w:contextualSpacing/>
              <w:rPr>
                <w:spacing w:val="-1"/>
                <w:szCs w:val="21"/>
              </w:rPr>
            </w:pPr>
            <w:r>
              <w:rPr>
                <w:rFonts w:hint="eastAsia"/>
                <w:spacing w:val="-1"/>
                <w:szCs w:val="21"/>
              </w:rPr>
              <w:t>服务期内少于</w:t>
            </w:r>
            <w:r>
              <w:rPr>
                <w:spacing w:val="-1"/>
                <w:szCs w:val="21"/>
              </w:rPr>
              <w:t>2</w:t>
            </w:r>
            <w:r>
              <w:rPr>
                <w:rFonts w:hint="eastAsia"/>
                <w:spacing w:val="-1"/>
                <w:szCs w:val="21"/>
              </w:rPr>
              <w:t>次</w:t>
            </w:r>
          </w:p>
        </w:tc>
      </w:tr>
      <w:tr>
        <w:tblPrEx>
          <w:tblW w:w="0" w:type="auto"/>
          <w:tblInd w:w="139" w:type="dxa"/>
          <w:tblLayout w:type="fixed"/>
          <w:tblCellMar>
            <w:top w:w="0" w:type="dxa"/>
            <w:left w:w="108" w:type="dxa"/>
            <w:bottom w:w="0" w:type="dxa"/>
            <w:right w:w="108" w:type="dxa"/>
          </w:tblCellMar>
        </w:tblPrEx>
        <w:tc>
          <w:tcPr>
            <w:tcW w:w="1082" w:type="dxa"/>
            <w:vAlign w:val="center"/>
          </w:tcPr>
          <w:p>
            <w:pPr>
              <w:autoSpaceDE w:val="0"/>
              <w:autoSpaceDN w:val="0"/>
              <w:ind w:firstLine="416"/>
              <w:contextualSpacing/>
              <w:rPr>
                <w:spacing w:val="-1"/>
                <w:szCs w:val="21"/>
              </w:rPr>
            </w:pPr>
            <w:r>
              <w:rPr>
                <w:spacing w:val="-1"/>
                <w:szCs w:val="21"/>
              </w:rPr>
              <w:t>2</w:t>
            </w:r>
          </w:p>
        </w:tc>
        <w:tc>
          <w:tcPr>
            <w:tcW w:w="1890" w:type="dxa"/>
            <w:vAlign w:val="center"/>
          </w:tcPr>
          <w:p>
            <w:pPr>
              <w:autoSpaceDE w:val="0"/>
              <w:autoSpaceDN w:val="0"/>
              <w:contextualSpacing/>
              <w:jc w:val="center"/>
              <w:rPr>
                <w:spacing w:val="-1"/>
                <w:szCs w:val="21"/>
              </w:rPr>
            </w:pPr>
            <w:r>
              <w:rPr>
                <w:rFonts w:hint="eastAsia"/>
                <w:spacing w:val="-1"/>
                <w:szCs w:val="21"/>
              </w:rPr>
              <w:t>加班承诺</w:t>
            </w:r>
          </w:p>
        </w:tc>
        <w:tc>
          <w:tcPr>
            <w:tcW w:w="5182" w:type="dxa"/>
            <w:vAlign w:val="center"/>
          </w:tcPr>
          <w:p>
            <w:pPr>
              <w:autoSpaceDE w:val="0"/>
              <w:autoSpaceDN w:val="0"/>
              <w:contextualSpacing/>
              <w:rPr>
                <w:spacing w:val="-1"/>
                <w:szCs w:val="21"/>
              </w:rPr>
            </w:pPr>
            <w:r>
              <w:rPr>
                <w:rFonts w:hint="eastAsia"/>
                <w:spacing w:val="-1"/>
                <w:szCs w:val="21"/>
              </w:rPr>
              <w:t>本项目服务人员在正常工作时间之外，须能够根据国家气象信息中心的工作需要和工作安排随时加班，加班相关费用由投标人自行承担。</w:t>
            </w:r>
          </w:p>
        </w:tc>
      </w:tr>
      <w:tr>
        <w:tblPrEx>
          <w:tblW w:w="0" w:type="auto"/>
          <w:tblInd w:w="139" w:type="dxa"/>
          <w:tblLayout w:type="fixed"/>
          <w:tblCellMar>
            <w:top w:w="0" w:type="dxa"/>
            <w:left w:w="108" w:type="dxa"/>
            <w:bottom w:w="0" w:type="dxa"/>
            <w:right w:w="108" w:type="dxa"/>
          </w:tblCellMar>
        </w:tblPrEx>
        <w:tc>
          <w:tcPr>
            <w:tcW w:w="1082" w:type="dxa"/>
            <w:vAlign w:val="center"/>
          </w:tcPr>
          <w:p>
            <w:pPr>
              <w:autoSpaceDE w:val="0"/>
              <w:autoSpaceDN w:val="0"/>
              <w:ind w:firstLine="416"/>
              <w:contextualSpacing/>
              <w:rPr>
                <w:spacing w:val="-1"/>
                <w:szCs w:val="21"/>
              </w:rPr>
            </w:pPr>
            <w:r>
              <w:rPr>
                <w:spacing w:val="-1"/>
                <w:szCs w:val="21"/>
              </w:rPr>
              <w:t>3</w:t>
            </w:r>
          </w:p>
        </w:tc>
        <w:tc>
          <w:tcPr>
            <w:tcW w:w="1890" w:type="dxa"/>
            <w:vAlign w:val="center"/>
          </w:tcPr>
          <w:p>
            <w:pPr>
              <w:autoSpaceDE w:val="0"/>
              <w:autoSpaceDN w:val="0"/>
              <w:contextualSpacing/>
              <w:jc w:val="center"/>
              <w:rPr>
                <w:spacing w:val="-1"/>
                <w:szCs w:val="21"/>
              </w:rPr>
            </w:pPr>
            <w:r>
              <w:rPr>
                <w:rFonts w:hint="eastAsia"/>
                <w:spacing w:val="-1"/>
                <w:szCs w:val="21"/>
              </w:rPr>
              <w:t>服从管理承诺</w:t>
            </w:r>
          </w:p>
        </w:tc>
        <w:tc>
          <w:tcPr>
            <w:tcW w:w="5182" w:type="dxa"/>
            <w:vAlign w:val="center"/>
          </w:tcPr>
          <w:p>
            <w:pPr>
              <w:autoSpaceDE w:val="0"/>
              <w:autoSpaceDN w:val="0"/>
              <w:contextualSpacing/>
              <w:rPr>
                <w:spacing w:val="-1"/>
                <w:szCs w:val="21"/>
              </w:rPr>
            </w:pPr>
            <w:r>
              <w:rPr>
                <w:rFonts w:hint="eastAsia"/>
                <w:spacing w:val="-1"/>
                <w:szCs w:val="21"/>
              </w:rPr>
              <w:t>驻场人员须服从国家气象信息中心管理，遵守国家气象信息中心各项日常管理规定，在工作上服从国家气象信息中心的安排。</w:t>
            </w:r>
          </w:p>
        </w:tc>
      </w:tr>
    </w:tbl>
    <w:p>
      <w:pPr>
        <w:ind w:firstLine="420"/>
        <w:contextualSpacing/>
        <w:rPr>
          <w:spacing w:val="-1"/>
          <w:szCs w:val="21"/>
        </w:rPr>
      </w:pPr>
      <w:r>
        <w:t>对不能达到服务承诺和标准的情况，每出现</w:t>
      </w:r>
      <w:r>
        <w:rPr>
          <w:rFonts w:eastAsia="Times New Roman"/>
        </w:rPr>
        <w:t>1</w:t>
      </w:r>
      <w:r>
        <w:t>次扣除不少于合同金额</w:t>
      </w:r>
      <w:r>
        <w:rPr>
          <w:rFonts w:eastAsia="Times New Roman"/>
        </w:rPr>
        <w:t>10%</w:t>
      </w:r>
      <w:r>
        <w:t>的违约金。</w:t>
      </w:r>
    </w:p>
    <w:p>
      <w:pPr>
        <w:keepNext/>
        <w:keepLines/>
        <w:numPr>
          <w:ilvl w:val="0"/>
          <w:numId w:val="4"/>
        </w:numPr>
        <w:autoSpaceDE w:val="0"/>
        <w:autoSpaceDN w:val="0"/>
        <w:ind w:left="0" w:firstLine="418"/>
        <w:contextualSpacing/>
        <w:jc w:val="left"/>
        <w:outlineLvl w:val="2"/>
        <w:rPr>
          <w:rFonts w:ascii="Calibri" w:hAnsi="Calibri"/>
          <w:b/>
          <w:bCs/>
          <w:spacing w:val="-1"/>
          <w:szCs w:val="21"/>
        </w:rPr>
      </w:pPr>
      <w:r>
        <w:rPr>
          <w:rFonts w:ascii="Calibri" w:hAnsi="Calibri" w:hint="eastAsia"/>
          <w:b/>
          <w:bCs/>
          <w:spacing w:val="-1"/>
          <w:szCs w:val="21"/>
        </w:rPr>
        <w:t>保密要求</w:t>
      </w:r>
    </w:p>
    <w:p>
      <w:pPr>
        <w:autoSpaceDE w:val="0"/>
        <w:autoSpaceDN w:val="0"/>
        <w:ind w:left="422"/>
        <w:contextualSpacing/>
        <w:jc w:val="left"/>
        <w:outlineLvl w:val="3"/>
        <w:rPr>
          <w:rFonts w:ascii="Arial" w:eastAsia="黑体" w:hAnsi="Arial"/>
          <w:b/>
          <w:bCs/>
          <w:szCs w:val="28"/>
        </w:rPr>
      </w:pPr>
      <w:r>
        <w:rPr>
          <w:rFonts w:ascii="Arial" w:eastAsia="黑体" w:hAnsi="Arial" w:hint="eastAsia"/>
          <w:b/>
          <w:bCs/>
          <w:szCs w:val="28"/>
        </w:rPr>
        <w:t>6</w:t>
      </w:r>
      <w:r>
        <w:rPr>
          <w:rFonts w:ascii="Arial" w:eastAsia="黑体" w:hAnsi="Arial"/>
          <w:b/>
          <w:bCs/>
          <w:szCs w:val="28"/>
        </w:rPr>
        <w:t>.1 组织保密要求</w:t>
      </w:r>
    </w:p>
    <w:p>
      <w:pPr>
        <w:tabs>
          <w:tab w:val="left" w:pos="1060"/>
          <w:tab w:val="left" w:pos="1061"/>
        </w:tabs>
        <w:ind w:firstLine="416"/>
        <w:contextualSpacing/>
        <w:rPr>
          <w:spacing w:val="-1"/>
          <w:szCs w:val="21"/>
        </w:rPr>
      </w:pPr>
      <w:r>
        <w:rPr>
          <w:spacing w:val="-1"/>
          <w:szCs w:val="21"/>
        </w:rPr>
        <w:t>1、对国家气象信息中心提供的各种技术文件（软件、咨询报告、服务内容）与工作业务信息进行保密，未经国家气象信息中心书面批准不得提供给第三方。如有违反，须承担相应的法律责任。此保密义务不因合同的终止而免除。</w:t>
      </w:r>
    </w:p>
    <w:p>
      <w:pPr>
        <w:tabs>
          <w:tab w:val="left" w:pos="1060"/>
          <w:tab w:val="left" w:pos="1061"/>
        </w:tabs>
        <w:ind w:firstLine="416"/>
        <w:contextualSpacing/>
        <w:rPr>
          <w:spacing w:val="-1"/>
          <w:szCs w:val="21"/>
        </w:rPr>
      </w:pPr>
      <w:r>
        <w:rPr>
          <w:spacing w:val="-1"/>
          <w:szCs w:val="21"/>
        </w:rPr>
        <w:t>2、必须与国家气象信息中心签订《安全保密协议》。如有违反，须承担全部责任并赔偿国家气象信息中心的一切损失，国家气象信息中心有权追究中标人的法律责任并终止合同。</w:t>
      </w:r>
    </w:p>
    <w:p>
      <w:pPr>
        <w:tabs>
          <w:tab w:val="left" w:pos="1060"/>
          <w:tab w:val="left" w:pos="1061"/>
        </w:tabs>
        <w:ind w:firstLine="416"/>
        <w:contextualSpacing/>
        <w:rPr>
          <w:spacing w:val="-1"/>
          <w:szCs w:val="21"/>
        </w:rPr>
      </w:pPr>
      <w:r>
        <w:rPr>
          <w:spacing w:val="-1"/>
          <w:szCs w:val="21"/>
        </w:rPr>
        <w:t>3、必须遵守国家气象信息中心的各项规章制度，严格按照工作规范组织进行运维工作，制定切实可行的措施保障人员安全，设备安全，生产安全。</w:t>
      </w:r>
    </w:p>
    <w:p>
      <w:pPr>
        <w:tabs>
          <w:tab w:val="left" w:pos="1060"/>
          <w:tab w:val="left" w:pos="1061"/>
        </w:tabs>
        <w:ind w:firstLine="416"/>
        <w:contextualSpacing/>
        <w:rPr>
          <w:spacing w:val="-1"/>
          <w:szCs w:val="21"/>
        </w:rPr>
      </w:pPr>
      <w:r>
        <w:rPr>
          <w:spacing w:val="-1"/>
          <w:szCs w:val="21"/>
        </w:rPr>
        <w:t>4、必须制定合理的措施对运维人员进行管理和思想教育，加强保密意识，安全生产意识。</w:t>
      </w:r>
    </w:p>
    <w:p>
      <w:pPr>
        <w:autoSpaceDE w:val="0"/>
        <w:autoSpaceDN w:val="0"/>
        <w:ind w:left="422"/>
        <w:contextualSpacing/>
        <w:jc w:val="left"/>
        <w:outlineLvl w:val="3"/>
        <w:rPr>
          <w:rFonts w:ascii="Arial" w:eastAsia="黑体" w:hAnsi="Arial"/>
          <w:b/>
          <w:bCs/>
          <w:szCs w:val="28"/>
        </w:rPr>
      </w:pPr>
      <w:r>
        <w:rPr>
          <w:rFonts w:ascii="Arial" w:eastAsia="黑体" w:hAnsi="Arial" w:hint="eastAsia"/>
          <w:b/>
          <w:bCs/>
          <w:szCs w:val="28"/>
        </w:rPr>
        <w:t>6</w:t>
      </w:r>
      <w:r>
        <w:rPr>
          <w:rFonts w:ascii="Arial" w:eastAsia="黑体" w:hAnsi="Arial"/>
          <w:b/>
          <w:bCs/>
          <w:szCs w:val="28"/>
        </w:rPr>
        <w:t xml:space="preserve">.2 </w:t>
      </w:r>
      <w:r>
        <w:rPr>
          <w:rFonts w:ascii="Arial" w:eastAsia="黑体" w:hAnsi="Arial" w:hint="eastAsia"/>
          <w:b/>
          <w:bCs/>
          <w:szCs w:val="28"/>
        </w:rPr>
        <w:t>人员保密要求</w:t>
      </w:r>
    </w:p>
    <w:p>
      <w:pPr>
        <w:tabs>
          <w:tab w:val="left" w:pos="1060"/>
          <w:tab w:val="left" w:pos="1061"/>
        </w:tabs>
        <w:ind w:firstLine="416"/>
        <w:contextualSpacing/>
      </w:pPr>
      <w:r>
        <w:rPr>
          <w:spacing w:val="-1"/>
          <w:szCs w:val="21"/>
        </w:rPr>
        <w:t>参与本次项目运维的员工须与中标人、国家气象信息中心签订三方保密协议，如有违反，中标人必须承担全部责任并赔偿国家气象信息中心的一切损失，国家气象信息中心有权追究中标人的法律责任并终止合同。</w:t>
      </w:r>
    </w:p>
    <w:p>
      <w:pPr>
        <w:keepNext/>
        <w:keepLines/>
        <w:numPr>
          <w:ilvl w:val="0"/>
          <w:numId w:val="4"/>
        </w:numPr>
        <w:autoSpaceDE w:val="0"/>
        <w:autoSpaceDN w:val="0"/>
        <w:ind w:left="0" w:firstLine="418"/>
        <w:contextualSpacing/>
        <w:jc w:val="left"/>
        <w:outlineLvl w:val="2"/>
        <w:rPr>
          <w:rFonts w:ascii="Calibri" w:hAnsi="Calibri"/>
          <w:b/>
          <w:bCs/>
          <w:spacing w:val="-1"/>
          <w:szCs w:val="21"/>
        </w:rPr>
      </w:pPr>
      <w:r>
        <w:rPr>
          <w:rFonts w:ascii="Calibri" w:hAnsi="Calibri" w:hint="eastAsia"/>
          <w:b/>
          <w:bCs/>
          <w:spacing w:val="-1"/>
          <w:szCs w:val="21"/>
        </w:rPr>
        <w:t>验收交付要求</w:t>
      </w:r>
    </w:p>
    <w:p>
      <w:pPr>
        <w:tabs>
          <w:tab w:val="left" w:pos="1060"/>
          <w:tab w:val="left" w:pos="1061"/>
        </w:tabs>
        <w:ind w:firstLine="416"/>
        <w:contextualSpacing/>
        <w:rPr>
          <w:spacing w:val="-1"/>
          <w:szCs w:val="21"/>
        </w:rPr>
      </w:pPr>
      <w:r>
        <w:rPr>
          <w:spacing w:val="-1"/>
          <w:szCs w:val="21"/>
        </w:rPr>
        <w:t>项目执行规范化管理，制定以本项目需求为基础的规范化流程且各类工作记录单样例齐全。需</w:t>
      </w:r>
      <w:r>
        <w:rPr>
          <w:rFonts w:hint="eastAsia"/>
          <w:spacing w:val="-1"/>
          <w:szCs w:val="21"/>
        </w:rPr>
        <w:t>提交国家气象信息中心下列文档，由国家气象信息中心负责审核与修订。包括但不限于以下交付物。项目建设各阶段评审发生的评审费、文档印刷费等费用由乙方承担。</w:t>
      </w:r>
    </w:p>
    <w:tbl>
      <w:tblPr>
        <w:tblStyle w:val="13"/>
        <w:tblW w:w="0" w:type="auto"/>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830"/>
        <w:gridCol w:w="5324"/>
      </w:tblGrid>
      <w:tr>
        <w:tblPrEx>
          <w:tblW w:w="0" w:type="auto"/>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565"/>
        </w:trPr>
        <w:tc>
          <w:tcPr>
            <w:tcW w:w="2830" w:type="dxa"/>
            <w:vAlign w:val="center"/>
          </w:tcPr>
          <w:p>
            <w:pPr>
              <w:jc w:val="center"/>
            </w:pPr>
            <w:r>
              <w:rPr>
                <w:rFonts w:hint="eastAsia"/>
              </w:rPr>
              <w:t>服务项</w:t>
            </w:r>
          </w:p>
        </w:tc>
        <w:tc>
          <w:tcPr>
            <w:tcW w:w="5324" w:type="dxa"/>
            <w:vAlign w:val="center"/>
          </w:tcPr>
          <w:p>
            <w:pPr>
              <w:jc w:val="center"/>
            </w:pPr>
            <w:r>
              <w:rPr>
                <w:rFonts w:hint="eastAsia"/>
              </w:rPr>
              <w:t>交付成果</w:t>
            </w:r>
          </w:p>
        </w:tc>
      </w:tr>
      <w:tr>
        <w:tblPrEx>
          <w:tblW w:w="0" w:type="auto"/>
          <w:tblInd w:w="139" w:type="dxa"/>
          <w:tblCellMar>
            <w:top w:w="0" w:type="dxa"/>
            <w:left w:w="108" w:type="dxa"/>
            <w:bottom w:w="0" w:type="dxa"/>
            <w:right w:w="108" w:type="dxa"/>
          </w:tblCellMar>
        </w:tblPrEx>
        <w:trPr>
          <w:trHeight w:val="565"/>
        </w:trPr>
        <w:tc>
          <w:tcPr>
            <w:tcW w:w="2830" w:type="dxa"/>
            <w:vMerge w:val="restart"/>
            <w:vAlign w:val="center"/>
          </w:tcPr>
          <w:p>
            <w:pPr>
              <w:jc w:val="center"/>
            </w:pPr>
            <w:r>
              <w:rPr>
                <w:rFonts w:hint="eastAsia"/>
              </w:rPr>
              <w:t>安全运营咨询规划</w:t>
            </w:r>
          </w:p>
        </w:tc>
        <w:tc>
          <w:tcPr>
            <w:tcW w:w="5324" w:type="dxa"/>
            <w:vAlign w:val="center"/>
          </w:tcPr>
          <w:p>
            <w:pPr>
              <w:jc w:val="left"/>
            </w:pPr>
            <w:r>
              <w:rPr>
                <w:rFonts w:hint="eastAsia"/>
              </w:rPr>
              <w:t>《国家气象信息中心网络安全运营管理办法》</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rPr>
                <w:rFonts w:hint="eastAsia"/>
              </w:rPr>
              <w:t>《国家气象信息中心安全运营整体规划设计》</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rPr>
                <w:rFonts w:hint="eastAsia"/>
              </w:rPr>
              <w:t>《国家气象信息中心安全运营组织职能设计》</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rPr>
                <w:rFonts w:hint="eastAsia"/>
              </w:rPr>
              <w:t>《国家气象信息中心安全运营流程规范》</w:t>
            </w:r>
          </w:p>
        </w:tc>
      </w:tr>
      <w:tr>
        <w:tblPrEx>
          <w:tblW w:w="0" w:type="auto"/>
          <w:tblInd w:w="139" w:type="dxa"/>
          <w:tblCellMar>
            <w:top w:w="0" w:type="dxa"/>
            <w:left w:w="108" w:type="dxa"/>
            <w:bottom w:w="0" w:type="dxa"/>
            <w:right w:w="108" w:type="dxa"/>
          </w:tblCellMar>
        </w:tblPrEx>
        <w:trPr>
          <w:trHeight w:val="565"/>
        </w:trPr>
        <w:tc>
          <w:tcPr>
            <w:tcW w:w="2830" w:type="dxa"/>
            <w:vMerge w:val="restart"/>
            <w:vAlign w:val="center"/>
          </w:tcPr>
          <w:p>
            <w:pPr>
              <w:tabs>
                <w:tab w:val="left" w:pos="1060"/>
                <w:tab w:val="left" w:pos="1061"/>
              </w:tabs>
              <w:autoSpaceDE w:val="0"/>
              <w:autoSpaceDN w:val="0"/>
              <w:contextualSpacing/>
              <w:jc w:val="center"/>
              <w:outlineLvl w:val="4"/>
            </w:pPr>
            <w:r>
              <w:rPr>
                <w:rFonts w:hint="eastAsia"/>
              </w:rPr>
              <w:t>运营流程制定与优化服务</w:t>
            </w:r>
          </w:p>
          <w:p>
            <w:pPr>
              <w:jc w:val="center"/>
            </w:pPr>
          </w:p>
        </w:tc>
        <w:tc>
          <w:tcPr>
            <w:tcW w:w="5324" w:type="dxa"/>
            <w:vAlign w:val="center"/>
          </w:tcPr>
          <w:p>
            <w:pPr>
              <w:jc w:val="left"/>
            </w:pPr>
            <w:r>
              <w:rPr>
                <w:rFonts w:hint="eastAsia"/>
              </w:rPr>
              <w:t>《国家气象信息中心资产运营流程》</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rPr>
                <w:rFonts w:hint="eastAsia"/>
              </w:rPr>
              <w:t>《国家气象信息中心脆弱性运营流程》</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rPr>
                <w:rFonts w:hint="eastAsia"/>
              </w:rPr>
              <w:t>《国家气象信息中心事件处置流程》</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rPr>
                <w:rFonts w:hint="eastAsia"/>
              </w:rPr>
              <w:t>《国家气象信息中心数据外发监测流程》</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rPr>
                <w:rFonts w:hint="eastAsia"/>
              </w:rPr>
              <w:t>《国家气象信息中心异常接口监测流程》</w:t>
            </w:r>
          </w:p>
        </w:tc>
      </w:tr>
      <w:tr>
        <w:tblPrEx>
          <w:tblW w:w="0" w:type="auto"/>
          <w:tblInd w:w="139" w:type="dxa"/>
          <w:tblCellMar>
            <w:top w:w="0" w:type="dxa"/>
            <w:left w:w="108" w:type="dxa"/>
            <w:bottom w:w="0" w:type="dxa"/>
            <w:right w:w="108" w:type="dxa"/>
          </w:tblCellMar>
        </w:tblPrEx>
        <w:trPr>
          <w:trHeight w:val="565"/>
        </w:trPr>
        <w:tc>
          <w:tcPr>
            <w:tcW w:w="2830" w:type="dxa"/>
            <w:vMerge w:val="restart"/>
            <w:vAlign w:val="center"/>
          </w:tcPr>
          <w:p>
            <w:pPr>
              <w:tabs>
                <w:tab w:val="left" w:pos="1060"/>
                <w:tab w:val="left" w:pos="1061"/>
              </w:tabs>
              <w:autoSpaceDE w:val="0"/>
              <w:autoSpaceDN w:val="0"/>
              <w:contextualSpacing/>
              <w:jc w:val="center"/>
              <w:outlineLvl w:val="4"/>
            </w:pPr>
            <w:r>
              <w:rPr>
                <w:rFonts w:hint="eastAsia"/>
              </w:rPr>
              <w:t>协助业务系统合规服务</w:t>
            </w:r>
          </w:p>
          <w:p>
            <w:pPr>
              <w:jc w:val="center"/>
            </w:pPr>
          </w:p>
        </w:tc>
        <w:tc>
          <w:tcPr>
            <w:tcW w:w="5324" w:type="dxa"/>
            <w:vAlign w:val="center"/>
          </w:tcPr>
          <w:p>
            <w:pPr>
              <w:jc w:val="left"/>
            </w:pPr>
            <w:r>
              <w:rPr>
                <w:rFonts w:hint="eastAsia"/>
              </w:rPr>
              <w:t>《国家气象信息中心等保三级系统差距分析报告》</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rPr>
                <w:rFonts w:hint="eastAsia"/>
              </w:rPr>
              <w:t>《国家气象信息中心等保三级系统整改方案》</w:t>
            </w:r>
          </w:p>
        </w:tc>
      </w:tr>
      <w:tr>
        <w:tblPrEx>
          <w:tblW w:w="0" w:type="auto"/>
          <w:tblInd w:w="139" w:type="dxa"/>
          <w:tblCellMar>
            <w:top w:w="0" w:type="dxa"/>
            <w:left w:w="108" w:type="dxa"/>
            <w:bottom w:w="0" w:type="dxa"/>
            <w:right w:w="108" w:type="dxa"/>
          </w:tblCellMar>
        </w:tblPrEx>
        <w:trPr>
          <w:trHeight w:val="565"/>
        </w:trPr>
        <w:tc>
          <w:tcPr>
            <w:tcW w:w="2830" w:type="dxa"/>
            <w:vMerge w:val="restart"/>
            <w:vAlign w:val="center"/>
          </w:tcPr>
          <w:p>
            <w:pPr>
              <w:tabs>
                <w:tab w:val="left" w:pos="1060"/>
                <w:tab w:val="left" w:pos="1061"/>
              </w:tabs>
              <w:autoSpaceDE w:val="0"/>
              <w:autoSpaceDN w:val="0"/>
              <w:contextualSpacing/>
              <w:jc w:val="center"/>
              <w:outlineLvl w:val="4"/>
              <w:rPr>
                <w:rFonts w:ascii="Calibri" w:hAnsi="Calibri"/>
                <w:b/>
                <w:bCs/>
                <w:sz w:val="28"/>
                <w:szCs w:val="28"/>
              </w:rPr>
            </w:pPr>
            <w:r>
              <w:rPr>
                <w:rFonts w:hint="eastAsia"/>
              </w:rPr>
              <w:t>协助安全绩效评估服务</w:t>
            </w:r>
          </w:p>
        </w:tc>
        <w:tc>
          <w:tcPr>
            <w:tcW w:w="5324" w:type="dxa"/>
            <w:vAlign w:val="center"/>
          </w:tcPr>
          <w:p>
            <w:pPr>
              <w:jc w:val="left"/>
            </w:pPr>
            <w:r>
              <w:rPr>
                <w:rFonts w:hint="eastAsia"/>
              </w:rPr>
              <w:t>《国家气象信息中心安全绩效评估流程》</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rPr>
                <w:rFonts w:hint="eastAsia"/>
              </w:rPr>
              <w:t>《国家气象信息中心安全绩效评估报告》</w:t>
            </w:r>
          </w:p>
        </w:tc>
      </w:tr>
      <w:tr>
        <w:tblPrEx>
          <w:tblW w:w="0" w:type="auto"/>
          <w:tblInd w:w="139" w:type="dxa"/>
          <w:tblCellMar>
            <w:top w:w="0" w:type="dxa"/>
            <w:left w:w="108" w:type="dxa"/>
            <w:bottom w:w="0" w:type="dxa"/>
            <w:right w:w="108" w:type="dxa"/>
          </w:tblCellMar>
        </w:tblPrEx>
        <w:trPr>
          <w:trHeight w:val="565"/>
        </w:trPr>
        <w:tc>
          <w:tcPr>
            <w:tcW w:w="2830" w:type="dxa"/>
            <w:vAlign w:val="center"/>
          </w:tcPr>
          <w:p>
            <w:pPr>
              <w:jc w:val="center"/>
            </w:pPr>
            <w:r>
              <w:rPr>
                <w:rFonts w:hint="eastAsia"/>
              </w:rPr>
              <w:t>信息安全风险评估服务</w:t>
            </w:r>
          </w:p>
        </w:tc>
        <w:tc>
          <w:tcPr>
            <w:tcW w:w="5324" w:type="dxa"/>
            <w:vAlign w:val="center"/>
          </w:tcPr>
          <w:p>
            <w:pPr>
              <w:jc w:val="left"/>
            </w:pPr>
            <w:r>
              <w:rPr>
                <w:rFonts w:hint="eastAsia"/>
              </w:rPr>
              <w:t>《国家气象信息中心信息系统信息安全风险评估报告》</w:t>
            </w:r>
          </w:p>
        </w:tc>
      </w:tr>
      <w:tr>
        <w:tblPrEx>
          <w:tblW w:w="0" w:type="auto"/>
          <w:tblInd w:w="139" w:type="dxa"/>
          <w:tblCellMar>
            <w:top w:w="0" w:type="dxa"/>
            <w:left w:w="108" w:type="dxa"/>
            <w:bottom w:w="0" w:type="dxa"/>
            <w:right w:w="108" w:type="dxa"/>
          </w:tblCellMar>
        </w:tblPrEx>
        <w:trPr>
          <w:trHeight w:val="565"/>
        </w:trPr>
        <w:tc>
          <w:tcPr>
            <w:tcW w:w="2830" w:type="dxa"/>
            <w:vMerge w:val="restart"/>
            <w:vAlign w:val="center"/>
          </w:tcPr>
          <w:p>
            <w:pPr>
              <w:tabs>
                <w:tab w:val="left" w:pos="1060"/>
                <w:tab w:val="left" w:pos="1061"/>
              </w:tabs>
              <w:autoSpaceDE w:val="0"/>
              <w:autoSpaceDN w:val="0"/>
              <w:contextualSpacing/>
              <w:jc w:val="center"/>
              <w:outlineLvl w:val="4"/>
              <w:rPr>
                <w:rFonts w:ascii="Calibri" w:hAnsi="Calibri"/>
                <w:b/>
                <w:bCs/>
                <w:sz w:val="28"/>
                <w:szCs w:val="28"/>
              </w:rPr>
            </w:pPr>
            <w:r>
              <w:rPr>
                <w:rFonts w:hint="eastAsia"/>
              </w:rPr>
              <w:t>渗透测试与漏洞扫描服务</w:t>
            </w:r>
          </w:p>
        </w:tc>
        <w:tc>
          <w:tcPr>
            <w:tcW w:w="5324" w:type="dxa"/>
            <w:vAlign w:val="center"/>
          </w:tcPr>
          <w:p>
            <w:pPr>
              <w:jc w:val="left"/>
            </w:pPr>
            <w:r>
              <w:rPr>
                <w:rFonts w:hint="eastAsia"/>
              </w:rPr>
              <w:t>《国家气象信息中心渗透测试报告》</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rPr>
                <w:rFonts w:hint="eastAsia"/>
              </w:rPr>
              <w:t>《国家气象信息中心漏洞扫描报告》</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rPr>
                <w:rFonts w:hint="eastAsia"/>
              </w:rPr>
              <w:t>《国家气象信息中心漏洞反馈表》</w:t>
            </w:r>
          </w:p>
        </w:tc>
      </w:tr>
      <w:tr>
        <w:tblPrEx>
          <w:tblW w:w="0" w:type="auto"/>
          <w:tblInd w:w="139" w:type="dxa"/>
          <w:tblCellMar>
            <w:top w:w="0" w:type="dxa"/>
            <w:left w:w="108" w:type="dxa"/>
            <w:bottom w:w="0" w:type="dxa"/>
            <w:right w:w="108" w:type="dxa"/>
          </w:tblCellMar>
        </w:tblPrEx>
        <w:trPr>
          <w:trHeight w:val="565"/>
        </w:trPr>
        <w:tc>
          <w:tcPr>
            <w:tcW w:w="2830" w:type="dxa"/>
            <w:vAlign w:val="center"/>
          </w:tcPr>
          <w:p>
            <w:pPr>
              <w:jc w:val="center"/>
            </w:pPr>
            <w:r>
              <w:rPr>
                <w:rFonts w:hint="eastAsia"/>
              </w:rPr>
              <w:t>源代码安全审计服务</w:t>
            </w:r>
          </w:p>
        </w:tc>
        <w:tc>
          <w:tcPr>
            <w:tcW w:w="5324" w:type="dxa"/>
            <w:vAlign w:val="center"/>
          </w:tcPr>
          <w:p>
            <w:pPr>
              <w:jc w:val="left"/>
            </w:pPr>
            <w:r>
              <w:rPr>
                <w:rFonts w:hint="eastAsia"/>
              </w:rPr>
              <w:t>《应用系统代码审计报告》</w:t>
            </w:r>
          </w:p>
        </w:tc>
      </w:tr>
      <w:tr>
        <w:tblPrEx>
          <w:tblW w:w="0" w:type="auto"/>
          <w:tblInd w:w="139" w:type="dxa"/>
          <w:tblCellMar>
            <w:top w:w="0" w:type="dxa"/>
            <w:left w:w="108" w:type="dxa"/>
            <w:bottom w:w="0" w:type="dxa"/>
            <w:right w:w="108" w:type="dxa"/>
          </w:tblCellMar>
        </w:tblPrEx>
        <w:trPr>
          <w:trHeight w:val="565"/>
        </w:trPr>
        <w:tc>
          <w:tcPr>
            <w:tcW w:w="2830" w:type="dxa"/>
            <w:vAlign w:val="center"/>
          </w:tcPr>
          <w:p>
            <w:pPr>
              <w:jc w:val="center"/>
            </w:pPr>
            <w:r>
              <w:rPr>
                <w:rFonts w:hint="eastAsia"/>
              </w:rPr>
              <w:t>APP安全审计服务</w:t>
            </w:r>
          </w:p>
        </w:tc>
        <w:tc>
          <w:tcPr>
            <w:tcW w:w="5324" w:type="dxa"/>
            <w:vAlign w:val="center"/>
          </w:tcPr>
          <w:p>
            <w:pPr>
              <w:jc w:val="left"/>
            </w:pPr>
            <w:r>
              <w:rPr>
                <w:rFonts w:hint="eastAsia"/>
              </w:rPr>
              <w:t>《APP 安全检测报告》</w:t>
            </w:r>
          </w:p>
        </w:tc>
      </w:tr>
      <w:tr>
        <w:tblPrEx>
          <w:tblW w:w="0" w:type="auto"/>
          <w:tblInd w:w="139" w:type="dxa"/>
          <w:tblCellMar>
            <w:top w:w="0" w:type="dxa"/>
            <w:left w:w="108" w:type="dxa"/>
            <w:bottom w:w="0" w:type="dxa"/>
            <w:right w:w="108" w:type="dxa"/>
          </w:tblCellMar>
        </w:tblPrEx>
        <w:trPr>
          <w:trHeight w:val="565"/>
        </w:trPr>
        <w:tc>
          <w:tcPr>
            <w:tcW w:w="2830" w:type="dxa"/>
            <w:vAlign w:val="center"/>
          </w:tcPr>
          <w:p>
            <w:pPr>
              <w:jc w:val="center"/>
            </w:pPr>
            <w:r>
              <w:rPr>
                <w:rFonts w:hint="eastAsia"/>
              </w:rPr>
              <w:t>外部攻击面管理服务</w:t>
            </w:r>
          </w:p>
        </w:tc>
        <w:tc>
          <w:tcPr>
            <w:tcW w:w="5324" w:type="dxa"/>
            <w:vAlign w:val="center"/>
          </w:tcPr>
          <w:p>
            <w:pPr>
              <w:jc w:val="left"/>
            </w:pPr>
            <w:r>
              <w:rPr>
                <w:rFonts w:hint="eastAsia"/>
              </w:rPr>
              <w:t>《国家气象信息中心外部攻击面管理报告》</w:t>
            </w:r>
          </w:p>
        </w:tc>
      </w:tr>
      <w:tr>
        <w:tblPrEx>
          <w:tblW w:w="0" w:type="auto"/>
          <w:tblInd w:w="139" w:type="dxa"/>
          <w:tblCellMar>
            <w:top w:w="0" w:type="dxa"/>
            <w:left w:w="108" w:type="dxa"/>
            <w:bottom w:w="0" w:type="dxa"/>
            <w:right w:w="108" w:type="dxa"/>
          </w:tblCellMar>
        </w:tblPrEx>
        <w:trPr>
          <w:trHeight w:val="565"/>
        </w:trPr>
        <w:tc>
          <w:tcPr>
            <w:tcW w:w="2830" w:type="dxa"/>
            <w:vAlign w:val="center"/>
          </w:tcPr>
          <w:p>
            <w:pPr>
              <w:jc w:val="center"/>
            </w:pPr>
            <w:r>
              <w:rPr>
                <w:rFonts w:hint="eastAsia"/>
              </w:rPr>
              <w:t>内部攻击面管理服务</w:t>
            </w:r>
          </w:p>
        </w:tc>
        <w:tc>
          <w:tcPr>
            <w:tcW w:w="5324" w:type="dxa"/>
            <w:vAlign w:val="center"/>
          </w:tcPr>
          <w:p>
            <w:pPr>
              <w:jc w:val="left"/>
            </w:pPr>
            <w:r>
              <w:rPr>
                <w:rFonts w:hint="eastAsia"/>
              </w:rPr>
              <w:t>《国家气象信息中心内部攻击面管理报告》</w:t>
            </w:r>
          </w:p>
        </w:tc>
      </w:tr>
      <w:tr>
        <w:tblPrEx>
          <w:tblW w:w="0" w:type="auto"/>
          <w:tblInd w:w="139" w:type="dxa"/>
          <w:tblCellMar>
            <w:top w:w="0" w:type="dxa"/>
            <w:left w:w="108" w:type="dxa"/>
            <w:bottom w:w="0" w:type="dxa"/>
            <w:right w:w="108" w:type="dxa"/>
          </w:tblCellMar>
        </w:tblPrEx>
        <w:trPr>
          <w:trHeight w:val="565"/>
        </w:trPr>
        <w:tc>
          <w:tcPr>
            <w:tcW w:w="2830" w:type="dxa"/>
            <w:vAlign w:val="center"/>
          </w:tcPr>
          <w:p>
            <w:pPr>
              <w:jc w:val="center"/>
            </w:pPr>
            <w:r>
              <w:rPr>
                <w:rFonts w:hint="eastAsia"/>
              </w:rPr>
              <w:t>资产台账专项梳理服务</w:t>
            </w:r>
          </w:p>
        </w:tc>
        <w:tc>
          <w:tcPr>
            <w:tcW w:w="5324" w:type="dxa"/>
            <w:vAlign w:val="center"/>
          </w:tcPr>
          <w:p>
            <w:pPr>
              <w:jc w:val="left"/>
            </w:pPr>
            <w:r>
              <w:rPr>
                <w:rFonts w:hint="eastAsia"/>
              </w:rPr>
              <w:t>《国家气象信息中心资产台账》</w:t>
            </w:r>
          </w:p>
        </w:tc>
      </w:tr>
      <w:tr>
        <w:tblPrEx>
          <w:tblW w:w="0" w:type="auto"/>
          <w:tblInd w:w="139" w:type="dxa"/>
          <w:tblCellMar>
            <w:top w:w="0" w:type="dxa"/>
            <w:left w:w="108" w:type="dxa"/>
            <w:bottom w:w="0" w:type="dxa"/>
            <w:right w:w="108" w:type="dxa"/>
          </w:tblCellMar>
        </w:tblPrEx>
        <w:trPr>
          <w:trHeight w:val="565"/>
        </w:trPr>
        <w:tc>
          <w:tcPr>
            <w:tcW w:w="2830" w:type="dxa"/>
            <w:vAlign w:val="center"/>
          </w:tcPr>
          <w:p>
            <w:pPr>
              <w:jc w:val="center"/>
            </w:pPr>
            <w:r>
              <w:rPr>
                <w:rFonts w:hint="eastAsia"/>
              </w:rPr>
              <w:t>安全策略专项梳理服务</w:t>
            </w:r>
          </w:p>
        </w:tc>
        <w:tc>
          <w:tcPr>
            <w:tcW w:w="5324" w:type="dxa"/>
            <w:vAlign w:val="center"/>
          </w:tcPr>
          <w:p>
            <w:pPr>
              <w:jc w:val="left"/>
            </w:pPr>
            <w:r>
              <w:rPr>
                <w:rFonts w:hint="eastAsia"/>
              </w:rPr>
              <w:t>《国家气象信息中心策略台账》</w:t>
            </w:r>
          </w:p>
        </w:tc>
      </w:tr>
      <w:tr>
        <w:tblPrEx>
          <w:tblW w:w="0" w:type="auto"/>
          <w:tblInd w:w="139" w:type="dxa"/>
          <w:tblCellMar>
            <w:top w:w="0" w:type="dxa"/>
            <w:left w:w="108" w:type="dxa"/>
            <w:bottom w:w="0" w:type="dxa"/>
            <w:right w:w="108" w:type="dxa"/>
          </w:tblCellMar>
        </w:tblPrEx>
        <w:trPr>
          <w:trHeight w:val="565"/>
        </w:trPr>
        <w:tc>
          <w:tcPr>
            <w:tcW w:w="2830" w:type="dxa"/>
            <w:vAlign w:val="center"/>
          </w:tcPr>
          <w:p>
            <w:pPr>
              <w:jc w:val="center"/>
            </w:pPr>
            <w:r>
              <w:rPr>
                <w:rFonts w:hint="eastAsia"/>
              </w:rPr>
              <w:t>协助梳理核心业务关系服务</w:t>
            </w:r>
          </w:p>
        </w:tc>
        <w:tc>
          <w:tcPr>
            <w:tcW w:w="5324" w:type="dxa"/>
            <w:vAlign w:val="center"/>
          </w:tcPr>
          <w:p>
            <w:pPr>
              <w:jc w:val="left"/>
            </w:pPr>
            <w:r>
              <w:rPr>
                <w:rFonts w:hint="eastAsia"/>
              </w:rPr>
              <w:t>《国家气象信息中心核心业务关系》</w:t>
            </w:r>
          </w:p>
        </w:tc>
      </w:tr>
      <w:tr>
        <w:tblPrEx>
          <w:tblW w:w="0" w:type="auto"/>
          <w:tblInd w:w="139" w:type="dxa"/>
          <w:tblCellMar>
            <w:top w:w="0" w:type="dxa"/>
            <w:left w:w="108" w:type="dxa"/>
            <w:bottom w:w="0" w:type="dxa"/>
            <w:right w:w="108" w:type="dxa"/>
          </w:tblCellMar>
        </w:tblPrEx>
        <w:trPr>
          <w:trHeight w:val="565"/>
        </w:trPr>
        <w:tc>
          <w:tcPr>
            <w:tcW w:w="2830" w:type="dxa"/>
            <w:vMerge w:val="restart"/>
            <w:vAlign w:val="center"/>
          </w:tcPr>
          <w:p>
            <w:pPr>
              <w:jc w:val="center"/>
            </w:pPr>
            <w:r>
              <w:rPr>
                <w:rFonts w:hint="eastAsia"/>
              </w:rPr>
              <w:t>配置管理与安全加固服务</w:t>
            </w:r>
          </w:p>
        </w:tc>
        <w:tc>
          <w:tcPr>
            <w:tcW w:w="5324" w:type="dxa"/>
            <w:vAlign w:val="center"/>
          </w:tcPr>
          <w:p>
            <w:pPr>
              <w:jc w:val="left"/>
            </w:pPr>
            <w:r>
              <w:rPr>
                <w:rFonts w:hint="eastAsia"/>
              </w:rPr>
              <w:t>《国家气象信息中心信息系统安全加固方案》</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rPr>
                <w:rFonts w:hint="eastAsia"/>
              </w:rPr>
              <w:t>《国家气象信息中心信息系统安全加固复测报告》</w:t>
            </w:r>
          </w:p>
        </w:tc>
      </w:tr>
      <w:tr>
        <w:tblPrEx>
          <w:tblW w:w="0" w:type="auto"/>
          <w:tblInd w:w="139" w:type="dxa"/>
          <w:tblCellMar>
            <w:top w:w="0" w:type="dxa"/>
            <w:left w:w="108" w:type="dxa"/>
            <w:bottom w:w="0" w:type="dxa"/>
            <w:right w:w="108" w:type="dxa"/>
          </w:tblCellMar>
        </w:tblPrEx>
        <w:trPr>
          <w:trHeight w:val="565"/>
        </w:trPr>
        <w:tc>
          <w:tcPr>
            <w:tcW w:w="2830" w:type="dxa"/>
            <w:vMerge w:val="restart"/>
            <w:vAlign w:val="center"/>
          </w:tcPr>
          <w:p>
            <w:pPr>
              <w:jc w:val="center"/>
            </w:pPr>
            <w:r>
              <w:rPr>
                <w:rFonts w:hint="eastAsia"/>
              </w:rPr>
              <w:t>网站常态化安全监测服务</w:t>
            </w:r>
          </w:p>
        </w:tc>
        <w:tc>
          <w:tcPr>
            <w:tcW w:w="5324" w:type="dxa"/>
            <w:vAlign w:val="center"/>
          </w:tcPr>
          <w:p>
            <w:pPr>
              <w:jc w:val="left"/>
            </w:pPr>
            <w:r>
              <w:rPr>
                <w:rFonts w:hint="eastAsia"/>
              </w:rPr>
              <w:t>《国家气象信息中心网站安全监测周报》</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rPr>
                <w:rFonts w:hint="eastAsia"/>
              </w:rPr>
              <w:t>《国家气象信息中心网站安全监测月报》</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rPr>
                <w:rFonts w:hint="eastAsia"/>
              </w:rPr>
              <w:t>《国家气象信息中心网站安全监测年报》</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rPr>
                <w:rFonts w:hint="eastAsia"/>
              </w:rPr>
              <w:t>《国家气象信息中心网站安全监测汇总报告》</w:t>
            </w:r>
          </w:p>
        </w:tc>
      </w:tr>
      <w:tr>
        <w:tblPrEx>
          <w:tblW w:w="0" w:type="auto"/>
          <w:tblInd w:w="139" w:type="dxa"/>
          <w:tblCellMar>
            <w:top w:w="0" w:type="dxa"/>
            <w:left w:w="108" w:type="dxa"/>
            <w:bottom w:w="0" w:type="dxa"/>
            <w:right w:w="108" w:type="dxa"/>
          </w:tblCellMar>
        </w:tblPrEx>
        <w:trPr>
          <w:trHeight w:val="565"/>
        </w:trPr>
        <w:tc>
          <w:tcPr>
            <w:tcW w:w="2830" w:type="dxa"/>
            <w:vMerge w:val="restart"/>
            <w:shd w:val="clear" w:color="auto" w:fill="auto"/>
            <w:vAlign w:val="center"/>
          </w:tcPr>
          <w:p>
            <w:pPr>
              <w:jc w:val="center"/>
            </w:pPr>
            <w:r>
              <w:rPr>
                <w:rFonts w:hint="eastAsia"/>
              </w:rPr>
              <w:t>内部攻防演习服务</w:t>
            </w:r>
          </w:p>
        </w:tc>
        <w:tc>
          <w:tcPr>
            <w:tcW w:w="5324" w:type="dxa"/>
            <w:vAlign w:val="center"/>
          </w:tcPr>
          <w:p>
            <w:pPr>
              <w:jc w:val="left"/>
            </w:pPr>
            <w:r>
              <w:rPr>
                <w:rFonts w:hint="eastAsia"/>
              </w:rPr>
              <w:t>《内部攻防演习方案》</w:t>
            </w:r>
          </w:p>
        </w:tc>
      </w:tr>
      <w:tr>
        <w:tblPrEx>
          <w:tblW w:w="0" w:type="auto"/>
          <w:tblInd w:w="139" w:type="dxa"/>
          <w:tblCellMar>
            <w:top w:w="0" w:type="dxa"/>
            <w:left w:w="108" w:type="dxa"/>
            <w:bottom w:w="0" w:type="dxa"/>
            <w:right w:w="108" w:type="dxa"/>
          </w:tblCellMar>
        </w:tblPrEx>
        <w:trPr>
          <w:trHeight w:val="565"/>
        </w:trPr>
        <w:tc>
          <w:tcPr>
            <w:tcW w:w="2830" w:type="dxa"/>
            <w:vMerge/>
            <w:shd w:val="clear" w:color="auto" w:fill="auto"/>
            <w:vAlign w:val="center"/>
          </w:tcPr>
          <w:p>
            <w:pPr>
              <w:jc w:val="center"/>
            </w:pPr>
          </w:p>
        </w:tc>
        <w:tc>
          <w:tcPr>
            <w:tcW w:w="5324" w:type="dxa"/>
            <w:vAlign w:val="center"/>
          </w:tcPr>
          <w:p>
            <w:pPr>
              <w:jc w:val="left"/>
            </w:pPr>
            <w:r>
              <w:rPr>
                <w:rFonts w:hint="eastAsia"/>
              </w:rPr>
              <w:t>《内部攻防演习总结》</w:t>
            </w:r>
          </w:p>
        </w:tc>
      </w:tr>
      <w:tr>
        <w:tblPrEx>
          <w:tblW w:w="0" w:type="auto"/>
          <w:tblInd w:w="139" w:type="dxa"/>
          <w:tblCellMar>
            <w:top w:w="0" w:type="dxa"/>
            <w:left w:w="108" w:type="dxa"/>
            <w:bottom w:w="0" w:type="dxa"/>
            <w:right w:w="108" w:type="dxa"/>
          </w:tblCellMar>
        </w:tblPrEx>
        <w:trPr>
          <w:trHeight w:val="565"/>
        </w:trPr>
        <w:tc>
          <w:tcPr>
            <w:tcW w:w="2830" w:type="dxa"/>
            <w:vMerge w:val="restart"/>
            <w:vAlign w:val="center"/>
          </w:tcPr>
          <w:p>
            <w:pPr>
              <w:jc w:val="center"/>
            </w:pPr>
            <w:r>
              <w:rPr>
                <w:rFonts w:hint="eastAsia"/>
              </w:rPr>
              <w:t>外部攻防演习协防服务</w:t>
            </w:r>
          </w:p>
        </w:tc>
        <w:tc>
          <w:tcPr>
            <w:tcW w:w="5324" w:type="dxa"/>
            <w:vAlign w:val="center"/>
          </w:tcPr>
          <w:p>
            <w:pPr>
              <w:jc w:val="left"/>
            </w:pPr>
            <w:r>
              <w:rPr>
                <w:rFonts w:hint="eastAsia"/>
              </w:rPr>
              <w:t>《外部攻防演习防守方案》</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rPr>
                <w:rFonts w:hint="eastAsia"/>
              </w:rPr>
              <w:t>《外部攻防演习监测分析日报》</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rPr>
                <w:rFonts w:hint="eastAsia"/>
              </w:rPr>
              <w:t>《外部攻防演习总结报告》</w:t>
            </w:r>
          </w:p>
        </w:tc>
      </w:tr>
      <w:tr>
        <w:tblPrEx>
          <w:tblW w:w="0" w:type="auto"/>
          <w:tblInd w:w="139" w:type="dxa"/>
          <w:tblCellMar>
            <w:top w:w="0" w:type="dxa"/>
            <w:left w:w="108" w:type="dxa"/>
            <w:bottom w:w="0" w:type="dxa"/>
            <w:right w:w="108" w:type="dxa"/>
          </w:tblCellMar>
        </w:tblPrEx>
        <w:trPr>
          <w:trHeight w:val="565"/>
        </w:trPr>
        <w:tc>
          <w:tcPr>
            <w:tcW w:w="2830" w:type="dxa"/>
            <w:vMerge w:val="restart"/>
            <w:vAlign w:val="center"/>
          </w:tcPr>
          <w:p>
            <w:pPr>
              <w:jc w:val="center"/>
            </w:pPr>
            <w:r>
              <w:rPr>
                <w:rFonts w:hint="eastAsia"/>
              </w:rPr>
              <w:t>专项安全提升服务</w:t>
            </w:r>
          </w:p>
        </w:tc>
        <w:tc>
          <w:tcPr>
            <w:tcW w:w="5324" w:type="dxa"/>
            <w:vAlign w:val="center"/>
          </w:tcPr>
          <w:p>
            <w:pPr>
              <w:jc w:val="left"/>
            </w:pPr>
            <w:r>
              <w:rPr>
                <w:rFonts w:hint="eastAsia"/>
              </w:rPr>
              <w:t>《失陷系统分析及整改加固方案》</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rPr>
                <w:rFonts w:hint="eastAsia"/>
              </w:rPr>
              <w:t>《试点省新上线系统网络安全评估指导方案》</w:t>
            </w:r>
          </w:p>
        </w:tc>
      </w:tr>
      <w:tr>
        <w:tblPrEx>
          <w:tblW w:w="0" w:type="auto"/>
          <w:tblInd w:w="139" w:type="dxa"/>
          <w:tblCellMar>
            <w:top w:w="0" w:type="dxa"/>
            <w:left w:w="108" w:type="dxa"/>
            <w:bottom w:w="0" w:type="dxa"/>
            <w:right w:w="108" w:type="dxa"/>
          </w:tblCellMar>
        </w:tblPrEx>
        <w:trPr>
          <w:trHeight w:val="565"/>
        </w:trPr>
        <w:tc>
          <w:tcPr>
            <w:tcW w:w="2830" w:type="dxa"/>
            <w:vAlign w:val="center"/>
          </w:tcPr>
          <w:p>
            <w:pPr>
              <w:jc w:val="center"/>
            </w:pPr>
            <w:r>
              <w:rPr>
                <w:rFonts w:hint="eastAsia"/>
              </w:rPr>
              <w:t>协助整改加固服务</w:t>
            </w:r>
          </w:p>
        </w:tc>
        <w:tc>
          <w:tcPr>
            <w:tcW w:w="5324" w:type="dxa"/>
            <w:vAlign w:val="center"/>
          </w:tcPr>
          <w:p>
            <w:pPr>
              <w:jc w:val="left"/>
            </w:pPr>
            <w:r>
              <w:rPr>
                <w:rFonts w:hint="eastAsia"/>
              </w:rPr>
              <w:t>《实战攻防典型案例分析及加固方案》</w:t>
            </w:r>
          </w:p>
        </w:tc>
      </w:tr>
      <w:tr>
        <w:tblPrEx>
          <w:tblW w:w="0" w:type="auto"/>
          <w:tblInd w:w="139" w:type="dxa"/>
          <w:tblCellMar>
            <w:top w:w="0" w:type="dxa"/>
            <w:left w:w="108" w:type="dxa"/>
            <w:bottom w:w="0" w:type="dxa"/>
            <w:right w:w="108" w:type="dxa"/>
          </w:tblCellMar>
        </w:tblPrEx>
        <w:trPr>
          <w:trHeight w:val="565"/>
        </w:trPr>
        <w:tc>
          <w:tcPr>
            <w:tcW w:w="2830" w:type="dxa"/>
            <w:vAlign w:val="center"/>
          </w:tcPr>
          <w:p>
            <w:pPr>
              <w:jc w:val="center"/>
            </w:pPr>
            <w:r>
              <w:rPr>
                <w:rFonts w:hint="eastAsia"/>
              </w:rPr>
              <w:t>内网攻击测试服务</w:t>
            </w:r>
          </w:p>
        </w:tc>
        <w:tc>
          <w:tcPr>
            <w:tcW w:w="5324" w:type="dxa"/>
            <w:vAlign w:val="center"/>
          </w:tcPr>
          <w:p>
            <w:pPr>
              <w:jc w:val="left"/>
            </w:pPr>
            <w:r>
              <w:rPr>
                <w:rFonts w:hint="eastAsia"/>
              </w:rPr>
              <w:t>《内网攻击测试报告》</w:t>
            </w:r>
          </w:p>
        </w:tc>
      </w:tr>
      <w:tr>
        <w:tblPrEx>
          <w:tblW w:w="0" w:type="auto"/>
          <w:tblInd w:w="139" w:type="dxa"/>
          <w:tblCellMar>
            <w:top w:w="0" w:type="dxa"/>
            <w:left w:w="108" w:type="dxa"/>
            <w:bottom w:w="0" w:type="dxa"/>
            <w:right w:w="108" w:type="dxa"/>
          </w:tblCellMar>
        </w:tblPrEx>
        <w:trPr>
          <w:trHeight w:val="565"/>
        </w:trPr>
        <w:tc>
          <w:tcPr>
            <w:tcW w:w="2830" w:type="dxa"/>
            <w:vAlign w:val="center"/>
          </w:tcPr>
          <w:p>
            <w:pPr>
              <w:jc w:val="center"/>
            </w:pPr>
            <w:r>
              <w:rPr>
                <w:rFonts w:hint="eastAsia"/>
              </w:rPr>
              <w:t>深度威胁狩猎服务</w:t>
            </w:r>
          </w:p>
        </w:tc>
        <w:tc>
          <w:tcPr>
            <w:tcW w:w="5324" w:type="dxa"/>
            <w:vAlign w:val="center"/>
          </w:tcPr>
          <w:p>
            <w:pPr>
              <w:jc w:val="left"/>
            </w:pPr>
            <w:r>
              <w:rPr>
                <w:rFonts w:hint="eastAsia"/>
              </w:rPr>
              <w:t>《深度威胁狩猎报告》</w:t>
            </w:r>
          </w:p>
        </w:tc>
      </w:tr>
      <w:tr>
        <w:tblPrEx>
          <w:tblW w:w="0" w:type="auto"/>
          <w:tblInd w:w="139" w:type="dxa"/>
          <w:tblCellMar>
            <w:top w:w="0" w:type="dxa"/>
            <w:left w:w="108" w:type="dxa"/>
            <w:bottom w:w="0" w:type="dxa"/>
            <w:right w:w="108" w:type="dxa"/>
          </w:tblCellMar>
        </w:tblPrEx>
        <w:trPr>
          <w:trHeight w:val="565"/>
        </w:trPr>
        <w:tc>
          <w:tcPr>
            <w:tcW w:w="2830" w:type="dxa"/>
            <w:vAlign w:val="center"/>
          </w:tcPr>
          <w:p>
            <w:pPr>
              <w:jc w:val="center"/>
            </w:pPr>
            <w:r>
              <w:rPr>
                <w:rFonts w:hint="eastAsia"/>
              </w:rPr>
              <w:t>策略优化与效果运营服务</w:t>
            </w:r>
          </w:p>
        </w:tc>
        <w:tc>
          <w:tcPr>
            <w:tcW w:w="5324" w:type="dxa"/>
            <w:vAlign w:val="center"/>
          </w:tcPr>
          <w:p>
            <w:pPr>
              <w:jc w:val="left"/>
            </w:pPr>
            <w:r>
              <w:rPr>
                <w:rFonts w:hint="eastAsia"/>
              </w:rPr>
              <w:t>《策略优化与效果运营服务报告》</w:t>
            </w:r>
          </w:p>
        </w:tc>
      </w:tr>
      <w:tr>
        <w:tblPrEx>
          <w:tblW w:w="0" w:type="auto"/>
          <w:tblInd w:w="139" w:type="dxa"/>
          <w:tblCellMar>
            <w:top w:w="0" w:type="dxa"/>
            <w:left w:w="108" w:type="dxa"/>
            <w:bottom w:w="0" w:type="dxa"/>
            <w:right w:w="108" w:type="dxa"/>
          </w:tblCellMar>
        </w:tblPrEx>
        <w:trPr>
          <w:trHeight w:val="565"/>
        </w:trPr>
        <w:tc>
          <w:tcPr>
            <w:tcW w:w="2830" w:type="dxa"/>
            <w:vAlign w:val="center"/>
          </w:tcPr>
          <w:p>
            <w:pPr>
              <w:jc w:val="center"/>
            </w:pPr>
            <w:r>
              <w:rPr>
                <w:rFonts w:hint="eastAsia"/>
              </w:rPr>
              <w:t>口令安全问题监测服务</w:t>
            </w:r>
          </w:p>
        </w:tc>
        <w:tc>
          <w:tcPr>
            <w:tcW w:w="5324" w:type="dxa"/>
            <w:vAlign w:val="center"/>
          </w:tcPr>
          <w:p>
            <w:pPr>
              <w:jc w:val="left"/>
            </w:pPr>
            <w:r>
              <w:rPr>
                <w:rFonts w:hint="eastAsia"/>
              </w:rPr>
              <w:t>《国家气象信息中心口令安全检测报告》</w:t>
            </w:r>
          </w:p>
        </w:tc>
      </w:tr>
      <w:tr>
        <w:tblPrEx>
          <w:tblW w:w="0" w:type="auto"/>
          <w:tblInd w:w="139" w:type="dxa"/>
          <w:tblCellMar>
            <w:top w:w="0" w:type="dxa"/>
            <w:left w:w="108" w:type="dxa"/>
            <w:bottom w:w="0" w:type="dxa"/>
            <w:right w:w="108" w:type="dxa"/>
          </w:tblCellMar>
        </w:tblPrEx>
        <w:trPr>
          <w:trHeight w:val="565"/>
        </w:trPr>
        <w:tc>
          <w:tcPr>
            <w:tcW w:w="2830" w:type="dxa"/>
            <w:vAlign w:val="center"/>
          </w:tcPr>
          <w:p>
            <w:pPr>
              <w:jc w:val="center"/>
            </w:pPr>
            <w:r>
              <w:rPr>
                <w:rFonts w:hint="eastAsia"/>
              </w:rPr>
              <w:t>运维安全专项检查服务</w:t>
            </w:r>
          </w:p>
        </w:tc>
        <w:tc>
          <w:tcPr>
            <w:tcW w:w="5324" w:type="dxa"/>
            <w:vAlign w:val="center"/>
          </w:tcPr>
          <w:p>
            <w:pPr>
              <w:jc w:val="left"/>
            </w:pPr>
            <w:r>
              <w:rPr>
                <w:rFonts w:hint="eastAsia"/>
              </w:rPr>
              <w:t>《国家气象信息中心运维安全检查报告》</w:t>
            </w:r>
          </w:p>
        </w:tc>
      </w:tr>
      <w:tr>
        <w:tblPrEx>
          <w:tblW w:w="0" w:type="auto"/>
          <w:tblInd w:w="139" w:type="dxa"/>
          <w:tblCellMar>
            <w:top w:w="0" w:type="dxa"/>
            <w:left w:w="108" w:type="dxa"/>
            <w:bottom w:w="0" w:type="dxa"/>
            <w:right w:w="108" w:type="dxa"/>
          </w:tblCellMar>
        </w:tblPrEx>
        <w:trPr>
          <w:trHeight w:val="565"/>
        </w:trPr>
        <w:tc>
          <w:tcPr>
            <w:tcW w:w="2830" w:type="dxa"/>
            <w:vAlign w:val="center"/>
          </w:tcPr>
          <w:p>
            <w:pPr>
              <w:jc w:val="center"/>
            </w:pPr>
            <w:r>
              <w:rPr>
                <w:rFonts w:hint="eastAsia"/>
              </w:rPr>
              <w:t>敏感信息泄露监测服务</w:t>
            </w:r>
          </w:p>
        </w:tc>
        <w:tc>
          <w:tcPr>
            <w:tcW w:w="5324" w:type="dxa"/>
            <w:vAlign w:val="center"/>
          </w:tcPr>
          <w:p>
            <w:pPr>
              <w:jc w:val="left"/>
            </w:pPr>
            <w:r>
              <w:rPr>
                <w:rFonts w:hint="eastAsia"/>
              </w:rPr>
              <w:t>《国家气象信息中心敏感信息泄露监测报告》</w:t>
            </w:r>
          </w:p>
        </w:tc>
      </w:tr>
      <w:tr>
        <w:tblPrEx>
          <w:tblW w:w="0" w:type="auto"/>
          <w:tblInd w:w="139" w:type="dxa"/>
          <w:tblCellMar>
            <w:top w:w="0" w:type="dxa"/>
            <w:left w:w="108" w:type="dxa"/>
            <w:bottom w:w="0" w:type="dxa"/>
            <w:right w:w="108" w:type="dxa"/>
          </w:tblCellMar>
        </w:tblPrEx>
        <w:trPr>
          <w:trHeight w:val="565"/>
        </w:trPr>
        <w:tc>
          <w:tcPr>
            <w:tcW w:w="2830" w:type="dxa"/>
            <w:vMerge w:val="restart"/>
            <w:vAlign w:val="center"/>
          </w:tcPr>
          <w:p>
            <w:pPr>
              <w:jc w:val="center"/>
            </w:pPr>
            <w:r>
              <w:rPr>
                <w:rFonts w:hint="eastAsia"/>
              </w:rPr>
              <w:t>威胁分析与应急响应服务</w:t>
            </w:r>
          </w:p>
        </w:tc>
        <w:tc>
          <w:tcPr>
            <w:tcW w:w="5324" w:type="dxa"/>
            <w:vAlign w:val="center"/>
          </w:tcPr>
          <w:p>
            <w:pPr>
              <w:jc w:val="left"/>
            </w:pPr>
            <w:r>
              <w:t>《</w:t>
            </w:r>
            <w:r>
              <w:rPr>
                <w:rFonts w:hint="eastAsia"/>
              </w:rPr>
              <w:t>国家气象信息中心威胁分析报告》</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rPr>
                <w:rFonts w:hint="eastAsia"/>
              </w:rPr>
              <w:t>《国家气象信息中心应急响应报告》</w:t>
            </w:r>
          </w:p>
        </w:tc>
      </w:tr>
      <w:tr>
        <w:tblPrEx>
          <w:tblW w:w="0" w:type="auto"/>
          <w:tblInd w:w="139" w:type="dxa"/>
          <w:tblCellMar>
            <w:top w:w="0" w:type="dxa"/>
            <w:left w:w="108" w:type="dxa"/>
            <w:bottom w:w="0" w:type="dxa"/>
            <w:right w:w="108" w:type="dxa"/>
          </w:tblCellMar>
        </w:tblPrEx>
        <w:trPr>
          <w:trHeight w:val="565"/>
        </w:trPr>
        <w:tc>
          <w:tcPr>
            <w:tcW w:w="2830" w:type="dxa"/>
            <w:vAlign w:val="center"/>
          </w:tcPr>
          <w:p>
            <w:pPr>
              <w:jc w:val="center"/>
            </w:pPr>
            <w:r>
              <w:rPr>
                <w:rFonts w:hint="eastAsia"/>
              </w:rPr>
              <w:t>安全预警与情报共享服务</w:t>
            </w:r>
          </w:p>
        </w:tc>
        <w:tc>
          <w:tcPr>
            <w:tcW w:w="5324" w:type="dxa"/>
            <w:vAlign w:val="center"/>
          </w:tcPr>
          <w:p>
            <w:pPr>
              <w:jc w:val="left"/>
            </w:pPr>
            <w:r>
              <w:t>《</w:t>
            </w:r>
            <w:r>
              <w:rPr>
                <w:rFonts w:hint="eastAsia"/>
              </w:rPr>
              <w:t>国家气象信息中心安全预警通告》</w:t>
            </w:r>
          </w:p>
        </w:tc>
      </w:tr>
      <w:tr>
        <w:tblPrEx>
          <w:tblW w:w="0" w:type="auto"/>
          <w:tblInd w:w="139" w:type="dxa"/>
          <w:tblCellMar>
            <w:top w:w="0" w:type="dxa"/>
            <w:left w:w="108" w:type="dxa"/>
            <w:bottom w:w="0" w:type="dxa"/>
            <w:right w:w="108" w:type="dxa"/>
          </w:tblCellMar>
        </w:tblPrEx>
        <w:trPr>
          <w:trHeight w:val="565"/>
        </w:trPr>
        <w:tc>
          <w:tcPr>
            <w:tcW w:w="2830" w:type="dxa"/>
            <w:vMerge w:val="restart"/>
            <w:vAlign w:val="center"/>
          </w:tcPr>
          <w:p>
            <w:pPr>
              <w:jc w:val="center"/>
            </w:pPr>
            <w:r>
              <w:rPr>
                <w:rFonts w:hint="eastAsia"/>
              </w:rPr>
              <w:t>风险提示与安全通报服务</w:t>
            </w:r>
          </w:p>
        </w:tc>
        <w:tc>
          <w:tcPr>
            <w:tcW w:w="5324" w:type="dxa"/>
            <w:vAlign w:val="center"/>
          </w:tcPr>
          <w:p>
            <w:pPr>
              <w:jc w:val="left"/>
            </w:pPr>
            <w:r>
              <w:t>《</w:t>
            </w:r>
            <w:r>
              <w:rPr>
                <w:rFonts w:hint="eastAsia"/>
              </w:rPr>
              <w:t>国家气象信息中心风险提示清单》</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t>《</w:t>
            </w:r>
            <w:r>
              <w:rPr>
                <w:rFonts w:hint="eastAsia"/>
              </w:rPr>
              <w:t>国家气象信息中心安全通报报告》</w:t>
            </w:r>
          </w:p>
        </w:tc>
      </w:tr>
      <w:tr>
        <w:tblPrEx>
          <w:tblW w:w="0" w:type="auto"/>
          <w:tblInd w:w="139" w:type="dxa"/>
          <w:tblCellMar>
            <w:top w:w="0" w:type="dxa"/>
            <w:left w:w="108" w:type="dxa"/>
            <w:bottom w:w="0" w:type="dxa"/>
            <w:right w:w="108" w:type="dxa"/>
          </w:tblCellMar>
        </w:tblPrEx>
        <w:trPr>
          <w:trHeight w:val="565"/>
        </w:trPr>
        <w:tc>
          <w:tcPr>
            <w:tcW w:w="2830" w:type="dxa"/>
            <w:vMerge w:val="restart"/>
            <w:vAlign w:val="center"/>
          </w:tcPr>
          <w:p>
            <w:pPr>
              <w:jc w:val="center"/>
            </w:pPr>
            <w:r>
              <w:rPr>
                <w:rFonts w:hint="eastAsia"/>
              </w:rPr>
              <w:t>应急预案修订与演练服务</w:t>
            </w:r>
          </w:p>
        </w:tc>
        <w:tc>
          <w:tcPr>
            <w:tcW w:w="5324" w:type="dxa"/>
            <w:vAlign w:val="center"/>
          </w:tcPr>
          <w:p>
            <w:pPr>
              <w:jc w:val="left"/>
            </w:pPr>
            <w:r>
              <w:t>《国家气象信息中心网络与信息安全事件应急预案》</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t>《国家气象信息中心安全应急演练方案》</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t>《国家气象信息中心安全应急演练总结》</w:t>
            </w:r>
          </w:p>
        </w:tc>
      </w:tr>
      <w:tr>
        <w:tblPrEx>
          <w:tblW w:w="0" w:type="auto"/>
          <w:tblInd w:w="139" w:type="dxa"/>
          <w:tblCellMar>
            <w:top w:w="0" w:type="dxa"/>
            <w:left w:w="108" w:type="dxa"/>
            <w:bottom w:w="0" w:type="dxa"/>
            <w:right w:w="108" w:type="dxa"/>
          </w:tblCellMar>
        </w:tblPrEx>
        <w:trPr>
          <w:trHeight w:val="565"/>
        </w:trPr>
        <w:tc>
          <w:tcPr>
            <w:tcW w:w="2830" w:type="dxa"/>
            <w:vMerge w:val="restart"/>
            <w:vAlign w:val="center"/>
          </w:tcPr>
          <w:p>
            <w:pPr>
              <w:jc w:val="center"/>
            </w:pPr>
            <w:r>
              <w:rPr>
                <w:rFonts w:hint="eastAsia"/>
              </w:rPr>
              <w:t>行业安全检查服务</w:t>
            </w:r>
          </w:p>
        </w:tc>
        <w:tc>
          <w:tcPr>
            <w:tcW w:w="5324" w:type="dxa"/>
            <w:vAlign w:val="center"/>
          </w:tcPr>
          <w:p>
            <w:pPr>
              <w:jc w:val="left"/>
            </w:pPr>
            <w:r>
              <w:t>《国家气象信息中心网络安全事件处置报告》</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t>《国家气象信息中心信息系统安全状况周报》</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t>《国家气象信息中心信息系统安全状况</w:t>
            </w:r>
            <w:r>
              <w:rPr>
                <w:rFonts w:hint="eastAsia"/>
              </w:rPr>
              <w:t>月</w:t>
            </w:r>
            <w:r>
              <w:t>报》</w:t>
            </w:r>
          </w:p>
        </w:tc>
      </w:tr>
      <w:tr>
        <w:tblPrEx>
          <w:tblW w:w="0" w:type="auto"/>
          <w:tblInd w:w="139" w:type="dxa"/>
          <w:tblCellMar>
            <w:top w:w="0" w:type="dxa"/>
            <w:left w:w="108" w:type="dxa"/>
            <w:bottom w:w="0" w:type="dxa"/>
            <w:right w:w="108" w:type="dxa"/>
          </w:tblCellMar>
        </w:tblPrEx>
        <w:trPr>
          <w:trHeight w:val="565"/>
        </w:trPr>
        <w:tc>
          <w:tcPr>
            <w:tcW w:w="2830" w:type="dxa"/>
            <w:vMerge/>
            <w:vAlign w:val="center"/>
          </w:tcPr>
          <w:p>
            <w:pPr>
              <w:jc w:val="center"/>
            </w:pPr>
          </w:p>
        </w:tc>
        <w:tc>
          <w:tcPr>
            <w:tcW w:w="5324" w:type="dxa"/>
            <w:vAlign w:val="center"/>
          </w:tcPr>
          <w:p>
            <w:pPr>
              <w:jc w:val="left"/>
            </w:pPr>
            <w:r>
              <w:t>《国家气象信息中心信息系统安全状况</w:t>
            </w:r>
            <w:r>
              <w:rPr>
                <w:rFonts w:hint="eastAsia"/>
              </w:rPr>
              <w:t>年</w:t>
            </w:r>
            <w:r>
              <w:t>报》</w:t>
            </w:r>
          </w:p>
        </w:tc>
      </w:tr>
      <w:tr>
        <w:tblPrEx>
          <w:tblW w:w="0" w:type="auto"/>
          <w:tblInd w:w="139" w:type="dxa"/>
          <w:tblCellMar>
            <w:top w:w="0" w:type="dxa"/>
            <w:left w:w="108" w:type="dxa"/>
            <w:bottom w:w="0" w:type="dxa"/>
            <w:right w:w="108" w:type="dxa"/>
          </w:tblCellMar>
        </w:tblPrEx>
        <w:trPr>
          <w:trHeight w:val="565"/>
        </w:trPr>
        <w:tc>
          <w:tcPr>
            <w:tcW w:w="2830" w:type="dxa"/>
            <w:vAlign w:val="center"/>
          </w:tcPr>
          <w:p>
            <w:pPr>
              <w:jc w:val="center"/>
            </w:pPr>
            <w:r>
              <w:rPr>
                <w:rFonts w:hint="eastAsia"/>
              </w:rPr>
              <w:t>协助安全检查服务</w:t>
            </w:r>
          </w:p>
        </w:tc>
        <w:tc>
          <w:tcPr>
            <w:tcW w:w="5324" w:type="dxa"/>
            <w:vAlign w:val="center"/>
          </w:tcPr>
          <w:p>
            <w:pPr>
              <w:jc w:val="left"/>
            </w:pPr>
            <w:r>
              <w:rPr>
                <w:rFonts w:hint="eastAsia"/>
              </w:rPr>
              <w:t>《国家气象信息中心安全检查报告》</w:t>
            </w:r>
          </w:p>
        </w:tc>
      </w:tr>
      <w:tr>
        <w:tblPrEx>
          <w:tblW w:w="0" w:type="auto"/>
          <w:tblInd w:w="139" w:type="dxa"/>
          <w:tblCellMar>
            <w:top w:w="0" w:type="dxa"/>
            <w:left w:w="108" w:type="dxa"/>
            <w:bottom w:w="0" w:type="dxa"/>
            <w:right w:w="108" w:type="dxa"/>
          </w:tblCellMar>
        </w:tblPrEx>
        <w:trPr>
          <w:trHeight w:val="565"/>
        </w:trPr>
        <w:tc>
          <w:tcPr>
            <w:tcW w:w="2830" w:type="dxa"/>
            <w:vAlign w:val="center"/>
          </w:tcPr>
          <w:p>
            <w:pPr>
              <w:jc w:val="center"/>
            </w:pPr>
            <w:r>
              <w:rPr>
                <w:rFonts w:hint="eastAsia"/>
              </w:rPr>
              <w:t>攻防知识与技术培训服务</w:t>
            </w:r>
          </w:p>
        </w:tc>
        <w:tc>
          <w:tcPr>
            <w:tcW w:w="5324" w:type="dxa"/>
            <w:vAlign w:val="center"/>
          </w:tcPr>
          <w:p>
            <w:pPr>
              <w:jc w:val="left"/>
            </w:pPr>
            <w:r>
              <w:rPr>
                <w:rFonts w:hint="eastAsia"/>
              </w:rPr>
              <w:t>《国家气象信息中心攻防技术培训PPT》</w:t>
            </w:r>
          </w:p>
        </w:tc>
      </w:tr>
      <w:tr>
        <w:tblPrEx>
          <w:tblW w:w="0" w:type="auto"/>
          <w:tblInd w:w="139" w:type="dxa"/>
          <w:tblCellMar>
            <w:top w:w="0" w:type="dxa"/>
            <w:left w:w="108" w:type="dxa"/>
            <w:bottom w:w="0" w:type="dxa"/>
            <w:right w:w="108" w:type="dxa"/>
          </w:tblCellMar>
        </w:tblPrEx>
        <w:trPr>
          <w:trHeight w:val="565"/>
        </w:trPr>
        <w:tc>
          <w:tcPr>
            <w:tcW w:w="2830" w:type="dxa"/>
            <w:vAlign w:val="center"/>
          </w:tcPr>
          <w:p>
            <w:pPr>
              <w:jc w:val="center"/>
            </w:pPr>
            <w:r>
              <w:rPr>
                <w:rFonts w:hint="eastAsia"/>
              </w:rPr>
              <w:t>协助网络安全宣传周服务</w:t>
            </w:r>
          </w:p>
        </w:tc>
        <w:tc>
          <w:tcPr>
            <w:tcW w:w="5324" w:type="dxa"/>
            <w:vAlign w:val="center"/>
          </w:tcPr>
          <w:p>
            <w:pPr>
              <w:jc w:val="left"/>
            </w:pPr>
            <w:r>
              <w:rPr>
                <w:rFonts w:hint="eastAsia"/>
              </w:rPr>
              <w:t>《国家气象信息中心安全意识培训PPT》</w:t>
            </w:r>
          </w:p>
        </w:tc>
      </w:tr>
      <w:tr>
        <w:tblPrEx>
          <w:tblW w:w="0" w:type="auto"/>
          <w:tblInd w:w="139" w:type="dxa"/>
          <w:tblCellMar>
            <w:top w:w="0" w:type="dxa"/>
            <w:left w:w="108" w:type="dxa"/>
            <w:bottom w:w="0" w:type="dxa"/>
            <w:right w:w="108" w:type="dxa"/>
          </w:tblCellMar>
        </w:tblPrEx>
        <w:trPr>
          <w:trHeight w:val="574"/>
        </w:trPr>
        <w:tc>
          <w:tcPr>
            <w:tcW w:w="2830" w:type="dxa"/>
            <w:vAlign w:val="center"/>
          </w:tcPr>
          <w:p>
            <w:pPr>
              <w:jc w:val="center"/>
            </w:pPr>
            <w:r>
              <w:rPr>
                <w:rFonts w:hint="eastAsia"/>
              </w:rPr>
              <w:t>重要时期网络安全保障服务</w:t>
            </w:r>
          </w:p>
        </w:tc>
        <w:tc>
          <w:tcPr>
            <w:tcW w:w="5324" w:type="dxa"/>
            <w:vAlign w:val="center"/>
          </w:tcPr>
          <w:p>
            <w:pPr>
              <w:jc w:val="left"/>
            </w:pPr>
            <w:r>
              <w:rPr>
                <w:rFonts w:hint="eastAsia"/>
              </w:rPr>
              <w:t>《重要时期网络安全保障服务报告》</w:t>
            </w:r>
          </w:p>
        </w:tc>
      </w:tr>
    </w:tbl>
    <w:p>
      <w:pPr>
        <w:snapToGrid w:val="0"/>
        <w:spacing w:line="360" w:lineRule="auto"/>
        <w:ind w:firstLine="315" w:firstLineChars="150"/>
        <w:jc w:val="left"/>
        <w:rPr>
          <w:rFonts w:ascii="宋体" w:hAnsi="宋体"/>
          <w:szCs w:val="21"/>
        </w:rPr>
      </w:pPr>
    </w:p>
    <w:bookmarkEnd w:id="59"/>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8"/>
    </w:p>
    <w:p>
      <w:pPr>
        <w:spacing w:before="156" w:beforeLines="50" w:line="360" w:lineRule="auto"/>
        <w:jc w:val="center"/>
        <w:outlineLvl w:val="1"/>
        <w:rPr>
          <w:rFonts w:ascii="宋体" w:hAnsi="宋体"/>
          <w:b/>
          <w:sz w:val="30"/>
          <w:szCs w:val="30"/>
          <w:highlight w:val="none"/>
        </w:rPr>
      </w:pPr>
      <w:bookmarkStart w:id="60"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rPr>
          <w:rFonts w:ascii="宋体" w:hAnsi="宋体"/>
          <w:szCs w:val="21"/>
          <w:highlight w:val="none"/>
        </w:rPr>
      </w:pP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1"/>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top"/>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1"/>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注：根据项目具体情况，对投标人有具体要求，且投标人必须遵守的，逐条列出。</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7A0425">
      <w:pPr>
        <w:numPr>
          <w:ilvl w:val="0"/>
          <w:numId w:val="8"/>
        </w:numPr>
        <w:spacing w:line="360" w:lineRule="auto"/>
        <w:ind w:firstLine="3066" w:firstLineChars="1460"/>
        <w:jc w:val="left"/>
        <w:rPr>
          <w:rFonts w:ascii="Times New Roman" w:eastAsia="宋体" w:hAnsi="Times New Roman" w:cs="Times New Roman"/>
          <w:b/>
          <w:bCs/>
          <w:szCs w:val="21"/>
        </w:rPr>
      </w:pPr>
      <w:bookmarkStart w:id="61"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7A0425">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7A0425">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7A0425">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7A0425">
      <w:pPr>
        <w:rPr>
          <w:rFonts w:ascii="宋体" w:eastAsia="宋体" w:hAnsi="宋体" w:cs="宋体"/>
          <w:b/>
          <w:bCs/>
          <w:spacing w:val="-20"/>
          <w:kern w:val="44"/>
          <w:sz w:val="40"/>
          <w:szCs w:val="40"/>
        </w:rPr>
      </w:pPr>
    </w:p>
    <w:p w:rsidR="007A0425">
      <w:pPr>
        <w:rPr>
          <w:rFonts w:ascii="宋体" w:eastAsia="宋体" w:hAnsi="宋体" w:cs="宋体"/>
          <w:b/>
          <w:bCs/>
          <w:spacing w:val="-20"/>
          <w:kern w:val="44"/>
          <w:sz w:val="40"/>
          <w:szCs w:val="40"/>
        </w:rPr>
      </w:pPr>
    </w:p>
    <w:p w:rsidR="007A0425">
      <w:pPr>
        <w:rPr>
          <w:rFonts w:ascii="宋体" w:eastAsia="宋体" w:hAnsi="宋体" w:cs="宋体"/>
          <w:b/>
          <w:bCs/>
          <w:spacing w:val="-20"/>
          <w:kern w:val="44"/>
          <w:sz w:val="40"/>
          <w:szCs w:val="40"/>
        </w:rPr>
      </w:pPr>
    </w:p>
    <w:p w:rsidR="007A0425">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7A0425">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7A0425">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7A0425">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7A0425">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7A0425">
      <w:pPr>
        <w:rPr>
          <w:rFonts w:ascii="Times New Roman" w:eastAsia="宋体" w:hAnsi="Times New Roman" w:cs="Times New Roman"/>
          <w:szCs w:val="20"/>
        </w:rPr>
      </w:pPr>
    </w:p>
    <w:p w:rsidR="007A0425">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7A0425">
      <w:pPr>
        <w:rPr>
          <w:rFonts w:ascii="Times New Roman" w:eastAsia="黑体" w:hAnsi="Times New Roman" w:cs="Times New Roman"/>
          <w:sz w:val="44"/>
          <w:szCs w:val="44"/>
        </w:rPr>
      </w:pPr>
    </w:p>
    <w:p w:rsidR="007A0425">
      <w:pPr>
        <w:rPr>
          <w:rFonts w:ascii="Times New Roman" w:eastAsia="黑体" w:hAnsi="Times New Roman" w:cs="Times New Roman"/>
          <w:sz w:val="44"/>
          <w:szCs w:val="44"/>
        </w:rPr>
      </w:pPr>
    </w:p>
    <w:p w:rsidR="007A0425">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7A0425">
      <w:pPr>
        <w:ind w:firstLine="640" w:firstLineChars="200"/>
        <w:rPr>
          <w:rFonts w:ascii="仿宋_GB2312" w:eastAsia="仿宋_GB2312" w:hAnsi="仿宋_GB2312" w:cs="仿宋_GB2312"/>
          <w:sz w:val="32"/>
          <w:szCs w:val="32"/>
        </w:rPr>
      </w:pPr>
    </w:p>
    <w:p w:rsidR="007A0425">
      <w:pPr>
        <w:numPr>
          <w:ilvl w:val="0"/>
          <w:numId w:val="9"/>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rsidR="007A0425">
      <w:pPr>
        <w:numPr>
          <w:ilvl w:val="0"/>
          <w:numId w:val="9"/>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rsidR="007A0425">
      <w:pPr>
        <w:numPr>
          <w:ilvl w:val="0"/>
          <w:numId w:val="9"/>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7A0425">
      <w:pPr>
        <w:widowControl/>
        <w:jc w:val="left"/>
        <w:rPr>
          <w:rFonts w:ascii="宋体" w:eastAsia="宋体" w:hAnsi="宋体" w:cs="Times New Roman"/>
          <w:szCs w:val="21"/>
        </w:rPr>
      </w:pPr>
      <w:r>
        <w:rPr>
          <w:rFonts w:ascii="宋体" w:eastAsia="宋体" w:hAnsi="宋体" w:cs="Times New Roman"/>
          <w:szCs w:val="21"/>
        </w:rPr>
        <w:br w:type="page"/>
      </w:r>
    </w:p>
    <w:p w:rsidR="007A0425">
      <w:pPr>
        <w:snapToGrid w:val="0"/>
        <w:spacing w:line="360" w:lineRule="auto"/>
        <w:ind w:firstLine="420"/>
        <w:rPr>
          <w:rFonts w:ascii="宋体" w:eastAsia="宋体" w:hAnsi="宋体" w:cs="Times New Roman"/>
          <w:szCs w:val="21"/>
        </w:rPr>
      </w:pPr>
    </w:p>
    <w:p w:rsidR="007A0425">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  合同专用部分</w:t>
      </w:r>
    </w:p>
    <w:p w:rsidR="007A0425">
      <w:pPr>
        <w:snapToGrid w:val="0"/>
        <w:spacing w:line="360" w:lineRule="auto"/>
        <w:ind w:firstLine="420"/>
        <w:jc w:val="center"/>
        <w:rPr>
          <w:rFonts w:ascii="宋体" w:eastAsia="宋体" w:hAnsi="宋体" w:cs="Times New Roman"/>
          <w:szCs w:val="21"/>
        </w:rPr>
      </w:pPr>
    </w:p>
    <w:p w:rsidR="007A0425">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7A0425">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7A0425">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7A0425">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7A0425">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7A0425">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7A0425">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7A0425">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7A0425">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7A0425">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7A0425">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7A0425">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7A0425">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r>
    </w:tbl>
    <w:p w:rsidR="007A0425">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7A0425">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1、合同总金额为人民币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7A0425">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2、合同生效后付款：双方签署合同后7个工作日内，甲方向乙方支付合同总金额的</w:t>
      </w:r>
      <w:r w:rsidR="00C36D51">
        <w:rPr>
          <w:rFonts w:ascii="宋体" w:eastAsia="宋体" w:hAnsi="宋体" w:cs="微软雅黑"/>
          <w:b/>
          <w:color w:val="0000FF"/>
          <w:kern w:val="0"/>
          <w:szCs w:val="21"/>
        </w:rPr>
        <w:t>100</w:t>
      </w:r>
      <w:r>
        <w:rPr>
          <w:rFonts w:ascii="宋体" w:eastAsia="宋体" w:hAnsi="宋体" w:cs="微软雅黑" w:hint="eastAsia"/>
          <w:b/>
          <w:color w:val="0000FF"/>
          <w:kern w:val="0"/>
          <w:szCs w:val="21"/>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7A0425">
      <w:pPr>
        <w:tabs>
          <w:tab w:val="left" w:pos="1573"/>
        </w:tabs>
        <w:adjustRightInd w:val="0"/>
        <w:snapToGrid w:val="0"/>
        <w:spacing w:line="360" w:lineRule="auto"/>
        <w:ind w:firstLine="420" w:firstLineChars="200"/>
        <w:jc w:val="left"/>
        <w:rPr>
          <w:rFonts w:ascii="Times New Roman" w:eastAsia="宋体" w:hAnsi="宋体" w:cs="Times New Roman"/>
          <w:kern w:val="0"/>
          <w:szCs w:val="20"/>
        </w:rPr>
      </w:pPr>
      <w:r>
        <w:rPr>
          <w:spacing w:val="-6"/>
        </w:rPr>
        <w:t>乙方于收到甲方付款后的</w:t>
      </w:r>
      <w:r>
        <w:rPr>
          <w:spacing w:val="-6"/>
        </w:rPr>
        <w:t xml:space="preserve"> </w:t>
      </w:r>
      <w:r>
        <w:rPr>
          <w:rFonts w:ascii="Times New Roman" w:eastAsia="Times New Roman"/>
        </w:rPr>
        <w:t xml:space="preserve">15 </w:t>
      </w:r>
      <w:r>
        <w:rPr>
          <w:spacing w:val="-8"/>
        </w:rPr>
        <w:t>日内，向甲方提供合同总金额</w:t>
      </w:r>
      <w:r>
        <w:rPr>
          <w:u w:val="single"/>
        </w:rPr>
        <w:t xml:space="preserve"> </w:t>
      </w:r>
      <w:r>
        <w:rPr>
          <w:rFonts w:ascii="Times New Roman" w:eastAsia="Times New Roman"/>
          <w:u w:val="single"/>
        </w:rPr>
        <w:t>40%</w:t>
      </w:r>
      <w:r>
        <w:rPr>
          <w:rFonts w:ascii="Times New Roman" w:eastAsia="Times New Roman"/>
          <w:spacing w:val="50"/>
          <w:u w:val="single"/>
        </w:rPr>
        <w:t xml:space="preserve"> </w:t>
      </w:r>
      <w:r>
        <w:rPr>
          <w:spacing w:val="-7"/>
        </w:rPr>
        <w:t>的预付款</w:t>
      </w:r>
      <w:r w:rsidRPr="00C36D51">
        <w:rPr>
          <w:rFonts w:hint="eastAsia"/>
          <w:spacing w:val="-7"/>
        </w:rPr>
        <w:t>保函</w:t>
      </w:r>
      <w:r>
        <w:rPr>
          <w:spacing w:val="-7"/>
        </w:rPr>
        <w:t>，</w:t>
      </w:r>
      <w:r>
        <w:rPr>
          <w:rFonts w:hint="eastAsia"/>
          <w:spacing w:val="-7"/>
        </w:rPr>
        <w:t>服务期开始后</w:t>
      </w:r>
      <w:r>
        <w:rPr>
          <w:rFonts w:hint="eastAsia"/>
          <w:spacing w:val="-7"/>
        </w:rPr>
        <w:t>3</w:t>
      </w:r>
      <w:r>
        <w:rPr>
          <w:spacing w:val="-7"/>
        </w:rPr>
        <w:t>0</w:t>
      </w:r>
      <w:r>
        <w:rPr>
          <w:rFonts w:hint="eastAsia"/>
          <w:spacing w:val="-7"/>
        </w:rPr>
        <w:t>日内甲方退还预付款保函，同时乙方开具合同总金额的</w:t>
      </w:r>
      <w:r>
        <w:rPr>
          <w:rFonts w:hint="eastAsia"/>
          <w:spacing w:val="-7"/>
        </w:rPr>
        <w:t xml:space="preserve"> </w:t>
      </w:r>
      <w:r w:rsidRPr="00B6556A">
        <w:rPr>
          <w:spacing w:val="-7"/>
          <w:u w:val="single"/>
        </w:rPr>
        <w:t>10%</w:t>
      </w:r>
      <w:r>
        <w:rPr>
          <w:spacing w:val="-7"/>
          <w:u w:val="single"/>
        </w:rPr>
        <w:t xml:space="preserve"> </w:t>
      </w:r>
      <w:r>
        <w:rPr>
          <w:rFonts w:hint="eastAsia"/>
          <w:spacing w:val="-7"/>
        </w:rPr>
        <w:t>的履约保函，服务期满后</w:t>
      </w:r>
      <w:r>
        <w:rPr>
          <w:rFonts w:hint="eastAsia"/>
          <w:spacing w:val="-7"/>
        </w:rPr>
        <w:t>3</w:t>
      </w:r>
      <w:r>
        <w:rPr>
          <w:spacing w:val="-7"/>
        </w:rPr>
        <w:t>0</w:t>
      </w:r>
      <w:r>
        <w:rPr>
          <w:rFonts w:hint="eastAsia"/>
          <w:spacing w:val="-7"/>
        </w:rPr>
        <w:t>日内甲方</w:t>
      </w:r>
      <w:r>
        <w:t>按照本项目要求扣除违约金后，甲方无息退还乙方。</w:t>
      </w:r>
    </w:p>
    <w:p w:rsidR="007A0425">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rsidR="007A0425">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甲方提供乙方履行合同所需的资料清单如下：</w:t>
      </w:r>
    </w:p>
    <w:p w:rsidR="007A0425">
      <w:pPr>
        <w:tabs>
          <w:tab w:val="left" w:pos="1573"/>
        </w:tabs>
        <w:adjustRightInd w:val="0"/>
        <w:snapToGrid w:val="0"/>
        <w:spacing w:line="360" w:lineRule="auto"/>
        <w:ind w:firstLine="412" w:firstLineChars="196"/>
        <w:jc w:val="left"/>
        <w:rPr>
          <w:rFonts w:ascii="宋体" w:eastAsia="宋体" w:hAnsi="宋体" w:cs="Times New Roman"/>
          <w:szCs w:val="28"/>
        </w:rPr>
      </w:pPr>
    </w:p>
    <w:p w:rsidR="007A0425">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rsidR="007A0425">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7A0425">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7A0425">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7A0425">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7A0425">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rsidR="007A0425">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rsidR="007A0425">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（略）</w:t>
      </w:r>
    </w:p>
    <w:p w:rsidR="007A0425">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自行简易验收、验收小组验收、委托第三方验收等）；验收内容和标准（参见附表）；验收未通过（整体未通过或部分未通过）的处理措施；验收费用承担方等</w:t>
      </w:r>
    </w:p>
    <w:p w:rsidR="007A0425">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rsidR="007A0425">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（略）</w:t>
      </w:r>
    </w:p>
    <w:p w:rsidR="007A0425">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的可能性、影响程度进行研判，明确管控责任，提出有针对性的处置措施和替代方案。如本项目不属于上述项目，“八、风险管理”可省略）</w:t>
      </w:r>
    </w:p>
    <w:p w:rsidR="007A0425">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rsidR="007A0425">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 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7A0425">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2、其它违约责任</w:t>
      </w:r>
    </w:p>
    <w:p w:rsidR="007A0425">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%的违约金。</w:t>
      </w:r>
    </w:p>
    <w:p w:rsidR="007A0425">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十、联系方式</w:t>
      </w:r>
    </w:p>
    <w:p w:rsidR="007A0425">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rsidR="007A0425">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rsidR="007A0425">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rsidR="007A0425">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7A0425">
      <w:pPr>
        <w:tabs>
          <w:tab w:val="left" w:pos="1573"/>
        </w:tabs>
        <w:adjustRightInd w:val="0"/>
        <w:snapToGrid w:val="0"/>
        <w:ind w:firstLine="315" w:firstLineChars="150"/>
        <w:jc w:val="left"/>
        <w:rPr>
          <w:rFonts w:ascii="宋体" w:eastAsia="宋体" w:hAnsi="宋体" w:cs="Times New Roman"/>
          <w:szCs w:val="21"/>
          <w:u w:val="single"/>
        </w:rPr>
      </w:pPr>
    </w:p>
    <w:p w:rsidR="007A0425">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rsidR="007A0425">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rsidR="007A0425">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rsidR="007A0425">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7A0425">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7A0425">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7A0425">
      <w:pPr>
        <w:tabs>
          <w:tab w:val="left" w:pos="1573"/>
        </w:tabs>
        <w:adjustRightInd w:val="0"/>
        <w:snapToGrid w:val="0"/>
        <w:spacing w:line="360" w:lineRule="auto"/>
        <w:ind w:firstLine="420" w:firstLineChars="200"/>
        <w:jc w:val="left"/>
        <w:rPr>
          <w:rFonts w:ascii="宋体" w:eastAsia="宋体" w:hAnsi="宋体" w:cs="Times New Roman"/>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7A0425">
      <w:pPr>
        <w:tabs>
          <w:tab w:val="left" w:pos="1573"/>
        </w:tabs>
        <w:adjustRightInd w:val="0"/>
        <w:snapToGrid w:val="0"/>
        <w:spacing w:line="360" w:lineRule="auto"/>
        <w:ind w:firstLine="420" w:firstLineChars="200"/>
        <w:jc w:val="left"/>
        <w:rPr>
          <w:rFonts w:ascii="宋体" w:eastAsia="宋体" w:hAnsi="宋体" w:cs="Times New Roman"/>
          <w:b/>
          <w:szCs w:val="28"/>
        </w:rPr>
      </w:pPr>
    </w:p>
    <w:p w:rsidR="007A0425">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十二、履约保证金</w:t>
      </w:r>
    </w:p>
    <w:p w:rsidR="007A0425">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%的履约保证金。 </w:t>
      </w:r>
    </w:p>
    <w:p w:rsidR="007A0425">
      <w:pPr>
        <w:tabs>
          <w:tab w:val="left" w:pos="1573"/>
        </w:tabs>
        <w:adjustRightInd w:val="0"/>
        <w:snapToGrid w:val="0"/>
        <w:spacing w:line="360" w:lineRule="auto"/>
        <w:ind w:firstLine="412" w:firstLineChars="196"/>
        <w:jc w:val="left"/>
        <w:rPr>
          <w:rFonts w:ascii="宋体" w:eastAsia="宋体" w:hAnsi="宋体" w:cs="Times New Roman"/>
          <w:b/>
          <w:szCs w:val="28"/>
        </w:rPr>
      </w:pPr>
    </w:p>
    <w:p w:rsidR="007A0425">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                                   乙方：</w:t>
      </w:r>
    </w:p>
    <w:p w:rsidR="007A0425">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                        单位名称：（公章）</w:t>
      </w:r>
    </w:p>
    <w:p w:rsidR="007A0425">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                             法定代表人：</w:t>
      </w:r>
    </w:p>
    <w:p w:rsidR="007A0425">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                               授权代表：</w:t>
      </w:r>
    </w:p>
    <w:p w:rsidR="007A0425">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                               签约日期：</w:t>
      </w:r>
    </w:p>
    <w:p w:rsidR="007A0425">
      <w:pPr>
        <w:widowControl/>
        <w:jc w:val="left"/>
        <w:rPr>
          <w:rFonts w:ascii="宋体" w:eastAsia="宋体" w:hAnsi="宋体" w:cs="Times New Roman"/>
          <w:b/>
          <w:szCs w:val="21"/>
        </w:rPr>
      </w:pPr>
      <w:r>
        <w:rPr>
          <w:rFonts w:ascii="宋体" w:eastAsia="宋体" w:hAnsi="宋体" w:cs="Times New Roman"/>
          <w:b/>
          <w:szCs w:val="21"/>
        </w:rPr>
        <w:br w:type="page"/>
      </w:r>
    </w:p>
    <w:p w:rsidR="007A0425">
      <w:pPr>
        <w:spacing w:line="360" w:lineRule="auto"/>
        <w:jc w:val="left"/>
        <w:rPr>
          <w:rFonts w:ascii="Times New Roman" w:eastAsia="宋体" w:hAnsi="Times New Roman" w:cs="Times New Roman"/>
          <w:b/>
          <w:bCs/>
          <w:sz w:val="44"/>
          <w:szCs w:val="44"/>
        </w:rPr>
      </w:pPr>
    </w:p>
    <w:p w:rsidR="007A0425">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  合同通用部分</w:t>
      </w:r>
    </w:p>
    <w:p w:rsidR="007A0425">
      <w:pPr>
        <w:tabs>
          <w:tab w:val="left" w:pos="1573"/>
        </w:tabs>
        <w:snapToGrid w:val="0"/>
        <w:spacing w:line="360" w:lineRule="auto"/>
        <w:jc w:val="center"/>
        <w:rPr>
          <w:rFonts w:ascii="宋体" w:eastAsia="宋体" w:hAnsi="宋体" w:cs="Times New Roman"/>
          <w:szCs w:val="21"/>
        </w:rPr>
      </w:pPr>
    </w:p>
    <w:p w:rsidR="007A0425">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7A0425">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7A0425">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rsidR="007A0425">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rsidR="007A0425">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rsidR="007A0425">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rsidR="007A0425">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rsidR="007A0425">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rsidR="007A0425">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rsidR="007A0425">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rsidR="007A0425">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一、定义</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4、“合同服务”指合同服务清单（同投标文件中分项报价表，下同）中所规定的服务内容、设备和软件购置等内容。</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5、“验收证书”指验收完成后由合同双方签署的最终验收确认书。</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6、“保修期”指自验收证书甲方签署之日起，乙方免费对所提供给甲方服务内容进行技术支持、现场服务、升级服务等，并自担费用方式保证合同服务正常运行的时期。</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7、“第三人”是指本合同双方以外的任何中国境内、外的自然人、法人或其他经济组织。</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8、“法律、法规”是指由中国有关部门制定的法律、行政法规、地方性法规、规章及其他规</w:t>
      </w:r>
      <w:r>
        <w:rPr>
          <w:rFonts w:ascii="宋体" w:eastAsia="宋体" w:hAnsi="宋体" w:cs="Times New Roman" w:hint="eastAsia"/>
          <w:szCs w:val="21"/>
        </w:rPr>
        <w:t>范性文件以及经全国人民代表大会常务委员会批准的中国缔结、参加的国际条（公）约的有关规定。</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9、“招标文件”指采购中心发布的本项目招标文件。</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二、合同标的</w:t>
      </w:r>
    </w:p>
    <w:p w:rsidR="007A0425">
      <w:pPr>
        <w:numPr>
          <w:ilvl w:val="6"/>
          <w:numId w:val="0"/>
        </w:num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三、合同价格</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四、支付和结算方式</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1、双方因本合同发生的一切费用均以人民币结算及支付。</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2、双方的</w:t>
      </w:r>
      <w:r w:rsidR="008B47FC">
        <w:rPr>
          <w:rFonts w:ascii="宋体" w:eastAsia="宋体" w:hAnsi="宋体" w:cs="Times New Roman" w:hint="eastAsia"/>
          <w:szCs w:val="21"/>
        </w:rPr>
        <w:t>账户</w:t>
      </w:r>
      <w:r>
        <w:rPr>
          <w:rFonts w:ascii="宋体" w:eastAsia="宋体" w:hAnsi="宋体" w:cs="Times New Roman" w:hint="eastAsia"/>
          <w:szCs w:val="21"/>
        </w:rPr>
        <w:t>名称、开户银行及</w:t>
      </w:r>
      <w:r w:rsidR="008B47FC">
        <w:rPr>
          <w:rFonts w:ascii="宋体" w:eastAsia="宋体" w:hAnsi="宋体" w:cs="Times New Roman" w:hint="eastAsia"/>
          <w:szCs w:val="21"/>
        </w:rPr>
        <w:t>账号</w:t>
      </w:r>
      <w:r>
        <w:rPr>
          <w:rFonts w:ascii="宋体" w:eastAsia="宋体" w:hAnsi="宋体" w:cs="Times New Roman" w:hint="eastAsia"/>
          <w:szCs w:val="21"/>
        </w:rPr>
        <w:t>以本合同提供的为准。</w:t>
      </w:r>
    </w:p>
    <w:p w:rsidR="007A0425">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rsidR="007A0425">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rsidR="007A0425">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w:t>
      </w:r>
      <w:r w:rsidR="008B47FC">
        <w:rPr>
          <w:rFonts w:ascii="Times New Roman" w:eastAsia="宋体" w:hAnsi="宋体" w:cs="Times New Roman" w:hint="eastAsia"/>
          <w:kern w:val="0"/>
          <w:szCs w:val="20"/>
        </w:rPr>
        <w:t>报告</w:t>
      </w:r>
      <w:r>
        <w:rPr>
          <w:rFonts w:ascii="Times New Roman" w:eastAsia="宋体" w:hAnsi="宋体" w:cs="Times New Roman" w:hint="eastAsia"/>
          <w:kern w:val="0"/>
          <w:szCs w:val="20"/>
        </w:rPr>
        <w:t>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7A0425">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4、乙方在收到甲方每一笔付款的同时，应向甲方开具相应金额的商业发票。</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五、资料的使用</w:t>
      </w:r>
    </w:p>
    <w:p w:rsidR="007A0425">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w:t>
      </w:r>
      <w:r w:rsidR="008B47FC">
        <w:rPr>
          <w:rFonts w:ascii="宋体" w:eastAsia="宋体" w:hAnsi="宋体" w:cs="Times New Roman" w:hint="eastAsia"/>
          <w:szCs w:val="21"/>
        </w:rPr>
        <w:t>必需的</w:t>
      </w:r>
      <w:r>
        <w:rPr>
          <w:rFonts w:ascii="宋体" w:eastAsia="宋体" w:hAnsi="宋体" w:cs="Times New Roman" w:hint="eastAsia"/>
          <w:szCs w:val="21"/>
        </w:rPr>
        <w:t>范围。</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2、没有甲方事先书面同意，除了履行本合同之外，乙方不应使用甲方提供的任何文件和资料。</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3、没有甲方事先书面同意，乙方不得泄露与本项目有关的任何资料、数据及其它信息。</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甲方提供乙方履行合同所需的资料清单见</w:t>
      </w:r>
      <w:r>
        <w:rPr>
          <w:rFonts w:ascii="黑体" w:eastAsia="黑体" w:hAnsi="黑体" w:cs="Times New Roman" w:hint="eastAsia"/>
          <w:b/>
          <w:bCs/>
          <w:szCs w:val="21"/>
        </w:rPr>
        <w:t>合同条款专用部分。</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六、知识产权</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1、在本协议生效日前业已存在的版权及其他知识产权应属于本协议生效前既拥有该等权利的一方。</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3、符合法律规定及当事人约定的原则：任何相关事项均应当符合法律规定，及应当符合当事人约定。</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七、进度要求</w:t>
      </w:r>
    </w:p>
    <w:p w:rsidR="007A0425">
      <w:pPr>
        <w:numPr>
          <w:ilvl w:val="6"/>
          <w:numId w:val="0"/>
        </w:numPr>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见</w:t>
      </w:r>
      <w:r>
        <w:rPr>
          <w:rFonts w:ascii="黑体" w:eastAsia="黑体" w:hAnsi="黑体" w:cs="Times New Roman" w:hint="eastAsia"/>
          <w:b/>
          <w:bCs/>
          <w:szCs w:val="20"/>
        </w:rPr>
        <w:t>合同条款专用部分</w:t>
      </w:r>
      <w:r>
        <w:rPr>
          <w:rFonts w:ascii="宋体" w:eastAsia="宋体" w:hAnsi="宋体" w:cs="Times New Roman" w:hint="eastAsia"/>
          <w:b/>
          <w:szCs w:val="21"/>
        </w:rPr>
        <w:t>。</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八、技术服务和保修责任</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九、履约保证金</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2、如果中标人没有按照上述规定执行，甲方将有充分理由取消该中标决定，并不予退还其投标保证金。在此情况下甲方可将合同授予排名第二的中标候选人，或重新招标。</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4、中标人的履约保证金将在合同服务试经甲方终验合格，履行完必要的审批手续后30日内退还中标人。</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5、如乙方未能完全履行合同规定的义务，甲方有权从履约保证金中得到补偿。</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十、审计及检查</w:t>
      </w:r>
    </w:p>
    <w:p w:rsidR="007A0425">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十一、违约责任</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（3）上述情形下甲方为采取必要的补救措施或因防止损失扩大而支出的合理费用应由乙方承担。</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 xml:space="preserve">5、其它违约责任 </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1）擅自向第三方提供或者转让项目资料的；</w:t>
      </w:r>
    </w:p>
    <w:p w:rsidR="007A0425">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2）未经甲方许可使用项目资料的；</w:t>
      </w:r>
    </w:p>
    <w:p w:rsidR="007A0425">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3）项目完成后，乙方未经甲方许可保留项目资料的；</w:t>
      </w:r>
    </w:p>
    <w:p w:rsidR="007A0425">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4）对项目资料保管不当，造成数据全部或者部分丢失、被窃的。</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7、乙方在进行项目时违反有关保密规定的，依照《中华人民共和国保密法》等有关法律法规的规定处理。</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9、以上各项交付的违约金并不影响违约方履行合同的各项义务。</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rsidR="007A0425">
      <w:pPr>
        <w:adjustRightInd w:val="0"/>
        <w:snapToGrid w:val="0"/>
        <w:spacing w:line="360" w:lineRule="auto"/>
        <w:ind w:firstLine="315" w:firstLineChars="150"/>
        <w:rPr>
          <w:rFonts w:ascii="宋体" w:eastAsia="宋体" w:hAnsi="宋体" w:cs="Times New Roman"/>
          <w:b/>
          <w:szCs w:val="21"/>
        </w:rPr>
      </w:pPr>
      <w:r>
        <w:rPr>
          <w:rFonts w:ascii="宋体" w:eastAsia="宋体" w:hAnsi="宋体" w:cs="Times New Roman" w:hint="eastAsia"/>
          <w:szCs w:val="21"/>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十二、不可抗力</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4、合同各方应根据不可抗力对本合同履行的影响程度，协商确定是否终止本合同，或是继续履行本合同。</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十三、联系方式</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2、合同双方发出的与本合同有关的通知或</w:t>
      </w:r>
      <w:r>
        <w:rPr>
          <w:rFonts w:ascii="宋体" w:eastAsia="宋体" w:hAnsi="宋体" w:cs="Times New Roman" w:hint="eastAsia"/>
          <w:szCs w:val="21"/>
        </w:rPr>
        <w:t>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w:t>
      </w:r>
      <w:r w:rsidR="008B47FC">
        <w:rPr>
          <w:rFonts w:ascii="宋体" w:eastAsia="宋体" w:hAnsi="宋体" w:cs="Times New Roman" w:hint="eastAsia"/>
          <w:szCs w:val="21"/>
        </w:rPr>
        <w:t>账号</w:t>
      </w:r>
      <w:r>
        <w:rPr>
          <w:rFonts w:ascii="宋体" w:eastAsia="宋体" w:hAnsi="宋体" w:cs="Times New Roman" w:hint="eastAsia"/>
          <w:szCs w:val="21"/>
        </w:rPr>
        <w:t>，一方变更通讯地址或</w:t>
      </w:r>
      <w:r w:rsidR="008B47FC">
        <w:rPr>
          <w:rFonts w:ascii="宋体" w:eastAsia="宋体" w:hAnsi="宋体" w:cs="Times New Roman" w:hint="eastAsia"/>
          <w:szCs w:val="21"/>
        </w:rPr>
        <w:t>账号</w:t>
      </w:r>
      <w:r>
        <w:rPr>
          <w:rFonts w:ascii="宋体" w:eastAsia="宋体" w:hAnsi="宋体" w:cs="Times New Roman" w:hint="eastAsia"/>
          <w:szCs w:val="21"/>
        </w:rPr>
        <w:t>，应自变更之日起三个工作日内，将变更后的地址通知对方。变更方不履行通知义务的，应对此造成的一切后果承担法律责任。</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3、上述发出通知、回复的费用由发出一方承担。</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十四、保密条款</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十五、合同的解释和法律适用</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2、本合同标题仅供查阅方便，并非对本合同的诠释或解释；本合同中以日表述的时间期限均指自然日。</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3、对本合同的任何解释均应以书面作出。</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十六、合同的终止</w:t>
      </w:r>
    </w:p>
    <w:p w:rsidR="007A0425">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1、本合同因下列原因而终止：</w:t>
      </w:r>
    </w:p>
    <w:p w:rsidR="007A0425">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（1）本合同正常履行完毕；</w:t>
      </w:r>
    </w:p>
    <w:p w:rsidR="007A0425">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（2）合同双方协议终止本合同的履行；</w:t>
      </w:r>
    </w:p>
    <w:p w:rsidR="007A0425">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（3）不可抗力事件导致本合同无法履行或履行不必要；</w:t>
      </w:r>
    </w:p>
    <w:p w:rsidR="007A0425">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（4）任何一方行使解除权，解除本合同。</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十七、法律适用</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十八、权利的保留</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十九、争议的解决</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1、合同双方应通过友好协商解决因解释﹑执行本合同所发生的和本合同有关的一切争议。如果经协商不能达成协议，则双方同意：</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（1）在甲方所在地有管辖权的人民法院提起诉讼。</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3、在争议解决期间，除了诉讼进行过程中正在解决的部分问题外，合同其余部分应继续履行。</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二十、合同的补充、修改和变更</w:t>
      </w:r>
    </w:p>
    <w:p w:rsidR="007A0425">
      <w:pPr>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4、如乙方提出项目的部分修改建议，乙方应同时详细阐明该变更对合同价格、项目交付日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rsidR="007A0425">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7、任何对合同条件的变更或修改均须双方签订书面的修改书。</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二十一、合同的生效</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二十二、其它约定事项</w:t>
      </w:r>
    </w:p>
    <w:p w:rsidR="007A0425">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1、本合同中的附件均为本合同不可分割的部分，与本合同具有相同的法律效力。</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3、本合同正本一式两份，甲、乙双方各执一份，每份正本具有同等法律效力，副本报财政部备案。</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4、本合同涉及的招标文件和投标文件，正本由中国气象局政府采购中心保存。</w:t>
      </w:r>
    </w:p>
    <w:p w:rsidR="007A0425">
      <w:pPr>
        <w:tabs>
          <w:tab w:val="left" w:pos="1573"/>
        </w:tabs>
        <w:adjustRightInd w:val="0"/>
        <w:snapToGrid w:val="0"/>
        <w:spacing w:line="360" w:lineRule="auto"/>
        <w:ind w:firstLine="412" w:firstLineChars="196"/>
        <w:jc w:val="left"/>
        <w:rPr>
          <w:rFonts w:ascii="宋体" w:eastAsia="宋体" w:hAnsi="宋体" w:cs="Times New Roman"/>
          <w:szCs w:val="21"/>
        </w:rPr>
      </w:pPr>
    </w:p>
    <w:p w:rsidR="007A0425"/>
    <w:p w:rsidR="00A77B3E"/>
    <w:p w:rsidR="007A0425">
      <w:pPr>
        <w:numPr>
          <w:ilvl w:val="0"/>
          <w:numId w:val="8"/>
        </w:numPr>
        <w:spacing w:line="360" w:lineRule="auto"/>
        <w:ind w:firstLine="3066" w:firstLineChars="1460"/>
        <w:jc w:val="left"/>
        <w:rPr>
          <w:rFonts w:ascii="Times New Roman" w:eastAsia="宋体" w:hAnsi="Times New Roman" w:cs="Times New Roman"/>
          <w:b/>
          <w:bCs/>
          <w:szCs w:val="21"/>
        </w:rPr>
      </w:pPr>
      <w:bookmarkEnd w:id="61"/>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altName w:val="Wingdings"/>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BF14661C"/>
    <w:multiLevelType w:val="singleLevel"/>
    <w:tmpl w:val="BF14661C"/>
    <w:lvl w:ilvl="0">
      <w:start w:val="1"/>
      <w:numFmt w:val="bullet"/>
      <w:suff w:val="nothing"/>
      <w:lvlText w:val=""/>
      <w:lvlJc w:val="left"/>
      <w:pPr>
        <w:ind w:left="420" w:hanging="420"/>
      </w:pPr>
      <w:rPr>
        <w:rFonts w:ascii="Wingdings" w:hAnsi="Wingdings" w:hint="default"/>
      </w:rPr>
    </w:lvl>
  </w:abstractNum>
  <w:abstractNum w:abstractNumId="3">
    <w:nsid w:val="FFFC545B"/>
    <w:multiLevelType w:val="multilevel"/>
    <w:tmpl w:val="FFFC545B"/>
    <w:lvl w:ilvl="0">
      <w:start w:val="2"/>
      <w:numFmt w:val="decimal"/>
      <w:lvlText w:val="%1"/>
      <w:lvlJc w:val="left"/>
      <w:pPr>
        <w:ind w:left="642" w:hanging="423"/>
      </w:pPr>
      <w:rPr>
        <w:rFonts w:hint="default"/>
        <w:lang w:val="en-US" w:eastAsia="zh-CN" w:bidi="ar-SA"/>
      </w:rPr>
    </w:lvl>
    <w:lvl w:ilvl="1">
      <w:start w:val="1"/>
      <w:numFmt w:val="decimal"/>
      <w:lvlText w:val="%1.%2"/>
      <w:lvlJc w:val="left"/>
      <w:pPr>
        <w:ind w:left="642" w:hanging="423"/>
      </w:pPr>
      <w:rPr>
        <w:rFonts w:ascii="宋体" w:eastAsia="宋体" w:hAnsi="宋体" w:cs="宋体" w:hint="default"/>
        <w:b/>
        <w:bCs/>
        <w:spacing w:val="0"/>
        <w:w w:val="95"/>
        <w:sz w:val="21"/>
        <w:szCs w:val="21"/>
        <w:lang w:val="en-US" w:eastAsia="zh-CN" w:bidi="ar-SA"/>
      </w:rPr>
    </w:lvl>
    <w:lvl w:ilvl="2">
      <w:start w:val="1"/>
      <w:numFmt w:val="decimal"/>
      <w:lvlText w:val="%1.%2.%3"/>
      <w:lvlJc w:val="left"/>
      <w:pPr>
        <w:ind w:left="711" w:hanging="711"/>
      </w:pPr>
      <w:rPr>
        <w:rFonts w:ascii="宋体" w:eastAsia="宋体" w:hAnsi="宋体" w:cs="宋体" w:hint="default"/>
        <w:b/>
        <w:bCs/>
        <w:spacing w:val="0"/>
        <w:w w:val="95"/>
        <w:sz w:val="21"/>
        <w:szCs w:val="21"/>
        <w:lang w:val="en-US" w:eastAsia="zh-CN" w:bidi="ar-SA"/>
      </w:rPr>
    </w:lvl>
    <w:lvl w:ilvl="3">
      <w:start w:val="0"/>
      <w:numFmt w:val="bullet"/>
      <w:suff w:val="nothing"/>
      <w:lvlText w:val=""/>
      <w:lvlJc w:val="left"/>
      <w:pPr>
        <w:ind w:left="1060" w:hanging="408"/>
      </w:pPr>
      <w:rPr>
        <w:rFonts w:ascii="Wingdings" w:eastAsia="Wingdings" w:hAnsi="Wingdings" w:cs="Wingdings" w:hint="default"/>
        <w:w w:val="100"/>
        <w:sz w:val="21"/>
        <w:szCs w:val="21"/>
        <w:lang w:val="en-US" w:eastAsia="zh-CN" w:bidi="ar-SA"/>
      </w:rPr>
    </w:lvl>
    <w:lvl w:ilvl="4">
      <w:start w:val="0"/>
      <w:numFmt w:val="bullet"/>
      <w:lvlText w:val="•"/>
      <w:lvlJc w:val="left"/>
      <w:pPr>
        <w:ind w:left="3191" w:hanging="408"/>
      </w:pPr>
      <w:rPr>
        <w:rFonts w:hint="default"/>
        <w:lang w:val="en-US" w:eastAsia="zh-CN" w:bidi="ar-SA"/>
      </w:rPr>
    </w:lvl>
    <w:lvl w:ilvl="5">
      <w:start w:val="0"/>
      <w:numFmt w:val="bullet"/>
      <w:lvlText w:val="•"/>
      <w:lvlJc w:val="left"/>
      <w:pPr>
        <w:ind w:left="4256" w:hanging="408"/>
      </w:pPr>
      <w:rPr>
        <w:rFonts w:hint="default"/>
        <w:lang w:val="en-US" w:eastAsia="zh-CN" w:bidi="ar-SA"/>
      </w:rPr>
    </w:lvl>
    <w:lvl w:ilvl="6">
      <w:start w:val="0"/>
      <w:numFmt w:val="bullet"/>
      <w:lvlText w:val="•"/>
      <w:lvlJc w:val="left"/>
      <w:pPr>
        <w:ind w:left="5322" w:hanging="408"/>
      </w:pPr>
      <w:rPr>
        <w:rFonts w:hint="default"/>
        <w:lang w:val="en-US" w:eastAsia="zh-CN" w:bidi="ar-SA"/>
      </w:rPr>
    </w:lvl>
    <w:lvl w:ilvl="7">
      <w:start w:val="0"/>
      <w:numFmt w:val="bullet"/>
      <w:lvlText w:val="•"/>
      <w:lvlJc w:val="left"/>
      <w:pPr>
        <w:ind w:left="6387" w:hanging="408"/>
      </w:pPr>
      <w:rPr>
        <w:rFonts w:hint="default"/>
        <w:lang w:val="en-US" w:eastAsia="zh-CN" w:bidi="ar-SA"/>
      </w:rPr>
    </w:lvl>
    <w:lvl w:ilvl="8">
      <w:start w:val="0"/>
      <w:numFmt w:val="bullet"/>
      <w:lvlText w:val="•"/>
      <w:lvlJc w:val="left"/>
      <w:pPr>
        <w:ind w:left="7453" w:hanging="408"/>
      </w:pPr>
      <w:rPr>
        <w:rFonts w:hint="default"/>
        <w:lang w:val="en-US" w:eastAsia="zh-CN" w:bidi="ar-SA"/>
      </w:rPr>
    </w:lvl>
  </w:abstractNum>
  <w:abstractNum w:abstractNumId="4">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5">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6">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1F397EB3"/>
    <w:multiLevelType w:val="multilevel"/>
    <w:tmpl w:val="1F397EB3"/>
    <w:lvl w:ilvl="0">
      <w:start w:val="1"/>
      <w:numFmt w:val="decimal"/>
      <w:lvlText w:val="%1."/>
      <w:lvlJc w:val="left"/>
      <w:pPr>
        <w:ind w:left="838" w:hanging="420"/>
      </w:pPr>
    </w:lvl>
    <w:lvl w:ilvl="1">
      <w:start w:val="1"/>
      <w:numFmt w:val="decimal"/>
      <w:isLgl/>
      <w:lvlText w:val="%1.%2"/>
      <w:lvlJc w:val="left"/>
      <w:pPr>
        <w:ind w:left="1158" w:hanging="740"/>
      </w:pPr>
      <w:rPr>
        <w:rFonts w:hint="default"/>
      </w:rPr>
    </w:lvl>
    <w:lvl w:ilvl="2">
      <w:start w:val="2"/>
      <w:numFmt w:val="decimal"/>
      <w:isLgl/>
      <w:lvlText w:val="%1.%2.%3"/>
      <w:lvlJc w:val="left"/>
      <w:pPr>
        <w:ind w:left="1158" w:hanging="740"/>
      </w:pPr>
      <w:rPr>
        <w:rFonts w:hint="default"/>
      </w:rPr>
    </w:lvl>
    <w:lvl w:ilvl="3">
      <w:start w:val="1"/>
      <w:numFmt w:val="decimal"/>
      <w:isLgl/>
      <w:lvlText w:val="%1.%2.%3.%4"/>
      <w:lvlJc w:val="left"/>
      <w:pPr>
        <w:ind w:left="1158" w:hanging="740"/>
      </w:pPr>
      <w:rPr>
        <w:rFonts w:hint="default"/>
      </w:rPr>
    </w:lvl>
    <w:lvl w:ilvl="4">
      <w:start w:val="1"/>
      <w:numFmt w:val="decimal"/>
      <w:isLgl/>
      <w:lvlText w:val="%1.%2.%3.%4.%5"/>
      <w:lvlJc w:val="left"/>
      <w:pPr>
        <w:ind w:left="1498" w:hanging="1080"/>
      </w:pPr>
      <w:rPr>
        <w:rFonts w:hint="default"/>
      </w:rPr>
    </w:lvl>
    <w:lvl w:ilvl="5">
      <w:start w:val="1"/>
      <w:numFmt w:val="decimal"/>
      <w:isLgl/>
      <w:lvlText w:val="%1.%2.%3.%4.%5.%6"/>
      <w:lvlJc w:val="left"/>
      <w:pPr>
        <w:ind w:left="1858" w:hanging="1440"/>
      </w:pPr>
      <w:rPr>
        <w:rFonts w:hint="default"/>
      </w:rPr>
    </w:lvl>
    <w:lvl w:ilvl="6">
      <w:start w:val="1"/>
      <w:numFmt w:val="decimal"/>
      <w:isLgl/>
      <w:lvlText w:val="%1.%2.%3.%4.%5.%6.%7"/>
      <w:lvlJc w:val="left"/>
      <w:pPr>
        <w:ind w:left="1858" w:hanging="1440"/>
      </w:pPr>
      <w:rPr>
        <w:rFonts w:hint="default"/>
      </w:rPr>
    </w:lvl>
    <w:lvl w:ilvl="7">
      <w:start w:val="1"/>
      <w:numFmt w:val="decimal"/>
      <w:isLgl/>
      <w:lvlText w:val="%1.%2.%3.%4.%5.%6.%7.%8"/>
      <w:lvlJc w:val="left"/>
      <w:pPr>
        <w:ind w:left="2218" w:hanging="1800"/>
      </w:pPr>
      <w:rPr>
        <w:rFonts w:hint="default"/>
      </w:rPr>
    </w:lvl>
    <w:lvl w:ilvl="8">
      <w:start w:val="1"/>
      <w:numFmt w:val="decimal"/>
      <w:isLgl/>
      <w:lvlText w:val="%1.%2.%3.%4.%5.%6.%7.%8.%9"/>
      <w:lvlJc w:val="left"/>
      <w:pPr>
        <w:ind w:left="2218" w:hanging="1800"/>
      </w:pPr>
      <w:rPr>
        <w:rFonts w:hint="default"/>
      </w:rPr>
    </w:lvl>
  </w:abstractNum>
  <w:abstractNum w:abstractNumId="8">
    <w:nsid w:val="2A13377F"/>
    <w:multiLevelType w:val="singleLevel"/>
    <w:tmpl w:val="2A13377F"/>
    <w:lvl w:ilvl="0">
      <w:start w:val="1"/>
      <w:numFmt w:val="bullet"/>
      <w:lvlText w:val=""/>
      <w:lvlJc w:val="left"/>
      <w:pPr>
        <w:ind w:left="420" w:hanging="420"/>
      </w:pPr>
      <w:rPr>
        <w:rFonts w:ascii="Wingdings" w:hAnsi="Wingdings" w:hint="default"/>
      </w:rPr>
    </w:lvl>
  </w:abstractNum>
  <w:abstractNum w:abstractNumId="9">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5"/>
  </w:num>
  <w:num w:numId="2">
    <w:abstractNumId w:val="4"/>
  </w:num>
  <w:num w:numId="3">
    <w:abstractNumId w:val="6"/>
  </w:num>
  <w:num w:numId="4">
    <w:abstractNumId w:val="7"/>
  </w:num>
  <w:num w:numId="5">
    <w:abstractNumId w:val="3"/>
  </w:num>
  <w:num w:numId="6">
    <w:abstractNumId w:val="2"/>
  </w:num>
  <w:num w:numId="7">
    <w:abstractNumId w:val="8"/>
  </w:num>
  <w:num w:numId="8">
    <w:abstractNumId w:val="1"/>
  </w:num>
  <w:num w:numId="9">
    <w:abstractNumId w:val="0"/>
  </w:num>
  <w:num w:numId="10">
    <w:abstractNumId w:val="9"/>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5"/>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7FC"/>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556A"/>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6D51"/>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78451F1"/>
    <w:rsid w:val="08C230B8"/>
    <w:rsid w:val="0E576F53"/>
    <w:rsid w:val="125B2CFC"/>
    <w:rsid w:val="13405E2E"/>
    <w:rsid w:val="2F605368"/>
    <w:rsid w:val="31FD4B93"/>
    <w:rsid w:val="3FCA68B7"/>
    <w:rsid w:val="45196B36"/>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table" w:customStyle="1" w:styleId="13">
    <w:name w:val="网格型1"/>
    <w:basedOn w:val="TableNormal"/>
    <w:qFormat/>
    <w:pPr>
      <w:widowControl w:val="0"/>
      <w:jc w:val="both"/>
    </w:pPr>
    <w:rPr>
      <w:rFonts w:asciiTheme="minorHAnsi" w:eastAsiaTheme="minorEastAsia" w:hAnsiTheme="minorHAnsi" w:cstheme="minorBidi"/>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157263360</TotalTime>
  <Pages>38</Pages>
  <Words>26681</Words>
  <Characters>28214</Characters>
  <Application>Microsoft Office Word</Application>
  <DocSecurity>0</DocSecurity>
  <Lines>216</Lines>
  <Paragraphs>61</Paragraphs>
  <ScaleCrop>false</ScaleCrop>
  <Company>中国气象局</Company>
  <LinksUpToDate>false</LinksUpToDate>
  <CharactersWithSpaces>28397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2025-08-12T01:56:21Z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