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w:t>
      </w:r>
      <w:r>
        <w:rPr>
          <w:rFonts w:ascii="宋体" w:hAnsi="宋体" w:cs="微软雅黑" w:hint="eastAsia"/>
          <w:b/>
          <w:kern w:val="0"/>
          <w:szCs w:val="21"/>
          <w:highlight w:val="none"/>
          <w:lang w:val="en-US" w:eastAsia="zh-CN"/>
        </w:rPr>
        <w:t>6</w:t>
      </w:r>
      <w:r>
        <w:rPr>
          <w:rFonts w:ascii="宋体" w:hAnsi="宋体" w:cs="微软雅黑" w:hint="eastAsia"/>
          <w:b/>
          <w:kern w:val="0"/>
          <w:szCs w:val="21"/>
          <w:highlight w:val="none"/>
        </w:rPr>
        <w:t>0</w:t>
      </w:r>
      <w:r>
        <w:rPr>
          <w:rFonts w:ascii="宋体" w:hAnsi="宋体" w:cs="微软雅黑" w:hint="eastAsia"/>
          <w:b/>
          <w:kern w:val="0"/>
          <w:szCs w:val="21"/>
          <w:highlight w:val="none"/>
          <w:lang w:val="en-US" w:eastAsia="zh-CN"/>
        </w:rPr>
        <w:t>201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2026年“B-10E5”国家人影作业飞机托管服务采购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ZQCD-26021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2026年03月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hint="eastAsia"/>
        </w:rPr>
        <w:t>1.27.3</w:t>
      </w:r>
      <w:r>
        <w:rPr>
          <w:rFonts w:eastAsia="宋体" w:cs="Times New Roman" w:hint="eastAsia"/>
        </w:rPr>
        <w:t xml:space="preserve">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（1）投标报价低于全部通过符合性审查供应商投标报价平均值50%的，即：投标报价 &lt;全部通过符合性审查供应商投标报价平均值</w:t>
      </w:r>
      <w:r>
        <w:rPr>
          <w:rFonts w:eastAsia="宋体" w:cs="Times New Roman" w:hint="eastAsia"/>
        </w:rPr>
        <w:t>×</w:t>
      </w:r>
      <w:r>
        <w:rPr>
          <w:rFonts w:eastAsia="宋体" w:cs="Times New Roman" w:hint="eastAsia"/>
        </w:rPr>
        <w:t>50%；</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（2）投标报价低于通过符合性审查的次低报价供应商投标报价50%的，即：投标报价 &lt; 通过符合性审查的次低报价供应商投标报价</w:t>
      </w:r>
      <w:r>
        <w:rPr>
          <w:rFonts w:eastAsia="宋体" w:cs="Times New Roman" w:hint="eastAsia"/>
        </w:rPr>
        <w:t>×</w:t>
      </w:r>
      <w:r>
        <w:rPr>
          <w:rFonts w:eastAsia="宋体" w:cs="Times New Roman" w:hint="eastAsia"/>
        </w:rPr>
        <w:t>50%；</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（3）投标报价低于采购项目最高限价45%的，即：投标报价 &lt; 采购项目最高限价</w:t>
      </w:r>
      <w:r>
        <w:rPr>
          <w:rFonts w:eastAsia="宋体" w:cs="Times New Roman" w:hint="eastAsia"/>
        </w:rPr>
        <w:t>×</w:t>
      </w:r>
      <w:r>
        <w:rPr>
          <w:rFonts w:eastAsia="宋体" w:cs="Times New Roman" w:hint="eastAsia"/>
        </w:rPr>
        <w:t>45%；</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（4）评标委员会基于专业判断，认为供应商报价过低，有可能影响产品质量或者不能诚信履约的其他情形。</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1.27.4评标委员会启动异常低价投标审查程序后，将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评标委员会依据专业经验，参考同类项目中标（成交）价格、类似产品市场价格水平、行业人工费用标准、国家有关部门指导行业协会发布的行业平均成本等情况，对报价合理性进行判断。</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如相关供应商不能提供书面说明、证明材料，或者提供的书面说明、证明材料不能证明其报价合理性的，评标委员会应当将其作为无效投标处理。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青海省人工影响天气中心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2026年“B-10E5”国家人影作业飞机托管服务采购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ZQCD-26021</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合同签订后一年提供飞机托管服务。</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青海省境内及国家重大任务保障的其它地区</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2026年03月10日 00:00:00</w:t>
      </w:r>
      <w:bookmarkEnd w:id="26"/>
      <w:r>
        <w:rPr>
          <w:rFonts w:ascii="宋体" w:hint="eastAsia"/>
          <w:szCs w:val="21"/>
          <w:highlight w:val="none"/>
        </w:rPr>
        <w:t>至</w:t>
      </w:r>
      <w:bookmarkStart w:id="27" w:name="项目公告_signUpLastTime"/>
      <w:r>
        <w:rPr>
          <w:rFonts w:ascii="宋体" w:hint="eastAsia"/>
          <w:szCs w:val="21"/>
          <w:highlight w:val="none"/>
        </w:rPr>
        <w:t>2026年03月17日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2026年03月31日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青海省人工影响天气中心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郭三刚</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0971-6135315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青海省西宁市五四大街19号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青海省人工影响天气中心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*1、提供民航部门颁发的通用航空经营许可证，经营范围中含人工影响天气； *2、提供中国民用航空局颁发CCAR-145部维修单位许可证； *3、航空公司航空器驾驶员具有中国民用航空局颁发的涡轮多发（固定翼）飞机商用驾驶员执照2名及以上，机务人员具有中国民用航空局颁发的涡轮多发（固定翼）飞机机务维修人员执照。</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5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5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（1）标的：飞机托管服务，属于其他行业；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是，代理服务费：6.1万元。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800.000000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800.000000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无</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21"/>
        <w:gridCol w:w="362"/>
        <w:gridCol w:w="999"/>
        <w:gridCol w:w="362"/>
        <w:gridCol w:w="705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价格分（客观项）</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服务团队实力（客观分）</w:t>
            </w:r>
          </w:p>
        </w:tc>
        <w:tc>
          <w:tcPr/>
          <w:p>
            <w:r>
              <w:t>勾选打分</w:t>
            </w:r>
            <w:r>
              <w:t>(9)</w:t>
            </w:r>
          </w:p>
        </w:tc>
        <w:tc>
          <w:tcPr/>
          <w:p>
            <w:r>
              <w:t>评审标准：</w:t>
            </w:r>
          </w:p>
          <w:p>
            <w:r>
              <w:t>1、投标人具有空中国王系列飞机飞行经历的飞行员（必须含1名及以上机长）3名（含）以上得3分，否则不得分。</w:t>
              <w:cr/>
              <w:t>2、机长按以下要求评分，本项最高得6分。</w:t>
              <w:cr/>
              <w:t>（1）每有1名机长具有驾驶空中国王系列飞机在青藏高原开展人工增雨（雪）飞行经历大于等于1500小时的，或者驾驶空中国王系列飞机在其他地区开展人工增雨（雪）飞行经历大于等于2000小时的，得3分；</w:t>
              <w:cr/>
              <w:t>（2）每有1名机长具有驾驶空中国王系列飞机在青藏高原开展人工增雨（雪）飞行经历大于等于1000小时、小于1500小时的，或者驾驶空中国王系列飞机在其他地区开展人工增雨（雪）飞行经历大于等于1500小时、小于2000小时的，得2分；</w:t>
              <w:cr/>
              <w:t>（3）每有1名机长具有驾驶空中国王系列飞机在青藏高原开展人工增雨（雪）飞行经历大于等于500小时、小于1000小时的，或者驾驶空中国王系列飞机在其他地区开展人工增雨（雪）飞行经历大于等于1000小时、小于1500小时的，得1分。</w:t>
              <w:cr/>
              <w:t>（4）其他情况不得分。</w:t>
            </w:r>
          </w:p>
          <w:p>
            <w:r>
              <w:t>评审标准说明：</w:t>
            </w:r>
          </w:p>
          <w:p>
            <w:r>
              <w:t>1.空中国王系列飞机飞行经历须提供该飞行员的飞行经历证明材料或提供加盖投标人公章的承诺函；</w:t>
              <w:cr/>
              <w:t>2.空中国王系列飞机开展人工增雨（雪）飞行经历须提供该机长飞行经历的相关证明材料或提供加盖投标人公章的承诺函。</w:t>
            </w:r>
          </w:p>
          <w:p/>
        </w:tc>
      </w:tr>
      <w:tr>
        <w:tblPrEx>
          <w:tblW w:w="5000" w:type="pct"/>
          <w:tblCellMar>
            <w:left w:w="108" w:type="dxa"/>
            <w:right w:w="108" w:type="dxa"/>
          </w:tblCellMar>
        </w:tblPrEx>
        <w:tc>
          <w:tcPr/>
          <w:p>
            <w:r>
              <w:t>3</w:t>
            </w:r>
          </w:p>
        </w:tc>
        <w:tc>
          <w:tcPr>
            <w:vMerge w:val="restart"/>
          </w:tcPr>
          <w:p>
            <w:r>
              <w:t>服务部分</w:t>
            </w:r>
          </w:p>
        </w:tc>
        <w:tc>
          <w:tcPr/>
          <w:p>
            <w:r>
              <w:t>飞机增雨作业经验（客观分）</w:t>
            </w:r>
          </w:p>
        </w:tc>
        <w:tc>
          <w:tcPr/>
          <w:p>
            <w:r>
              <w:t>勾选打分</w:t>
            </w:r>
            <w:r>
              <w:t>(8)</w:t>
            </w:r>
          </w:p>
        </w:tc>
        <w:tc>
          <w:tcPr/>
          <w:p>
            <w:r>
              <w:t>评审标准：</w:t>
            </w:r>
          </w:p>
          <w:p>
            <w:r>
              <w:t>提供1份投标人承担的青藏高原地区飞机人工增雨（雪）服务项目合同得2分，提供1份投标人承担的其他地区飞机人工增雨（雪）服务项目合同得1分，最多不超过8分。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服务部分</w:t>
            </w:r>
          </w:p>
        </w:tc>
        <w:tc>
          <w:tcPr/>
          <w:p>
            <w:r>
              <w:t>流程规范管理（客观分）</w:t>
            </w:r>
          </w:p>
        </w:tc>
        <w:tc>
          <w:tcPr/>
          <w:p>
            <w:r>
              <w:t>勾选打分</w:t>
            </w:r>
            <w:r>
              <w:t>(5)</w:t>
            </w:r>
          </w:p>
        </w:tc>
        <w:tc>
          <w:tcPr/>
          <w:p>
            <w:r>
              <w:t>评审标准：</w:t>
            </w:r>
          </w:p>
          <w:p>
            <w:r>
              <w:t>建立运行管理标准化流程得2.5分，建立飞行的标准化流程得2.5分，满分5分。</w:t>
            </w:r>
          </w:p>
          <w:p>
            <w:r>
              <w:t>评审标准说明：</w:t>
            </w:r>
          </w:p>
          <w:p>
            <w:r>
              <w:t>须提供相关标准化流程手册。</w:t>
            </w:r>
          </w:p>
          <w:p/>
        </w:tc>
      </w:tr>
      <w:tr>
        <w:tblPrEx>
          <w:tblW w:w="5000" w:type="pct"/>
          <w:tblCellMar>
            <w:left w:w="108" w:type="dxa"/>
            <w:right w:w="108" w:type="dxa"/>
          </w:tblCellMar>
        </w:tblPrEx>
        <w:tc>
          <w:tcPr/>
          <w:p>
            <w:r>
              <w:t>5</w:t>
            </w:r>
          </w:p>
        </w:tc>
        <w:tc>
          <w:tcPr>
            <w:vMerge/>
          </w:tcPr>
          <w:p>
            <w:r>
              <w:t>服务部分</w:t>
            </w:r>
          </w:p>
        </w:tc>
        <w:tc>
          <w:tcPr/>
          <w:p>
            <w:r>
              <w:t>事故处理方案（主观分）</w:t>
            </w:r>
          </w:p>
        </w:tc>
        <w:tc>
          <w:tcPr/>
          <w:p>
            <w:r>
              <w:t>勾选打分</w:t>
            </w:r>
            <w:r>
              <w:t>(4)</w:t>
            </w:r>
          </w:p>
        </w:tc>
        <w:tc>
          <w:tcPr/>
          <w:p>
            <w:r>
              <w:t>评审标准：</w:t>
            </w:r>
          </w:p>
          <w:p>
            <w:r>
              <w:t>一档0分</w:t>
              <w:cr/>
              <w:t>二档1分</w:t>
              <w:cr/>
              <w:t>三档2分</w:t>
              <w:cr/>
              <w:t>四档4分</w:t>
            </w:r>
          </w:p>
          <w:p>
            <w:r>
              <w:t>评审标准说明：</w:t>
            </w:r>
          </w:p>
          <w:p>
            <w:r>
              <w:t>提供事故处理解决方案，责任清晰、安全可靠、内容明确。必须包括机组现场紧急处理和撤离、应急保障、事故调查、善后处理等。</w:t>
              <w:cr/>
              <w:t xml:space="preserve"> 一档：未提供方案</w:t>
              <w:cr/>
              <w:t xml:space="preserve"> 二档：方案不完整（指缺少机组现场紧急处理和撤离、应急保障、事故调查、善后处理任一项）；</w:t>
              <w:cr/>
              <w:t xml:space="preserve"> 三档：方案完整，但合理性、可行性、针对性一般；</w:t>
              <w:cr/>
              <w:t xml:space="preserve"> 四档：方案完整合理、可行性强、针对性强，责任清晰、安全可靠、内容明确。</w:t>
            </w:r>
          </w:p>
          <w:p/>
        </w:tc>
      </w:tr>
      <w:tr>
        <w:tblPrEx>
          <w:tblW w:w="5000" w:type="pct"/>
          <w:tblCellMar>
            <w:left w:w="108" w:type="dxa"/>
            <w:right w:w="108" w:type="dxa"/>
          </w:tblCellMar>
        </w:tblPrEx>
        <w:tc>
          <w:tcPr/>
          <w:p>
            <w:r>
              <w:t>6</w:t>
            </w:r>
          </w:p>
        </w:tc>
        <w:tc>
          <w:tcPr>
            <w:vMerge/>
          </w:tcPr>
          <w:p>
            <w:r>
              <w:t>服务部分</w:t>
            </w:r>
          </w:p>
        </w:tc>
        <w:tc>
          <w:tcPr/>
          <w:p>
            <w:r>
              <w:t>备用机（客观分）</w:t>
            </w:r>
          </w:p>
        </w:tc>
        <w:tc>
          <w:tcPr/>
          <w:p>
            <w:r>
              <w:t>勾选打分</w:t>
            </w:r>
            <w:r>
              <w:t>(4)</w:t>
            </w:r>
          </w:p>
        </w:tc>
        <w:tc>
          <w:tcPr/>
          <w:p>
            <w:r>
              <w:t>评审标准：</w:t>
            </w:r>
          </w:p>
          <w:p>
            <w:r>
              <w:t>承诺在飞机出现故障时，在72小时内解决或提供同型号备用机得4分，否则不得分。</w:t>
            </w:r>
          </w:p>
          <w:p>
            <w:r>
              <w:t>评审标准说明：</w:t>
            </w:r>
          </w:p>
          <w:p>
            <w:r>
              <w:t>须提供承诺并加盖投标人公章。</w:t>
            </w:r>
          </w:p>
          <w:p/>
        </w:tc>
      </w:tr>
      <w:tr>
        <w:tblPrEx>
          <w:tblW w:w="5000" w:type="pct"/>
          <w:tblCellMar>
            <w:left w:w="108" w:type="dxa"/>
            <w:right w:w="108" w:type="dxa"/>
          </w:tblCellMar>
        </w:tblPrEx>
        <w:tc>
          <w:tcPr/>
          <w:p>
            <w:r>
              <w:t>7</w:t>
            </w:r>
          </w:p>
        </w:tc>
        <w:tc>
          <w:tcPr>
            <w:vMerge/>
          </w:tcPr>
          <w:p>
            <w:r>
              <w:t>服务部分</w:t>
            </w:r>
          </w:p>
        </w:tc>
        <w:tc>
          <w:tcPr/>
          <w:p>
            <w:r>
              <w:t>安全运行（客观分）</w:t>
            </w:r>
          </w:p>
        </w:tc>
        <w:tc>
          <w:tcPr/>
          <w:p>
            <w:r>
              <w:t>勾选打分</w:t>
            </w:r>
            <w:r>
              <w:t>(7)</w:t>
            </w:r>
          </w:p>
        </w:tc>
        <w:tc>
          <w:tcPr/>
          <w:p>
            <w:r>
              <w:t>评审标准：</w:t>
            </w:r>
          </w:p>
          <w:p>
            <w:r>
              <w:t>2020年1月1日至投标截止日未出现飞行事故及民用航空不安全事件的，得7分；2021 年1月1日至投标截止日未出现飞行事故及民用航空不安全事件的，得5分；2022年1月1日至投标截止日未出现飞行事故及民用航空不安全事件的，得3分；2023年1月1日至投标截止日未出现飞行事故及民用航空不安全事件的，得1分；其他情况或未提供不得分。</w:t>
            </w:r>
          </w:p>
          <w:p>
            <w:r>
              <w:t>评审标准说明：</w:t>
            </w:r>
          </w:p>
          <w:p>
            <w:r>
              <w:t>提供民航监管机构证明文件。</w:t>
            </w:r>
          </w:p>
          <w:p/>
        </w:tc>
      </w:tr>
      <w:tr>
        <w:tblPrEx>
          <w:tblW w:w="5000" w:type="pct"/>
          <w:tblCellMar>
            <w:left w:w="108" w:type="dxa"/>
            <w:right w:w="108" w:type="dxa"/>
          </w:tblCellMar>
        </w:tblPrEx>
        <w:tc>
          <w:tcPr/>
          <w:p>
            <w:r>
              <w:t>8</w:t>
            </w:r>
          </w:p>
        </w:tc>
        <w:tc>
          <w:tcPr>
            <w:vMerge/>
          </w:tcPr>
          <w:p>
            <w:r>
              <w:t>服务部分</w:t>
            </w:r>
          </w:p>
        </w:tc>
        <w:tc>
          <w:tcPr/>
          <w:p>
            <w:r>
              <w:t>安全管理（主观分）</w:t>
            </w:r>
          </w:p>
        </w:tc>
        <w:tc>
          <w:tcPr/>
          <w:p>
            <w:r>
              <w:t>勾选打分</w:t>
            </w:r>
            <w:r>
              <w:t>(2)</w:t>
            </w:r>
          </w:p>
        </w:tc>
        <w:tc>
          <w:tcPr/>
          <w:p>
            <w:r>
              <w:t>评审标准：</w:t>
            </w:r>
          </w:p>
          <w:p>
            <w:r>
              <w:t>一档0分</w:t>
              <w:cr/>
              <w:t>二档1分</w:t>
              <w:cr/>
              <w:t>三档2分</w:t>
            </w:r>
          </w:p>
          <w:p>
            <w:r>
              <w:t>评审标准说明：</w:t>
            </w:r>
          </w:p>
          <w:p>
            <w:r>
              <w:t>投标人需提供现有安全管理体系建设情况。</w:t>
              <w:cr/>
              <w:t>一档：未提供安全管理体系建设情况；</w:t>
              <w:cr/>
              <w:t>二档：安全管理体系建设较完整但不全面；</w:t>
              <w:cr/>
              <w:t>三档：安全管理体系完整、全面、职责清晰。</w:t>
            </w:r>
          </w:p>
          <w:p/>
        </w:tc>
      </w:tr>
      <w:tr>
        <w:tblPrEx>
          <w:tblW w:w="5000" w:type="pct"/>
          <w:tblCellMar>
            <w:left w:w="108" w:type="dxa"/>
            <w:right w:w="108" w:type="dxa"/>
          </w:tblCellMar>
        </w:tblPrEx>
        <w:tc>
          <w:tcPr/>
          <w:p>
            <w:r>
              <w:t>9</w:t>
            </w:r>
          </w:p>
        </w:tc>
        <w:tc>
          <w:tcPr>
            <w:vMerge/>
          </w:tcPr>
          <w:p>
            <w:r>
              <w:t>服务部分</w:t>
            </w:r>
          </w:p>
        </w:tc>
        <w:tc>
          <w:tcPr/>
          <w:p>
            <w:r>
              <w:t>基地保障（客观分）</w:t>
            </w:r>
          </w:p>
        </w:tc>
        <w:tc>
          <w:tcPr/>
          <w:p>
            <w:r>
              <w:t>勾选打分</w:t>
            </w:r>
            <w:r>
              <w:t>(6)</w:t>
            </w:r>
          </w:p>
        </w:tc>
        <w:tc>
          <w:tcPr/>
          <w:p>
            <w:r>
              <w:t>评审标准：</w:t>
            </w:r>
          </w:p>
          <w:p>
            <w:r>
              <w:t>1、具有飞机基地综合保障能力，能满足空中国王飞机日常维护及维修排故，可进行空中国王1阶段（200小时）定检、2阶段（400小时）定检、发动机200小时、400小时定检和1年定检、螺旋桨定期检修、除防冰作业等，具备对改装设备维护维修的能力，完全满足得3分，否则不得分。</w:t>
              <w:cr/>
              <w:t>2、在驻场机场租用或购有专用机库，能完成空中国王飞机定检并快速响应客户各种需求，得3分，否则不得分。</w:t>
            </w:r>
          </w:p>
          <w:p>
            <w:r>
              <w:t>评审标准说明：</w:t>
            </w:r>
          </w:p>
          <w:p>
            <w:r>
              <w:t>须提供相关证明。</w:t>
            </w:r>
          </w:p>
          <w:p/>
        </w:tc>
      </w:tr>
      <w:tr>
        <w:tblPrEx>
          <w:tblW w:w="5000" w:type="pct"/>
          <w:tblCellMar>
            <w:left w:w="108" w:type="dxa"/>
            <w:right w:w="108" w:type="dxa"/>
          </w:tblCellMar>
        </w:tblPrEx>
        <w:tc>
          <w:tcPr/>
          <w:p>
            <w:r>
              <w:t>10</w:t>
            </w:r>
          </w:p>
        </w:tc>
        <w:tc>
          <w:tcPr>
            <w:vMerge/>
          </w:tcPr>
          <w:p>
            <w:r>
              <w:t>服务部分</w:t>
            </w:r>
          </w:p>
        </w:tc>
        <w:tc>
          <w:tcPr/>
          <w:p>
            <w:r>
              <w:t>培训方案（主观分）</w:t>
            </w:r>
          </w:p>
        </w:tc>
        <w:tc>
          <w:tcPr/>
          <w:p>
            <w:r>
              <w:t>勾选打分</w:t>
            </w:r>
            <w:r>
              <w:t>(4)</w:t>
            </w:r>
          </w:p>
        </w:tc>
        <w:tc>
          <w:tcPr/>
          <w:p>
            <w:r>
              <w:t>评审标准：</w:t>
            </w:r>
          </w:p>
          <w:p>
            <w:r>
              <w:t>一档0分</w:t>
              <w:cr/>
              <w:t>二档1分</w:t>
              <w:cr/>
              <w:t>三档2分</w:t>
              <w:cr/>
              <w:t>四档4分</w:t>
            </w:r>
          </w:p>
          <w:p>
            <w:r>
              <w:t>评审标准说明：</w:t>
            </w:r>
          </w:p>
          <w:p>
            <w:r>
              <w:t>投标人应提供详细培训方案，通过培训能使现场增雨作业人员能够正确认识和处理安全等问题，避免出现安全等事故。</w:t>
              <w:cr/>
              <w:t>一档：未提供培训方案；</w:t>
              <w:cr/>
              <w:t xml:space="preserve">二档：培训方案不完整（指缺失培训大纲、培训教程（讲义）、培训课表等任一项）； </w:t>
              <w:cr/>
              <w:t>三档：培训方案完整详细，但课程设计重点不突出或针对性不强，基本满足采购需求；</w:t>
              <w:cr/>
              <w:t>四档：培训方案完整详细，课程设计重点突出、针对性强，完全满足采购需求。</w:t>
            </w:r>
          </w:p>
          <w:p/>
        </w:tc>
      </w:tr>
      <w:tr>
        <w:tblPrEx>
          <w:tblW w:w="5000" w:type="pct"/>
          <w:tblCellMar>
            <w:left w:w="108" w:type="dxa"/>
            <w:right w:w="108" w:type="dxa"/>
          </w:tblCellMar>
        </w:tblPrEx>
        <w:tc>
          <w:tcPr/>
          <w:p>
            <w:r>
              <w:t>11</w:t>
            </w:r>
          </w:p>
        </w:tc>
        <w:tc>
          <w:tcPr>
            <w:vMerge/>
          </w:tcPr>
          <w:p>
            <w:r>
              <w:t>服务部分</w:t>
            </w:r>
          </w:p>
        </w:tc>
        <w:tc>
          <w:tcPr/>
          <w:p>
            <w:r>
              <w:t>技术要求（客观分）</w:t>
            </w:r>
          </w:p>
        </w:tc>
        <w:tc>
          <w:tcPr/>
          <w:p>
            <w:r>
              <w:t>勾选打分</w:t>
            </w:r>
            <w:r>
              <w:t>(19)</w:t>
            </w:r>
          </w:p>
        </w:tc>
        <w:tc>
          <w:tcPr/>
          <w:p>
            <w:r>
              <w:t>评审标准：</w:t>
            </w:r>
          </w:p>
          <w:p>
            <w:r>
              <w:t>投标人能够逐条响应招标文件第七章第二项第5条“托管服务技术需求”。</w:t>
              <w:cr/>
              <w:t>共13项要求，满足第1、2项，每项得3分；满足第3、8、9、10、11、12项，每项得2分；满足第13项得1分，满分19分。</w:t>
            </w:r>
          </w:p>
          <w:p>
            <w:r>
              <w:t>评审标准说明：</w:t>
            </w:r>
          </w:p>
          <w:p>
            <w:r>
              <w:t xml:space="preserve"> 每项须提供承诺函或相应的证明材料。</w:t>
            </w:r>
          </w:p>
          <w:p/>
        </w:tc>
      </w:tr>
      <w:tr>
        <w:tblPrEx>
          <w:tblW w:w="5000" w:type="pct"/>
          <w:tblCellMar>
            <w:left w:w="108" w:type="dxa"/>
            <w:right w:w="108" w:type="dxa"/>
          </w:tblCellMar>
        </w:tblPrEx>
        <w:tc>
          <w:tcPr/>
          <w:p>
            <w:r>
              <w:t>12</w:t>
            </w:r>
          </w:p>
        </w:tc>
        <w:tc>
          <w:tcPr>
            <w:vMerge/>
          </w:tcPr>
          <w:p>
            <w:r>
              <w:t>服务部分</w:t>
            </w:r>
          </w:p>
        </w:tc>
        <w:tc>
          <w:tcPr/>
          <w:p>
            <w:r>
              <w:t>定检能力（客观分）</w:t>
            </w:r>
          </w:p>
        </w:tc>
        <w:tc>
          <w:tcPr/>
          <w:p>
            <w:r>
              <w:t>勾选打分</w:t>
            </w:r>
            <w:r>
              <w:t>(3)</w:t>
            </w:r>
          </w:p>
        </w:tc>
        <w:tc>
          <w:tcPr/>
          <w:p>
            <w:r>
              <w:t>评审标准：</w:t>
            </w:r>
          </w:p>
          <w:p>
            <w:r>
              <w:t>1.投标单位具备空中国王350飞机200、400、600、800小时4阶段全部定检维护保障能力得3分；</w:t>
              <w:cr/>
              <w:t>2.具备空中国王350飞机200、400小时2阶段定检维护保障能力得2分；</w:t>
              <w:cr/>
              <w:t>3.不能保证或不提供的不得分。</w:t>
            </w:r>
          </w:p>
          <w:p>
            <w:r>
              <w:t>评审标准说明：</w:t>
            </w:r>
          </w:p>
          <w:p>
            <w:r>
              <w:t>须提供运行保障承诺书或相关证明材料。</w:t>
            </w:r>
          </w:p>
          <w:p/>
        </w:tc>
      </w:tr>
      <w:tr>
        <w:tblPrEx>
          <w:tblW w:w="5000" w:type="pct"/>
          <w:tblCellMar>
            <w:left w:w="108" w:type="dxa"/>
            <w:right w:w="108" w:type="dxa"/>
          </w:tblCellMar>
        </w:tblPrEx>
        <w:tc>
          <w:tcPr/>
          <w:p>
            <w:r>
              <w:t>13</w:t>
            </w:r>
          </w:p>
        </w:tc>
        <w:tc>
          <w:tcPr>
            <w:vMerge/>
          </w:tcPr>
          <w:p>
            <w:r>
              <w:t>服务部分</w:t>
            </w:r>
          </w:p>
        </w:tc>
        <w:tc>
          <w:tcPr/>
          <w:p>
            <w:r>
              <w:t>航材储备（客观分）</w:t>
            </w:r>
          </w:p>
        </w:tc>
        <w:tc>
          <w:tcPr/>
          <w:p>
            <w:r>
              <w:t>勾选打分</w:t>
            </w:r>
            <w:r>
              <w:t>(4)</w:t>
            </w:r>
          </w:p>
        </w:tc>
        <w:tc>
          <w:tcPr/>
          <w:p>
            <w:r>
              <w:t>评审标准：</w:t>
            </w:r>
          </w:p>
          <w:p>
            <w:r>
              <w:t>已具备空中国王350机型飞机200、400小时定检配件及工具的得4分，否则不得分。</w:t>
            </w:r>
          </w:p>
          <w:p>
            <w:r>
              <w:t>评审标准说明：</w:t>
            </w:r>
          </w:p>
          <w:p>
            <w:r>
              <w:t>须提供相应备件清单证明。</w:t>
            </w:r>
          </w:p>
          <w:p/>
        </w:tc>
      </w:tr>
      <w:tr>
        <w:tblPrEx>
          <w:tblW w:w="5000" w:type="pct"/>
          <w:tblCellMar>
            <w:left w:w="108" w:type="dxa"/>
            <w:right w:w="108" w:type="dxa"/>
          </w:tblCellMar>
        </w:tblPrEx>
        <w:tc>
          <w:tcPr/>
          <w:p>
            <w:r>
              <w:t>14</w:t>
            </w:r>
          </w:p>
        </w:tc>
        <w:tc>
          <w:tcPr>
            <w:vMerge/>
          </w:tcPr>
          <w:p>
            <w:r>
              <w:t>服务部分</w:t>
            </w:r>
          </w:p>
        </w:tc>
        <w:tc>
          <w:tcPr/>
          <w:p>
            <w:r>
              <w:t>航油保障能力（客观分）</w:t>
            </w:r>
          </w:p>
        </w:tc>
        <w:tc>
          <w:tcPr/>
          <w:p>
            <w:r>
              <w:t>勾选打分</w:t>
            </w:r>
            <w:r>
              <w:t>(4)</w:t>
            </w:r>
          </w:p>
        </w:tc>
        <w:tc>
          <w:tcPr/>
          <w:p>
            <w:r>
              <w:t>评审标准：</w:t>
            </w:r>
          </w:p>
          <w:p>
            <w:r>
              <w:t>能够保障油料供给的得4分，否则不得分。</w:t>
            </w:r>
          </w:p>
          <w:p>
            <w:r>
              <w:t>评审标准说明：</w:t>
            </w:r>
          </w:p>
          <w:p>
            <w:r>
              <w:t>须提供相关保障协议证明。</w:t>
            </w:r>
          </w:p>
          <w:p/>
        </w:tc>
      </w:tr>
      <w:tr>
        <w:tblPrEx>
          <w:tblW w:w="5000" w:type="pct"/>
          <w:tblCellMar>
            <w:left w:w="108" w:type="dxa"/>
            <w:right w:w="108" w:type="dxa"/>
          </w:tblCellMar>
        </w:tblPrEx>
        <w:tc>
          <w:tcPr/>
          <w:p>
            <w:r>
              <w:t>15</w:t>
            </w:r>
          </w:p>
        </w:tc>
        <w:tc>
          <w:tcPr>
            <w:vMerge/>
          </w:tcPr>
          <w:p>
            <w:r>
              <w:t>服务部分</w:t>
            </w:r>
          </w:p>
        </w:tc>
        <w:tc>
          <w:tcPr/>
          <w:p>
            <w:r>
              <w:t>时间安排（客观项）</w:t>
            </w:r>
          </w:p>
        </w:tc>
        <w:tc>
          <w:tcPr/>
          <w:p>
            <w:r>
              <w:t>勾选打分</w:t>
            </w:r>
            <w:r>
              <w:t>(3)</w:t>
            </w:r>
          </w:p>
        </w:tc>
        <w:tc>
          <w:tcPr/>
          <w:p>
            <w:r>
              <w:t>评审标准：</w:t>
            </w:r>
          </w:p>
          <w:p>
            <w:r>
              <w:t>根据采购人需求，投标人承诺自合同签订后，本年度作业季任何时间段均可保障托管飞机实施增雨（雪）作业服务，得3分，否则不得分。</w:t>
            </w:r>
          </w:p>
          <w:p>
            <w:r>
              <w:t>评审标准说明：</w:t>
            </w:r>
          </w:p>
          <w:p>
            <w:r>
              <w:t>须提供承诺函并加盖投标人公章。</w:t>
            </w:r>
          </w:p>
          <w:p/>
        </w:tc>
      </w:tr>
      <w:tr>
        <w:tblPrEx>
          <w:tblW w:w="5000" w:type="pct"/>
          <w:tblCellMar>
            <w:left w:w="108" w:type="dxa"/>
            <w:right w:w="108" w:type="dxa"/>
          </w:tblCellMar>
        </w:tblPrEx>
        <w:tc>
          <w:tcPr/>
          <w:p>
            <w:r>
              <w:t>16</w:t>
            </w:r>
          </w:p>
        </w:tc>
        <w:tc>
          <w:tcPr>
            <w:vMerge/>
          </w:tcPr>
          <w:p>
            <w:r>
              <w:t>服务部分</w:t>
            </w:r>
          </w:p>
        </w:tc>
        <w:tc>
          <w:tcPr/>
          <w:p>
            <w:r>
              <w:t>运行计划（主观分）</w:t>
            </w:r>
          </w:p>
        </w:tc>
        <w:tc>
          <w:tcPr/>
          <w:p>
            <w:r>
              <w:t>勾选打分</w:t>
            </w:r>
            <w:r>
              <w:t>(4)</w:t>
            </w:r>
          </w:p>
        </w:tc>
        <w:tc>
          <w:tcPr/>
          <w:p>
            <w:r>
              <w:t>评审标准：</w:t>
            </w:r>
          </w:p>
          <w:p>
            <w:r>
              <w:t>一档0分</w:t>
              <w:cr/>
              <w:t>二档1分</w:t>
              <w:cr/>
              <w:t>三档2分</w:t>
              <w:cr/>
              <w:t>四档4分</w:t>
            </w:r>
          </w:p>
          <w:p>
            <w:r>
              <w:t>评审标准说明：</w:t>
            </w:r>
          </w:p>
          <w:p>
            <w:r>
              <w:t>根据提供的托管运行计划评审，具体标准如下：</w:t>
              <w:cr/>
              <w:t>一档：未提供托管运行计划；较差或不提供；</w:t>
              <w:cr/>
              <w:t>二档：托管运行计划简单，可行性差、针对性不强；</w:t>
              <w:cr/>
              <w:t>三档：托管运行计划完整详实，有一定可行性、针对性，基本满足招标文件要求；</w:t>
              <w:cr/>
              <w:t>四档：托管运行计划完整详实，可行性、针对性强，完全满足招标文件要求。</w:t>
            </w:r>
          </w:p>
          <w:p/>
        </w:tc>
      </w:tr>
      <w:tr>
        <w:tblPrEx>
          <w:tblW w:w="5000" w:type="pct"/>
          <w:tblCellMar>
            <w:left w:w="108" w:type="dxa"/>
            <w:right w:w="108" w:type="dxa"/>
          </w:tblCellMar>
        </w:tblPrEx>
        <w:tc>
          <w:tcPr/>
          <w:p>
            <w:r>
              <w:t>17</w:t>
            </w:r>
          </w:p>
        </w:tc>
        <w:tc>
          <w:tcPr>
            <w:vMerge/>
          </w:tcPr>
          <w:p>
            <w:r>
              <w:t>服务部分</w:t>
            </w:r>
          </w:p>
        </w:tc>
        <w:tc>
          <w:tcPr/>
          <w:p>
            <w:r>
              <w:t>运行时间和进度</w:t>
            </w:r>
          </w:p>
        </w:tc>
        <w:tc>
          <w:tcPr/>
          <w:p>
            <w:r>
              <w:t>勾选打分</w:t>
            </w:r>
            <w:r>
              <w:t>(4)</w:t>
            </w:r>
          </w:p>
        </w:tc>
        <w:tc>
          <w:tcPr/>
          <w:p>
            <w:r>
              <w:t>评审标准：</w:t>
            </w:r>
          </w:p>
          <w:p>
            <w:r>
              <w:t>一档0分</w:t>
              <w:cr/>
              <w:t>二档1分</w:t>
              <w:cr/>
              <w:t>三档2分</w:t>
              <w:cr/>
              <w:t>四档3分</w:t>
              <w:cr/>
              <w:t>五档4分</w:t>
            </w:r>
          </w:p>
          <w:p>
            <w:r>
              <w:t>评审标准说明：</w:t>
            </w:r>
          </w:p>
          <w:p>
            <w:r>
              <w:t>提供保证书和运行进度保障方案。</w:t>
              <w:cr/>
              <w:t>一档：未同时提供保证书和运行进度保障方案；</w:t>
              <w:cr/>
              <w:t>二档：保证合同签订后30日内正式运行，但提供的运行进度保障方案简单、措施不合理，可行性差；</w:t>
              <w:cr/>
              <w:t>三档：保证合同签订后10日内正式运行，但提供的运行进度保障方案简单、措施不合理，可行性差；</w:t>
              <w:cr/>
              <w:t>四档：保证合同签订后30日内正式运行，且提供的运行进度保障方案详实，措施科学合理可行；</w:t>
              <w:cr/>
              <w:t>五档：保证合同签订后10日内正式运行，且提供的运行进度保障方案详实，措施科学合理可行；</w:t>
            </w:r>
          </w:p>
          <w:p/>
        </w:tc>
      </w:tr>
    </w:tbl>
    <w:p w:rsidR="00A77B3E">
      <w:r>
        <w:t xml:space="preserve">      </w:t>
      </w:r>
    </w:p>
    <w:p w:rsidR="00A77B3E"/>
    <w:p w:rsidR="00A77B3E">
      <w:bookmarkEnd w:id="57"/>
    </w:p>
    <w:p>
      <w:pPr>
        <w:spacing w:before="156" w:beforeLines="50" w:line="360" w:lineRule="auto"/>
        <w:jc w:val="center"/>
        <w:outlineLvl w:val="1"/>
        <w:rPr>
          <w:rFonts w:ascii="宋体" w:hAnsi="宋体" w:hint="eastAsia"/>
          <w:b/>
          <w:sz w:val="30"/>
          <w:szCs w:val="30"/>
        </w:rPr>
      </w:pPr>
      <w:r>
        <w:rPr>
          <w:bCs/>
          <w:szCs w:val="21"/>
          <w:highlight w:val="none"/>
        </w:rPr>
        <w:br w:type="page"/>
      </w:r>
      <w:bookmarkStart w:id="58" w:name="插入_采购需求书"/>
      <w:r>
        <w:rPr>
          <w:rFonts w:ascii="宋体" w:eastAsia="宋体" w:hAnsi="宋体" w:cs="Times New Roman" w:hint="eastAsia"/>
          <w:b/>
          <w:sz w:val="30"/>
          <w:szCs w:val="30"/>
        </w:rPr>
        <w:t>第七章  采购需求</w:t>
      </w:r>
    </w:p>
    <w:p>
      <w:pPr>
        <w:jc w:val="left"/>
        <w:rPr>
          <w:rFonts w:ascii="Times New Roman" w:eastAsia="宋体" w:hAnsi="Times New Roman" w:cs="Times New Roman"/>
          <w:b/>
          <w:szCs w:val="21"/>
        </w:rPr>
      </w:pPr>
    </w:p>
    <w:p>
      <w:pPr>
        <w:snapToGrid w:val="0"/>
        <w:spacing w:line="520" w:lineRule="exact"/>
        <w:ind w:firstLine="420" w:firstLineChars="200"/>
        <w:jc w:val="left"/>
        <w:rPr>
          <w:rFonts w:ascii="宋体" w:hAnsi="宋体"/>
          <w:b/>
          <w:szCs w:val="21"/>
        </w:rPr>
      </w:pPr>
      <w:r>
        <w:rPr>
          <w:rFonts w:ascii="宋体" w:hAnsi="宋体" w:hint="eastAsia"/>
          <w:b/>
          <w:szCs w:val="21"/>
        </w:rPr>
        <w:t>一、项目概况及总体要求</w:t>
      </w:r>
    </w:p>
    <w:p>
      <w:pPr>
        <w:adjustRightInd w:val="0"/>
        <w:snapToGrid w:val="0"/>
        <w:spacing w:line="520" w:lineRule="exact"/>
        <w:ind w:firstLine="420" w:firstLineChars="200"/>
        <w:rPr>
          <w:rFonts w:ascii="宋体" w:hAnsi="宋体" w:hint="eastAsia"/>
          <w:szCs w:val="21"/>
        </w:rPr>
      </w:pPr>
      <w:r>
        <w:rPr>
          <w:rFonts w:ascii="宋体" w:hAnsi="宋体" w:hint="eastAsia"/>
          <w:szCs w:val="21"/>
        </w:rPr>
        <w:t>中国气象局人工影响天气中心依托西北地区人工影响天气能力建设项目，由中央投资建设国家人工影响天气作业飞机（以下简称国家人影飞机），其中“</w:t>
      </w:r>
      <w:bookmarkStart w:id="59" w:name="_Hlk184741118"/>
      <w:r>
        <w:rPr>
          <w:rFonts w:ascii="宋体" w:hAnsi="宋体" w:hint="eastAsia"/>
          <w:szCs w:val="21"/>
        </w:rPr>
        <w:t>B-10E5</w:t>
      </w:r>
      <w:bookmarkEnd w:id="59"/>
      <w:r>
        <w:rPr>
          <w:rFonts w:ascii="宋体" w:hAnsi="宋体" w:hint="eastAsia"/>
          <w:szCs w:val="21"/>
        </w:rPr>
        <w:t>”空中国王350HW型飞机完成云物理探测设备和人工增雨（雪）作业设备加改装集成任务后交付</w:t>
      </w:r>
      <w:bookmarkStart w:id="60" w:name="_Hlk122677968"/>
      <w:r>
        <w:rPr>
          <w:rFonts w:ascii="宋体" w:hAnsi="宋体" w:hint="eastAsia"/>
          <w:szCs w:val="21"/>
        </w:rPr>
        <w:t>青海省</w:t>
      </w:r>
      <w:bookmarkEnd w:id="60"/>
      <w:r>
        <w:rPr>
          <w:rFonts w:ascii="宋体" w:hAnsi="宋体" w:hint="eastAsia"/>
          <w:szCs w:val="21"/>
        </w:rPr>
        <w:t>，以满足青海省人工增雨（雪）任务需求。</w:t>
      </w:r>
    </w:p>
    <w:p>
      <w:pPr>
        <w:adjustRightInd w:val="0"/>
        <w:snapToGrid w:val="0"/>
        <w:spacing w:line="520" w:lineRule="exact"/>
        <w:ind w:firstLine="420" w:firstLineChars="200"/>
        <w:rPr>
          <w:rFonts w:ascii="宋体" w:hAnsi="宋体" w:hint="eastAsia"/>
          <w:szCs w:val="21"/>
        </w:rPr>
      </w:pPr>
      <w:r>
        <w:rPr>
          <w:rFonts w:ascii="宋体" w:hAnsi="宋体" w:hint="eastAsia"/>
          <w:szCs w:val="21"/>
        </w:rPr>
        <w:t>按照《国家人工影响天气作业飞机业务运行管理办法》，国家人影飞机实行中央建设、地方运管、全国统筹、成本补偿的建设运行机制，采用托管方式交由有关专业航空企业执飞，坚持公益属性，充分发挥中央、地方和企业三方面积极性。国家人影飞机常驻地布局由中国气象局确定并相对稳定，经中国气象局批准，上述“B-10E5”空中国王350飞机将常驻青海省，由青海省气象局负责日常运行管理工作并承担相应运行费用。根据项目建设进度，该架飞机已于2022年在青海省执行飞机人工影响天气作业任务，同时承担国家气象局下达的区域内外其他重大灾害的各类应急飞行任务。</w:t>
      </w:r>
    </w:p>
    <w:p>
      <w:pPr>
        <w:snapToGrid w:val="0"/>
        <w:spacing w:line="520" w:lineRule="exact"/>
        <w:ind w:firstLine="420" w:firstLineChars="200"/>
        <w:jc w:val="left"/>
        <w:rPr>
          <w:rFonts w:ascii="宋体" w:hAnsi="宋体" w:hint="eastAsia"/>
          <w:b/>
          <w:szCs w:val="21"/>
        </w:rPr>
      </w:pPr>
      <w:r>
        <w:rPr>
          <w:rFonts w:ascii="宋体" w:hAnsi="宋体" w:hint="eastAsia"/>
          <w:b/>
          <w:szCs w:val="21"/>
        </w:rPr>
        <w:t>二、托管服务技术需求</w:t>
      </w:r>
    </w:p>
    <w:p>
      <w:pPr>
        <w:adjustRightInd w:val="0"/>
        <w:snapToGrid w:val="0"/>
        <w:spacing w:line="520" w:lineRule="exact"/>
        <w:ind w:firstLine="420" w:firstLineChars="200"/>
        <w:rPr>
          <w:rFonts w:ascii="宋体" w:hAnsi="宋体" w:hint="eastAsia"/>
          <w:szCs w:val="21"/>
        </w:rPr>
      </w:pPr>
      <w:r>
        <w:rPr>
          <w:rFonts w:ascii="宋体" w:hAnsi="宋体" w:hint="eastAsia"/>
          <w:szCs w:val="21"/>
        </w:rPr>
        <w:t>1、托管服务机型及数量：空中国王350HW型飞机1架（</w:t>
      </w:r>
      <w:bookmarkStart w:id="61" w:name="_Hlk184741617"/>
      <w:r>
        <w:rPr>
          <w:rFonts w:ascii="宋体" w:hAnsi="宋体" w:hint="eastAsia"/>
          <w:szCs w:val="21"/>
        </w:rPr>
        <w:t>B-10E5</w:t>
      </w:r>
      <w:bookmarkEnd w:id="61"/>
      <w:r>
        <w:rPr>
          <w:rFonts w:ascii="宋体" w:hAnsi="宋体" w:hint="eastAsia"/>
          <w:szCs w:val="21"/>
        </w:rPr>
        <w:t>），具备云物理探测能力（加装机载气溶胶云降水宏微观探测系统）和人工增雨（雪）作业能力。</w:t>
      </w:r>
    </w:p>
    <w:p>
      <w:pPr>
        <w:adjustRightInd w:val="0"/>
        <w:snapToGrid w:val="0"/>
        <w:spacing w:line="520" w:lineRule="exact"/>
        <w:ind w:firstLine="420" w:firstLineChars="200"/>
        <w:rPr>
          <w:rFonts w:ascii="宋体" w:hAnsi="宋体" w:hint="eastAsia"/>
          <w:szCs w:val="21"/>
        </w:rPr>
      </w:pPr>
      <w:r>
        <w:rPr>
          <w:rFonts w:ascii="宋体" w:hAnsi="宋体" w:hint="eastAsia"/>
          <w:szCs w:val="21"/>
        </w:rPr>
        <w:t>2、托管服务期限：</w:t>
      </w:r>
      <w:r>
        <w:rPr>
          <w:rFonts w:ascii="宋体" w:hAnsi="宋体" w:cs="宋体" w:hint="eastAsia"/>
        </w:rPr>
        <w:t>合同签订后一年</w:t>
      </w:r>
      <w:r>
        <w:rPr>
          <w:rFonts w:ascii="宋体" w:hAnsi="宋体" w:hint="eastAsia"/>
          <w:szCs w:val="21"/>
        </w:rPr>
        <w:t>。</w:t>
      </w:r>
    </w:p>
    <w:p>
      <w:pPr>
        <w:adjustRightInd w:val="0"/>
        <w:snapToGrid w:val="0"/>
        <w:spacing w:line="520" w:lineRule="exact"/>
        <w:ind w:firstLine="420" w:firstLineChars="200"/>
        <w:rPr>
          <w:rFonts w:ascii="宋体" w:hAnsi="宋体" w:hint="eastAsia"/>
          <w:szCs w:val="21"/>
        </w:rPr>
      </w:pPr>
      <w:r>
        <w:rPr>
          <w:rFonts w:ascii="宋体" w:hAnsi="宋体" w:hint="eastAsia"/>
          <w:szCs w:val="21"/>
        </w:rPr>
        <w:t>3、托管服务内容：实施抗旱减灾、生态修复以及重大活动保障和应急保障的增雨（雪）作业服务和云物理探测服务。</w:t>
      </w:r>
    </w:p>
    <w:p>
      <w:pPr>
        <w:adjustRightInd w:val="0"/>
        <w:snapToGrid w:val="0"/>
        <w:spacing w:line="520" w:lineRule="exact"/>
        <w:ind w:firstLine="420" w:firstLineChars="200"/>
        <w:rPr>
          <w:rFonts w:ascii="宋体" w:hAnsi="宋体" w:hint="eastAsia"/>
          <w:szCs w:val="21"/>
        </w:rPr>
      </w:pPr>
      <w:r>
        <w:rPr>
          <w:rFonts w:ascii="宋体" w:hAnsi="宋体" w:hint="eastAsia"/>
          <w:szCs w:val="21"/>
        </w:rPr>
        <w:t>4、飞行环境：除一般常规飞行环境外，必须保证在满足空中国王350飞机飞行安全环境下，适应青海省区域内高海拔、高高原气候、低温、风雪等特殊飞行环境。</w:t>
      </w:r>
    </w:p>
    <w:p>
      <w:pPr>
        <w:adjustRightInd w:val="0"/>
        <w:snapToGrid w:val="0"/>
        <w:spacing w:line="520" w:lineRule="exact"/>
        <w:ind w:firstLine="420" w:firstLineChars="200"/>
        <w:rPr>
          <w:rFonts w:ascii="宋体" w:hAnsi="宋体" w:hint="eastAsia"/>
          <w:b/>
          <w:szCs w:val="21"/>
        </w:rPr>
      </w:pPr>
      <w:r>
        <w:rPr>
          <w:rFonts w:ascii="宋体" w:hAnsi="宋体" w:hint="eastAsia"/>
          <w:b/>
          <w:szCs w:val="21"/>
        </w:rPr>
        <w:t>5、托管服务技术需求：</w:t>
      </w:r>
    </w:p>
    <w:p>
      <w:pPr>
        <w:adjustRightInd w:val="0"/>
        <w:snapToGrid w:val="0"/>
        <w:spacing w:line="520" w:lineRule="exact"/>
        <w:ind w:firstLine="420" w:firstLineChars="200"/>
        <w:rPr>
          <w:rFonts w:ascii="宋体" w:hAnsi="宋体" w:hint="eastAsia"/>
          <w:szCs w:val="21"/>
        </w:rPr>
      </w:pPr>
      <w:r>
        <w:rPr>
          <w:rFonts w:ascii="宋体" w:hAnsi="宋体" w:hint="eastAsia"/>
          <w:szCs w:val="21"/>
        </w:rPr>
        <w:t>（1）投标人承担本青海省内增雨（雪） 任务外，同时也应承担国家级重大活动保障及科学试验等任务</w:t>
      </w:r>
      <w:r>
        <w:rPr>
          <w:rFonts w:ascii="宋体" w:hAnsi="宋体" w:hint="eastAsia"/>
          <w:szCs w:val="21"/>
          <w:lang w:eastAsia="zh-CN"/>
        </w:rPr>
        <w:t>。</w:t>
      </w:r>
    </w:p>
    <w:p>
      <w:pPr>
        <w:adjustRightInd w:val="0"/>
        <w:snapToGrid w:val="0"/>
        <w:spacing w:line="520" w:lineRule="exact"/>
        <w:ind w:firstLine="420" w:firstLineChars="200"/>
        <w:rPr>
          <w:rFonts w:ascii="宋体" w:hAnsi="宋体" w:hint="eastAsia"/>
          <w:szCs w:val="21"/>
          <w:highlight w:val="yellow"/>
        </w:rPr>
      </w:pPr>
      <w:r>
        <w:rPr>
          <w:rFonts w:ascii="宋体" w:hAnsi="宋体" w:hint="eastAsia"/>
          <w:szCs w:val="21"/>
          <w:highlight w:val="yellow"/>
        </w:rPr>
        <w:t>（2）投标人承担托管飞机的飞行作业、机务维护、飞机保洁、安全运行、日常管理等工作，并制定相应的</w:t>
      </w:r>
      <w:r>
        <w:rPr>
          <w:rFonts w:ascii="宋体" w:hAnsi="宋体" w:hint="eastAsia"/>
          <w:szCs w:val="21"/>
          <w:highlight w:val="yellow"/>
          <w:lang w:val="en-US" w:eastAsia="zh-CN"/>
        </w:rPr>
        <w:t>体系、</w:t>
      </w:r>
      <w:r>
        <w:rPr>
          <w:rFonts w:ascii="宋体" w:hAnsi="宋体" w:hint="eastAsia"/>
          <w:szCs w:val="21"/>
          <w:highlight w:val="yellow"/>
        </w:rPr>
        <w:t>程序、规定</w:t>
      </w:r>
      <w:r>
        <w:rPr>
          <w:rFonts w:ascii="宋体" w:hAnsi="宋体" w:hint="eastAsia"/>
          <w:szCs w:val="21"/>
          <w:highlight w:val="yellow"/>
          <w:lang w:eastAsia="zh-CN"/>
        </w:rPr>
        <w:t>、</w:t>
      </w:r>
      <w:r>
        <w:rPr>
          <w:rFonts w:ascii="宋体" w:hAnsi="宋体" w:hint="eastAsia"/>
          <w:szCs w:val="21"/>
          <w:highlight w:val="yellow"/>
          <w:lang w:val="en-US" w:eastAsia="zh-CN"/>
        </w:rPr>
        <w:t>流程等</w:t>
      </w:r>
      <w:r>
        <w:rPr>
          <w:rFonts w:ascii="宋体" w:hAnsi="宋体" w:hint="eastAsia"/>
          <w:szCs w:val="21"/>
          <w:highlight w:val="yellow"/>
        </w:rPr>
        <w:t>，承担托管服务期间的安全责任和适航责任。</w:t>
      </w:r>
    </w:p>
    <w:p>
      <w:pPr>
        <w:adjustRightInd w:val="0"/>
        <w:snapToGrid w:val="0"/>
        <w:spacing w:line="520" w:lineRule="exact"/>
        <w:ind w:firstLine="420" w:firstLineChars="200"/>
        <w:rPr>
          <w:rFonts w:ascii="宋体" w:hAnsi="宋体" w:cs="宋体" w:hint="eastAsia"/>
          <w:bCs/>
          <w:szCs w:val="21"/>
        </w:rPr>
      </w:pPr>
      <w:r>
        <w:rPr>
          <w:rFonts w:ascii="宋体" w:hAnsi="宋体" w:hint="eastAsia"/>
          <w:szCs w:val="21"/>
        </w:rPr>
        <w:t>（3）投标人负责飞机维修（含定检）所需全部航材及相应工具（含保管、运输、保险）的购买、管理和供应工作，采购人原因造成飞机损伤所需航材除外；需储备足够航材，以应对突发情况。按中国民航的适航法规和飞机生产厂家及机载设备适航性资料，制订飞机全年维修（含定检）计划，按时完成飞机定检维修工作。</w:t>
      </w:r>
      <w:r>
        <w:rPr>
          <w:rFonts w:ascii="宋体" w:hAnsi="宋体" w:cs="宋体" w:hint="eastAsia"/>
          <w:bCs/>
          <w:szCs w:val="21"/>
        </w:rPr>
        <w:t>遇到定检维护之外的故障，则按照故障责任进行判定，故障责任方负责飞机维修所需的航材及其他相关费用。</w:t>
      </w:r>
    </w:p>
    <w:p>
      <w:pPr>
        <w:adjustRightInd w:val="0"/>
        <w:snapToGrid w:val="0"/>
        <w:spacing w:line="520" w:lineRule="exact"/>
        <w:ind w:firstLine="420" w:firstLineChars="200"/>
        <w:rPr>
          <w:highlight w:val="yellow"/>
        </w:rPr>
      </w:pPr>
      <w:r>
        <w:rPr>
          <w:rFonts w:ascii="宋体" w:hAnsi="宋体" w:cs="宋体" w:hint="eastAsia"/>
          <w:bCs/>
          <w:szCs w:val="21"/>
          <w:highlight w:val="yellow"/>
          <w:lang w:eastAsia="zh-CN"/>
        </w:rPr>
        <w:t>（</w:t>
      </w:r>
      <w:r>
        <w:rPr>
          <w:rFonts w:ascii="宋体" w:hAnsi="宋体" w:cs="宋体" w:hint="eastAsia"/>
          <w:bCs/>
          <w:szCs w:val="21"/>
          <w:highlight w:val="yellow"/>
          <w:lang w:val="en-US" w:eastAsia="zh-CN"/>
        </w:rPr>
        <w:t>4</w:t>
      </w:r>
      <w:r>
        <w:rPr>
          <w:rFonts w:ascii="宋体" w:hAnsi="宋体" w:cs="宋体" w:hint="eastAsia"/>
          <w:bCs/>
          <w:szCs w:val="21"/>
          <w:highlight w:val="yellow"/>
          <w:lang w:eastAsia="zh-CN"/>
        </w:rPr>
        <w:t>）</w:t>
      </w:r>
      <w:r>
        <w:rPr>
          <w:rFonts w:ascii="宋体" w:hAnsi="宋体" w:cs="宋体" w:hint="eastAsia"/>
          <w:bCs/>
          <w:szCs w:val="21"/>
          <w:highlight w:val="yellow"/>
          <w:lang w:val="en-US" w:eastAsia="zh-CN"/>
        </w:rPr>
        <w:t>投标人应当制定</w:t>
      </w:r>
      <w:r>
        <w:rPr>
          <w:highlight w:val="yellow"/>
        </w:rPr>
        <w:t>事故处理解决方案，</w:t>
      </w:r>
      <w:r>
        <w:rPr>
          <w:rFonts w:hint="eastAsia"/>
          <w:highlight w:val="yellow"/>
          <w:lang w:val="en-US" w:eastAsia="zh-CN"/>
        </w:rPr>
        <w:t>解决方案需</w:t>
      </w:r>
      <w:r>
        <w:rPr>
          <w:highlight w:val="yellow"/>
        </w:rPr>
        <w:t>责任清晰、安全可靠、内容明确</w:t>
      </w:r>
      <w:r>
        <w:rPr>
          <w:rFonts w:hint="eastAsia"/>
          <w:highlight w:val="yellow"/>
          <w:lang w:eastAsia="zh-CN"/>
        </w:rPr>
        <w:t>，</w:t>
      </w:r>
      <w:r>
        <w:rPr>
          <w:highlight w:val="yellow"/>
        </w:rPr>
        <w:t>必须包括机组现场紧急处理和撤离、应急保障、事故调查、善后处理等。</w:t>
      </w:r>
    </w:p>
    <w:p>
      <w:pPr>
        <w:adjustRightInd w:val="0"/>
        <w:snapToGrid w:val="0"/>
        <w:spacing w:line="520" w:lineRule="exact"/>
        <w:ind w:firstLine="420" w:firstLineChars="200"/>
        <w:rPr>
          <w:rFonts w:hint="eastAsia"/>
          <w:highlight w:val="yellow"/>
        </w:rPr>
      </w:pPr>
      <w:r>
        <w:rPr>
          <w:rFonts w:hint="eastAsia"/>
          <w:highlight w:val="yellow"/>
          <w:lang w:eastAsia="zh-CN"/>
        </w:rPr>
        <w:t>（</w:t>
      </w:r>
      <w:r>
        <w:rPr>
          <w:rFonts w:hint="eastAsia"/>
          <w:highlight w:val="yellow"/>
          <w:lang w:val="en-US" w:eastAsia="zh-CN"/>
        </w:rPr>
        <w:t>5</w:t>
      </w:r>
      <w:r>
        <w:rPr>
          <w:rFonts w:hint="eastAsia"/>
          <w:highlight w:val="yellow"/>
          <w:lang w:eastAsia="zh-CN"/>
        </w:rPr>
        <w:t>）</w:t>
      </w:r>
      <w:r>
        <w:rPr>
          <w:rFonts w:hint="eastAsia"/>
          <w:highlight w:val="yellow"/>
          <w:lang w:val="en-US" w:eastAsia="zh-CN"/>
        </w:rPr>
        <w:t>投标人需保证当</w:t>
      </w:r>
      <w:r>
        <w:rPr>
          <w:highlight w:val="yellow"/>
        </w:rPr>
        <w:t>飞机出现故障时，在72小时内解决或提供同型号备用机</w:t>
      </w:r>
      <w:r>
        <w:rPr>
          <w:rFonts w:hint="eastAsia"/>
          <w:highlight w:val="yellow"/>
          <w:lang w:eastAsia="zh-CN"/>
        </w:rPr>
        <w:t>。</w:t>
      </w:r>
    </w:p>
    <w:p>
      <w:pPr>
        <w:adjustRightInd w:val="0"/>
        <w:snapToGrid w:val="0"/>
        <w:spacing w:line="520" w:lineRule="exact"/>
        <w:ind w:firstLine="420" w:firstLineChars="200"/>
        <w:rPr>
          <w:rFonts w:eastAsia="宋体" w:hint="default"/>
        </w:rPr>
      </w:pPr>
      <w:r>
        <w:rPr>
          <w:rFonts w:hint="eastAsia"/>
          <w:highlight w:val="yellow"/>
          <w:lang w:eastAsia="zh-CN"/>
        </w:rPr>
        <w:t>（</w:t>
      </w:r>
      <w:r>
        <w:rPr>
          <w:rFonts w:hint="eastAsia"/>
          <w:highlight w:val="yellow"/>
          <w:lang w:val="en-US" w:eastAsia="zh-CN"/>
        </w:rPr>
        <w:t>6</w:t>
      </w:r>
      <w:r>
        <w:rPr>
          <w:rFonts w:hint="eastAsia"/>
          <w:highlight w:val="yellow"/>
          <w:lang w:eastAsia="zh-CN"/>
        </w:rPr>
        <w:t>）</w:t>
      </w:r>
      <w:r>
        <w:rPr>
          <w:rFonts w:hint="eastAsia"/>
          <w:highlight w:val="yellow"/>
          <w:lang w:val="en-US" w:eastAsia="zh-CN"/>
        </w:rPr>
        <w:t>投标人</w:t>
      </w:r>
      <w:r>
        <w:rPr>
          <w:highlight w:val="yellow"/>
        </w:rPr>
        <w:t>具有飞机基地综合保障能力，能满足空中国王飞机日常维护及维修排故，可进行空中国王</w:t>
      </w:r>
      <w:r>
        <w:rPr>
          <w:rFonts w:hint="eastAsia"/>
          <w:highlight w:val="yellow"/>
          <w:lang w:val="en-US" w:eastAsia="zh-CN"/>
        </w:rPr>
        <w:t>多阶段定检，</w:t>
      </w:r>
      <w:r>
        <w:rPr>
          <w:highlight w:val="yellow"/>
        </w:rPr>
        <w:t>具备对改装设备维护维修的能力</w:t>
      </w:r>
      <w:r>
        <w:rPr>
          <w:rFonts w:hint="eastAsia"/>
          <w:highlight w:val="yellow"/>
          <w:lang w:eastAsia="zh-CN"/>
        </w:rPr>
        <w:t>。</w:t>
      </w:r>
    </w:p>
    <w:p>
      <w:pPr>
        <w:adjustRightInd w:val="0"/>
        <w:snapToGrid w:val="0"/>
        <w:spacing w:line="520" w:lineRule="exact"/>
        <w:ind w:firstLine="420" w:firstLineChars="200"/>
        <w:rPr>
          <w:rFonts w:eastAsia="宋体" w:hint="eastAsia"/>
          <w:highlight w:val="yellow"/>
        </w:rPr>
      </w:pPr>
      <w:r>
        <w:rPr>
          <w:rFonts w:hint="eastAsia"/>
          <w:highlight w:val="yellow"/>
          <w:lang w:eastAsia="zh-CN"/>
        </w:rPr>
        <w:t>（</w:t>
      </w:r>
      <w:r>
        <w:rPr>
          <w:rFonts w:hint="eastAsia"/>
          <w:highlight w:val="yellow"/>
          <w:lang w:val="en-US" w:eastAsia="zh-CN"/>
        </w:rPr>
        <w:t>7</w:t>
      </w:r>
      <w:r>
        <w:rPr>
          <w:rFonts w:hint="eastAsia"/>
          <w:highlight w:val="yellow"/>
          <w:lang w:eastAsia="zh-CN"/>
        </w:rPr>
        <w:t>）</w:t>
      </w:r>
      <w:r>
        <w:rPr>
          <w:rFonts w:hint="eastAsia"/>
          <w:highlight w:val="yellow"/>
          <w:lang w:val="en-US" w:eastAsia="zh-CN"/>
        </w:rPr>
        <w:t>投标人需</w:t>
      </w:r>
      <w:r>
        <w:rPr>
          <w:highlight w:val="yellow"/>
        </w:rPr>
        <w:t>保障油料供给</w:t>
      </w:r>
      <w:r>
        <w:rPr>
          <w:rFonts w:hint="eastAsia"/>
          <w:highlight w:val="yellow"/>
          <w:lang w:eastAsia="zh-CN"/>
        </w:rPr>
        <w:t>。</w:t>
      </w:r>
    </w:p>
    <w:p>
      <w:pPr>
        <w:adjustRightInd w:val="0"/>
        <w:snapToGrid w:val="0"/>
        <w:spacing w:line="520" w:lineRule="exact"/>
        <w:ind w:firstLine="420" w:firstLineChars="200"/>
        <w:rPr>
          <w:rFonts w:ascii="宋体" w:hAnsi="宋体" w:hint="eastAsia"/>
          <w:szCs w:val="21"/>
        </w:rPr>
      </w:pPr>
      <w:r>
        <w:rPr>
          <w:rFonts w:ascii="宋体" w:hAnsi="宋体" w:hint="eastAsia"/>
          <w:szCs w:val="21"/>
        </w:rPr>
        <w:t>（</w:t>
      </w:r>
      <w:r>
        <w:rPr>
          <w:rFonts w:ascii="宋体" w:hAnsi="宋体" w:hint="eastAsia"/>
          <w:szCs w:val="21"/>
          <w:lang w:val="en-US" w:eastAsia="zh-CN"/>
        </w:rPr>
        <w:t>8</w:t>
      </w:r>
      <w:r>
        <w:rPr>
          <w:rFonts w:ascii="宋体" w:hAnsi="宋体" w:hint="eastAsia"/>
          <w:szCs w:val="21"/>
        </w:rPr>
        <w:t>）托管服务期间投标人负责对飞机进行质量检查，确保飞机的适航状态，如发现质量问题，应及时告知采购人，可代表采购人向飞机生产厂家以及改装厂家提出，并协商制定解决方案，直至问题解决。</w:t>
      </w:r>
    </w:p>
    <w:p>
      <w:pPr>
        <w:adjustRightInd w:val="0"/>
        <w:snapToGrid w:val="0"/>
        <w:spacing w:line="520" w:lineRule="exact"/>
        <w:ind w:firstLine="420" w:firstLineChars="200"/>
        <w:rPr>
          <w:rFonts w:ascii="宋体" w:hAnsi="宋体" w:hint="eastAsia"/>
          <w:color w:val="000000"/>
          <w:szCs w:val="21"/>
        </w:rPr>
      </w:pPr>
      <w:r>
        <w:rPr>
          <w:rFonts w:ascii="宋体" w:hAnsi="宋体" w:hint="eastAsia"/>
          <w:szCs w:val="21"/>
        </w:rPr>
        <w:t>（</w:t>
      </w:r>
      <w:r>
        <w:rPr>
          <w:rFonts w:ascii="宋体" w:hAnsi="宋体" w:hint="eastAsia"/>
          <w:szCs w:val="21"/>
          <w:lang w:val="en-US" w:eastAsia="zh-CN"/>
        </w:rPr>
        <w:t>9</w:t>
      </w:r>
      <w:r>
        <w:rPr>
          <w:rFonts w:ascii="宋体" w:hAnsi="宋体" w:hint="eastAsia"/>
          <w:szCs w:val="21"/>
        </w:rPr>
        <w:t>）为确保青藏高原地区探测和增雨飞行作业安全，投标人须提供具有商用驾驶员执照（XII等级有“飞机多发陆地”和“仪表-飞机”、航空器型号有“B-300”）</w:t>
      </w:r>
      <w:r>
        <w:rPr>
          <w:rFonts w:ascii="宋体" w:hAnsi="宋体" w:hint="eastAsia"/>
          <w:szCs w:val="21"/>
          <w:lang w:val="en-US" w:eastAsia="zh-CN"/>
        </w:rPr>
        <w:t>且</w:t>
      </w:r>
      <w:r>
        <w:t>具有空中国王系列飞机飞行经历的飞行员</w:t>
      </w:r>
      <w:r>
        <w:rPr>
          <w:rFonts w:hint="eastAsia"/>
          <w:lang w:val="en-US" w:eastAsia="zh-CN"/>
        </w:rPr>
        <w:t>3</w:t>
      </w:r>
      <w:r>
        <w:rPr>
          <w:rFonts w:ascii="宋体" w:hAnsi="宋体" w:hint="eastAsia"/>
          <w:szCs w:val="21"/>
        </w:rPr>
        <w:t>名</w:t>
      </w:r>
      <w:r>
        <w:rPr>
          <w:rFonts w:ascii="宋体" w:hAnsi="宋体" w:hint="eastAsia"/>
          <w:szCs w:val="21"/>
          <w:lang w:val="en-US" w:eastAsia="zh-CN"/>
        </w:rPr>
        <w:t>及</w:t>
      </w:r>
      <w:r>
        <w:rPr>
          <w:rFonts w:ascii="宋体" w:hAnsi="宋体" w:hint="eastAsia"/>
          <w:szCs w:val="21"/>
        </w:rPr>
        <w:t>以上，</w:t>
      </w:r>
      <w:r>
        <w:rPr>
          <w:rFonts w:ascii="宋体" w:hAnsi="宋体" w:hint="eastAsia"/>
          <w:szCs w:val="21"/>
          <w:lang w:val="en-US" w:eastAsia="zh-CN"/>
        </w:rPr>
        <w:t>其中必须至少含1</w:t>
      </w:r>
      <w:r>
        <w:rPr>
          <w:rFonts w:ascii="宋体" w:hAnsi="宋体" w:hint="eastAsia"/>
          <w:szCs w:val="21"/>
        </w:rPr>
        <w:t>名飞行人员具有该机型的机长资</w:t>
      </w:r>
      <w:r>
        <w:rPr>
          <w:rFonts w:ascii="宋体" w:hAnsi="宋体" w:hint="eastAsia"/>
          <w:color w:val="000000"/>
          <w:szCs w:val="21"/>
        </w:rPr>
        <w:t>质，有独立带队在青藏高原开展过人工增雨飞行工作经历（签注“B-300”型号飞行器之前作为机长带队在青藏高原开展人工增雨经历也可纳入）；提供两名机务，其中至少一名机务人员具有空中国王350机型的机械或特设II类放行资质；完成常规签派职责；上述人员组成的托管飞机增雨（雪）作业团队，需保证一直随团队开展飞机增雨（作业）、大型活动保障以及探测飞行任务。</w:t>
      </w:r>
    </w:p>
    <w:p>
      <w:pPr>
        <w:adjustRightInd w:val="0"/>
        <w:snapToGrid w:val="0"/>
        <w:spacing w:line="520" w:lineRule="exact"/>
        <w:ind w:firstLine="420" w:firstLineChars="200"/>
        <w:rPr>
          <w:rFonts w:ascii="宋体" w:hAnsi="宋体" w:hint="eastAsia"/>
          <w:color w:val="000000"/>
          <w:szCs w:val="21"/>
        </w:rPr>
      </w:pPr>
      <w:r>
        <w:rPr>
          <w:rFonts w:ascii="宋体" w:hAnsi="宋体" w:hint="eastAsia"/>
          <w:color w:val="000000"/>
          <w:szCs w:val="21"/>
        </w:rPr>
        <w:t>（</w:t>
      </w:r>
      <w:r>
        <w:rPr>
          <w:rFonts w:ascii="宋体" w:hAnsi="宋体" w:hint="eastAsia"/>
          <w:color w:val="000000"/>
          <w:szCs w:val="21"/>
          <w:lang w:val="en-US" w:eastAsia="zh-CN"/>
        </w:rPr>
        <w:t>10</w:t>
      </w:r>
      <w:r>
        <w:rPr>
          <w:rFonts w:ascii="宋体" w:hAnsi="宋体" w:hint="eastAsia"/>
          <w:color w:val="000000"/>
          <w:szCs w:val="21"/>
        </w:rPr>
        <w:t>）合同签订后即可执行探测和增雨飞行作业任务。</w:t>
      </w:r>
    </w:p>
    <w:p>
      <w:pPr>
        <w:adjustRightInd w:val="0"/>
        <w:snapToGrid w:val="0"/>
        <w:spacing w:line="520" w:lineRule="exact"/>
        <w:ind w:firstLine="420" w:firstLineChars="200"/>
        <w:rPr>
          <w:rFonts w:ascii="宋体" w:hAnsi="宋体" w:hint="eastAsia"/>
          <w:szCs w:val="21"/>
        </w:rPr>
      </w:pPr>
      <w:r>
        <w:rPr>
          <w:rFonts w:ascii="宋体" w:hAnsi="宋体" w:hint="eastAsia"/>
          <w:szCs w:val="21"/>
        </w:rPr>
        <w:t>（</w:t>
      </w:r>
      <w:r>
        <w:rPr>
          <w:rFonts w:ascii="宋体" w:hAnsi="宋体" w:hint="eastAsia"/>
          <w:szCs w:val="21"/>
          <w:lang w:val="en-US" w:eastAsia="zh-CN"/>
        </w:rPr>
        <w:t>11</w:t>
      </w:r>
      <w:r>
        <w:rPr>
          <w:rFonts w:ascii="宋体" w:hAnsi="宋体" w:hint="eastAsia"/>
          <w:szCs w:val="21"/>
        </w:rPr>
        <w:t>）应具备与军民航管制部门沟通、协调、联系的能力，负责飞行空域协调，以保证在规定时间内完成飞行任务。</w:t>
      </w:r>
    </w:p>
    <w:p>
      <w:pPr>
        <w:adjustRightInd w:val="0"/>
        <w:snapToGrid w:val="0"/>
        <w:spacing w:line="520" w:lineRule="exact"/>
        <w:ind w:firstLine="420" w:firstLineChars="200"/>
        <w:rPr>
          <w:rFonts w:ascii="宋体" w:hAnsi="宋体" w:hint="eastAsia"/>
          <w:szCs w:val="21"/>
        </w:rPr>
      </w:pPr>
      <w:r>
        <w:rPr>
          <w:rFonts w:ascii="宋体" w:hAnsi="宋体" w:hint="eastAsia"/>
          <w:szCs w:val="21"/>
        </w:rPr>
        <w:t>（</w:t>
      </w:r>
      <w:r>
        <w:rPr>
          <w:rFonts w:ascii="宋体" w:hAnsi="宋体" w:hint="eastAsia"/>
          <w:szCs w:val="21"/>
          <w:lang w:val="en-US" w:eastAsia="zh-CN"/>
        </w:rPr>
        <w:t>12</w:t>
      </w:r>
      <w:r>
        <w:rPr>
          <w:rFonts w:ascii="宋体" w:hAnsi="宋体" w:hint="eastAsia"/>
          <w:szCs w:val="21"/>
        </w:rPr>
        <w:t>）飞行作业响应：采购人提出</w:t>
      </w:r>
      <w:r>
        <w:rPr>
          <w:rFonts w:ascii="宋体" w:hAnsi="宋体" w:hint="eastAsia"/>
          <w:color w:val="000000"/>
          <w:szCs w:val="21"/>
        </w:rPr>
        <w:t>飞行作业需求后，1小时内完成作业飞行准备工作；空管部门放行后，可即时进行飞行工作。投标人应严格按照采购人计划的航线和高度执行飞行任务，遇极端天气或者严重积冰等客观因素</w:t>
      </w:r>
      <w:r>
        <w:rPr>
          <w:rFonts w:ascii="宋体" w:hAnsi="宋体" w:hint="eastAsia"/>
          <w:szCs w:val="21"/>
        </w:rPr>
        <w:t>，投标人可直接改变航线及高度无需征求采购人意见。</w:t>
      </w:r>
      <w:r>
        <w:rPr>
          <w:rFonts w:ascii="宋体" w:hAnsi="宋体" w:hint="eastAsia"/>
          <w:color w:val="000000"/>
          <w:szCs w:val="21"/>
        </w:rPr>
        <w:t>如投</w:t>
      </w:r>
      <w:r>
        <w:rPr>
          <w:rFonts w:ascii="宋体" w:hAnsi="宋体" w:hint="eastAsia"/>
          <w:szCs w:val="21"/>
        </w:rPr>
        <w:t>标人未按照采购人计划执行飞行任务且未征得采购人同意，应承担每架次10万元罚款。投标人须提供运行保障承诺书。</w:t>
      </w:r>
    </w:p>
    <w:p>
      <w:pPr>
        <w:adjustRightInd w:val="0"/>
        <w:snapToGrid w:val="0"/>
        <w:spacing w:line="520" w:lineRule="exact"/>
        <w:ind w:firstLine="420" w:firstLineChars="200"/>
        <w:rPr>
          <w:rFonts w:ascii="宋体" w:hAnsi="宋体" w:hint="eastAsia"/>
          <w:szCs w:val="21"/>
        </w:rPr>
      </w:pPr>
      <w:r>
        <w:rPr>
          <w:rFonts w:ascii="宋体" w:hAnsi="宋体" w:hint="eastAsia"/>
          <w:szCs w:val="21"/>
        </w:rPr>
        <w:t>（</w:t>
      </w:r>
      <w:r>
        <w:rPr>
          <w:rFonts w:ascii="宋体" w:hAnsi="宋体" w:hint="eastAsia"/>
          <w:szCs w:val="21"/>
          <w:lang w:val="en-US" w:eastAsia="zh-CN"/>
        </w:rPr>
        <w:t>13</w:t>
      </w:r>
      <w:r>
        <w:rPr>
          <w:rFonts w:ascii="宋体" w:hAnsi="宋体" w:hint="eastAsia"/>
          <w:szCs w:val="21"/>
        </w:rPr>
        <w:t>）合同期满投标人应将飞机运行技术资料、记录和档案等完整资料交付采购人，并保证飞机处于适航状态。</w:t>
      </w:r>
    </w:p>
    <w:p>
      <w:pPr>
        <w:adjustRightInd w:val="0"/>
        <w:snapToGrid w:val="0"/>
        <w:spacing w:line="520" w:lineRule="exact"/>
        <w:ind w:firstLine="420" w:firstLineChars="200"/>
        <w:rPr>
          <w:rFonts w:ascii="宋体" w:hAnsi="宋体" w:hint="eastAsia"/>
          <w:szCs w:val="21"/>
        </w:rPr>
      </w:pPr>
      <w:r>
        <w:rPr>
          <w:rFonts w:ascii="宋体" w:hAnsi="宋体" w:hint="eastAsia"/>
          <w:szCs w:val="21"/>
        </w:rPr>
        <w:t>6、报价：报价包括托管服务期间的转场费、飞行小时费、停机费、飞行保障费、飞机保险、航材费、卫星通讯费、飞机与涉及增雨飞行作业所有的配套设施、油料和调运费，空域管制申请及其协调费用，作业机组人员的食宿费等其他所有费用，以及各种税费直至达到使用要求和采购人付款条件所发生的一切费用，即总价包干。</w:t>
      </w:r>
    </w:p>
    <w:p>
      <w:pPr>
        <w:adjustRightInd w:val="0"/>
        <w:snapToGrid w:val="0"/>
        <w:spacing w:line="520" w:lineRule="exact"/>
        <w:ind w:firstLine="420" w:firstLineChars="200"/>
        <w:rPr>
          <w:rFonts w:ascii="宋体" w:hAnsi="宋体" w:hint="eastAsia"/>
          <w:szCs w:val="21"/>
        </w:rPr>
      </w:pPr>
      <w:r>
        <w:rPr>
          <w:rFonts w:ascii="宋体" w:hAnsi="宋体" w:hint="eastAsia"/>
          <w:szCs w:val="21"/>
        </w:rPr>
        <w:t>飞机保险应在中国政府批准的保险公司投保，受益人为中国气象局人工影响天气中心。</w:t>
      </w:r>
    </w:p>
    <w:p>
      <w:pPr>
        <w:adjustRightInd w:val="0"/>
        <w:snapToGrid w:val="0"/>
        <w:spacing w:line="520" w:lineRule="exact"/>
        <w:ind w:firstLine="420" w:firstLineChars="200"/>
        <w:rPr>
          <w:rFonts w:ascii="宋体" w:hAnsi="宋体" w:hint="eastAsia"/>
          <w:szCs w:val="21"/>
        </w:rPr>
      </w:pPr>
      <w:r>
        <w:rPr>
          <w:rFonts w:ascii="宋体" w:hAnsi="宋体" w:hint="eastAsia"/>
          <w:szCs w:val="21"/>
        </w:rPr>
        <w:t>飞机保险应包括：单架飞机机身与机载设备保险按人民币9500万元投保，其中机身价格为6600万元人民币，机载设备价格为2900万元人民币；单架飞机机上座位保险投保5座，每人每次事故/每座赔偿额介于400至500万元；按国家规定投保第三者责任险，单架飞机保险总额5O0万，期限为国家人影飞机托管服务期间由中标人负责购买的保险单有效期一致。</w:t>
      </w:r>
    </w:p>
    <w:p>
      <w:pPr>
        <w:adjustRightInd w:val="0"/>
        <w:snapToGrid w:val="0"/>
        <w:spacing w:line="520" w:lineRule="exact"/>
        <w:ind w:firstLine="420" w:firstLineChars="200"/>
        <w:rPr>
          <w:rFonts w:ascii="宋体" w:hAnsi="宋体" w:hint="eastAsia"/>
          <w:szCs w:val="21"/>
        </w:rPr>
      </w:pPr>
      <w:r>
        <w:rPr>
          <w:rFonts w:ascii="宋体" w:hAnsi="宋体" w:cs="宋体" w:hint="eastAsia"/>
          <w:bCs/>
          <w:szCs w:val="21"/>
        </w:rPr>
        <w:t>托管服务期间，</w:t>
      </w:r>
      <w:r>
        <w:rPr>
          <w:rFonts w:ascii="宋体" w:hAnsi="宋体" w:hint="eastAsia"/>
          <w:szCs w:val="21"/>
        </w:rPr>
        <w:t>国家人影飞机人影作业低限飞行小时为245小时，飞机年度实际飞行时间超出245小时部分，按人民币贰万壹仟元整（¥21000.00 元）/小时付费。飞机年度实际飞行时间低于245小时的65%，约160小时，结算时按160小时减去实际作业飞行小时数，其差额小时数按人民币贰万壹仟元整（¥21000.00 元）/小时从总合同金额中核减。飞行小时计时按飞机开关车时间计算。</w:t>
      </w:r>
    </w:p>
    <w:p>
      <w:pPr>
        <w:adjustRightInd w:val="0"/>
        <w:snapToGrid w:val="0"/>
        <w:spacing w:line="520" w:lineRule="exact"/>
        <w:ind w:firstLine="420" w:firstLineChars="200"/>
        <w:rPr>
          <w:rFonts w:ascii="宋体" w:hAnsi="宋体" w:hint="eastAsia"/>
          <w:color w:val="FF0000"/>
          <w:szCs w:val="21"/>
        </w:rPr>
      </w:pPr>
      <w:r>
        <w:rPr>
          <w:rFonts w:ascii="宋体" w:hAnsi="宋体" w:hint="eastAsia"/>
          <w:szCs w:val="21"/>
        </w:rPr>
        <w:t>7、合同履行地点：以采购人的任务需求为准。</w:t>
      </w:r>
    </w:p>
    <w:p>
      <w:pPr>
        <w:tabs>
          <w:tab w:val="left" w:pos="540"/>
        </w:tabs>
        <w:spacing w:line="520" w:lineRule="exact"/>
        <w:ind w:firstLine="412" w:firstLineChars="196"/>
        <w:outlineLvl w:val="0"/>
        <w:rPr>
          <w:rFonts w:ascii="宋体" w:hAnsi="宋体" w:hint="eastAsia"/>
          <w:b/>
          <w:szCs w:val="21"/>
        </w:rPr>
      </w:pPr>
      <w:r>
        <w:rPr>
          <w:rFonts w:ascii="宋体" w:hAnsi="宋体" w:hint="eastAsia"/>
          <w:b/>
          <w:szCs w:val="21"/>
        </w:rPr>
        <w:t>三、人工增雨飞机性能参数</w:t>
      </w:r>
    </w:p>
    <w:p>
      <w:pPr>
        <w:pStyle w:val="a2"/>
        <w:spacing w:line="520" w:lineRule="exact"/>
        <w:ind w:firstLine="422"/>
        <w:outlineLvl w:val="1"/>
        <w:rPr>
          <w:rFonts w:ascii="宋体" w:hAnsi="宋体" w:hint="eastAsia"/>
          <w:b/>
          <w:sz w:val="21"/>
          <w:szCs w:val="21"/>
          <w:lang w:eastAsia="zh-CN"/>
        </w:rPr>
      </w:pPr>
      <w:r>
        <w:rPr>
          <w:rFonts w:ascii="宋体" w:hAnsi="宋体" w:hint="eastAsia"/>
          <w:b/>
          <w:sz w:val="21"/>
          <w:szCs w:val="21"/>
          <w:lang w:eastAsia="zh-CN"/>
        </w:rPr>
        <w:t>（一）托管飞机</w:t>
      </w:r>
    </w:p>
    <w:p>
      <w:pPr>
        <w:pStyle w:val="a2"/>
        <w:spacing w:line="520" w:lineRule="exact"/>
        <w:ind w:firstLine="420"/>
        <w:rPr>
          <w:rFonts w:ascii="宋体" w:hAnsi="宋体" w:hint="eastAsia"/>
          <w:sz w:val="24"/>
          <w:szCs w:val="24"/>
          <w:lang w:eastAsia="zh-CN"/>
        </w:rPr>
      </w:pPr>
      <w:r>
        <w:rPr>
          <w:rFonts w:ascii="宋体" w:hAnsi="宋体" w:hint="eastAsia"/>
          <w:kern w:val="2"/>
          <w:sz w:val="21"/>
          <w:szCs w:val="21"/>
          <w:lang w:eastAsia="zh-CN"/>
        </w:rPr>
        <w:t>本次托管飞机为空中国王350HW型飞机（B-10E5），由美国德世龙公司制造（见图1），取得了由中国民用航空总局颁发的型号合格证。飞机为二人驾驶体制，能完成复杂气象条件下的飞行任务。</w:t>
      </w:r>
    </w:p>
    <w:p>
      <w:pPr>
        <w:pStyle w:val="a3"/>
        <w:rPr>
          <w:rFonts w:hint="eastAsia"/>
        </w:rPr>
      </w:pPr>
      <w:r>
        <w:rPr>
          <w:rFonts w:ascii="宋体" w:hAnsi="宋体"/>
          <w:szCs w:val="21"/>
          <w:lang w:val="en-US"/>
        </w:rPr>
        <w:drawing>
          <wp:inline distT="0" distB="0" distL="0" distR="0">
            <wp:extent cx="3962400" cy="2057400"/>
            <wp:effectExtent l="0" t="0" r="0" b="0"/>
            <wp:docPr id="15305071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507196" name="图片 1"/>
                    <pic:cNvPicPr>
                      <a:picLocks noChangeAspect="1" noChangeArrowheads="1"/>
                    </pic:cNvPicPr>
                  </pic:nvPicPr>
                  <pic:blipFill>
                    <a:blip xmlns:r="http://schemas.openxmlformats.org/officeDocument/2006/relationships" r:embed="rId6">
                      <a:extLst>
                        <a:ext xmlns:a="http://schemas.openxmlformats.org/drawingml/2006/main" uri="{28A0092B-C50C-407E-A947-70E740481C1C}">
                          <a14:useLocalDpi xmlns:a14="http://schemas.microsoft.com/office/drawing/2010/main" val="0"/>
                        </a:ext>
                      </a:extLst>
                    </a:blip>
                    <a:srcRect t="13652" b="12903"/>
                    <a:stretch>
                      <a:fillRect/>
                    </a:stretch>
                  </pic:blipFill>
                  <pic:spPr>
                    <a:xfrm>
                      <a:off x="0" y="0"/>
                      <a:ext cx="3962400" cy="2057400"/>
                    </a:xfrm>
                    <a:prstGeom prst="rect">
                      <a:avLst/>
                    </a:prstGeom>
                    <a:noFill/>
                    <a:ln>
                      <a:noFill/>
                    </a:ln>
                  </pic:spPr>
                </pic:pic>
              </a:graphicData>
            </a:graphic>
          </wp:inline>
        </w:drawing>
      </w:r>
    </w:p>
    <w:p>
      <w:pPr>
        <w:pStyle w:val="a4"/>
        <w:rPr>
          <w:color w:val="auto"/>
          <w:sz w:val="21"/>
          <w:szCs w:val="21"/>
        </w:rPr>
      </w:pPr>
      <w:r>
        <w:rPr>
          <w:rFonts w:hint="eastAsia"/>
          <w:color w:val="auto"/>
          <w:sz w:val="21"/>
          <w:szCs w:val="21"/>
        </w:rPr>
        <w:t>图</w:t>
      </w:r>
      <w:r>
        <w:rPr>
          <w:color w:val="auto"/>
          <w:sz w:val="21"/>
          <w:szCs w:val="21"/>
        </w:rPr>
        <w:fldChar w:fldCharType="begin"/>
      </w:r>
      <w:r>
        <w:rPr>
          <w:color w:val="auto"/>
          <w:sz w:val="21"/>
          <w:szCs w:val="21"/>
        </w:rPr>
        <w:instrText xml:space="preserve"> SEQ </w:instrText>
      </w:r>
      <w:r>
        <w:rPr>
          <w:rFonts w:hint="eastAsia"/>
          <w:color w:val="auto"/>
          <w:sz w:val="21"/>
          <w:szCs w:val="21"/>
        </w:rPr>
        <w:instrText>图</w:instrText>
      </w:r>
      <w:r>
        <w:rPr>
          <w:color w:val="auto"/>
          <w:sz w:val="21"/>
          <w:szCs w:val="21"/>
        </w:rPr>
        <w:instrText xml:space="preserve">_ \* ARABIC \s 2 </w:instrText>
      </w:r>
      <w:r>
        <w:rPr>
          <w:color w:val="auto"/>
          <w:sz w:val="21"/>
          <w:szCs w:val="21"/>
        </w:rPr>
        <w:fldChar w:fldCharType="separate"/>
      </w:r>
      <w:r>
        <w:rPr>
          <w:color w:val="auto"/>
          <w:sz w:val="21"/>
          <w:szCs w:val="21"/>
        </w:rPr>
        <w:t>1</w:t>
      </w:r>
      <w:r>
        <w:rPr>
          <w:color w:val="auto"/>
          <w:sz w:val="21"/>
          <w:szCs w:val="21"/>
        </w:rPr>
        <w:fldChar w:fldCharType="end"/>
      </w:r>
      <w:r>
        <w:rPr>
          <w:rFonts w:hint="eastAsia"/>
          <w:color w:val="auto"/>
          <w:sz w:val="21"/>
          <w:szCs w:val="21"/>
        </w:rPr>
        <w:t>空中国王</w:t>
      </w:r>
      <w:r>
        <w:rPr>
          <w:color w:val="auto"/>
          <w:sz w:val="21"/>
          <w:szCs w:val="21"/>
        </w:rPr>
        <w:t>350</w:t>
      </w:r>
      <w:r>
        <w:rPr>
          <w:rFonts w:hint="eastAsia"/>
          <w:color w:val="auto"/>
          <w:sz w:val="21"/>
          <w:szCs w:val="21"/>
        </w:rPr>
        <w:t>飞机外观图</w:t>
      </w:r>
    </w:p>
    <w:p>
      <w:pPr>
        <w:pStyle w:val="a2"/>
        <w:spacing w:line="520" w:lineRule="exact"/>
        <w:ind w:firstLine="420"/>
        <w:rPr>
          <w:rFonts w:ascii="宋体" w:hAnsi="宋体"/>
          <w:sz w:val="21"/>
          <w:szCs w:val="21"/>
          <w:lang w:eastAsia="zh-CN"/>
        </w:rPr>
      </w:pPr>
      <w:r>
        <w:rPr>
          <w:rFonts w:ascii="宋体" w:hAnsi="宋体" w:hint="eastAsia"/>
          <w:sz w:val="21"/>
          <w:szCs w:val="21"/>
          <w:lang w:eastAsia="zh-CN"/>
        </w:rPr>
        <w:t>空中国王350HW型飞机最大载重量为7484kg，机长为14.22m，机高为4.4m，翼展为17.65m，最大航程为2800km，最大飞行高度为10058m，巡航速度为441km/h，最大航时不少于6小时，能够同时装载人工增雨作业催化设备。空中国王350HW型飞机主要技术性能指标见表1。</w:t>
      </w:r>
    </w:p>
    <w:p>
      <w:pPr>
        <w:pStyle w:val="my"/>
        <w:ind w:firstLine="422"/>
        <w:jc w:val="center"/>
        <w:rPr>
          <w:rFonts w:hint="eastAsia"/>
          <w:b/>
          <w:sz w:val="21"/>
          <w:szCs w:val="21"/>
          <w:lang w:eastAsia="zh-CN"/>
        </w:rPr>
      </w:pPr>
      <w:bookmarkStart w:id="62" w:name="_Toc340761829"/>
      <w:bookmarkStart w:id="63" w:name="_Toc340067439"/>
      <w:bookmarkStart w:id="64" w:name="_Toc340066908"/>
      <w:bookmarkStart w:id="65" w:name="_Toc309830679"/>
      <w:r>
        <w:rPr>
          <w:rFonts w:hint="eastAsia"/>
          <w:b/>
          <w:sz w:val="21"/>
          <w:szCs w:val="21"/>
          <w:lang w:eastAsia="zh-CN"/>
        </w:rPr>
        <w:t>表</w:t>
      </w:r>
      <w:r>
        <w:rPr>
          <w:b/>
          <w:sz w:val="21"/>
          <w:szCs w:val="21"/>
          <w:lang w:eastAsia="zh-CN"/>
        </w:rPr>
        <w:t xml:space="preserve">1 </w:t>
      </w:r>
      <w:r>
        <w:rPr>
          <w:rFonts w:hint="eastAsia"/>
          <w:b/>
          <w:sz w:val="21"/>
          <w:szCs w:val="21"/>
          <w:lang w:eastAsia="zh-CN"/>
        </w:rPr>
        <w:t>空中国王</w:t>
      </w:r>
      <w:r>
        <w:rPr>
          <w:b/>
          <w:sz w:val="21"/>
          <w:szCs w:val="21"/>
          <w:lang w:eastAsia="zh-CN"/>
        </w:rPr>
        <w:t>350HW</w:t>
      </w:r>
      <w:r>
        <w:rPr>
          <w:rFonts w:hint="eastAsia"/>
          <w:b/>
          <w:sz w:val="21"/>
          <w:szCs w:val="21"/>
          <w:lang w:eastAsia="zh-CN"/>
        </w:rPr>
        <w:t>主要技术性能指标表</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835"/>
        <w:gridCol w:w="1896"/>
        <w:gridCol w:w="615"/>
        <w:gridCol w:w="1416"/>
        <w:gridCol w:w="456"/>
        <w:gridCol w:w="1841"/>
        <w:gridCol w:w="816"/>
        <w:gridCol w:w="816"/>
      </w:tblGrid>
      <w:tr>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trHeight w:val="454"/>
          <w:tblHeader/>
          <w:jc w:val="center"/>
        </w:trPr>
        <w:tc>
          <w:tcPr>
            <w:tcW w:w="2731" w:type="dxa"/>
            <w:gridSpan w:val="2"/>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b/>
                <w:kern w:val="0"/>
                <w:szCs w:val="21"/>
              </w:rPr>
            </w:pPr>
            <w:r>
              <w:rPr>
                <w:rFonts w:ascii="宋体" w:hAnsi="宋体" w:hint="eastAsia"/>
                <w:b/>
                <w:kern w:val="0"/>
                <w:szCs w:val="21"/>
              </w:rPr>
              <w:t>指标</w:t>
            </w:r>
          </w:p>
        </w:tc>
        <w:tc>
          <w:tcPr>
            <w:tcW w:w="615" w:type="dxa"/>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hint="eastAsia"/>
                <w:b/>
                <w:kern w:val="0"/>
                <w:szCs w:val="21"/>
              </w:rPr>
            </w:pPr>
            <w:r>
              <w:rPr>
                <w:rFonts w:ascii="宋体" w:hAnsi="宋体" w:hint="eastAsia"/>
                <w:b/>
                <w:kern w:val="0"/>
                <w:szCs w:val="21"/>
              </w:rPr>
              <w:t>单位</w:t>
            </w:r>
          </w:p>
        </w:tc>
        <w:tc>
          <w:tcPr>
            <w:tcW w:w="1416" w:type="dxa"/>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hint="eastAsia"/>
                <w:b/>
                <w:kern w:val="0"/>
                <w:szCs w:val="21"/>
              </w:rPr>
            </w:pPr>
            <w:r>
              <w:rPr>
                <w:rFonts w:ascii="宋体" w:hAnsi="宋体" w:hint="eastAsia"/>
                <w:b/>
                <w:kern w:val="0"/>
                <w:szCs w:val="21"/>
              </w:rPr>
              <w:t>参数</w:t>
            </w:r>
          </w:p>
        </w:tc>
        <w:tc>
          <w:tcPr>
            <w:tcW w:w="2297" w:type="dxa"/>
            <w:gridSpan w:val="2"/>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hint="eastAsia"/>
                <w:b/>
                <w:kern w:val="0"/>
                <w:szCs w:val="21"/>
              </w:rPr>
            </w:pPr>
            <w:r>
              <w:rPr>
                <w:rFonts w:ascii="宋体" w:hAnsi="宋体" w:hint="eastAsia"/>
                <w:b/>
                <w:kern w:val="0"/>
                <w:szCs w:val="21"/>
              </w:rPr>
              <w:t>指标</w:t>
            </w: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hint="eastAsia"/>
                <w:b/>
                <w:kern w:val="0"/>
                <w:szCs w:val="21"/>
              </w:rPr>
            </w:pPr>
            <w:r>
              <w:rPr>
                <w:rFonts w:ascii="宋体" w:hAnsi="宋体" w:hint="eastAsia"/>
                <w:b/>
                <w:kern w:val="0"/>
                <w:szCs w:val="21"/>
              </w:rPr>
              <w:t>单位</w:t>
            </w: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hint="eastAsia"/>
                <w:b/>
                <w:kern w:val="0"/>
                <w:szCs w:val="21"/>
              </w:rPr>
            </w:pPr>
            <w:r>
              <w:rPr>
                <w:rFonts w:ascii="宋体" w:hAnsi="宋体" w:hint="eastAsia"/>
                <w:b/>
                <w:kern w:val="0"/>
                <w:szCs w:val="21"/>
              </w:rPr>
              <w:t>参数</w:t>
            </w:r>
          </w:p>
        </w:tc>
      </w:tr>
      <w:tr>
        <w:tblPrEx>
          <w:tblW w:w="0" w:type="auto"/>
          <w:jc w:val="center"/>
          <w:tblLayout w:type="fixed"/>
          <w:tblCellMar>
            <w:top w:w="0" w:type="dxa"/>
            <w:left w:w="108" w:type="dxa"/>
            <w:bottom w:w="0" w:type="dxa"/>
            <w:right w:w="108" w:type="dxa"/>
          </w:tblCellMar>
        </w:tblPrEx>
        <w:trPr>
          <w:trHeight w:val="454"/>
          <w:jc w:val="center"/>
        </w:trPr>
        <w:tc>
          <w:tcPr>
            <w:tcW w:w="835" w:type="dxa"/>
            <w:vMerge w:val="restart"/>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hint="eastAsia"/>
                <w:kern w:val="0"/>
                <w:szCs w:val="21"/>
              </w:rPr>
            </w:pPr>
            <w:r>
              <w:rPr>
                <w:rFonts w:ascii="宋体" w:hAnsi="宋体" w:hint="eastAsia"/>
                <w:kern w:val="0"/>
                <w:szCs w:val="21"/>
              </w:rPr>
              <w:t>外部尺寸</w:t>
            </w:r>
          </w:p>
        </w:tc>
        <w:tc>
          <w:tcPr>
            <w:tcW w:w="189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长度</w:t>
            </w:r>
          </w:p>
        </w:tc>
        <w:tc>
          <w:tcPr>
            <w:tcW w:w="615" w:type="dxa"/>
            <w:vMerge w:val="restart"/>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hint="eastAsia"/>
                <w:kern w:val="0"/>
                <w:szCs w:val="21"/>
              </w:rPr>
            </w:pPr>
            <w:r>
              <w:rPr>
                <w:rFonts w:ascii="宋体" w:hAnsi="宋体" w:hint="eastAsia"/>
                <w:kern w:val="0"/>
                <w:szCs w:val="21"/>
              </w:rPr>
              <w:t>m</w:t>
            </w:r>
          </w:p>
        </w:tc>
        <w:tc>
          <w:tcPr>
            <w:tcW w:w="14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14.22</w:t>
            </w:r>
          </w:p>
        </w:tc>
        <w:tc>
          <w:tcPr>
            <w:tcW w:w="456" w:type="dxa"/>
            <w:vMerge w:val="restart"/>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hint="eastAsia"/>
                <w:kern w:val="0"/>
                <w:szCs w:val="21"/>
              </w:rPr>
            </w:pPr>
            <w:r>
              <w:rPr>
                <w:rFonts w:ascii="宋体" w:hAnsi="宋体" w:hint="eastAsia"/>
                <w:kern w:val="0"/>
                <w:szCs w:val="21"/>
              </w:rPr>
              <w:t>商载/容积</w:t>
            </w:r>
          </w:p>
        </w:tc>
        <w:tc>
          <w:tcPr>
            <w:tcW w:w="1841"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最大商载</w:t>
            </w:r>
          </w:p>
        </w:tc>
        <w:tc>
          <w:tcPr>
            <w:tcW w:w="816" w:type="dxa"/>
            <w:vMerge w:val="restart"/>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kg</w:t>
            </w: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1542</w:t>
            </w:r>
          </w:p>
        </w:tc>
      </w:tr>
      <w:tr>
        <w:tblPrEx>
          <w:tblW w:w="0" w:type="auto"/>
          <w:jc w:val="center"/>
          <w:tblLayout w:type="fixed"/>
          <w:tblCellMar>
            <w:top w:w="0" w:type="dxa"/>
            <w:left w:w="108" w:type="dxa"/>
            <w:bottom w:w="0" w:type="dxa"/>
            <w:right w:w="108" w:type="dxa"/>
          </w:tblCellMar>
        </w:tblPrEx>
        <w:trPr>
          <w:trHeight w:val="454"/>
          <w:jc w:val="center"/>
        </w:trPr>
        <w:tc>
          <w:tcPr>
            <w:tcW w:w="2731"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89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翼展</w:t>
            </w:r>
          </w:p>
        </w:tc>
        <w:tc>
          <w:tcPr>
            <w:tcW w:w="615"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4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17.65</w:t>
            </w:r>
          </w:p>
        </w:tc>
        <w:tc>
          <w:tcPr>
            <w:tcW w:w="2297"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841"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有效载荷</w:t>
            </w:r>
          </w:p>
        </w:tc>
        <w:tc>
          <w:tcPr>
            <w:tcW w:w="816"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3175</w:t>
            </w:r>
          </w:p>
        </w:tc>
      </w:tr>
      <w:tr>
        <w:tblPrEx>
          <w:tblW w:w="0" w:type="auto"/>
          <w:jc w:val="center"/>
          <w:tblLayout w:type="fixed"/>
          <w:tblCellMar>
            <w:top w:w="0" w:type="dxa"/>
            <w:left w:w="108" w:type="dxa"/>
            <w:bottom w:w="0" w:type="dxa"/>
            <w:right w:w="108" w:type="dxa"/>
          </w:tblCellMar>
        </w:tblPrEx>
        <w:trPr>
          <w:trHeight w:val="454"/>
          <w:jc w:val="center"/>
        </w:trPr>
        <w:tc>
          <w:tcPr>
            <w:tcW w:w="2731"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89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停机高度</w:t>
            </w:r>
          </w:p>
        </w:tc>
        <w:tc>
          <w:tcPr>
            <w:tcW w:w="615"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4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4.37</w:t>
            </w:r>
          </w:p>
        </w:tc>
        <w:tc>
          <w:tcPr>
            <w:tcW w:w="2297"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841"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最大燃油重量</w:t>
            </w:r>
          </w:p>
        </w:tc>
        <w:tc>
          <w:tcPr>
            <w:tcW w:w="816"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1638</w:t>
            </w:r>
          </w:p>
        </w:tc>
      </w:tr>
      <w:tr>
        <w:tblPrEx>
          <w:tblW w:w="0" w:type="auto"/>
          <w:jc w:val="center"/>
          <w:tblLayout w:type="fixed"/>
          <w:tblCellMar>
            <w:top w:w="0" w:type="dxa"/>
            <w:left w:w="108" w:type="dxa"/>
            <w:bottom w:w="0" w:type="dxa"/>
            <w:right w:w="108" w:type="dxa"/>
          </w:tblCellMar>
        </w:tblPrEx>
        <w:trPr>
          <w:trHeight w:val="454"/>
          <w:jc w:val="center"/>
        </w:trPr>
        <w:tc>
          <w:tcPr>
            <w:tcW w:w="2731"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89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机翼面积</w:t>
            </w:r>
          </w:p>
        </w:tc>
        <w:tc>
          <w:tcPr>
            <w:tcW w:w="615" w:type="dxa"/>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hint="eastAsia"/>
                <w:kern w:val="0"/>
                <w:szCs w:val="21"/>
              </w:rPr>
            </w:pPr>
            <w:r>
              <w:rPr>
                <w:rFonts w:ascii="宋体" w:hAnsi="宋体" w:hint="eastAsia"/>
                <w:kern w:val="0"/>
                <w:szCs w:val="21"/>
              </w:rPr>
              <w:t>m</w:t>
            </w:r>
            <w:r>
              <w:rPr>
                <w:rFonts w:ascii="宋体" w:hAnsi="宋体" w:hint="eastAsia"/>
                <w:kern w:val="0"/>
                <w:szCs w:val="21"/>
                <w:vertAlign w:val="superscript"/>
              </w:rPr>
              <w:t>2</w:t>
            </w:r>
          </w:p>
        </w:tc>
        <w:tc>
          <w:tcPr>
            <w:tcW w:w="14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28.8</w:t>
            </w:r>
          </w:p>
        </w:tc>
        <w:tc>
          <w:tcPr>
            <w:tcW w:w="2297"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841"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最大商载时燃油重量</w:t>
            </w:r>
          </w:p>
        </w:tc>
        <w:tc>
          <w:tcPr>
            <w:tcW w:w="816"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1633</w:t>
            </w:r>
          </w:p>
        </w:tc>
      </w:tr>
      <w:tr>
        <w:tblPrEx>
          <w:tblW w:w="0" w:type="auto"/>
          <w:jc w:val="center"/>
          <w:tblLayout w:type="fixed"/>
          <w:tblCellMar>
            <w:top w:w="0" w:type="dxa"/>
            <w:left w:w="108" w:type="dxa"/>
            <w:bottom w:w="0" w:type="dxa"/>
            <w:right w:w="108" w:type="dxa"/>
          </w:tblCellMar>
        </w:tblPrEx>
        <w:trPr>
          <w:trHeight w:val="454"/>
          <w:jc w:val="center"/>
        </w:trPr>
        <w:tc>
          <w:tcPr>
            <w:tcW w:w="2731"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896" w:type="dxa"/>
            <w:tcBorders>
              <w:top w:val="single" w:sz="4" w:space="0" w:color="000000"/>
              <w:left w:val="single" w:sz="4" w:space="0" w:color="000000"/>
              <w:bottom w:val="single" w:sz="4" w:space="0" w:color="000000"/>
              <w:right w:val="single" w:sz="4" w:space="0" w:color="000000"/>
            </w:tcBorders>
            <w:vAlign w:val="center"/>
          </w:tcPr>
          <w:p>
            <w:pPr>
              <w:rPr>
                <w:rFonts w:ascii="宋体" w:hAnsi="宋体" w:hint="eastAsia"/>
                <w:kern w:val="0"/>
                <w:szCs w:val="21"/>
              </w:rPr>
            </w:pPr>
            <w:r>
              <w:rPr>
                <w:rFonts w:ascii="宋体" w:hAnsi="宋体" w:hint="eastAsia"/>
                <w:kern w:val="0"/>
                <w:szCs w:val="21"/>
              </w:rPr>
              <w:t>主轮距</w:t>
            </w:r>
          </w:p>
        </w:tc>
        <w:tc>
          <w:tcPr>
            <w:tcW w:w="615" w:type="dxa"/>
            <w:vMerge w:val="restart"/>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hint="eastAsia"/>
                <w:kern w:val="0"/>
                <w:szCs w:val="21"/>
              </w:rPr>
            </w:pPr>
            <w:r>
              <w:rPr>
                <w:rFonts w:ascii="宋体" w:hAnsi="宋体" w:hint="eastAsia"/>
                <w:kern w:val="0"/>
                <w:szCs w:val="21"/>
              </w:rPr>
              <w:t>m</w:t>
            </w:r>
          </w:p>
        </w:tc>
        <w:tc>
          <w:tcPr>
            <w:tcW w:w="1416" w:type="dxa"/>
            <w:tcBorders>
              <w:top w:val="single" w:sz="4" w:space="0" w:color="000000"/>
              <w:left w:val="single" w:sz="4" w:space="0" w:color="000000"/>
              <w:bottom w:val="single" w:sz="4" w:space="0" w:color="000000"/>
              <w:right w:val="single" w:sz="4" w:space="0" w:color="000000"/>
            </w:tcBorders>
            <w:vAlign w:val="center"/>
          </w:tcPr>
          <w:p>
            <w:pPr>
              <w:rPr>
                <w:rFonts w:ascii="宋体" w:hAnsi="宋体" w:hint="eastAsia"/>
                <w:kern w:val="0"/>
                <w:szCs w:val="21"/>
              </w:rPr>
            </w:pPr>
            <w:r>
              <w:rPr>
                <w:rFonts w:ascii="宋体" w:hAnsi="宋体" w:hint="eastAsia"/>
                <w:kern w:val="0"/>
                <w:szCs w:val="21"/>
              </w:rPr>
              <w:t>5.23</w:t>
            </w:r>
          </w:p>
        </w:tc>
        <w:tc>
          <w:tcPr>
            <w:tcW w:w="456" w:type="dxa"/>
            <w:vMerge w:val="restart"/>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hint="eastAsia"/>
                <w:kern w:val="0"/>
                <w:szCs w:val="21"/>
              </w:rPr>
            </w:pPr>
            <w:r>
              <w:rPr>
                <w:rFonts w:ascii="宋体" w:hAnsi="宋体" w:hint="eastAsia"/>
                <w:kern w:val="0"/>
                <w:szCs w:val="21"/>
              </w:rPr>
              <w:t>机场</w:t>
            </w:r>
          </w:p>
          <w:p>
            <w:pPr>
              <w:widowControl/>
              <w:jc w:val="center"/>
              <w:rPr>
                <w:rFonts w:ascii="宋体" w:hAnsi="宋体" w:hint="eastAsia"/>
                <w:kern w:val="0"/>
                <w:szCs w:val="21"/>
              </w:rPr>
            </w:pPr>
            <w:r>
              <w:rPr>
                <w:rFonts w:ascii="宋体" w:hAnsi="宋体" w:hint="eastAsia"/>
                <w:kern w:val="0"/>
                <w:szCs w:val="21"/>
              </w:rPr>
              <w:t>性能</w:t>
            </w:r>
          </w:p>
        </w:tc>
        <w:tc>
          <w:tcPr>
            <w:tcW w:w="1841"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起飞跑道长度</w:t>
            </w:r>
          </w:p>
        </w:tc>
        <w:tc>
          <w:tcPr>
            <w:tcW w:w="816" w:type="dxa"/>
            <w:vMerge w:val="restart"/>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m</w:t>
            </w: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1236</w:t>
            </w:r>
          </w:p>
        </w:tc>
      </w:tr>
      <w:tr>
        <w:tblPrEx>
          <w:tblW w:w="0" w:type="auto"/>
          <w:jc w:val="center"/>
          <w:tblLayout w:type="fixed"/>
          <w:tblCellMar>
            <w:top w:w="0" w:type="dxa"/>
            <w:left w:w="108" w:type="dxa"/>
            <w:bottom w:w="0" w:type="dxa"/>
            <w:right w:w="108" w:type="dxa"/>
          </w:tblCellMar>
        </w:tblPrEx>
        <w:trPr>
          <w:trHeight w:val="454"/>
          <w:jc w:val="center"/>
        </w:trPr>
        <w:tc>
          <w:tcPr>
            <w:tcW w:w="2731"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89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前主轮距</w:t>
            </w:r>
          </w:p>
        </w:tc>
        <w:tc>
          <w:tcPr>
            <w:tcW w:w="615"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4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4.95</w:t>
            </w:r>
          </w:p>
        </w:tc>
        <w:tc>
          <w:tcPr>
            <w:tcW w:w="2297"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841"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着陆距离</w:t>
            </w:r>
          </w:p>
        </w:tc>
        <w:tc>
          <w:tcPr>
            <w:tcW w:w="816"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908</w:t>
            </w:r>
          </w:p>
        </w:tc>
      </w:tr>
      <w:tr>
        <w:tblPrEx>
          <w:tblW w:w="0" w:type="auto"/>
          <w:jc w:val="center"/>
          <w:tblLayout w:type="fixed"/>
          <w:tblCellMar>
            <w:top w:w="0" w:type="dxa"/>
            <w:left w:w="108" w:type="dxa"/>
            <w:bottom w:w="0" w:type="dxa"/>
            <w:right w:w="108" w:type="dxa"/>
          </w:tblCellMar>
        </w:tblPrEx>
        <w:trPr>
          <w:trHeight w:val="454"/>
          <w:jc w:val="center"/>
        </w:trPr>
        <w:tc>
          <w:tcPr>
            <w:tcW w:w="835" w:type="dxa"/>
            <w:vMerge w:val="restart"/>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hint="eastAsia"/>
                <w:bCs/>
                <w:kern w:val="0"/>
                <w:szCs w:val="21"/>
              </w:rPr>
            </w:pPr>
            <w:r>
              <w:rPr>
                <w:rFonts w:ascii="宋体" w:hAnsi="宋体" w:hint="eastAsia"/>
                <w:bCs/>
                <w:kern w:val="0"/>
                <w:szCs w:val="21"/>
              </w:rPr>
              <w:t>客舱尺寸</w:t>
            </w:r>
          </w:p>
        </w:tc>
        <w:tc>
          <w:tcPr>
            <w:tcW w:w="189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客舱长度</w:t>
            </w:r>
          </w:p>
        </w:tc>
        <w:tc>
          <w:tcPr>
            <w:tcW w:w="615" w:type="dxa"/>
            <w:vMerge w:val="restart"/>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hint="eastAsia"/>
                <w:kern w:val="0"/>
                <w:szCs w:val="21"/>
              </w:rPr>
            </w:pPr>
            <w:r>
              <w:rPr>
                <w:rFonts w:ascii="宋体" w:hAnsi="宋体" w:hint="eastAsia"/>
                <w:kern w:val="0"/>
                <w:szCs w:val="21"/>
              </w:rPr>
              <w:t>m</w:t>
            </w:r>
          </w:p>
        </w:tc>
        <w:tc>
          <w:tcPr>
            <w:tcW w:w="14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5.94</w:t>
            </w:r>
          </w:p>
        </w:tc>
        <w:tc>
          <w:tcPr>
            <w:tcW w:w="456" w:type="dxa"/>
            <w:vMerge w:val="restart"/>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hint="eastAsia"/>
                <w:kern w:val="0"/>
                <w:szCs w:val="21"/>
              </w:rPr>
            </w:pPr>
            <w:r>
              <w:rPr>
                <w:rFonts w:ascii="宋体" w:hAnsi="宋体" w:hint="eastAsia"/>
                <w:kern w:val="0"/>
                <w:szCs w:val="21"/>
              </w:rPr>
              <w:t>爬升</w:t>
            </w:r>
          </w:p>
          <w:p>
            <w:pPr>
              <w:widowControl/>
              <w:jc w:val="center"/>
              <w:rPr>
                <w:rFonts w:ascii="宋体" w:hAnsi="宋体" w:hint="eastAsia"/>
                <w:kern w:val="0"/>
                <w:szCs w:val="21"/>
              </w:rPr>
            </w:pPr>
            <w:r>
              <w:rPr>
                <w:rFonts w:ascii="宋体" w:hAnsi="宋体" w:hint="eastAsia"/>
                <w:kern w:val="0"/>
                <w:szCs w:val="21"/>
              </w:rPr>
              <w:t>性能</w:t>
            </w:r>
          </w:p>
        </w:tc>
        <w:tc>
          <w:tcPr>
            <w:tcW w:w="1841"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爬升时间/高度</w:t>
            </w: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min/m</w:t>
            </w: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118/ 8000</w:t>
            </w:r>
          </w:p>
        </w:tc>
      </w:tr>
      <w:tr>
        <w:tblPrEx>
          <w:tblW w:w="0" w:type="auto"/>
          <w:jc w:val="center"/>
          <w:tblLayout w:type="fixed"/>
          <w:tblCellMar>
            <w:top w:w="0" w:type="dxa"/>
            <w:left w:w="108" w:type="dxa"/>
            <w:bottom w:w="0" w:type="dxa"/>
            <w:right w:w="108" w:type="dxa"/>
          </w:tblCellMar>
        </w:tblPrEx>
        <w:trPr>
          <w:trHeight w:val="454"/>
          <w:jc w:val="center"/>
        </w:trPr>
        <w:tc>
          <w:tcPr>
            <w:tcW w:w="2731"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bCs/>
                <w:kern w:val="0"/>
                <w:szCs w:val="21"/>
              </w:rPr>
            </w:pPr>
          </w:p>
        </w:tc>
        <w:tc>
          <w:tcPr>
            <w:tcW w:w="189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客舱宽度</w:t>
            </w:r>
          </w:p>
        </w:tc>
        <w:tc>
          <w:tcPr>
            <w:tcW w:w="615"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4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1.37</w:t>
            </w:r>
          </w:p>
        </w:tc>
        <w:tc>
          <w:tcPr>
            <w:tcW w:w="2297"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841"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双发爬升率（襟翼翻上）</w:t>
            </w: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m/min</w:t>
            </w: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 xml:space="preserve">732 </w:t>
            </w:r>
          </w:p>
        </w:tc>
      </w:tr>
      <w:tr>
        <w:tblPrEx>
          <w:tblW w:w="0" w:type="auto"/>
          <w:jc w:val="center"/>
          <w:tblLayout w:type="fixed"/>
          <w:tblCellMar>
            <w:top w:w="0" w:type="dxa"/>
            <w:left w:w="108" w:type="dxa"/>
            <w:bottom w:w="0" w:type="dxa"/>
            <w:right w:w="108" w:type="dxa"/>
          </w:tblCellMar>
        </w:tblPrEx>
        <w:trPr>
          <w:trHeight w:val="454"/>
          <w:jc w:val="center"/>
        </w:trPr>
        <w:tc>
          <w:tcPr>
            <w:tcW w:w="2731"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bCs/>
                <w:kern w:val="0"/>
                <w:szCs w:val="21"/>
              </w:rPr>
            </w:pPr>
          </w:p>
        </w:tc>
        <w:tc>
          <w:tcPr>
            <w:tcW w:w="189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客舱高度</w:t>
            </w:r>
          </w:p>
        </w:tc>
        <w:tc>
          <w:tcPr>
            <w:tcW w:w="615"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4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1.45</w:t>
            </w:r>
          </w:p>
        </w:tc>
        <w:tc>
          <w:tcPr>
            <w:tcW w:w="2297"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841"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双发爬升坡度</w:t>
            </w: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m/km</w:t>
            </w: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 xml:space="preserve">120 </w:t>
            </w:r>
          </w:p>
        </w:tc>
      </w:tr>
      <w:tr>
        <w:tblPrEx>
          <w:tblW w:w="0" w:type="auto"/>
          <w:jc w:val="center"/>
          <w:tblLayout w:type="fixed"/>
          <w:tblCellMar>
            <w:top w:w="0" w:type="dxa"/>
            <w:left w:w="108" w:type="dxa"/>
            <w:bottom w:w="0" w:type="dxa"/>
            <w:right w:w="108" w:type="dxa"/>
          </w:tblCellMar>
        </w:tblPrEx>
        <w:trPr>
          <w:trHeight w:val="454"/>
          <w:jc w:val="center"/>
        </w:trPr>
        <w:tc>
          <w:tcPr>
            <w:tcW w:w="835" w:type="dxa"/>
            <w:vMerge w:val="restart"/>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hint="eastAsia"/>
                <w:kern w:val="0"/>
                <w:szCs w:val="21"/>
              </w:rPr>
            </w:pPr>
            <w:r>
              <w:rPr>
                <w:rFonts w:ascii="宋体" w:hAnsi="宋体" w:hint="eastAsia"/>
                <w:kern w:val="0"/>
                <w:szCs w:val="21"/>
              </w:rPr>
              <w:t>客舱空间</w:t>
            </w:r>
          </w:p>
        </w:tc>
        <w:tc>
          <w:tcPr>
            <w:tcW w:w="1896" w:type="dxa"/>
            <w:tcBorders>
              <w:top w:val="single" w:sz="4" w:space="0" w:color="000000"/>
              <w:left w:val="single" w:sz="4" w:space="0" w:color="000000"/>
              <w:bottom w:val="single" w:sz="4" w:space="0" w:color="000000"/>
              <w:right w:val="single" w:sz="4" w:space="0" w:color="000000"/>
            </w:tcBorders>
            <w:vAlign w:val="center"/>
          </w:tcPr>
          <w:p>
            <w:pPr>
              <w:widowControl/>
              <w:tabs>
                <w:tab w:val="left" w:pos="564"/>
              </w:tabs>
              <w:rPr>
                <w:rFonts w:ascii="宋体" w:hAnsi="宋体" w:hint="eastAsia"/>
                <w:kern w:val="0"/>
                <w:szCs w:val="21"/>
              </w:rPr>
            </w:pPr>
            <w:r>
              <w:rPr>
                <w:rFonts w:ascii="宋体" w:hAnsi="宋体" w:hint="eastAsia"/>
                <w:kern w:val="0"/>
                <w:szCs w:val="21"/>
              </w:rPr>
              <w:t>驾驶舱</w:t>
            </w:r>
          </w:p>
        </w:tc>
        <w:tc>
          <w:tcPr>
            <w:tcW w:w="615" w:type="dxa"/>
            <w:vMerge w:val="restart"/>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hint="eastAsia"/>
                <w:kern w:val="0"/>
                <w:szCs w:val="21"/>
              </w:rPr>
            </w:pPr>
            <w:r>
              <w:rPr>
                <w:rFonts w:ascii="宋体" w:hAnsi="宋体" w:hint="eastAsia"/>
                <w:kern w:val="0"/>
                <w:szCs w:val="21"/>
              </w:rPr>
              <w:t>m</w:t>
            </w:r>
            <w:r>
              <w:rPr>
                <w:rFonts w:ascii="宋体" w:hAnsi="宋体" w:hint="eastAsia"/>
                <w:kern w:val="0"/>
                <w:szCs w:val="21"/>
                <w:vertAlign w:val="superscript"/>
              </w:rPr>
              <w:t>3</w:t>
            </w:r>
          </w:p>
        </w:tc>
        <w:tc>
          <w:tcPr>
            <w:tcW w:w="14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2.41</w:t>
            </w:r>
          </w:p>
        </w:tc>
        <w:tc>
          <w:tcPr>
            <w:tcW w:w="2297"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841"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单发爬升率（起飞襟翼）</w:t>
            </w: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m/min</w:t>
            </w: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 xml:space="preserve">103 </w:t>
            </w:r>
          </w:p>
        </w:tc>
      </w:tr>
      <w:tr>
        <w:tblPrEx>
          <w:tblW w:w="0" w:type="auto"/>
          <w:jc w:val="center"/>
          <w:tblLayout w:type="fixed"/>
          <w:tblCellMar>
            <w:top w:w="0" w:type="dxa"/>
            <w:left w:w="108" w:type="dxa"/>
            <w:bottom w:w="0" w:type="dxa"/>
            <w:right w:w="108" w:type="dxa"/>
          </w:tblCellMar>
        </w:tblPrEx>
        <w:trPr>
          <w:trHeight w:val="454"/>
          <w:jc w:val="center"/>
        </w:trPr>
        <w:tc>
          <w:tcPr>
            <w:tcW w:w="2731"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89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客舱</w:t>
            </w:r>
          </w:p>
        </w:tc>
        <w:tc>
          <w:tcPr>
            <w:tcW w:w="615"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4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10.05</w:t>
            </w:r>
          </w:p>
        </w:tc>
        <w:tc>
          <w:tcPr>
            <w:tcW w:w="2297"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841"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单发爬升坡度</w:t>
            </w: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m/km</w:t>
            </w: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 xml:space="preserve">30 </w:t>
            </w:r>
          </w:p>
        </w:tc>
      </w:tr>
      <w:tr>
        <w:tblPrEx>
          <w:tblW w:w="0" w:type="auto"/>
          <w:jc w:val="center"/>
          <w:tblLayout w:type="fixed"/>
          <w:tblCellMar>
            <w:top w:w="0" w:type="dxa"/>
            <w:left w:w="108" w:type="dxa"/>
            <w:bottom w:w="0" w:type="dxa"/>
            <w:right w:w="108" w:type="dxa"/>
          </w:tblCellMar>
        </w:tblPrEx>
        <w:trPr>
          <w:trHeight w:val="454"/>
          <w:jc w:val="center"/>
        </w:trPr>
        <w:tc>
          <w:tcPr>
            <w:tcW w:w="2731"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89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总空间</w:t>
            </w:r>
          </w:p>
        </w:tc>
        <w:tc>
          <w:tcPr>
            <w:tcW w:w="615"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4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12.46</w:t>
            </w:r>
          </w:p>
        </w:tc>
        <w:tc>
          <w:tcPr>
            <w:tcW w:w="456" w:type="dxa"/>
            <w:vMerge w:val="restart"/>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hint="eastAsia"/>
                <w:kern w:val="0"/>
                <w:szCs w:val="21"/>
              </w:rPr>
            </w:pPr>
            <w:r>
              <w:rPr>
                <w:rFonts w:ascii="宋体" w:hAnsi="宋体" w:hint="eastAsia"/>
                <w:kern w:val="0"/>
                <w:szCs w:val="21"/>
              </w:rPr>
              <w:t>升限</w:t>
            </w:r>
          </w:p>
        </w:tc>
        <w:tc>
          <w:tcPr>
            <w:tcW w:w="1841"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取证升限</w:t>
            </w:r>
          </w:p>
        </w:tc>
        <w:tc>
          <w:tcPr>
            <w:tcW w:w="816" w:type="dxa"/>
            <w:vMerge w:val="restart"/>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m</w:t>
            </w: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10668</w:t>
            </w:r>
          </w:p>
        </w:tc>
      </w:tr>
      <w:tr>
        <w:tblPrEx>
          <w:tblW w:w="0" w:type="auto"/>
          <w:jc w:val="center"/>
          <w:tblLayout w:type="fixed"/>
          <w:tblCellMar>
            <w:top w:w="0" w:type="dxa"/>
            <w:left w:w="108" w:type="dxa"/>
            <w:bottom w:w="0" w:type="dxa"/>
            <w:right w:w="108" w:type="dxa"/>
          </w:tblCellMar>
        </w:tblPrEx>
        <w:trPr>
          <w:trHeight w:val="454"/>
          <w:jc w:val="center"/>
        </w:trPr>
        <w:tc>
          <w:tcPr>
            <w:tcW w:w="835" w:type="dxa"/>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hint="eastAsia"/>
                <w:kern w:val="0"/>
                <w:szCs w:val="21"/>
              </w:rPr>
            </w:pPr>
            <w:r>
              <w:rPr>
                <w:rFonts w:ascii="宋体" w:hAnsi="宋体" w:hint="eastAsia"/>
                <w:kern w:val="0"/>
                <w:szCs w:val="21"/>
              </w:rPr>
              <w:t>出口尺寸</w:t>
            </w:r>
          </w:p>
        </w:tc>
        <w:tc>
          <w:tcPr>
            <w:tcW w:w="189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登机门</w:t>
            </w:r>
          </w:p>
        </w:tc>
        <w:tc>
          <w:tcPr>
            <w:tcW w:w="615" w:type="dxa"/>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hint="eastAsia"/>
                <w:kern w:val="0"/>
                <w:szCs w:val="21"/>
              </w:rPr>
            </w:pPr>
            <w:r>
              <w:rPr>
                <w:rFonts w:ascii="宋体" w:hAnsi="宋体" w:hint="eastAsia"/>
                <w:kern w:val="0"/>
                <w:szCs w:val="21"/>
              </w:rPr>
              <w:t>m</w:t>
            </w:r>
          </w:p>
        </w:tc>
        <w:tc>
          <w:tcPr>
            <w:tcW w:w="14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1.24×1.32</w:t>
            </w:r>
          </w:p>
        </w:tc>
        <w:tc>
          <w:tcPr>
            <w:tcW w:w="2297"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841"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双发工作</w:t>
            </w:r>
          </w:p>
        </w:tc>
        <w:tc>
          <w:tcPr>
            <w:tcW w:w="816"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10058</w:t>
            </w:r>
          </w:p>
        </w:tc>
      </w:tr>
      <w:tr>
        <w:tblPrEx>
          <w:tblW w:w="0" w:type="auto"/>
          <w:jc w:val="center"/>
          <w:tblLayout w:type="fixed"/>
          <w:tblCellMar>
            <w:top w:w="0" w:type="dxa"/>
            <w:left w:w="108" w:type="dxa"/>
            <w:bottom w:w="0" w:type="dxa"/>
            <w:right w:w="108" w:type="dxa"/>
          </w:tblCellMar>
        </w:tblPrEx>
        <w:trPr>
          <w:trHeight w:val="454"/>
          <w:jc w:val="center"/>
        </w:trPr>
        <w:tc>
          <w:tcPr>
            <w:tcW w:w="835" w:type="dxa"/>
            <w:vMerge w:val="restart"/>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hint="eastAsia"/>
                <w:kern w:val="0"/>
                <w:szCs w:val="21"/>
              </w:rPr>
            </w:pPr>
            <w:r>
              <w:rPr>
                <w:rFonts w:ascii="宋体" w:hAnsi="宋体" w:hint="eastAsia"/>
                <w:kern w:val="0"/>
                <w:szCs w:val="21"/>
              </w:rPr>
              <w:t>发</w:t>
            </w:r>
          </w:p>
          <w:p>
            <w:pPr>
              <w:widowControl/>
              <w:jc w:val="center"/>
              <w:rPr>
                <w:rFonts w:ascii="宋体" w:hAnsi="宋体" w:hint="eastAsia"/>
                <w:kern w:val="0"/>
                <w:szCs w:val="21"/>
              </w:rPr>
            </w:pPr>
            <w:r>
              <w:rPr>
                <w:rFonts w:ascii="宋体" w:hAnsi="宋体" w:hint="eastAsia"/>
                <w:kern w:val="0"/>
                <w:szCs w:val="21"/>
              </w:rPr>
              <w:t>动</w:t>
            </w:r>
          </w:p>
          <w:p>
            <w:pPr>
              <w:widowControl/>
              <w:jc w:val="center"/>
              <w:rPr>
                <w:rFonts w:ascii="宋体" w:hAnsi="宋体" w:hint="eastAsia"/>
                <w:kern w:val="0"/>
                <w:szCs w:val="21"/>
              </w:rPr>
            </w:pPr>
            <w:r>
              <w:rPr>
                <w:rFonts w:ascii="宋体" w:hAnsi="宋体" w:hint="eastAsia"/>
                <w:kern w:val="0"/>
                <w:szCs w:val="21"/>
              </w:rPr>
              <w:t>机</w:t>
            </w:r>
          </w:p>
        </w:tc>
        <w:tc>
          <w:tcPr>
            <w:tcW w:w="189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制造商</w:t>
            </w:r>
          </w:p>
        </w:tc>
        <w:tc>
          <w:tcPr>
            <w:tcW w:w="615" w:type="dxa"/>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hint="eastAsia"/>
                <w:kern w:val="0"/>
                <w:szCs w:val="21"/>
              </w:rPr>
            </w:pPr>
          </w:p>
        </w:tc>
        <w:tc>
          <w:tcPr>
            <w:tcW w:w="1416" w:type="dxa"/>
            <w:tcBorders>
              <w:top w:val="single" w:sz="4" w:space="0" w:color="000000"/>
              <w:left w:val="single" w:sz="4" w:space="0" w:color="000000"/>
              <w:bottom w:val="single" w:sz="4" w:space="0" w:color="000000"/>
              <w:right w:val="single" w:sz="4" w:space="0" w:color="000000"/>
            </w:tcBorders>
            <w:vAlign w:val="center"/>
          </w:tcPr>
          <w:p>
            <w:pPr>
              <w:widowControl/>
              <w:snapToGrid w:val="0"/>
              <w:rPr>
                <w:rFonts w:ascii="宋体" w:hAnsi="宋体" w:hint="eastAsia"/>
                <w:kern w:val="0"/>
                <w:szCs w:val="21"/>
              </w:rPr>
            </w:pPr>
            <w:r>
              <w:rPr>
                <w:rFonts w:ascii="宋体" w:hAnsi="宋体" w:hint="eastAsia"/>
                <w:kern w:val="0"/>
                <w:szCs w:val="21"/>
              </w:rPr>
              <w:t>普惠（加拿大）</w:t>
            </w:r>
          </w:p>
        </w:tc>
        <w:tc>
          <w:tcPr>
            <w:tcW w:w="2297"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841"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单发工作</w:t>
            </w:r>
          </w:p>
        </w:tc>
        <w:tc>
          <w:tcPr>
            <w:tcW w:w="816"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5212</w:t>
            </w:r>
          </w:p>
        </w:tc>
      </w:tr>
      <w:tr>
        <w:tblPrEx>
          <w:tblW w:w="0" w:type="auto"/>
          <w:jc w:val="center"/>
          <w:tblLayout w:type="fixed"/>
          <w:tblCellMar>
            <w:top w:w="0" w:type="dxa"/>
            <w:left w:w="108" w:type="dxa"/>
            <w:bottom w:w="0" w:type="dxa"/>
            <w:right w:w="108" w:type="dxa"/>
          </w:tblCellMar>
        </w:tblPrEx>
        <w:trPr>
          <w:trHeight w:val="454"/>
          <w:jc w:val="center"/>
        </w:trPr>
        <w:tc>
          <w:tcPr>
            <w:tcW w:w="2731"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89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型号</w:t>
            </w:r>
          </w:p>
        </w:tc>
        <w:tc>
          <w:tcPr>
            <w:tcW w:w="615" w:type="dxa"/>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hint="eastAsia"/>
                <w:kern w:val="0"/>
                <w:szCs w:val="21"/>
              </w:rPr>
            </w:pPr>
          </w:p>
        </w:tc>
        <w:tc>
          <w:tcPr>
            <w:tcW w:w="1416" w:type="dxa"/>
            <w:tcBorders>
              <w:top w:val="single" w:sz="4" w:space="0" w:color="000000"/>
              <w:left w:val="single" w:sz="4" w:space="0" w:color="000000"/>
              <w:bottom w:val="single" w:sz="4" w:space="0" w:color="000000"/>
              <w:right w:val="single" w:sz="4" w:space="0" w:color="000000"/>
            </w:tcBorders>
            <w:vAlign w:val="center"/>
          </w:tcPr>
          <w:p>
            <w:pPr>
              <w:widowControl/>
              <w:snapToGrid w:val="0"/>
              <w:rPr>
                <w:rFonts w:ascii="宋体" w:hAnsi="宋体" w:hint="eastAsia"/>
                <w:kern w:val="0"/>
                <w:szCs w:val="21"/>
              </w:rPr>
            </w:pPr>
            <w:r>
              <w:rPr>
                <w:rFonts w:ascii="宋体" w:hAnsi="宋体" w:hint="eastAsia"/>
                <w:kern w:val="0"/>
                <w:szCs w:val="21"/>
              </w:rPr>
              <w:t>PT6A-60A</w:t>
            </w:r>
          </w:p>
        </w:tc>
        <w:tc>
          <w:tcPr>
            <w:tcW w:w="456" w:type="dxa"/>
            <w:vMerge w:val="restart"/>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hint="eastAsia"/>
                <w:kern w:val="0"/>
                <w:szCs w:val="21"/>
              </w:rPr>
            </w:pPr>
            <w:r>
              <w:rPr>
                <w:rFonts w:ascii="宋体" w:hAnsi="宋体" w:hint="eastAsia"/>
                <w:kern w:val="0"/>
                <w:szCs w:val="21"/>
              </w:rPr>
              <w:t>航程</w:t>
            </w:r>
          </w:p>
        </w:tc>
        <w:tc>
          <w:tcPr>
            <w:tcW w:w="1841"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满油航程</w:t>
            </w:r>
          </w:p>
        </w:tc>
        <w:tc>
          <w:tcPr>
            <w:tcW w:w="816" w:type="dxa"/>
            <w:vMerge w:val="restart"/>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km</w:t>
            </w: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2800</w:t>
            </w:r>
          </w:p>
        </w:tc>
      </w:tr>
      <w:tr>
        <w:tblPrEx>
          <w:tblW w:w="0" w:type="auto"/>
          <w:jc w:val="center"/>
          <w:tblLayout w:type="fixed"/>
          <w:tblCellMar>
            <w:top w:w="0" w:type="dxa"/>
            <w:left w:w="108" w:type="dxa"/>
            <w:bottom w:w="0" w:type="dxa"/>
            <w:right w:w="108" w:type="dxa"/>
          </w:tblCellMar>
        </w:tblPrEx>
        <w:trPr>
          <w:trHeight w:val="454"/>
          <w:jc w:val="center"/>
        </w:trPr>
        <w:tc>
          <w:tcPr>
            <w:tcW w:w="2731"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89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大修周期</w:t>
            </w:r>
          </w:p>
        </w:tc>
        <w:tc>
          <w:tcPr>
            <w:tcW w:w="615" w:type="dxa"/>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hint="eastAsia"/>
                <w:kern w:val="0"/>
                <w:szCs w:val="21"/>
              </w:rPr>
            </w:pPr>
            <w:r>
              <w:rPr>
                <w:rFonts w:ascii="宋体" w:hAnsi="宋体" w:hint="eastAsia"/>
                <w:kern w:val="0"/>
                <w:szCs w:val="21"/>
              </w:rPr>
              <w:t>h</w:t>
            </w:r>
          </w:p>
        </w:tc>
        <w:tc>
          <w:tcPr>
            <w:tcW w:w="1416" w:type="dxa"/>
            <w:tcBorders>
              <w:top w:val="single" w:sz="4" w:space="0" w:color="000000"/>
              <w:left w:val="single" w:sz="4" w:space="0" w:color="000000"/>
              <w:bottom w:val="single" w:sz="4" w:space="0" w:color="000000"/>
              <w:right w:val="single" w:sz="4" w:space="0" w:color="000000"/>
            </w:tcBorders>
            <w:vAlign w:val="center"/>
          </w:tcPr>
          <w:p>
            <w:pPr>
              <w:widowControl/>
              <w:snapToGrid w:val="0"/>
              <w:rPr>
                <w:rFonts w:ascii="宋体" w:hAnsi="宋体" w:hint="eastAsia"/>
                <w:kern w:val="0"/>
                <w:szCs w:val="21"/>
              </w:rPr>
            </w:pPr>
            <w:r>
              <w:rPr>
                <w:rFonts w:ascii="宋体" w:hAnsi="宋体" w:hint="eastAsia"/>
                <w:kern w:val="0"/>
                <w:szCs w:val="21"/>
              </w:rPr>
              <w:t>3600</w:t>
            </w:r>
          </w:p>
        </w:tc>
        <w:tc>
          <w:tcPr>
            <w:tcW w:w="2297"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841"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满载航程</w:t>
            </w:r>
          </w:p>
        </w:tc>
        <w:tc>
          <w:tcPr>
            <w:tcW w:w="816"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2800</w:t>
            </w:r>
          </w:p>
        </w:tc>
      </w:tr>
      <w:tr>
        <w:tblPrEx>
          <w:tblW w:w="0" w:type="auto"/>
          <w:jc w:val="center"/>
          <w:tblLayout w:type="fixed"/>
          <w:tblCellMar>
            <w:top w:w="0" w:type="dxa"/>
            <w:left w:w="108" w:type="dxa"/>
            <w:bottom w:w="0" w:type="dxa"/>
            <w:right w:w="108" w:type="dxa"/>
          </w:tblCellMar>
        </w:tblPrEx>
        <w:trPr>
          <w:trHeight w:val="454"/>
          <w:jc w:val="center"/>
        </w:trPr>
        <w:tc>
          <w:tcPr>
            <w:tcW w:w="835" w:type="dxa"/>
            <w:vMerge w:val="restart"/>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hint="eastAsia"/>
                <w:kern w:val="0"/>
                <w:szCs w:val="21"/>
              </w:rPr>
            </w:pPr>
            <w:r>
              <w:rPr>
                <w:rFonts w:ascii="宋体" w:hAnsi="宋体" w:hint="eastAsia"/>
                <w:kern w:val="0"/>
                <w:szCs w:val="21"/>
              </w:rPr>
              <w:t>设计重量</w:t>
            </w:r>
          </w:p>
        </w:tc>
        <w:tc>
          <w:tcPr>
            <w:tcW w:w="189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最大停机坪重量</w:t>
            </w:r>
          </w:p>
        </w:tc>
        <w:tc>
          <w:tcPr>
            <w:tcW w:w="615" w:type="dxa"/>
            <w:vMerge w:val="restart"/>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hint="eastAsia"/>
                <w:kern w:val="0"/>
                <w:szCs w:val="21"/>
              </w:rPr>
            </w:pPr>
            <w:r>
              <w:rPr>
                <w:rFonts w:ascii="宋体" w:hAnsi="宋体" w:hint="eastAsia"/>
                <w:kern w:val="0"/>
                <w:szCs w:val="21"/>
              </w:rPr>
              <w:t>kg</w:t>
            </w:r>
          </w:p>
        </w:tc>
        <w:tc>
          <w:tcPr>
            <w:tcW w:w="14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7530</w:t>
            </w:r>
          </w:p>
        </w:tc>
        <w:tc>
          <w:tcPr>
            <w:tcW w:w="2297" w:type="dxa"/>
            <w:gridSpan w:val="2"/>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hint="eastAsia"/>
                <w:kern w:val="0"/>
                <w:szCs w:val="21"/>
              </w:rPr>
            </w:pPr>
            <w:r>
              <w:rPr>
                <w:rFonts w:ascii="宋体" w:hAnsi="宋体" w:hint="eastAsia"/>
                <w:kern w:val="0"/>
                <w:szCs w:val="21"/>
              </w:rPr>
              <w:t>平均小时耗油量</w:t>
            </w: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kg</w:t>
            </w: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182～347</w:t>
            </w:r>
          </w:p>
        </w:tc>
      </w:tr>
      <w:tr>
        <w:tblPrEx>
          <w:tblW w:w="0" w:type="auto"/>
          <w:jc w:val="center"/>
          <w:tblLayout w:type="fixed"/>
          <w:tblCellMar>
            <w:top w:w="0" w:type="dxa"/>
            <w:left w:w="108" w:type="dxa"/>
            <w:bottom w:w="0" w:type="dxa"/>
            <w:right w:w="108" w:type="dxa"/>
          </w:tblCellMar>
        </w:tblPrEx>
        <w:trPr>
          <w:trHeight w:val="454"/>
          <w:jc w:val="center"/>
        </w:trPr>
        <w:tc>
          <w:tcPr>
            <w:tcW w:w="2731"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89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最大起飞重量</w:t>
            </w:r>
          </w:p>
        </w:tc>
        <w:tc>
          <w:tcPr>
            <w:tcW w:w="615"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4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7484</w:t>
            </w:r>
          </w:p>
        </w:tc>
        <w:tc>
          <w:tcPr>
            <w:tcW w:w="456" w:type="dxa"/>
            <w:vMerge w:val="restart"/>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hint="eastAsia"/>
                <w:kern w:val="0"/>
                <w:szCs w:val="21"/>
              </w:rPr>
            </w:pPr>
            <w:r>
              <w:rPr>
                <w:rFonts w:ascii="宋体" w:hAnsi="宋体" w:hint="eastAsia"/>
                <w:kern w:val="0"/>
                <w:szCs w:val="21"/>
              </w:rPr>
              <w:t>高速</w:t>
            </w:r>
          </w:p>
          <w:p>
            <w:pPr>
              <w:widowControl/>
              <w:jc w:val="center"/>
              <w:rPr>
                <w:rFonts w:ascii="宋体" w:hAnsi="宋体" w:hint="eastAsia"/>
                <w:kern w:val="0"/>
                <w:szCs w:val="21"/>
              </w:rPr>
            </w:pPr>
            <w:r>
              <w:rPr>
                <w:rFonts w:ascii="宋体" w:hAnsi="宋体" w:hint="eastAsia"/>
                <w:kern w:val="0"/>
                <w:szCs w:val="21"/>
              </w:rPr>
              <w:t>巡航</w:t>
            </w:r>
          </w:p>
        </w:tc>
        <w:tc>
          <w:tcPr>
            <w:tcW w:w="1841"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速度</w:t>
            </w: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km/h</w:t>
            </w: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561</w:t>
            </w:r>
          </w:p>
        </w:tc>
      </w:tr>
      <w:tr>
        <w:tblPrEx>
          <w:tblW w:w="0" w:type="auto"/>
          <w:jc w:val="center"/>
          <w:tblLayout w:type="fixed"/>
          <w:tblCellMar>
            <w:top w:w="0" w:type="dxa"/>
            <w:left w:w="108" w:type="dxa"/>
            <w:bottom w:w="0" w:type="dxa"/>
            <w:right w:w="108" w:type="dxa"/>
          </w:tblCellMar>
        </w:tblPrEx>
        <w:trPr>
          <w:trHeight w:val="454"/>
          <w:jc w:val="center"/>
        </w:trPr>
        <w:tc>
          <w:tcPr>
            <w:tcW w:w="2731"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89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最大着陆重量</w:t>
            </w:r>
          </w:p>
        </w:tc>
        <w:tc>
          <w:tcPr>
            <w:tcW w:w="615"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4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7110</w:t>
            </w:r>
          </w:p>
        </w:tc>
        <w:tc>
          <w:tcPr>
            <w:tcW w:w="2297"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841"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燃油流量</w:t>
            </w: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kg/h</w:t>
            </w: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347</w:t>
            </w:r>
          </w:p>
        </w:tc>
      </w:tr>
      <w:tr>
        <w:tblPrEx>
          <w:tblW w:w="0" w:type="auto"/>
          <w:jc w:val="center"/>
          <w:tblLayout w:type="fixed"/>
          <w:tblCellMar>
            <w:top w:w="0" w:type="dxa"/>
            <w:left w:w="108" w:type="dxa"/>
            <w:bottom w:w="0" w:type="dxa"/>
            <w:right w:w="108" w:type="dxa"/>
          </w:tblCellMar>
        </w:tblPrEx>
        <w:trPr>
          <w:trHeight w:val="454"/>
          <w:jc w:val="center"/>
        </w:trPr>
        <w:tc>
          <w:tcPr>
            <w:tcW w:w="2731"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89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最大零燃油重量</w:t>
            </w:r>
          </w:p>
        </w:tc>
        <w:tc>
          <w:tcPr>
            <w:tcW w:w="615"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4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5897</w:t>
            </w:r>
          </w:p>
        </w:tc>
        <w:tc>
          <w:tcPr>
            <w:tcW w:w="2297"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841"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高度</w:t>
            </w: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m</w:t>
            </w: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7315</w:t>
            </w:r>
          </w:p>
        </w:tc>
      </w:tr>
      <w:tr>
        <w:tblPrEx>
          <w:tblW w:w="0" w:type="auto"/>
          <w:jc w:val="center"/>
          <w:tblLayout w:type="fixed"/>
          <w:tblCellMar>
            <w:top w:w="0" w:type="dxa"/>
            <w:left w:w="108" w:type="dxa"/>
            <w:bottom w:w="0" w:type="dxa"/>
            <w:right w:w="108" w:type="dxa"/>
          </w:tblCellMar>
        </w:tblPrEx>
        <w:trPr>
          <w:trHeight w:val="454"/>
          <w:jc w:val="center"/>
        </w:trPr>
        <w:tc>
          <w:tcPr>
            <w:tcW w:w="2731"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89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典型装备基本运行重量</w:t>
            </w:r>
          </w:p>
        </w:tc>
        <w:tc>
          <w:tcPr>
            <w:tcW w:w="615"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4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4698</w:t>
            </w:r>
          </w:p>
        </w:tc>
        <w:tc>
          <w:tcPr>
            <w:tcW w:w="456" w:type="dxa"/>
            <w:vMerge w:val="restart"/>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hint="eastAsia"/>
                <w:kern w:val="0"/>
                <w:szCs w:val="21"/>
              </w:rPr>
            </w:pPr>
            <w:r>
              <w:rPr>
                <w:rFonts w:ascii="宋体" w:hAnsi="宋体" w:hint="eastAsia"/>
                <w:kern w:val="0"/>
                <w:szCs w:val="21"/>
              </w:rPr>
              <w:t>远程</w:t>
            </w:r>
          </w:p>
          <w:p>
            <w:pPr>
              <w:widowControl/>
              <w:jc w:val="center"/>
              <w:rPr>
                <w:rFonts w:ascii="宋体" w:hAnsi="宋体" w:hint="eastAsia"/>
                <w:kern w:val="0"/>
                <w:szCs w:val="21"/>
              </w:rPr>
            </w:pPr>
            <w:r>
              <w:rPr>
                <w:rFonts w:ascii="宋体" w:hAnsi="宋体" w:hint="eastAsia"/>
                <w:kern w:val="0"/>
                <w:szCs w:val="21"/>
              </w:rPr>
              <w:t>巡航</w:t>
            </w:r>
          </w:p>
        </w:tc>
        <w:tc>
          <w:tcPr>
            <w:tcW w:w="1841"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速度</w:t>
            </w: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km/h</w:t>
            </w: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441</w:t>
            </w:r>
          </w:p>
        </w:tc>
      </w:tr>
      <w:tr>
        <w:tblPrEx>
          <w:tblW w:w="0" w:type="auto"/>
          <w:jc w:val="center"/>
          <w:tblLayout w:type="fixed"/>
          <w:tblCellMar>
            <w:top w:w="0" w:type="dxa"/>
            <w:left w:w="108" w:type="dxa"/>
            <w:bottom w:w="0" w:type="dxa"/>
            <w:right w:w="108" w:type="dxa"/>
          </w:tblCellMar>
        </w:tblPrEx>
        <w:trPr>
          <w:trHeight w:val="454"/>
          <w:jc w:val="center"/>
        </w:trPr>
        <w:tc>
          <w:tcPr>
            <w:tcW w:w="835" w:type="dxa"/>
            <w:vMerge w:val="restart"/>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hint="eastAsia"/>
                <w:kern w:val="0"/>
                <w:szCs w:val="21"/>
              </w:rPr>
            </w:pPr>
            <w:r>
              <w:rPr>
                <w:rFonts w:ascii="宋体" w:hAnsi="宋体" w:hint="eastAsia"/>
                <w:kern w:val="0"/>
                <w:szCs w:val="21"/>
              </w:rPr>
              <w:t>航时</w:t>
            </w:r>
          </w:p>
        </w:tc>
        <w:tc>
          <w:tcPr>
            <w:tcW w:w="189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满油航时</w:t>
            </w:r>
          </w:p>
        </w:tc>
        <w:tc>
          <w:tcPr>
            <w:tcW w:w="615" w:type="dxa"/>
            <w:vMerge w:val="restart"/>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hint="eastAsia"/>
                <w:kern w:val="0"/>
                <w:szCs w:val="21"/>
              </w:rPr>
            </w:pPr>
            <w:r>
              <w:rPr>
                <w:rFonts w:ascii="宋体" w:hAnsi="宋体" w:hint="eastAsia"/>
                <w:kern w:val="0"/>
                <w:szCs w:val="21"/>
              </w:rPr>
              <w:t>h</w:t>
            </w:r>
          </w:p>
        </w:tc>
        <w:tc>
          <w:tcPr>
            <w:tcW w:w="14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10.7</w:t>
            </w:r>
          </w:p>
        </w:tc>
        <w:tc>
          <w:tcPr>
            <w:tcW w:w="2297"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841"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燃油流量</w:t>
            </w: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kg/h</w:t>
            </w: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182</w:t>
            </w:r>
          </w:p>
        </w:tc>
      </w:tr>
      <w:tr>
        <w:tblPrEx>
          <w:tblW w:w="0" w:type="auto"/>
          <w:jc w:val="center"/>
          <w:tblLayout w:type="fixed"/>
          <w:tblCellMar>
            <w:top w:w="0" w:type="dxa"/>
            <w:left w:w="108" w:type="dxa"/>
            <w:bottom w:w="0" w:type="dxa"/>
            <w:right w:w="108" w:type="dxa"/>
          </w:tblCellMar>
        </w:tblPrEx>
        <w:trPr>
          <w:trHeight w:val="454"/>
          <w:jc w:val="center"/>
        </w:trPr>
        <w:tc>
          <w:tcPr>
            <w:tcW w:w="2731"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89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满载航时</w:t>
            </w:r>
          </w:p>
        </w:tc>
        <w:tc>
          <w:tcPr>
            <w:tcW w:w="615"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4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6.3</w:t>
            </w:r>
          </w:p>
        </w:tc>
        <w:tc>
          <w:tcPr>
            <w:tcW w:w="2297" w:type="dxa"/>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cs="Times New Roman"/>
                <w:kern w:val="0"/>
                <w:szCs w:val="21"/>
              </w:rPr>
            </w:pPr>
          </w:p>
        </w:tc>
        <w:tc>
          <w:tcPr>
            <w:tcW w:w="1841"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高度</w:t>
            </w: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m</w:t>
            </w:r>
          </w:p>
        </w:tc>
        <w:tc>
          <w:tcPr>
            <w:tcW w:w="816" w:type="dxa"/>
            <w:tcBorders>
              <w:top w:val="single" w:sz="4" w:space="0" w:color="000000"/>
              <w:left w:val="single" w:sz="4" w:space="0" w:color="000000"/>
              <w:bottom w:val="single" w:sz="4" w:space="0" w:color="000000"/>
              <w:right w:val="single" w:sz="4" w:space="0" w:color="000000"/>
            </w:tcBorders>
            <w:vAlign w:val="center"/>
          </w:tcPr>
          <w:p>
            <w:pPr>
              <w:widowControl/>
              <w:rPr>
                <w:rFonts w:ascii="宋体" w:hAnsi="宋体" w:hint="eastAsia"/>
                <w:kern w:val="0"/>
                <w:szCs w:val="21"/>
              </w:rPr>
            </w:pPr>
            <w:r>
              <w:rPr>
                <w:rFonts w:ascii="宋体" w:hAnsi="宋体" w:hint="eastAsia"/>
                <w:kern w:val="0"/>
                <w:szCs w:val="21"/>
              </w:rPr>
              <w:t>10058</w:t>
            </w:r>
          </w:p>
        </w:tc>
      </w:tr>
    </w:tbl>
    <w:p>
      <w:pPr>
        <w:pStyle w:val="a2"/>
        <w:ind w:firstLine="420"/>
        <w:rPr>
          <w:rFonts w:ascii="宋体" w:hAnsi="宋体" w:hint="eastAsia"/>
          <w:sz w:val="21"/>
          <w:szCs w:val="21"/>
          <w:lang w:eastAsia="zh-CN"/>
        </w:rPr>
      </w:pPr>
      <w:r>
        <w:rPr>
          <w:rFonts w:ascii="宋体" w:hAnsi="宋体" w:hint="eastAsia"/>
          <w:sz w:val="21"/>
          <w:szCs w:val="21"/>
          <w:lang w:eastAsia="zh-CN"/>
        </w:rPr>
        <w:t>具体参数参照云物理探测设备和增雨作业设备加改装后的飞行手册。</w:t>
      </w:r>
    </w:p>
    <w:p>
      <w:pPr>
        <w:pStyle w:val="a2"/>
        <w:spacing w:line="520" w:lineRule="exact"/>
        <w:ind w:firstLine="422"/>
        <w:outlineLvl w:val="1"/>
        <w:rPr>
          <w:rFonts w:ascii="宋体" w:hAnsi="宋体" w:hint="eastAsia"/>
          <w:b/>
          <w:sz w:val="21"/>
          <w:szCs w:val="21"/>
          <w:lang w:eastAsia="zh-CN"/>
        </w:rPr>
      </w:pPr>
      <w:r>
        <w:rPr>
          <w:rFonts w:ascii="宋体" w:hAnsi="宋体" w:hint="eastAsia"/>
          <w:b/>
          <w:sz w:val="21"/>
          <w:szCs w:val="21"/>
          <w:lang w:eastAsia="zh-CN"/>
        </w:rPr>
        <w:t>（二）飞机改装</w:t>
      </w:r>
    </w:p>
    <w:bookmarkEnd w:id="62"/>
    <w:bookmarkEnd w:id="63"/>
    <w:bookmarkEnd w:id="64"/>
    <w:bookmarkEnd w:id="65"/>
    <w:p>
      <w:pPr>
        <w:pStyle w:val="a2"/>
        <w:spacing w:line="520" w:lineRule="exact"/>
        <w:ind w:firstLine="420"/>
        <w:rPr>
          <w:rFonts w:ascii="宋体" w:hAnsi="宋体" w:hint="eastAsia"/>
          <w:sz w:val="21"/>
          <w:szCs w:val="21"/>
          <w:lang w:eastAsia="zh-CN"/>
        </w:rPr>
      </w:pPr>
      <w:r>
        <w:rPr>
          <w:rFonts w:ascii="宋体" w:hAnsi="宋体" w:hint="eastAsia"/>
          <w:sz w:val="21"/>
          <w:szCs w:val="21"/>
          <w:lang w:eastAsia="zh-CN"/>
        </w:rPr>
        <w:t>在空中国王350HW型飞机标准状态的基础上改进研制高性能作业飞机，用于执行人影作业。飞机重点改装内容包括：加装机载大气探测子系统、机载催化作业子系统、空地通信子系统和机载设备系统集成平台（详见表2）；为适应人影作业任务，对飞机内外部布局、飞机结构、机械系统、音频系统、电气系统、电源系统和电磁兼容性等进行适应性改进和加强。</w:t>
      </w:r>
    </w:p>
    <w:p>
      <w:pPr>
        <w:pStyle w:val="a4"/>
        <w:spacing w:before="120" w:after="120"/>
        <w:rPr>
          <w:rFonts w:ascii="宋体" w:hAnsi="宋体" w:hint="eastAsia"/>
          <w:color w:val="auto"/>
          <w:sz w:val="21"/>
          <w:szCs w:val="21"/>
        </w:rPr>
      </w:pPr>
      <w:r>
        <w:rPr>
          <w:rFonts w:ascii="宋体" w:hAnsi="宋体" w:hint="eastAsia"/>
          <w:color w:val="auto"/>
          <w:sz w:val="21"/>
          <w:szCs w:val="21"/>
        </w:rPr>
        <w:t>表2 空中国王350HW飞机主要加装设备清单</w:t>
      </w:r>
    </w:p>
    <w:tbl>
      <w:tblPr>
        <w:tblStyle w:val="TableNormal"/>
        <w:tblW w:w="906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Pr>
      <w:tblGrid>
        <w:gridCol w:w="822"/>
        <w:gridCol w:w="709"/>
        <w:gridCol w:w="3142"/>
        <w:gridCol w:w="1563"/>
        <w:gridCol w:w="2824"/>
      </w:tblGrid>
      <w:tr>
        <w:tblPrEx>
          <w:tblW w:w="906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PrEx>
        <w:trPr>
          <w:trHeight w:val="451"/>
          <w:jc w:val="center"/>
        </w:trPr>
        <w:tc>
          <w:tcPr>
            <w:tcW w:w="822" w:type="dxa"/>
            <w:tcBorders>
              <w:top w:val="single" w:sz="12" w:space="0" w:color="000000"/>
              <w:left w:val="single" w:sz="12" w:space="0" w:color="000000"/>
              <w:bottom w:val="single" w:sz="12" w:space="0" w:color="000000"/>
              <w:right w:val="single" w:sz="6" w:space="0" w:color="000000"/>
            </w:tcBorders>
          </w:tcPr>
          <w:p>
            <w:pPr>
              <w:pStyle w:val="TableParagraph"/>
              <w:ind w:left="167"/>
              <w:jc w:val="left"/>
              <w:rPr>
                <w:rFonts w:ascii="宋体" w:eastAsia="宋体" w:hAnsi="宋体" w:hint="eastAsia"/>
                <w:b/>
                <w:sz w:val="21"/>
                <w:szCs w:val="21"/>
              </w:rPr>
            </w:pPr>
            <w:r>
              <w:rPr>
                <w:rFonts w:ascii="宋体" w:eastAsia="宋体" w:hAnsi="宋体" w:hint="eastAsia"/>
                <w:b/>
                <w:sz w:val="21"/>
                <w:szCs w:val="21"/>
              </w:rPr>
              <w:t>项目</w:t>
            </w:r>
          </w:p>
        </w:tc>
        <w:tc>
          <w:tcPr>
            <w:tcW w:w="709" w:type="dxa"/>
            <w:tcBorders>
              <w:top w:val="single" w:sz="12" w:space="0" w:color="000000"/>
              <w:left w:val="single" w:sz="6" w:space="0" w:color="000000"/>
              <w:bottom w:val="single" w:sz="12" w:space="0" w:color="000000"/>
              <w:right w:val="single" w:sz="6" w:space="0" w:color="000000"/>
            </w:tcBorders>
          </w:tcPr>
          <w:p>
            <w:pPr>
              <w:pStyle w:val="TableParagraph"/>
              <w:ind w:left="100" w:right="70"/>
              <w:rPr>
                <w:rFonts w:ascii="宋体" w:eastAsia="宋体" w:hAnsi="宋体" w:hint="eastAsia"/>
                <w:b/>
                <w:sz w:val="21"/>
                <w:szCs w:val="21"/>
              </w:rPr>
            </w:pPr>
            <w:r>
              <w:rPr>
                <w:rFonts w:ascii="宋体" w:eastAsia="宋体" w:hAnsi="宋体" w:hint="eastAsia"/>
                <w:b/>
                <w:sz w:val="21"/>
                <w:szCs w:val="21"/>
              </w:rPr>
              <w:t>序号</w:t>
            </w:r>
          </w:p>
        </w:tc>
        <w:tc>
          <w:tcPr>
            <w:tcW w:w="3140" w:type="dxa"/>
            <w:tcBorders>
              <w:top w:val="single" w:sz="12" w:space="0" w:color="000000"/>
              <w:left w:val="single" w:sz="6" w:space="0" w:color="000000"/>
              <w:bottom w:val="single" w:sz="12" w:space="0" w:color="000000"/>
              <w:right w:val="single" w:sz="6" w:space="0" w:color="000000"/>
            </w:tcBorders>
          </w:tcPr>
          <w:p>
            <w:pPr>
              <w:pStyle w:val="TableParagraph"/>
              <w:ind w:left="1310" w:right="1282"/>
              <w:rPr>
                <w:rFonts w:ascii="宋体" w:eastAsia="宋体" w:hAnsi="宋体" w:hint="eastAsia"/>
                <w:b/>
                <w:sz w:val="21"/>
                <w:szCs w:val="21"/>
              </w:rPr>
            </w:pPr>
            <w:r>
              <w:rPr>
                <w:rFonts w:ascii="宋体" w:eastAsia="宋体" w:hAnsi="宋体" w:hint="eastAsia"/>
                <w:b/>
                <w:sz w:val="21"/>
                <w:szCs w:val="21"/>
              </w:rPr>
              <w:t>名称</w:t>
            </w:r>
          </w:p>
        </w:tc>
        <w:tc>
          <w:tcPr>
            <w:tcW w:w="1562" w:type="dxa"/>
            <w:tcBorders>
              <w:top w:val="single" w:sz="12" w:space="0" w:color="000000"/>
              <w:left w:val="single" w:sz="6" w:space="0" w:color="000000"/>
              <w:bottom w:val="single" w:sz="12" w:space="0" w:color="000000"/>
              <w:right w:val="single" w:sz="6" w:space="0" w:color="000000"/>
            </w:tcBorders>
          </w:tcPr>
          <w:p>
            <w:pPr>
              <w:pStyle w:val="TableParagraph"/>
              <w:ind w:left="164" w:right="136"/>
              <w:rPr>
                <w:rFonts w:ascii="宋体" w:eastAsia="宋体" w:hAnsi="宋体" w:hint="eastAsia"/>
                <w:b/>
                <w:sz w:val="21"/>
                <w:szCs w:val="21"/>
              </w:rPr>
            </w:pPr>
            <w:r>
              <w:rPr>
                <w:rFonts w:ascii="宋体" w:eastAsia="宋体" w:hAnsi="宋体" w:hint="eastAsia"/>
                <w:b/>
                <w:sz w:val="21"/>
                <w:szCs w:val="21"/>
              </w:rPr>
              <w:t>数量（套）</w:t>
            </w:r>
          </w:p>
        </w:tc>
        <w:tc>
          <w:tcPr>
            <w:tcW w:w="2822" w:type="dxa"/>
            <w:tcBorders>
              <w:top w:val="single" w:sz="12" w:space="0" w:color="000000"/>
              <w:left w:val="single" w:sz="6" w:space="0" w:color="000000"/>
              <w:bottom w:val="single" w:sz="12" w:space="0" w:color="000000"/>
              <w:right w:val="single" w:sz="12" w:space="0" w:color="000000"/>
            </w:tcBorders>
          </w:tcPr>
          <w:p>
            <w:pPr>
              <w:pStyle w:val="TableParagraph"/>
              <w:ind w:left="374" w:right="339"/>
              <w:rPr>
                <w:rFonts w:ascii="宋体" w:eastAsia="宋体" w:hAnsi="宋体" w:hint="eastAsia"/>
                <w:b/>
                <w:sz w:val="21"/>
                <w:szCs w:val="21"/>
              </w:rPr>
            </w:pPr>
            <w:r>
              <w:rPr>
                <w:rFonts w:ascii="宋体" w:eastAsia="宋体" w:hAnsi="宋体" w:hint="eastAsia"/>
                <w:b/>
                <w:sz w:val="21"/>
                <w:szCs w:val="21"/>
              </w:rPr>
              <w:t>设备型号</w:t>
            </w:r>
          </w:p>
        </w:tc>
      </w:tr>
      <w:tr>
        <w:tblPrEx>
          <w:tblW w:w="9060" w:type="dxa"/>
          <w:jc w:val="center"/>
          <w:tblLayout w:type="fixed"/>
          <w:tblCellMar>
            <w:top w:w="0" w:type="dxa"/>
            <w:left w:w="0" w:type="dxa"/>
            <w:bottom w:w="0" w:type="dxa"/>
            <w:right w:w="0" w:type="dxa"/>
          </w:tblCellMar>
        </w:tblPrEx>
        <w:trPr>
          <w:trHeight w:val="455"/>
          <w:jc w:val="center"/>
        </w:trPr>
        <w:tc>
          <w:tcPr>
            <w:tcW w:w="822" w:type="dxa"/>
            <w:vMerge w:val="restart"/>
            <w:tcBorders>
              <w:top w:val="single" w:sz="12" w:space="0" w:color="000000"/>
              <w:left w:val="single" w:sz="12" w:space="0" w:color="000000"/>
              <w:bottom w:val="single" w:sz="6" w:space="0" w:color="000000"/>
              <w:right w:val="single" w:sz="6" w:space="0" w:color="000000"/>
            </w:tcBorders>
            <w:vAlign w:val="center"/>
          </w:tcPr>
          <w:p>
            <w:pPr>
              <w:pStyle w:val="TableParagraph"/>
              <w:spacing w:before="0"/>
              <w:ind w:left="107"/>
              <w:rPr>
                <w:rFonts w:ascii="宋体" w:eastAsia="宋体" w:hAnsi="宋体" w:hint="eastAsia"/>
                <w:b/>
                <w:sz w:val="21"/>
                <w:szCs w:val="21"/>
              </w:rPr>
            </w:pPr>
            <w:r>
              <w:rPr>
                <w:rFonts w:ascii="宋体" w:eastAsia="宋体" w:hAnsi="宋体" w:hint="eastAsia"/>
                <w:b/>
                <w:sz w:val="21"/>
                <w:szCs w:val="21"/>
              </w:rPr>
              <w:t>大气探测系统</w:t>
            </w:r>
          </w:p>
        </w:tc>
        <w:tc>
          <w:tcPr>
            <w:tcW w:w="709" w:type="dxa"/>
            <w:tcBorders>
              <w:top w:val="single" w:sz="12" w:space="0" w:color="000000"/>
              <w:left w:val="single" w:sz="6" w:space="0" w:color="000000"/>
              <w:bottom w:val="single" w:sz="6" w:space="0" w:color="000000"/>
              <w:right w:val="single" w:sz="6" w:space="0" w:color="000000"/>
            </w:tcBorders>
          </w:tcPr>
          <w:p>
            <w:pPr>
              <w:pStyle w:val="TableParagraph"/>
              <w:spacing w:before="84"/>
              <w:ind w:left="25"/>
              <w:rPr>
                <w:rFonts w:ascii="宋体" w:eastAsia="宋体" w:hAnsi="宋体" w:hint="eastAsia"/>
                <w:sz w:val="21"/>
                <w:szCs w:val="21"/>
              </w:rPr>
            </w:pPr>
            <w:r>
              <w:rPr>
                <w:rFonts w:ascii="宋体" w:eastAsia="宋体" w:hAnsi="宋体" w:hint="eastAsia"/>
                <w:sz w:val="21"/>
                <w:szCs w:val="21"/>
              </w:rPr>
              <w:t>1</w:t>
            </w:r>
          </w:p>
        </w:tc>
        <w:tc>
          <w:tcPr>
            <w:tcW w:w="3140" w:type="dxa"/>
            <w:tcBorders>
              <w:top w:val="single" w:sz="12" w:space="0" w:color="000000"/>
              <w:left w:val="single" w:sz="6" w:space="0" w:color="000000"/>
              <w:bottom w:val="single" w:sz="6" w:space="0" w:color="000000"/>
              <w:right w:val="single" w:sz="6" w:space="0" w:color="000000"/>
            </w:tcBorders>
          </w:tcPr>
          <w:p>
            <w:pPr>
              <w:pStyle w:val="TableParagraph"/>
              <w:spacing w:before="84"/>
              <w:ind w:left="114"/>
              <w:jc w:val="left"/>
              <w:rPr>
                <w:rFonts w:ascii="宋体" w:eastAsia="宋体" w:hAnsi="宋体" w:hint="eastAsia"/>
                <w:sz w:val="21"/>
                <w:szCs w:val="21"/>
              </w:rPr>
            </w:pPr>
            <w:r>
              <w:rPr>
                <w:rFonts w:ascii="宋体" w:eastAsia="宋体" w:hAnsi="宋体" w:hint="eastAsia"/>
                <w:sz w:val="21"/>
                <w:szCs w:val="21"/>
              </w:rPr>
              <w:t>云粒子谱探头</w:t>
            </w:r>
          </w:p>
        </w:tc>
        <w:tc>
          <w:tcPr>
            <w:tcW w:w="1562" w:type="dxa"/>
            <w:tcBorders>
              <w:top w:val="single" w:sz="12" w:space="0" w:color="000000"/>
              <w:left w:val="single" w:sz="6" w:space="0" w:color="000000"/>
              <w:bottom w:val="single" w:sz="6" w:space="0" w:color="000000"/>
              <w:right w:val="single" w:sz="6" w:space="0" w:color="000000"/>
            </w:tcBorders>
          </w:tcPr>
          <w:p>
            <w:pPr>
              <w:pStyle w:val="TableParagraph"/>
              <w:spacing w:before="84"/>
              <w:ind w:left="29"/>
              <w:rPr>
                <w:rFonts w:ascii="宋体" w:eastAsia="宋体" w:hAnsi="宋体" w:hint="eastAsia"/>
                <w:sz w:val="21"/>
                <w:szCs w:val="21"/>
              </w:rPr>
            </w:pPr>
            <w:r>
              <w:rPr>
                <w:rFonts w:ascii="宋体" w:eastAsia="宋体" w:hAnsi="宋体" w:hint="eastAsia"/>
                <w:sz w:val="21"/>
                <w:szCs w:val="21"/>
              </w:rPr>
              <w:t>1</w:t>
            </w:r>
          </w:p>
        </w:tc>
        <w:tc>
          <w:tcPr>
            <w:tcW w:w="2822" w:type="dxa"/>
            <w:tcBorders>
              <w:top w:val="single" w:sz="12" w:space="0" w:color="000000"/>
              <w:left w:val="single" w:sz="6" w:space="0" w:color="000000"/>
              <w:bottom w:val="single" w:sz="6" w:space="0" w:color="000000"/>
              <w:right w:val="single" w:sz="12" w:space="0" w:color="000000"/>
            </w:tcBorders>
          </w:tcPr>
          <w:p>
            <w:pPr>
              <w:pStyle w:val="TableParagraph"/>
              <w:spacing w:before="84"/>
              <w:ind w:left="375" w:right="338"/>
              <w:rPr>
                <w:rFonts w:ascii="宋体" w:eastAsia="宋体" w:hAnsi="宋体" w:hint="eastAsia"/>
                <w:sz w:val="21"/>
                <w:szCs w:val="21"/>
              </w:rPr>
            </w:pPr>
            <w:r>
              <w:rPr>
                <w:rFonts w:ascii="宋体" w:eastAsia="宋体" w:hAnsi="宋体" w:hint="eastAsia"/>
                <w:sz w:val="21"/>
                <w:szCs w:val="21"/>
              </w:rPr>
              <w:t>FCDP</w:t>
            </w:r>
          </w:p>
        </w:tc>
      </w:tr>
      <w:tr>
        <w:tblPrEx>
          <w:tblW w:w="9060" w:type="dxa"/>
          <w:jc w:val="center"/>
          <w:tblLayout w:type="fixed"/>
          <w:tblCellMar>
            <w:top w:w="0" w:type="dxa"/>
            <w:left w:w="0" w:type="dxa"/>
            <w:bottom w:w="0" w:type="dxa"/>
            <w:right w:w="0" w:type="dxa"/>
          </w:tblCellMar>
        </w:tblPrEx>
        <w:trPr>
          <w:trHeight w:val="452"/>
          <w:jc w:val="center"/>
        </w:trPr>
        <w:tc>
          <w:tcPr>
            <w:tcW w:w="822" w:type="dxa"/>
            <w:vMerge/>
            <w:tcBorders>
              <w:top w:val="single" w:sz="12" w:space="0" w:color="000000"/>
              <w:left w:val="single" w:sz="12" w:space="0" w:color="000000"/>
              <w:bottom w:val="single" w:sz="6" w:space="0" w:color="000000"/>
              <w:right w:val="single" w:sz="6" w:space="0" w:color="000000"/>
            </w:tcBorders>
            <w:vAlign w:val="center"/>
          </w:tcPr>
          <w:p>
            <w:pPr>
              <w:widowControl/>
              <w:jc w:val="left"/>
              <w:rPr>
                <w:rFonts w:ascii="宋体" w:hAnsi="宋体" w:cs="仿宋"/>
                <w:b/>
                <w:kern w:val="0"/>
                <w:szCs w:val="21"/>
                <w:lang w:val="zh-CN" w:bidi="zh-CN"/>
              </w:rPr>
            </w:pPr>
          </w:p>
        </w:tc>
        <w:tc>
          <w:tcPr>
            <w:tcW w:w="709" w:type="dxa"/>
            <w:tcBorders>
              <w:top w:val="single" w:sz="6" w:space="0" w:color="000000"/>
              <w:left w:val="single" w:sz="6" w:space="0" w:color="000000"/>
              <w:bottom w:val="single" w:sz="6" w:space="0" w:color="000000"/>
              <w:right w:val="single" w:sz="6" w:space="0" w:color="000000"/>
            </w:tcBorders>
          </w:tcPr>
          <w:p>
            <w:pPr>
              <w:pStyle w:val="TableParagraph"/>
              <w:ind w:left="25"/>
              <w:rPr>
                <w:rFonts w:ascii="宋体" w:eastAsia="宋体" w:hAnsi="宋体" w:hint="eastAsia"/>
                <w:sz w:val="21"/>
                <w:szCs w:val="21"/>
              </w:rPr>
            </w:pPr>
            <w:r>
              <w:rPr>
                <w:rFonts w:ascii="宋体" w:eastAsia="宋体" w:hAnsi="宋体" w:hint="eastAsia"/>
                <w:sz w:val="21"/>
                <w:szCs w:val="21"/>
              </w:rPr>
              <w:t>2</w:t>
            </w:r>
          </w:p>
        </w:tc>
        <w:tc>
          <w:tcPr>
            <w:tcW w:w="3140" w:type="dxa"/>
            <w:tcBorders>
              <w:top w:val="single" w:sz="6" w:space="0" w:color="000000"/>
              <w:left w:val="single" w:sz="6" w:space="0" w:color="000000"/>
              <w:bottom w:val="single" w:sz="6" w:space="0" w:color="000000"/>
              <w:right w:val="single" w:sz="6" w:space="0" w:color="000000"/>
            </w:tcBorders>
          </w:tcPr>
          <w:p>
            <w:pPr>
              <w:pStyle w:val="TableParagraph"/>
              <w:ind w:left="114"/>
              <w:jc w:val="left"/>
              <w:rPr>
                <w:rFonts w:ascii="宋体" w:eastAsia="宋体" w:hAnsi="宋体" w:hint="eastAsia"/>
                <w:sz w:val="21"/>
                <w:szCs w:val="21"/>
              </w:rPr>
            </w:pPr>
            <w:r>
              <w:rPr>
                <w:rFonts w:ascii="宋体" w:eastAsia="宋体" w:hAnsi="宋体" w:hint="eastAsia"/>
                <w:sz w:val="21"/>
                <w:szCs w:val="21"/>
              </w:rPr>
              <w:t>降水粒子图像组合探头</w:t>
            </w:r>
          </w:p>
        </w:tc>
        <w:tc>
          <w:tcPr>
            <w:tcW w:w="1562" w:type="dxa"/>
            <w:tcBorders>
              <w:top w:val="single" w:sz="6" w:space="0" w:color="000000"/>
              <w:left w:val="single" w:sz="6" w:space="0" w:color="000000"/>
              <w:bottom w:val="single" w:sz="6" w:space="0" w:color="000000"/>
              <w:right w:val="single" w:sz="6" w:space="0" w:color="000000"/>
            </w:tcBorders>
          </w:tcPr>
          <w:p>
            <w:pPr>
              <w:pStyle w:val="TableParagraph"/>
              <w:ind w:left="29"/>
              <w:rPr>
                <w:rFonts w:ascii="宋体" w:eastAsia="宋体" w:hAnsi="宋体" w:hint="eastAsia"/>
                <w:sz w:val="21"/>
                <w:szCs w:val="21"/>
              </w:rPr>
            </w:pPr>
            <w:r>
              <w:rPr>
                <w:rFonts w:ascii="宋体" w:eastAsia="宋体" w:hAnsi="宋体" w:hint="eastAsia"/>
                <w:sz w:val="21"/>
                <w:szCs w:val="21"/>
              </w:rPr>
              <w:t>1</w:t>
            </w:r>
          </w:p>
        </w:tc>
        <w:tc>
          <w:tcPr>
            <w:tcW w:w="2822" w:type="dxa"/>
            <w:tcBorders>
              <w:top w:val="single" w:sz="6" w:space="0" w:color="000000"/>
              <w:left w:val="single" w:sz="6" w:space="0" w:color="000000"/>
              <w:bottom w:val="single" w:sz="6" w:space="0" w:color="000000"/>
              <w:right w:val="single" w:sz="12" w:space="0" w:color="000000"/>
            </w:tcBorders>
          </w:tcPr>
          <w:p>
            <w:pPr>
              <w:pStyle w:val="TableParagraph"/>
              <w:ind w:left="375" w:right="339"/>
              <w:rPr>
                <w:rFonts w:ascii="宋体" w:eastAsia="宋体" w:hAnsi="宋体" w:hint="eastAsia"/>
                <w:sz w:val="21"/>
                <w:szCs w:val="21"/>
              </w:rPr>
            </w:pPr>
            <w:r>
              <w:rPr>
                <w:rFonts w:ascii="宋体" w:eastAsia="宋体" w:hAnsi="宋体" w:hint="eastAsia"/>
                <w:sz w:val="21"/>
                <w:szCs w:val="21"/>
              </w:rPr>
              <w:t>3V-CPI</w:t>
            </w:r>
          </w:p>
        </w:tc>
      </w:tr>
      <w:tr>
        <w:tblPrEx>
          <w:tblW w:w="9060" w:type="dxa"/>
          <w:jc w:val="center"/>
          <w:tblLayout w:type="fixed"/>
          <w:tblCellMar>
            <w:top w:w="0" w:type="dxa"/>
            <w:left w:w="0" w:type="dxa"/>
            <w:bottom w:w="0" w:type="dxa"/>
            <w:right w:w="0" w:type="dxa"/>
          </w:tblCellMar>
        </w:tblPrEx>
        <w:trPr>
          <w:trHeight w:val="452"/>
          <w:jc w:val="center"/>
        </w:trPr>
        <w:tc>
          <w:tcPr>
            <w:tcW w:w="822" w:type="dxa"/>
            <w:vMerge/>
            <w:tcBorders>
              <w:top w:val="single" w:sz="12" w:space="0" w:color="000000"/>
              <w:left w:val="single" w:sz="12" w:space="0" w:color="000000"/>
              <w:bottom w:val="single" w:sz="6" w:space="0" w:color="000000"/>
              <w:right w:val="single" w:sz="6" w:space="0" w:color="000000"/>
            </w:tcBorders>
            <w:vAlign w:val="center"/>
          </w:tcPr>
          <w:p>
            <w:pPr>
              <w:widowControl/>
              <w:jc w:val="left"/>
              <w:rPr>
                <w:rFonts w:ascii="宋体" w:hAnsi="宋体" w:cs="仿宋"/>
                <w:b/>
                <w:kern w:val="0"/>
                <w:szCs w:val="21"/>
                <w:lang w:val="zh-CN" w:bidi="zh-CN"/>
              </w:rPr>
            </w:pPr>
          </w:p>
        </w:tc>
        <w:tc>
          <w:tcPr>
            <w:tcW w:w="709" w:type="dxa"/>
            <w:tcBorders>
              <w:top w:val="single" w:sz="6" w:space="0" w:color="000000"/>
              <w:left w:val="single" w:sz="6" w:space="0" w:color="000000"/>
              <w:bottom w:val="single" w:sz="6" w:space="0" w:color="000000"/>
              <w:right w:val="single" w:sz="6" w:space="0" w:color="000000"/>
            </w:tcBorders>
          </w:tcPr>
          <w:p>
            <w:pPr>
              <w:pStyle w:val="TableParagraph"/>
              <w:ind w:left="25"/>
              <w:rPr>
                <w:rFonts w:ascii="宋体" w:eastAsia="宋体" w:hAnsi="宋体" w:hint="eastAsia"/>
                <w:sz w:val="21"/>
                <w:szCs w:val="21"/>
              </w:rPr>
            </w:pPr>
            <w:r>
              <w:rPr>
                <w:rFonts w:ascii="宋体" w:eastAsia="宋体" w:hAnsi="宋体" w:hint="eastAsia"/>
                <w:sz w:val="21"/>
                <w:szCs w:val="21"/>
              </w:rPr>
              <w:t>3</w:t>
            </w:r>
          </w:p>
        </w:tc>
        <w:tc>
          <w:tcPr>
            <w:tcW w:w="3140" w:type="dxa"/>
            <w:tcBorders>
              <w:top w:val="single" w:sz="6" w:space="0" w:color="000000"/>
              <w:left w:val="single" w:sz="6" w:space="0" w:color="000000"/>
              <w:bottom w:val="single" w:sz="6" w:space="0" w:color="000000"/>
              <w:right w:val="single" w:sz="6" w:space="0" w:color="000000"/>
            </w:tcBorders>
          </w:tcPr>
          <w:p>
            <w:pPr>
              <w:pStyle w:val="TableParagraph"/>
              <w:ind w:left="114"/>
              <w:jc w:val="left"/>
              <w:rPr>
                <w:rFonts w:ascii="宋体" w:eastAsia="宋体" w:hAnsi="宋体" w:hint="eastAsia"/>
                <w:sz w:val="21"/>
                <w:szCs w:val="21"/>
              </w:rPr>
            </w:pPr>
            <w:r>
              <w:rPr>
                <w:rFonts w:ascii="宋体" w:eastAsia="宋体" w:hAnsi="宋体" w:hint="eastAsia"/>
                <w:sz w:val="21"/>
                <w:szCs w:val="21"/>
              </w:rPr>
              <w:t>降水粒子谱探头</w:t>
            </w:r>
          </w:p>
        </w:tc>
        <w:tc>
          <w:tcPr>
            <w:tcW w:w="1562" w:type="dxa"/>
            <w:tcBorders>
              <w:top w:val="single" w:sz="6" w:space="0" w:color="000000"/>
              <w:left w:val="single" w:sz="6" w:space="0" w:color="000000"/>
              <w:bottom w:val="single" w:sz="6" w:space="0" w:color="000000"/>
              <w:right w:val="single" w:sz="6" w:space="0" w:color="000000"/>
            </w:tcBorders>
          </w:tcPr>
          <w:p>
            <w:pPr>
              <w:pStyle w:val="TableParagraph"/>
              <w:ind w:left="29"/>
              <w:rPr>
                <w:rFonts w:ascii="宋体" w:eastAsia="宋体" w:hAnsi="宋体" w:hint="eastAsia"/>
                <w:sz w:val="21"/>
                <w:szCs w:val="21"/>
              </w:rPr>
            </w:pPr>
            <w:r>
              <w:rPr>
                <w:rFonts w:ascii="宋体" w:eastAsia="宋体" w:hAnsi="宋体" w:hint="eastAsia"/>
                <w:sz w:val="21"/>
                <w:szCs w:val="21"/>
              </w:rPr>
              <w:t>1</w:t>
            </w:r>
          </w:p>
        </w:tc>
        <w:tc>
          <w:tcPr>
            <w:tcW w:w="2822" w:type="dxa"/>
            <w:tcBorders>
              <w:top w:val="single" w:sz="6" w:space="0" w:color="000000"/>
              <w:left w:val="single" w:sz="6" w:space="0" w:color="000000"/>
              <w:bottom w:val="single" w:sz="6" w:space="0" w:color="000000"/>
              <w:right w:val="single" w:sz="12" w:space="0" w:color="000000"/>
            </w:tcBorders>
          </w:tcPr>
          <w:p>
            <w:pPr>
              <w:pStyle w:val="TableParagraph"/>
              <w:ind w:left="375" w:right="338"/>
              <w:rPr>
                <w:rFonts w:ascii="宋体" w:eastAsia="宋体" w:hAnsi="宋体" w:hint="eastAsia"/>
                <w:sz w:val="21"/>
                <w:szCs w:val="21"/>
              </w:rPr>
            </w:pPr>
            <w:r>
              <w:rPr>
                <w:rFonts w:ascii="宋体" w:eastAsia="宋体" w:hAnsi="宋体" w:hint="eastAsia"/>
                <w:sz w:val="21"/>
                <w:szCs w:val="21"/>
              </w:rPr>
              <w:t>HVPS</w:t>
            </w:r>
          </w:p>
        </w:tc>
      </w:tr>
      <w:tr>
        <w:tblPrEx>
          <w:tblW w:w="9060" w:type="dxa"/>
          <w:jc w:val="center"/>
          <w:tblLayout w:type="fixed"/>
          <w:tblCellMar>
            <w:top w:w="0" w:type="dxa"/>
            <w:left w:w="0" w:type="dxa"/>
            <w:bottom w:w="0" w:type="dxa"/>
            <w:right w:w="0" w:type="dxa"/>
          </w:tblCellMar>
        </w:tblPrEx>
        <w:trPr>
          <w:trHeight w:val="454"/>
          <w:jc w:val="center"/>
        </w:trPr>
        <w:tc>
          <w:tcPr>
            <w:tcW w:w="822" w:type="dxa"/>
            <w:vMerge/>
            <w:tcBorders>
              <w:top w:val="single" w:sz="12" w:space="0" w:color="000000"/>
              <w:left w:val="single" w:sz="12" w:space="0" w:color="000000"/>
              <w:bottom w:val="single" w:sz="6" w:space="0" w:color="000000"/>
              <w:right w:val="single" w:sz="6" w:space="0" w:color="000000"/>
            </w:tcBorders>
            <w:vAlign w:val="center"/>
          </w:tcPr>
          <w:p>
            <w:pPr>
              <w:widowControl/>
              <w:jc w:val="left"/>
              <w:rPr>
                <w:rFonts w:ascii="宋体" w:hAnsi="宋体" w:cs="仿宋"/>
                <w:b/>
                <w:kern w:val="0"/>
                <w:szCs w:val="21"/>
                <w:lang w:val="zh-CN" w:bidi="zh-CN"/>
              </w:rPr>
            </w:pPr>
          </w:p>
        </w:tc>
        <w:tc>
          <w:tcPr>
            <w:tcW w:w="709" w:type="dxa"/>
            <w:tcBorders>
              <w:top w:val="single" w:sz="6" w:space="0" w:color="000000"/>
              <w:left w:val="single" w:sz="6" w:space="0" w:color="000000"/>
              <w:bottom w:val="single" w:sz="6" w:space="0" w:color="000000"/>
              <w:right w:val="single" w:sz="6" w:space="0" w:color="000000"/>
            </w:tcBorders>
          </w:tcPr>
          <w:p>
            <w:pPr>
              <w:pStyle w:val="TableParagraph"/>
              <w:spacing w:before="83"/>
              <w:ind w:left="25"/>
              <w:rPr>
                <w:rFonts w:ascii="宋体" w:eastAsia="宋体" w:hAnsi="宋体" w:hint="eastAsia"/>
                <w:sz w:val="21"/>
                <w:szCs w:val="21"/>
              </w:rPr>
            </w:pPr>
            <w:r>
              <w:rPr>
                <w:rFonts w:ascii="宋体" w:eastAsia="宋体" w:hAnsi="宋体" w:hint="eastAsia"/>
                <w:sz w:val="21"/>
                <w:szCs w:val="21"/>
              </w:rPr>
              <w:t>4</w:t>
            </w:r>
          </w:p>
        </w:tc>
        <w:tc>
          <w:tcPr>
            <w:tcW w:w="3140" w:type="dxa"/>
            <w:tcBorders>
              <w:top w:val="single" w:sz="6" w:space="0" w:color="000000"/>
              <w:left w:val="single" w:sz="6" w:space="0" w:color="000000"/>
              <w:bottom w:val="single" w:sz="6" w:space="0" w:color="000000"/>
              <w:right w:val="single" w:sz="6" w:space="0" w:color="000000"/>
            </w:tcBorders>
          </w:tcPr>
          <w:p>
            <w:pPr>
              <w:pStyle w:val="TableParagraph"/>
              <w:spacing w:before="83"/>
              <w:ind w:left="114"/>
              <w:jc w:val="left"/>
              <w:rPr>
                <w:rFonts w:ascii="宋体" w:eastAsia="宋体" w:hAnsi="宋体" w:hint="eastAsia"/>
                <w:sz w:val="21"/>
                <w:szCs w:val="21"/>
              </w:rPr>
            </w:pPr>
            <w:r>
              <w:rPr>
                <w:rFonts w:ascii="宋体" w:eastAsia="宋体" w:hAnsi="宋体" w:hint="eastAsia"/>
                <w:sz w:val="21"/>
                <w:szCs w:val="21"/>
              </w:rPr>
              <w:t>飞机综合气象测量探头</w:t>
            </w:r>
          </w:p>
        </w:tc>
        <w:tc>
          <w:tcPr>
            <w:tcW w:w="1562" w:type="dxa"/>
            <w:tcBorders>
              <w:top w:val="single" w:sz="6" w:space="0" w:color="000000"/>
              <w:left w:val="single" w:sz="6" w:space="0" w:color="000000"/>
              <w:bottom w:val="single" w:sz="6" w:space="0" w:color="000000"/>
              <w:right w:val="single" w:sz="6" w:space="0" w:color="000000"/>
            </w:tcBorders>
          </w:tcPr>
          <w:p>
            <w:pPr>
              <w:pStyle w:val="TableParagraph"/>
              <w:spacing w:before="83"/>
              <w:ind w:left="29"/>
              <w:rPr>
                <w:rFonts w:ascii="宋体" w:eastAsia="宋体" w:hAnsi="宋体" w:hint="eastAsia"/>
                <w:sz w:val="21"/>
                <w:szCs w:val="21"/>
              </w:rPr>
            </w:pPr>
            <w:r>
              <w:rPr>
                <w:rFonts w:ascii="宋体" w:eastAsia="宋体" w:hAnsi="宋体" w:hint="eastAsia"/>
                <w:sz w:val="21"/>
                <w:szCs w:val="21"/>
              </w:rPr>
              <w:t>1</w:t>
            </w:r>
          </w:p>
        </w:tc>
        <w:tc>
          <w:tcPr>
            <w:tcW w:w="2822" w:type="dxa"/>
            <w:tcBorders>
              <w:top w:val="single" w:sz="6" w:space="0" w:color="000000"/>
              <w:left w:val="single" w:sz="6" w:space="0" w:color="000000"/>
              <w:bottom w:val="single" w:sz="6" w:space="0" w:color="000000"/>
              <w:right w:val="single" w:sz="12" w:space="0" w:color="000000"/>
            </w:tcBorders>
          </w:tcPr>
          <w:p>
            <w:pPr>
              <w:pStyle w:val="TableParagraph"/>
              <w:ind w:left="375" w:right="339"/>
              <w:rPr>
                <w:rFonts w:ascii="宋体" w:eastAsia="宋体" w:hAnsi="宋体" w:hint="eastAsia"/>
                <w:sz w:val="21"/>
                <w:szCs w:val="21"/>
              </w:rPr>
            </w:pPr>
            <w:r>
              <w:rPr>
                <w:rFonts w:ascii="宋体" w:eastAsia="宋体" w:hAnsi="宋体" w:hint="eastAsia"/>
                <w:sz w:val="21"/>
                <w:szCs w:val="21"/>
              </w:rPr>
              <w:t>AIMMS-30</w:t>
            </w:r>
          </w:p>
        </w:tc>
      </w:tr>
      <w:tr>
        <w:tblPrEx>
          <w:tblW w:w="9060" w:type="dxa"/>
          <w:jc w:val="center"/>
          <w:tblLayout w:type="fixed"/>
          <w:tblCellMar>
            <w:top w:w="0" w:type="dxa"/>
            <w:left w:w="0" w:type="dxa"/>
            <w:bottom w:w="0" w:type="dxa"/>
            <w:right w:w="0" w:type="dxa"/>
          </w:tblCellMar>
        </w:tblPrEx>
        <w:trPr>
          <w:trHeight w:val="452"/>
          <w:jc w:val="center"/>
        </w:trPr>
        <w:tc>
          <w:tcPr>
            <w:tcW w:w="822" w:type="dxa"/>
            <w:vMerge/>
            <w:tcBorders>
              <w:top w:val="single" w:sz="12" w:space="0" w:color="000000"/>
              <w:left w:val="single" w:sz="12" w:space="0" w:color="000000"/>
              <w:bottom w:val="single" w:sz="6" w:space="0" w:color="000000"/>
              <w:right w:val="single" w:sz="6" w:space="0" w:color="000000"/>
            </w:tcBorders>
            <w:vAlign w:val="center"/>
          </w:tcPr>
          <w:p>
            <w:pPr>
              <w:widowControl/>
              <w:jc w:val="left"/>
              <w:rPr>
                <w:rFonts w:ascii="宋体" w:hAnsi="宋体" w:cs="仿宋"/>
                <w:b/>
                <w:kern w:val="0"/>
                <w:szCs w:val="21"/>
                <w:lang w:val="zh-CN" w:bidi="zh-CN"/>
              </w:rPr>
            </w:pPr>
          </w:p>
        </w:tc>
        <w:tc>
          <w:tcPr>
            <w:tcW w:w="709" w:type="dxa"/>
            <w:tcBorders>
              <w:top w:val="single" w:sz="6" w:space="0" w:color="000000"/>
              <w:left w:val="single" w:sz="6" w:space="0" w:color="000000"/>
              <w:bottom w:val="single" w:sz="6" w:space="0" w:color="000000"/>
              <w:right w:val="single" w:sz="6" w:space="0" w:color="000000"/>
            </w:tcBorders>
          </w:tcPr>
          <w:p>
            <w:pPr>
              <w:pStyle w:val="TableParagraph"/>
              <w:ind w:left="25"/>
              <w:rPr>
                <w:rFonts w:ascii="宋体" w:eastAsia="宋体" w:hAnsi="宋体" w:hint="eastAsia"/>
                <w:sz w:val="21"/>
                <w:szCs w:val="21"/>
              </w:rPr>
            </w:pPr>
            <w:r>
              <w:rPr>
                <w:rFonts w:ascii="宋体" w:eastAsia="宋体" w:hAnsi="宋体" w:hint="eastAsia"/>
                <w:sz w:val="21"/>
                <w:szCs w:val="21"/>
              </w:rPr>
              <w:t>5</w:t>
            </w:r>
          </w:p>
        </w:tc>
        <w:tc>
          <w:tcPr>
            <w:tcW w:w="3140" w:type="dxa"/>
            <w:tcBorders>
              <w:top w:val="single" w:sz="6" w:space="0" w:color="000000"/>
              <w:left w:val="single" w:sz="6" w:space="0" w:color="000000"/>
              <w:bottom w:val="single" w:sz="6" w:space="0" w:color="000000"/>
              <w:right w:val="single" w:sz="6" w:space="0" w:color="000000"/>
            </w:tcBorders>
          </w:tcPr>
          <w:p>
            <w:pPr>
              <w:pStyle w:val="TableParagraph"/>
              <w:ind w:left="114"/>
              <w:jc w:val="left"/>
              <w:rPr>
                <w:rFonts w:ascii="宋体" w:eastAsia="宋体" w:hAnsi="宋体" w:hint="eastAsia"/>
                <w:sz w:val="21"/>
                <w:szCs w:val="21"/>
              </w:rPr>
            </w:pPr>
            <w:r>
              <w:rPr>
                <w:rFonts w:ascii="宋体" w:eastAsia="宋体" w:hAnsi="宋体" w:hint="eastAsia"/>
                <w:sz w:val="21"/>
                <w:szCs w:val="21"/>
              </w:rPr>
              <w:t>被动腔式气溶胶粒子谱探头</w:t>
            </w:r>
          </w:p>
        </w:tc>
        <w:tc>
          <w:tcPr>
            <w:tcW w:w="1562" w:type="dxa"/>
            <w:tcBorders>
              <w:top w:val="single" w:sz="6" w:space="0" w:color="000000"/>
              <w:left w:val="single" w:sz="6" w:space="0" w:color="000000"/>
              <w:bottom w:val="single" w:sz="6" w:space="0" w:color="000000"/>
              <w:right w:val="single" w:sz="6" w:space="0" w:color="000000"/>
            </w:tcBorders>
          </w:tcPr>
          <w:p>
            <w:pPr>
              <w:pStyle w:val="TableParagraph"/>
              <w:ind w:left="29"/>
              <w:rPr>
                <w:rFonts w:ascii="宋体" w:eastAsia="宋体" w:hAnsi="宋体" w:hint="eastAsia"/>
                <w:sz w:val="21"/>
                <w:szCs w:val="21"/>
              </w:rPr>
            </w:pPr>
            <w:r>
              <w:rPr>
                <w:rFonts w:ascii="宋体" w:eastAsia="宋体" w:hAnsi="宋体" w:hint="eastAsia"/>
                <w:sz w:val="21"/>
                <w:szCs w:val="21"/>
              </w:rPr>
              <w:t>1</w:t>
            </w:r>
          </w:p>
        </w:tc>
        <w:tc>
          <w:tcPr>
            <w:tcW w:w="2822" w:type="dxa"/>
            <w:tcBorders>
              <w:top w:val="single" w:sz="6" w:space="0" w:color="000000"/>
              <w:left w:val="single" w:sz="6" w:space="0" w:color="000000"/>
              <w:bottom w:val="single" w:sz="6" w:space="0" w:color="000000"/>
              <w:right w:val="single" w:sz="12" w:space="0" w:color="000000"/>
            </w:tcBorders>
          </w:tcPr>
          <w:p>
            <w:pPr>
              <w:pStyle w:val="TableParagraph"/>
              <w:ind w:left="375" w:right="339"/>
              <w:rPr>
                <w:rFonts w:ascii="宋体" w:eastAsia="宋体" w:hAnsi="宋体" w:hint="eastAsia"/>
                <w:sz w:val="21"/>
                <w:szCs w:val="21"/>
              </w:rPr>
            </w:pPr>
            <w:r>
              <w:rPr>
                <w:rFonts w:ascii="宋体" w:eastAsia="宋体" w:hAnsi="宋体" w:hint="eastAsia"/>
                <w:sz w:val="21"/>
                <w:szCs w:val="21"/>
              </w:rPr>
              <w:t>PCASP-100X+SPP200</w:t>
            </w:r>
          </w:p>
        </w:tc>
      </w:tr>
      <w:tr>
        <w:tblPrEx>
          <w:tblW w:w="9060" w:type="dxa"/>
          <w:jc w:val="center"/>
          <w:tblLayout w:type="fixed"/>
          <w:tblCellMar>
            <w:top w:w="0" w:type="dxa"/>
            <w:left w:w="0" w:type="dxa"/>
            <w:bottom w:w="0" w:type="dxa"/>
            <w:right w:w="0" w:type="dxa"/>
          </w:tblCellMar>
        </w:tblPrEx>
        <w:trPr>
          <w:trHeight w:val="452"/>
          <w:jc w:val="center"/>
        </w:trPr>
        <w:tc>
          <w:tcPr>
            <w:tcW w:w="822" w:type="dxa"/>
            <w:vMerge/>
            <w:tcBorders>
              <w:top w:val="single" w:sz="12" w:space="0" w:color="000000"/>
              <w:left w:val="single" w:sz="12" w:space="0" w:color="000000"/>
              <w:bottom w:val="single" w:sz="6" w:space="0" w:color="000000"/>
              <w:right w:val="single" w:sz="6" w:space="0" w:color="000000"/>
            </w:tcBorders>
            <w:vAlign w:val="center"/>
          </w:tcPr>
          <w:p>
            <w:pPr>
              <w:widowControl/>
              <w:jc w:val="left"/>
              <w:rPr>
                <w:rFonts w:ascii="宋体" w:hAnsi="宋体" w:cs="仿宋"/>
                <w:b/>
                <w:kern w:val="0"/>
                <w:szCs w:val="21"/>
                <w:lang w:val="zh-CN" w:bidi="zh-CN"/>
              </w:rPr>
            </w:pPr>
          </w:p>
        </w:tc>
        <w:tc>
          <w:tcPr>
            <w:tcW w:w="709" w:type="dxa"/>
            <w:tcBorders>
              <w:top w:val="single" w:sz="6" w:space="0" w:color="000000"/>
              <w:left w:val="single" w:sz="6" w:space="0" w:color="000000"/>
              <w:bottom w:val="single" w:sz="6" w:space="0" w:color="000000"/>
              <w:right w:val="single" w:sz="6" w:space="0" w:color="000000"/>
            </w:tcBorders>
          </w:tcPr>
          <w:p>
            <w:pPr>
              <w:pStyle w:val="TableParagraph"/>
              <w:ind w:left="25"/>
              <w:rPr>
                <w:rFonts w:ascii="宋体" w:eastAsia="宋体" w:hAnsi="宋体" w:hint="eastAsia"/>
                <w:sz w:val="21"/>
                <w:szCs w:val="21"/>
              </w:rPr>
            </w:pPr>
            <w:r>
              <w:rPr>
                <w:rFonts w:ascii="宋体" w:eastAsia="宋体" w:hAnsi="宋体" w:hint="eastAsia"/>
                <w:sz w:val="21"/>
                <w:szCs w:val="21"/>
              </w:rPr>
              <w:t>6</w:t>
            </w:r>
          </w:p>
        </w:tc>
        <w:tc>
          <w:tcPr>
            <w:tcW w:w="3140" w:type="dxa"/>
            <w:tcBorders>
              <w:top w:val="single" w:sz="6" w:space="0" w:color="000000"/>
              <w:left w:val="single" w:sz="6" w:space="0" w:color="000000"/>
              <w:bottom w:val="single" w:sz="6" w:space="0" w:color="000000"/>
              <w:right w:val="single" w:sz="6" w:space="0" w:color="000000"/>
            </w:tcBorders>
          </w:tcPr>
          <w:p>
            <w:pPr>
              <w:pStyle w:val="TableParagraph"/>
              <w:ind w:left="114"/>
              <w:jc w:val="left"/>
              <w:rPr>
                <w:rFonts w:ascii="宋体" w:eastAsia="宋体" w:hAnsi="宋体" w:hint="eastAsia"/>
                <w:sz w:val="21"/>
                <w:szCs w:val="21"/>
              </w:rPr>
            </w:pPr>
            <w:r>
              <w:rPr>
                <w:rFonts w:ascii="宋体" w:eastAsia="宋体" w:hAnsi="宋体" w:hint="eastAsia"/>
                <w:sz w:val="21"/>
                <w:szCs w:val="21"/>
              </w:rPr>
              <w:t>液水/总水含量仪</w:t>
            </w:r>
          </w:p>
        </w:tc>
        <w:tc>
          <w:tcPr>
            <w:tcW w:w="1562" w:type="dxa"/>
            <w:tcBorders>
              <w:top w:val="single" w:sz="6" w:space="0" w:color="000000"/>
              <w:left w:val="single" w:sz="6" w:space="0" w:color="000000"/>
              <w:bottom w:val="single" w:sz="6" w:space="0" w:color="000000"/>
              <w:right w:val="single" w:sz="6" w:space="0" w:color="000000"/>
            </w:tcBorders>
          </w:tcPr>
          <w:p>
            <w:pPr>
              <w:pStyle w:val="TableParagraph"/>
              <w:ind w:left="29"/>
              <w:rPr>
                <w:rFonts w:ascii="宋体" w:eastAsia="宋体" w:hAnsi="宋体" w:hint="eastAsia"/>
                <w:sz w:val="21"/>
                <w:szCs w:val="21"/>
              </w:rPr>
            </w:pPr>
            <w:r>
              <w:rPr>
                <w:rFonts w:ascii="宋体" w:eastAsia="宋体" w:hAnsi="宋体" w:hint="eastAsia"/>
                <w:sz w:val="21"/>
                <w:szCs w:val="21"/>
              </w:rPr>
              <w:t>1</w:t>
            </w:r>
          </w:p>
        </w:tc>
        <w:tc>
          <w:tcPr>
            <w:tcW w:w="2822" w:type="dxa"/>
            <w:tcBorders>
              <w:top w:val="single" w:sz="6" w:space="0" w:color="000000"/>
              <w:left w:val="single" w:sz="6" w:space="0" w:color="000000"/>
              <w:bottom w:val="single" w:sz="6" w:space="0" w:color="000000"/>
              <w:right w:val="single" w:sz="12" w:space="0" w:color="000000"/>
            </w:tcBorders>
          </w:tcPr>
          <w:p>
            <w:pPr>
              <w:pStyle w:val="TableParagraph"/>
              <w:ind w:left="375" w:right="339"/>
              <w:rPr>
                <w:rFonts w:ascii="宋体" w:eastAsia="宋体" w:hAnsi="宋体" w:hint="eastAsia"/>
                <w:sz w:val="21"/>
                <w:szCs w:val="21"/>
              </w:rPr>
            </w:pPr>
            <w:r>
              <w:rPr>
                <w:rFonts w:ascii="宋体" w:eastAsia="宋体" w:hAnsi="宋体" w:hint="eastAsia"/>
                <w:sz w:val="21"/>
                <w:szCs w:val="21"/>
              </w:rPr>
              <w:t>Nevzorov LWC/TWC</w:t>
            </w:r>
          </w:p>
        </w:tc>
      </w:tr>
      <w:tr>
        <w:tblPrEx>
          <w:tblW w:w="9060" w:type="dxa"/>
          <w:jc w:val="center"/>
          <w:tblLayout w:type="fixed"/>
          <w:tblCellMar>
            <w:top w:w="0" w:type="dxa"/>
            <w:left w:w="0" w:type="dxa"/>
            <w:bottom w:w="0" w:type="dxa"/>
            <w:right w:w="0" w:type="dxa"/>
          </w:tblCellMar>
        </w:tblPrEx>
        <w:trPr>
          <w:trHeight w:val="452"/>
          <w:jc w:val="center"/>
        </w:trPr>
        <w:tc>
          <w:tcPr>
            <w:tcW w:w="822" w:type="dxa"/>
            <w:vMerge/>
            <w:tcBorders>
              <w:top w:val="single" w:sz="12" w:space="0" w:color="000000"/>
              <w:left w:val="single" w:sz="12" w:space="0" w:color="000000"/>
              <w:bottom w:val="single" w:sz="6" w:space="0" w:color="000000"/>
              <w:right w:val="single" w:sz="6" w:space="0" w:color="000000"/>
            </w:tcBorders>
            <w:vAlign w:val="center"/>
          </w:tcPr>
          <w:p>
            <w:pPr>
              <w:widowControl/>
              <w:jc w:val="left"/>
              <w:rPr>
                <w:rFonts w:ascii="宋体" w:hAnsi="宋体" w:cs="仿宋"/>
                <w:b/>
                <w:kern w:val="0"/>
                <w:szCs w:val="21"/>
                <w:lang w:val="zh-CN" w:bidi="zh-CN"/>
              </w:rPr>
            </w:pPr>
          </w:p>
        </w:tc>
        <w:tc>
          <w:tcPr>
            <w:tcW w:w="709" w:type="dxa"/>
            <w:tcBorders>
              <w:top w:val="single" w:sz="6" w:space="0" w:color="000000"/>
              <w:left w:val="single" w:sz="6" w:space="0" w:color="000000"/>
              <w:bottom w:val="single" w:sz="6" w:space="0" w:color="000000"/>
              <w:right w:val="single" w:sz="6" w:space="0" w:color="000000"/>
            </w:tcBorders>
          </w:tcPr>
          <w:p>
            <w:pPr>
              <w:pStyle w:val="TableParagraph"/>
              <w:ind w:left="25"/>
              <w:rPr>
                <w:rFonts w:ascii="宋体" w:eastAsia="宋体" w:hAnsi="宋体" w:hint="eastAsia"/>
                <w:sz w:val="21"/>
                <w:szCs w:val="21"/>
              </w:rPr>
            </w:pPr>
            <w:r>
              <w:rPr>
                <w:rFonts w:ascii="宋体" w:eastAsia="宋体" w:hAnsi="宋体" w:hint="eastAsia"/>
                <w:sz w:val="21"/>
                <w:szCs w:val="21"/>
              </w:rPr>
              <w:t>7</w:t>
            </w:r>
          </w:p>
        </w:tc>
        <w:tc>
          <w:tcPr>
            <w:tcW w:w="3140" w:type="dxa"/>
            <w:tcBorders>
              <w:top w:val="single" w:sz="6" w:space="0" w:color="000000"/>
              <w:left w:val="single" w:sz="6" w:space="0" w:color="000000"/>
              <w:bottom w:val="single" w:sz="6" w:space="0" w:color="000000"/>
              <w:right w:val="single" w:sz="6" w:space="0" w:color="000000"/>
            </w:tcBorders>
          </w:tcPr>
          <w:p>
            <w:pPr>
              <w:pStyle w:val="TableParagraph"/>
              <w:ind w:left="114"/>
              <w:jc w:val="left"/>
              <w:rPr>
                <w:rFonts w:ascii="宋体" w:eastAsia="宋体" w:hAnsi="宋体" w:hint="eastAsia"/>
                <w:sz w:val="21"/>
                <w:szCs w:val="21"/>
              </w:rPr>
            </w:pPr>
            <w:r>
              <w:rPr>
                <w:rFonts w:ascii="宋体" w:eastAsia="宋体" w:hAnsi="宋体" w:hint="eastAsia"/>
                <w:sz w:val="21"/>
                <w:szCs w:val="21"/>
              </w:rPr>
              <w:t>云外等速采样头</w:t>
            </w:r>
          </w:p>
        </w:tc>
        <w:tc>
          <w:tcPr>
            <w:tcW w:w="1562" w:type="dxa"/>
            <w:tcBorders>
              <w:top w:val="single" w:sz="6" w:space="0" w:color="000000"/>
              <w:left w:val="single" w:sz="6" w:space="0" w:color="000000"/>
              <w:bottom w:val="single" w:sz="6" w:space="0" w:color="000000"/>
              <w:right w:val="single" w:sz="6" w:space="0" w:color="000000"/>
            </w:tcBorders>
          </w:tcPr>
          <w:p>
            <w:pPr>
              <w:pStyle w:val="TableParagraph"/>
              <w:ind w:left="29"/>
              <w:rPr>
                <w:rFonts w:ascii="宋体" w:eastAsia="宋体" w:hAnsi="宋体" w:hint="eastAsia"/>
                <w:sz w:val="21"/>
                <w:szCs w:val="21"/>
              </w:rPr>
            </w:pPr>
            <w:r>
              <w:rPr>
                <w:rFonts w:ascii="宋体" w:eastAsia="宋体" w:hAnsi="宋体" w:hint="eastAsia"/>
                <w:sz w:val="21"/>
                <w:szCs w:val="21"/>
              </w:rPr>
              <w:t>1</w:t>
            </w:r>
          </w:p>
        </w:tc>
        <w:tc>
          <w:tcPr>
            <w:tcW w:w="2822" w:type="dxa"/>
            <w:tcBorders>
              <w:top w:val="single" w:sz="6" w:space="0" w:color="000000"/>
              <w:left w:val="single" w:sz="6" w:space="0" w:color="000000"/>
              <w:bottom w:val="single" w:sz="6" w:space="0" w:color="000000"/>
              <w:right w:val="single" w:sz="12" w:space="0" w:color="000000"/>
            </w:tcBorders>
          </w:tcPr>
          <w:p>
            <w:pPr>
              <w:pStyle w:val="TableParagraph"/>
              <w:ind w:left="375" w:right="339"/>
              <w:rPr>
                <w:rFonts w:ascii="宋体" w:eastAsia="宋体" w:hAnsi="宋体" w:hint="eastAsia"/>
                <w:sz w:val="21"/>
                <w:szCs w:val="21"/>
              </w:rPr>
            </w:pPr>
            <w:r>
              <w:rPr>
                <w:rFonts w:ascii="宋体" w:eastAsia="宋体" w:hAnsi="宋体" w:hint="eastAsia"/>
                <w:sz w:val="21"/>
                <w:szCs w:val="21"/>
              </w:rPr>
              <w:t>Iso Inlet 1200</w:t>
            </w:r>
          </w:p>
        </w:tc>
      </w:tr>
      <w:tr>
        <w:tblPrEx>
          <w:tblW w:w="9060" w:type="dxa"/>
          <w:jc w:val="center"/>
          <w:tblLayout w:type="fixed"/>
          <w:tblCellMar>
            <w:top w:w="0" w:type="dxa"/>
            <w:left w:w="0" w:type="dxa"/>
            <w:bottom w:w="0" w:type="dxa"/>
            <w:right w:w="0" w:type="dxa"/>
          </w:tblCellMar>
        </w:tblPrEx>
        <w:trPr>
          <w:trHeight w:val="455"/>
          <w:jc w:val="center"/>
        </w:trPr>
        <w:tc>
          <w:tcPr>
            <w:tcW w:w="822" w:type="dxa"/>
            <w:vMerge/>
            <w:tcBorders>
              <w:top w:val="single" w:sz="12" w:space="0" w:color="000000"/>
              <w:left w:val="single" w:sz="12" w:space="0" w:color="000000"/>
              <w:bottom w:val="single" w:sz="6" w:space="0" w:color="000000"/>
              <w:right w:val="single" w:sz="6" w:space="0" w:color="000000"/>
            </w:tcBorders>
            <w:vAlign w:val="center"/>
          </w:tcPr>
          <w:p>
            <w:pPr>
              <w:widowControl/>
              <w:jc w:val="left"/>
              <w:rPr>
                <w:rFonts w:ascii="宋体" w:hAnsi="宋体" w:cs="仿宋"/>
                <w:b/>
                <w:kern w:val="0"/>
                <w:szCs w:val="21"/>
                <w:lang w:val="zh-CN" w:bidi="zh-CN"/>
              </w:rPr>
            </w:pPr>
          </w:p>
        </w:tc>
        <w:tc>
          <w:tcPr>
            <w:tcW w:w="709" w:type="dxa"/>
            <w:tcBorders>
              <w:top w:val="single" w:sz="6" w:space="0" w:color="000000"/>
              <w:left w:val="single" w:sz="6" w:space="0" w:color="000000"/>
              <w:bottom w:val="single" w:sz="6" w:space="0" w:color="000000"/>
              <w:right w:val="single" w:sz="6" w:space="0" w:color="000000"/>
            </w:tcBorders>
          </w:tcPr>
          <w:p>
            <w:pPr>
              <w:pStyle w:val="TableParagraph"/>
              <w:spacing w:before="84"/>
              <w:ind w:left="25"/>
              <w:rPr>
                <w:rFonts w:ascii="宋体" w:eastAsia="宋体" w:hAnsi="宋体" w:hint="eastAsia"/>
                <w:sz w:val="21"/>
                <w:szCs w:val="21"/>
              </w:rPr>
            </w:pPr>
            <w:r>
              <w:rPr>
                <w:rFonts w:ascii="宋体" w:eastAsia="宋体" w:hAnsi="宋体" w:hint="eastAsia"/>
                <w:sz w:val="21"/>
                <w:szCs w:val="21"/>
              </w:rPr>
              <w:t>8</w:t>
            </w:r>
          </w:p>
        </w:tc>
        <w:tc>
          <w:tcPr>
            <w:tcW w:w="3140" w:type="dxa"/>
            <w:tcBorders>
              <w:top w:val="single" w:sz="6" w:space="0" w:color="000000"/>
              <w:left w:val="single" w:sz="6" w:space="0" w:color="000000"/>
              <w:bottom w:val="single" w:sz="6" w:space="0" w:color="000000"/>
              <w:right w:val="single" w:sz="6" w:space="0" w:color="000000"/>
            </w:tcBorders>
          </w:tcPr>
          <w:p>
            <w:pPr>
              <w:pStyle w:val="TableParagraph"/>
              <w:spacing w:before="84"/>
              <w:ind w:left="114"/>
              <w:jc w:val="left"/>
              <w:rPr>
                <w:rFonts w:ascii="宋体" w:eastAsia="宋体" w:hAnsi="宋体" w:hint="eastAsia"/>
                <w:sz w:val="21"/>
                <w:szCs w:val="21"/>
              </w:rPr>
            </w:pPr>
            <w:r>
              <w:rPr>
                <w:rFonts w:ascii="宋体" w:eastAsia="宋体" w:hAnsi="宋体" w:hint="eastAsia"/>
                <w:sz w:val="21"/>
                <w:szCs w:val="21"/>
              </w:rPr>
              <w:t>云内等速采样头</w:t>
            </w:r>
          </w:p>
        </w:tc>
        <w:tc>
          <w:tcPr>
            <w:tcW w:w="1562" w:type="dxa"/>
            <w:tcBorders>
              <w:top w:val="single" w:sz="6" w:space="0" w:color="000000"/>
              <w:left w:val="single" w:sz="6" w:space="0" w:color="000000"/>
              <w:bottom w:val="single" w:sz="6" w:space="0" w:color="000000"/>
              <w:right w:val="single" w:sz="6" w:space="0" w:color="000000"/>
            </w:tcBorders>
          </w:tcPr>
          <w:p>
            <w:pPr>
              <w:pStyle w:val="TableParagraph"/>
              <w:spacing w:before="84"/>
              <w:ind w:left="29"/>
              <w:rPr>
                <w:rFonts w:ascii="宋体" w:eastAsia="宋体" w:hAnsi="宋体" w:hint="eastAsia"/>
                <w:sz w:val="21"/>
                <w:szCs w:val="21"/>
              </w:rPr>
            </w:pPr>
            <w:r>
              <w:rPr>
                <w:rFonts w:ascii="宋体" w:eastAsia="宋体" w:hAnsi="宋体" w:hint="eastAsia"/>
                <w:sz w:val="21"/>
                <w:szCs w:val="21"/>
              </w:rPr>
              <w:t>1</w:t>
            </w:r>
          </w:p>
        </w:tc>
        <w:tc>
          <w:tcPr>
            <w:tcW w:w="2822" w:type="dxa"/>
            <w:tcBorders>
              <w:top w:val="single" w:sz="6" w:space="0" w:color="000000"/>
              <w:left w:val="single" w:sz="6" w:space="0" w:color="000000"/>
              <w:bottom w:val="single" w:sz="6" w:space="0" w:color="000000"/>
              <w:right w:val="single" w:sz="12" w:space="0" w:color="000000"/>
            </w:tcBorders>
          </w:tcPr>
          <w:p>
            <w:pPr>
              <w:pStyle w:val="TableParagraph"/>
              <w:ind w:left="375" w:right="339"/>
              <w:rPr>
                <w:rFonts w:ascii="宋体" w:eastAsia="宋体" w:hAnsi="宋体" w:hint="eastAsia"/>
                <w:sz w:val="21"/>
                <w:szCs w:val="21"/>
              </w:rPr>
            </w:pPr>
            <w:r>
              <w:rPr>
                <w:rFonts w:ascii="宋体" w:eastAsia="宋体" w:hAnsi="宋体" w:hint="eastAsia"/>
                <w:sz w:val="21"/>
                <w:szCs w:val="21"/>
              </w:rPr>
              <w:t>Cvi Inlet 1204</w:t>
            </w:r>
          </w:p>
        </w:tc>
      </w:tr>
      <w:tr>
        <w:tblPrEx>
          <w:tblW w:w="9060" w:type="dxa"/>
          <w:jc w:val="center"/>
          <w:tblLayout w:type="fixed"/>
          <w:tblCellMar>
            <w:top w:w="0" w:type="dxa"/>
            <w:left w:w="0" w:type="dxa"/>
            <w:bottom w:w="0" w:type="dxa"/>
            <w:right w:w="0" w:type="dxa"/>
          </w:tblCellMar>
        </w:tblPrEx>
        <w:trPr>
          <w:trHeight w:val="452"/>
          <w:jc w:val="center"/>
        </w:trPr>
        <w:tc>
          <w:tcPr>
            <w:tcW w:w="822" w:type="dxa"/>
            <w:vMerge/>
            <w:tcBorders>
              <w:top w:val="single" w:sz="12" w:space="0" w:color="000000"/>
              <w:left w:val="single" w:sz="12" w:space="0" w:color="000000"/>
              <w:bottom w:val="single" w:sz="6" w:space="0" w:color="000000"/>
              <w:right w:val="single" w:sz="6" w:space="0" w:color="000000"/>
            </w:tcBorders>
            <w:vAlign w:val="center"/>
          </w:tcPr>
          <w:p>
            <w:pPr>
              <w:widowControl/>
              <w:jc w:val="left"/>
              <w:rPr>
                <w:rFonts w:ascii="宋体" w:hAnsi="宋体" w:cs="仿宋"/>
                <w:b/>
                <w:kern w:val="0"/>
                <w:szCs w:val="21"/>
                <w:lang w:val="zh-CN" w:bidi="zh-CN"/>
              </w:rPr>
            </w:pPr>
          </w:p>
        </w:tc>
        <w:tc>
          <w:tcPr>
            <w:tcW w:w="709" w:type="dxa"/>
            <w:tcBorders>
              <w:top w:val="single" w:sz="6" w:space="0" w:color="000000"/>
              <w:left w:val="single" w:sz="6" w:space="0" w:color="000000"/>
              <w:bottom w:val="single" w:sz="6" w:space="0" w:color="000000"/>
              <w:right w:val="single" w:sz="6" w:space="0" w:color="000000"/>
            </w:tcBorders>
          </w:tcPr>
          <w:p>
            <w:pPr>
              <w:pStyle w:val="TableParagraph"/>
              <w:ind w:left="25"/>
              <w:rPr>
                <w:rFonts w:ascii="宋体" w:eastAsia="宋体" w:hAnsi="宋体" w:hint="eastAsia"/>
                <w:sz w:val="21"/>
                <w:szCs w:val="21"/>
              </w:rPr>
            </w:pPr>
            <w:r>
              <w:rPr>
                <w:rFonts w:ascii="宋体" w:eastAsia="宋体" w:hAnsi="宋体" w:hint="eastAsia"/>
                <w:sz w:val="21"/>
                <w:szCs w:val="21"/>
              </w:rPr>
              <w:t>9</w:t>
            </w:r>
          </w:p>
        </w:tc>
        <w:tc>
          <w:tcPr>
            <w:tcW w:w="3140" w:type="dxa"/>
            <w:tcBorders>
              <w:top w:val="single" w:sz="6" w:space="0" w:color="000000"/>
              <w:left w:val="single" w:sz="6" w:space="0" w:color="000000"/>
              <w:bottom w:val="single" w:sz="6" w:space="0" w:color="000000"/>
              <w:right w:val="single" w:sz="6" w:space="0" w:color="000000"/>
            </w:tcBorders>
          </w:tcPr>
          <w:p>
            <w:pPr>
              <w:pStyle w:val="TableParagraph"/>
              <w:ind w:left="114"/>
              <w:jc w:val="left"/>
              <w:rPr>
                <w:rFonts w:ascii="宋体" w:eastAsia="宋体" w:hAnsi="宋体" w:hint="eastAsia"/>
                <w:sz w:val="21"/>
                <w:szCs w:val="21"/>
              </w:rPr>
            </w:pPr>
            <w:r>
              <w:rPr>
                <w:rFonts w:ascii="宋体" w:eastAsia="宋体" w:hAnsi="宋体" w:hint="eastAsia"/>
                <w:sz w:val="21"/>
                <w:szCs w:val="21"/>
              </w:rPr>
              <w:t>摄像头</w:t>
            </w:r>
          </w:p>
        </w:tc>
        <w:tc>
          <w:tcPr>
            <w:tcW w:w="1562" w:type="dxa"/>
            <w:tcBorders>
              <w:top w:val="single" w:sz="6" w:space="0" w:color="000000"/>
              <w:left w:val="single" w:sz="6" w:space="0" w:color="000000"/>
              <w:bottom w:val="single" w:sz="6" w:space="0" w:color="000000"/>
              <w:right w:val="single" w:sz="6" w:space="0" w:color="000000"/>
            </w:tcBorders>
          </w:tcPr>
          <w:p>
            <w:pPr>
              <w:pStyle w:val="TableParagraph"/>
              <w:ind w:left="29"/>
              <w:rPr>
                <w:rFonts w:ascii="宋体" w:eastAsia="宋体" w:hAnsi="宋体" w:hint="eastAsia"/>
                <w:sz w:val="21"/>
                <w:szCs w:val="21"/>
              </w:rPr>
            </w:pPr>
            <w:r>
              <w:rPr>
                <w:rFonts w:ascii="宋体" w:eastAsia="宋体" w:hAnsi="宋体" w:hint="eastAsia"/>
                <w:sz w:val="21"/>
                <w:szCs w:val="21"/>
              </w:rPr>
              <w:t>1</w:t>
            </w:r>
          </w:p>
        </w:tc>
        <w:tc>
          <w:tcPr>
            <w:tcW w:w="2822" w:type="dxa"/>
            <w:tcBorders>
              <w:top w:val="single" w:sz="6" w:space="0" w:color="000000"/>
              <w:left w:val="single" w:sz="6" w:space="0" w:color="000000"/>
              <w:bottom w:val="single" w:sz="6" w:space="0" w:color="000000"/>
              <w:right w:val="single" w:sz="12" w:space="0" w:color="000000"/>
            </w:tcBorders>
          </w:tcPr>
          <w:p>
            <w:pPr>
              <w:pStyle w:val="TableParagraph"/>
              <w:spacing w:before="79"/>
              <w:ind w:left="375" w:right="339"/>
              <w:rPr>
                <w:rFonts w:ascii="宋体" w:eastAsia="宋体" w:hAnsi="宋体" w:hint="eastAsia"/>
                <w:sz w:val="21"/>
                <w:szCs w:val="21"/>
              </w:rPr>
            </w:pPr>
            <w:r>
              <w:rPr>
                <w:rFonts w:ascii="宋体" w:eastAsia="宋体" w:hAnsi="宋体" w:hint="eastAsia"/>
                <w:sz w:val="21"/>
                <w:szCs w:val="21"/>
              </w:rPr>
              <w:t>市场采购</w:t>
            </w:r>
          </w:p>
        </w:tc>
      </w:tr>
      <w:tr>
        <w:tblPrEx>
          <w:tblW w:w="9060" w:type="dxa"/>
          <w:jc w:val="center"/>
          <w:tblLayout w:type="fixed"/>
          <w:tblCellMar>
            <w:top w:w="0" w:type="dxa"/>
            <w:left w:w="0" w:type="dxa"/>
            <w:bottom w:w="0" w:type="dxa"/>
            <w:right w:w="0" w:type="dxa"/>
          </w:tblCellMar>
        </w:tblPrEx>
        <w:trPr>
          <w:trHeight w:val="452"/>
          <w:jc w:val="center"/>
        </w:trPr>
        <w:tc>
          <w:tcPr>
            <w:tcW w:w="822" w:type="dxa"/>
            <w:vMerge w:val="restart"/>
            <w:tcBorders>
              <w:top w:val="single" w:sz="6" w:space="0" w:color="000000"/>
              <w:left w:val="single" w:sz="12" w:space="0" w:color="000000"/>
              <w:bottom w:val="single" w:sz="6" w:space="0" w:color="000000"/>
              <w:right w:val="single" w:sz="6" w:space="0" w:color="000000"/>
            </w:tcBorders>
            <w:vAlign w:val="center"/>
          </w:tcPr>
          <w:p>
            <w:pPr>
              <w:pStyle w:val="TableParagraph"/>
              <w:spacing w:before="1"/>
              <w:ind w:left="107"/>
              <w:rPr>
                <w:rFonts w:ascii="宋体" w:eastAsia="宋体" w:hAnsi="宋体" w:hint="eastAsia"/>
                <w:b/>
                <w:sz w:val="21"/>
                <w:szCs w:val="21"/>
              </w:rPr>
            </w:pPr>
            <w:r>
              <w:rPr>
                <w:rFonts w:ascii="宋体" w:eastAsia="宋体" w:hAnsi="宋体" w:hint="eastAsia"/>
                <w:b/>
                <w:sz w:val="21"/>
                <w:szCs w:val="21"/>
              </w:rPr>
              <w:t>催化作业系统</w:t>
            </w:r>
          </w:p>
        </w:tc>
        <w:tc>
          <w:tcPr>
            <w:tcW w:w="709" w:type="dxa"/>
            <w:tcBorders>
              <w:top w:val="single" w:sz="6" w:space="0" w:color="000000"/>
              <w:left w:val="single" w:sz="6" w:space="0" w:color="000000"/>
              <w:bottom w:val="single" w:sz="6" w:space="0" w:color="000000"/>
              <w:right w:val="single" w:sz="6" w:space="0" w:color="000000"/>
            </w:tcBorders>
          </w:tcPr>
          <w:p>
            <w:pPr>
              <w:pStyle w:val="TableParagraph"/>
              <w:ind w:left="25"/>
              <w:rPr>
                <w:rFonts w:ascii="宋体" w:eastAsia="宋体" w:hAnsi="宋体" w:hint="eastAsia"/>
                <w:sz w:val="21"/>
                <w:szCs w:val="21"/>
              </w:rPr>
            </w:pPr>
            <w:r>
              <w:rPr>
                <w:rFonts w:ascii="宋体" w:eastAsia="宋体" w:hAnsi="宋体" w:hint="eastAsia"/>
                <w:sz w:val="21"/>
                <w:szCs w:val="21"/>
              </w:rPr>
              <w:t>1</w:t>
            </w:r>
          </w:p>
        </w:tc>
        <w:tc>
          <w:tcPr>
            <w:tcW w:w="3140" w:type="dxa"/>
            <w:tcBorders>
              <w:top w:val="single" w:sz="6" w:space="0" w:color="000000"/>
              <w:left w:val="single" w:sz="6" w:space="0" w:color="000000"/>
              <w:bottom w:val="single" w:sz="6" w:space="0" w:color="000000"/>
              <w:right w:val="single" w:sz="6" w:space="0" w:color="000000"/>
            </w:tcBorders>
          </w:tcPr>
          <w:p>
            <w:pPr>
              <w:pStyle w:val="TableParagraph"/>
              <w:ind w:left="114"/>
              <w:jc w:val="left"/>
              <w:rPr>
                <w:rFonts w:ascii="宋体" w:eastAsia="宋体" w:hAnsi="宋体" w:hint="eastAsia"/>
                <w:sz w:val="21"/>
                <w:szCs w:val="21"/>
              </w:rPr>
            </w:pPr>
            <w:r>
              <w:rPr>
                <w:rFonts w:ascii="宋体" w:eastAsia="宋体" w:hAnsi="宋体" w:hint="eastAsia"/>
                <w:sz w:val="21"/>
                <w:szCs w:val="21"/>
              </w:rPr>
              <w:t>焰条播撒装备</w:t>
            </w:r>
          </w:p>
        </w:tc>
        <w:tc>
          <w:tcPr>
            <w:tcW w:w="1562" w:type="dxa"/>
            <w:tcBorders>
              <w:top w:val="single" w:sz="6" w:space="0" w:color="000000"/>
              <w:left w:val="single" w:sz="6" w:space="0" w:color="000000"/>
              <w:bottom w:val="single" w:sz="6" w:space="0" w:color="000000"/>
              <w:right w:val="single" w:sz="6" w:space="0" w:color="000000"/>
            </w:tcBorders>
          </w:tcPr>
          <w:p>
            <w:pPr>
              <w:pStyle w:val="TableParagraph"/>
              <w:ind w:left="29"/>
              <w:rPr>
                <w:rFonts w:ascii="宋体" w:eastAsia="宋体" w:hAnsi="宋体" w:hint="eastAsia"/>
                <w:sz w:val="21"/>
                <w:szCs w:val="21"/>
              </w:rPr>
            </w:pPr>
            <w:r>
              <w:rPr>
                <w:rFonts w:ascii="宋体" w:eastAsia="宋体" w:hAnsi="宋体" w:hint="eastAsia"/>
                <w:sz w:val="21"/>
                <w:szCs w:val="21"/>
              </w:rPr>
              <w:t>2</w:t>
            </w:r>
          </w:p>
        </w:tc>
        <w:tc>
          <w:tcPr>
            <w:tcW w:w="2822" w:type="dxa"/>
            <w:tcBorders>
              <w:top w:val="single" w:sz="6" w:space="0" w:color="000000"/>
              <w:left w:val="single" w:sz="6" w:space="0" w:color="000000"/>
              <w:bottom w:val="single" w:sz="6" w:space="0" w:color="000000"/>
              <w:right w:val="single" w:sz="12" w:space="0" w:color="000000"/>
            </w:tcBorders>
          </w:tcPr>
          <w:p>
            <w:pPr>
              <w:pStyle w:val="TableParagraph"/>
              <w:ind w:left="375" w:right="338"/>
              <w:rPr>
                <w:rFonts w:ascii="宋体" w:eastAsia="宋体" w:hAnsi="宋体" w:hint="eastAsia"/>
                <w:sz w:val="21"/>
                <w:szCs w:val="21"/>
              </w:rPr>
            </w:pPr>
            <w:r>
              <w:rPr>
                <w:rFonts w:ascii="宋体" w:eastAsia="宋体" w:hAnsi="宋体" w:hint="eastAsia"/>
                <w:sz w:val="21"/>
                <w:szCs w:val="21"/>
              </w:rPr>
              <w:t>自研</w:t>
            </w:r>
          </w:p>
        </w:tc>
      </w:tr>
      <w:tr>
        <w:tblPrEx>
          <w:tblW w:w="9060" w:type="dxa"/>
          <w:jc w:val="center"/>
          <w:tblLayout w:type="fixed"/>
          <w:tblCellMar>
            <w:top w:w="0" w:type="dxa"/>
            <w:left w:w="0" w:type="dxa"/>
            <w:bottom w:w="0" w:type="dxa"/>
            <w:right w:w="0" w:type="dxa"/>
          </w:tblCellMar>
        </w:tblPrEx>
        <w:trPr>
          <w:trHeight w:val="452"/>
          <w:jc w:val="center"/>
        </w:trPr>
        <w:tc>
          <w:tcPr>
            <w:tcW w:w="822" w:type="dxa"/>
            <w:vMerge/>
            <w:tcBorders>
              <w:top w:val="single" w:sz="6" w:space="0" w:color="000000"/>
              <w:left w:val="single" w:sz="12" w:space="0" w:color="000000"/>
              <w:bottom w:val="single" w:sz="6" w:space="0" w:color="000000"/>
              <w:right w:val="single" w:sz="6" w:space="0" w:color="000000"/>
            </w:tcBorders>
            <w:vAlign w:val="center"/>
          </w:tcPr>
          <w:p>
            <w:pPr>
              <w:widowControl/>
              <w:jc w:val="left"/>
              <w:rPr>
                <w:rFonts w:ascii="宋体" w:hAnsi="宋体" w:cs="仿宋"/>
                <w:b/>
                <w:kern w:val="0"/>
                <w:szCs w:val="21"/>
                <w:lang w:val="zh-CN" w:bidi="zh-CN"/>
              </w:rPr>
            </w:pPr>
          </w:p>
        </w:tc>
        <w:tc>
          <w:tcPr>
            <w:tcW w:w="709" w:type="dxa"/>
            <w:tcBorders>
              <w:top w:val="single" w:sz="6" w:space="0" w:color="000000"/>
              <w:left w:val="single" w:sz="6" w:space="0" w:color="000000"/>
              <w:bottom w:val="single" w:sz="6" w:space="0" w:color="000000"/>
              <w:right w:val="single" w:sz="6" w:space="0" w:color="000000"/>
            </w:tcBorders>
          </w:tcPr>
          <w:p>
            <w:pPr>
              <w:pStyle w:val="TableParagraph"/>
              <w:ind w:left="25"/>
              <w:rPr>
                <w:rFonts w:ascii="宋体" w:eastAsia="宋体" w:hAnsi="宋体" w:hint="eastAsia"/>
                <w:sz w:val="21"/>
                <w:szCs w:val="21"/>
              </w:rPr>
            </w:pPr>
            <w:r>
              <w:rPr>
                <w:rFonts w:ascii="宋体" w:eastAsia="宋体" w:hAnsi="宋体" w:hint="eastAsia"/>
                <w:sz w:val="21"/>
                <w:szCs w:val="21"/>
              </w:rPr>
              <w:t>2</w:t>
            </w:r>
          </w:p>
        </w:tc>
        <w:tc>
          <w:tcPr>
            <w:tcW w:w="3140" w:type="dxa"/>
            <w:tcBorders>
              <w:top w:val="single" w:sz="6" w:space="0" w:color="000000"/>
              <w:left w:val="single" w:sz="6" w:space="0" w:color="000000"/>
              <w:bottom w:val="single" w:sz="6" w:space="0" w:color="000000"/>
              <w:right w:val="single" w:sz="6" w:space="0" w:color="000000"/>
            </w:tcBorders>
          </w:tcPr>
          <w:p>
            <w:pPr>
              <w:pStyle w:val="TableParagraph"/>
              <w:ind w:left="114"/>
              <w:jc w:val="left"/>
              <w:rPr>
                <w:rFonts w:ascii="宋体" w:eastAsia="宋体" w:hAnsi="宋体" w:hint="eastAsia"/>
                <w:sz w:val="21"/>
                <w:szCs w:val="21"/>
              </w:rPr>
            </w:pPr>
            <w:r>
              <w:rPr>
                <w:rFonts w:ascii="宋体" w:eastAsia="宋体" w:hAnsi="宋体" w:hint="eastAsia"/>
                <w:sz w:val="21"/>
                <w:szCs w:val="21"/>
              </w:rPr>
              <w:t>焰弹播撒装备</w:t>
            </w:r>
          </w:p>
        </w:tc>
        <w:tc>
          <w:tcPr>
            <w:tcW w:w="1562" w:type="dxa"/>
            <w:tcBorders>
              <w:top w:val="single" w:sz="6" w:space="0" w:color="000000"/>
              <w:left w:val="single" w:sz="6" w:space="0" w:color="000000"/>
              <w:bottom w:val="single" w:sz="6" w:space="0" w:color="000000"/>
              <w:right w:val="single" w:sz="6" w:space="0" w:color="000000"/>
            </w:tcBorders>
          </w:tcPr>
          <w:p>
            <w:pPr>
              <w:pStyle w:val="TableParagraph"/>
              <w:ind w:left="29"/>
              <w:rPr>
                <w:rFonts w:ascii="宋体" w:eastAsia="宋体" w:hAnsi="宋体" w:hint="eastAsia"/>
                <w:sz w:val="21"/>
                <w:szCs w:val="21"/>
              </w:rPr>
            </w:pPr>
            <w:r>
              <w:rPr>
                <w:rFonts w:ascii="宋体" w:eastAsia="宋体" w:hAnsi="宋体" w:hint="eastAsia"/>
                <w:sz w:val="21"/>
                <w:szCs w:val="21"/>
              </w:rPr>
              <w:t>1</w:t>
            </w:r>
          </w:p>
        </w:tc>
        <w:tc>
          <w:tcPr>
            <w:tcW w:w="2822" w:type="dxa"/>
            <w:tcBorders>
              <w:top w:val="single" w:sz="6" w:space="0" w:color="000000"/>
              <w:left w:val="single" w:sz="6" w:space="0" w:color="000000"/>
              <w:bottom w:val="single" w:sz="6" w:space="0" w:color="000000"/>
              <w:right w:val="single" w:sz="12" w:space="0" w:color="000000"/>
            </w:tcBorders>
          </w:tcPr>
          <w:p>
            <w:pPr>
              <w:pStyle w:val="TableParagraph"/>
              <w:ind w:left="375" w:right="338"/>
              <w:rPr>
                <w:rFonts w:ascii="宋体" w:eastAsia="宋体" w:hAnsi="宋体" w:hint="eastAsia"/>
                <w:sz w:val="21"/>
                <w:szCs w:val="21"/>
              </w:rPr>
            </w:pPr>
            <w:r>
              <w:rPr>
                <w:rFonts w:ascii="宋体" w:eastAsia="宋体" w:hAnsi="宋体" w:hint="eastAsia"/>
                <w:sz w:val="21"/>
                <w:szCs w:val="21"/>
              </w:rPr>
              <w:t>自研</w:t>
            </w:r>
          </w:p>
        </w:tc>
      </w:tr>
      <w:tr>
        <w:tblPrEx>
          <w:tblW w:w="9060" w:type="dxa"/>
          <w:jc w:val="center"/>
          <w:tblLayout w:type="fixed"/>
          <w:tblCellMar>
            <w:top w:w="0" w:type="dxa"/>
            <w:left w:w="0" w:type="dxa"/>
            <w:bottom w:w="0" w:type="dxa"/>
            <w:right w:w="0" w:type="dxa"/>
          </w:tblCellMar>
        </w:tblPrEx>
        <w:trPr>
          <w:trHeight w:val="454"/>
          <w:jc w:val="center"/>
        </w:trPr>
        <w:tc>
          <w:tcPr>
            <w:tcW w:w="822" w:type="dxa"/>
            <w:vMerge/>
            <w:tcBorders>
              <w:top w:val="single" w:sz="6" w:space="0" w:color="000000"/>
              <w:left w:val="single" w:sz="12" w:space="0" w:color="000000"/>
              <w:bottom w:val="single" w:sz="6" w:space="0" w:color="000000"/>
              <w:right w:val="single" w:sz="6" w:space="0" w:color="000000"/>
            </w:tcBorders>
            <w:vAlign w:val="center"/>
          </w:tcPr>
          <w:p>
            <w:pPr>
              <w:widowControl/>
              <w:jc w:val="left"/>
              <w:rPr>
                <w:rFonts w:ascii="宋体" w:hAnsi="宋体" w:cs="仿宋"/>
                <w:b/>
                <w:kern w:val="0"/>
                <w:szCs w:val="21"/>
                <w:lang w:val="zh-CN" w:bidi="zh-CN"/>
              </w:rPr>
            </w:pPr>
          </w:p>
        </w:tc>
        <w:tc>
          <w:tcPr>
            <w:tcW w:w="709" w:type="dxa"/>
            <w:tcBorders>
              <w:top w:val="single" w:sz="6" w:space="0" w:color="000000"/>
              <w:left w:val="single" w:sz="6" w:space="0" w:color="000000"/>
              <w:bottom w:val="single" w:sz="6" w:space="0" w:color="000000"/>
              <w:right w:val="single" w:sz="6" w:space="0" w:color="000000"/>
            </w:tcBorders>
          </w:tcPr>
          <w:p>
            <w:pPr>
              <w:pStyle w:val="TableParagraph"/>
              <w:spacing w:before="83"/>
              <w:ind w:left="25"/>
              <w:rPr>
                <w:rFonts w:ascii="宋体" w:eastAsia="宋体" w:hAnsi="宋体" w:hint="eastAsia"/>
                <w:sz w:val="21"/>
                <w:szCs w:val="21"/>
              </w:rPr>
            </w:pPr>
            <w:r>
              <w:rPr>
                <w:rFonts w:ascii="宋体" w:eastAsia="宋体" w:hAnsi="宋体" w:hint="eastAsia"/>
                <w:sz w:val="21"/>
                <w:szCs w:val="21"/>
              </w:rPr>
              <w:t>3</w:t>
            </w:r>
          </w:p>
        </w:tc>
        <w:tc>
          <w:tcPr>
            <w:tcW w:w="3140" w:type="dxa"/>
            <w:tcBorders>
              <w:top w:val="single" w:sz="6" w:space="0" w:color="000000"/>
              <w:left w:val="single" w:sz="6" w:space="0" w:color="000000"/>
              <w:bottom w:val="single" w:sz="6" w:space="0" w:color="000000"/>
              <w:right w:val="single" w:sz="6" w:space="0" w:color="000000"/>
            </w:tcBorders>
          </w:tcPr>
          <w:p>
            <w:pPr>
              <w:pStyle w:val="TableParagraph"/>
              <w:spacing w:before="83"/>
              <w:ind w:left="114"/>
              <w:jc w:val="left"/>
              <w:rPr>
                <w:rFonts w:ascii="宋体" w:eastAsia="宋体" w:hAnsi="宋体" w:hint="eastAsia"/>
                <w:sz w:val="21"/>
                <w:szCs w:val="21"/>
              </w:rPr>
            </w:pPr>
            <w:r>
              <w:rPr>
                <w:rFonts w:ascii="宋体" w:eastAsia="宋体" w:hAnsi="宋体" w:hint="eastAsia"/>
                <w:sz w:val="21"/>
                <w:szCs w:val="21"/>
              </w:rPr>
              <w:t>作业备份控制器</w:t>
            </w:r>
          </w:p>
        </w:tc>
        <w:tc>
          <w:tcPr>
            <w:tcW w:w="1562" w:type="dxa"/>
            <w:tcBorders>
              <w:top w:val="single" w:sz="6" w:space="0" w:color="000000"/>
              <w:left w:val="single" w:sz="6" w:space="0" w:color="000000"/>
              <w:bottom w:val="single" w:sz="6" w:space="0" w:color="000000"/>
              <w:right w:val="single" w:sz="6" w:space="0" w:color="000000"/>
            </w:tcBorders>
          </w:tcPr>
          <w:p>
            <w:pPr>
              <w:pStyle w:val="TableParagraph"/>
              <w:spacing w:before="83"/>
              <w:ind w:left="29"/>
              <w:rPr>
                <w:rFonts w:ascii="宋体" w:eastAsia="宋体" w:hAnsi="宋体" w:hint="eastAsia"/>
                <w:sz w:val="21"/>
                <w:szCs w:val="21"/>
              </w:rPr>
            </w:pPr>
            <w:r>
              <w:rPr>
                <w:rFonts w:ascii="宋体" w:eastAsia="宋体" w:hAnsi="宋体" w:hint="eastAsia"/>
                <w:sz w:val="21"/>
                <w:szCs w:val="21"/>
              </w:rPr>
              <w:t>1</w:t>
            </w:r>
          </w:p>
        </w:tc>
        <w:tc>
          <w:tcPr>
            <w:tcW w:w="2822" w:type="dxa"/>
            <w:tcBorders>
              <w:top w:val="single" w:sz="6" w:space="0" w:color="000000"/>
              <w:left w:val="single" w:sz="6" w:space="0" w:color="000000"/>
              <w:bottom w:val="single" w:sz="6" w:space="0" w:color="000000"/>
              <w:right w:val="single" w:sz="12" w:space="0" w:color="000000"/>
            </w:tcBorders>
          </w:tcPr>
          <w:p>
            <w:pPr>
              <w:pStyle w:val="TableParagraph"/>
              <w:ind w:left="375" w:right="339"/>
              <w:rPr>
                <w:rFonts w:ascii="宋体" w:eastAsia="宋体" w:hAnsi="宋体" w:hint="eastAsia"/>
                <w:sz w:val="21"/>
                <w:szCs w:val="21"/>
              </w:rPr>
            </w:pPr>
            <w:r>
              <w:rPr>
                <w:rFonts w:ascii="宋体" w:eastAsia="宋体" w:hAnsi="宋体" w:hint="eastAsia"/>
                <w:sz w:val="21"/>
                <w:szCs w:val="21"/>
              </w:rPr>
              <w:t>FAR-ZBK-01</w:t>
            </w:r>
          </w:p>
        </w:tc>
      </w:tr>
      <w:tr>
        <w:tblPrEx>
          <w:tblW w:w="9060" w:type="dxa"/>
          <w:jc w:val="center"/>
          <w:tblLayout w:type="fixed"/>
          <w:tblCellMar>
            <w:top w:w="0" w:type="dxa"/>
            <w:left w:w="0" w:type="dxa"/>
            <w:bottom w:w="0" w:type="dxa"/>
            <w:right w:w="0" w:type="dxa"/>
          </w:tblCellMar>
        </w:tblPrEx>
        <w:trPr>
          <w:trHeight w:val="452"/>
          <w:jc w:val="center"/>
        </w:trPr>
        <w:tc>
          <w:tcPr>
            <w:tcW w:w="822" w:type="dxa"/>
            <w:vMerge/>
            <w:tcBorders>
              <w:top w:val="single" w:sz="6" w:space="0" w:color="000000"/>
              <w:left w:val="single" w:sz="12" w:space="0" w:color="000000"/>
              <w:bottom w:val="single" w:sz="6" w:space="0" w:color="000000"/>
              <w:right w:val="single" w:sz="6" w:space="0" w:color="000000"/>
            </w:tcBorders>
            <w:vAlign w:val="center"/>
          </w:tcPr>
          <w:p>
            <w:pPr>
              <w:widowControl/>
              <w:jc w:val="left"/>
              <w:rPr>
                <w:rFonts w:ascii="宋体" w:hAnsi="宋体" w:cs="仿宋"/>
                <w:b/>
                <w:kern w:val="0"/>
                <w:szCs w:val="21"/>
                <w:lang w:val="zh-CN" w:bidi="zh-CN"/>
              </w:rPr>
            </w:pPr>
          </w:p>
        </w:tc>
        <w:tc>
          <w:tcPr>
            <w:tcW w:w="709" w:type="dxa"/>
            <w:tcBorders>
              <w:top w:val="single" w:sz="6" w:space="0" w:color="000000"/>
              <w:left w:val="single" w:sz="6" w:space="0" w:color="000000"/>
              <w:bottom w:val="single" w:sz="6" w:space="0" w:color="000000"/>
              <w:right w:val="single" w:sz="6" w:space="0" w:color="000000"/>
            </w:tcBorders>
          </w:tcPr>
          <w:p>
            <w:pPr>
              <w:pStyle w:val="TableParagraph"/>
              <w:ind w:left="25"/>
              <w:rPr>
                <w:rFonts w:ascii="宋体" w:eastAsia="宋体" w:hAnsi="宋体" w:hint="eastAsia"/>
                <w:sz w:val="21"/>
                <w:szCs w:val="21"/>
              </w:rPr>
            </w:pPr>
            <w:r>
              <w:rPr>
                <w:rFonts w:ascii="宋体" w:eastAsia="宋体" w:hAnsi="宋体" w:hint="eastAsia"/>
                <w:sz w:val="21"/>
                <w:szCs w:val="21"/>
              </w:rPr>
              <w:t>4</w:t>
            </w:r>
          </w:p>
        </w:tc>
        <w:tc>
          <w:tcPr>
            <w:tcW w:w="3140" w:type="dxa"/>
            <w:tcBorders>
              <w:top w:val="single" w:sz="6" w:space="0" w:color="000000"/>
              <w:left w:val="single" w:sz="6" w:space="0" w:color="000000"/>
              <w:bottom w:val="single" w:sz="6" w:space="0" w:color="000000"/>
              <w:right w:val="single" w:sz="6" w:space="0" w:color="000000"/>
            </w:tcBorders>
          </w:tcPr>
          <w:p>
            <w:pPr>
              <w:pStyle w:val="TableParagraph"/>
              <w:ind w:left="114"/>
              <w:jc w:val="left"/>
              <w:rPr>
                <w:rFonts w:ascii="宋体" w:eastAsia="宋体" w:hAnsi="宋体" w:hint="eastAsia"/>
                <w:sz w:val="21"/>
                <w:szCs w:val="21"/>
              </w:rPr>
            </w:pPr>
            <w:r>
              <w:rPr>
                <w:rFonts w:ascii="宋体" w:eastAsia="宋体" w:hAnsi="宋体" w:hint="eastAsia"/>
                <w:sz w:val="21"/>
                <w:szCs w:val="21"/>
              </w:rPr>
              <w:t>作业信号切换设备</w:t>
            </w:r>
          </w:p>
        </w:tc>
        <w:tc>
          <w:tcPr>
            <w:tcW w:w="1562" w:type="dxa"/>
            <w:tcBorders>
              <w:top w:val="single" w:sz="6" w:space="0" w:color="000000"/>
              <w:left w:val="single" w:sz="6" w:space="0" w:color="000000"/>
              <w:bottom w:val="single" w:sz="6" w:space="0" w:color="000000"/>
              <w:right w:val="single" w:sz="6" w:space="0" w:color="000000"/>
            </w:tcBorders>
          </w:tcPr>
          <w:p>
            <w:pPr>
              <w:pStyle w:val="TableParagraph"/>
              <w:ind w:left="29"/>
              <w:rPr>
                <w:rFonts w:ascii="宋体" w:eastAsia="宋体" w:hAnsi="宋体" w:hint="eastAsia"/>
                <w:sz w:val="21"/>
                <w:szCs w:val="21"/>
              </w:rPr>
            </w:pPr>
            <w:r>
              <w:rPr>
                <w:rFonts w:ascii="宋体" w:eastAsia="宋体" w:hAnsi="宋体" w:hint="eastAsia"/>
                <w:sz w:val="21"/>
                <w:szCs w:val="21"/>
              </w:rPr>
              <w:t>1</w:t>
            </w:r>
          </w:p>
        </w:tc>
        <w:tc>
          <w:tcPr>
            <w:tcW w:w="2822" w:type="dxa"/>
            <w:tcBorders>
              <w:top w:val="single" w:sz="6" w:space="0" w:color="000000"/>
              <w:left w:val="single" w:sz="6" w:space="0" w:color="000000"/>
              <w:bottom w:val="single" w:sz="6" w:space="0" w:color="000000"/>
              <w:right w:val="single" w:sz="12" w:space="0" w:color="000000"/>
            </w:tcBorders>
          </w:tcPr>
          <w:p>
            <w:pPr>
              <w:pStyle w:val="TableParagraph"/>
              <w:spacing w:before="79"/>
              <w:ind w:left="375" w:right="339"/>
              <w:rPr>
                <w:rFonts w:ascii="宋体" w:eastAsia="宋体" w:hAnsi="宋体" w:hint="eastAsia"/>
                <w:sz w:val="21"/>
                <w:szCs w:val="21"/>
              </w:rPr>
            </w:pPr>
            <w:r>
              <w:rPr>
                <w:rFonts w:ascii="宋体" w:eastAsia="宋体" w:hAnsi="宋体" w:hint="eastAsia"/>
                <w:sz w:val="21"/>
                <w:szCs w:val="21"/>
              </w:rPr>
              <w:t>FAR-ZQ-01</w:t>
            </w:r>
          </w:p>
        </w:tc>
      </w:tr>
      <w:tr>
        <w:tblPrEx>
          <w:tblW w:w="9060" w:type="dxa"/>
          <w:jc w:val="center"/>
          <w:tblLayout w:type="fixed"/>
          <w:tblCellMar>
            <w:top w:w="0" w:type="dxa"/>
            <w:left w:w="0" w:type="dxa"/>
            <w:bottom w:w="0" w:type="dxa"/>
            <w:right w:w="0" w:type="dxa"/>
          </w:tblCellMar>
        </w:tblPrEx>
        <w:trPr>
          <w:trHeight w:val="452"/>
          <w:jc w:val="center"/>
        </w:trPr>
        <w:tc>
          <w:tcPr>
            <w:tcW w:w="822" w:type="dxa"/>
            <w:vMerge w:val="restart"/>
            <w:tcBorders>
              <w:top w:val="single" w:sz="6" w:space="0" w:color="000000"/>
              <w:left w:val="single" w:sz="12" w:space="0" w:color="000000"/>
              <w:bottom w:val="single" w:sz="6" w:space="0" w:color="000000"/>
              <w:right w:val="single" w:sz="6" w:space="0" w:color="000000"/>
            </w:tcBorders>
            <w:vAlign w:val="center"/>
          </w:tcPr>
          <w:p>
            <w:pPr>
              <w:pStyle w:val="TableParagraph"/>
              <w:spacing w:before="1"/>
              <w:ind w:left="107"/>
              <w:rPr>
                <w:rFonts w:ascii="宋体" w:eastAsia="宋体" w:hAnsi="宋体" w:hint="eastAsia"/>
                <w:b/>
                <w:sz w:val="21"/>
                <w:szCs w:val="21"/>
              </w:rPr>
            </w:pPr>
            <w:r>
              <w:rPr>
                <w:rFonts w:ascii="宋体" w:eastAsia="宋体" w:hAnsi="宋体" w:hint="eastAsia"/>
                <w:b/>
                <w:sz w:val="21"/>
                <w:szCs w:val="21"/>
              </w:rPr>
              <w:t>空地通信系统</w:t>
            </w:r>
          </w:p>
        </w:tc>
        <w:tc>
          <w:tcPr>
            <w:tcW w:w="709" w:type="dxa"/>
            <w:tcBorders>
              <w:top w:val="single" w:sz="6" w:space="0" w:color="000000"/>
              <w:left w:val="single" w:sz="6" w:space="0" w:color="000000"/>
              <w:bottom w:val="single" w:sz="6" w:space="0" w:color="000000"/>
              <w:right w:val="single" w:sz="6" w:space="0" w:color="000000"/>
            </w:tcBorders>
          </w:tcPr>
          <w:p>
            <w:pPr>
              <w:pStyle w:val="TableParagraph"/>
              <w:ind w:left="25"/>
              <w:rPr>
                <w:rFonts w:ascii="宋体" w:eastAsia="宋体" w:hAnsi="宋体" w:hint="eastAsia"/>
                <w:sz w:val="21"/>
                <w:szCs w:val="21"/>
              </w:rPr>
            </w:pPr>
            <w:r>
              <w:rPr>
                <w:rFonts w:ascii="宋体" w:eastAsia="宋体" w:hAnsi="宋体" w:hint="eastAsia"/>
                <w:sz w:val="21"/>
                <w:szCs w:val="21"/>
              </w:rPr>
              <w:t>1</w:t>
            </w:r>
          </w:p>
        </w:tc>
        <w:tc>
          <w:tcPr>
            <w:tcW w:w="3140" w:type="dxa"/>
            <w:tcBorders>
              <w:top w:val="single" w:sz="6" w:space="0" w:color="000000"/>
              <w:left w:val="single" w:sz="6" w:space="0" w:color="000000"/>
              <w:bottom w:val="single" w:sz="6" w:space="0" w:color="000000"/>
              <w:right w:val="single" w:sz="6" w:space="0" w:color="000000"/>
            </w:tcBorders>
          </w:tcPr>
          <w:p>
            <w:pPr>
              <w:pStyle w:val="TableParagraph"/>
              <w:ind w:left="114"/>
              <w:jc w:val="left"/>
              <w:rPr>
                <w:rFonts w:ascii="宋体" w:eastAsia="宋体" w:hAnsi="宋体" w:hint="eastAsia"/>
                <w:sz w:val="21"/>
                <w:szCs w:val="21"/>
              </w:rPr>
            </w:pPr>
            <w:r>
              <w:rPr>
                <w:rFonts w:ascii="宋体" w:eastAsia="宋体" w:hAnsi="宋体" w:hint="eastAsia"/>
                <w:sz w:val="21"/>
                <w:szCs w:val="21"/>
              </w:rPr>
              <w:t>卫星数据单元</w:t>
            </w:r>
          </w:p>
        </w:tc>
        <w:tc>
          <w:tcPr>
            <w:tcW w:w="1562" w:type="dxa"/>
            <w:tcBorders>
              <w:top w:val="single" w:sz="6" w:space="0" w:color="000000"/>
              <w:left w:val="single" w:sz="6" w:space="0" w:color="000000"/>
              <w:bottom w:val="single" w:sz="6" w:space="0" w:color="000000"/>
              <w:right w:val="single" w:sz="6" w:space="0" w:color="000000"/>
            </w:tcBorders>
          </w:tcPr>
          <w:p>
            <w:pPr>
              <w:pStyle w:val="TableParagraph"/>
              <w:ind w:left="29"/>
              <w:rPr>
                <w:rFonts w:ascii="宋体" w:eastAsia="宋体" w:hAnsi="宋体" w:hint="eastAsia"/>
                <w:sz w:val="21"/>
                <w:szCs w:val="21"/>
              </w:rPr>
            </w:pPr>
            <w:r>
              <w:rPr>
                <w:rFonts w:ascii="宋体" w:eastAsia="宋体" w:hAnsi="宋体" w:hint="eastAsia"/>
                <w:sz w:val="21"/>
                <w:szCs w:val="21"/>
              </w:rPr>
              <w:t>1</w:t>
            </w:r>
          </w:p>
        </w:tc>
        <w:tc>
          <w:tcPr>
            <w:tcW w:w="2822" w:type="dxa"/>
            <w:tcBorders>
              <w:top w:val="single" w:sz="6" w:space="0" w:color="000000"/>
              <w:left w:val="single" w:sz="6" w:space="0" w:color="000000"/>
              <w:bottom w:val="single" w:sz="6" w:space="0" w:color="000000"/>
              <w:right w:val="single" w:sz="12" w:space="0" w:color="000000"/>
            </w:tcBorders>
          </w:tcPr>
          <w:p>
            <w:pPr>
              <w:pStyle w:val="TableParagraph"/>
              <w:ind w:left="375" w:right="339"/>
              <w:rPr>
                <w:rFonts w:ascii="宋体" w:eastAsia="宋体" w:hAnsi="宋体" w:hint="eastAsia"/>
                <w:sz w:val="21"/>
                <w:szCs w:val="21"/>
              </w:rPr>
            </w:pPr>
            <w:r>
              <w:rPr>
                <w:rFonts w:ascii="宋体" w:eastAsia="宋体" w:hAnsi="宋体" w:hint="eastAsia"/>
                <w:sz w:val="21"/>
                <w:szCs w:val="21"/>
              </w:rPr>
              <w:t>SDU-7320</w:t>
            </w:r>
          </w:p>
        </w:tc>
      </w:tr>
      <w:tr>
        <w:tblPrEx>
          <w:tblW w:w="9060" w:type="dxa"/>
          <w:jc w:val="center"/>
          <w:tblLayout w:type="fixed"/>
          <w:tblCellMar>
            <w:top w:w="0" w:type="dxa"/>
            <w:left w:w="0" w:type="dxa"/>
            <w:bottom w:w="0" w:type="dxa"/>
            <w:right w:w="0" w:type="dxa"/>
          </w:tblCellMar>
        </w:tblPrEx>
        <w:trPr>
          <w:trHeight w:val="452"/>
          <w:jc w:val="center"/>
        </w:trPr>
        <w:tc>
          <w:tcPr>
            <w:tcW w:w="822" w:type="dxa"/>
            <w:vMerge/>
            <w:tcBorders>
              <w:top w:val="single" w:sz="6" w:space="0" w:color="000000"/>
              <w:left w:val="single" w:sz="12" w:space="0" w:color="000000"/>
              <w:bottom w:val="single" w:sz="6" w:space="0" w:color="000000"/>
              <w:right w:val="single" w:sz="6" w:space="0" w:color="000000"/>
            </w:tcBorders>
            <w:vAlign w:val="center"/>
          </w:tcPr>
          <w:p>
            <w:pPr>
              <w:widowControl/>
              <w:jc w:val="left"/>
              <w:rPr>
                <w:rFonts w:ascii="宋体" w:hAnsi="宋体" w:cs="仿宋"/>
                <w:b/>
                <w:kern w:val="0"/>
                <w:szCs w:val="21"/>
                <w:lang w:val="zh-CN" w:bidi="zh-CN"/>
              </w:rPr>
            </w:pPr>
          </w:p>
        </w:tc>
        <w:tc>
          <w:tcPr>
            <w:tcW w:w="709" w:type="dxa"/>
            <w:tcBorders>
              <w:top w:val="single" w:sz="6" w:space="0" w:color="000000"/>
              <w:left w:val="single" w:sz="6" w:space="0" w:color="000000"/>
              <w:bottom w:val="single" w:sz="6" w:space="0" w:color="000000"/>
              <w:right w:val="single" w:sz="6" w:space="0" w:color="000000"/>
            </w:tcBorders>
          </w:tcPr>
          <w:p>
            <w:pPr>
              <w:pStyle w:val="TableParagraph"/>
              <w:ind w:left="25"/>
              <w:rPr>
                <w:rFonts w:ascii="宋体" w:eastAsia="宋体" w:hAnsi="宋体" w:hint="eastAsia"/>
                <w:sz w:val="21"/>
                <w:szCs w:val="21"/>
              </w:rPr>
            </w:pPr>
            <w:r>
              <w:rPr>
                <w:rFonts w:ascii="宋体" w:eastAsia="宋体" w:hAnsi="宋体" w:hint="eastAsia"/>
                <w:sz w:val="21"/>
                <w:szCs w:val="21"/>
              </w:rPr>
              <w:t>2</w:t>
            </w:r>
          </w:p>
        </w:tc>
        <w:tc>
          <w:tcPr>
            <w:tcW w:w="3140" w:type="dxa"/>
            <w:tcBorders>
              <w:top w:val="single" w:sz="6" w:space="0" w:color="000000"/>
              <w:left w:val="single" w:sz="6" w:space="0" w:color="000000"/>
              <w:bottom w:val="single" w:sz="6" w:space="0" w:color="000000"/>
              <w:right w:val="single" w:sz="6" w:space="0" w:color="000000"/>
            </w:tcBorders>
          </w:tcPr>
          <w:p>
            <w:pPr>
              <w:pStyle w:val="TableParagraph"/>
              <w:ind w:left="114"/>
              <w:jc w:val="left"/>
              <w:rPr>
                <w:rFonts w:ascii="宋体" w:eastAsia="宋体" w:hAnsi="宋体" w:hint="eastAsia"/>
                <w:sz w:val="21"/>
                <w:szCs w:val="21"/>
              </w:rPr>
            </w:pPr>
            <w:r>
              <w:rPr>
                <w:rFonts w:ascii="宋体" w:eastAsia="宋体" w:hAnsi="宋体" w:hint="eastAsia"/>
                <w:sz w:val="21"/>
                <w:szCs w:val="21"/>
              </w:rPr>
              <w:t>双工低噪放大器</w:t>
            </w:r>
          </w:p>
        </w:tc>
        <w:tc>
          <w:tcPr>
            <w:tcW w:w="1562" w:type="dxa"/>
            <w:tcBorders>
              <w:top w:val="single" w:sz="6" w:space="0" w:color="000000"/>
              <w:left w:val="single" w:sz="6" w:space="0" w:color="000000"/>
              <w:bottom w:val="single" w:sz="6" w:space="0" w:color="000000"/>
              <w:right w:val="single" w:sz="6" w:space="0" w:color="000000"/>
            </w:tcBorders>
          </w:tcPr>
          <w:p>
            <w:pPr>
              <w:pStyle w:val="TableParagraph"/>
              <w:ind w:left="29"/>
              <w:rPr>
                <w:rFonts w:ascii="宋体" w:eastAsia="宋体" w:hAnsi="宋体" w:hint="eastAsia"/>
                <w:sz w:val="21"/>
                <w:szCs w:val="21"/>
              </w:rPr>
            </w:pPr>
            <w:r>
              <w:rPr>
                <w:rFonts w:ascii="宋体" w:eastAsia="宋体" w:hAnsi="宋体" w:hint="eastAsia"/>
                <w:sz w:val="21"/>
                <w:szCs w:val="21"/>
              </w:rPr>
              <w:t>1</w:t>
            </w:r>
          </w:p>
        </w:tc>
        <w:tc>
          <w:tcPr>
            <w:tcW w:w="2822" w:type="dxa"/>
            <w:tcBorders>
              <w:top w:val="single" w:sz="6" w:space="0" w:color="000000"/>
              <w:left w:val="single" w:sz="6" w:space="0" w:color="000000"/>
              <w:bottom w:val="single" w:sz="6" w:space="0" w:color="000000"/>
              <w:right w:val="single" w:sz="12" w:space="0" w:color="000000"/>
            </w:tcBorders>
          </w:tcPr>
          <w:p>
            <w:pPr>
              <w:pStyle w:val="TableParagraph"/>
              <w:ind w:left="375" w:right="339"/>
              <w:rPr>
                <w:rFonts w:ascii="宋体" w:eastAsia="宋体" w:hAnsi="宋体" w:hint="eastAsia"/>
                <w:sz w:val="21"/>
                <w:szCs w:val="21"/>
              </w:rPr>
            </w:pPr>
            <w:r>
              <w:rPr>
                <w:rFonts w:ascii="宋体" w:eastAsia="宋体" w:hAnsi="宋体" w:hint="eastAsia"/>
                <w:sz w:val="21"/>
                <w:szCs w:val="21"/>
              </w:rPr>
              <w:t>HLD-7260</w:t>
            </w:r>
          </w:p>
        </w:tc>
      </w:tr>
      <w:tr>
        <w:tblPrEx>
          <w:tblW w:w="9060" w:type="dxa"/>
          <w:jc w:val="center"/>
          <w:tblLayout w:type="fixed"/>
          <w:tblCellMar>
            <w:top w:w="0" w:type="dxa"/>
            <w:left w:w="0" w:type="dxa"/>
            <w:bottom w:w="0" w:type="dxa"/>
            <w:right w:w="0" w:type="dxa"/>
          </w:tblCellMar>
        </w:tblPrEx>
        <w:trPr>
          <w:trHeight w:val="455"/>
          <w:jc w:val="center"/>
        </w:trPr>
        <w:tc>
          <w:tcPr>
            <w:tcW w:w="822" w:type="dxa"/>
            <w:vMerge/>
            <w:tcBorders>
              <w:top w:val="single" w:sz="6" w:space="0" w:color="000000"/>
              <w:left w:val="single" w:sz="12" w:space="0" w:color="000000"/>
              <w:bottom w:val="single" w:sz="6" w:space="0" w:color="000000"/>
              <w:right w:val="single" w:sz="6" w:space="0" w:color="000000"/>
            </w:tcBorders>
            <w:vAlign w:val="center"/>
          </w:tcPr>
          <w:p>
            <w:pPr>
              <w:widowControl/>
              <w:jc w:val="left"/>
              <w:rPr>
                <w:rFonts w:ascii="宋体" w:hAnsi="宋体" w:cs="仿宋"/>
                <w:b/>
                <w:kern w:val="0"/>
                <w:szCs w:val="21"/>
                <w:lang w:val="zh-CN" w:bidi="zh-CN"/>
              </w:rPr>
            </w:pPr>
          </w:p>
        </w:tc>
        <w:tc>
          <w:tcPr>
            <w:tcW w:w="709" w:type="dxa"/>
            <w:tcBorders>
              <w:top w:val="single" w:sz="6" w:space="0" w:color="000000"/>
              <w:left w:val="single" w:sz="6" w:space="0" w:color="000000"/>
              <w:bottom w:val="single" w:sz="6" w:space="0" w:color="000000"/>
              <w:right w:val="single" w:sz="6" w:space="0" w:color="000000"/>
            </w:tcBorders>
          </w:tcPr>
          <w:p>
            <w:pPr>
              <w:pStyle w:val="TableParagraph"/>
              <w:spacing w:before="84"/>
              <w:ind w:left="25"/>
              <w:rPr>
                <w:rFonts w:ascii="宋体" w:eastAsia="宋体" w:hAnsi="宋体" w:hint="eastAsia"/>
                <w:sz w:val="21"/>
                <w:szCs w:val="21"/>
              </w:rPr>
            </w:pPr>
            <w:r>
              <w:rPr>
                <w:rFonts w:ascii="宋体" w:eastAsia="宋体" w:hAnsi="宋体" w:hint="eastAsia"/>
                <w:sz w:val="21"/>
                <w:szCs w:val="21"/>
              </w:rPr>
              <w:t>3</w:t>
            </w:r>
          </w:p>
        </w:tc>
        <w:tc>
          <w:tcPr>
            <w:tcW w:w="3140" w:type="dxa"/>
            <w:tcBorders>
              <w:top w:val="single" w:sz="6" w:space="0" w:color="000000"/>
              <w:left w:val="single" w:sz="6" w:space="0" w:color="000000"/>
              <w:bottom w:val="single" w:sz="6" w:space="0" w:color="000000"/>
              <w:right w:val="single" w:sz="6" w:space="0" w:color="000000"/>
            </w:tcBorders>
          </w:tcPr>
          <w:p>
            <w:pPr>
              <w:pStyle w:val="TableParagraph"/>
              <w:spacing w:before="84"/>
              <w:ind w:left="114"/>
              <w:jc w:val="left"/>
              <w:rPr>
                <w:rFonts w:ascii="宋体" w:eastAsia="宋体" w:hAnsi="宋体" w:hint="eastAsia"/>
                <w:sz w:val="21"/>
                <w:szCs w:val="21"/>
              </w:rPr>
            </w:pPr>
            <w:r>
              <w:rPr>
                <w:rFonts w:ascii="宋体" w:eastAsia="宋体" w:hAnsi="宋体" w:hint="eastAsia"/>
                <w:sz w:val="21"/>
                <w:szCs w:val="21"/>
              </w:rPr>
              <w:t>高增益天线</w:t>
            </w:r>
          </w:p>
        </w:tc>
        <w:tc>
          <w:tcPr>
            <w:tcW w:w="1562" w:type="dxa"/>
            <w:tcBorders>
              <w:top w:val="single" w:sz="6" w:space="0" w:color="000000"/>
              <w:left w:val="single" w:sz="6" w:space="0" w:color="000000"/>
              <w:bottom w:val="single" w:sz="6" w:space="0" w:color="000000"/>
              <w:right w:val="single" w:sz="6" w:space="0" w:color="000000"/>
            </w:tcBorders>
          </w:tcPr>
          <w:p>
            <w:pPr>
              <w:pStyle w:val="TableParagraph"/>
              <w:spacing w:before="84"/>
              <w:ind w:left="29"/>
              <w:rPr>
                <w:rFonts w:ascii="宋体" w:eastAsia="宋体" w:hAnsi="宋体" w:hint="eastAsia"/>
                <w:sz w:val="21"/>
                <w:szCs w:val="21"/>
              </w:rPr>
            </w:pPr>
            <w:r>
              <w:rPr>
                <w:rFonts w:ascii="宋体" w:eastAsia="宋体" w:hAnsi="宋体" w:hint="eastAsia"/>
                <w:sz w:val="21"/>
                <w:szCs w:val="21"/>
              </w:rPr>
              <w:t>1</w:t>
            </w:r>
          </w:p>
        </w:tc>
        <w:tc>
          <w:tcPr>
            <w:tcW w:w="2822" w:type="dxa"/>
            <w:tcBorders>
              <w:top w:val="single" w:sz="6" w:space="0" w:color="000000"/>
              <w:left w:val="single" w:sz="6" w:space="0" w:color="000000"/>
              <w:bottom w:val="single" w:sz="6" w:space="0" w:color="000000"/>
              <w:right w:val="single" w:sz="12" w:space="0" w:color="000000"/>
            </w:tcBorders>
          </w:tcPr>
          <w:p>
            <w:pPr>
              <w:pStyle w:val="TableParagraph"/>
              <w:spacing w:before="82"/>
              <w:ind w:left="375" w:right="339"/>
              <w:rPr>
                <w:rFonts w:ascii="宋体" w:eastAsia="宋体" w:hAnsi="宋体" w:hint="eastAsia"/>
                <w:sz w:val="21"/>
                <w:szCs w:val="21"/>
              </w:rPr>
            </w:pPr>
            <w:r>
              <w:rPr>
                <w:rFonts w:ascii="宋体" w:eastAsia="宋体" w:hAnsi="宋体" w:hint="eastAsia"/>
                <w:sz w:val="21"/>
                <w:szCs w:val="21"/>
              </w:rPr>
              <w:t>HGA-7001</w:t>
            </w:r>
          </w:p>
        </w:tc>
      </w:tr>
      <w:tr>
        <w:tblPrEx>
          <w:tblW w:w="9060" w:type="dxa"/>
          <w:jc w:val="center"/>
          <w:tblLayout w:type="fixed"/>
          <w:tblCellMar>
            <w:top w:w="0" w:type="dxa"/>
            <w:left w:w="0" w:type="dxa"/>
            <w:bottom w:w="0" w:type="dxa"/>
            <w:right w:w="0" w:type="dxa"/>
          </w:tblCellMar>
        </w:tblPrEx>
        <w:trPr>
          <w:trHeight w:val="452"/>
          <w:jc w:val="center"/>
        </w:trPr>
        <w:tc>
          <w:tcPr>
            <w:tcW w:w="822" w:type="dxa"/>
            <w:vMerge/>
            <w:tcBorders>
              <w:top w:val="single" w:sz="6" w:space="0" w:color="000000"/>
              <w:left w:val="single" w:sz="12" w:space="0" w:color="000000"/>
              <w:bottom w:val="single" w:sz="6" w:space="0" w:color="000000"/>
              <w:right w:val="single" w:sz="6" w:space="0" w:color="000000"/>
            </w:tcBorders>
            <w:vAlign w:val="center"/>
          </w:tcPr>
          <w:p>
            <w:pPr>
              <w:widowControl/>
              <w:jc w:val="left"/>
              <w:rPr>
                <w:rFonts w:ascii="宋体" w:hAnsi="宋体" w:cs="仿宋"/>
                <w:b/>
                <w:kern w:val="0"/>
                <w:szCs w:val="21"/>
                <w:lang w:val="zh-CN" w:bidi="zh-CN"/>
              </w:rPr>
            </w:pPr>
          </w:p>
        </w:tc>
        <w:tc>
          <w:tcPr>
            <w:tcW w:w="709" w:type="dxa"/>
            <w:tcBorders>
              <w:top w:val="single" w:sz="6" w:space="0" w:color="000000"/>
              <w:left w:val="single" w:sz="6" w:space="0" w:color="000000"/>
              <w:bottom w:val="single" w:sz="6" w:space="0" w:color="000000"/>
              <w:right w:val="single" w:sz="6" w:space="0" w:color="000000"/>
            </w:tcBorders>
          </w:tcPr>
          <w:p>
            <w:pPr>
              <w:pStyle w:val="TableParagraph"/>
              <w:ind w:left="25"/>
              <w:rPr>
                <w:rFonts w:ascii="宋体" w:eastAsia="宋体" w:hAnsi="宋体" w:hint="eastAsia"/>
                <w:sz w:val="21"/>
                <w:szCs w:val="21"/>
              </w:rPr>
            </w:pPr>
            <w:r>
              <w:rPr>
                <w:rFonts w:ascii="宋体" w:eastAsia="宋体" w:hAnsi="宋体" w:hint="eastAsia"/>
                <w:sz w:val="21"/>
                <w:szCs w:val="21"/>
              </w:rPr>
              <w:t>4</w:t>
            </w:r>
          </w:p>
        </w:tc>
        <w:tc>
          <w:tcPr>
            <w:tcW w:w="3140" w:type="dxa"/>
            <w:tcBorders>
              <w:top w:val="single" w:sz="6" w:space="0" w:color="000000"/>
              <w:left w:val="single" w:sz="6" w:space="0" w:color="000000"/>
              <w:bottom w:val="single" w:sz="6" w:space="0" w:color="000000"/>
              <w:right w:val="single" w:sz="6" w:space="0" w:color="000000"/>
            </w:tcBorders>
          </w:tcPr>
          <w:p>
            <w:pPr>
              <w:pStyle w:val="TableParagraph"/>
              <w:ind w:left="114"/>
              <w:jc w:val="left"/>
              <w:rPr>
                <w:rFonts w:ascii="宋体" w:eastAsia="宋体" w:hAnsi="宋体" w:hint="eastAsia"/>
                <w:sz w:val="21"/>
                <w:szCs w:val="21"/>
              </w:rPr>
            </w:pPr>
            <w:r>
              <w:rPr>
                <w:rFonts w:ascii="宋体" w:eastAsia="宋体" w:hAnsi="宋体" w:hint="eastAsia"/>
                <w:sz w:val="21"/>
                <w:szCs w:val="21"/>
              </w:rPr>
              <w:t>机载北斗用户机收发机</w:t>
            </w:r>
          </w:p>
        </w:tc>
        <w:tc>
          <w:tcPr>
            <w:tcW w:w="1562" w:type="dxa"/>
            <w:tcBorders>
              <w:top w:val="single" w:sz="6" w:space="0" w:color="000000"/>
              <w:left w:val="single" w:sz="6" w:space="0" w:color="000000"/>
              <w:bottom w:val="single" w:sz="6" w:space="0" w:color="000000"/>
              <w:right w:val="single" w:sz="6" w:space="0" w:color="000000"/>
            </w:tcBorders>
          </w:tcPr>
          <w:p>
            <w:pPr>
              <w:pStyle w:val="TableParagraph"/>
              <w:ind w:left="29"/>
              <w:rPr>
                <w:rFonts w:ascii="宋体" w:eastAsia="宋体" w:hAnsi="宋体" w:hint="eastAsia"/>
                <w:sz w:val="21"/>
                <w:szCs w:val="21"/>
              </w:rPr>
            </w:pPr>
            <w:r>
              <w:rPr>
                <w:rFonts w:ascii="宋体" w:eastAsia="宋体" w:hAnsi="宋体" w:hint="eastAsia"/>
                <w:sz w:val="21"/>
                <w:szCs w:val="21"/>
              </w:rPr>
              <w:t>1</w:t>
            </w:r>
          </w:p>
        </w:tc>
        <w:tc>
          <w:tcPr>
            <w:tcW w:w="2822" w:type="dxa"/>
            <w:tcBorders>
              <w:top w:val="single" w:sz="6" w:space="0" w:color="000000"/>
              <w:left w:val="single" w:sz="6" w:space="0" w:color="000000"/>
              <w:bottom w:val="single" w:sz="6" w:space="0" w:color="000000"/>
              <w:right w:val="single" w:sz="12" w:space="0" w:color="000000"/>
            </w:tcBorders>
          </w:tcPr>
          <w:p>
            <w:pPr>
              <w:pStyle w:val="TableParagraph"/>
              <w:spacing w:before="79"/>
              <w:ind w:left="375" w:right="339"/>
              <w:rPr>
                <w:rFonts w:ascii="宋体" w:eastAsia="宋体" w:hAnsi="宋体" w:hint="eastAsia"/>
                <w:sz w:val="21"/>
                <w:szCs w:val="21"/>
              </w:rPr>
            </w:pPr>
            <w:r>
              <w:rPr>
                <w:rFonts w:ascii="宋体" w:eastAsia="宋体" w:hAnsi="宋体" w:hint="eastAsia"/>
                <w:sz w:val="21"/>
                <w:szCs w:val="21"/>
              </w:rPr>
              <w:t>HDQ-39</w:t>
            </w:r>
          </w:p>
        </w:tc>
      </w:tr>
      <w:tr>
        <w:tblPrEx>
          <w:tblW w:w="9060" w:type="dxa"/>
          <w:jc w:val="center"/>
          <w:tblLayout w:type="fixed"/>
          <w:tblCellMar>
            <w:top w:w="0" w:type="dxa"/>
            <w:left w:w="0" w:type="dxa"/>
            <w:bottom w:w="0" w:type="dxa"/>
            <w:right w:w="0" w:type="dxa"/>
          </w:tblCellMar>
        </w:tblPrEx>
        <w:trPr>
          <w:trHeight w:val="452"/>
          <w:jc w:val="center"/>
        </w:trPr>
        <w:tc>
          <w:tcPr>
            <w:tcW w:w="822" w:type="dxa"/>
            <w:vMerge/>
            <w:tcBorders>
              <w:top w:val="single" w:sz="6" w:space="0" w:color="000000"/>
              <w:left w:val="single" w:sz="12" w:space="0" w:color="000000"/>
              <w:bottom w:val="single" w:sz="6" w:space="0" w:color="000000"/>
              <w:right w:val="single" w:sz="6" w:space="0" w:color="000000"/>
            </w:tcBorders>
            <w:vAlign w:val="center"/>
          </w:tcPr>
          <w:p>
            <w:pPr>
              <w:widowControl/>
              <w:jc w:val="left"/>
              <w:rPr>
                <w:rFonts w:ascii="宋体" w:hAnsi="宋体" w:cs="仿宋"/>
                <w:b/>
                <w:kern w:val="0"/>
                <w:szCs w:val="21"/>
                <w:lang w:val="zh-CN" w:bidi="zh-CN"/>
              </w:rPr>
            </w:pPr>
          </w:p>
        </w:tc>
        <w:tc>
          <w:tcPr>
            <w:tcW w:w="709" w:type="dxa"/>
            <w:tcBorders>
              <w:top w:val="single" w:sz="6" w:space="0" w:color="000000"/>
              <w:left w:val="single" w:sz="6" w:space="0" w:color="000000"/>
              <w:bottom w:val="single" w:sz="6" w:space="0" w:color="000000"/>
              <w:right w:val="single" w:sz="6" w:space="0" w:color="000000"/>
            </w:tcBorders>
          </w:tcPr>
          <w:p>
            <w:pPr>
              <w:pStyle w:val="TableParagraph"/>
              <w:ind w:left="25"/>
              <w:rPr>
                <w:rFonts w:ascii="宋体" w:eastAsia="宋体" w:hAnsi="宋体" w:hint="eastAsia"/>
                <w:sz w:val="21"/>
                <w:szCs w:val="21"/>
              </w:rPr>
            </w:pPr>
            <w:r>
              <w:rPr>
                <w:rFonts w:ascii="宋体" w:eastAsia="宋体" w:hAnsi="宋体" w:hint="eastAsia"/>
                <w:sz w:val="21"/>
                <w:szCs w:val="21"/>
              </w:rPr>
              <w:t>5</w:t>
            </w:r>
          </w:p>
        </w:tc>
        <w:tc>
          <w:tcPr>
            <w:tcW w:w="3140" w:type="dxa"/>
            <w:tcBorders>
              <w:top w:val="single" w:sz="6" w:space="0" w:color="000000"/>
              <w:left w:val="single" w:sz="6" w:space="0" w:color="000000"/>
              <w:bottom w:val="single" w:sz="6" w:space="0" w:color="000000"/>
              <w:right w:val="single" w:sz="6" w:space="0" w:color="000000"/>
            </w:tcBorders>
          </w:tcPr>
          <w:p>
            <w:pPr>
              <w:pStyle w:val="TableParagraph"/>
              <w:ind w:left="114"/>
              <w:jc w:val="left"/>
              <w:rPr>
                <w:rFonts w:ascii="宋体" w:eastAsia="宋体" w:hAnsi="宋体" w:hint="eastAsia"/>
                <w:sz w:val="21"/>
                <w:szCs w:val="21"/>
              </w:rPr>
            </w:pPr>
            <w:r>
              <w:rPr>
                <w:rFonts w:ascii="宋体" w:eastAsia="宋体" w:hAnsi="宋体" w:hint="eastAsia"/>
                <w:sz w:val="21"/>
                <w:szCs w:val="21"/>
              </w:rPr>
              <w:t>机载北斗用户机天线</w:t>
            </w:r>
          </w:p>
        </w:tc>
        <w:tc>
          <w:tcPr>
            <w:tcW w:w="1562" w:type="dxa"/>
            <w:tcBorders>
              <w:top w:val="single" w:sz="6" w:space="0" w:color="000000"/>
              <w:left w:val="single" w:sz="6" w:space="0" w:color="000000"/>
              <w:bottom w:val="single" w:sz="6" w:space="0" w:color="000000"/>
              <w:right w:val="single" w:sz="6" w:space="0" w:color="000000"/>
            </w:tcBorders>
          </w:tcPr>
          <w:p>
            <w:pPr>
              <w:pStyle w:val="TableParagraph"/>
              <w:ind w:left="29"/>
              <w:rPr>
                <w:rFonts w:ascii="宋体" w:eastAsia="宋体" w:hAnsi="宋体" w:hint="eastAsia"/>
                <w:sz w:val="21"/>
                <w:szCs w:val="21"/>
              </w:rPr>
            </w:pPr>
            <w:r>
              <w:rPr>
                <w:rFonts w:ascii="宋体" w:eastAsia="宋体" w:hAnsi="宋体" w:hint="eastAsia"/>
                <w:sz w:val="21"/>
                <w:szCs w:val="21"/>
              </w:rPr>
              <w:t>1</w:t>
            </w:r>
          </w:p>
        </w:tc>
        <w:tc>
          <w:tcPr>
            <w:tcW w:w="2822" w:type="dxa"/>
            <w:tcBorders>
              <w:top w:val="single" w:sz="6" w:space="0" w:color="000000"/>
              <w:left w:val="single" w:sz="6" w:space="0" w:color="000000"/>
              <w:bottom w:val="single" w:sz="6" w:space="0" w:color="000000"/>
              <w:right w:val="single" w:sz="12" w:space="0" w:color="000000"/>
            </w:tcBorders>
          </w:tcPr>
          <w:p>
            <w:pPr>
              <w:pStyle w:val="TableParagraph"/>
              <w:ind w:left="375" w:right="339"/>
              <w:rPr>
                <w:rFonts w:ascii="宋体" w:eastAsia="宋体" w:hAnsi="宋体" w:hint="eastAsia"/>
                <w:sz w:val="21"/>
                <w:szCs w:val="21"/>
              </w:rPr>
            </w:pPr>
            <w:r>
              <w:rPr>
                <w:rFonts w:ascii="宋体" w:eastAsia="宋体" w:hAnsi="宋体" w:hint="eastAsia"/>
                <w:sz w:val="21"/>
                <w:szCs w:val="21"/>
              </w:rPr>
              <w:t>TTX-142</w:t>
            </w:r>
          </w:p>
        </w:tc>
      </w:tr>
      <w:tr>
        <w:tblPrEx>
          <w:tblW w:w="9060" w:type="dxa"/>
          <w:jc w:val="center"/>
          <w:tblLayout w:type="fixed"/>
          <w:tblCellMar>
            <w:top w:w="0" w:type="dxa"/>
            <w:left w:w="0" w:type="dxa"/>
            <w:bottom w:w="0" w:type="dxa"/>
            <w:right w:w="0" w:type="dxa"/>
          </w:tblCellMar>
        </w:tblPrEx>
        <w:trPr>
          <w:trHeight w:val="444"/>
          <w:jc w:val="center"/>
        </w:trPr>
        <w:tc>
          <w:tcPr>
            <w:tcW w:w="822" w:type="dxa"/>
            <w:vMerge w:val="restart"/>
            <w:tcBorders>
              <w:top w:val="single" w:sz="6" w:space="0" w:color="000000"/>
              <w:left w:val="single" w:sz="12" w:space="0" w:color="000000"/>
              <w:bottom w:val="single" w:sz="12" w:space="0" w:color="000000"/>
              <w:right w:val="single" w:sz="6" w:space="0" w:color="000000"/>
            </w:tcBorders>
            <w:vAlign w:val="center"/>
          </w:tcPr>
          <w:p>
            <w:pPr>
              <w:pStyle w:val="TableParagraph"/>
              <w:spacing w:before="91"/>
              <w:ind w:left="107"/>
              <w:rPr>
                <w:rFonts w:ascii="宋体" w:eastAsia="宋体" w:hAnsi="宋体" w:hint="eastAsia"/>
                <w:b/>
                <w:sz w:val="21"/>
                <w:szCs w:val="21"/>
              </w:rPr>
            </w:pPr>
            <w:r>
              <w:rPr>
                <w:rFonts w:ascii="宋体" w:eastAsia="宋体" w:hAnsi="宋体" w:hint="eastAsia"/>
                <w:b/>
                <w:spacing w:val="-1"/>
                <w:sz w:val="21"/>
                <w:szCs w:val="21"/>
              </w:rPr>
              <w:t>任务集成</w:t>
            </w:r>
          </w:p>
        </w:tc>
        <w:tc>
          <w:tcPr>
            <w:tcW w:w="709" w:type="dxa"/>
            <w:tcBorders>
              <w:top w:val="single" w:sz="6" w:space="0" w:color="000000"/>
              <w:left w:val="single" w:sz="6" w:space="0" w:color="000000"/>
              <w:bottom w:val="single" w:sz="6" w:space="0" w:color="000000"/>
              <w:right w:val="single" w:sz="6" w:space="0" w:color="000000"/>
            </w:tcBorders>
          </w:tcPr>
          <w:p>
            <w:pPr>
              <w:pStyle w:val="TableParagraph"/>
              <w:ind w:left="25"/>
              <w:rPr>
                <w:rFonts w:ascii="宋体" w:eastAsia="宋体" w:hAnsi="宋体" w:hint="eastAsia"/>
                <w:sz w:val="21"/>
                <w:szCs w:val="21"/>
              </w:rPr>
            </w:pPr>
            <w:r>
              <w:rPr>
                <w:rFonts w:ascii="宋体" w:eastAsia="宋体" w:hAnsi="宋体" w:hint="eastAsia"/>
                <w:sz w:val="21"/>
                <w:szCs w:val="21"/>
              </w:rPr>
              <w:t>1</w:t>
            </w:r>
          </w:p>
        </w:tc>
        <w:tc>
          <w:tcPr>
            <w:tcW w:w="3140" w:type="dxa"/>
            <w:tcBorders>
              <w:top w:val="single" w:sz="6" w:space="0" w:color="000000"/>
              <w:left w:val="single" w:sz="6" w:space="0" w:color="000000"/>
              <w:bottom w:val="single" w:sz="6" w:space="0" w:color="000000"/>
              <w:right w:val="single" w:sz="6" w:space="0" w:color="000000"/>
            </w:tcBorders>
          </w:tcPr>
          <w:p>
            <w:pPr>
              <w:pStyle w:val="TableParagraph"/>
              <w:ind w:left="114"/>
              <w:jc w:val="left"/>
              <w:rPr>
                <w:rFonts w:ascii="宋体" w:eastAsia="宋体" w:hAnsi="宋体" w:hint="eastAsia"/>
                <w:sz w:val="21"/>
                <w:szCs w:val="21"/>
              </w:rPr>
            </w:pPr>
            <w:r>
              <w:rPr>
                <w:rFonts w:ascii="宋体" w:eastAsia="宋体" w:hAnsi="宋体" w:hint="eastAsia"/>
                <w:sz w:val="21"/>
                <w:szCs w:val="21"/>
              </w:rPr>
              <w:t>机载通信控制设备</w:t>
            </w:r>
          </w:p>
        </w:tc>
        <w:tc>
          <w:tcPr>
            <w:tcW w:w="1562" w:type="dxa"/>
            <w:tcBorders>
              <w:top w:val="single" w:sz="6" w:space="0" w:color="000000"/>
              <w:left w:val="single" w:sz="6" w:space="0" w:color="000000"/>
              <w:bottom w:val="single" w:sz="6" w:space="0" w:color="000000"/>
              <w:right w:val="single" w:sz="6" w:space="0" w:color="000000"/>
            </w:tcBorders>
          </w:tcPr>
          <w:p>
            <w:pPr>
              <w:pStyle w:val="TableParagraph"/>
              <w:ind w:left="29"/>
              <w:rPr>
                <w:rFonts w:ascii="宋体" w:eastAsia="宋体" w:hAnsi="宋体" w:hint="eastAsia"/>
                <w:sz w:val="21"/>
                <w:szCs w:val="21"/>
              </w:rPr>
            </w:pPr>
            <w:r>
              <w:rPr>
                <w:rFonts w:ascii="宋体" w:eastAsia="宋体" w:hAnsi="宋体" w:hint="eastAsia"/>
                <w:sz w:val="21"/>
                <w:szCs w:val="21"/>
              </w:rPr>
              <w:t>1</w:t>
            </w:r>
          </w:p>
        </w:tc>
        <w:tc>
          <w:tcPr>
            <w:tcW w:w="2822" w:type="dxa"/>
            <w:tcBorders>
              <w:top w:val="single" w:sz="6" w:space="0" w:color="000000"/>
              <w:left w:val="single" w:sz="6" w:space="0" w:color="000000"/>
              <w:bottom w:val="single" w:sz="6" w:space="0" w:color="000000"/>
              <w:right w:val="single" w:sz="12" w:space="0" w:color="000000"/>
            </w:tcBorders>
          </w:tcPr>
          <w:p>
            <w:pPr>
              <w:pStyle w:val="TableParagraph"/>
              <w:ind w:left="375" w:right="339"/>
              <w:rPr>
                <w:rFonts w:ascii="宋体" w:eastAsia="宋体" w:hAnsi="宋体" w:hint="eastAsia"/>
                <w:sz w:val="21"/>
                <w:szCs w:val="21"/>
              </w:rPr>
            </w:pPr>
            <w:r>
              <w:rPr>
                <w:rFonts w:ascii="宋体" w:eastAsia="宋体" w:hAnsi="宋体" w:hint="eastAsia"/>
                <w:sz w:val="21"/>
                <w:szCs w:val="21"/>
              </w:rPr>
              <w:t>TKQ-8A</w:t>
            </w:r>
          </w:p>
        </w:tc>
      </w:tr>
      <w:tr>
        <w:tblPrEx>
          <w:tblW w:w="9060" w:type="dxa"/>
          <w:jc w:val="center"/>
          <w:tblLayout w:type="fixed"/>
          <w:tblCellMar>
            <w:top w:w="0" w:type="dxa"/>
            <w:left w:w="0" w:type="dxa"/>
            <w:bottom w:w="0" w:type="dxa"/>
            <w:right w:w="0" w:type="dxa"/>
          </w:tblCellMar>
        </w:tblPrEx>
        <w:trPr>
          <w:trHeight w:val="444"/>
          <w:jc w:val="center"/>
        </w:trPr>
        <w:tc>
          <w:tcPr>
            <w:tcW w:w="822" w:type="dxa"/>
            <w:vMerge/>
            <w:tcBorders>
              <w:top w:val="single" w:sz="6" w:space="0" w:color="000000"/>
              <w:left w:val="single" w:sz="12" w:space="0" w:color="000000"/>
              <w:bottom w:val="single" w:sz="12" w:space="0" w:color="000000"/>
              <w:right w:val="single" w:sz="6" w:space="0" w:color="000000"/>
            </w:tcBorders>
            <w:vAlign w:val="center"/>
          </w:tcPr>
          <w:p>
            <w:pPr>
              <w:widowControl/>
              <w:jc w:val="left"/>
              <w:rPr>
                <w:rFonts w:ascii="宋体" w:hAnsi="宋体" w:cs="仿宋"/>
                <w:b/>
                <w:kern w:val="0"/>
                <w:szCs w:val="21"/>
                <w:lang w:val="zh-CN" w:bidi="zh-CN"/>
              </w:rPr>
            </w:pPr>
          </w:p>
        </w:tc>
        <w:tc>
          <w:tcPr>
            <w:tcW w:w="709" w:type="dxa"/>
            <w:tcBorders>
              <w:top w:val="single" w:sz="6" w:space="0" w:color="000000"/>
              <w:left w:val="single" w:sz="6" w:space="0" w:color="000000"/>
              <w:bottom w:val="single" w:sz="12" w:space="0" w:color="000000"/>
              <w:right w:val="single" w:sz="6" w:space="0" w:color="000000"/>
            </w:tcBorders>
          </w:tcPr>
          <w:p>
            <w:pPr>
              <w:pStyle w:val="TableParagraph"/>
              <w:spacing w:before="76"/>
              <w:ind w:left="25"/>
              <w:rPr>
                <w:rFonts w:ascii="宋体" w:eastAsia="宋体" w:hAnsi="宋体" w:hint="eastAsia"/>
                <w:sz w:val="21"/>
                <w:szCs w:val="21"/>
              </w:rPr>
            </w:pPr>
            <w:r>
              <w:rPr>
                <w:rFonts w:ascii="宋体" w:eastAsia="宋体" w:hAnsi="宋体" w:hint="eastAsia"/>
                <w:sz w:val="21"/>
                <w:szCs w:val="21"/>
              </w:rPr>
              <w:t>2</w:t>
            </w:r>
          </w:p>
        </w:tc>
        <w:tc>
          <w:tcPr>
            <w:tcW w:w="3140" w:type="dxa"/>
            <w:tcBorders>
              <w:top w:val="single" w:sz="6" w:space="0" w:color="000000"/>
              <w:left w:val="single" w:sz="6" w:space="0" w:color="000000"/>
              <w:bottom w:val="single" w:sz="12" w:space="0" w:color="000000"/>
              <w:right w:val="single" w:sz="6" w:space="0" w:color="000000"/>
            </w:tcBorders>
          </w:tcPr>
          <w:p>
            <w:pPr>
              <w:pStyle w:val="TableParagraph"/>
              <w:spacing w:before="76"/>
              <w:ind w:left="114"/>
              <w:jc w:val="left"/>
              <w:rPr>
                <w:rFonts w:ascii="宋体" w:eastAsia="宋体" w:hAnsi="宋体" w:hint="eastAsia"/>
                <w:sz w:val="21"/>
                <w:szCs w:val="21"/>
              </w:rPr>
            </w:pPr>
            <w:r>
              <w:rPr>
                <w:rFonts w:ascii="宋体" w:eastAsia="宋体" w:hAnsi="宋体" w:hint="eastAsia"/>
                <w:sz w:val="21"/>
                <w:szCs w:val="21"/>
              </w:rPr>
              <w:t>机载显控计算机</w:t>
            </w:r>
          </w:p>
        </w:tc>
        <w:tc>
          <w:tcPr>
            <w:tcW w:w="1562" w:type="dxa"/>
            <w:tcBorders>
              <w:top w:val="single" w:sz="6" w:space="0" w:color="000000"/>
              <w:left w:val="single" w:sz="6" w:space="0" w:color="000000"/>
              <w:bottom w:val="single" w:sz="12" w:space="0" w:color="000000"/>
              <w:right w:val="single" w:sz="6" w:space="0" w:color="000000"/>
            </w:tcBorders>
          </w:tcPr>
          <w:p>
            <w:pPr>
              <w:pStyle w:val="TableParagraph"/>
              <w:spacing w:before="76"/>
              <w:ind w:left="29"/>
              <w:rPr>
                <w:rFonts w:ascii="宋体" w:eastAsia="宋体" w:hAnsi="宋体" w:hint="eastAsia"/>
                <w:sz w:val="21"/>
                <w:szCs w:val="21"/>
              </w:rPr>
            </w:pPr>
            <w:r>
              <w:rPr>
                <w:rFonts w:ascii="宋体" w:eastAsia="宋体" w:hAnsi="宋体" w:hint="eastAsia"/>
                <w:sz w:val="21"/>
                <w:szCs w:val="21"/>
              </w:rPr>
              <w:t>2</w:t>
            </w:r>
          </w:p>
        </w:tc>
        <w:tc>
          <w:tcPr>
            <w:tcW w:w="2822" w:type="dxa"/>
            <w:tcBorders>
              <w:top w:val="single" w:sz="6" w:space="0" w:color="000000"/>
              <w:left w:val="single" w:sz="6" w:space="0" w:color="000000"/>
              <w:bottom w:val="single" w:sz="12" w:space="0" w:color="000000"/>
              <w:right w:val="single" w:sz="12" w:space="0" w:color="000000"/>
            </w:tcBorders>
          </w:tcPr>
          <w:p>
            <w:pPr>
              <w:pStyle w:val="TableParagraph"/>
              <w:spacing w:before="73"/>
              <w:ind w:left="375" w:right="339"/>
              <w:rPr>
                <w:rFonts w:ascii="宋体" w:eastAsia="宋体" w:hAnsi="宋体" w:hint="eastAsia"/>
                <w:sz w:val="21"/>
                <w:szCs w:val="21"/>
              </w:rPr>
            </w:pPr>
            <w:r>
              <w:rPr>
                <w:rFonts w:ascii="宋体" w:eastAsia="宋体" w:hAnsi="宋体" w:hint="eastAsia"/>
                <w:sz w:val="21"/>
                <w:szCs w:val="21"/>
              </w:rPr>
              <w:t>FAR-APC-01</w:t>
            </w:r>
          </w:p>
        </w:tc>
      </w:tr>
    </w:tbl>
    <w:p>
      <w:pPr>
        <w:spacing w:line="520" w:lineRule="exact"/>
        <w:ind w:firstLine="420" w:firstLineChars="200"/>
        <w:rPr>
          <w:rFonts w:ascii="宋体" w:eastAsia="宋体" w:hAnsi="宋体" w:cs="Times New Roman" w:hint="eastAsia"/>
          <w:b/>
          <w:szCs w:val="21"/>
          <w:highlight w:val="yellow"/>
        </w:rPr>
      </w:pPr>
    </w:p>
    <w:p>
      <w:pPr>
        <w:spacing w:line="520" w:lineRule="exact"/>
        <w:ind w:firstLine="420" w:firstLineChars="200"/>
        <w:rPr>
          <w:rFonts w:ascii="宋体" w:hAnsi="宋体" w:hint="eastAsia"/>
          <w:b/>
          <w:szCs w:val="21"/>
        </w:rPr>
      </w:pPr>
      <w:r>
        <w:rPr>
          <w:rFonts w:ascii="宋体" w:hAnsi="宋体" w:hint="eastAsia"/>
          <w:b/>
          <w:szCs w:val="21"/>
        </w:rPr>
        <w:t>四、 采购人和中标人的责任和义务</w:t>
      </w:r>
    </w:p>
    <w:p>
      <w:pPr>
        <w:spacing w:line="520" w:lineRule="exact"/>
        <w:ind w:firstLine="420" w:firstLineChars="200"/>
        <w:rPr>
          <w:rFonts w:ascii="宋体" w:hAnsi="宋体" w:hint="eastAsia"/>
          <w:color w:val="000000"/>
          <w:kern w:val="0"/>
          <w:szCs w:val="21"/>
        </w:rPr>
      </w:pPr>
      <w:r>
        <w:rPr>
          <w:rFonts w:ascii="宋体" w:hAnsi="宋体" w:hint="eastAsia"/>
          <w:kern w:val="0"/>
          <w:szCs w:val="21"/>
        </w:rPr>
        <w:t>1、采购</w:t>
      </w:r>
      <w:r>
        <w:rPr>
          <w:rFonts w:ascii="宋体" w:hAnsi="宋体" w:hint="eastAsia"/>
          <w:color w:val="000000"/>
          <w:kern w:val="0"/>
          <w:szCs w:val="21"/>
        </w:rPr>
        <w:t>人的责任和义务</w:t>
      </w:r>
    </w:p>
    <w:p>
      <w:pPr>
        <w:spacing w:line="520" w:lineRule="exact"/>
        <w:ind w:firstLine="420" w:firstLineChars="200"/>
        <w:rPr>
          <w:rFonts w:ascii="宋体" w:hAnsi="宋体" w:hint="eastAsia"/>
          <w:color w:val="000000"/>
          <w:kern w:val="0"/>
          <w:szCs w:val="21"/>
        </w:rPr>
      </w:pPr>
      <w:r>
        <w:rPr>
          <w:rFonts w:ascii="宋体" w:hAnsi="宋体" w:hint="eastAsia"/>
          <w:color w:val="000000"/>
          <w:kern w:val="0"/>
          <w:szCs w:val="21"/>
        </w:rPr>
        <w:t>（1）采购人是飞机运行管理的责任单位，承担安全监督管理责任。</w:t>
      </w:r>
    </w:p>
    <w:p>
      <w:pPr>
        <w:spacing w:line="520" w:lineRule="exact"/>
        <w:ind w:firstLine="420" w:firstLineChars="200"/>
        <w:rPr>
          <w:rFonts w:ascii="宋体" w:hAnsi="宋体" w:hint="eastAsia"/>
          <w:color w:val="000000"/>
          <w:kern w:val="0"/>
          <w:szCs w:val="21"/>
        </w:rPr>
      </w:pPr>
      <w:r>
        <w:rPr>
          <w:rFonts w:ascii="宋体" w:hAnsi="宋体" w:hint="eastAsia"/>
          <w:color w:val="000000"/>
          <w:kern w:val="0"/>
          <w:szCs w:val="21"/>
        </w:rPr>
        <w:t>（2）采购人和飞机资产所有方享有对中标人履行义务情况的知情权和监督权。</w:t>
      </w:r>
    </w:p>
    <w:p>
      <w:pPr>
        <w:spacing w:line="520" w:lineRule="exact"/>
        <w:ind w:firstLine="420" w:firstLineChars="200"/>
        <w:rPr>
          <w:rFonts w:ascii="宋体" w:hAnsi="宋体" w:hint="eastAsia"/>
          <w:color w:val="000000"/>
          <w:kern w:val="0"/>
          <w:szCs w:val="21"/>
        </w:rPr>
      </w:pPr>
      <w:r>
        <w:rPr>
          <w:rFonts w:ascii="宋体" w:hAnsi="宋体" w:hint="eastAsia"/>
          <w:color w:val="000000"/>
          <w:kern w:val="0"/>
          <w:szCs w:val="21"/>
        </w:rPr>
        <w:t>（3）采购人负责提出飞机人影作业及探测试验时段，并下达调机和飞机人影作业及探测试验任务。</w:t>
      </w:r>
    </w:p>
    <w:p>
      <w:pPr>
        <w:spacing w:line="520" w:lineRule="exact"/>
        <w:ind w:firstLine="420" w:firstLineChars="200"/>
        <w:rPr>
          <w:rFonts w:ascii="宋体" w:hAnsi="宋体" w:hint="eastAsia"/>
          <w:color w:val="000000"/>
          <w:kern w:val="0"/>
          <w:szCs w:val="21"/>
        </w:rPr>
      </w:pPr>
      <w:r>
        <w:rPr>
          <w:rFonts w:ascii="宋体" w:hAnsi="宋体" w:hint="eastAsia"/>
          <w:color w:val="000000"/>
          <w:kern w:val="0"/>
          <w:szCs w:val="21"/>
        </w:rPr>
        <w:t>（4）采购人负责人工影响天气机载任务系统的管理、使用、维护和保养。</w:t>
      </w:r>
    </w:p>
    <w:p>
      <w:pPr>
        <w:spacing w:line="520" w:lineRule="exact"/>
        <w:ind w:firstLine="420" w:firstLineChars="200"/>
        <w:rPr>
          <w:rFonts w:ascii="宋体" w:hAnsi="宋体" w:hint="eastAsia"/>
          <w:kern w:val="0"/>
          <w:szCs w:val="21"/>
        </w:rPr>
      </w:pPr>
      <w:r>
        <w:rPr>
          <w:rFonts w:ascii="宋体" w:hAnsi="宋体" w:hint="eastAsia"/>
          <w:color w:val="000000"/>
          <w:kern w:val="0"/>
          <w:szCs w:val="21"/>
        </w:rPr>
        <w:t>（5）在正常更新范围内及在托管期间非中标人人为造成故障的情况下，三大件（发动机、螺旋桨、起落架）的更换由中标人根据实际情况提前半年向采购人提出申请，并由采购人向资产所有方申请更换。</w:t>
      </w:r>
      <w:r>
        <w:rPr>
          <w:rFonts w:ascii="宋体" w:hAnsi="宋体" w:hint="eastAsia"/>
          <w:kern w:val="0"/>
          <w:szCs w:val="21"/>
        </w:rPr>
        <w:t>由于中标人原因造成三大件（发动机、螺旋桨、起落架）未能正常维护或更换，由中标人承担相应责任。</w:t>
      </w:r>
    </w:p>
    <w:p>
      <w:pPr>
        <w:spacing w:line="520" w:lineRule="exact"/>
        <w:ind w:firstLine="420" w:firstLineChars="200"/>
        <w:rPr>
          <w:rFonts w:ascii="宋体" w:hAnsi="宋体" w:hint="eastAsia"/>
          <w:kern w:val="0"/>
          <w:szCs w:val="21"/>
        </w:rPr>
      </w:pPr>
      <w:r>
        <w:rPr>
          <w:rFonts w:ascii="宋体" w:hAnsi="宋体" w:hint="eastAsia"/>
          <w:kern w:val="0"/>
          <w:szCs w:val="21"/>
        </w:rPr>
        <w:t>（6）为进一步规范安全管理，保障采购人利益，合同期内中标人若发生事故，采购人有权立即终止合同，并另行招标。</w:t>
      </w:r>
    </w:p>
    <w:p>
      <w:pPr>
        <w:spacing w:line="520" w:lineRule="exact"/>
        <w:ind w:firstLine="420" w:firstLineChars="200"/>
        <w:rPr>
          <w:rFonts w:ascii="宋体" w:hAnsi="宋体" w:hint="eastAsia"/>
          <w:color w:val="000000"/>
          <w:kern w:val="0"/>
          <w:szCs w:val="21"/>
        </w:rPr>
      </w:pPr>
      <w:r>
        <w:rPr>
          <w:rFonts w:ascii="宋体" w:hAnsi="宋体" w:hint="eastAsia"/>
          <w:color w:val="000000"/>
          <w:kern w:val="0"/>
          <w:szCs w:val="21"/>
        </w:rPr>
        <w:t>（7）采购人负责按时向中标人支付合同规定的费用。</w:t>
      </w:r>
    </w:p>
    <w:p>
      <w:pPr>
        <w:spacing w:line="520" w:lineRule="exact"/>
        <w:ind w:firstLine="420" w:firstLineChars="200"/>
        <w:rPr>
          <w:rFonts w:ascii="宋体" w:hAnsi="宋体" w:hint="eastAsia"/>
          <w:color w:val="000000"/>
          <w:kern w:val="0"/>
          <w:szCs w:val="21"/>
        </w:rPr>
      </w:pPr>
      <w:r>
        <w:rPr>
          <w:rFonts w:ascii="宋体" w:hAnsi="宋体" w:hint="eastAsia"/>
          <w:color w:val="000000"/>
          <w:kern w:val="0"/>
          <w:szCs w:val="21"/>
        </w:rPr>
        <w:t>2、中标人的责任和义务</w:t>
      </w:r>
    </w:p>
    <w:p>
      <w:pPr>
        <w:spacing w:line="520" w:lineRule="exact"/>
        <w:ind w:firstLine="420" w:firstLineChars="200"/>
        <w:rPr>
          <w:rFonts w:ascii="宋体" w:hAnsi="宋体" w:hint="eastAsia"/>
          <w:color w:val="000000"/>
          <w:kern w:val="0"/>
          <w:szCs w:val="21"/>
        </w:rPr>
      </w:pPr>
      <w:bookmarkStart w:id="66" w:name="_Hlk123810567"/>
      <w:r>
        <w:rPr>
          <w:rFonts w:ascii="宋体" w:hAnsi="宋体" w:hint="eastAsia"/>
          <w:color w:val="000000"/>
          <w:kern w:val="0"/>
          <w:szCs w:val="21"/>
        </w:rPr>
        <w:t>（1）</w:t>
      </w:r>
      <w:bookmarkEnd w:id="66"/>
      <w:r>
        <w:rPr>
          <w:rFonts w:ascii="宋体" w:hAnsi="宋体" w:hint="eastAsia"/>
          <w:color w:val="000000"/>
          <w:kern w:val="0"/>
          <w:szCs w:val="21"/>
        </w:rPr>
        <w:t>中标人是飞机的运行管理责任人，承担飞机所有的适航、安全生产和飞行安全的主体责任，负责办理飞机交接运行事项。严格按照民航规章、飞行手册以及中国气象局飞机安全管理相关规定做好飞机托管服务。采购人作业人员在机坪控制区工作和飞行作业期间，其安全工作纳入中标人统一管理。</w:t>
      </w:r>
    </w:p>
    <w:p>
      <w:pPr>
        <w:spacing w:line="520" w:lineRule="exact"/>
        <w:ind w:firstLine="420" w:firstLineChars="200"/>
        <w:rPr>
          <w:rFonts w:ascii="宋体" w:hAnsi="宋体" w:hint="eastAsia"/>
          <w:color w:val="000000"/>
          <w:kern w:val="0"/>
          <w:szCs w:val="21"/>
        </w:rPr>
      </w:pPr>
      <w:r>
        <w:rPr>
          <w:rFonts w:ascii="宋体" w:hAnsi="宋体" w:hint="eastAsia"/>
          <w:color w:val="000000"/>
          <w:kern w:val="0"/>
          <w:szCs w:val="21"/>
        </w:rPr>
        <w:t>（2）中标人负责飞机人影作业及探测试验飞行、机务维护、飞机保洁、安全运行、日常管理，并制定相应的程序、规定。</w:t>
      </w:r>
    </w:p>
    <w:p>
      <w:pPr>
        <w:spacing w:line="520" w:lineRule="exact"/>
        <w:ind w:firstLine="420" w:firstLineChars="200"/>
        <w:rPr>
          <w:rFonts w:ascii="宋体" w:hAnsi="宋体" w:hint="eastAsia"/>
          <w:color w:val="000000"/>
          <w:kern w:val="0"/>
          <w:szCs w:val="21"/>
        </w:rPr>
      </w:pPr>
      <w:r>
        <w:rPr>
          <w:rFonts w:ascii="宋体" w:hAnsi="宋体" w:hint="eastAsia"/>
          <w:color w:val="000000"/>
          <w:kern w:val="0"/>
          <w:szCs w:val="21"/>
        </w:rPr>
        <w:t>（3）中标人应按中国民航的适航法规和飞机生产厂家及机载设备适航性资料，提早制订飞机全年维修（含定检）计划并书面通报给采购人，按时完成飞机定检、维修与管理工作，不得拖延和影响人影作业和探测任务。当飞机需要大修、定检或定期维护时，中标人应提前1周通告采购人并且合理安排时间。</w:t>
      </w:r>
    </w:p>
    <w:p>
      <w:pPr>
        <w:spacing w:line="520" w:lineRule="exact"/>
        <w:ind w:firstLine="420" w:firstLineChars="200"/>
        <w:rPr>
          <w:rFonts w:ascii="宋体" w:hAnsi="宋体" w:hint="eastAsia"/>
          <w:color w:val="000000"/>
          <w:kern w:val="0"/>
          <w:szCs w:val="21"/>
        </w:rPr>
      </w:pPr>
      <w:r>
        <w:rPr>
          <w:rFonts w:ascii="宋体" w:hAnsi="宋体" w:hint="eastAsia"/>
          <w:kern w:val="0"/>
          <w:szCs w:val="21"/>
        </w:rPr>
        <w:t>（4）中</w:t>
      </w:r>
      <w:r>
        <w:rPr>
          <w:rFonts w:ascii="宋体" w:hAnsi="宋体" w:hint="eastAsia"/>
          <w:color w:val="000000"/>
          <w:kern w:val="0"/>
          <w:szCs w:val="21"/>
        </w:rPr>
        <w:t>标人对飞机质量进行检查并按规定程序对飞机、机载任务系统以及飞机改装部分开展安全检查和定检工作，确保飞机的适航状态，并向采购人说明检查和定检情况。如有质量问题，需及时通知采购人，并代表采购人向飞机制造商以及改装商提出，协商制定解决方案，直至问题解决。</w:t>
      </w:r>
    </w:p>
    <w:p>
      <w:pPr>
        <w:spacing w:line="520" w:lineRule="exact"/>
        <w:ind w:firstLine="420" w:firstLineChars="200"/>
        <w:rPr>
          <w:rFonts w:ascii="宋体" w:hAnsi="宋体" w:hint="eastAsia"/>
          <w:color w:val="000000"/>
          <w:kern w:val="0"/>
          <w:szCs w:val="21"/>
        </w:rPr>
      </w:pPr>
      <w:r>
        <w:rPr>
          <w:rFonts w:ascii="宋体" w:hAnsi="宋体" w:hint="eastAsia"/>
          <w:color w:val="000000"/>
          <w:kern w:val="0"/>
          <w:szCs w:val="21"/>
        </w:rPr>
        <w:t>（5）中标人负责飞机维修（含定检）的航材及相应工具的购置、供应和管理。承担航空器日常定检、航空器维修、机载通讯设备（北斗、海事卫星、数据传输）保障维护以及三大件（发动机、螺旋桨、起落架）的维护维修的相应工作。</w:t>
      </w:r>
    </w:p>
    <w:p>
      <w:pPr>
        <w:spacing w:line="520" w:lineRule="exact"/>
        <w:ind w:firstLine="420" w:firstLineChars="200"/>
        <w:rPr>
          <w:rFonts w:ascii="宋体" w:hAnsi="宋体" w:hint="eastAsia"/>
          <w:kern w:val="0"/>
          <w:szCs w:val="21"/>
        </w:rPr>
      </w:pPr>
      <w:r>
        <w:rPr>
          <w:rFonts w:ascii="宋体" w:hAnsi="宋体" w:hint="eastAsia"/>
          <w:color w:val="000000"/>
          <w:kern w:val="0"/>
          <w:szCs w:val="21"/>
        </w:rPr>
        <w:t>（6）中标人须按照招标文件以及中标人运行承诺书中所保证的时间节点，提供具有商用驾驶员执照（XII等级有“飞机多发陆地”和“仪表-飞机”、航空器型号有“B-300”）的飞行人员2名以上，并且2名飞行人员均具有该机型的机长资质，有独立带队在青藏高原开展过人工增雨飞行工作经历（签注“B-300”型号飞行器之前作为机长带队在青藏高原开展人工增雨经历也可纳入），且应具有空中结冰等复杂气象条件下飞行经验和特殊情况应急处置能力；提供2名机务，其中至少提供1名具有维修执照机型签署中有空中国王350机型的机械或特设II类放行资质；</w:t>
      </w:r>
      <w:r>
        <w:rPr>
          <w:rFonts w:ascii="宋体" w:hAnsi="宋体" w:hint="eastAsia"/>
          <w:color w:val="000000"/>
          <w:szCs w:val="21"/>
        </w:rPr>
        <w:t>完成常规签派职责</w:t>
      </w:r>
      <w:r>
        <w:rPr>
          <w:rFonts w:ascii="宋体" w:hAnsi="宋体" w:hint="eastAsia"/>
          <w:color w:val="000000"/>
          <w:kern w:val="0"/>
          <w:szCs w:val="21"/>
        </w:rPr>
        <w:t>；上述人员需保证一直跟随飞机开展人影飞行、大型活动保障以及探测飞行任务；拥有相关航线维护和定检工具以及航材；根</w:t>
      </w:r>
      <w:r>
        <w:rPr>
          <w:rFonts w:ascii="宋体" w:hAnsi="宋体" w:hint="eastAsia"/>
          <w:kern w:val="0"/>
          <w:szCs w:val="21"/>
        </w:rPr>
        <w:t>据采购人任务需求和时间节点，保证空域和机场的协调工作。</w:t>
      </w:r>
    </w:p>
    <w:p>
      <w:pPr>
        <w:spacing w:line="520" w:lineRule="exact"/>
        <w:ind w:firstLine="420" w:firstLineChars="200"/>
        <w:rPr>
          <w:rFonts w:ascii="宋体" w:hAnsi="宋体" w:hint="eastAsia"/>
          <w:kern w:val="0"/>
          <w:szCs w:val="21"/>
        </w:rPr>
      </w:pPr>
      <w:r>
        <w:rPr>
          <w:rFonts w:ascii="宋体" w:hAnsi="宋体" w:hint="eastAsia"/>
          <w:kern w:val="0"/>
          <w:szCs w:val="21"/>
        </w:rPr>
        <w:t>（7）除不可抗力因素外，中标人按照运行承诺书中时间节点运行，每违约1日扣款10万元；若一年当中累计违约达30日，采购人有权解除合同，并由中标人赔偿由此造成的损失。</w:t>
      </w:r>
    </w:p>
    <w:p>
      <w:pPr>
        <w:spacing w:line="520" w:lineRule="exact"/>
        <w:ind w:firstLine="420" w:firstLineChars="200"/>
        <w:rPr>
          <w:rFonts w:ascii="宋体" w:hAnsi="宋体" w:hint="eastAsia"/>
          <w:color w:val="000000"/>
          <w:kern w:val="0"/>
          <w:szCs w:val="21"/>
        </w:rPr>
      </w:pPr>
      <w:r>
        <w:rPr>
          <w:rFonts w:ascii="宋体" w:hAnsi="宋体" w:hint="eastAsia"/>
          <w:kern w:val="0"/>
          <w:szCs w:val="21"/>
        </w:rPr>
        <w:t>（8）中标人负责</w:t>
      </w:r>
      <w:r>
        <w:rPr>
          <w:rFonts w:ascii="宋体" w:hAnsi="宋体" w:hint="eastAsia"/>
          <w:color w:val="000000"/>
          <w:kern w:val="0"/>
          <w:szCs w:val="21"/>
        </w:rPr>
        <w:t>本方人员的差旅、食宿、交通等事宜，并承担相关费用。</w:t>
      </w:r>
    </w:p>
    <w:p>
      <w:pPr>
        <w:spacing w:line="520" w:lineRule="exact"/>
        <w:ind w:firstLine="420" w:firstLineChars="200"/>
        <w:rPr>
          <w:rFonts w:ascii="宋体" w:hAnsi="宋体" w:hint="eastAsia"/>
          <w:color w:val="000000"/>
          <w:kern w:val="0"/>
          <w:szCs w:val="21"/>
        </w:rPr>
      </w:pPr>
      <w:r>
        <w:rPr>
          <w:rFonts w:ascii="宋体" w:hAnsi="宋体" w:hint="eastAsia"/>
          <w:color w:val="000000"/>
          <w:kern w:val="0"/>
          <w:szCs w:val="21"/>
        </w:rPr>
        <w:t>（9）在托管期间，中标人应具备与军民航管制部门沟通、协调、联系的能力，负责飞行空域协调，以保证在规定时间内完成采购人交付的任务，按采购人下达的飞行计划和飞行指令，中标人按时、按质、按量完成任务，并承担相关费用。国家人影作业飞机仅用于人工影响天气日常业务</w:t>
      </w:r>
      <w:r>
        <w:rPr>
          <w:rFonts w:ascii="宋体" w:hAnsi="宋体" w:hint="eastAsia"/>
          <w:kern w:val="0"/>
          <w:szCs w:val="21"/>
        </w:rPr>
        <w:t>，同时承担重</w:t>
      </w:r>
      <w:r>
        <w:rPr>
          <w:rFonts w:ascii="宋体" w:hAnsi="宋体" w:hint="eastAsia"/>
          <w:color w:val="000000"/>
          <w:kern w:val="0"/>
          <w:szCs w:val="21"/>
        </w:rPr>
        <w:t>大活动保障、应急服务与科学试验任务，中标人有特殊任务需求时，必须征得采购人书面意见。</w:t>
      </w:r>
    </w:p>
    <w:p>
      <w:pPr>
        <w:spacing w:line="520" w:lineRule="exact"/>
        <w:ind w:firstLine="420" w:firstLineChars="200"/>
        <w:rPr>
          <w:rFonts w:ascii="宋体" w:hAnsi="宋体" w:hint="eastAsia"/>
          <w:kern w:val="0"/>
          <w:szCs w:val="21"/>
        </w:rPr>
      </w:pPr>
      <w:r>
        <w:rPr>
          <w:rFonts w:ascii="宋体" w:hAnsi="宋体" w:hint="eastAsia"/>
          <w:color w:val="000000"/>
          <w:kern w:val="0"/>
          <w:szCs w:val="21"/>
        </w:rPr>
        <w:t>（10）中标人按照采购人指定的机场，负责取得任务所需的机场的使用许可和保障服务，负责与任务机场签署使用协议，提供飞机飞行</w:t>
      </w:r>
      <w:r>
        <w:rPr>
          <w:rFonts w:ascii="宋体" w:hAnsi="宋体" w:hint="eastAsia"/>
          <w:kern w:val="0"/>
          <w:szCs w:val="21"/>
        </w:rPr>
        <w:t>和勤务保障等，负责全国范围内油料供给、驻场转场、起降、安保等机场保障事宜，并承担费用。</w:t>
      </w:r>
    </w:p>
    <w:p>
      <w:pPr>
        <w:spacing w:line="520" w:lineRule="exact"/>
        <w:ind w:firstLine="420" w:firstLineChars="200"/>
        <w:rPr>
          <w:rFonts w:ascii="宋体" w:hAnsi="宋体" w:hint="eastAsia"/>
          <w:kern w:val="0"/>
          <w:szCs w:val="21"/>
        </w:rPr>
      </w:pPr>
      <w:r>
        <w:rPr>
          <w:rFonts w:ascii="宋体" w:hAnsi="宋体" w:hint="eastAsia"/>
          <w:kern w:val="0"/>
          <w:szCs w:val="21"/>
        </w:rPr>
        <w:t>（11）中标人负责飞行计划申请、适航审批等相关手续、任务批件的办理，按照采购人要求按时调机（军民航管制、天气及不安全因素除外），并保证人影作业及探测试验任务顺利实施。</w:t>
      </w:r>
    </w:p>
    <w:p>
      <w:pPr>
        <w:spacing w:line="520" w:lineRule="exact"/>
        <w:ind w:firstLine="420" w:firstLineChars="200"/>
        <w:rPr>
          <w:rFonts w:ascii="宋体" w:hAnsi="宋体" w:hint="eastAsia"/>
          <w:color w:val="000000"/>
          <w:kern w:val="0"/>
          <w:szCs w:val="21"/>
        </w:rPr>
      </w:pPr>
      <w:r>
        <w:rPr>
          <w:rFonts w:ascii="宋体" w:hAnsi="宋体" w:hint="eastAsia"/>
          <w:kern w:val="0"/>
          <w:szCs w:val="21"/>
        </w:rPr>
        <w:t>（12）中标人按采购人要求完成人影作业及探测试验任务，如无故拒飞、人员交接不当等中标人人为原因致使</w:t>
      </w:r>
      <w:r>
        <w:rPr>
          <w:rFonts w:ascii="宋体" w:hAnsi="宋体" w:hint="eastAsia"/>
          <w:color w:val="000000"/>
          <w:kern w:val="0"/>
          <w:szCs w:val="21"/>
        </w:rPr>
        <w:t>人影作业及探测试验人员进场但不能实施人影作业及探测试验的空进场情况，采购人从合同金额扣除10万元/次。</w:t>
      </w:r>
    </w:p>
    <w:p>
      <w:pPr>
        <w:spacing w:line="520" w:lineRule="exact"/>
        <w:ind w:firstLine="420" w:firstLineChars="200"/>
        <w:rPr>
          <w:rFonts w:ascii="宋体" w:hAnsi="宋体" w:hint="eastAsia"/>
          <w:color w:val="000000"/>
          <w:kern w:val="0"/>
          <w:szCs w:val="21"/>
        </w:rPr>
      </w:pPr>
      <w:r>
        <w:rPr>
          <w:rFonts w:ascii="宋体" w:hAnsi="宋体" w:hint="eastAsia"/>
          <w:color w:val="000000"/>
          <w:kern w:val="0"/>
          <w:szCs w:val="21"/>
        </w:rPr>
        <w:t>（13）中标人负责在飞机首次作业前购买飞机、机组人员和人影作业及探测试验人员飞机保险，负责办理保险责任范围内的索赔工作，保险单复印件报采购人与飞机资产所有方存档备案：</w:t>
      </w:r>
    </w:p>
    <w:p>
      <w:pPr>
        <w:spacing w:line="520" w:lineRule="exact"/>
        <w:ind w:firstLine="420" w:firstLineChars="200"/>
        <w:rPr>
          <w:rFonts w:ascii="宋体" w:hAnsi="宋体" w:hint="eastAsia"/>
          <w:kern w:val="0"/>
          <w:szCs w:val="21"/>
        </w:rPr>
      </w:pPr>
      <w:r>
        <w:rPr>
          <w:rFonts w:ascii="宋体" w:hAnsi="宋体" w:hint="eastAsia"/>
          <w:color w:val="000000"/>
          <w:kern w:val="0"/>
          <w:szCs w:val="21"/>
        </w:rPr>
        <w:t>a.飞机机身（含设备）保险额按人民币9500万元投保，</w:t>
      </w:r>
      <w:r>
        <w:rPr>
          <w:rFonts w:ascii="宋体" w:hAnsi="宋体" w:hint="eastAsia"/>
          <w:kern w:val="0"/>
          <w:szCs w:val="21"/>
        </w:rPr>
        <w:t>其中机身价格为6600万元，机载设备价格为2900万元，期限为一年，受益人为飞机资产所有方；</w:t>
      </w:r>
    </w:p>
    <w:p>
      <w:pPr>
        <w:spacing w:line="520" w:lineRule="exact"/>
        <w:ind w:firstLine="420" w:firstLineChars="200"/>
        <w:rPr>
          <w:rFonts w:ascii="宋体" w:hAnsi="宋体" w:hint="eastAsia"/>
          <w:kern w:val="0"/>
          <w:szCs w:val="21"/>
        </w:rPr>
      </w:pPr>
      <w:r>
        <w:rPr>
          <w:rFonts w:ascii="宋体" w:hAnsi="宋体" w:hint="eastAsia"/>
          <w:kern w:val="0"/>
          <w:szCs w:val="21"/>
        </w:rPr>
        <w:t>b.飞机机上座位保险投保4座，每座保额人民币400-500万元，总额2000-2500万元，期限为一年；</w:t>
      </w:r>
    </w:p>
    <w:p>
      <w:pPr>
        <w:spacing w:line="520" w:lineRule="exact"/>
        <w:ind w:firstLine="420" w:firstLineChars="200"/>
        <w:rPr>
          <w:rFonts w:ascii="宋体" w:hAnsi="宋体" w:hint="eastAsia"/>
          <w:kern w:val="0"/>
          <w:szCs w:val="21"/>
        </w:rPr>
      </w:pPr>
      <w:r>
        <w:rPr>
          <w:rFonts w:ascii="宋体" w:hAnsi="宋体" w:hint="eastAsia"/>
          <w:kern w:val="0"/>
          <w:szCs w:val="21"/>
        </w:rPr>
        <w:t>c.按国家规定投保第三者责任险，保险总额500万，期限为一年，因第三方原因导致采购人遭受的各项损失，由中标人联系保险公司向采购人赔偿；</w:t>
      </w:r>
    </w:p>
    <w:p>
      <w:pPr>
        <w:spacing w:line="520" w:lineRule="exact"/>
        <w:ind w:firstLine="420" w:firstLineChars="200"/>
        <w:rPr>
          <w:rFonts w:ascii="宋体" w:hAnsi="宋体" w:hint="eastAsia"/>
          <w:kern w:val="0"/>
          <w:szCs w:val="21"/>
        </w:rPr>
      </w:pPr>
      <w:r>
        <w:rPr>
          <w:rFonts w:ascii="宋体" w:hAnsi="宋体" w:hint="eastAsia"/>
          <w:kern w:val="0"/>
          <w:szCs w:val="21"/>
        </w:rPr>
        <w:t>d.如飞机发生部分损失，保险赔偿用于飞机修复。如飞机发生全损，飞机机身保险赔偿归飞机资产所有方所有，乘机人员的机上座位保险以及个人人身保险赔偿按保险合同条款履行。</w:t>
      </w:r>
    </w:p>
    <w:p>
      <w:pPr>
        <w:spacing w:line="520" w:lineRule="exact"/>
        <w:ind w:firstLine="420" w:firstLineChars="200"/>
        <w:rPr>
          <w:rFonts w:ascii="宋体" w:hAnsi="宋体" w:hint="eastAsia"/>
          <w:kern w:val="0"/>
          <w:szCs w:val="21"/>
        </w:rPr>
      </w:pPr>
      <w:r>
        <w:rPr>
          <w:rFonts w:ascii="宋体" w:hAnsi="宋体" w:hint="eastAsia"/>
          <w:kern w:val="0"/>
          <w:szCs w:val="21"/>
        </w:rPr>
        <w:t>e.以上规定的各项保险，应在中国政府批准的保险公司投保。</w:t>
      </w:r>
    </w:p>
    <w:p>
      <w:pPr>
        <w:spacing w:line="520" w:lineRule="exact"/>
        <w:ind w:firstLine="420" w:firstLineChars="200"/>
        <w:rPr>
          <w:rFonts w:ascii="宋体" w:hAnsi="宋体" w:hint="eastAsia"/>
          <w:kern w:val="0"/>
          <w:szCs w:val="21"/>
        </w:rPr>
      </w:pPr>
      <w:r>
        <w:rPr>
          <w:rFonts w:ascii="宋体" w:hAnsi="宋体" w:hint="eastAsia"/>
          <w:kern w:val="0"/>
          <w:szCs w:val="21"/>
        </w:rPr>
        <w:t>（14）中标人按照运行手册的有关规定，按时、保质完成各类维修保养工作，使飞机始终处于良好的技术状况和适航状态。</w:t>
      </w:r>
    </w:p>
    <w:p>
      <w:pPr>
        <w:spacing w:line="520" w:lineRule="exact"/>
        <w:ind w:firstLine="420" w:firstLineChars="200"/>
        <w:rPr>
          <w:rFonts w:ascii="宋体" w:hAnsi="宋体" w:hint="eastAsia"/>
          <w:kern w:val="0"/>
          <w:szCs w:val="21"/>
        </w:rPr>
      </w:pPr>
      <w:r>
        <w:rPr>
          <w:rFonts w:ascii="宋体" w:hAnsi="宋体" w:hint="eastAsia"/>
          <w:kern w:val="0"/>
          <w:szCs w:val="21"/>
        </w:rPr>
        <w:t>a.飞机的年度适航检查和定期电台检测；</w:t>
      </w:r>
    </w:p>
    <w:p>
      <w:pPr>
        <w:spacing w:line="520" w:lineRule="exact"/>
        <w:ind w:firstLine="420" w:firstLineChars="200"/>
        <w:rPr>
          <w:rFonts w:ascii="宋体" w:hAnsi="宋体" w:hint="eastAsia"/>
          <w:kern w:val="0"/>
          <w:szCs w:val="21"/>
        </w:rPr>
      </w:pPr>
      <w:r>
        <w:rPr>
          <w:rFonts w:ascii="宋体" w:hAnsi="宋体" w:hint="eastAsia"/>
          <w:kern w:val="0"/>
          <w:szCs w:val="21"/>
        </w:rPr>
        <w:t>b.提供日常运行所需的基本维修资源；</w:t>
      </w:r>
    </w:p>
    <w:p>
      <w:pPr>
        <w:spacing w:line="520" w:lineRule="exact"/>
        <w:ind w:firstLine="420" w:firstLineChars="200"/>
        <w:rPr>
          <w:rFonts w:ascii="宋体" w:hAnsi="宋体" w:hint="eastAsia"/>
          <w:kern w:val="0"/>
          <w:szCs w:val="21"/>
        </w:rPr>
      </w:pPr>
      <w:r>
        <w:rPr>
          <w:rFonts w:ascii="宋体" w:hAnsi="宋体" w:hint="eastAsia"/>
          <w:kern w:val="0"/>
          <w:szCs w:val="21"/>
        </w:rPr>
        <w:t>c.按照其维修能力规划，有计划的向CAAC申请采购人在中标人运营基地机场的维修项目许可；</w:t>
      </w:r>
    </w:p>
    <w:p>
      <w:pPr>
        <w:spacing w:line="520" w:lineRule="exact"/>
        <w:ind w:firstLine="420" w:firstLineChars="200"/>
        <w:rPr>
          <w:rFonts w:ascii="宋体" w:hAnsi="宋体" w:hint="eastAsia"/>
          <w:kern w:val="0"/>
          <w:szCs w:val="21"/>
        </w:rPr>
      </w:pPr>
      <w:r>
        <w:rPr>
          <w:rFonts w:ascii="宋体" w:hAnsi="宋体" w:hint="eastAsia"/>
          <w:kern w:val="0"/>
          <w:szCs w:val="21"/>
        </w:rPr>
        <w:t>d.监控和记录飞机、发动机和零部件的使用状态，建立飞机和发动机的使用和维修的历史记录；</w:t>
      </w:r>
    </w:p>
    <w:p>
      <w:pPr>
        <w:spacing w:line="520" w:lineRule="exact"/>
        <w:ind w:firstLine="420" w:firstLineChars="200"/>
        <w:rPr>
          <w:rFonts w:ascii="宋体" w:hAnsi="宋体" w:hint="eastAsia"/>
          <w:color w:val="000000"/>
          <w:kern w:val="0"/>
          <w:szCs w:val="21"/>
        </w:rPr>
      </w:pPr>
      <w:r>
        <w:rPr>
          <w:rFonts w:ascii="宋体" w:hAnsi="宋体" w:hint="eastAsia"/>
          <w:kern w:val="0"/>
          <w:szCs w:val="21"/>
        </w:rPr>
        <w:t>e.妥善</w:t>
      </w:r>
      <w:r>
        <w:rPr>
          <w:rFonts w:ascii="宋体" w:hAnsi="宋体" w:hint="eastAsia"/>
          <w:color w:val="000000"/>
          <w:kern w:val="0"/>
          <w:szCs w:val="21"/>
        </w:rPr>
        <w:t>保管飞机的单机技术档案和技术资料；</w:t>
      </w:r>
    </w:p>
    <w:p>
      <w:pPr>
        <w:spacing w:line="520" w:lineRule="exact"/>
        <w:ind w:firstLine="420" w:firstLineChars="200"/>
        <w:rPr>
          <w:rFonts w:ascii="宋体" w:hAnsi="宋体" w:hint="eastAsia"/>
          <w:color w:val="000000"/>
          <w:kern w:val="0"/>
          <w:szCs w:val="21"/>
        </w:rPr>
      </w:pPr>
      <w:r>
        <w:rPr>
          <w:rFonts w:ascii="宋体" w:hAnsi="宋体" w:hint="eastAsia"/>
          <w:color w:val="000000"/>
          <w:kern w:val="0"/>
          <w:szCs w:val="21"/>
        </w:rPr>
        <w:t>f.制定培训计划，提供详细培训方案，通过培训能使</w:t>
      </w:r>
      <w:r>
        <w:rPr>
          <w:rFonts w:ascii="宋体" w:hAnsi="宋体" w:hint="eastAsia"/>
          <w:color w:val="000000"/>
          <w:kern w:val="0"/>
          <w:szCs w:val="21"/>
          <w:lang w:val="en-US" w:eastAsia="zh-CN"/>
        </w:rPr>
        <w:t>相关</w:t>
      </w:r>
      <w:r>
        <w:rPr>
          <w:rFonts w:ascii="宋体" w:hAnsi="宋体" w:hint="eastAsia"/>
          <w:color w:val="000000"/>
          <w:kern w:val="0"/>
          <w:szCs w:val="21"/>
        </w:rPr>
        <w:t>人员能够正确认识和处理安全等问题，避免出现安全等事故。定期组织机组机务开展岗位培训及复训，并取得飞机放行资格；</w:t>
      </w:r>
    </w:p>
    <w:p>
      <w:pPr>
        <w:spacing w:line="520" w:lineRule="exact"/>
        <w:ind w:firstLine="420" w:firstLineChars="200"/>
        <w:rPr>
          <w:rFonts w:ascii="宋体" w:hAnsi="宋体" w:hint="eastAsia"/>
          <w:color w:val="000000"/>
          <w:kern w:val="0"/>
          <w:szCs w:val="21"/>
        </w:rPr>
      </w:pPr>
      <w:r>
        <w:rPr>
          <w:rFonts w:ascii="宋体" w:hAnsi="宋体" w:hint="eastAsia"/>
          <w:color w:val="000000"/>
          <w:kern w:val="0"/>
          <w:szCs w:val="21"/>
        </w:rPr>
        <w:t>g.派驻专门维修人员对国家人影作业飞机进行日常维护；</w:t>
      </w:r>
    </w:p>
    <w:p>
      <w:pPr>
        <w:spacing w:line="520" w:lineRule="exact"/>
        <w:ind w:firstLine="420" w:firstLineChars="200"/>
        <w:rPr>
          <w:rFonts w:ascii="宋体" w:hAnsi="宋体" w:hint="eastAsia"/>
          <w:color w:val="000000"/>
          <w:kern w:val="0"/>
          <w:szCs w:val="21"/>
        </w:rPr>
      </w:pPr>
      <w:r>
        <w:rPr>
          <w:rFonts w:ascii="宋体" w:hAnsi="宋体" w:hint="eastAsia"/>
          <w:color w:val="000000"/>
          <w:kern w:val="0"/>
          <w:szCs w:val="21"/>
        </w:rPr>
        <w:t>h.实施航线一般勤务和飞机放行工作；</w:t>
      </w:r>
    </w:p>
    <w:p>
      <w:pPr>
        <w:spacing w:line="520" w:lineRule="exact"/>
        <w:ind w:firstLine="420" w:firstLineChars="200"/>
        <w:rPr>
          <w:rFonts w:ascii="宋体" w:hAnsi="宋体" w:hint="eastAsia"/>
          <w:color w:val="000000"/>
          <w:kern w:val="0"/>
          <w:szCs w:val="21"/>
        </w:rPr>
      </w:pPr>
      <w:r>
        <w:rPr>
          <w:rFonts w:ascii="宋体" w:hAnsi="宋体" w:hint="eastAsia"/>
          <w:color w:val="000000"/>
          <w:kern w:val="0"/>
          <w:szCs w:val="21"/>
        </w:rPr>
        <w:t>i.接受采购人对飞机的适航状态和质量体系等进行不定期检查。</w:t>
      </w:r>
    </w:p>
    <w:p>
      <w:pPr>
        <w:spacing w:line="520" w:lineRule="exact"/>
        <w:ind w:firstLine="420" w:firstLineChars="200"/>
        <w:rPr>
          <w:rFonts w:ascii="宋体" w:hAnsi="宋体" w:hint="eastAsia"/>
          <w:color w:val="000000"/>
          <w:kern w:val="0"/>
          <w:szCs w:val="21"/>
        </w:rPr>
      </w:pPr>
      <w:r>
        <w:rPr>
          <w:rFonts w:ascii="宋体" w:hAnsi="宋体" w:hint="eastAsia"/>
          <w:color w:val="000000"/>
          <w:kern w:val="0"/>
          <w:szCs w:val="21"/>
        </w:rPr>
        <w:t>(15)中标人负责办理托管运营相关手续，并保证按采购人要求执行人影作业及探测试验任务。</w:t>
      </w:r>
    </w:p>
    <w:p>
      <w:pPr>
        <w:spacing w:line="520" w:lineRule="exact"/>
        <w:ind w:firstLine="420" w:firstLineChars="200"/>
        <w:rPr>
          <w:rFonts w:ascii="宋体" w:hAnsi="宋体" w:hint="eastAsia"/>
          <w:color w:val="000000"/>
          <w:kern w:val="0"/>
          <w:szCs w:val="21"/>
        </w:rPr>
      </w:pPr>
      <w:r>
        <w:rPr>
          <w:rFonts w:ascii="宋体" w:hAnsi="宋体" w:hint="eastAsia"/>
          <w:color w:val="000000"/>
          <w:kern w:val="0"/>
          <w:szCs w:val="21"/>
        </w:rPr>
        <w:t>(16)中标人负责与飞机生产厂家联系，承担技术出版物更新和使用事宜（包括飞行手册、维修手册、飞机设备系统技术资料的更新及修订等），并承担相关费用。</w:t>
      </w:r>
    </w:p>
    <w:p>
      <w:pPr>
        <w:spacing w:line="520" w:lineRule="exact"/>
        <w:ind w:firstLine="420" w:firstLineChars="200"/>
        <w:rPr>
          <w:rFonts w:ascii="宋体" w:hAnsi="宋体" w:hint="eastAsia"/>
          <w:color w:val="000000"/>
          <w:kern w:val="0"/>
          <w:szCs w:val="21"/>
        </w:rPr>
      </w:pPr>
      <w:r>
        <w:rPr>
          <w:rFonts w:ascii="宋体" w:hAnsi="宋体" w:hint="eastAsia"/>
          <w:color w:val="000000"/>
          <w:kern w:val="0"/>
          <w:szCs w:val="21"/>
        </w:rPr>
        <w:t>(17)中标人制定飞机正式运行的进度安排表，报采购人同意后，严格按照进度安排表进行实施。</w:t>
      </w:r>
    </w:p>
    <w:p>
      <w:pPr>
        <w:spacing w:line="520" w:lineRule="exact"/>
        <w:ind w:firstLine="420" w:firstLineChars="200"/>
        <w:rPr>
          <w:rFonts w:ascii="宋体" w:hAnsi="宋体" w:hint="eastAsia"/>
          <w:kern w:val="0"/>
          <w:szCs w:val="21"/>
        </w:rPr>
      </w:pPr>
      <w:r>
        <w:rPr>
          <w:rFonts w:ascii="宋体" w:hAnsi="宋体" w:hint="eastAsia"/>
          <w:kern w:val="0"/>
          <w:szCs w:val="21"/>
        </w:rPr>
        <w:t>(18)合同期满后，中标人应将飞机运行技术资料、记录和档案等完整资料交付采购人，并保证飞机处于适航状态。</w:t>
      </w:r>
    </w:p>
    <w:p>
      <w:pPr>
        <w:spacing w:line="520" w:lineRule="exact"/>
        <w:ind w:firstLine="420" w:firstLineChars="200"/>
        <w:rPr>
          <w:rFonts w:ascii="宋体" w:hAnsi="宋体" w:hint="eastAsia"/>
          <w:color w:val="000000"/>
          <w:kern w:val="0"/>
          <w:szCs w:val="21"/>
        </w:rPr>
      </w:pPr>
      <w:r>
        <w:rPr>
          <w:rFonts w:ascii="宋体" w:hAnsi="宋体" w:hint="eastAsia"/>
          <w:kern w:val="0"/>
          <w:szCs w:val="21"/>
        </w:rPr>
        <w:t>(19)中标人</w:t>
      </w:r>
      <w:r>
        <w:rPr>
          <w:rFonts w:ascii="宋体" w:hAnsi="宋体" w:hint="eastAsia"/>
          <w:color w:val="000000"/>
          <w:kern w:val="0"/>
          <w:szCs w:val="21"/>
        </w:rPr>
        <w:t>承担飞机运行全部安全责任。</w:t>
      </w:r>
    </w:p>
    <w:p>
      <w:pPr>
        <w:spacing w:line="520" w:lineRule="exact"/>
        <w:ind w:firstLine="420" w:firstLineChars="200"/>
        <w:rPr>
          <w:rFonts w:ascii="宋体" w:hAnsi="宋体" w:hint="eastAsia"/>
          <w:color w:val="000000"/>
          <w:kern w:val="0"/>
          <w:szCs w:val="21"/>
        </w:rPr>
      </w:pPr>
      <w:r>
        <w:rPr>
          <w:rFonts w:ascii="宋体" w:hAnsi="宋体" w:hint="eastAsia"/>
          <w:color w:val="000000"/>
          <w:kern w:val="0"/>
          <w:szCs w:val="21"/>
        </w:rPr>
        <w:t>3.资产所有人的责任及义务</w:t>
      </w:r>
    </w:p>
    <w:p>
      <w:pPr>
        <w:spacing w:line="520" w:lineRule="exact"/>
        <w:ind w:firstLine="420" w:firstLineChars="200"/>
        <w:rPr>
          <w:rFonts w:ascii="宋体" w:hAnsi="宋体" w:hint="eastAsia"/>
          <w:color w:val="000000"/>
          <w:kern w:val="0"/>
          <w:szCs w:val="21"/>
        </w:rPr>
      </w:pPr>
      <w:r>
        <w:rPr>
          <w:rFonts w:ascii="宋体" w:hAnsi="宋体" w:hint="eastAsia"/>
          <w:color w:val="000000"/>
          <w:kern w:val="0"/>
          <w:szCs w:val="21"/>
        </w:rPr>
        <w:t>（1）飞机资产所有人负责资产管理、技术指导和运行监督检查，并享有对飞机托管服务情况知情权和监督权。</w:t>
      </w:r>
    </w:p>
    <w:p>
      <w:pPr>
        <w:spacing w:line="520" w:lineRule="exact"/>
        <w:ind w:firstLine="420" w:firstLineChars="200"/>
        <w:rPr>
          <w:rFonts w:ascii="宋体" w:eastAsia="宋体" w:hAnsi="宋体" w:cs="Times New Roman" w:hint="eastAsia"/>
          <w:szCs w:val="21"/>
        </w:rPr>
      </w:pPr>
      <w:r>
        <w:rPr>
          <w:rFonts w:ascii="宋体" w:hAnsi="宋体" w:hint="eastAsia"/>
          <w:color w:val="000000"/>
          <w:kern w:val="0"/>
          <w:szCs w:val="21"/>
        </w:rPr>
        <w:t>（2）资产所有方负责三大件（发动机、螺旋桨、起落架）的更换以及飞机大修经费的落实。</w:t>
      </w:r>
    </w:p>
    <w:p w:rsidR="00A77B3E"/>
    <w:p>
      <w:pPr>
        <w:spacing w:before="156" w:beforeLines="50" w:line="360" w:lineRule="auto"/>
        <w:jc w:val="center"/>
        <w:outlineLvl w:val="1"/>
        <w:rPr>
          <w:rFonts w:ascii="宋体" w:hAnsi="宋体" w:hint="eastAsia"/>
          <w:b/>
          <w:sz w:val="30"/>
          <w:szCs w:val="30"/>
        </w:rPr>
        <w:sectPr>
          <w:pgSz w:w="11906" w:h="16838"/>
          <w:pgMar w:top="1418" w:right="1418" w:bottom="1418" w:left="1701" w:header="851" w:footer="851" w:gutter="0"/>
          <w:cols w:space="708"/>
          <w:docGrid w:type="linesAndChars" w:linePitch="312"/>
        </w:sectPr>
      </w:pPr>
      <w:bookmarkEnd w:id="58"/>
    </w:p>
    <w:p w:rsidR="00E61708">
      <w:pPr>
        <w:spacing w:before="156" w:beforeLines="50" w:line="360" w:lineRule="auto"/>
        <w:jc w:val="center"/>
        <w:outlineLvl w:val="1"/>
        <w:rPr>
          <w:rFonts w:ascii="宋体" w:hAnsi="宋体" w:hint="eastAsia"/>
          <w:b/>
          <w:sz w:val="30"/>
          <w:szCs w:val="30"/>
        </w:rPr>
      </w:pPr>
      <w:bookmarkStart w:id="67" w:name="投标被拒绝条款专用部分_JJTK"/>
      <w:r>
        <w:rPr>
          <w:rFonts w:ascii="宋体" w:hAnsi="宋体" w:hint="eastAsia"/>
          <w:b/>
          <w:sz w:val="30"/>
          <w:szCs w:val="30"/>
        </w:rPr>
        <w:t>第八章  投标被拒绝条款专用部分</w:t>
      </w:r>
    </w:p>
    <w:p w:rsidR="00E61708">
      <w:pPr>
        <w:adjustRightInd w:val="0"/>
        <w:snapToGrid w:val="0"/>
        <w:spacing w:before="156" w:beforeLines="50" w:line="360" w:lineRule="auto"/>
        <w:rPr>
          <w:rFonts w:ascii="宋体" w:hAnsi="宋体" w:hint="eastAsia"/>
          <w:szCs w:val="21"/>
        </w:rPr>
      </w:pPr>
    </w:p>
    <w:p w:rsidR="00E61708">
      <w:pPr>
        <w:adjustRightInd w:val="0"/>
        <w:snapToGrid w:val="0"/>
        <w:spacing w:before="156" w:beforeLines="50" w:line="360" w:lineRule="auto"/>
        <w:ind w:firstLine="420" w:firstLineChars="200"/>
        <w:rPr>
          <w:rFonts w:ascii="宋体" w:hAnsi="宋体" w:hint="eastAsia"/>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E61708">
            <w:pPr>
              <w:rPr>
                <w:sz w:val="18"/>
                <w:szCs w:val="18"/>
              </w:rPr>
            </w:pPr>
            <w:r>
              <w:rPr>
                <w:rFonts w:hint="eastAsia"/>
                <w:sz w:val="18"/>
                <w:szCs w:val="18"/>
              </w:rPr>
              <w:t>序号</w:t>
            </w:r>
          </w:p>
        </w:tc>
        <w:tc>
          <w:tcPr>
            <w:tcW w:w="898" w:type="dxa"/>
            <w:vAlign w:val="center"/>
          </w:tcPr>
          <w:p w:rsidR="00E61708">
            <w:pPr>
              <w:jc w:val="center"/>
              <w:rPr>
                <w:sz w:val="18"/>
                <w:szCs w:val="18"/>
              </w:rPr>
            </w:pPr>
            <w:r>
              <w:rPr>
                <w:rFonts w:hint="eastAsia"/>
                <w:sz w:val="18"/>
                <w:szCs w:val="18"/>
              </w:rPr>
              <w:t>对应</w:t>
            </w:r>
          </w:p>
          <w:p w:rsidR="00E61708">
            <w:pPr>
              <w:jc w:val="center"/>
              <w:rPr>
                <w:sz w:val="18"/>
                <w:szCs w:val="18"/>
              </w:rPr>
            </w:pPr>
            <w:r>
              <w:rPr>
                <w:rFonts w:hint="eastAsia"/>
                <w:sz w:val="18"/>
                <w:szCs w:val="18"/>
              </w:rPr>
              <w:t>条款号</w:t>
            </w:r>
          </w:p>
        </w:tc>
        <w:tc>
          <w:tcPr>
            <w:tcW w:w="7347" w:type="dxa"/>
            <w:vAlign w:val="center"/>
          </w:tcPr>
          <w:p w:rsidR="00E61708">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0" w:type="auto"/>
          <w:tblLayout w:type="fixed"/>
          <w:tblLook w:val="04A0"/>
        </w:tblPrEx>
        <w:trPr>
          <w:cantSplit/>
        </w:trPr>
        <w:tc>
          <w:tcPr>
            <w:tcW w:w="8789" w:type="dxa"/>
            <w:gridSpan w:val="3"/>
            <w:vAlign w:val="center"/>
          </w:tcPr>
          <w:p w:rsidR="00E61708">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0" w:type="auto"/>
          <w:tblLayout w:type="fixed"/>
          <w:tblLook w:val="04A0"/>
        </w:tblPrEx>
        <w:trPr>
          <w:cantSplit/>
        </w:trPr>
        <w:tc>
          <w:tcPr>
            <w:tcW w:w="544" w:type="dxa"/>
            <w:vAlign w:val="center"/>
          </w:tcPr>
          <w:p w:rsidR="00E61708">
            <w:pPr>
              <w:numPr>
                <w:ilvl w:val="0"/>
                <w:numId w:val="7"/>
              </w:numPr>
              <w:rPr>
                <w:rFonts w:ascii="宋体" w:hAnsi="宋体" w:hint="eastAsia"/>
                <w:sz w:val="18"/>
                <w:szCs w:val="18"/>
              </w:rPr>
            </w:pPr>
          </w:p>
        </w:tc>
        <w:tc>
          <w:tcPr>
            <w:tcW w:w="898" w:type="dxa"/>
            <w:vAlign w:val="center"/>
          </w:tcPr>
          <w:p w:rsidR="00E61708">
            <w:pPr>
              <w:jc w:val="center"/>
              <w:rPr>
                <w:rFonts w:ascii="宋体" w:hAnsi="宋体" w:hint="eastAsia"/>
                <w:sz w:val="18"/>
                <w:szCs w:val="18"/>
              </w:rPr>
            </w:pPr>
            <w:r>
              <w:rPr>
                <w:rFonts w:ascii="宋体" w:hAnsi="宋体" w:hint="eastAsia"/>
                <w:sz w:val="18"/>
                <w:szCs w:val="18"/>
              </w:rPr>
              <w:t>5</w:t>
            </w:r>
            <w:r>
              <w:rPr>
                <w:rFonts w:ascii="宋体" w:hAnsi="宋体"/>
                <w:sz w:val="18"/>
                <w:szCs w:val="18"/>
              </w:rPr>
              <w:t>.2</w:t>
            </w:r>
          </w:p>
        </w:tc>
        <w:tc>
          <w:tcPr>
            <w:tcW w:w="7347" w:type="dxa"/>
          </w:tcPr>
          <w:p w:rsidR="00BE1570" w:rsidRPr="00BE1570" w:rsidP="00BE1570">
            <w:pPr>
              <w:tabs>
                <w:tab w:val="left" w:pos="709"/>
              </w:tabs>
              <w:spacing w:line="360" w:lineRule="auto"/>
              <w:jc w:val="left"/>
              <w:rPr>
                <w:rFonts w:ascii="宋体" w:hAnsi="宋体" w:cs="微软雅黑" w:hint="eastAsia"/>
                <w:b/>
                <w:color w:val="0000FF"/>
                <w:kern w:val="0"/>
                <w:sz w:val="18"/>
                <w:szCs w:val="18"/>
              </w:rPr>
            </w:pPr>
            <w:r w:rsidRPr="00BE1570">
              <w:rPr>
                <w:rFonts w:ascii="宋体" w:hAnsi="宋体" w:cs="微软雅黑" w:hint="eastAsia"/>
                <w:b/>
                <w:color w:val="0000FF"/>
                <w:kern w:val="0"/>
                <w:sz w:val="18"/>
                <w:szCs w:val="18"/>
              </w:rPr>
              <w:t>*1、提供民航部门颁发的通用航空经营许可证，经营范围中含人工影响天气；</w:t>
            </w:r>
          </w:p>
          <w:p w:rsidR="00BE1570" w:rsidRPr="00BE1570" w:rsidP="00BE1570">
            <w:pPr>
              <w:tabs>
                <w:tab w:val="left" w:pos="709"/>
              </w:tabs>
              <w:spacing w:line="360" w:lineRule="auto"/>
              <w:jc w:val="left"/>
              <w:rPr>
                <w:rFonts w:ascii="宋体" w:hAnsi="宋体" w:cs="微软雅黑" w:hint="eastAsia"/>
                <w:b/>
                <w:color w:val="0000FF"/>
                <w:kern w:val="0"/>
                <w:sz w:val="18"/>
                <w:szCs w:val="18"/>
              </w:rPr>
            </w:pPr>
            <w:r w:rsidRPr="00BE1570">
              <w:rPr>
                <w:rFonts w:ascii="宋体" w:hAnsi="宋体" w:cs="微软雅黑" w:hint="eastAsia"/>
                <w:b/>
                <w:color w:val="0000FF"/>
                <w:kern w:val="0"/>
                <w:sz w:val="18"/>
                <w:szCs w:val="18"/>
              </w:rPr>
              <w:t>*2、提供中国民用航空局颁发的CCAR-145部维修单位许可证；</w:t>
            </w:r>
          </w:p>
          <w:p w:rsidR="00E61708" w:rsidP="00BE1570">
            <w:pPr>
              <w:tabs>
                <w:tab w:val="left" w:pos="709"/>
              </w:tabs>
              <w:spacing w:line="360" w:lineRule="auto"/>
              <w:jc w:val="left"/>
              <w:rPr>
                <w:rFonts w:ascii="宋体" w:hAnsi="宋体" w:hint="eastAsia"/>
                <w:sz w:val="18"/>
                <w:szCs w:val="18"/>
              </w:rPr>
            </w:pPr>
            <w:r w:rsidRPr="00BE1570">
              <w:rPr>
                <w:rFonts w:ascii="宋体" w:hAnsi="宋体" w:cs="微软雅黑" w:hint="eastAsia"/>
                <w:b/>
                <w:color w:val="0000FF"/>
                <w:kern w:val="0"/>
                <w:sz w:val="18"/>
                <w:szCs w:val="18"/>
              </w:rPr>
              <w:t>*3、航空公司航空器驾驶员具有中国民用航空局颁发的涡轮多发（固定翼）飞机商用驾驶员执照2名及以上，机务人员具有中国民用航空局颁发的涡轮多发（固定翼）飞机机务维修人员执照。</w:t>
            </w:r>
          </w:p>
        </w:tc>
      </w:tr>
      <w:tr>
        <w:tblPrEx>
          <w:tblW w:w="0" w:type="auto"/>
          <w:tblLayout w:type="fixed"/>
          <w:tblLook w:val="04A0"/>
        </w:tblPrEx>
        <w:trPr>
          <w:cantSplit/>
        </w:trPr>
        <w:tc>
          <w:tcPr>
            <w:tcW w:w="544" w:type="dxa"/>
            <w:vAlign w:val="center"/>
          </w:tcPr>
          <w:p w:rsidR="00E61708">
            <w:pPr>
              <w:numPr>
                <w:ilvl w:val="0"/>
                <w:numId w:val="7"/>
              </w:numPr>
              <w:rPr>
                <w:rFonts w:ascii="宋体" w:hAnsi="宋体" w:hint="eastAsia"/>
                <w:sz w:val="18"/>
                <w:szCs w:val="18"/>
              </w:rPr>
            </w:pPr>
          </w:p>
        </w:tc>
        <w:tc>
          <w:tcPr>
            <w:tcW w:w="898" w:type="dxa"/>
            <w:vAlign w:val="center"/>
          </w:tcPr>
          <w:p w:rsidR="00E61708">
            <w:pPr>
              <w:jc w:val="center"/>
              <w:rPr>
                <w:rFonts w:ascii="宋体" w:hAnsi="宋体" w:hint="eastAsia"/>
                <w:sz w:val="18"/>
                <w:szCs w:val="18"/>
              </w:rPr>
            </w:pPr>
          </w:p>
        </w:tc>
        <w:tc>
          <w:tcPr>
            <w:tcW w:w="7347" w:type="dxa"/>
            <w:vAlign w:val="center"/>
          </w:tcPr>
          <w:p w:rsidR="00E61708">
            <w:pPr>
              <w:tabs>
                <w:tab w:val="left" w:pos="709"/>
              </w:tabs>
              <w:spacing w:line="360" w:lineRule="auto"/>
              <w:jc w:val="left"/>
              <w:rPr>
                <w:rFonts w:ascii="宋体" w:hAnsi="宋体" w:hint="eastAsia"/>
                <w:sz w:val="18"/>
                <w:szCs w:val="18"/>
              </w:rPr>
            </w:pPr>
          </w:p>
        </w:tc>
      </w:tr>
      <w:tr>
        <w:tblPrEx>
          <w:tblW w:w="0" w:type="auto"/>
          <w:tblLayout w:type="fixed"/>
          <w:tblLook w:val="04A0"/>
        </w:tblPrEx>
        <w:trPr>
          <w:cantSplit/>
        </w:trPr>
        <w:tc>
          <w:tcPr>
            <w:tcW w:w="8789" w:type="dxa"/>
            <w:gridSpan w:val="3"/>
            <w:vAlign w:val="center"/>
          </w:tcPr>
          <w:p w:rsidR="00E61708">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0" w:type="auto"/>
          <w:tblLayout w:type="fixed"/>
          <w:tblLook w:val="04A0"/>
        </w:tblPrEx>
        <w:trPr>
          <w:cantSplit/>
        </w:trPr>
        <w:tc>
          <w:tcPr>
            <w:tcW w:w="544" w:type="dxa"/>
            <w:vAlign w:val="center"/>
          </w:tcPr>
          <w:p w:rsidR="00E61708">
            <w:pPr>
              <w:numPr>
                <w:ilvl w:val="0"/>
                <w:numId w:val="7"/>
              </w:numPr>
              <w:rPr>
                <w:rFonts w:ascii="宋体" w:hAnsi="宋体" w:hint="eastAsia"/>
                <w:sz w:val="18"/>
                <w:szCs w:val="18"/>
              </w:rPr>
            </w:pPr>
          </w:p>
        </w:tc>
        <w:tc>
          <w:tcPr>
            <w:tcW w:w="898" w:type="dxa"/>
            <w:vAlign w:val="center"/>
          </w:tcPr>
          <w:p w:rsidR="00E61708">
            <w:pPr>
              <w:jc w:val="center"/>
              <w:rPr>
                <w:rFonts w:ascii="宋体" w:hAnsi="宋体" w:hint="eastAsia"/>
                <w:sz w:val="18"/>
                <w:szCs w:val="18"/>
              </w:rPr>
            </w:pPr>
          </w:p>
        </w:tc>
        <w:tc>
          <w:tcPr>
            <w:tcW w:w="7347" w:type="dxa"/>
            <w:vAlign w:val="center"/>
          </w:tcPr>
          <w:p w:rsidR="00E61708">
            <w:pPr>
              <w:tabs>
                <w:tab w:val="left" w:pos="709"/>
              </w:tabs>
              <w:spacing w:line="360" w:lineRule="auto"/>
              <w:jc w:val="left"/>
              <w:rPr>
                <w:rFonts w:ascii="宋体" w:hAnsi="宋体" w:hint="eastAsia"/>
                <w:sz w:val="18"/>
                <w:szCs w:val="18"/>
              </w:rPr>
            </w:pPr>
            <w:r>
              <w:rPr>
                <w:rFonts w:ascii="宋体" w:hAnsi="宋体" w:cs="微软雅黑" w:hint="eastAsia"/>
                <w:b/>
                <w:color w:val="0000FF"/>
                <w:kern w:val="0"/>
                <w:sz w:val="18"/>
                <w:szCs w:val="18"/>
              </w:rPr>
              <w:t>无</w:t>
            </w:r>
          </w:p>
        </w:tc>
      </w:tr>
    </w:tbl>
    <w:p w:rsidR="00E61708">
      <w:pPr>
        <w:spacing w:before="156" w:beforeLines="50" w:line="360" w:lineRule="auto"/>
        <w:rPr>
          <w:rFonts w:ascii="宋体" w:hAnsi="宋体" w:hint="eastAsia"/>
          <w:szCs w:val="21"/>
        </w:rPr>
      </w:pPr>
      <w:r>
        <w:rPr>
          <w:rFonts w:ascii="宋体" w:hAnsi="宋体" w:hint="eastAsia"/>
          <w:szCs w:val="21"/>
        </w:rPr>
        <w:t>注：根据项目具体情况，对投标人有具体要求，且投标人必须遵守的，逐条列出。</w:t>
      </w:r>
    </w:p>
    <w:p w:rsidR="00E61708">
      <w:pPr>
        <w:spacing w:before="156" w:beforeLines="50" w:line="360" w:lineRule="auto"/>
        <w:ind w:firstLine="420"/>
      </w:pPr>
    </w:p>
    <w:p w:rsidR="00A77B3E"/>
    <w:p w:rsidR="00E61708">
      <w:pPr>
        <w:spacing w:before="156" w:beforeLines="50" w:line="360" w:lineRule="auto"/>
        <w:jc w:val="center"/>
        <w:outlineLvl w:val="1"/>
        <w:rPr>
          <w:rFonts w:ascii="宋体" w:hAnsi="宋体" w:hint="eastAsia"/>
          <w:b/>
          <w:sz w:val="30"/>
          <w:szCs w:val="30"/>
        </w:rPr>
        <w:sectPr>
          <w:headerReference w:type="default" r:id="rId7"/>
          <w:footerReference w:type="default" r:id="rId8"/>
          <w:pgSz w:w="11906" w:h="16838"/>
          <w:pgMar w:top="1440" w:right="1800" w:bottom="1440" w:left="1800" w:header="851" w:footer="992" w:gutter="0"/>
          <w:cols w:space="708"/>
          <w:docGrid w:type="lines" w:linePitch="312"/>
        </w:sectPr>
      </w:pPr>
      <w:bookmarkEnd w:id="67"/>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5B6138">
      <w:pPr>
        <w:numPr>
          <w:ilvl w:val="0"/>
          <w:numId w:val="4"/>
        </w:numPr>
        <w:spacing w:line="360" w:lineRule="auto"/>
        <w:ind w:firstLine="3066" w:firstLineChars="1460"/>
        <w:jc w:val="left"/>
        <w:rPr>
          <w:rFonts w:ascii="Times New Roman" w:eastAsia="宋体" w:hAnsi="Times New Roman" w:cs="Times New Roman"/>
          <w:b/>
          <w:bCs/>
          <w:szCs w:val="21"/>
        </w:rPr>
      </w:pPr>
      <w:bookmarkStart w:id="68"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5B6138">
      <w:pPr>
        <w:spacing w:line="360" w:lineRule="auto"/>
        <w:ind w:left="1680" w:firstLine="420"/>
        <w:jc w:val="left"/>
        <w:rPr>
          <w:rFonts w:ascii="Times New Roman" w:eastAsia="宋体" w:hAnsi="Times New Roman" w:cs="Times New Roman"/>
          <w:b/>
          <w:bCs/>
          <w:szCs w:val="21"/>
        </w:rPr>
      </w:pPr>
      <w:r>
        <w:rPr>
          <w:rFonts w:hint="eastAsia"/>
          <w:b/>
          <w:bCs/>
          <w:szCs w:val="21"/>
        </w:rPr>
        <w:t>必须明确合同金额支付条件及支付比例</w:t>
      </w:r>
    </w:p>
    <w:p w:rsidR="005B6138">
      <w:pPr>
        <w:spacing w:line="360" w:lineRule="auto"/>
        <w:ind w:firstLine="3066" w:firstLineChars="146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rsidR="005B6138">
      <w:pPr>
        <w:widowControl/>
        <w:jc w:val="center"/>
        <w:rPr>
          <w:rFonts w:ascii="宋体" w:eastAsia="微软雅黑" w:hAnsi="宋体" w:cs="宋体" w:hint="eastAsia"/>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rsidR="005B6138">
      <w:pPr>
        <w:rPr>
          <w:rFonts w:ascii="宋体" w:eastAsia="宋体" w:hAnsi="宋体" w:cs="宋体" w:hint="eastAsia"/>
          <w:b/>
          <w:bCs/>
          <w:spacing w:val="-20"/>
          <w:kern w:val="44"/>
          <w:sz w:val="40"/>
          <w:szCs w:val="40"/>
        </w:rPr>
      </w:pPr>
    </w:p>
    <w:p w:rsidR="005B6138">
      <w:pPr>
        <w:rPr>
          <w:rFonts w:ascii="宋体" w:eastAsia="宋体" w:hAnsi="宋体" w:cs="宋体" w:hint="eastAsia"/>
          <w:b/>
          <w:bCs/>
          <w:spacing w:val="-20"/>
          <w:kern w:val="44"/>
          <w:sz w:val="40"/>
          <w:szCs w:val="40"/>
        </w:rPr>
      </w:pPr>
    </w:p>
    <w:p w:rsidR="005B6138">
      <w:pPr>
        <w:rPr>
          <w:rFonts w:ascii="宋体" w:eastAsia="宋体" w:hAnsi="宋体" w:cs="宋体" w:hint="eastAsia"/>
          <w:b/>
          <w:bCs/>
          <w:spacing w:val="-20"/>
          <w:kern w:val="44"/>
          <w:sz w:val="40"/>
          <w:szCs w:val="40"/>
        </w:rPr>
      </w:pPr>
    </w:p>
    <w:p w:rsidR="005B6138">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rsidR="005B6138">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rsidR="005B6138">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5B6138">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5B6138">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5B6138">
      <w:pPr>
        <w:rPr>
          <w:rFonts w:ascii="Times New Roman" w:eastAsia="宋体" w:hAnsi="Times New Roman" w:cs="Times New Roman"/>
          <w:szCs w:val="20"/>
        </w:rPr>
      </w:pPr>
    </w:p>
    <w:p w:rsidR="005B6138">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rsidR="005B6138">
      <w:pPr>
        <w:rPr>
          <w:rFonts w:ascii="Times New Roman" w:eastAsia="黑体" w:hAnsi="Times New Roman" w:cs="Times New Roman"/>
          <w:sz w:val="44"/>
          <w:szCs w:val="44"/>
        </w:rPr>
      </w:pPr>
    </w:p>
    <w:p w:rsidR="005B6138">
      <w:pPr>
        <w:rPr>
          <w:rFonts w:ascii="Times New Roman" w:eastAsia="黑体" w:hAnsi="Times New Roman" w:cs="Times New Roman"/>
          <w:sz w:val="44"/>
          <w:szCs w:val="44"/>
        </w:rPr>
      </w:pPr>
    </w:p>
    <w:p w:rsidR="005B6138">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用</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说</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明</w:t>
      </w:r>
    </w:p>
    <w:p w:rsidR="005B6138">
      <w:pPr>
        <w:ind w:firstLine="640" w:firstLineChars="200"/>
        <w:rPr>
          <w:rFonts w:ascii="仿宋_GB2312" w:eastAsia="仿宋_GB2312" w:hAnsi="仿宋_GB2312" w:cs="仿宋_GB2312" w:hint="eastAsia"/>
          <w:sz w:val="32"/>
          <w:szCs w:val="32"/>
        </w:rPr>
      </w:pPr>
    </w:p>
    <w:p w:rsidR="005B6138">
      <w:pPr>
        <w:numPr>
          <w:ilvl w:val="0"/>
          <w:numId w:val="5"/>
        </w:numPr>
        <w:tabs>
          <w:tab w:val="left" w:pos="312"/>
        </w:tabs>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本合同标准文本适用于气象部门服务类（非定制开发软件）采购项目。</w:t>
      </w:r>
    </w:p>
    <w:p w:rsidR="005B6138">
      <w:pPr>
        <w:numPr>
          <w:ilvl w:val="0"/>
          <w:numId w:val="5"/>
        </w:numPr>
        <w:tabs>
          <w:tab w:val="left" w:pos="312"/>
        </w:tabs>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可以结合采购项目具体情况，对文本作必要的调整修订后使用。</w:t>
      </w:r>
    </w:p>
    <w:p w:rsidR="005B6138">
      <w:pPr>
        <w:numPr>
          <w:ilvl w:val="0"/>
          <w:numId w:val="5"/>
        </w:numPr>
        <w:tabs>
          <w:tab w:val="left" w:pos="312"/>
        </w:tabs>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5B6138">
      <w:pPr>
        <w:widowControl/>
        <w:jc w:val="left"/>
        <w:rPr>
          <w:rFonts w:ascii="宋体" w:eastAsia="宋体" w:hAnsi="宋体" w:cs="Times New Roman" w:hint="eastAsia"/>
          <w:szCs w:val="21"/>
        </w:rPr>
      </w:pPr>
      <w:r>
        <w:rPr>
          <w:rFonts w:ascii="宋体" w:eastAsia="宋体" w:hAnsi="宋体" w:cs="Times New Roman"/>
          <w:szCs w:val="21"/>
        </w:rPr>
        <w:br w:type="page"/>
      </w:r>
    </w:p>
    <w:p w:rsidR="005B6138">
      <w:pPr>
        <w:snapToGrid w:val="0"/>
        <w:spacing w:line="360" w:lineRule="auto"/>
        <w:ind w:firstLine="420"/>
        <w:rPr>
          <w:rFonts w:ascii="宋体" w:eastAsia="宋体" w:hAnsi="宋体" w:cs="Times New Roman" w:hint="eastAsia"/>
          <w:szCs w:val="21"/>
        </w:rPr>
      </w:pPr>
    </w:p>
    <w:p w:rsidR="005B6138">
      <w:pPr>
        <w:tabs>
          <w:tab w:val="left" w:pos="1573"/>
        </w:tabs>
        <w:adjustRightInd w:val="0"/>
        <w:snapToGrid w:val="0"/>
        <w:spacing w:line="360" w:lineRule="auto"/>
        <w:ind w:left="708" w:hanging="708"/>
        <w:jc w:val="center"/>
        <w:outlineLvl w:val="1"/>
        <w:rPr>
          <w:rFonts w:ascii="宋体" w:eastAsia="宋体" w:hAnsi="宋体" w:cs="Times New Roman" w:hint="eastAsia"/>
          <w:b/>
          <w:sz w:val="30"/>
          <w:szCs w:val="30"/>
        </w:rPr>
      </w:pPr>
      <w:r>
        <w:rPr>
          <w:rFonts w:ascii="宋体" w:eastAsia="宋体" w:hAnsi="宋体" w:cs="Times New Roman" w:hint="eastAsia"/>
          <w:b/>
          <w:sz w:val="30"/>
          <w:szCs w:val="30"/>
        </w:rPr>
        <w:t>第一部分  合同专用部分</w:t>
      </w:r>
    </w:p>
    <w:p w:rsidR="005B6138">
      <w:pPr>
        <w:snapToGrid w:val="0"/>
        <w:spacing w:line="360" w:lineRule="auto"/>
        <w:ind w:firstLine="420"/>
        <w:jc w:val="center"/>
        <w:rPr>
          <w:rFonts w:ascii="宋体" w:eastAsia="宋体" w:hAnsi="宋体" w:cs="Times New Roman" w:hint="eastAsia"/>
          <w:szCs w:val="21"/>
        </w:rPr>
      </w:pPr>
    </w:p>
    <w:p w:rsidR="005B6138">
      <w:pPr>
        <w:snapToGrid w:val="0"/>
        <w:spacing w:line="360" w:lineRule="auto"/>
        <w:ind w:firstLine="420"/>
        <w:rPr>
          <w:rFonts w:ascii="宋体" w:eastAsia="宋体" w:hAnsi="宋体" w:cs="Times New Roman" w:hint="eastAsia"/>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rsidR="005B6138">
      <w:pPr>
        <w:snapToGrid w:val="0"/>
        <w:spacing w:line="360" w:lineRule="auto"/>
        <w:ind w:firstLine="420"/>
        <w:rPr>
          <w:rFonts w:ascii="宋体" w:eastAsia="宋体" w:hAnsi="宋体" w:cs="Times New Roman" w:hint="eastAsia"/>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rsidR="005B6138">
      <w:pPr>
        <w:snapToGrid w:val="0"/>
        <w:spacing w:line="360" w:lineRule="auto"/>
        <w:ind w:firstLine="420"/>
        <w:rPr>
          <w:rFonts w:ascii="宋体" w:eastAsia="宋体" w:hAnsi="宋体" w:cs="Times New Roman" w:hint="eastAsia"/>
          <w:szCs w:val="21"/>
        </w:rPr>
      </w:pPr>
      <w:r>
        <w:rPr>
          <w:rFonts w:ascii="宋体" w:eastAsia="宋体" w:hAnsi="宋体" w:cs="Times New Roman" w:hint="eastAsia"/>
          <w:szCs w:val="21"/>
        </w:rPr>
        <w:t>甲乙双方</w:t>
      </w:r>
      <w:r>
        <w:rPr>
          <w:rFonts w:ascii="Calibri" w:eastAsia="宋体" w:hAnsi="Calibri" w:cs="Times New Roman" w:hint="eastAsia"/>
          <w:szCs w:val="21"/>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rsidR="005B6138">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rsidR="005B6138">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sidRPr="00136DD9" w:rsidR="00136DD9">
        <w:rPr>
          <w:rFonts w:ascii="Times New Roman" w:eastAsia="宋体" w:hAnsi="Times New Roman" w:cs="Times New Roman" w:hint="eastAsia"/>
          <w:szCs w:val="21"/>
          <w:u w:val="single"/>
        </w:rPr>
        <w:t>2026</w:t>
      </w:r>
      <w:r w:rsidRPr="00136DD9" w:rsidR="00136DD9">
        <w:rPr>
          <w:rFonts w:ascii="Times New Roman" w:eastAsia="宋体" w:hAnsi="Times New Roman" w:cs="Times New Roman" w:hint="eastAsia"/>
          <w:szCs w:val="21"/>
          <w:u w:val="single"/>
        </w:rPr>
        <w:t>年“</w:t>
      </w:r>
      <w:r w:rsidRPr="00136DD9" w:rsidR="00136DD9">
        <w:rPr>
          <w:rFonts w:ascii="Times New Roman" w:eastAsia="宋体" w:hAnsi="Times New Roman" w:cs="Times New Roman" w:hint="eastAsia"/>
          <w:szCs w:val="21"/>
          <w:u w:val="single"/>
        </w:rPr>
        <w:t>B-10E5</w:t>
      </w:r>
      <w:r w:rsidRPr="00136DD9" w:rsidR="00136DD9">
        <w:rPr>
          <w:rFonts w:ascii="Times New Roman" w:eastAsia="宋体" w:hAnsi="Times New Roman" w:cs="Times New Roman" w:hint="eastAsia"/>
          <w:szCs w:val="21"/>
          <w:u w:val="single"/>
        </w:rPr>
        <w:t>”国家人影作业飞机托管服务采购</w:t>
      </w:r>
    </w:p>
    <w:p w:rsidR="005B6138">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rsidR="005B6138">
      <w:pPr>
        <w:adjustRightInd w:val="0"/>
        <w:snapToGrid w:val="0"/>
        <w:spacing w:line="360" w:lineRule="auto"/>
        <w:ind w:firstLine="420" w:firstLineChars="200"/>
        <w:rPr>
          <w:rFonts w:ascii="宋体" w:eastAsia="宋体" w:hAnsi="宋体" w:cs="Times New Roman" w:hint="eastAsia"/>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68" w:type="dxa"/>
            <w:vAlign w:val="center"/>
          </w:tcPr>
          <w:p w:rsidR="005B6138">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vAlign w:val="center"/>
          </w:tcPr>
          <w:p w:rsidR="005B6138">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vAlign w:val="center"/>
          </w:tcPr>
          <w:p w:rsidR="005B6138">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vAlign w:val="center"/>
          </w:tcPr>
          <w:p w:rsidR="005B6138">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vAlign w:val="center"/>
          </w:tcPr>
          <w:p w:rsidR="005B6138">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vAlign w:val="center"/>
          </w:tcPr>
          <w:p w:rsidR="005B6138">
            <w:pPr>
              <w:tabs>
                <w:tab w:val="left" w:pos="1573"/>
              </w:tabs>
              <w:autoSpaceDE w:val="0"/>
              <w:autoSpaceDN w:val="0"/>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交付时间</w:t>
            </w:r>
          </w:p>
        </w:tc>
      </w:tr>
      <w:tr>
        <w:tblPrEx>
          <w:tblW w:w="0" w:type="auto"/>
          <w:jc w:val="center"/>
          <w:tblLayout w:type="fixed"/>
          <w:tblLook w:val="04A0"/>
        </w:tblPrEx>
        <w:trPr>
          <w:jc w:val="center"/>
        </w:trPr>
        <w:tc>
          <w:tcPr>
            <w:tcW w:w="768" w:type="dxa"/>
            <w:vAlign w:val="center"/>
          </w:tcPr>
          <w:p w:rsidR="005B6138">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2935" w:type="dxa"/>
            <w:vAlign w:val="center"/>
          </w:tcPr>
          <w:p w:rsidR="005B6138">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35" w:type="dxa"/>
            <w:vAlign w:val="center"/>
          </w:tcPr>
          <w:p w:rsidR="005B6138">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318" w:type="dxa"/>
            <w:vAlign w:val="center"/>
          </w:tcPr>
          <w:p w:rsidR="005B6138">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50" w:type="dxa"/>
            <w:vAlign w:val="center"/>
          </w:tcPr>
          <w:p w:rsidR="005B6138">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275" w:type="dxa"/>
            <w:vAlign w:val="center"/>
          </w:tcPr>
          <w:p w:rsidR="005B6138">
            <w:pPr>
              <w:tabs>
                <w:tab w:val="left" w:pos="1573"/>
              </w:tabs>
              <w:autoSpaceDE w:val="0"/>
              <w:autoSpaceDN w:val="0"/>
              <w:adjustRightInd w:val="0"/>
              <w:snapToGrid w:val="0"/>
              <w:spacing w:line="360" w:lineRule="auto"/>
              <w:rPr>
                <w:rFonts w:ascii="宋体" w:eastAsia="宋体" w:hAnsi="宋体" w:cs="Times New Roman" w:hint="eastAsia"/>
                <w:szCs w:val="21"/>
              </w:rPr>
            </w:pPr>
          </w:p>
        </w:tc>
      </w:tr>
      <w:tr>
        <w:tblPrEx>
          <w:tblW w:w="0" w:type="auto"/>
          <w:jc w:val="center"/>
          <w:tblLayout w:type="fixed"/>
          <w:tblLook w:val="04A0"/>
        </w:tblPrEx>
        <w:trPr>
          <w:jc w:val="center"/>
        </w:trPr>
        <w:tc>
          <w:tcPr>
            <w:tcW w:w="768" w:type="dxa"/>
            <w:vAlign w:val="center"/>
          </w:tcPr>
          <w:p w:rsidR="005B6138">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2935" w:type="dxa"/>
            <w:vAlign w:val="center"/>
          </w:tcPr>
          <w:p w:rsidR="005B6138">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35" w:type="dxa"/>
            <w:vAlign w:val="center"/>
          </w:tcPr>
          <w:p w:rsidR="005B6138">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318" w:type="dxa"/>
            <w:vAlign w:val="center"/>
          </w:tcPr>
          <w:p w:rsidR="005B6138">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50" w:type="dxa"/>
            <w:vAlign w:val="center"/>
          </w:tcPr>
          <w:p w:rsidR="005B6138">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275" w:type="dxa"/>
            <w:vAlign w:val="center"/>
          </w:tcPr>
          <w:p w:rsidR="005B6138">
            <w:pPr>
              <w:tabs>
                <w:tab w:val="left" w:pos="1573"/>
              </w:tabs>
              <w:autoSpaceDE w:val="0"/>
              <w:autoSpaceDN w:val="0"/>
              <w:adjustRightInd w:val="0"/>
              <w:snapToGrid w:val="0"/>
              <w:spacing w:line="360" w:lineRule="auto"/>
              <w:rPr>
                <w:rFonts w:ascii="宋体" w:eastAsia="宋体" w:hAnsi="宋体" w:cs="Times New Roman" w:hint="eastAsia"/>
                <w:szCs w:val="21"/>
              </w:rPr>
            </w:pPr>
          </w:p>
        </w:tc>
      </w:tr>
      <w:tr>
        <w:tblPrEx>
          <w:tblW w:w="0" w:type="auto"/>
          <w:jc w:val="center"/>
          <w:tblLayout w:type="fixed"/>
          <w:tblLook w:val="04A0"/>
        </w:tblPrEx>
        <w:trPr>
          <w:jc w:val="center"/>
        </w:trPr>
        <w:tc>
          <w:tcPr>
            <w:tcW w:w="768" w:type="dxa"/>
            <w:vAlign w:val="center"/>
          </w:tcPr>
          <w:p w:rsidR="005B6138">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2935" w:type="dxa"/>
            <w:vAlign w:val="center"/>
          </w:tcPr>
          <w:p w:rsidR="005B6138">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35" w:type="dxa"/>
            <w:vAlign w:val="center"/>
          </w:tcPr>
          <w:p w:rsidR="005B6138">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318" w:type="dxa"/>
            <w:vAlign w:val="center"/>
          </w:tcPr>
          <w:p w:rsidR="005B6138">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50" w:type="dxa"/>
            <w:vAlign w:val="center"/>
          </w:tcPr>
          <w:p w:rsidR="005B6138">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275" w:type="dxa"/>
            <w:vAlign w:val="center"/>
          </w:tcPr>
          <w:p w:rsidR="005B6138">
            <w:pPr>
              <w:tabs>
                <w:tab w:val="left" w:pos="1573"/>
              </w:tabs>
              <w:autoSpaceDE w:val="0"/>
              <w:autoSpaceDN w:val="0"/>
              <w:adjustRightInd w:val="0"/>
              <w:snapToGrid w:val="0"/>
              <w:spacing w:line="360" w:lineRule="auto"/>
              <w:rPr>
                <w:rFonts w:ascii="宋体" w:eastAsia="宋体" w:hAnsi="宋体" w:cs="Times New Roman" w:hint="eastAsia"/>
                <w:szCs w:val="21"/>
              </w:rPr>
            </w:pPr>
          </w:p>
        </w:tc>
      </w:tr>
    </w:tbl>
    <w:p w:rsidR="005B6138">
      <w:pPr>
        <w:tabs>
          <w:tab w:val="left" w:pos="1573"/>
        </w:tabs>
        <w:adjustRightInd w:val="0"/>
        <w:snapToGrid w:val="0"/>
        <w:spacing w:line="360" w:lineRule="auto"/>
        <w:ind w:firstLine="420" w:firstLineChars="200"/>
        <w:jc w:val="left"/>
        <w:rPr>
          <w:rFonts w:ascii="宋体" w:eastAsia="宋体" w:hAnsi="宋体" w:cs="Times New Roman" w:hint="eastAsia"/>
          <w:b/>
          <w:szCs w:val="28"/>
        </w:rPr>
      </w:pPr>
      <w:r>
        <w:rPr>
          <w:rFonts w:ascii="宋体" w:eastAsia="宋体" w:hAnsi="宋体" w:cs="Times New Roman" w:hint="eastAsia"/>
          <w:b/>
          <w:szCs w:val="28"/>
        </w:rPr>
        <w:t>三</w:t>
      </w:r>
      <w:r>
        <w:rPr>
          <w:rFonts w:ascii="Times New Roman" w:eastAsia="宋体" w:hAnsi="宋体" w:cs="Times New Roman" w:hint="eastAsia"/>
          <w:b/>
          <w:szCs w:val="20"/>
        </w:rPr>
        <w:t>、合同价格及</w:t>
      </w:r>
      <w:r>
        <w:rPr>
          <w:rFonts w:ascii="宋体" w:eastAsia="宋体" w:hAnsi="宋体" w:cs="Times New Roman" w:hint="eastAsia"/>
          <w:b/>
          <w:szCs w:val="28"/>
        </w:rPr>
        <w:t>付款方式</w:t>
      </w:r>
    </w:p>
    <w:p w:rsidR="00136DD9" w:rsidP="00136DD9">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1、合同总金额为人民币</w:t>
      </w:r>
      <w:r>
        <w:rPr>
          <w:rFonts w:ascii="宋体" w:hAnsi="宋体" w:hint="eastAsia"/>
          <w:szCs w:val="21"/>
          <w:u w:val="single"/>
        </w:rPr>
        <w:t xml:space="preserve">      元整</w:t>
      </w:r>
      <w:r>
        <w:rPr>
          <w:rFonts w:ascii="宋体" w:hAnsi="宋体" w:hint="eastAsia"/>
          <w:szCs w:val="21"/>
        </w:rPr>
        <w:t>（大写）：</w:t>
      </w:r>
      <w:r>
        <w:rPr>
          <w:rFonts w:ascii="宋体" w:hAnsi="宋体" w:hint="eastAsia"/>
          <w:szCs w:val="21"/>
          <w:u w:val="single"/>
        </w:rPr>
        <w:t xml:space="preserve">      </w:t>
      </w:r>
      <w:r>
        <w:rPr>
          <w:rFonts w:ascii="宋体" w:hAnsi="宋体" w:hint="eastAsia"/>
          <w:szCs w:val="21"/>
        </w:rPr>
        <w:t>元（小写）。</w:t>
      </w:r>
    </w:p>
    <w:p w:rsidR="00136DD9" w:rsidP="00136DD9">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2、合同生效后付款：双方签署合同后，甲方向乙方支付合同总金额的</w:t>
      </w:r>
      <w:r>
        <w:rPr>
          <w:rFonts w:ascii="宋体" w:hAnsi="宋体" w:cs="微软雅黑" w:hint="eastAsia"/>
          <w:b/>
          <w:kern w:val="0"/>
          <w:szCs w:val="21"/>
          <w:highlight w:val="yellow"/>
        </w:rPr>
        <w:t>4</w:t>
      </w:r>
      <w:r>
        <w:rPr>
          <w:rFonts w:ascii="宋体" w:hAnsi="宋体" w:cs="微软雅黑"/>
          <w:b/>
          <w:kern w:val="0"/>
          <w:szCs w:val="21"/>
          <w:highlight w:val="yellow"/>
        </w:rPr>
        <w:t>0</w:t>
      </w:r>
      <w:r>
        <w:rPr>
          <w:rFonts w:ascii="宋体" w:hAnsi="宋体" w:cs="微软雅黑" w:hint="eastAsia"/>
          <w:b/>
          <w:kern w:val="0"/>
          <w:szCs w:val="21"/>
          <w:highlight w:val="yellow"/>
        </w:rPr>
        <w:t>%</w:t>
      </w:r>
      <w:r>
        <w:rPr>
          <w:rFonts w:ascii="宋体" w:hAnsi="宋体" w:hint="eastAsia"/>
          <w:szCs w:val="21"/>
          <w:highlight w:val="yellow"/>
        </w:rPr>
        <w:t>，</w:t>
      </w:r>
      <w:r>
        <w:rPr>
          <w:rFonts w:ascii="宋体" w:hAnsi="宋体" w:hint="eastAsia"/>
          <w:szCs w:val="21"/>
        </w:rPr>
        <w:t>即人民币</w:t>
      </w:r>
      <w:r>
        <w:rPr>
          <w:rFonts w:ascii="宋体" w:hAnsi="宋体" w:hint="eastAsia"/>
          <w:szCs w:val="21"/>
          <w:u w:val="single"/>
        </w:rPr>
        <w:t xml:space="preserve">                  </w:t>
      </w:r>
      <w:r>
        <w:rPr>
          <w:rFonts w:ascii="宋体" w:hAnsi="宋体" w:hint="eastAsia"/>
          <w:szCs w:val="21"/>
        </w:rPr>
        <w:t>元（大写）：</w:t>
      </w:r>
      <w:r>
        <w:rPr>
          <w:rFonts w:ascii="宋体" w:hAnsi="宋体" w:hint="eastAsia"/>
          <w:szCs w:val="21"/>
          <w:u w:val="single"/>
        </w:rPr>
        <w:t xml:space="preserve">          </w:t>
      </w:r>
      <w:r>
        <w:rPr>
          <w:rFonts w:ascii="宋体" w:hAnsi="宋体" w:hint="eastAsia"/>
          <w:szCs w:val="21"/>
        </w:rPr>
        <w:t>元（小写）；</w:t>
      </w:r>
    </w:p>
    <w:p w:rsidR="00136DD9" w:rsidP="00136DD9">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3、</w:t>
      </w:r>
      <w:r w:rsidRPr="00304585">
        <w:rPr>
          <w:rFonts w:ascii="宋体" w:hAnsi="宋体" w:hint="eastAsia"/>
          <w:szCs w:val="21"/>
        </w:rPr>
        <w:t>2026年</w:t>
      </w:r>
      <w:r>
        <w:rPr>
          <w:rFonts w:ascii="宋体" w:hAnsi="宋体" w:hint="eastAsia"/>
          <w:szCs w:val="21"/>
        </w:rPr>
        <w:t>8</w:t>
      </w:r>
      <w:r w:rsidRPr="00304585">
        <w:rPr>
          <w:rFonts w:ascii="宋体" w:hAnsi="宋体" w:hint="eastAsia"/>
          <w:szCs w:val="21"/>
        </w:rPr>
        <w:t>月20前，</w:t>
      </w:r>
      <w:r>
        <w:rPr>
          <w:rFonts w:ascii="宋体" w:hAnsi="宋体" w:hint="eastAsia"/>
          <w:szCs w:val="21"/>
        </w:rPr>
        <w:t>甲方向乙方支付合同总金额的</w:t>
      </w:r>
      <w:r>
        <w:rPr>
          <w:rFonts w:ascii="宋体" w:hAnsi="宋体" w:cs="微软雅黑" w:hint="eastAsia"/>
          <w:b/>
          <w:kern w:val="0"/>
          <w:szCs w:val="21"/>
        </w:rPr>
        <w:t>4</w:t>
      </w:r>
      <w:r>
        <w:rPr>
          <w:rFonts w:ascii="宋体" w:hAnsi="宋体" w:cs="微软雅黑"/>
          <w:b/>
          <w:kern w:val="0"/>
          <w:szCs w:val="21"/>
        </w:rPr>
        <w:t>0</w:t>
      </w:r>
      <w:r>
        <w:rPr>
          <w:rFonts w:ascii="宋体" w:hAnsi="宋体" w:cs="微软雅黑" w:hint="eastAsia"/>
          <w:b/>
          <w:kern w:val="0"/>
          <w:szCs w:val="21"/>
        </w:rPr>
        <w:t>%</w:t>
      </w:r>
      <w:r>
        <w:rPr>
          <w:rFonts w:ascii="宋体" w:hAnsi="宋体" w:hint="eastAsia"/>
          <w:szCs w:val="21"/>
          <w:highlight w:val="yellow"/>
        </w:rPr>
        <w:t>，</w:t>
      </w:r>
      <w:r>
        <w:rPr>
          <w:rFonts w:ascii="宋体" w:hAnsi="宋体" w:hint="eastAsia"/>
          <w:szCs w:val="21"/>
        </w:rPr>
        <w:t>即人民币</w:t>
      </w:r>
      <w:r>
        <w:rPr>
          <w:rFonts w:ascii="宋体" w:hAnsi="宋体" w:hint="eastAsia"/>
          <w:szCs w:val="21"/>
          <w:u w:val="single"/>
        </w:rPr>
        <w:t xml:space="preserve">                  </w:t>
      </w:r>
      <w:r>
        <w:rPr>
          <w:rFonts w:ascii="宋体" w:hAnsi="宋体" w:hint="eastAsia"/>
          <w:szCs w:val="21"/>
        </w:rPr>
        <w:t>元（大写）：</w:t>
      </w:r>
      <w:r>
        <w:rPr>
          <w:rFonts w:ascii="宋体" w:hAnsi="宋体" w:hint="eastAsia"/>
          <w:szCs w:val="21"/>
          <w:u w:val="single"/>
        </w:rPr>
        <w:t xml:space="preserve">          </w:t>
      </w:r>
      <w:r>
        <w:rPr>
          <w:rFonts w:ascii="宋体" w:hAnsi="宋体" w:hint="eastAsia"/>
          <w:szCs w:val="21"/>
        </w:rPr>
        <w:t xml:space="preserve">元（小写）； </w:t>
      </w:r>
    </w:p>
    <w:p w:rsidR="00136DD9" w:rsidP="00136DD9">
      <w:pPr>
        <w:tabs>
          <w:tab w:val="left" w:pos="1573"/>
        </w:tabs>
        <w:adjustRightInd w:val="0"/>
        <w:snapToGrid w:val="0"/>
        <w:spacing w:line="360" w:lineRule="auto"/>
        <w:ind w:firstLine="420" w:firstLineChars="200"/>
        <w:jc w:val="left"/>
        <w:rPr>
          <w:rFonts w:hAnsi="宋体"/>
          <w:kern w:val="0"/>
        </w:rPr>
      </w:pPr>
      <w:r>
        <w:rPr>
          <w:rFonts w:ascii="宋体" w:hAnsi="宋体" w:hint="eastAsia"/>
          <w:szCs w:val="21"/>
        </w:rPr>
        <w:t>4、服务期满后付款：</w:t>
      </w:r>
      <w:bookmarkStart w:id="69" w:name="_Hlk221694951"/>
      <w:r>
        <w:rPr>
          <w:rFonts w:ascii="宋体" w:hAnsi="宋体" w:hint="eastAsia"/>
          <w:szCs w:val="21"/>
        </w:rPr>
        <w:t>2026年12月20前，甲方向乙</w:t>
      </w:r>
      <w:bookmarkEnd w:id="69"/>
      <w:r>
        <w:rPr>
          <w:rFonts w:ascii="宋体" w:hAnsi="宋体" w:hint="eastAsia"/>
          <w:szCs w:val="21"/>
        </w:rPr>
        <w:t>方支付合同剩余费用。</w:t>
      </w:r>
    </w:p>
    <w:p w:rsidR="005B6138">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b/>
          <w:szCs w:val="28"/>
        </w:rPr>
        <w:t>四、甲方应向乙方提供的资料</w:t>
      </w:r>
    </w:p>
    <w:p w:rsidR="005B6138">
      <w:pPr>
        <w:tabs>
          <w:tab w:val="left" w:pos="1573"/>
        </w:tabs>
        <w:adjustRightInd w:val="0"/>
        <w:snapToGrid w:val="0"/>
        <w:spacing w:line="360" w:lineRule="auto"/>
        <w:ind w:firstLine="412" w:firstLineChars="196"/>
        <w:jc w:val="left"/>
        <w:rPr>
          <w:rFonts w:ascii="宋体" w:eastAsia="宋体" w:hAnsi="宋体" w:cs="Times New Roman" w:hint="eastAsia"/>
          <w:szCs w:val="28"/>
        </w:rPr>
      </w:pPr>
      <w:r>
        <w:rPr>
          <w:rFonts w:ascii="宋体" w:eastAsia="宋体" w:hAnsi="宋体" w:cs="Times New Roman" w:hint="eastAsia"/>
          <w:szCs w:val="28"/>
        </w:rPr>
        <w:t>甲方提供该乙方履行合同所需的资料清单如下：</w:t>
      </w:r>
    </w:p>
    <w:p w:rsidR="005B6138">
      <w:pPr>
        <w:tabs>
          <w:tab w:val="left" w:pos="1573"/>
        </w:tabs>
        <w:adjustRightInd w:val="0"/>
        <w:snapToGrid w:val="0"/>
        <w:spacing w:line="360" w:lineRule="auto"/>
        <w:ind w:firstLine="412" w:firstLineChars="196"/>
        <w:jc w:val="left"/>
        <w:rPr>
          <w:rFonts w:ascii="宋体" w:eastAsia="宋体" w:hAnsi="宋体" w:cs="Times New Roman" w:hint="eastAsia"/>
          <w:szCs w:val="28"/>
        </w:rPr>
      </w:pPr>
    </w:p>
    <w:p w:rsidR="005B6138">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b/>
          <w:szCs w:val="28"/>
        </w:rPr>
        <w:t>五、进度要求及交付</w:t>
      </w:r>
    </w:p>
    <w:p w:rsidR="005B6138">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1、交付日期：</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5B6138">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2、交付地点：</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5B6138">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3、其他约定事项：</w:t>
      </w:r>
      <w:r>
        <w:rPr>
          <w:rFonts w:ascii="宋体" w:eastAsia="宋体" w:hAnsi="宋体" w:cs="Times New Roman" w:hint="eastAsia"/>
          <w:szCs w:val="21"/>
          <w:u w:val="single"/>
        </w:rPr>
        <w:t xml:space="preserve">                                                     </w:t>
      </w:r>
      <w:r>
        <w:rPr>
          <w:rFonts w:ascii="宋体" w:eastAsia="宋体" w:hAnsi="宋体" w:cs="Times New Roman" w:hint="eastAsia"/>
          <w:szCs w:val="21"/>
        </w:rPr>
        <w:t>。</w:t>
      </w:r>
    </w:p>
    <w:p w:rsidR="005B6138">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rsidR="005B6138">
      <w:pPr>
        <w:tabs>
          <w:tab w:val="left" w:pos="1573"/>
        </w:tabs>
        <w:adjustRightInd w:val="0"/>
        <w:snapToGrid w:val="0"/>
        <w:spacing w:line="360" w:lineRule="auto"/>
        <w:ind w:firstLine="412" w:firstLineChars="196"/>
        <w:jc w:val="left"/>
        <w:rPr>
          <w:rFonts w:ascii="宋体" w:eastAsia="宋体" w:hAnsi="宋体" w:cs="Times New Roman" w:hint="eastAsia"/>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Pr>
          <w:rFonts w:ascii="宋体" w:eastAsia="宋体" w:hAnsi="宋体" w:cs="Times New Roman" w:hint="eastAsia"/>
          <w:szCs w:val="21"/>
        </w:rPr>
        <w:t>个</w:t>
      </w:r>
      <w:r>
        <w:rPr>
          <w:rFonts w:ascii="宋体" w:eastAsia="宋体" w:hAnsi="宋体" w:cs="Times New Roman" w:hint="eastAsia"/>
          <w:szCs w:val="21"/>
        </w:rPr>
        <w:t>月。</w:t>
      </w:r>
    </w:p>
    <w:p w:rsidR="005B6138">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b/>
          <w:szCs w:val="28"/>
        </w:rPr>
        <w:t>七、履约验收</w:t>
      </w:r>
    </w:p>
    <w:p w:rsidR="005B6138">
      <w:pPr>
        <w:tabs>
          <w:tab w:val="left" w:pos="1573"/>
        </w:tabs>
        <w:adjustRightInd w:val="0"/>
        <w:snapToGrid w:val="0"/>
        <w:spacing w:line="360" w:lineRule="auto"/>
        <w:ind w:firstLine="412" w:firstLineChars="196"/>
        <w:jc w:val="left"/>
        <w:rPr>
          <w:rFonts w:ascii="宋体" w:eastAsia="宋体" w:hAnsi="宋体" w:cs="Times New Roman" w:hint="eastAsia"/>
          <w:szCs w:val="28"/>
        </w:rPr>
      </w:pPr>
      <w:r>
        <w:rPr>
          <w:rFonts w:ascii="宋体" w:eastAsia="宋体" w:hAnsi="宋体" w:cs="Times New Roman" w:hint="eastAsia"/>
          <w:szCs w:val="28"/>
        </w:rPr>
        <w:t>（略）</w:t>
      </w:r>
    </w:p>
    <w:p w:rsidR="005B6138">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szCs w:val="28"/>
        </w:rPr>
        <w:t>具体条款由甲方商乙方拟定。基本内容应包括：验收时间；验收地点；一次性验收还是分阶段、分期验收；验收方式（包括</w:t>
      </w:r>
      <w:r>
        <w:rPr>
          <w:rFonts w:ascii="宋体" w:eastAsia="宋体" w:hAnsi="宋体" w:cs="Times New Roman" w:hint="eastAsia"/>
          <w:szCs w:val="21"/>
        </w:rPr>
        <w:t>自行简易验收、验收小组验收、委托第三方验收等）；验收内容和标准（参见附表）；验收未通过（整体未通过或部分未通过）的处理措施；验收费用承担方等</w:t>
      </w:r>
    </w:p>
    <w:p w:rsidR="005B6138">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b/>
          <w:szCs w:val="28"/>
        </w:rPr>
        <w:t>八、风险管理</w:t>
      </w:r>
    </w:p>
    <w:p w:rsidR="005B6138">
      <w:pPr>
        <w:tabs>
          <w:tab w:val="left" w:pos="1573"/>
        </w:tabs>
        <w:adjustRightInd w:val="0"/>
        <w:snapToGrid w:val="0"/>
        <w:spacing w:line="360" w:lineRule="auto"/>
        <w:ind w:firstLine="412" w:firstLineChars="196"/>
        <w:jc w:val="left"/>
        <w:rPr>
          <w:rFonts w:ascii="宋体" w:eastAsia="宋体" w:hAnsi="宋体" w:cs="Times New Roman" w:hint="eastAsia"/>
          <w:szCs w:val="20"/>
        </w:rPr>
      </w:pPr>
      <w:r>
        <w:rPr>
          <w:rFonts w:ascii="宋体" w:eastAsia="宋体" w:hAnsi="宋体" w:cs="Times New Roman" w:hint="eastAsia"/>
          <w:szCs w:val="20"/>
        </w:rPr>
        <w:t>（略）</w:t>
      </w:r>
    </w:p>
    <w:p w:rsidR="005B6138">
      <w:pPr>
        <w:tabs>
          <w:tab w:val="left" w:pos="1573"/>
        </w:tabs>
        <w:adjustRightInd w:val="0"/>
        <w:snapToGrid w:val="0"/>
        <w:spacing w:line="360" w:lineRule="auto"/>
        <w:ind w:firstLine="412" w:firstLineChars="196"/>
        <w:jc w:val="left"/>
        <w:rPr>
          <w:rFonts w:ascii="宋体" w:eastAsia="宋体" w:hAnsi="宋体" w:cs="Times New Roman" w:hint="eastAsia"/>
          <w:szCs w:val="20"/>
        </w:rPr>
      </w:pPr>
      <w:r>
        <w:rPr>
          <w:rFonts w:ascii="宋体" w:eastAsia="宋体" w:hAnsi="宋体" w:cs="Times New Roman" w:hint="eastAsia"/>
          <w:szCs w:val="20"/>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rPr>
        <w:t>国家政策变化</w:t>
      </w:r>
      <w:r>
        <w:rPr>
          <w:rFonts w:ascii="Times New Roman" w:eastAsia="宋体" w:hAnsi="Times New Roman" w:cs="Times New Roman" w:hint="eastAsia"/>
          <w:szCs w:val="20"/>
        </w:rPr>
        <w:t>、</w:t>
      </w:r>
      <w:r>
        <w:rPr>
          <w:rFonts w:ascii="Times New Roman" w:eastAsia="宋体" w:hAnsi="Times New Roman" w:cs="Times New Roman"/>
          <w:szCs w:val="20"/>
        </w:rPr>
        <w:t>实施环境变化</w:t>
      </w:r>
      <w:r>
        <w:rPr>
          <w:rFonts w:ascii="Times New Roman" w:eastAsia="宋体" w:hAnsi="Times New Roman" w:cs="Times New Roman" w:hint="eastAsia"/>
          <w:szCs w:val="20"/>
        </w:rPr>
        <w:t>、</w:t>
      </w:r>
      <w:r>
        <w:rPr>
          <w:rFonts w:ascii="Times New Roman" w:eastAsia="宋体" w:hAnsi="Times New Roman" w:cs="Times New Roman"/>
          <w:szCs w:val="20"/>
        </w:rPr>
        <w:t>重大技术变化</w:t>
      </w:r>
      <w:r>
        <w:rPr>
          <w:rFonts w:ascii="Times New Roman" w:eastAsia="宋体" w:hAnsi="Times New Roman" w:cs="Times New Roman" w:hint="eastAsia"/>
          <w:szCs w:val="20"/>
        </w:rPr>
        <w:t>、</w:t>
      </w:r>
      <w:r>
        <w:rPr>
          <w:rFonts w:ascii="Times New Roman" w:eastAsia="宋体" w:hAnsi="Times New Roman" w:cs="Times New Roman"/>
          <w:szCs w:val="20"/>
        </w:rPr>
        <w:t>预算项目调整</w:t>
      </w:r>
      <w:r>
        <w:rPr>
          <w:rFonts w:ascii="Times New Roman" w:eastAsia="宋体" w:hAnsi="Times New Roman" w:cs="Times New Roman" w:hint="eastAsia"/>
          <w:szCs w:val="20"/>
        </w:rPr>
        <w:t>、</w:t>
      </w:r>
      <w:r>
        <w:rPr>
          <w:rFonts w:ascii="Times New Roman" w:eastAsia="宋体" w:hAnsi="Times New Roman" w:cs="Times New Roman"/>
          <w:szCs w:val="20"/>
        </w:rPr>
        <w:t>因质疑投诉影响</w:t>
      </w:r>
      <w:r>
        <w:rPr>
          <w:rFonts w:ascii="Times New Roman" w:eastAsia="宋体" w:hAnsi="Times New Roman" w:cs="Times New Roman" w:hint="eastAsia"/>
          <w:szCs w:val="20"/>
        </w:rPr>
        <w:t>合同</w:t>
      </w:r>
      <w:r>
        <w:rPr>
          <w:rFonts w:ascii="Times New Roman" w:eastAsia="宋体" w:hAnsi="Times New Roman" w:cs="Times New Roman"/>
          <w:szCs w:val="20"/>
        </w:rPr>
        <w:t>进度</w:t>
      </w:r>
      <w:r>
        <w:rPr>
          <w:rFonts w:ascii="Times New Roman" w:eastAsia="宋体" w:hAnsi="Times New Roman" w:cs="Times New Roman" w:hint="eastAsia"/>
          <w:szCs w:val="20"/>
        </w:rPr>
        <w:t>等）</w:t>
      </w:r>
      <w:r>
        <w:rPr>
          <w:rFonts w:ascii="宋体" w:eastAsia="宋体" w:hAnsi="宋体" w:cs="Times New Roman" w:hint="eastAsia"/>
          <w:szCs w:val="20"/>
        </w:rPr>
        <w:t>的可能性、影响程度进行</w:t>
      </w:r>
      <w:r>
        <w:rPr>
          <w:rFonts w:ascii="宋体" w:eastAsia="宋体" w:hAnsi="宋体" w:cs="Times New Roman" w:hint="eastAsia"/>
          <w:szCs w:val="20"/>
        </w:rPr>
        <w:t>研</w:t>
      </w:r>
      <w:r>
        <w:rPr>
          <w:rFonts w:ascii="宋体" w:eastAsia="宋体" w:hAnsi="宋体" w:cs="Times New Roman" w:hint="eastAsia"/>
          <w:szCs w:val="20"/>
        </w:rPr>
        <w:t>判，明确管控责任，提出有针对性的处置措施和替代方案。如本项目不属于上述项目，“八、风险管理”可省略）</w:t>
      </w:r>
    </w:p>
    <w:p w:rsidR="005B6138">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b/>
          <w:szCs w:val="28"/>
        </w:rPr>
        <w:t>九、违约责任</w:t>
      </w:r>
    </w:p>
    <w:p w:rsidR="005B6138">
      <w:pPr>
        <w:tabs>
          <w:tab w:val="left" w:pos="1573"/>
        </w:tabs>
        <w:adjustRightInd w:val="0"/>
        <w:snapToGrid w:val="0"/>
        <w:spacing w:line="360" w:lineRule="auto"/>
        <w:ind w:firstLine="412" w:firstLineChars="196"/>
        <w:jc w:val="left"/>
        <w:rPr>
          <w:rFonts w:ascii="宋体" w:eastAsia="宋体" w:hAnsi="宋体" w:cs="Times New Roman" w:hint="eastAsia"/>
          <w:szCs w:val="21"/>
        </w:rPr>
      </w:pPr>
      <w:r>
        <w:rPr>
          <w:rFonts w:ascii="宋体" w:eastAsia="宋体" w:hAnsi="宋体" w:cs="Times New Roman" w:hint="eastAsia"/>
          <w:szCs w:val="28"/>
        </w:rPr>
        <w:t>1、</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 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rsidR="005B6138">
      <w:pPr>
        <w:tabs>
          <w:tab w:val="left" w:pos="1573"/>
        </w:tabs>
        <w:adjustRightInd w:val="0"/>
        <w:snapToGrid w:val="0"/>
        <w:spacing w:line="360" w:lineRule="auto"/>
        <w:ind w:firstLine="412" w:firstLineChars="196"/>
        <w:jc w:val="left"/>
        <w:rPr>
          <w:rFonts w:ascii="宋体" w:eastAsia="宋体" w:hAnsi="宋体" w:cs="Times New Roman" w:hint="eastAsia"/>
          <w:szCs w:val="21"/>
        </w:rPr>
      </w:pPr>
      <w:r>
        <w:rPr>
          <w:rFonts w:ascii="宋体" w:eastAsia="宋体" w:hAnsi="宋体" w:cs="Times New Roman" w:hint="eastAsia"/>
          <w:szCs w:val="21"/>
        </w:rPr>
        <w:t>2、其它违约责任</w:t>
      </w:r>
    </w:p>
    <w:p w:rsidR="005B6138">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%的违约金。</w:t>
      </w:r>
    </w:p>
    <w:p w:rsidR="005B6138">
      <w:pPr>
        <w:tabs>
          <w:tab w:val="left" w:pos="1573"/>
        </w:tabs>
        <w:adjustRightInd w:val="0"/>
        <w:snapToGrid w:val="0"/>
        <w:spacing w:line="360" w:lineRule="auto"/>
        <w:ind w:firstLine="420" w:firstLineChars="200"/>
        <w:jc w:val="left"/>
        <w:rPr>
          <w:rFonts w:ascii="宋体" w:eastAsia="宋体" w:hAnsi="宋体" w:cs="Times New Roman" w:hint="eastAsia"/>
          <w:b/>
          <w:szCs w:val="28"/>
        </w:rPr>
      </w:pPr>
      <w:r>
        <w:rPr>
          <w:rFonts w:ascii="宋体" w:eastAsia="宋体" w:hAnsi="宋体" w:cs="Times New Roman" w:hint="eastAsia"/>
          <w:b/>
          <w:szCs w:val="28"/>
        </w:rPr>
        <w:t>十、联系方式</w:t>
      </w:r>
    </w:p>
    <w:p w:rsidR="005B6138">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rsidR="005B6138">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rsidR="005B6138">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rsidR="005B6138">
      <w:pPr>
        <w:tabs>
          <w:tab w:val="left" w:pos="1573"/>
        </w:tabs>
        <w:adjustRightInd w:val="0"/>
        <w:snapToGrid w:val="0"/>
        <w:ind w:firstLine="315" w:firstLineChars="150"/>
        <w:jc w:val="left"/>
        <w:rPr>
          <w:rFonts w:ascii="宋体" w:eastAsia="宋体" w:hAnsi="宋体" w:cs="Times New Roman" w:hint="eastAsia"/>
          <w:szCs w:val="21"/>
          <w:u w:val="single"/>
        </w:rPr>
      </w:pPr>
      <w:r>
        <w:rPr>
          <w:rFonts w:ascii="宋体" w:eastAsia="宋体" w:hAnsi="宋体" w:cs="Times New Roman" w:hint="eastAsia"/>
          <w:szCs w:val="21"/>
        </w:rPr>
        <w:t>开户银行及</w:t>
      </w:r>
      <w:r>
        <w:rPr>
          <w:rFonts w:ascii="宋体" w:eastAsia="宋体" w:hAnsi="宋体" w:cs="Times New Roman" w:hint="eastAsia"/>
          <w:szCs w:val="21"/>
        </w:rPr>
        <w:t>帐号</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5B6138">
      <w:pPr>
        <w:tabs>
          <w:tab w:val="left" w:pos="1573"/>
        </w:tabs>
        <w:adjustRightInd w:val="0"/>
        <w:snapToGrid w:val="0"/>
        <w:ind w:firstLine="315" w:firstLineChars="150"/>
        <w:jc w:val="left"/>
        <w:rPr>
          <w:rFonts w:ascii="宋体" w:eastAsia="宋体" w:hAnsi="宋体" w:cs="Times New Roman" w:hint="eastAsia"/>
          <w:szCs w:val="21"/>
          <w:u w:val="single"/>
        </w:rPr>
      </w:pPr>
    </w:p>
    <w:p w:rsidR="005B6138">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rsidR="005B6138">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rsidR="005B6138">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rsidR="005B6138">
      <w:pPr>
        <w:tabs>
          <w:tab w:val="left" w:pos="1573"/>
        </w:tabs>
        <w:adjustRightInd w:val="0"/>
        <w:snapToGrid w:val="0"/>
        <w:ind w:firstLine="315" w:firstLineChars="150"/>
        <w:jc w:val="left"/>
        <w:rPr>
          <w:rFonts w:ascii="宋体" w:eastAsia="宋体" w:hAnsi="宋体" w:cs="Times New Roman" w:hint="eastAsia"/>
          <w:szCs w:val="21"/>
          <w:u w:val="single"/>
        </w:rPr>
      </w:pPr>
      <w:r>
        <w:rPr>
          <w:rFonts w:ascii="宋体" w:eastAsia="宋体" w:hAnsi="宋体" w:cs="Times New Roman" w:hint="eastAsia"/>
          <w:szCs w:val="21"/>
        </w:rPr>
        <w:t>开户银行及</w:t>
      </w:r>
      <w:r>
        <w:rPr>
          <w:rFonts w:ascii="宋体" w:eastAsia="宋体" w:hAnsi="宋体" w:cs="Times New Roman" w:hint="eastAsia"/>
          <w:szCs w:val="21"/>
        </w:rPr>
        <w:t>帐号</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5B6138">
      <w:pPr>
        <w:tabs>
          <w:tab w:val="left" w:pos="1573"/>
        </w:tabs>
        <w:adjustRightInd w:val="0"/>
        <w:snapToGrid w:val="0"/>
        <w:spacing w:line="360" w:lineRule="auto"/>
        <w:ind w:firstLine="420" w:firstLineChars="200"/>
        <w:jc w:val="left"/>
        <w:rPr>
          <w:rFonts w:ascii="Times New Roman" w:eastAsia="宋体" w:hAnsi="Times New Roman" w:cs="Times New Roman"/>
          <w:b/>
          <w:szCs w:val="21"/>
        </w:rPr>
      </w:pPr>
    </w:p>
    <w:p w:rsidR="005B6138">
      <w:pPr>
        <w:tabs>
          <w:tab w:val="left" w:pos="1573"/>
        </w:tabs>
        <w:adjustRightInd w:val="0"/>
        <w:snapToGrid w:val="0"/>
        <w:spacing w:line="360" w:lineRule="auto"/>
        <w:ind w:firstLine="420" w:firstLineChars="200"/>
        <w:jc w:val="left"/>
        <w:rPr>
          <w:rFonts w:ascii="宋体" w:eastAsia="宋体" w:hAnsi="宋体" w:cs="Times New Roman" w:hint="eastAsia"/>
          <w:b/>
          <w:szCs w:val="28"/>
        </w:rPr>
      </w:pPr>
      <w:r>
        <w:rPr>
          <w:rFonts w:ascii="Times New Roman" w:eastAsia="宋体" w:hAnsi="Times New Roman" w:cs="Times New Roman" w:hint="eastAsia"/>
          <w:b/>
          <w:szCs w:val="21"/>
        </w:rPr>
        <w:t>十一、</w:t>
      </w:r>
      <w:r>
        <w:rPr>
          <w:rFonts w:ascii="宋体" w:eastAsia="宋体" w:hAnsi="宋体" w:cs="Times New Roman" w:hint="eastAsia"/>
          <w:b/>
          <w:szCs w:val="28"/>
        </w:rPr>
        <w:t>争议的解决</w:t>
      </w:r>
    </w:p>
    <w:p w:rsidR="005B6138">
      <w:pPr>
        <w:tabs>
          <w:tab w:val="left" w:pos="1573"/>
        </w:tabs>
        <w:adjustRightInd w:val="0"/>
        <w:snapToGrid w:val="0"/>
        <w:spacing w:line="360" w:lineRule="auto"/>
        <w:ind w:firstLine="420" w:firstLineChars="200"/>
        <w:jc w:val="left"/>
        <w:rPr>
          <w:rFonts w:ascii="宋体" w:eastAsia="宋体" w:hAnsi="宋体" w:cs="Times New Roman" w:hint="eastAsia"/>
          <w:szCs w:val="28"/>
        </w:rPr>
      </w:pPr>
      <w:r>
        <w:rPr>
          <w:rFonts w:ascii="宋体" w:eastAsia="宋体" w:hAnsi="宋体" w:cs="Times New Roman" w:hint="eastAsia"/>
          <w:szCs w:val="28"/>
        </w:rPr>
        <w:t>本项目选择</w:t>
      </w:r>
      <w:r>
        <w:rPr>
          <w:rFonts w:ascii="宋体" w:eastAsia="宋体" w:hAnsi="宋体" w:cs="Times New Roman" w:hint="eastAsia"/>
          <w:b/>
          <w:szCs w:val="28"/>
        </w:rPr>
        <w:t>第二章合同条款通用部分</w:t>
      </w:r>
      <w:r>
        <w:rPr>
          <w:rFonts w:ascii="宋体" w:eastAsia="宋体" w:hAnsi="宋体" w:cs="Times New Roman" w:hint="eastAsia"/>
          <w:szCs w:val="28"/>
        </w:rPr>
        <w:t>“争议的解决”所属第</w:t>
      </w:r>
      <w:r>
        <w:rPr>
          <w:rFonts w:ascii="宋体" w:eastAsia="宋体" w:hAnsi="宋体" w:cs="Times New Roman" w:hint="eastAsia"/>
          <w:szCs w:val="28"/>
          <w:u w:val="single"/>
        </w:rPr>
        <w:t xml:space="preserve">      </w:t>
      </w:r>
      <w:r>
        <w:rPr>
          <w:rFonts w:ascii="宋体" w:eastAsia="宋体" w:hAnsi="宋体" w:cs="Times New Roman" w:hint="eastAsia"/>
          <w:szCs w:val="28"/>
        </w:rPr>
        <w:t>种方式解决。</w:t>
      </w:r>
    </w:p>
    <w:p w:rsidR="005B6138">
      <w:pPr>
        <w:tabs>
          <w:tab w:val="left" w:pos="1573"/>
        </w:tabs>
        <w:adjustRightInd w:val="0"/>
        <w:snapToGrid w:val="0"/>
        <w:spacing w:line="360" w:lineRule="auto"/>
        <w:ind w:firstLine="420" w:firstLineChars="200"/>
        <w:jc w:val="left"/>
        <w:rPr>
          <w:rFonts w:ascii="宋体" w:eastAsia="宋体" w:hAnsi="宋体" w:cs="Times New Roman" w:hint="eastAsia"/>
          <w:b/>
          <w:szCs w:val="28"/>
        </w:rPr>
      </w:pPr>
    </w:p>
    <w:p w:rsidR="005B6138">
      <w:pPr>
        <w:tabs>
          <w:tab w:val="left" w:pos="1573"/>
        </w:tabs>
        <w:adjustRightInd w:val="0"/>
        <w:snapToGrid w:val="0"/>
        <w:spacing w:line="360" w:lineRule="auto"/>
        <w:ind w:firstLine="420" w:firstLineChars="200"/>
        <w:jc w:val="left"/>
        <w:rPr>
          <w:rFonts w:ascii="宋体" w:eastAsia="宋体" w:hAnsi="宋体" w:cs="Times New Roman" w:hint="eastAsia"/>
          <w:b/>
          <w:szCs w:val="28"/>
        </w:rPr>
      </w:pPr>
      <w:r>
        <w:rPr>
          <w:rFonts w:ascii="宋体" w:eastAsia="宋体" w:hAnsi="宋体" w:cs="Times New Roman" w:hint="eastAsia"/>
          <w:b/>
          <w:szCs w:val="28"/>
        </w:rPr>
        <w:t>十二、履约保证金</w:t>
      </w:r>
    </w:p>
    <w:p w:rsidR="005B6138">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w:t>
      </w:r>
      <w:r>
        <w:rPr>
          <w:rFonts w:ascii="宋体" w:eastAsia="宋体" w:hAnsi="宋体" w:cs="Times New Roman" w:hint="eastAsia"/>
          <w:szCs w:val="21"/>
        </w:rPr>
        <w:t>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%的履约保证金。 </w:t>
      </w:r>
    </w:p>
    <w:p w:rsidR="005B6138">
      <w:pPr>
        <w:tabs>
          <w:tab w:val="left" w:pos="1573"/>
        </w:tabs>
        <w:adjustRightInd w:val="0"/>
        <w:snapToGrid w:val="0"/>
        <w:spacing w:line="360" w:lineRule="auto"/>
        <w:ind w:firstLine="412" w:firstLineChars="196"/>
        <w:jc w:val="left"/>
        <w:rPr>
          <w:rFonts w:ascii="宋体" w:eastAsia="宋体" w:hAnsi="宋体" w:cs="Times New Roman" w:hint="eastAsia"/>
          <w:b/>
          <w:szCs w:val="28"/>
        </w:rPr>
      </w:pPr>
    </w:p>
    <w:p w:rsidR="005B6138">
      <w:pPr>
        <w:snapToGrid w:val="0"/>
        <w:ind w:firstLine="309" w:firstLineChars="147"/>
        <w:rPr>
          <w:rFonts w:ascii="宋体" w:eastAsia="宋体" w:hAnsi="宋体" w:cs="Times New Roman" w:hint="eastAsia"/>
          <w:b/>
          <w:szCs w:val="21"/>
        </w:rPr>
      </w:pPr>
      <w:r>
        <w:rPr>
          <w:rFonts w:ascii="宋体" w:eastAsia="宋体" w:hAnsi="宋体" w:cs="Times New Roman" w:hint="eastAsia"/>
          <w:b/>
          <w:szCs w:val="21"/>
        </w:rPr>
        <w:t>甲方：                                   乙方：</w:t>
      </w:r>
    </w:p>
    <w:p w:rsidR="005B6138">
      <w:pPr>
        <w:snapToGrid w:val="0"/>
        <w:ind w:firstLine="309" w:firstLineChars="147"/>
        <w:rPr>
          <w:rFonts w:ascii="宋体" w:eastAsia="宋体" w:hAnsi="宋体" w:cs="Times New Roman" w:hint="eastAsia"/>
          <w:b/>
          <w:szCs w:val="21"/>
        </w:rPr>
      </w:pPr>
      <w:r>
        <w:rPr>
          <w:rFonts w:ascii="宋体" w:eastAsia="宋体" w:hAnsi="宋体" w:cs="Times New Roman" w:hint="eastAsia"/>
          <w:b/>
          <w:szCs w:val="21"/>
        </w:rPr>
        <w:t>单位名称：（公章）                        单位名称：（公章）</w:t>
      </w:r>
    </w:p>
    <w:p w:rsidR="005B6138">
      <w:pPr>
        <w:snapToGrid w:val="0"/>
        <w:ind w:firstLine="309" w:firstLineChars="147"/>
        <w:rPr>
          <w:rFonts w:ascii="宋体" w:eastAsia="宋体" w:hAnsi="宋体" w:cs="Times New Roman" w:hint="eastAsia"/>
          <w:b/>
          <w:szCs w:val="21"/>
        </w:rPr>
      </w:pPr>
      <w:r>
        <w:rPr>
          <w:rFonts w:ascii="宋体" w:eastAsia="宋体" w:hAnsi="宋体" w:cs="Times New Roman" w:hint="eastAsia"/>
          <w:b/>
          <w:szCs w:val="21"/>
        </w:rPr>
        <w:t>法定代表人：                             法定代表人：</w:t>
      </w:r>
    </w:p>
    <w:p w:rsidR="005B6138">
      <w:pPr>
        <w:snapToGrid w:val="0"/>
        <w:ind w:firstLine="309" w:firstLineChars="147"/>
        <w:rPr>
          <w:rFonts w:ascii="宋体" w:eastAsia="宋体" w:hAnsi="宋体" w:cs="Times New Roman" w:hint="eastAsia"/>
          <w:b/>
          <w:szCs w:val="21"/>
        </w:rPr>
      </w:pPr>
      <w:r>
        <w:rPr>
          <w:rFonts w:ascii="宋体" w:eastAsia="宋体" w:hAnsi="宋体" w:cs="Times New Roman" w:hint="eastAsia"/>
          <w:b/>
          <w:szCs w:val="21"/>
        </w:rPr>
        <w:t>授权代表：                               授权代表：</w:t>
      </w:r>
    </w:p>
    <w:p w:rsidR="005B6138">
      <w:pPr>
        <w:snapToGrid w:val="0"/>
        <w:ind w:firstLine="309" w:firstLineChars="147"/>
        <w:rPr>
          <w:rFonts w:ascii="宋体" w:eastAsia="宋体" w:hAnsi="宋体" w:cs="Times New Roman" w:hint="eastAsia"/>
          <w:b/>
          <w:szCs w:val="21"/>
        </w:rPr>
      </w:pPr>
      <w:r>
        <w:rPr>
          <w:rFonts w:ascii="宋体" w:eastAsia="宋体" w:hAnsi="宋体" w:cs="Times New Roman" w:hint="eastAsia"/>
          <w:b/>
          <w:szCs w:val="21"/>
        </w:rPr>
        <w:t>签约日期：                               签约日期：</w:t>
      </w:r>
    </w:p>
    <w:p w:rsidR="005B6138">
      <w:pPr>
        <w:widowControl/>
        <w:jc w:val="left"/>
        <w:rPr>
          <w:rFonts w:ascii="宋体" w:eastAsia="宋体" w:hAnsi="宋体" w:cs="Times New Roman" w:hint="eastAsia"/>
          <w:b/>
          <w:szCs w:val="21"/>
        </w:rPr>
      </w:pPr>
      <w:r>
        <w:rPr>
          <w:rFonts w:ascii="宋体" w:eastAsia="宋体" w:hAnsi="宋体" w:cs="Times New Roman"/>
          <w:b/>
          <w:szCs w:val="21"/>
        </w:rPr>
        <w:br w:type="page"/>
      </w:r>
    </w:p>
    <w:p w:rsidR="005B6138">
      <w:pPr>
        <w:spacing w:line="360" w:lineRule="auto"/>
        <w:jc w:val="left"/>
        <w:rPr>
          <w:rFonts w:ascii="Times New Roman" w:eastAsia="宋体" w:hAnsi="Times New Roman" w:cs="Times New Roman"/>
          <w:b/>
          <w:bCs/>
          <w:sz w:val="44"/>
          <w:szCs w:val="44"/>
        </w:rPr>
      </w:pPr>
    </w:p>
    <w:p w:rsidR="005B6138">
      <w:pPr>
        <w:tabs>
          <w:tab w:val="left" w:pos="1573"/>
        </w:tabs>
        <w:adjustRightInd w:val="0"/>
        <w:snapToGrid w:val="0"/>
        <w:spacing w:line="360" w:lineRule="auto"/>
        <w:ind w:left="708" w:hanging="708"/>
        <w:jc w:val="center"/>
        <w:outlineLvl w:val="1"/>
        <w:rPr>
          <w:rFonts w:ascii="宋体" w:eastAsia="宋体" w:hAnsi="宋体" w:cs="Times New Roman" w:hint="eastAsia"/>
          <w:b/>
          <w:sz w:val="30"/>
          <w:szCs w:val="30"/>
        </w:rPr>
      </w:pPr>
      <w:r>
        <w:rPr>
          <w:rFonts w:ascii="宋体" w:eastAsia="宋体" w:hAnsi="宋体" w:cs="Times New Roman" w:hint="eastAsia"/>
          <w:b/>
          <w:sz w:val="30"/>
          <w:szCs w:val="30"/>
        </w:rPr>
        <w:t>第二部分  合同通用部分</w:t>
      </w:r>
    </w:p>
    <w:p w:rsidR="005B6138">
      <w:pPr>
        <w:tabs>
          <w:tab w:val="left" w:pos="1573"/>
        </w:tabs>
        <w:snapToGrid w:val="0"/>
        <w:spacing w:line="360" w:lineRule="auto"/>
        <w:jc w:val="center"/>
        <w:rPr>
          <w:rFonts w:ascii="宋体" w:eastAsia="宋体" w:hAnsi="宋体" w:cs="Times New Roman" w:hint="eastAsia"/>
          <w:szCs w:val="21"/>
        </w:rPr>
      </w:pPr>
    </w:p>
    <w:p w:rsidR="005B6138">
      <w:pPr>
        <w:tabs>
          <w:tab w:val="left" w:pos="1573"/>
        </w:tabs>
        <w:adjustRightInd w:val="0"/>
        <w:snapToGrid w:val="0"/>
        <w:spacing w:line="360" w:lineRule="auto"/>
        <w:ind w:firstLine="420"/>
        <w:rPr>
          <w:rFonts w:ascii="宋体" w:eastAsia="宋体" w:hAnsi="宋体" w:cs="Times New Roman" w:hint="eastAsia"/>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rsidR="005B6138">
      <w:pPr>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rsidR="005B6138">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中标通知书</w:t>
      </w:r>
    </w:p>
    <w:p w:rsidR="005B6138">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开标一览表及投标分项报价表</w:t>
      </w:r>
    </w:p>
    <w:p w:rsidR="005B6138">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商务和技术偏离表</w:t>
      </w:r>
    </w:p>
    <w:p w:rsidR="005B6138">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合同条款专用部分</w:t>
      </w:r>
    </w:p>
    <w:p w:rsidR="005B6138">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合同条款通用部分</w:t>
      </w:r>
    </w:p>
    <w:p w:rsidR="005B6138">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采购需求</w:t>
      </w:r>
    </w:p>
    <w:p w:rsidR="005B6138">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双方有关服务的洽商、变更等书面协议或文件</w:t>
      </w:r>
    </w:p>
    <w:p w:rsidR="005B6138">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投标文件、招标文件除以上的其他部分</w:t>
      </w:r>
    </w:p>
    <w:p w:rsidR="005B6138">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其他合同文本</w:t>
      </w:r>
    </w:p>
    <w:p w:rsidR="005B6138">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一、定义</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w:t>
      </w:r>
      <w:r>
        <w:rPr>
          <w:rFonts w:ascii="宋体" w:eastAsia="宋体" w:hAnsi="宋体" w:cs="Times New Roman" w:hint="eastAsia"/>
          <w:szCs w:val="21"/>
        </w:rPr>
        <w:t>依如下</w:t>
      </w:r>
      <w:r>
        <w:rPr>
          <w:rFonts w:ascii="宋体" w:eastAsia="宋体" w:hAnsi="宋体" w:cs="Times New Roman" w:hint="eastAsia"/>
          <w:szCs w:val="21"/>
        </w:rPr>
        <w:t>定义进行解释：</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3、“附件”是指与本合同的订立、履行有关的，经甲乙双方认可的，对本合同约定的内容进行细化、补充、修改、变更的文件、图纸、音像制品等资料。</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4、“合同服务”指合同服务清单（同投标文件中分项报价表，下同）中所规定的服务内容、设备和软件购置等内容。</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5、“验收证书”指验收完成后由合同双方签署的最终验收确认书。</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6、“保修期”指自验收证书甲方签署之日起，乙方免费对所提供给甲方服务内容进行技术支持、现场服务、升级服务等，并自</w:t>
      </w:r>
      <w:r>
        <w:rPr>
          <w:rFonts w:ascii="宋体" w:eastAsia="宋体" w:hAnsi="宋体" w:cs="Times New Roman" w:hint="eastAsia"/>
          <w:szCs w:val="21"/>
        </w:rPr>
        <w:t>担费用</w:t>
      </w:r>
      <w:r>
        <w:rPr>
          <w:rFonts w:ascii="宋体" w:eastAsia="宋体" w:hAnsi="宋体" w:cs="Times New Roman" w:hint="eastAsia"/>
          <w:szCs w:val="21"/>
        </w:rPr>
        <w:t>方式保证合同服务正常运行的时期。</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7、“第三人”是指本合同双方以外的任何中国境内、外的自然人、法人或其他经济组织。</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8、“法律、法规”是指由中国有关部门制定的法律、行政法规、地方性法规、规章及其他规</w:t>
      </w:r>
      <w:r>
        <w:rPr>
          <w:rFonts w:ascii="宋体" w:eastAsia="宋体" w:hAnsi="宋体" w:cs="Times New Roman" w:hint="eastAsia"/>
          <w:szCs w:val="21"/>
        </w:rPr>
        <w:t>范性文件以及经全国人民代表大会常务委员会批准的中国缔结、参加的国际条（公）约的有关规定。</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9、“招标文件”指采购中心发布的本项目招标文件。</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10、“投标文件”指乙方按照采购中心发布的本项目招标文件的要求编制和投递，并最终被采购中心接受的投标文件。</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11、“合同标的”指甲方同意从乙方购买，乙方同意向甲方提供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rsidR="005B6138">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二、合同标的</w:t>
      </w:r>
    </w:p>
    <w:p w:rsidR="005B6138">
      <w:pPr>
        <w:numPr>
          <w:ilvl w:val="6"/>
          <w:numId w:val="0"/>
        </w:num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w:t>
      </w:r>
    </w:p>
    <w:p w:rsidR="005B6138">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三、合同价格</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2、本合同价格包括服务产品金额，是在项目交付前、交付时所发生或引起的本合同相关的全部成本、费用等，且为完税后价格。</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3、合同服务产品详细目录及价格</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服务产品清单（同投标文件中服务产品清单）</w:t>
      </w:r>
      <w:r>
        <w:rPr>
          <w:rFonts w:ascii="宋体" w:eastAsia="宋体" w:hAnsi="宋体" w:cs="Times New Roman" w:hint="eastAsia"/>
          <w:szCs w:val="21"/>
        </w:rPr>
        <w:t>。</w:t>
      </w:r>
    </w:p>
    <w:p w:rsidR="005B6138">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四、支付和结算方式</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1、双方因本合同发生的一切费用均以人民币结算及支付。</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2、双方的</w:t>
      </w:r>
      <w:r>
        <w:rPr>
          <w:rFonts w:ascii="宋体" w:eastAsia="宋体" w:hAnsi="宋体" w:cs="Times New Roman" w:hint="eastAsia"/>
          <w:szCs w:val="21"/>
        </w:rPr>
        <w:t>帐户</w:t>
      </w:r>
      <w:r>
        <w:rPr>
          <w:rFonts w:ascii="宋体" w:eastAsia="宋体" w:hAnsi="宋体" w:cs="Times New Roman" w:hint="eastAsia"/>
          <w:szCs w:val="21"/>
        </w:rPr>
        <w:t>名称、开户银行及</w:t>
      </w:r>
      <w:r>
        <w:rPr>
          <w:rFonts w:ascii="宋体" w:eastAsia="宋体" w:hAnsi="宋体" w:cs="Times New Roman" w:hint="eastAsia"/>
          <w:szCs w:val="21"/>
        </w:rPr>
        <w:t>帐号</w:t>
      </w:r>
      <w:r>
        <w:rPr>
          <w:rFonts w:ascii="宋体" w:eastAsia="宋体" w:hAnsi="宋体" w:cs="Times New Roman" w:hint="eastAsia"/>
          <w:szCs w:val="21"/>
        </w:rPr>
        <w:t>以本合同提供的为准。</w:t>
      </w:r>
    </w:p>
    <w:p w:rsidR="005B6138">
      <w:pPr>
        <w:tabs>
          <w:tab w:val="left" w:pos="1573"/>
        </w:tabs>
        <w:adjustRightInd w:val="0"/>
        <w:snapToGrid w:val="0"/>
        <w:spacing w:line="360" w:lineRule="auto"/>
        <w:ind w:firstLine="420" w:firstLineChars="200"/>
        <w:rPr>
          <w:rFonts w:ascii="Times New Roman" w:eastAsia="宋体" w:hAnsi="宋体" w:cs="Times New Roman" w:hint="eastAsia"/>
          <w:kern w:val="0"/>
          <w:szCs w:val="21"/>
        </w:rPr>
      </w:pPr>
      <w:r>
        <w:rPr>
          <w:rFonts w:ascii="宋体" w:eastAsia="宋体" w:hAnsi="宋体" w:cs="Times New Roman" w:hint="eastAsia"/>
          <w:szCs w:val="21"/>
        </w:rPr>
        <w:t>3、付款方式：</w:t>
      </w:r>
      <w:r>
        <w:rPr>
          <w:rFonts w:ascii="Times New Roman" w:eastAsia="宋体" w:hAnsi="宋体" w:cs="Times New Roman" w:hint="eastAsia"/>
          <w:kern w:val="0"/>
          <w:szCs w:val="21"/>
        </w:rPr>
        <w:t xml:space="preserve"> </w:t>
      </w:r>
    </w:p>
    <w:p w:rsidR="005B6138">
      <w:pPr>
        <w:tabs>
          <w:tab w:val="left" w:pos="1573"/>
        </w:tabs>
        <w:adjustRightInd w:val="0"/>
        <w:snapToGrid w:val="0"/>
        <w:spacing w:line="360" w:lineRule="auto"/>
        <w:ind w:firstLine="420" w:firstLineChars="200"/>
        <w:rPr>
          <w:rFonts w:ascii="Times New Roman" w:eastAsia="宋体" w:hAnsi="宋体" w:cs="Times New Roman" w:hint="eastAsia"/>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1</w:t>
      </w:r>
      <w:r>
        <w:rPr>
          <w:rFonts w:ascii="Times New Roman" w:eastAsia="宋体" w:hAnsi="宋体" w:cs="Times New Roman" w:hint="eastAsia"/>
          <w:kern w:val="0"/>
          <w:szCs w:val="20"/>
        </w:rPr>
        <w:t>）合同生效后付款：双方签署合同后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w:t>
      </w:r>
      <w:r>
        <w:rPr>
          <w:rFonts w:ascii="黑体" w:eastAsia="黑体" w:hAnsi="黑体" w:cs="Times New Roman" w:hint="eastAsia"/>
          <w:b/>
          <w:bCs/>
          <w:szCs w:val="20"/>
        </w:rPr>
        <w:t>条款专用部分</w:t>
      </w:r>
      <w:r>
        <w:rPr>
          <w:rFonts w:ascii="Times New Roman" w:eastAsia="宋体" w:hAnsi="宋体" w:cs="Times New Roman" w:hint="eastAsia"/>
          <w:kern w:val="0"/>
          <w:szCs w:val="20"/>
        </w:rPr>
        <w:t>；</w:t>
      </w:r>
    </w:p>
    <w:p w:rsidR="005B6138">
      <w:pPr>
        <w:tabs>
          <w:tab w:val="left" w:pos="1573"/>
        </w:tabs>
        <w:adjustRightInd w:val="0"/>
        <w:snapToGrid w:val="0"/>
        <w:spacing w:line="360" w:lineRule="auto"/>
        <w:ind w:firstLine="420" w:firstLineChars="200"/>
        <w:rPr>
          <w:rFonts w:ascii="Times New Roman" w:eastAsia="宋体" w:hAnsi="宋体" w:cs="Times New Roman" w:hint="eastAsia"/>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2</w:t>
      </w:r>
      <w:r>
        <w:rPr>
          <w:rFonts w:ascii="Times New Roman" w:eastAsia="宋体" w:hAnsi="宋体" w:cs="Times New Roman" w:hint="eastAsia"/>
          <w:kern w:val="0"/>
          <w:szCs w:val="20"/>
        </w:rPr>
        <w:t>）签署验收报后付款：合同服务安装、调试到位、试运行完成，经甲方核对无误、检验合格，双方签署验收报告后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w:t>
      </w:r>
      <w:r>
        <w:rPr>
          <w:rFonts w:ascii="黑体" w:eastAsia="黑体" w:hAnsi="黑体" w:cs="Times New Roman" w:hint="eastAsia"/>
          <w:b/>
          <w:bCs/>
          <w:szCs w:val="20"/>
        </w:rPr>
        <w:t>条款专用部分</w:t>
      </w:r>
      <w:r>
        <w:rPr>
          <w:rFonts w:ascii="Times New Roman" w:eastAsia="宋体" w:hAnsi="宋体" w:cs="Times New Roman" w:hint="eastAsia"/>
          <w:kern w:val="0"/>
          <w:szCs w:val="20"/>
        </w:rPr>
        <w:t>；</w:t>
      </w:r>
      <w:r>
        <w:rPr>
          <w:rFonts w:ascii="Times New Roman" w:eastAsia="宋体" w:hAnsi="宋体" w:cs="Times New Roman" w:hint="eastAsia"/>
          <w:kern w:val="0"/>
          <w:szCs w:val="20"/>
        </w:rPr>
        <w:t xml:space="preserve"> </w:t>
      </w:r>
    </w:p>
    <w:p w:rsidR="005B6138">
      <w:pPr>
        <w:tabs>
          <w:tab w:val="left" w:pos="1573"/>
        </w:tabs>
        <w:adjustRightInd w:val="0"/>
        <w:snapToGrid w:val="0"/>
        <w:spacing w:line="360" w:lineRule="auto"/>
        <w:ind w:firstLine="420" w:firstLineChars="200"/>
        <w:rPr>
          <w:rFonts w:ascii="宋体" w:eastAsia="宋体" w:hAnsi="宋体" w:cs="Times New Roman" w:hint="eastAsia"/>
          <w:kern w:val="0"/>
          <w:szCs w:val="20"/>
        </w:rPr>
      </w:pPr>
      <w:r>
        <w:rPr>
          <w:rFonts w:ascii="宋体" w:eastAsia="宋体" w:hAnsi="宋体" w:cs="Times New Roman" w:hint="eastAsia"/>
          <w:kern w:val="0"/>
          <w:szCs w:val="20"/>
        </w:rPr>
        <w:t>（3）保修期满后付款：合同服务的保修期（合同服务的保修期</w:t>
      </w:r>
      <w:r>
        <w:rPr>
          <w:rFonts w:ascii="宋体" w:eastAsia="宋体" w:hAnsi="宋体" w:cs="Times New Roman" w:hint="eastAsia"/>
          <w:kern w:val="0"/>
          <w:szCs w:val="20"/>
        </w:rPr>
        <w:t>自全部</w:t>
      </w:r>
      <w:r>
        <w:rPr>
          <w:rFonts w:ascii="宋体" w:eastAsia="宋体" w:hAnsi="宋体" w:cs="Times New Roman" w:hint="eastAsia"/>
          <w:kern w:val="0"/>
          <w:szCs w:val="20"/>
        </w:rPr>
        <w:t>服务验收合格，双方签署验收证书之日起算）期满后7个工作日内，甲方向乙方支付合同余款，支付比例、金额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kern w:val="0"/>
          <w:szCs w:val="20"/>
        </w:rPr>
        <w:t>，作为本合同最终结款。</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4、乙方在收到甲方每一笔付款的同时，应向甲方开具相应金额的商业发票。</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rsidR="005B6138">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五、资料的使用</w:t>
      </w:r>
    </w:p>
    <w:p w:rsidR="005B6138">
      <w:pPr>
        <w:adjustRightInd w:val="0"/>
        <w:snapToGrid w:val="0"/>
        <w:spacing w:line="360" w:lineRule="auto"/>
        <w:ind w:left="105" w:firstLine="315" w:leftChars="50" w:firstLineChars="150"/>
        <w:rPr>
          <w:rFonts w:ascii="宋体" w:eastAsia="宋体" w:hAnsi="宋体" w:cs="Times New Roman" w:hint="eastAsia"/>
          <w:szCs w:val="21"/>
        </w:rPr>
      </w:pPr>
      <w:r>
        <w:rPr>
          <w:rFonts w:ascii="宋体" w:eastAsia="宋体" w:hAnsi="宋体" w:cs="Times New Roman" w:hint="eastAsia"/>
          <w:szCs w:val="21"/>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2、没有甲方事先书面同意，除了履行本合同之外，乙方不应使用甲方提供的任何文件和资料。</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3、没有甲方事先书面同意，乙方不得泄露与本项目有关的任何资料、数据及其它信息。</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4、除了合同本身以外，甲方提供给乙方的任何文件是甲方的财产。如果甲方有要求，乙方在完成合同后应将这些文件(全部拷贝)还给甲方。</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甲方提供该乙方履行合同所需的资料清单</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p>
    <w:p w:rsidR="005B6138">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六、知识产权</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1、在本协议生效日前业已存在的版权及其他知识产权应属于本协议生效前既拥有该等权利的一方。</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2、任何一方均不可凭借本协议取得另一方此前所已经拥有且根据本合同不应被合理的推论为其已经同意转移的版权、专利、商业秘密、商标或其他知识产权的所有权。</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3、符合法律规定及当事人约定的原则：任何相关事项均应当符合法律规定，及应当符合当事人约定。</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6、甲方将拥有其在本协议项下所从事的所有工作（包括各类纸质文档，电子文档及其他可交付物）中所包含的或与之相关的全部版权、专利、商业秘密、商标和其他知识产权以及所有权和其他权益。</w:t>
      </w:r>
    </w:p>
    <w:p w:rsidR="005B6138">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七、进度要求</w:t>
      </w:r>
    </w:p>
    <w:p w:rsidR="005B6138">
      <w:pPr>
        <w:numPr>
          <w:ilvl w:val="6"/>
          <w:numId w:val="0"/>
        </w:numPr>
        <w:adjustRightInd w:val="0"/>
        <w:snapToGrid w:val="0"/>
        <w:spacing w:line="360" w:lineRule="auto"/>
        <w:ind w:firstLine="420" w:firstLineChars="200"/>
        <w:rPr>
          <w:rFonts w:ascii="宋体" w:eastAsia="宋体" w:hAnsi="宋体" w:cs="Times New Roman" w:hint="eastAsia"/>
          <w:b/>
          <w:szCs w:val="21"/>
        </w:rPr>
      </w:pPr>
      <w:r>
        <w:rPr>
          <w:rFonts w:ascii="宋体" w:eastAsia="宋体" w:hAnsi="宋体" w:cs="Times New Roman" w:hint="eastAsia"/>
          <w:b/>
          <w:szCs w:val="21"/>
        </w:rPr>
        <w:t>见</w:t>
      </w:r>
      <w:r>
        <w:rPr>
          <w:rFonts w:ascii="黑体" w:eastAsia="黑体" w:hAnsi="黑体" w:cs="Times New Roman" w:hint="eastAsia"/>
          <w:b/>
          <w:bCs/>
          <w:szCs w:val="20"/>
        </w:rPr>
        <w:t>合同</w:t>
      </w:r>
      <w:r>
        <w:rPr>
          <w:rFonts w:ascii="黑体" w:eastAsia="黑体" w:hAnsi="黑体" w:cs="Times New Roman" w:hint="eastAsia"/>
          <w:b/>
          <w:bCs/>
          <w:szCs w:val="20"/>
        </w:rPr>
        <w:t>条款专用部分</w:t>
      </w:r>
      <w:r>
        <w:rPr>
          <w:rFonts w:ascii="宋体" w:eastAsia="宋体" w:hAnsi="宋体" w:cs="Times New Roman" w:hint="eastAsia"/>
          <w:b/>
          <w:szCs w:val="21"/>
        </w:rPr>
        <w:t>。</w:t>
      </w:r>
    </w:p>
    <w:p w:rsidR="005B6138">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八、技术服务和保修责任</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关于本条的特别说明：本条中的服务时间，</w:t>
      </w:r>
      <w:r>
        <w:rPr>
          <w:rFonts w:ascii="宋体" w:eastAsia="宋体" w:hAnsi="宋体" w:cs="Times New Roman" w:hint="eastAsia"/>
          <w:szCs w:val="21"/>
        </w:rPr>
        <w:t>即相关</w:t>
      </w:r>
      <w:r>
        <w:rPr>
          <w:rFonts w:ascii="宋体" w:eastAsia="宋体" w:hAnsi="宋体" w:cs="Times New Roman" w:hint="eastAsia"/>
          <w:szCs w:val="21"/>
        </w:rPr>
        <w:t>的服务到达现场或完成维修工作所需的时间：小时、天数等，招标文件或有关保修服务的其它文件中有规定的，遵从其规定；若无相关文</w:t>
      </w:r>
      <w:r>
        <w:rPr>
          <w:rFonts w:ascii="宋体" w:eastAsia="宋体" w:hAnsi="宋体" w:cs="Times New Roman" w:hint="eastAsia"/>
          <w:szCs w:val="21"/>
        </w:rPr>
        <w:t>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1、乙方对合同服务的质量保修期</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。乙方应保证所提供的产品、服务，符合合同规定的技术要求。如不符时，乙方应负全责并尽快处理解决，由此造成的损失和相关费用由乙方负责，甲方保留终止合同及索赔的权利。</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2、乙方应保证通过执行合同中全部方案后，可以取得本合同规定的结果，达到本合同规定的预期目标。对任何情况下出现问题的，应尽快提出解决方案。</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3、如果乙方提供的产品、服务和解决方案不符合甲方要求，或在规定的时间内没有弥补缺陷，甲方有权采取一切必要的补救措施，由此产生的费用全部由乙方负责。</w:t>
      </w:r>
    </w:p>
    <w:p w:rsidR="005B6138">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九、履约保证金</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）内，以信汇、电汇或履约保函形式向甲方提供履约保证金，保证金金额：</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2、如果中标人没有按照上述规定执行，甲方将有充分理由取消该中标决定，并不</w:t>
      </w:r>
      <w:r>
        <w:rPr>
          <w:rFonts w:ascii="宋体" w:eastAsia="宋体" w:hAnsi="宋体" w:cs="Times New Roman" w:hint="eastAsia"/>
          <w:szCs w:val="21"/>
        </w:rPr>
        <w:t>予退</w:t>
      </w:r>
      <w:r>
        <w:rPr>
          <w:rFonts w:ascii="宋体" w:eastAsia="宋体" w:hAnsi="宋体" w:cs="Times New Roman" w:hint="eastAsia"/>
          <w:szCs w:val="21"/>
        </w:rPr>
        <w:t>还其投标保证金。在此情况下甲方可将合同授予排名第二的中标候选人，或重新招标。</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3、如果中标人在与甲方</w:t>
      </w:r>
      <w:r>
        <w:rPr>
          <w:rFonts w:ascii="宋体" w:eastAsia="宋体" w:hAnsi="宋体" w:cs="Times New Roman" w:hint="eastAsia"/>
          <w:szCs w:val="21"/>
        </w:rPr>
        <w:t>签定</w:t>
      </w:r>
      <w:r>
        <w:rPr>
          <w:rFonts w:ascii="宋体" w:eastAsia="宋体" w:hAnsi="宋体" w:cs="Times New Roman" w:hint="eastAsia"/>
          <w:szCs w:val="21"/>
        </w:rPr>
        <w:t>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w:t>
      </w:r>
      <w:r>
        <w:rPr>
          <w:rFonts w:ascii="宋体" w:eastAsia="宋体" w:hAnsi="宋体" w:cs="Times New Roman" w:hint="eastAsia"/>
          <w:szCs w:val="21"/>
        </w:rPr>
        <w:t>予退</w:t>
      </w:r>
      <w:r>
        <w:rPr>
          <w:rFonts w:ascii="宋体" w:eastAsia="宋体" w:hAnsi="宋体" w:cs="Times New Roman" w:hint="eastAsia"/>
          <w:szCs w:val="21"/>
        </w:rPr>
        <w:t>还其履约保证金。</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4、中标人的履约保证金将在合同</w:t>
      </w:r>
      <w:r>
        <w:rPr>
          <w:rFonts w:ascii="宋体" w:eastAsia="宋体" w:hAnsi="宋体" w:cs="Times New Roman" w:hint="eastAsia"/>
          <w:szCs w:val="21"/>
        </w:rPr>
        <w:t>服务试经甲方</w:t>
      </w:r>
      <w:r>
        <w:rPr>
          <w:rFonts w:ascii="宋体" w:eastAsia="宋体" w:hAnsi="宋体" w:cs="Times New Roman" w:hint="eastAsia"/>
          <w:szCs w:val="21"/>
        </w:rPr>
        <w:t>终验合格，履行</w:t>
      </w:r>
      <w:r>
        <w:rPr>
          <w:rFonts w:ascii="宋体" w:eastAsia="宋体" w:hAnsi="宋体" w:cs="Times New Roman" w:hint="eastAsia"/>
          <w:szCs w:val="21"/>
        </w:rPr>
        <w:t>完必要</w:t>
      </w:r>
      <w:r>
        <w:rPr>
          <w:rFonts w:ascii="宋体" w:eastAsia="宋体" w:hAnsi="宋体" w:cs="Times New Roman" w:hint="eastAsia"/>
          <w:szCs w:val="21"/>
        </w:rPr>
        <w:t>的审批手续后30日内退还中标人。</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5、如乙方未能完全履行合同规定的义务，甲方有权从履约保证金中得到补偿。</w:t>
      </w:r>
    </w:p>
    <w:p w:rsidR="005B6138">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十、审计及检查</w:t>
      </w:r>
    </w:p>
    <w:p w:rsidR="005B6138">
      <w:pPr>
        <w:tabs>
          <w:tab w:val="left" w:pos="360"/>
          <w:tab w:val="left" w:pos="1573"/>
        </w:tabs>
        <w:adjustRightInd w:val="0"/>
        <w:snapToGrid w:val="0"/>
        <w:spacing w:line="360" w:lineRule="auto"/>
        <w:ind w:firstLine="420" w:firstLineChars="200"/>
        <w:rPr>
          <w:rFonts w:ascii="宋体" w:eastAsia="宋体" w:hAnsi="宋体" w:cs="Times New Roman" w:hint="eastAsia"/>
          <w:bCs/>
          <w:szCs w:val="21"/>
        </w:rPr>
      </w:pPr>
      <w:r>
        <w:rPr>
          <w:rFonts w:ascii="宋体" w:eastAsia="宋体" w:hAnsi="宋体" w:cs="Times New Roman" w:hint="eastAsia"/>
          <w:bCs/>
          <w:szCs w:val="21"/>
        </w:rPr>
        <w:t>如果采购人要求，中标人应允许采购人检查中标人与实施本合同有关的资金、</w:t>
      </w:r>
      <w:r>
        <w:rPr>
          <w:rFonts w:ascii="宋体" w:eastAsia="宋体" w:hAnsi="宋体" w:cs="Times New Roman" w:hint="eastAsia"/>
          <w:bCs/>
          <w:szCs w:val="21"/>
        </w:rPr>
        <w:t>帐户</w:t>
      </w:r>
      <w:r>
        <w:rPr>
          <w:rFonts w:ascii="宋体" w:eastAsia="宋体" w:hAnsi="宋体" w:cs="Times New Roman" w:hint="eastAsia"/>
          <w:bCs/>
          <w:szCs w:val="21"/>
        </w:rPr>
        <w:t>和记录，并由采购人指定的审计人员对其进行审计。</w:t>
      </w:r>
    </w:p>
    <w:p w:rsidR="005B6138">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十一、违约责任</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对本合同的任何违反均构成违约。当一方认为对方的违约属于严重违约时，若按照相关法律规定或按照通常的理解或认识，确属对合同的履行有重大影响，则应当被认为属于严重违约。若双方对某一违约是否属于严重</w:t>
      </w:r>
      <w:r>
        <w:rPr>
          <w:rFonts w:ascii="宋体" w:eastAsia="宋体" w:hAnsi="宋体" w:cs="Times New Roman" w:hint="eastAsia"/>
          <w:szCs w:val="21"/>
        </w:rPr>
        <w:t>违约仍</w:t>
      </w:r>
      <w:r>
        <w:rPr>
          <w:rFonts w:ascii="宋体" w:eastAsia="宋体" w:hAnsi="宋体" w:cs="Times New Roman" w:hint="eastAsia"/>
          <w:szCs w:val="21"/>
        </w:rPr>
        <w:t>有争议，可以由争议解决机构裁决认定。</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2、若乙方未如期按照合同约定的</w:t>
      </w:r>
      <w:r>
        <w:rPr>
          <w:rFonts w:ascii="宋体" w:eastAsia="宋体" w:hAnsi="宋体" w:cs="Times New Roman" w:hint="eastAsia"/>
          <w:szCs w:val="21"/>
        </w:rPr>
        <w:t>任何或</w:t>
      </w:r>
      <w:r>
        <w:rPr>
          <w:rFonts w:ascii="宋体" w:eastAsia="宋体" w:hAnsi="宋体" w:cs="Times New Roman" w:hint="eastAsia"/>
          <w:szCs w:val="21"/>
        </w:rPr>
        <w:t>全部款项内容之要求交付合同服务产品，或乙方未能履行合同规定的任何其它义务时，甲方有权直接向乙方发出违约通知书，乙方应按照甲方选择的下列一种或多种方式承担赔偿责任及违约责任：</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（1）在甲方同意延长的期限内交付服务产品并承担由此给甲方造成的直接损失及甲方因此产生的对第三方的责任。</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（2）甲方有权部分或全部解除合同并要求乙方赔偿由此造成的损失及甲方因此产生的对第三方的责任。此时甲方可采取必要的补救措施，相关费用由乙方承担。</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（3）上述情形下甲方为采取必要的补救措施或因防止损失扩大而支出的合理费用应由乙方承担。</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 xml:space="preserve">5、其它违约责任 </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（1）如任何一方无故解除合同或有违反本合同规定的任何情形均属于违约行为，违约方应就每一单项违约向对方支付合同总金额一定比例的违约金，具体比例</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（2）如乙方在合同规定的交付日期后10天内仍未能交付，则视为乙方不能交付，甲方有权解除合同，乙方若已经收取了甲方的定金则同时还应双倍返还已收取的定金。</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6、乙方违反规定，有下列行为之一的，甲方有权对因此造成的损失追究责任；构成犯罪的，由司法机关追究其刑事责任：</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1）擅自向第三方提供或者转让项目资料的；</w:t>
      </w:r>
    </w:p>
    <w:p w:rsidR="005B6138">
      <w:pPr>
        <w:adjustRightInd w:val="0"/>
        <w:snapToGrid w:val="0"/>
        <w:spacing w:line="360" w:lineRule="auto"/>
        <w:ind w:left="200" w:firstLine="200" w:leftChars="95" w:firstLineChars="95"/>
        <w:rPr>
          <w:rFonts w:ascii="宋体" w:eastAsia="宋体" w:hAnsi="宋体" w:cs="Times New Roman" w:hint="eastAsia"/>
          <w:szCs w:val="21"/>
        </w:rPr>
      </w:pPr>
      <w:r>
        <w:rPr>
          <w:rFonts w:ascii="宋体" w:eastAsia="宋体" w:hAnsi="宋体" w:cs="Times New Roman" w:hint="eastAsia"/>
          <w:szCs w:val="21"/>
        </w:rPr>
        <w:t>2）未经甲方许可使用项目资料的；</w:t>
      </w:r>
    </w:p>
    <w:p w:rsidR="005B6138">
      <w:pPr>
        <w:adjustRightInd w:val="0"/>
        <w:snapToGrid w:val="0"/>
        <w:spacing w:line="360" w:lineRule="auto"/>
        <w:ind w:left="200" w:firstLine="200" w:leftChars="95" w:firstLineChars="95"/>
        <w:rPr>
          <w:rFonts w:ascii="宋体" w:eastAsia="宋体" w:hAnsi="宋体" w:cs="Times New Roman" w:hint="eastAsia"/>
          <w:szCs w:val="21"/>
        </w:rPr>
      </w:pPr>
      <w:r>
        <w:rPr>
          <w:rFonts w:ascii="宋体" w:eastAsia="宋体" w:hAnsi="宋体" w:cs="Times New Roman" w:hint="eastAsia"/>
          <w:szCs w:val="21"/>
        </w:rPr>
        <w:t>3）项目完成后，乙方未经甲方许可保留项目资料的；</w:t>
      </w:r>
    </w:p>
    <w:p w:rsidR="005B6138">
      <w:pPr>
        <w:adjustRightInd w:val="0"/>
        <w:snapToGrid w:val="0"/>
        <w:spacing w:line="360" w:lineRule="auto"/>
        <w:ind w:left="200" w:firstLine="200" w:leftChars="95" w:firstLineChars="95"/>
        <w:rPr>
          <w:rFonts w:ascii="宋体" w:eastAsia="宋体" w:hAnsi="宋体" w:cs="Times New Roman" w:hint="eastAsia"/>
          <w:szCs w:val="21"/>
        </w:rPr>
      </w:pPr>
      <w:r>
        <w:rPr>
          <w:rFonts w:ascii="宋体" w:eastAsia="宋体" w:hAnsi="宋体" w:cs="Times New Roman" w:hint="eastAsia"/>
          <w:szCs w:val="21"/>
        </w:rPr>
        <w:t>4）对项目资料保管不当，造成数据全部或者部分丢失、被窃的。</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7、乙方在进行项目时违反有关保密规定的，依照《中华人民共和国保密法》等有关法律法规的规定处理。</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w:t>
      </w:r>
      <w:r>
        <w:rPr>
          <w:rFonts w:ascii="宋体" w:eastAsia="宋体" w:hAnsi="宋体" w:cs="Times New Roman" w:hint="eastAsia"/>
          <w:szCs w:val="21"/>
        </w:rPr>
        <w:t>当构成</w:t>
      </w:r>
      <w:r>
        <w:rPr>
          <w:rFonts w:ascii="宋体" w:eastAsia="宋体" w:hAnsi="宋体" w:cs="Times New Roman" w:hint="eastAsia"/>
          <w:szCs w:val="21"/>
        </w:rPr>
        <w:t>严重违约时，对方可以单方面决定解除或终止合同履行，违约方同时还应当承担违约或赔偿责任。</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9、以上各项交付的违约金并不影响违约方履行合同的各项义务。</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w:t>
      </w:r>
      <w:r>
        <w:rPr>
          <w:rFonts w:ascii="宋体" w:eastAsia="宋体" w:hAnsi="宋体" w:cs="Times New Roman" w:hint="eastAsia"/>
          <w:szCs w:val="21"/>
        </w:rPr>
        <w:t>均并不</w:t>
      </w:r>
      <w:r>
        <w:rPr>
          <w:rFonts w:ascii="宋体" w:eastAsia="宋体" w:hAnsi="宋体" w:cs="Times New Roman" w:hint="eastAsia"/>
          <w:szCs w:val="21"/>
        </w:rPr>
        <w:t>因此被减免。</w:t>
      </w:r>
    </w:p>
    <w:p w:rsidR="005B6138">
      <w:pPr>
        <w:adjustRightInd w:val="0"/>
        <w:snapToGrid w:val="0"/>
        <w:spacing w:line="360" w:lineRule="auto"/>
        <w:ind w:firstLine="315" w:firstLineChars="150"/>
        <w:rPr>
          <w:rFonts w:ascii="宋体" w:eastAsia="宋体" w:hAnsi="宋体" w:cs="Times New Roman" w:hint="eastAsia"/>
          <w:b/>
          <w:szCs w:val="21"/>
        </w:rPr>
      </w:pPr>
      <w:r>
        <w:rPr>
          <w:rFonts w:ascii="宋体" w:eastAsia="宋体" w:hAnsi="宋体" w:cs="Times New Roman" w:hint="eastAsia"/>
          <w:szCs w:val="21"/>
        </w:rPr>
        <w:t>11、本次采购的合同项下的任何合同、文件等均应当符合有关环保、知识产权及其他法律法规的规定，包括童工禁用、劳动保护待遇等法律规定。投标人或中标人</w:t>
      </w:r>
      <w:r>
        <w:rPr>
          <w:rFonts w:ascii="宋体" w:eastAsia="宋体" w:hAnsi="宋体" w:cs="Times New Roman" w:hint="eastAsia"/>
          <w:szCs w:val="21"/>
        </w:rPr>
        <w:t>或乙方或乙方</w:t>
      </w:r>
      <w:r>
        <w:rPr>
          <w:rFonts w:ascii="宋体" w:eastAsia="宋体" w:hAnsi="宋体" w:cs="Times New Roman" w:hint="eastAsia"/>
          <w:szCs w:val="21"/>
        </w:rPr>
        <w:t>代理商等均已清楚本次政府采购招标中的政府或其部门、采购中心、采购人或使用人等，均已尽声明、提示、审慎核查等注意义务及相关责任，若仍发生任何相关违反法律、法规之情形均属投标人或中标人</w:t>
      </w:r>
      <w:r>
        <w:rPr>
          <w:rFonts w:ascii="宋体" w:eastAsia="宋体" w:hAnsi="宋体" w:cs="Times New Roman" w:hint="eastAsia"/>
          <w:szCs w:val="21"/>
        </w:rPr>
        <w:t>或乙方或乙方</w:t>
      </w:r>
      <w:r>
        <w:rPr>
          <w:rFonts w:ascii="宋体" w:eastAsia="宋体" w:hAnsi="宋体" w:cs="Times New Roman" w:hint="eastAsia"/>
          <w:szCs w:val="21"/>
        </w:rPr>
        <w:t>代理商等单方面之因素、原因、责任。投标人或中标人</w:t>
      </w:r>
      <w:r>
        <w:rPr>
          <w:rFonts w:ascii="宋体" w:eastAsia="宋体" w:hAnsi="宋体" w:cs="Times New Roman" w:hint="eastAsia"/>
          <w:szCs w:val="21"/>
        </w:rPr>
        <w:t>或乙方或乙方</w:t>
      </w:r>
      <w:r>
        <w:rPr>
          <w:rFonts w:ascii="宋体" w:eastAsia="宋体" w:hAnsi="宋体" w:cs="Times New Roman" w:hint="eastAsia"/>
          <w:szCs w:val="21"/>
        </w:rPr>
        <w:t>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rsidR="005B6138">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十二、不可抗力</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1、不可抗力指下列事件：战争、动乱、瘟疫、严重火灾、洪水、地震、风暴或其他自然灾害，以及本合同各方不可预见、不可防止并不能避免或克服的一切其他因素及事件。</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w:t>
      </w:r>
      <w:r>
        <w:rPr>
          <w:rFonts w:ascii="宋体" w:eastAsia="宋体" w:hAnsi="宋体" w:cs="Times New Roman" w:hint="eastAsia"/>
          <w:szCs w:val="21"/>
        </w:rPr>
        <w:t>作出</w:t>
      </w:r>
      <w:r>
        <w:rPr>
          <w:rFonts w:ascii="宋体" w:eastAsia="宋体" w:hAnsi="宋体" w:cs="Times New Roman" w:hint="eastAsia"/>
          <w:szCs w:val="21"/>
        </w:rPr>
        <w:t>的公证证明。</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4、合同各方应根据不可抗力对本合同履行的影响程度，协商确定是否终止本合同，或是继续履行本合同。</w:t>
      </w:r>
    </w:p>
    <w:p w:rsidR="005B6138">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十三、联系方式</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1、合同双方发出与本合同有关的通知或回复，应以专人送递、传真或特快专递方式发出；如果以专人送递或特快专递发送，以送达至对方的住所地或</w:t>
      </w:r>
      <w:r>
        <w:rPr>
          <w:rFonts w:ascii="宋体" w:eastAsia="宋体" w:hAnsi="宋体" w:cs="Times New Roman" w:hint="eastAsia"/>
          <w:szCs w:val="21"/>
        </w:rPr>
        <w:t>通讯联络</w:t>
      </w:r>
      <w:r>
        <w:rPr>
          <w:rFonts w:ascii="宋体" w:eastAsia="宋体" w:hAnsi="宋体" w:cs="Times New Roman" w:hint="eastAsia"/>
          <w:szCs w:val="21"/>
        </w:rPr>
        <w:t>地为送达；如果以传真方式发送，发件人在收到传真报告后视为送达；如果采用电话或电子邮件的方式，则应在发送后由对方以书面方式予以确认。</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w:t>
      </w:r>
      <w:r>
        <w:rPr>
          <w:rFonts w:ascii="宋体" w:eastAsia="宋体" w:hAnsi="宋体" w:cs="Times New Roman" w:hint="eastAsia"/>
          <w:szCs w:val="21"/>
        </w:rPr>
        <w:t>帐号</w:t>
      </w:r>
      <w:r>
        <w:rPr>
          <w:rFonts w:ascii="宋体" w:eastAsia="宋体" w:hAnsi="宋体" w:cs="Times New Roman" w:hint="eastAsia"/>
          <w:szCs w:val="21"/>
        </w:rPr>
        <w:t>，一方变更通讯地址或</w:t>
      </w:r>
      <w:r>
        <w:rPr>
          <w:rFonts w:ascii="宋体" w:eastAsia="宋体" w:hAnsi="宋体" w:cs="Times New Roman" w:hint="eastAsia"/>
          <w:szCs w:val="21"/>
        </w:rPr>
        <w:t>帐号</w:t>
      </w:r>
      <w:r>
        <w:rPr>
          <w:rFonts w:ascii="宋体" w:eastAsia="宋体" w:hAnsi="宋体" w:cs="Times New Roman" w:hint="eastAsia"/>
          <w:szCs w:val="21"/>
        </w:rPr>
        <w:t>，应自变更之日起三个工作日内，将变更后的地址通知对方。变更方不履行通知义务的，应对此造成的一切后果承担法律责任。</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3、上述发出通知、回复的费用由发出一方承担。</w:t>
      </w:r>
    </w:p>
    <w:p w:rsidR="005B6138">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十四、保密条款</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0"/>
        </w:rPr>
        <w:t>1、</w:t>
      </w:r>
      <w:r>
        <w:rPr>
          <w:rFonts w:ascii="宋体" w:eastAsia="宋体" w:hAnsi="宋体" w:cs="Times New Roman" w:hint="eastAsia"/>
          <w:szCs w:val="21"/>
        </w:rPr>
        <w:t>任何一方对其获知的本合同及附件中其他各方的商业秘密和国家秘密负有保密义务。</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2、在下列情形下：</w:t>
      </w:r>
      <w:r>
        <w:rPr>
          <w:rFonts w:ascii="宋体" w:eastAsia="宋体" w:hAnsi="宋体" w:cs="Times New Roman" w:hint="eastAsia"/>
          <w:szCs w:val="21"/>
        </w:rPr>
        <w:t>当发布</w:t>
      </w:r>
      <w:r>
        <w:rPr>
          <w:rFonts w:ascii="宋体" w:eastAsia="宋体" w:hAnsi="宋体" w:cs="Times New Roman" w:hint="eastAsia"/>
          <w:szCs w:val="21"/>
        </w:rPr>
        <w:t>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3、此外的其它情形下，除非法律、法规另有规定或得到本合同之其他各方的书面许可，任何一方不得向第三人泄露前款规定的商业秘密和国家秘密。保密期限</w:t>
      </w:r>
      <w:r>
        <w:rPr>
          <w:rFonts w:ascii="宋体" w:eastAsia="宋体" w:hAnsi="宋体" w:cs="Times New Roman" w:hint="eastAsia"/>
          <w:szCs w:val="21"/>
        </w:rPr>
        <w:t>自任何</w:t>
      </w:r>
      <w:r>
        <w:rPr>
          <w:rFonts w:ascii="宋体" w:eastAsia="宋体" w:hAnsi="宋体" w:cs="Times New Roman" w:hint="eastAsia"/>
          <w:szCs w:val="21"/>
        </w:rPr>
        <w:t>一方获知该商业秘密和国家秘密之日起至本条规定的秘密成为公众信息之日止。</w:t>
      </w:r>
    </w:p>
    <w:p w:rsidR="005B6138">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十五、合同的解释和法律适用</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1、任何一方对本合同及其附件的解释均应遵循诚实信用原则,依照本合同签订时有效的中国法律、法规以及通常的理解进行。</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2、本合同标题仅供查阅方便，并非对本合同的诠释或解释；本合同中以日表述的时间期限均指自然日。</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3、对本合同的任何解释均应以书面</w:t>
      </w:r>
      <w:r>
        <w:rPr>
          <w:rFonts w:ascii="宋体" w:eastAsia="宋体" w:hAnsi="宋体" w:cs="Times New Roman" w:hint="eastAsia"/>
          <w:szCs w:val="21"/>
        </w:rPr>
        <w:t>作出</w:t>
      </w:r>
      <w:r>
        <w:rPr>
          <w:rFonts w:ascii="宋体" w:eastAsia="宋体" w:hAnsi="宋体" w:cs="Times New Roman" w:hint="eastAsia"/>
          <w:szCs w:val="21"/>
        </w:rPr>
        <w:t>。</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4、本合同及附件的订立、效力、解释、履行、争议的解决等适用本合同签订时有效的中华人民共和国法律、法规的有关规定。</w:t>
      </w:r>
    </w:p>
    <w:p w:rsidR="005B6138">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十六、合同的终止</w:t>
      </w:r>
    </w:p>
    <w:p w:rsidR="005B6138">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1、本合同因下列原因而终止：</w:t>
      </w:r>
    </w:p>
    <w:p w:rsidR="005B6138">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（1）本合同正常履行完毕；</w:t>
      </w:r>
    </w:p>
    <w:p w:rsidR="005B6138">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（2）合同双方协议终止本合同的履行；</w:t>
      </w:r>
    </w:p>
    <w:p w:rsidR="005B6138">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（3）不可抗力事件导致本合同无法履行或履行不必要；</w:t>
      </w:r>
    </w:p>
    <w:p w:rsidR="005B6138">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（4）任何一方行使解除权，解除本合同。</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2、对本合同终止有过错的一方应赔偿另一方因合同终止而受到的损失。对合同终止双方均无过错的，则各自承担所受到的损失。</w:t>
      </w:r>
    </w:p>
    <w:p w:rsidR="005B6138">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十七、法律适用</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1、本合同及附件的订立、效力、解释、履行、争议的解决等适用本合同签订时有效的中华人民共和国法律、法规的有关规定。</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2、在本合同履行期间，因中国法律、法规、政策的变化致使本合同的部分条款相冲突、无效或失去可强制执行效力时，双方同意将密切合作，尽快修改本合同中相冲突或无效或失去强制执行效力的有关条款。</w:t>
      </w:r>
    </w:p>
    <w:p w:rsidR="005B6138">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十八、权利的保留</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rsidR="005B6138">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十九、争议的解决</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1、合同双方应通过友好协商解决</w:t>
      </w:r>
      <w:r>
        <w:rPr>
          <w:rFonts w:ascii="宋体" w:eastAsia="宋体" w:hAnsi="宋体" w:cs="Times New Roman" w:hint="eastAsia"/>
          <w:szCs w:val="21"/>
        </w:rPr>
        <w:t>因解释</w:t>
      </w:r>
      <w:r>
        <w:rPr>
          <w:rFonts w:ascii="宋体" w:eastAsia="宋体" w:hAnsi="宋体" w:cs="Times New Roman" w:hint="eastAsia"/>
          <w:szCs w:val="21"/>
        </w:rPr>
        <w:t>﹑执行本合同所发生的和本合同有关的一切争议。如果经协商不能达成协议，则双方同意：</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（1）在甲方所在地有管辖权的人民法院提起诉讼。</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（2）由贸易仲裁委员会根据现行有效的仲裁程序进行仲裁。仲裁裁决为最终裁决对双方均具有约束力。仲裁费除仲裁机关另有裁决外的应由败诉方承担。</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本项目选择的具体解决方式</w:t>
      </w:r>
      <w:r>
        <w:rPr>
          <w:rFonts w:ascii="宋体" w:eastAsia="宋体" w:hAnsi="宋体" w:cs="Times New Roman" w:hint="eastAsia"/>
          <w:szCs w:val="21"/>
        </w:rPr>
        <w:t>见</w:t>
      </w:r>
      <w:r>
        <w:rPr>
          <w:rFonts w:ascii="黑体" w:eastAsia="黑体" w:hAnsi="黑体" w:cs="Times New Roman" w:hint="eastAsia"/>
          <w:b/>
          <w:bCs/>
          <w:szCs w:val="20"/>
        </w:rPr>
        <w:t>合同</w:t>
      </w:r>
      <w:r>
        <w:rPr>
          <w:rFonts w:ascii="黑体" w:eastAsia="黑体" w:hAnsi="黑体" w:cs="Times New Roman" w:hint="eastAsia"/>
          <w:b/>
          <w:bCs/>
          <w:szCs w:val="20"/>
        </w:rPr>
        <w:t>条款专用部分。</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3、在争议解决期间，除了诉讼进行过程中正在解决的部分问题外，合同其余部分应继续履行。</w:t>
      </w:r>
    </w:p>
    <w:p w:rsidR="005B6138">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二十、合同的补充、修改和变更</w:t>
      </w:r>
    </w:p>
    <w:p w:rsidR="005B6138">
      <w:pPr>
        <w:adjustRightInd w:val="0"/>
        <w:snapToGrid w:val="0"/>
        <w:spacing w:line="360" w:lineRule="auto"/>
        <w:ind w:firstLine="420" w:firstLineChars="200"/>
        <w:rPr>
          <w:rFonts w:ascii="宋体" w:eastAsia="宋体" w:hAnsi="宋体" w:cs="Times New Roman" w:hint="eastAsia"/>
          <w:b/>
          <w:bCs/>
          <w:szCs w:val="21"/>
        </w:rPr>
      </w:pPr>
      <w:r>
        <w:rPr>
          <w:rFonts w:ascii="宋体" w:eastAsia="宋体" w:hAnsi="宋体" w:cs="Times New Roman" w:hint="eastAsia"/>
          <w:szCs w:val="21"/>
        </w:rPr>
        <w:t>在</w:t>
      </w:r>
      <w:r>
        <w:rPr>
          <w:rFonts w:ascii="宋体" w:eastAsia="宋体" w:hAnsi="宋体" w:cs="Times New Roman" w:hint="eastAsia"/>
          <w:szCs w:val="21"/>
        </w:rPr>
        <w:t>不</w:t>
      </w:r>
      <w:r>
        <w:rPr>
          <w:rFonts w:ascii="宋体" w:eastAsia="宋体" w:hAnsi="宋体" w:cs="Times New Roman" w:hint="eastAsia"/>
          <w:szCs w:val="21"/>
        </w:rPr>
        <w:t>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1、甲方可以要求对技术文件进行修改。所有的修改要求都应以书面形式提交。甲方将准备一份书面的修改备忘录以说明所要求的更改，并列出对技术文件条款的任何修改。乙方应在3日内对此</w:t>
      </w:r>
      <w:r>
        <w:rPr>
          <w:rFonts w:ascii="宋体" w:eastAsia="宋体" w:hAnsi="宋体" w:cs="Times New Roman" w:hint="eastAsia"/>
          <w:szCs w:val="21"/>
        </w:rPr>
        <w:t>作出</w:t>
      </w:r>
      <w:r>
        <w:rPr>
          <w:rFonts w:ascii="宋体" w:eastAsia="宋体" w:hAnsi="宋体" w:cs="Times New Roman" w:hint="eastAsia"/>
          <w:szCs w:val="21"/>
        </w:rPr>
        <w:t>书面回应，其内容包括详细的该修改对合同价格、项目交付日期、项目技术参数的影响和变化以及对合同条款的影响等。</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2、甲方收到乙方的上述回应后，应在3日内以书面方式通知乙方是否同意和接受乙方的上述回应。如果甲方接受乙方的上述回应，则双方另行对此修改签署予以确认，乙方则按修改后的约定履行本合同。</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4、如乙方提出项目的部分修改建议，乙方应同时详细阐明该变更对合同价格、项目交付日</w:t>
      </w:r>
      <w:r>
        <w:rPr>
          <w:rFonts w:ascii="宋体" w:eastAsia="宋体" w:hAnsi="宋体" w:cs="Times New Roman" w:hint="eastAsia"/>
          <w:szCs w:val="21"/>
        </w:rPr>
        <w:t>期、项目技术参数的影响和变化以及对合同条款的影响等。</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6、所有的修改应在双方签署书面的修改备忘录时生效。修改备忘录将变更或取代有关的技术文件中或先前的任何修改备忘录中所有不一致的条款。</w:t>
      </w:r>
    </w:p>
    <w:p w:rsidR="005B6138">
      <w:pPr>
        <w:adjustRightInd w:val="0"/>
        <w:snapToGrid w:val="0"/>
        <w:spacing w:line="360" w:lineRule="auto"/>
        <w:ind w:left="420"/>
        <w:rPr>
          <w:rFonts w:ascii="宋体" w:eastAsia="宋体" w:hAnsi="宋体" w:cs="Times New Roman" w:hint="eastAsia"/>
          <w:szCs w:val="21"/>
        </w:rPr>
      </w:pPr>
      <w:r>
        <w:rPr>
          <w:rFonts w:ascii="宋体" w:eastAsia="宋体" w:hAnsi="宋体" w:cs="Times New Roman" w:hint="eastAsia"/>
          <w:szCs w:val="21"/>
        </w:rPr>
        <w:t>7、任何对合同条件的变更或修改均须双方签订书面的修改书。</w:t>
      </w:r>
    </w:p>
    <w:p w:rsidR="005B6138">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8、招投标文件及其全部条款、双方签订的补充协议以及修改或变更的条款与本合同具有同等法律效力。补充、修改或变更的协议的签署及生效方式与本合同的签署及生效方式相同。</w:t>
      </w:r>
    </w:p>
    <w:p w:rsidR="005B6138">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二十一、合同的生效</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本合同经双方法定代表人（负责人）或授权代表签字并加盖单位公章后生效。</w:t>
      </w:r>
    </w:p>
    <w:p w:rsidR="005B6138">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二十二、其它约定事项</w:t>
      </w:r>
    </w:p>
    <w:p w:rsidR="005B6138">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1、本合同中的附件均为本合同不可分割的部分，与本合同具有相同的法律效力。</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3、本合同正本一式两份，甲、乙双方各执一份，每份正本具有同等法律效力，</w:t>
      </w:r>
      <w:r>
        <w:rPr>
          <w:rFonts w:ascii="宋体" w:eastAsia="宋体" w:hAnsi="宋体" w:cs="Times New Roman" w:hint="eastAsia"/>
          <w:szCs w:val="21"/>
        </w:rPr>
        <w:t>副本报</w:t>
      </w:r>
      <w:r>
        <w:rPr>
          <w:rFonts w:ascii="宋体" w:eastAsia="宋体" w:hAnsi="宋体" w:cs="Times New Roman" w:hint="eastAsia"/>
          <w:szCs w:val="21"/>
        </w:rPr>
        <w:t>财政部备案。</w:t>
      </w:r>
    </w:p>
    <w:p w:rsidR="005B6138">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4、本合同涉及的招标文件和投标文件，正本由中国气象局政府采购中心保存。</w:t>
      </w:r>
    </w:p>
    <w:p w:rsidR="005B6138">
      <w:pPr>
        <w:tabs>
          <w:tab w:val="left" w:pos="1573"/>
        </w:tabs>
        <w:adjustRightInd w:val="0"/>
        <w:snapToGrid w:val="0"/>
        <w:spacing w:line="360" w:lineRule="auto"/>
        <w:ind w:firstLine="412" w:firstLineChars="196"/>
        <w:jc w:val="left"/>
        <w:rPr>
          <w:rFonts w:ascii="宋体" w:eastAsia="宋体" w:hAnsi="宋体" w:cs="Times New Roman" w:hint="eastAsia"/>
          <w:szCs w:val="21"/>
        </w:rPr>
      </w:pPr>
    </w:p>
    <w:p w:rsidR="005B6138"/>
    <w:p w:rsidR="00A77B3E"/>
    <w:p w:rsidR="005B6138">
      <w:pPr>
        <w:numPr>
          <w:ilvl w:val="0"/>
          <w:numId w:val="4"/>
        </w:numPr>
        <w:spacing w:line="360" w:lineRule="auto"/>
        <w:ind w:firstLine="3066" w:firstLineChars="1460"/>
        <w:jc w:val="left"/>
        <w:rPr>
          <w:rFonts w:ascii="Times New Roman" w:eastAsia="宋体" w:hAnsi="Times New Roman" w:cs="Times New Roman"/>
          <w:b/>
          <w:bCs/>
          <w:szCs w:val="21"/>
        </w:rPr>
      </w:pPr>
      <w:bookmarkEnd w:id="68"/>
    </w:p>
    <w:sectPr>
      <w:headerReference w:type="even" r:id="rId9"/>
      <w:headerReference w:type="default" r:id="rId10"/>
      <w:footerReference w:type="default" r:id="rId11"/>
      <w:headerReference w:type="first" r:id="rId12"/>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4">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3"/>
  </w:num>
  <w:num w:numId="2">
    <w:abstractNumId w:val="2"/>
  </w:num>
  <w:num w:numId="3">
    <w:abstractNumId w:val="4"/>
  </w:num>
  <w:num w:numId="4">
    <w:abstractNumId w:val="1"/>
  </w:num>
  <w:num w:numId="5">
    <w:abstractNumId w:val="0"/>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36DD9"/>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585"/>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138"/>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1570"/>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08"/>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customStyle="1" w:styleId="a2">
    <w:name w:val="文本"/>
    <w:basedOn w:val="ListParagraph"/>
    <w:link w:val="Char12"/>
    <w:qFormat/>
    <w:pPr>
      <w:widowControl w:val="0"/>
      <w:spacing w:line="360" w:lineRule="auto"/>
      <w:ind w:firstLine="560"/>
      <w:jc w:val="both"/>
    </w:pPr>
    <w:rPr>
      <w:rFonts w:ascii="Times New Roman" w:hAnsi="Times New Roman" w:eastAsiaTheme="minorEastAsia"/>
      <w:color w:val="auto"/>
      <w:kern w:val="0"/>
      <w:sz w:val="28"/>
      <w:szCs w:val="28"/>
      <w:lang w:val="en-US" w:eastAsia="en-US"/>
    </w:rPr>
  </w:style>
  <w:style w:type="character" w:customStyle="1" w:styleId="Char12">
    <w:name w:val="文本 Char1"/>
    <w:link w:val="a2"/>
    <w:qFormat/>
    <w:locked/>
    <w:rPr>
      <w:rFonts w:eastAsiaTheme="minorEastAsia"/>
      <w:sz w:val="28"/>
      <w:szCs w:val="28"/>
    </w:rPr>
  </w:style>
  <w:style w:type="paragraph" w:customStyle="1" w:styleId="a3">
    <w:name w:val="图片"/>
    <w:basedOn w:val="Normal"/>
    <w:qFormat/>
    <w:pPr>
      <w:keepNext/>
      <w:widowControl/>
      <w:spacing w:line="360" w:lineRule="auto"/>
      <w:jc w:val="center"/>
    </w:pPr>
    <w:rPr>
      <w:bCs/>
      <w:sz w:val="28"/>
      <w:szCs w:val="28"/>
      <w:lang w:val="zh-CN"/>
    </w:rPr>
  </w:style>
  <w:style w:type="paragraph" w:customStyle="1" w:styleId="a4">
    <w:name w:val="图表标题"/>
    <w:basedOn w:val="Normal"/>
    <w:qFormat/>
    <w:pPr>
      <w:spacing w:line="360" w:lineRule="auto"/>
      <w:contextualSpacing/>
      <w:jc w:val="center"/>
    </w:pPr>
    <w:rPr>
      <w:b/>
      <w:bCs/>
      <w:color w:val="000000"/>
      <w:sz w:val="24"/>
      <w:szCs w:val="24"/>
    </w:rPr>
  </w:style>
  <w:style w:type="paragraph" w:customStyle="1" w:styleId="my">
    <w:name w:val="my正文"/>
    <w:basedOn w:val="Normal"/>
    <w:link w:val="myChar"/>
    <w:qFormat/>
    <w:pPr>
      <w:spacing w:line="360" w:lineRule="auto"/>
      <w:ind w:firstLine="480" w:firstLineChars="200"/>
    </w:pPr>
    <w:rPr>
      <w:rFonts w:eastAsiaTheme="minorEastAsia"/>
      <w:sz w:val="24"/>
      <w:szCs w:val="24"/>
      <w:lang w:eastAsia="en-US"/>
    </w:rPr>
  </w:style>
  <w:style w:type="character" w:customStyle="1" w:styleId="myChar">
    <w:name w:val="my正文 Char"/>
    <w:link w:val="my"/>
    <w:qFormat/>
    <w:locked/>
    <w:rPr>
      <w:rFonts w:eastAsiaTheme="minorEastAsia"/>
      <w:kern w:val="2"/>
      <w:sz w:val="24"/>
      <w:szCs w:val="24"/>
    </w:rPr>
  </w:style>
  <w:style w:type="paragraph" w:customStyle="1" w:styleId="TableParagraph">
    <w:name w:val="Table Paragraph"/>
    <w:basedOn w:val="Normal"/>
    <w:uiPriority w:val="1"/>
    <w:qFormat/>
    <w:pPr>
      <w:autoSpaceDE w:val="0"/>
      <w:autoSpaceDN w:val="0"/>
      <w:spacing w:before="81"/>
      <w:jc w:val="center"/>
    </w:pPr>
    <w:rPr>
      <w:rFonts w:ascii="仿宋" w:eastAsia="仿宋" w:hAnsi="仿宋" w:cs="仿宋"/>
      <w:kern w:val="0"/>
      <w:sz w:val="22"/>
      <w:szCs w:val="22"/>
      <w:lang w:val="zh-CN" w:bidi="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header" Target="header5.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png"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13250</Words>
  <Characters>14051</Characters>
  <Application>Microsoft Office Word</Application>
  <DocSecurity>0</DocSecurity>
  <Lines>216</Lines>
  <Paragraphs>61</Paragraphs>
  <ScaleCrop>false</ScaleCrop>
  <Company>中国气象局</Company>
  <LinksUpToDate>false</LinksUpToDate>
  <CharactersWithSpaces>14135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2026-02-03T03:00:39Z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2052-12.1.0.24657</vt:lpwstr>
  </property>
  <property fmtid="{D5CDD505-2E9C-101B-9397-08002B2CF9AE}" pid="4" name="KSOTemplateDocerSaveRecord">
    <vt:lpwstr>eyJoZGlkIjoiM2FkMjdjNjAxZjdmYjI5MjMyNmE5MTA5ZjJkMDM4NmEiLCJ1c2VySWQiOiI0MTI2MjIxMDYifQ==</vt:lpwstr>
  </property>
</Properties>
</file>