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hAnsi="宋体" w:cs="微软雅黑"/>
          <w:b/>
          <w:kern w:val="0"/>
          <w:szCs w:val="21"/>
          <w:highlight w:val="none"/>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eastAsia="宋体" w:hAnsi="宋体" w:cs="微软雅黑" w:hint="eastAsia"/>
          <w:b/>
          <w:kern w:val="0"/>
          <w:szCs w:val="21"/>
          <w:highlight w:val="none"/>
        </w:rPr>
        <w:t>：</w:t>
      </w:r>
      <w:r>
        <w:rPr>
          <w:rFonts w:ascii="宋体" w:hAnsi="宋体" w:cs="微软雅黑" w:hint="eastAsia"/>
          <w:b/>
          <w:kern w:val="0"/>
          <w:szCs w:val="21"/>
          <w:highlight w:val="none"/>
        </w:rPr>
        <w:t>20260201</w:t>
      </w:r>
      <w:r>
        <w:rPr>
          <w:rFonts w:ascii="宋体" w:hAnsi="宋体" w:cs="微软雅黑" w:hint="eastAsia"/>
          <w:b/>
          <w:kern w:val="0"/>
          <w:szCs w:val="21"/>
          <w:highlight w:val="none"/>
        </w:rPr>
        <w:t>.1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华北人影项目（山西）人工增减雨雪试验示范基地拉曼激光雷达</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ZQCD-26126</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2026年06月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w:t>
      </w:r>
      <w:r>
        <w:rPr>
          <w:rFonts w:ascii="Times New Roman" w:eastAsia="宋体" w:hAnsi="Times New Roman" w:cs="Times New Roman" w:hint="eastAsia"/>
          <w:b/>
          <w:bCs/>
        </w:rPr>
        <w:t>及本国产品规</w:t>
      </w:r>
      <w:r>
        <w:rPr>
          <w:rFonts w:hint="eastAsia"/>
          <w:b/>
          <w:bCs/>
        </w:rPr>
        <w:t>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tabs>
          <w:tab w:val="left" w:pos="8460"/>
        </w:tabs>
        <w:adjustRightInd w:val="0"/>
        <w:snapToGrid w:val="0"/>
        <w:spacing w:line="360" w:lineRule="auto"/>
        <w:ind w:firstLine="420" w:firstLineChars="200"/>
        <w:jc w:val="left"/>
        <w:rPr>
          <w:rFonts w:ascii="宋体" w:eastAsia="宋体" w:hAnsi="宋体" w:cs="Times New Roman" w:hint="eastAsia"/>
          <w:bCs/>
          <w:szCs w:val="21"/>
        </w:rPr>
      </w:pPr>
      <w:r>
        <w:rPr>
          <w:rFonts w:ascii="宋体" w:eastAsia="宋体" w:hAnsi="宋体" w:cs="Times New Roman" w:hint="eastAsia"/>
          <w:bCs/>
          <w:szCs w:val="21"/>
        </w:rPr>
        <w:t>1.4.3 投标人所投产品符合国务院办公厅《关于在政府采购中实施本国产品标准及相关政策的通知》（国办发〔2025〕34号）关于本国产品价格评审优惠条件的，投标人可按照第二章投标文件格式的要求提供《关于符合本国产品标准的声明函》或财政部会同有关部门规定的有关证明文件，将对该投标人的总报价给予价格评审优惠，即对该投标人的总报价给予20%的价格扣除，用扣除后的价格参与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840" w:firstLineChars="400"/>
        <w:jc w:val="left"/>
        <w:rPr>
          <w:rFonts w:ascii="Times New Roman" w:eastAsia="宋体" w:hAnsi="Times New Roman" w:cs="Times New Roman" w:hint="eastAsia"/>
        </w:rPr>
      </w:pPr>
      <w:r>
        <w:rPr>
          <w:rFonts w:ascii="Times New Roman" w:eastAsia="宋体" w:hAnsi="Times New Roman" w:cs="Times New Roman" w:hint="eastAsia"/>
        </w:rPr>
        <w:fldChar w:fldCharType="begin"/>
      </w:r>
      <w:r>
        <w:rPr>
          <w:rFonts w:ascii="Times New Roman" w:eastAsia="宋体" w:hAnsi="Times New Roman" w:cs="Times New Roman" w:hint="eastAsia"/>
        </w:rPr>
        <w:instrText xml:space="preserve"> eq \o\ac(</w:instrText>
      </w:r>
      <w:r>
        <w:rPr>
          <w:rFonts w:ascii="Times New Roman" w:eastAsia="宋体" w:hAnsi="Times New Roman" w:cs="Times New Roman" w:hint="eastAsia"/>
        </w:rPr>
        <w:instrText>○</w:instrText>
      </w:r>
      <w:r>
        <w:rPr>
          <w:rFonts w:ascii="Times New Roman" w:eastAsia="宋体" w:hAnsi="Times New Roman" w:cs="Times New Roman" w:hint="eastAsia"/>
        </w:rPr>
        <w:instrText>,13)</w:instrText>
      </w:r>
      <w:r>
        <w:rPr>
          <w:rFonts w:ascii="Times New Roman" w:eastAsia="宋体" w:hAnsi="Times New Roman" w:cs="Times New Roman" w:hint="eastAsia"/>
        </w:rPr>
        <w:fldChar w:fldCharType="separate"/>
      </w:r>
      <w:r>
        <w:rPr>
          <w:rFonts w:ascii="Times New Roman" w:eastAsia="宋体" w:hAnsi="Times New Roman" w:cs="Times New Roman" w:hint="eastAsia"/>
        </w:rPr>
        <w:fldChar w:fldCharType="end"/>
      </w:r>
      <w:r>
        <w:rPr>
          <w:rFonts w:ascii="Times New Roman" w:eastAsia="宋体" w:hAnsi="Times New Roman" w:cs="Times New Roman" w:hint="eastAsia"/>
        </w:rPr>
        <w:t>《关于符合本国产品标准的声明函》或财政部会同有关部门规定的有关证明文件（投标人所投产品符合国务院办公厅《关于在政府采购中实施本国产品标准及相关政策的通知》（国办发〔2025〕34号）关于本国产品价格评审优惠条件的提供，如符合上述条件但未能提供，将不能享受价格扣除优惠）</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1.17.3投标人要按分项报价表的内容填写货物单价（包括货物报价以及品牌、型号、产地、装箱、包装、包装物料、运输和保险费用等）、总价及其他事项。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widowControl/>
        <w:shd w:val="clear" w:color="auto" w:fill="FFFFFF"/>
        <w:tabs>
          <w:tab w:val="left" w:pos="709"/>
          <w:tab w:val="left" w:pos="1573"/>
        </w:tabs>
        <w:adjustRightInd w:val="0"/>
        <w:snapToGrid w:val="0"/>
        <w:spacing w:line="360" w:lineRule="auto"/>
        <w:ind w:firstLine="420" w:firstLineChars="200"/>
        <w:jc w:val="left"/>
        <w:textAlignment w:val="baseline"/>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（4）评审价格。开标一览表中该投标人的投标总价。如本项目</w:t>
      </w:r>
      <w:r>
        <w:rPr>
          <w:rFonts w:hint="eastAsia"/>
          <w:bCs/>
        </w:rPr>
        <w:t>不是专门或部分面向中小企</w:t>
      </w:r>
      <w:r>
        <w:rPr>
          <w:rFonts w:hint="eastAsia"/>
          <w:bCs/>
          <w:highlight w:val="none"/>
        </w:rPr>
        <w:t>业采购的项目，小微企业享受价格扣除优惠，用扣除后的价格参与评审；投标人所投</w:t>
      </w:r>
      <w:r>
        <w:rPr>
          <w:bCs/>
          <w:highlight w:val="none"/>
        </w:rPr>
        <w:t>产品</w:t>
      </w:r>
      <w:r>
        <w:rPr>
          <w:rFonts w:hint="eastAsia"/>
          <w:bCs/>
          <w:highlight w:val="none"/>
        </w:rPr>
        <w:t>符合国务院办公厅《关于在政府采购中实施本国产品标准及相关政策的通知》（国办发〔2025〕34号）关于</w:t>
      </w:r>
      <w:r>
        <w:rPr>
          <w:bCs/>
          <w:highlight w:val="none"/>
        </w:rPr>
        <w:t>本国产品价格</w:t>
      </w:r>
      <w:r>
        <w:rPr>
          <w:rFonts w:hint="eastAsia"/>
          <w:bCs/>
          <w:highlight w:val="none"/>
        </w:rPr>
        <w:t>评审</w:t>
      </w:r>
      <w:r>
        <w:rPr>
          <w:bCs/>
          <w:highlight w:val="none"/>
        </w:rPr>
        <w:t>优惠条件的，</w:t>
      </w:r>
      <w:r>
        <w:rPr>
          <w:rFonts w:hint="eastAsia"/>
          <w:bCs/>
          <w:highlight w:val="none"/>
        </w:rPr>
        <w:t>享受价格扣除优惠，用扣除后的价格参与评审。具体见1.4.3、1.5.4</w:t>
      </w:r>
      <w:r>
        <w:rPr>
          <w:rFonts w:hint="eastAsia"/>
          <w:highlight w:val="none"/>
        </w:rPr>
        <w:t>及</w:t>
      </w:r>
      <w:r>
        <w:rPr>
          <w:rFonts w:hint="eastAsia"/>
          <w:b/>
          <w:highlight w:val="none"/>
        </w:rPr>
        <w:t>第六章评标方法和评标标准。</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原</w:t>
      </w:r>
      <w:r>
        <w:rPr>
          <w:highlight w:val="none"/>
        </w:rPr>
        <w:t>投标报价。</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10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2.10.1投标人</w:t>
      </w:r>
      <w:r>
        <w:rPr>
          <w:b/>
        </w:rPr>
        <w:t>法人</w:t>
      </w:r>
      <w:r>
        <w:rPr>
          <w:rFonts w:hint="eastAsia"/>
          <w:b/>
        </w:rPr>
        <w:t>资格</w:t>
      </w:r>
      <w:r>
        <w:rPr>
          <w:b/>
        </w:rPr>
        <w:t>证明文件</w:t>
      </w:r>
    </w:p>
    <w:p>
      <w:pPr>
        <w:pStyle w:val="10"/>
        <w:numPr>
          <w:ilvl w:val="0"/>
          <w:numId w:val="0"/>
        </w:numPr>
        <w:tabs>
          <w:tab w:val="left" w:pos="1573"/>
        </w:tabs>
        <w:adjustRightInd w:val="0"/>
        <w:snapToGrid w:val="0"/>
        <w:spacing w:line="360" w:lineRule="auto"/>
        <w:ind w:firstLine="420" w:firstLineChars="200"/>
        <w:jc w:val="left"/>
      </w:pPr>
      <w:r>
        <w:rPr>
          <w:rFonts w:hint="eastAsia"/>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rPr>
      </w:pPr>
      <w:r>
        <w:rPr>
          <w:rFonts w:hint="eastAsia"/>
        </w:rPr>
        <w:t>在格式文本中，除可填报内容外，任何实质性修改将被视为非实质性响应投标，从而导致该投标被</w:t>
      </w:r>
      <w:r>
        <w:rPr>
          <w:rFonts w:eastAsia="拒绝" w:hint="eastAsia"/>
          <w:b/>
        </w:rPr>
        <w:t>拒绝</w:t>
      </w:r>
      <w:r>
        <w:rPr>
          <w:rFonts w:hint="eastAsia"/>
        </w:rPr>
        <w:t>。</w:t>
      </w:r>
    </w:p>
    <w:p>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bookmarkStart w:id="10" w:name="_Hlt509739007"/>
      <w:bookmarkEnd w:id="10"/>
      <w:r>
        <w:rPr>
          <w:rFonts w:hint="eastAsia"/>
          <w:b/>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投标人提供在“信用中国”网站（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2.10.8进口产品制造商授权书</w:t>
      </w:r>
    </w:p>
    <w:p>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第五章投标人须知专用部分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（投标人地址）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（投标人名称）</w:t>
      </w:r>
      <w:r>
        <w:rPr>
          <w:rFonts w:ascii="华文楷体" w:eastAsia="华文楷体" w:hAnsi="华文楷体" w:cs="Times New Roman" w:hint="eastAsia"/>
          <w:szCs w:val="21"/>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（投标人名称）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（投标人名称） </w:t>
      </w:r>
      <w:r>
        <w:rPr>
          <w:rFonts w:ascii="华文楷体" w:eastAsia="华文楷体" w:hAnsi="华文楷体" w:cs="Times New Roman" w:hint="eastAsia"/>
          <w:szCs w:val="21"/>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（投标人名称）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rPr>
      </w:pP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bookmarkStart w:id="11" w:name="_Toc86202647"/>
      <w:r>
        <w:rPr>
          <w:rFonts w:hint="eastAsia"/>
          <w:b/>
        </w:rPr>
        <w:t>2.10.9中</w:t>
      </w:r>
      <w:r>
        <w:rPr>
          <w:b/>
        </w:rPr>
        <w:t>小企业声明函</w:t>
      </w:r>
      <w:r>
        <w:rPr>
          <w:rFonts w:hint="eastAsia"/>
          <w:b/>
        </w:rPr>
        <w:t>、</w:t>
      </w:r>
      <w:r>
        <w:rPr>
          <w:rFonts w:hint="eastAsia"/>
          <w:b/>
          <w:bCs/>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本声明由投标人提供，并对其真实性负责。</w:t>
      </w:r>
      <w:r>
        <w:rPr>
          <w:rFonts w:ascii="宋体" w:eastAsia="宋体" w:hAnsi="宋体" w:cs="仿宋_GB2312" w:hint="eastAsia"/>
          <w:szCs w:val="21"/>
          <w:highlight w:val="green"/>
        </w:rPr>
        <w:t>投标人</w:t>
      </w:r>
      <w:r>
        <w:rPr>
          <w:rFonts w:ascii="宋体" w:eastAsia="宋体" w:hAnsi="宋体" w:cs="仿宋_GB2312" w:hint="eastAsia"/>
          <w:szCs w:val="21"/>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rPr>
      </w:pPr>
      <w:r>
        <w:rPr>
          <w:rFonts w:ascii="华文楷体" w:eastAsia="华文楷体" w:hAnsi="华文楷体" w:hint="eastAsia"/>
          <w:b/>
          <w:bCs/>
        </w:rPr>
        <w:t>中小</w:t>
      </w:r>
      <w:r>
        <w:rPr>
          <w:rFonts w:ascii="华文楷体" w:eastAsia="华文楷体" w:hAnsi="华文楷体"/>
          <w:b/>
          <w:bCs/>
        </w:rPr>
        <w:t>企业声明函</w:t>
      </w:r>
      <w:r>
        <w:rPr>
          <w:rFonts w:ascii="华文楷体" w:eastAsia="华文楷体" w:hAnsi="华文楷体" w:hint="eastAsia"/>
          <w:b/>
          <w:bCs/>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rPr>
      </w:pPr>
      <w:r>
        <w:rPr>
          <w:rFonts w:ascii="华文楷体" w:eastAsia="华文楷体" w:hAnsi="华文楷体" w:cs="仿宋" w:hint="eastAsia"/>
          <w:szCs w:val="21"/>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rPr>
      </w:pPr>
    </w:p>
    <w:p>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投标人名称（电子签章）：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rPr>
      </w:pPr>
    </w:p>
    <w:p>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r>
        <w:rPr>
          <w:rFonts w:ascii="华文楷体" w:eastAsia="华文楷体" w:hAnsi="华文楷体" w:cs="Times New Roman" w:hint="eastAsia"/>
          <w:bCs/>
          <w:szCs w:val="20"/>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2.10.10</w:t>
      </w:r>
      <w:r>
        <w:rPr>
          <w:rFonts w:hint="eastAsia"/>
          <w:b/>
          <w:highlight w:val="green"/>
        </w:rPr>
        <w:t>联合体协议</w:t>
      </w:r>
    </w:p>
    <w:p>
      <w:pPr>
        <w:tabs>
          <w:tab w:val="left" w:pos="1573"/>
        </w:tabs>
        <w:autoSpaceDN w:val="0"/>
        <w:adjustRightInd w:val="0"/>
        <w:snapToGrid w:val="0"/>
        <w:spacing w:line="360" w:lineRule="auto"/>
        <w:rPr>
          <w:rFonts w:ascii="宋体" w:eastAsia="宋体" w:hAnsi="宋体" w:cs="Times New Roman" w:hint="eastAsia"/>
          <w:b/>
          <w:szCs w:val="21"/>
        </w:rPr>
      </w:pPr>
      <w:r>
        <w:rPr>
          <w:rFonts w:ascii="宋体" w:eastAsia="宋体" w:hAnsi="宋体" w:cs="Times New Roman" w:hint="eastAsia"/>
          <w:b/>
          <w:szCs w:val="21"/>
        </w:rPr>
        <w:t xml:space="preserve">    </w:t>
      </w:r>
      <w:r>
        <w:rPr>
          <w:rFonts w:ascii="宋体" w:eastAsia="宋体" w:hAnsi="宋体" w:cs="Times New Roman" w:hint="eastAsia"/>
          <w:szCs w:val="21"/>
        </w:rPr>
        <w:t>投标人为</w:t>
      </w:r>
      <w:r>
        <w:rPr>
          <w:rFonts w:ascii="宋体" w:eastAsia="宋体" w:hAnsi="宋体" w:cs="Times New Roman" w:hint="eastAsia"/>
          <w:szCs w:val="21"/>
          <w:highlight w:val="green"/>
        </w:rPr>
        <w:t>联合体</w:t>
      </w:r>
      <w:r>
        <w:rPr>
          <w:rFonts w:ascii="宋体" w:eastAsia="宋体" w:hAnsi="宋体" w:cs="Times New Roman" w:hint="eastAsia"/>
          <w:szCs w:val="21"/>
        </w:rPr>
        <w:t>的提供。</w:t>
      </w:r>
    </w:p>
    <w:p>
      <w:pPr>
        <w:tabs>
          <w:tab w:val="left" w:pos="1573"/>
        </w:tabs>
        <w:autoSpaceDN w:val="0"/>
        <w:adjustRightInd w:val="0"/>
        <w:snapToGrid w:val="0"/>
        <w:spacing w:line="360" w:lineRule="auto"/>
        <w:rPr>
          <w:rFonts w:ascii="宋体" w:eastAsia="宋体" w:hAnsi="宋体" w:cs="Times New Roman" w:hint="eastAsia"/>
          <w:b/>
          <w:szCs w:val="21"/>
        </w:rPr>
      </w:pPr>
    </w:p>
    <w:p>
      <w:pPr>
        <w:spacing w:line="480" w:lineRule="auto"/>
        <w:jc w:val="center"/>
        <w:rPr>
          <w:rFonts w:ascii="华文楷体" w:eastAsia="华文楷体" w:hAnsi="华文楷体" w:cs="Times New Roman" w:hint="eastAsia"/>
        </w:rPr>
      </w:pPr>
      <w:r>
        <w:rPr>
          <w:rFonts w:ascii="华文楷体" w:eastAsia="华文楷体" w:hAnsi="华文楷体" w:cs="仿宋" w:hint="eastAsia"/>
          <w:sz w:val="24"/>
          <w:szCs w:val="24"/>
          <w:highlight w:val="green"/>
        </w:rPr>
        <w:t>联合体协议</w:t>
      </w:r>
    </w:p>
    <w:p>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项目的投标。现就联合体投标事宜订立如下协议：</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pPr>
        <w:spacing w:line="360" w:lineRule="auto"/>
        <w:ind w:firstLine="420" w:firstLineChars="20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pPr>
        <w:spacing w:line="360" w:lineRule="auto"/>
        <w:ind w:firstLine="2835" w:firstLineChars="135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r>
        <w:rPr>
          <w:rFonts w:hint="eastAsia"/>
          <w:b/>
        </w:rPr>
        <w:t>2.10.11分包意向协议</w:t>
      </w:r>
    </w:p>
    <w:p>
      <w:pPr>
        <w:keepNext/>
        <w:keepLines/>
        <w:spacing w:before="240" w:after="64" w:line="317" w:lineRule="auto"/>
        <w:jc w:val="center"/>
        <w:rPr>
          <w:rFonts w:ascii="华文楷体" w:eastAsia="华文楷体" w:hAnsi="华文楷体" w:cs="仿宋" w:hint="eastAsia"/>
          <w:bCs/>
          <w:kern w:val="0"/>
          <w:szCs w:val="28"/>
        </w:rPr>
      </w:pPr>
      <w:r>
        <w:rPr>
          <w:rFonts w:ascii="华文楷体" w:eastAsia="华文楷体" w:hAnsi="华文楷体" w:cs="仿宋" w:hint="eastAsia"/>
          <w:bCs/>
          <w:kern w:val="0"/>
          <w:sz w:val="24"/>
          <w:szCs w:val="28"/>
        </w:rPr>
        <w:t>分包意向协议（如有）</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甲方：（分包单位）</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乙方：（承包单位）   </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拟在中标后将成交项目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甲方名称（盖章）：                乙方名称（盖章）：</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2.10.12其他资格证明文件</w:t>
      </w:r>
    </w:p>
    <w:p>
      <w:pPr>
        <w:adjustRightInd w:val="0"/>
        <w:snapToGrid w:val="0"/>
        <w:spacing w:line="360" w:lineRule="auto"/>
        <w:ind w:firstLine="412" w:firstLineChars="196"/>
      </w:pPr>
      <w:r>
        <w:rPr>
          <w:rFonts w:hint="eastAsia"/>
        </w:rPr>
        <w:t>按照</w:t>
      </w:r>
      <w:r>
        <w:rPr>
          <w:rFonts w:hint="eastAsia"/>
          <w:b/>
        </w:rPr>
        <w:t>第五章投标人须知专用部分5.2条</w:t>
      </w:r>
      <w:r>
        <w:rPr>
          <w:rFonts w:hint="eastAsia"/>
        </w:rPr>
        <w:t>规定应提交的特殊资质条件证明文件。</w:t>
      </w:r>
    </w:p>
    <w:p>
      <w:pPr>
        <w:tabs>
          <w:tab w:val="left" w:pos="1573"/>
        </w:tabs>
        <w:autoSpaceDN w:val="0"/>
        <w:adjustRightInd w:val="0"/>
        <w:snapToGrid w:val="0"/>
        <w:spacing w:line="360" w:lineRule="auto"/>
        <w:ind w:firstLine="420" w:firstLineChars="200"/>
        <w:outlineLvl w:val="4"/>
        <w:rPr>
          <w:rFonts w:ascii="宋体" w:hAnsi="宋体"/>
          <w:b/>
          <w:szCs w:val="21"/>
          <w:highlight w:val="none"/>
        </w:rPr>
      </w:pPr>
      <w:r>
        <w:rPr>
          <w:rFonts w:ascii="宋体" w:hAnsi="宋体" w:hint="eastAsia"/>
          <w:b/>
          <w:szCs w:val="21"/>
          <w:highlight w:val="none"/>
        </w:rPr>
        <w:t>2.10.1</w:t>
      </w:r>
      <w:r>
        <w:rPr>
          <w:rFonts w:ascii="宋体" w:hAnsi="宋体"/>
          <w:b/>
          <w:szCs w:val="21"/>
          <w:highlight w:val="none"/>
        </w:rPr>
        <w:t>3</w:t>
      </w:r>
      <w:r>
        <w:rPr>
          <w:rFonts w:ascii="宋体" w:hAnsi="宋体" w:hint="eastAsia"/>
          <w:b/>
          <w:szCs w:val="21"/>
          <w:highlight w:val="none"/>
        </w:rPr>
        <w:t>《关于符合本国产品标准的声明函》</w:t>
      </w:r>
    </w:p>
    <w:p>
      <w:pPr>
        <w:autoSpaceDN w:val="0"/>
        <w:spacing w:line="440" w:lineRule="exact"/>
        <w:ind w:firstLine="420" w:firstLineChars="200"/>
        <w:rPr>
          <w:rFonts w:ascii="宋体" w:hAnsi="宋体" w:cs="仿宋_GB2312"/>
          <w:szCs w:val="21"/>
          <w:highlight w:val="none"/>
        </w:rPr>
      </w:pPr>
      <w:r>
        <w:rPr>
          <w:rFonts w:ascii="宋体" w:hAnsi="宋体" w:hint="eastAsia"/>
          <w:bCs/>
          <w:szCs w:val="21"/>
          <w:highlight w:val="none"/>
        </w:rPr>
        <w:t>投标人所投</w:t>
      </w:r>
      <w:r>
        <w:rPr>
          <w:rFonts w:ascii="宋体" w:hAnsi="宋体"/>
          <w:bCs/>
          <w:szCs w:val="21"/>
          <w:highlight w:val="none"/>
        </w:rPr>
        <w:t>产品</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cs="仿宋_GB2312"/>
          <w:szCs w:val="21"/>
          <w:highlight w:val="none"/>
        </w:rPr>
        <w:t xml:space="preserve"> </w:t>
      </w:r>
    </w:p>
    <w:p>
      <w:pPr>
        <w:adjustRightInd w:val="0"/>
        <w:snapToGrid w:val="0"/>
        <w:spacing w:line="360" w:lineRule="auto"/>
        <w:ind w:firstLine="412" w:firstLineChars="196"/>
        <w:rPr>
          <w:highlight w:val="none"/>
        </w:rPr>
      </w:pPr>
    </w:p>
    <w:p>
      <w:pPr>
        <w:pStyle w:val="NormalWeb"/>
        <w:shd w:val="clear" w:color="auto" w:fill="FFFFFF"/>
        <w:spacing w:before="30" w:beforeAutospacing="0" w:after="30" w:afterAutospacing="0"/>
        <w:jc w:val="center"/>
        <w:rPr>
          <w:color w:val="333333"/>
          <w:szCs w:val="21"/>
          <w:highlight w:val="none"/>
        </w:rPr>
      </w:pPr>
      <w:r>
        <w:rPr>
          <w:rStyle w:val="Strong"/>
          <w:rFonts w:hint="eastAsia"/>
          <w:color w:val="333333"/>
          <w:szCs w:val="21"/>
          <w:highlight w:val="none"/>
          <w:shd w:val="clear" w:color="auto" w:fill="FFFFFF"/>
        </w:rPr>
        <w:t>关于符合本国产品标准的声明函</w:t>
      </w:r>
    </w:p>
    <w:p>
      <w:pPr>
        <w:pStyle w:val="NormalWeb"/>
        <w:shd w:val="clear" w:color="auto" w:fill="FFFFFF"/>
        <w:spacing w:before="30" w:beforeAutospacing="0" w:after="30" w:afterAutospacing="0"/>
        <w:ind w:firstLine="420"/>
        <w:rPr>
          <w:color w:val="333333"/>
          <w:szCs w:val="21"/>
          <w:highlight w:val="none"/>
        </w:rPr>
      </w:pP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hint="eastAsia"/>
          <w:i w:val="0"/>
          <w:color w:val="333333"/>
          <w:szCs w:val="21"/>
          <w:highlight w:val="none"/>
          <w:shd w:val="clear" w:color="auto" w:fill="FFFFFF"/>
        </w:rPr>
        <w:t>（产品名称1）</w:t>
      </w:r>
      <w:r>
        <w:rPr>
          <w:rStyle w:val="Emphasis"/>
          <w:rFonts w:hint="eastAsia"/>
          <w:i w:val="0"/>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Style w:val="Emphasis"/>
          <w:rFonts w:hint="eastAsia"/>
          <w:i w:val="0"/>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Style w:val="Emphasis"/>
          <w:rFonts w:hint="eastAsia"/>
          <w:i w:val="0"/>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Style w:val="Emphasis"/>
          <w:rFonts w:hint="eastAsia"/>
          <w:i w:val="0"/>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Style w:val="Emphasis"/>
          <w:rFonts w:hint="eastAsia"/>
          <w:i w:val="0"/>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pPr>
        <w:pStyle w:val="NormalWeb"/>
        <w:shd w:val="clear" w:color="auto" w:fill="FFFFFF"/>
        <w:spacing w:before="30" w:beforeAutospacing="0" w:after="30" w:afterAutospacing="0"/>
        <w:ind w:firstLine="420"/>
        <w:rPr>
          <w:color w:val="333333"/>
          <w:szCs w:val="21"/>
          <w:highlight w:val="none"/>
          <w:shd w:val="clear" w:color="auto" w:fill="FFFFFF"/>
        </w:rPr>
      </w:pPr>
    </w:p>
    <w:p>
      <w:pPr>
        <w:pStyle w:val="NormalWeb"/>
        <w:shd w:val="clear" w:color="auto" w:fill="FFFFFF"/>
        <w:spacing w:before="30" w:beforeAutospacing="0" w:after="30" w:afterAutospacing="0"/>
        <w:ind w:firstLine="420"/>
        <w:rPr>
          <w:rFonts w:hint="eastAsia"/>
          <w:color w:val="333333"/>
          <w:szCs w:val="21"/>
          <w:highlight w:val="none"/>
        </w:rPr>
      </w:pP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850"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23" w:type="dxa"/>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为本项目提供整体设计、规范编制或者项目管理、监理、检测等服务的供应商，或者</w:t>
            </w:r>
            <w:r>
              <w:rPr>
                <w:rFonts w:hint="eastAsia"/>
                <w:sz w:val="18"/>
                <w:szCs w:val="18"/>
              </w:rPr>
              <w:t>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bCs/>
                <w:sz w:val="18"/>
                <w:szCs w:val="18"/>
              </w:rPr>
              <w:t>本次招标是否允许代理商（指投标人提供的货物不是自己制造的，下同）投标，以及进口产品代理商投标应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第五章投标人须知专用部分5.3条</w:t>
            </w:r>
            <w:r>
              <w:rPr>
                <w:rFonts w:hint="eastAsia"/>
                <w:sz w:val="18"/>
                <w:szCs w:val="18"/>
              </w:rPr>
              <w:t>有关代理商投标要求，以及进口产品代理商未按</w:t>
            </w:r>
            <w:r>
              <w:rPr>
                <w:rFonts w:hint="eastAsia"/>
                <w:b/>
                <w:sz w:val="18"/>
                <w:szCs w:val="18"/>
              </w:rPr>
              <w:t>第五章投标人须知专用部分5.4条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rPr>
            </w:pPr>
            <w:r>
              <w:rPr>
                <w:rFonts w:hint="eastAsia"/>
                <w:sz w:val="18"/>
                <w:szCs w:val="18"/>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1.3.8</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1.3.10</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rPr>
            </w:pP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1.6.1</w:t>
            </w:r>
          </w:p>
        </w:tc>
        <w:tc>
          <w:tcPr>
            <w:tcW w:w="7723" w:type="dxa"/>
            <w:vAlign w:val="center"/>
          </w:tcPr>
          <w:p>
            <w:pPr>
              <w:rPr>
                <w:rFonts w:ascii="宋体" w:hAnsi="宋体"/>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sz w:val="18"/>
                <w:szCs w:val="18"/>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rPr>
            </w:pPr>
            <w:r>
              <w:rPr>
                <w:rFonts w:hint="eastAsia"/>
                <w:sz w:val="18"/>
                <w:szCs w:val="18"/>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rPr>
            </w:pPr>
            <w:r>
              <w:rPr>
                <w:rFonts w:hint="eastAsia"/>
                <w:sz w:val="18"/>
                <w:szCs w:val="18"/>
              </w:rPr>
              <w:t>按照</w:t>
            </w:r>
            <w:r>
              <w:rPr>
                <w:rFonts w:hint="eastAsia"/>
                <w:b/>
                <w:sz w:val="18"/>
                <w:szCs w:val="18"/>
              </w:rPr>
              <w:t>第五章投标人须知专用部分5.13条</w:t>
            </w:r>
            <w:r>
              <w:rPr>
                <w:rFonts w:hint="eastAsia"/>
                <w:sz w:val="18"/>
                <w:szCs w:val="18"/>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1.16.3</w:t>
            </w:r>
          </w:p>
        </w:tc>
        <w:tc>
          <w:tcPr>
            <w:tcW w:w="7723" w:type="dxa"/>
            <w:vAlign w:val="center"/>
          </w:tcPr>
          <w:p>
            <w:pPr>
              <w:tabs>
                <w:tab w:val="left" w:pos="1573"/>
              </w:tabs>
              <w:adjustRightInd w:val="0"/>
              <w:snapToGrid w:val="0"/>
              <w:spacing w:line="360" w:lineRule="auto"/>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eastAsia="宋体" w:cs="Times New Roman" w:hint="eastAsia"/>
                <w:sz w:val="18"/>
                <w:szCs w:val="18"/>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山西省大气探测技术保障中心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华北人影项目（山西）人工增减雨雪试验示范基地拉曼激光雷达</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ZQCD-26126</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合同签订后180天内完成供货、安装调试并具备现场测试条件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山西省大同市</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2026年07月02日 00:00:00</w:t>
      </w:r>
      <w:bookmarkEnd w:id="26"/>
      <w:r>
        <w:rPr>
          <w:rFonts w:ascii="宋体" w:hint="eastAsia"/>
          <w:szCs w:val="21"/>
          <w:highlight w:val="none"/>
        </w:rPr>
        <w:t>至</w:t>
      </w:r>
      <w:bookmarkStart w:id="27" w:name="项目公告_signUpLastTime"/>
      <w:r>
        <w:rPr>
          <w:rFonts w:ascii="宋体" w:hint="eastAsia"/>
          <w:szCs w:val="21"/>
          <w:highlight w:val="none"/>
        </w:rPr>
        <w:t>2026年07月09日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2026年08月10日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王妍</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68406642</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山西省大气探测技术保障中心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杨俊梅</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0351-7562210</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山西省太原市迎泽区朝阳街500号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山西省大气探测技术保障中心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不允许（仅针对以下产品：拉曼激光雷达不允许代理商投标）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不涉及</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设有，核心产品为拉曼激光雷达</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（1）标的：拉曼激光雷达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是，中标服务费：3.3万元。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325.000000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325.000000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根据本项目实际情况，招标文件1.27.3第1项至第3项启动异常低价投标审查的数值标准为65%。</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4、投标产品满足招标文件小微企业、本国产品有关政策优惠条件，投标价格将给予扣除。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销售合同必须包括拉曼激光雷达，每提供1份合同得1分，最多得5分。否则不得分。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投标人应提供培训方案。具体标准评分如下：</w:t>
              <w:cr/>
              <w:t>一档：未提供培训方案；</w:t>
              <w:cr/>
              <w:t>二档：培训方案不完整（指缺失培训计划、培训材料（讲义）、培训课表、主要授课教师介绍任意一项）；</w:t>
              <w:cr/>
              <w:t>三档：培训方案完整，但课程设计重点不突出或针对性不强，基本满足采购文件需求；</w:t>
              <w:cr/>
              <w:t>四档：培训方案完整，课程设计重点突出、针对性强，完全满足采购文件需求。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针对本项目采购的拉曼激光雷达，承诺每提前10天交货的得1分，最多得1分。否则不得分。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针对拉曼激光雷达，每提供 1份用户证明材料得1 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(2)</w:t>
            </w:r>
          </w:p>
        </w:tc>
        <w:tc>
          <w:tcPr/>
          <w:p>
            <w:r>
              <w:t>评审标准：</w:t>
            </w:r>
          </w:p>
          <w:p>
            <w:r>
              <w:t xml:space="preserve">1、投标人为本项目拟派的服务团队中项目经理应具有3年以上相关工作经验的得1分； </w:t>
              <w:cr/>
              <w:t>2、除项目经理外至少8人具有2年及以上相关工作经验的，得1分；为本项目派出的技术人员至少5人具有1年及以上相关工作经验的，得0.5分；其他不得分。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 技术方案  (主观分)</w:t>
            </w:r>
          </w:p>
        </w:tc>
        <w:tc>
          <w:tcPr/>
          <w:p>
            <w:r>
              <w:t>勾选打分</w:t>
            </w:r>
            <w:r>
              <w:t>(2)</w:t>
            </w:r>
          </w:p>
        </w:tc>
        <w:tc>
          <w:tcPr/>
          <w:p>
            <w:r>
              <w:t>评审标准：</w:t>
            </w:r>
          </w:p>
          <w:p>
            <w:r>
              <w:t>一档0分</w:t>
              <w:cr/>
              <w:t>二档0.5分</w:t>
              <w:cr/>
              <w:t>三档1分</w:t>
              <w:cr/>
              <w:t>四档2分</w:t>
            </w:r>
          </w:p>
          <w:p>
            <w:r>
              <w:t>评审标准说明：</w:t>
            </w:r>
          </w:p>
          <w:p>
            <w:r>
              <w:t>根据投标人提供的技术方案进行评分，具体评分标准如下：</w:t>
              <w:cr/>
              <w:t>一档：未提供技术方案。</w:t>
              <w:cr/>
              <w:t>二档：技术方案能按照招标文件的格式进行响应，技术响应比 较浅显，缺乏针对性.</w:t>
              <w:cr/>
              <w:t>三档：技术方案基本能按照招标文件的要求进行响应，有一定针对性，基本满足采购文件需求。</w:t>
              <w:cr/>
              <w:t>四档：技术方案能按照招标文件的要求进行响应，详细具体，针对性强，与项目实际情况相契合，完全满足采购文件的需求。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12</w:t>
            </w:r>
          </w:p>
        </w:tc>
        <w:tc>
          <w:tcPr>
            <w:vMerge/>
          </w:tcPr>
          <w:p>
            <w:r>
              <w:t>技术部分</w:t>
            </w:r>
          </w:p>
        </w:tc>
        <w:tc>
          <w:tcPr/>
          <w:p>
            <w:r>
              <w:t>投标产品 综合性能 (主观分)</w:t>
            </w:r>
          </w:p>
        </w:tc>
        <w:tc>
          <w:tcPr/>
          <w:p>
            <w:r>
              <w:t>勾选打分</w:t>
            </w:r>
            <w:r>
              <w:t>(4)</w:t>
            </w:r>
          </w:p>
        </w:tc>
        <w:tc>
          <w:tcPr/>
          <w:p>
            <w:r>
              <w:t>评审标准：</w:t>
            </w:r>
          </w:p>
          <w:p>
            <w:r>
              <w:t>一档0分</w:t>
              <w:cr/>
              <w:t>二档1分</w:t>
              <w:cr/>
              <w:t>三档2分</w:t>
              <w:cr/>
              <w:t>四档4分</w:t>
            </w:r>
          </w:p>
          <w:p>
            <w:r>
              <w:t>评审标准说明：</w:t>
            </w:r>
          </w:p>
          <w:p>
            <w:r>
              <w:t>根据投标人提供能证明投标产品技术性能的第三方测试报告进行评分，具体评分标准如下：</w:t>
              <w:cr/>
              <w:t>一档：投标产品综合技术性能不能满足采购文件要求。</w:t>
              <w:cr/>
              <w:t>二档：投标产品综合技术性能满足采购文件要求。</w:t>
              <w:cr/>
              <w:t xml:space="preserve">三档：投标产品综合技术性能满足且部分优于采购文件要求。 </w:t>
              <w:cr/>
              <w:t>四档：投标产品综合技术性能满足且总体上优于采购文件要求 注：应提供能证明投标产品技术性能的第三方测试报告(包括测试内容、测试方法、测试结论等),并加盖投标人公章。其中，测试内容应包括但不限于标注#的指标。综合技术性能由评 审委员会根据技术性能指标，主观综合评判。</w:t>
            </w:r>
          </w:p>
          <w:p/>
        </w:tc>
      </w:tr>
      <w:tr>
        <w:tblPrEx>
          <w:tblW w:w="5000" w:type="pct"/>
          <w:tblCellMar>
            <w:left w:w="108" w:type="dxa"/>
            <w:right w:w="108" w:type="dxa"/>
          </w:tblCellMar>
        </w:tblPrEx>
        <w:tc>
          <w:tcPr/>
          <w:p>
            <w:r>
              <w:t>13</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14</w:t>
            </w:r>
          </w:p>
        </w:tc>
        <w:tc>
          <w:tcPr>
            <w:vMerge/>
          </w:tcPr>
          <w:p>
            <w:r>
              <w:t>技术部分</w:t>
            </w:r>
          </w:p>
        </w:tc>
        <w:tc>
          <w:tcPr/>
          <w:p>
            <w:r>
              <w:t>投标产品的环境适应性（客观分）</w:t>
            </w:r>
          </w:p>
        </w:tc>
        <w:tc>
          <w:tcPr/>
          <w:p>
            <w:r>
              <w:t>勾选打分</w:t>
            </w:r>
            <w:r>
              <w:t>(2)</w:t>
            </w:r>
          </w:p>
        </w:tc>
        <w:tc>
          <w:tcPr/>
          <w:p>
            <w:r>
              <w:t>评审标准：</w:t>
            </w:r>
          </w:p>
          <w:p>
            <w:r>
              <w:t>针对拉曼激光雷达，测试报告应涵盖电磁兼容性、工作温度范围等内容，每包含一项得1分，最多得2分。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15</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spacing w:before="156" w:beforeLines="50" w:line="360" w:lineRule="auto"/>
        <w:jc w:val="center"/>
        <w:outlineLvl w:val="1"/>
        <w:rPr>
          <w:rFonts w:ascii="宋体" w:hAnsi="宋体"/>
          <w:b/>
          <w:sz w:val="30"/>
          <w:szCs w:val="30"/>
        </w:rPr>
      </w:pPr>
      <w:r>
        <w:rPr>
          <w:bCs/>
          <w:szCs w:val="21"/>
          <w:highlight w:val="none"/>
        </w:rPr>
        <w:br w:type="page"/>
      </w:r>
      <w:bookmarkStart w:id="59" w:name="插入_采购需求书"/>
      <w:r>
        <w:rPr>
          <w:rFonts w:ascii="宋体" w:hAnsi="宋体" w:hint="eastAsia"/>
          <w:b/>
          <w:sz w:val="30"/>
          <w:szCs w:val="30"/>
        </w:rPr>
        <w:t>第七章  采购需求</w:t>
      </w:r>
    </w:p>
    <w:p>
      <w:pPr>
        <w:spacing w:line="360" w:lineRule="auto"/>
        <w:ind w:firstLine="420" w:firstLineChars="200"/>
        <w:rPr>
          <w:rFonts w:ascii="宋体" w:hAnsi="宋体"/>
          <w:szCs w:val="21"/>
        </w:rPr>
      </w:pPr>
      <w:r>
        <w:rPr>
          <w:rFonts w:ascii="宋体" w:hAnsi="宋体" w:hint="eastAsia"/>
          <w:szCs w:val="21"/>
        </w:rPr>
        <w:t>一、项目概况及总体要求</w:t>
      </w:r>
    </w:p>
    <w:p>
      <w:pPr>
        <w:spacing w:line="360" w:lineRule="auto"/>
        <w:ind w:firstLine="420" w:firstLineChars="200"/>
        <w:rPr>
          <w:rFonts w:ascii="宋体" w:hAnsi="宋体"/>
          <w:szCs w:val="21"/>
        </w:rPr>
      </w:pPr>
      <w:r>
        <w:rPr>
          <w:rFonts w:ascii="宋体" w:hAnsi="宋体" w:hint="eastAsia"/>
          <w:szCs w:val="21"/>
        </w:rPr>
        <w:t>本次招标内容为华北区域人工影响天气能力建设项目（山西）—人工增减雨雪试验示范基地建设，采购一套</w:t>
      </w:r>
      <w:r>
        <w:rPr>
          <w:rFonts w:ascii="宋体" w:hAnsi="宋体"/>
          <w:szCs w:val="21"/>
        </w:rPr>
        <w:t>拉曼激光雷达</w:t>
      </w:r>
      <w:r>
        <w:rPr>
          <w:rFonts w:ascii="宋体" w:hAnsi="宋体" w:hint="eastAsia"/>
          <w:szCs w:val="21"/>
        </w:rPr>
        <w:t>，获取空气中微粒子的结构和剖面分布，能得到气溶胶消光系数、气溶胶后向散射系数、气溶胶粒子退偏振比、云信息、光学厚度、污染物混合层高度、能见度、颗粒物浓度廓线等信息。</w:t>
      </w:r>
    </w:p>
    <w:p>
      <w:pPr>
        <w:spacing w:line="360" w:lineRule="auto"/>
        <w:ind w:firstLine="420" w:firstLineChars="200"/>
        <w:rPr>
          <w:rFonts w:ascii="宋体" w:eastAsia="宋体" w:hAnsi="宋体" w:cs="Times New Roman"/>
          <w:szCs w:val="21"/>
        </w:rPr>
      </w:pPr>
      <w:r>
        <w:rPr>
          <w:rFonts w:ascii="宋体" w:hAnsi="宋体" w:hint="eastAsia"/>
          <w:szCs w:val="21"/>
        </w:rPr>
        <w:t>二、设备需求一览表</w:t>
      </w:r>
    </w:p>
    <w:tbl>
      <w:tblPr>
        <w:tblStyle w:val="TableNormal"/>
        <w:tblW w:w="8757" w:type="dxa"/>
        <w:jc w:val="center"/>
        <w:tblLayout w:type="fixed"/>
        <w:tblCellMar>
          <w:top w:w="0" w:type="dxa"/>
          <w:left w:w="0" w:type="dxa"/>
          <w:bottom w:w="0" w:type="dxa"/>
          <w:right w:w="0" w:type="dxa"/>
        </w:tblCellMar>
      </w:tblPr>
      <w:tblGrid>
        <w:gridCol w:w="845"/>
        <w:gridCol w:w="1694"/>
        <w:gridCol w:w="1068"/>
        <w:gridCol w:w="1455"/>
        <w:gridCol w:w="1166"/>
        <w:gridCol w:w="1455"/>
        <w:gridCol w:w="1074"/>
      </w:tblGrid>
      <w:tr>
        <w:tblPrEx>
          <w:tblW w:w="8757" w:type="dxa"/>
          <w:jc w:val="center"/>
          <w:tblLayout w:type="fixed"/>
          <w:tblCellMar>
            <w:top w:w="0" w:type="dxa"/>
            <w:left w:w="0" w:type="dxa"/>
            <w:bottom w:w="0" w:type="dxa"/>
            <w:right w:w="0" w:type="dxa"/>
          </w:tblCellMar>
        </w:tblPrEx>
        <w:trPr>
          <w:trHeight w:hRule="exact" w:val="634"/>
          <w:jc w:val="center"/>
        </w:trPr>
        <w:tc>
          <w:tcPr>
            <w:tcW w:w="845"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before="48"/>
              <w:ind w:right="-20"/>
              <w:jc w:val="center"/>
              <w:rPr>
                <w:kern w:val="0"/>
              </w:rPr>
            </w:pPr>
            <w:r>
              <w:rPr>
                <w:rFonts w:ascii="微软雅黑" w:eastAsia="微软雅黑" w:cs="微软雅黑" w:hint="eastAsia"/>
                <w:kern w:val="0"/>
                <w:szCs w:val="21"/>
              </w:rPr>
              <w:t>序号</w:t>
            </w:r>
          </w:p>
        </w:tc>
        <w:tc>
          <w:tcPr>
            <w:tcW w:w="1694"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before="48"/>
              <w:ind w:right="-20"/>
              <w:jc w:val="center"/>
              <w:rPr>
                <w:kern w:val="0"/>
              </w:rPr>
            </w:pPr>
            <w:r>
              <w:rPr>
                <w:rFonts w:ascii="微软雅黑" w:eastAsia="微软雅黑" w:cs="微软雅黑" w:hint="eastAsia"/>
                <w:kern w:val="0"/>
                <w:szCs w:val="21"/>
              </w:rPr>
              <w:t>设备</w:t>
            </w:r>
            <w:r>
              <w:rPr>
                <w:rFonts w:ascii="微软雅黑" w:eastAsia="微软雅黑" w:cs="微软雅黑" w:hint="eastAsia"/>
                <w:spacing w:val="-2"/>
                <w:kern w:val="0"/>
                <w:szCs w:val="21"/>
              </w:rPr>
              <w:t>名</w:t>
            </w:r>
            <w:r>
              <w:rPr>
                <w:rFonts w:ascii="微软雅黑" w:eastAsia="微软雅黑" w:cs="微软雅黑" w:hint="eastAsia"/>
                <w:kern w:val="0"/>
                <w:szCs w:val="21"/>
              </w:rPr>
              <w:t>称</w:t>
            </w:r>
          </w:p>
        </w:tc>
        <w:tc>
          <w:tcPr>
            <w:tcW w:w="1068"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before="48"/>
              <w:ind w:left="301" w:right="-20"/>
              <w:jc w:val="center"/>
              <w:rPr>
                <w:kern w:val="0"/>
              </w:rPr>
            </w:pPr>
            <w:r>
              <w:rPr>
                <w:rFonts w:ascii="微软雅黑" w:eastAsia="微软雅黑" w:cs="微软雅黑" w:hint="eastAsia"/>
                <w:kern w:val="0"/>
                <w:szCs w:val="21"/>
              </w:rPr>
              <w:t>规格</w:t>
            </w:r>
          </w:p>
        </w:tc>
        <w:tc>
          <w:tcPr>
            <w:tcW w:w="1455"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before="48"/>
              <w:ind w:left="177" w:right="-20"/>
              <w:jc w:val="center"/>
              <w:rPr>
                <w:kern w:val="0"/>
              </w:rPr>
            </w:pPr>
            <w:r>
              <w:rPr>
                <w:rFonts w:ascii="微软雅黑" w:eastAsia="微软雅黑" w:cs="微软雅黑" w:hint="eastAsia"/>
                <w:kern w:val="0"/>
                <w:szCs w:val="21"/>
              </w:rPr>
              <w:t>数量</w:t>
            </w:r>
            <w:r>
              <w:rPr>
                <w:rFonts w:ascii="微软雅黑" w:eastAsia="微软雅黑" w:cs="微软雅黑" w:hint="eastAsia"/>
                <w:spacing w:val="-2"/>
                <w:kern w:val="0"/>
                <w:szCs w:val="21"/>
              </w:rPr>
              <w:t>及</w:t>
            </w:r>
            <w:r>
              <w:rPr>
                <w:rFonts w:ascii="微软雅黑" w:eastAsia="微软雅黑" w:cs="微软雅黑" w:hint="eastAsia"/>
                <w:kern w:val="0"/>
                <w:szCs w:val="21"/>
              </w:rPr>
              <w:t>单位</w:t>
            </w:r>
          </w:p>
        </w:tc>
        <w:tc>
          <w:tcPr>
            <w:tcW w:w="1166"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before="48"/>
              <w:ind w:left="244" w:right="-20"/>
              <w:jc w:val="center"/>
              <w:rPr>
                <w:kern w:val="0"/>
              </w:rPr>
            </w:pPr>
            <w:r>
              <w:rPr>
                <w:rFonts w:ascii="微软雅黑" w:eastAsia="微软雅黑" w:cs="微软雅黑" w:hint="eastAsia"/>
                <w:kern w:val="0"/>
                <w:szCs w:val="21"/>
              </w:rPr>
              <w:t>交货期</w:t>
            </w:r>
          </w:p>
        </w:tc>
        <w:tc>
          <w:tcPr>
            <w:tcW w:w="1455"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before="48"/>
              <w:ind w:right="-20"/>
              <w:jc w:val="center"/>
              <w:rPr>
                <w:rFonts w:ascii="微软雅黑" w:eastAsia="微软雅黑" w:cs="微软雅黑"/>
                <w:kern w:val="0"/>
                <w:szCs w:val="21"/>
              </w:rPr>
            </w:pPr>
            <w:r>
              <w:rPr>
                <w:rFonts w:ascii="微软雅黑" w:eastAsia="微软雅黑" w:cs="微软雅黑" w:hint="eastAsia"/>
                <w:kern w:val="0"/>
                <w:szCs w:val="21"/>
              </w:rPr>
              <w:t>交货地点</w:t>
            </w:r>
          </w:p>
        </w:tc>
        <w:tc>
          <w:tcPr>
            <w:tcW w:w="1074"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before="48"/>
              <w:ind w:right="-20"/>
              <w:jc w:val="center"/>
              <w:rPr>
                <w:rFonts w:ascii="微软雅黑" w:eastAsia="微软雅黑" w:cs="微软雅黑"/>
                <w:kern w:val="0"/>
                <w:szCs w:val="21"/>
              </w:rPr>
            </w:pPr>
            <w:r>
              <w:rPr>
                <w:rFonts w:ascii="微软雅黑" w:eastAsia="微软雅黑" w:cs="微软雅黑" w:hint="eastAsia"/>
                <w:kern w:val="0"/>
                <w:szCs w:val="21"/>
              </w:rPr>
              <w:t>备注</w:t>
            </w:r>
          </w:p>
        </w:tc>
      </w:tr>
      <w:tr>
        <w:tblPrEx>
          <w:tblW w:w="8757" w:type="dxa"/>
          <w:jc w:val="center"/>
          <w:tblLayout w:type="fixed"/>
          <w:tblCellMar>
            <w:top w:w="0" w:type="dxa"/>
            <w:left w:w="0" w:type="dxa"/>
            <w:bottom w:w="0" w:type="dxa"/>
            <w:right w:w="0" w:type="dxa"/>
          </w:tblCellMar>
        </w:tblPrEx>
        <w:trPr>
          <w:trHeight w:hRule="exact" w:val="2309"/>
          <w:jc w:val="center"/>
        </w:trPr>
        <w:tc>
          <w:tcPr>
            <w:tcW w:w="845" w:type="dxa"/>
            <w:tcBorders>
              <w:top w:val="single" w:sz="4" w:space="0" w:color="000000"/>
              <w:left w:val="single" w:sz="4" w:space="0" w:color="000000"/>
              <w:bottom w:val="single" w:sz="4" w:space="0" w:color="000000"/>
              <w:right w:val="single" w:sz="4" w:space="0" w:color="000000"/>
            </w:tcBorders>
            <w:vAlign w:val="center"/>
          </w:tcPr>
          <w:p>
            <w:pPr>
              <w:jc w:val="center"/>
              <w:rPr>
                <w:sz w:val="20"/>
                <w:szCs w:val="20"/>
              </w:rPr>
            </w:pPr>
            <w:r>
              <w:rPr>
                <w:sz w:val="20"/>
                <w:szCs w:val="20"/>
              </w:rPr>
              <w:t>1</w:t>
            </w:r>
          </w:p>
        </w:tc>
        <w:tc>
          <w:tcPr>
            <w:tcW w:w="1694"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jc w:val="center"/>
              <w:rPr>
                <w:rFonts w:eastAsia="宋体"/>
                <w:sz w:val="20"/>
                <w:szCs w:val="20"/>
              </w:rPr>
            </w:pPr>
            <w:r>
              <w:rPr>
                <w:rFonts w:ascii="宋体" w:hAnsi="宋体"/>
                <w:szCs w:val="21"/>
              </w:rPr>
              <w:t>拉曼激光雷达</w:t>
            </w:r>
          </w:p>
        </w:tc>
        <w:tc>
          <w:tcPr>
            <w:tcW w:w="1068"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jc w:val="center"/>
              <w:rPr>
                <w:rFonts w:eastAsia="宋体"/>
                <w:sz w:val="20"/>
                <w:szCs w:val="20"/>
              </w:rPr>
            </w:pPr>
            <w:r>
              <w:rPr>
                <w:rFonts w:hint="eastAsia"/>
                <w:kern w:val="0"/>
                <w:sz w:val="22"/>
              </w:rPr>
              <w:t>详见技术性能指标</w:t>
            </w:r>
          </w:p>
        </w:tc>
        <w:tc>
          <w:tcPr>
            <w:tcW w:w="1455"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jc w:val="center"/>
              <w:rPr>
                <w:rFonts w:eastAsia="宋体"/>
                <w:sz w:val="20"/>
                <w:szCs w:val="20"/>
              </w:rPr>
            </w:pPr>
            <w:r>
              <w:rPr>
                <w:rFonts w:hint="eastAsia"/>
                <w:kern w:val="0"/>
                <w:sz w:val="22"/>
              </w:rPr>
              <w:t>1部</w:t>
            </w:r>
          </w:p>
        </w:tc>
        <w:tc>
          <w:tcPr>
            <w:tcW w:w="1166"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jc w:val="center"/>
              <w:rPr>
                <w:rFonts w:eastAsia="宋体"/>
                <w:sz w:val="20"/>
                <w:szCs w:val="20"/>
              </w:rPr>
            </w:pPr>
            <w:r>
              <w:rPr>
                <w:rFonts w:hint="eastAsia"/>
                <w:kern w:val="0"/>
                <w:szCs w:val="21"/>
              </w:rPr>
              <w:t>合同签订后180天内完成供货、安装调试并具备现场测试条件</w:t>
            </w:r>
          </w:p>
        </w:tc>
        <w:tc>
          <w:tcPr>
            <w:tcW w:w="1455"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jc w:val="center"/>
              <w:rPr>
                <w:rFonts w:eastAsia="宋体"/>
                <w:sz w:val="20"/>
                <w:szCs w:val="20"/>
              </w:rPr>
            </w:pPr>
            <w:r>
              <w:rPr>
                <w:rFonts w:hint="eastAsia"/>
                <w:kern w:val="0"/>
                <w:szCs w:val="21"/>
              </w:rPr>
              <w:t>大同</w:t>
            </w:r>
          </w:p>
        </w:tc>
        <w:tc>
          <w:tcPr>
            <w:tcW w:w="1074"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jc w:val="center"/>
              <w:rPr>
                <w:sz w:val="20"/>
                <w:szCs w:val="20"/>
              </w:rPr>
            </w:pPr>
          </w:p>
        </w:tc>
      </w:tr>
    </w:tbl>
    <w:p>
      <w:pPr>
        <w:spacing w:line="360" w:lineRule="auto"/>
        <w:rPr>
          <w:rFonts w:ascii="宋体" w:hAnsi="宋体"/>
          <w:szCs w:val="21"/>
        </w:rPr>
      </w:pPr>
    </w:p>
    <w:p>
      <w:pPr>
        <w:numPr>
          <w:ilvl w:val="0"/>
          <w:numId w:val="4"/>
        </w:numPr>
        <w:spacing w:line="360" w:lineRule="auto"/>
        <w:ind w:firstLine="420" w:firstLineChars="200"/>
        <w:rPr>
          <w:rFonts w:ascii="宋体" w:hAnsi="宋体"/>
          <w:szCs w:val="21"/>
        </w:rPr>
      </w:pPr>
      <w:r>
        <w:rPr>
          <w:rFonts w:ascii="宋体" w:hAnsi="宋体" w:hint="eastAsia"/>
          <w:szCs w:val="21"/>
        </w:rPr>
        <w:t>技术性能指标</w:t>
      </w:r>
    </w:p>
    <w:p>
      <w:pPr>
        <w:pStyle w:val="Caption"/>
      </w:pPr>
      <w:r>
        <w:t>技术性能要求表</w:t>
      </w:r>
    </w:p>
    <w:tbl>
      <w:tblPr>
        <w:tblStyle w:val="TableNormal"/>
        <w:tblW w:w="492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19"/>
        <w:gridCol w:w="2937"/>
        <w:gridCol w:w="4143"/>
      </w:tblGrid>
      <w:tr>
        <w:tblPrEx>
          <w:tblW w:w="492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56"/>
        </w:trPr>
        <w:tc>
          <w:tcPr>
            <w:tcW w:w="785" w:type="pct"/>
            <w:vAlign w:val="center"/>
          </w:tcPr>
          <w:p>
            <w:pPr>
              <w:jc w:val="center"/>
              <w:rPr>
                <w:sz w:val="20"/>
              </w:rPr>
            </w:pPr>
            <w:r>
              <w:rPr>
                <w:rFonts w:hint="eastAsia"/>
                <w:sz w:val="20"/>
              </w:rPr>
              <w:t>系统名称</w:t>
            </w:r>
          </w:p>
        </w:tc>
        <w:tc>
          <w:tcPr>
            <w:tcW w:w="1748" w:type="pct"/>
            <w:vAlign w:val="center"/>
          </w:tcPr>
          <w:p>
            <w:pPr>
              <w:jc w:val="center"/>
              <w:rPr>
                <w:sz w:val="20"/>
              </w:rPr>
            </w:pPr>
            <w:r>
              <w:rPr>
                <w:rFonts w:hint="eastAsia"/>
                <w:sz w:val="20"/>
              </w:rPr>
              <w:t>指标</w:t>
            </w:r>
          </w:p>
        </w:tc>
        <w:tc>
          <w:tcPr>
            <w:tcW w:w="2466" w:type="pct"/>
            <w:vAlign w:val="center"/>
          </w:tcPr>
          <w:p>
            <w:pPr>
              <w:jc w:val="center"/>
              <w:rPr>
                <w:sz w:val="20"/>
              </w:rPr>
            </w:pPr>
            <w:r>
              <w:rPr>
                <w:rFonts w:hint="eastAsia"/>
                <w:sz w:val="20"/>
              </w:rPr>
              <w:t>指标要求</w:t>
            </w:r>
          </w:p>
        </w:tc>
      </w:tr>
      <w:tr>
        <w:tblPrEx>
          <w:tblW w:w="4928" w:type="pct"/>
          <w:tblInd w:w="0" w:type="dxa"/>
          <w:tblCellMar>
            <w:top w:w="0" w:type="dxa"/>
            <w:left w:w="108" w:type="dxa"/>
            <w:bottom w:w="0" w:type="dxa"/>
            <w:right w:w="108" w:type="dxa"/>
          </w:tblCellMar>
        </w:tblPrEx>
        <w:trPr>
          <w:trHeight w:val="151"/>
        </w:trPr>
        <w:tc>
          <w:tcPr>
            <w:tcW w:w="785" w:type="pct"/>
            <w:vMerge w:val="restart"/>
            <w:vAlign w:val="center"/>
          </w:tcPr>
          <w:p>
            <w:pPr>
              <w:jc w:val="center"/>
              <w:rPr>
                <w:sz w:val="20"/>
              </w:rPr>
            </w:pPr>
            <w:r>
              <w:rPr>
                <w:rFonts w:hint="eastAsia"/>
                <w:sz w:val="20"/>
              </w:rPr>
              <w:t>发射系统</w:t>
            </w:r>
          </w:p>
        </w:tc>
        <w:tc>
          <w:tcPr>
            <w:tcW w:w="1748" w:type="pct"/>
            <w:vAlign w:val="center"/>
          </w:tcPr>
          <w:p>
            <w:pPr>
              <w:jc w:val="center"/>
              <w:rPr>
                <w:sz w:val="20"/>
              </w:rPr>
            </w:pPr>
            <w:r>
              <w:rPr>
                <w:rFonts w:hint="eastAsia"/>
                <w:sz w:val="20"/>
              </w:rPr>
              <w:t>工作波长</w:t>
            </w:r>
          </w:p>
        </w:tc>
        <w:tc>
          <w:tcPr>
            <w:tcW w:w="2466" w:type="pct"/>
            <w:vAlign w:val="center"/>
          </w:tcPr>
          <w:p>
            <w:pPr>
              <w:jc w:val="center"/>
              <w:rPr>
                <w:sz w:val="20"/>
              </w:rPr>
            </w:pPr>
            <w:r>
              <w:rPr>
                <w:sz w:val="20"/>
              </w:rPr>
              <w:t>355nm</w:t>
            </w:r>
            <w:r>
              <w:rPr>
                <w:rFonts w:hint="eastAsia"/>
                <w:sz w:val="20"/>
              </w:rPr>
              <w:t>，</w:t>
            </w:r>
            <w:r>
              <w:rPr>
                <w:sz w:val="20"/>
              </w:rPr>
              <w:t>532nm</w:t>
            </w:r>
            <w:r>
              <w:rPr>
                <w:rFonts w:hint="eastAsia"/>
                <w:sz w:val="20"/>
              </w:rPr>
              <w:t>，</w:t>
            </w:r>
            <w:r>
              <w:rPr>
                <w:sz w:val="20"/>
              </w:rPr>
              <w:t>1064nm</w:t>
            </w:r>
          </w:p>
        </w:tc>
      </w:tr>
      <w:tr>
        <w:tblPrEx>
          <w:tblW w:w="4928" w:type="pct"/>
          <w:tblInd w:w="0" w:type="dxa"/>
          <w:tblCellMar>
            <w:top w:w="0" w:type="dxa"/>
            <w:left w:w="108" w:type="dxa"/>
            <w:bottom w:w="0" w:type="dxa"/>
            <w:right w:w="108" w:type="dxa"/>
          </w:tblCellMar>
        </w:tblPrEx>
        <w:trPr>
          <w:trHeight w:val="151"/>
        </w:trPr>
        <w:tc>
          <w:tcPr>
            <w:tcW w:w="785" w:type="pct"/>
            <w:vMerge/>
            <w:vAlign w:val="center"/>
          </w:tcPr>
          <w:p>
            <w:pPr>
              <w:jc w:val="center"/>
              <w:rPr>
                <w:sz w:val="20"/>
              </w:rPr>
            </w:pPr>
          </w:p>
        </w:tc>
        <w:tc>
          <w:tcPr>
            <w:tcW w:w="1748" w:type="pct"/>
            <w:vAlign w:val="center"/>
          </w:tcPr>
          <w:p>
            <w:pPr>
              <w:jc w:val="center"/>
              <w:rPr>
                <w:sz w:val="20"/>
              </w:rPr>
            </w:pPr>
            <w:r>
              <w:rPr>
                <w:rFonts w:hint="eastAsia"/>
                <w:sz w:val="20"/>
              </w:rPr>
              <w:t>激光器类型</w:t>
            </w:r>
          </w:p>
        </w:tc>
        <w:tc>
          <w:tcPr>
            <w:tcW w:w="2466" w:type="pct"/>
            <w:vAlign w:val="center"/>
          </w:tcPr>
          <w:p>
            <w:pPr>
              <w:jc w:val="center"/>
              <w:rPr>
                <w:sz w:val="20"/>
              </w:rPr>
            </w:pPr>
            <w:r>
              <w:rPr>
                <w:rFonts w:hint="eastAsia"/>
                <w:sz w:val="20"/>
              </w:rPr>
              <w:t>二极管泵浦激光器</w:t>
            </w:r>
          </w:p>
        </w:tc>
      </w:tr>
      <w:tr>
        <w:tblPrEx>
          <w:tblW w:w="4928" w:type="pct"/>
          <w:tblInd w:w="0" w:type="dxa"/>
          <w:tblCellMar>
            <w:top w:w="0" w:type="dxa"/>
            <w:left w:w="108" w:type="dxa"/>
            <w:bottom w:w="0" w:type="dxa"/>
            <w:right w:w="108" w:type="dxa"/>
          </w:tblCellMar>
        </w:tblPrEx>
        <w:trPr>
          <w:trHeight w:val="151"/>
        </w:trPr>
        <w:tc>
          <w:tcPr>
            <w:tcW w:w="785" w:type="pct"/>
            <w:vMerge/>
            <w:vAlign w:val="center"/>
          </w:tcPr>
          <w:p>
            <w:pPr>
              <w:jc w:val="center"/>
              <w:rPr>
                <w:sz w:val="20"/>
              </w:rPr>
            </w:pPr>
          </w:p>
        </w:tc>
        <w:tc>
          <w:tcPr>
            <w:tcW w:w="1748" w:type="pct"/>
            <w:vAlign w:val="center"/>
          </w:tcPr>
          <w:p>
            <w:pPr>
              <w:jc w:val="center"/>
              <w:rPr>
                <w:sz w:val="20"/>
              </w:rPr>
            </w:pPr>
            <w:r>
              <w:rPr>
                <w:sz w:val="20"/>
              </w:rPr>
              <w:t>#</w:t>
            </w:r>
            <w:r>
              <w:rPr>
                <w:rFonts w:hint="eastAsia"/>
                <w:sz w:val="20"/>
              </w:rPr>
              <w:t>激光功率</w:t>
            </w:r>
          </w:p>
        </w:tc>
        <w:tc>
          <w:tcPr>
            <w:tcW w:w="2466" w:type="pct"/>
            <w:vAlign w:val="center"/>
          </w:tcPr>
          <w:p>
            <w:pPr>
              <w:jc w:val="center"/>
              <w:rPr>
                <w:sz w:val="20"/>
              </w:rPr>
            </w:pPr>
            <w:r>
              <w:rPr>
                <w:sz w:val="20"/>
              </w:rPr>
              <w:t>≥6W@355 nm</w:t>
            </w:r>
            <w:r>
              <w:rPr>
                <w:rFonts w:hint="eastAsia"/>
                <w:sz w:val="20"/>
              </w:rPr>
              <w:t>；</w:t>
            </w:r>
          </w:p>
          <w:p>
            <w:pPr>
              <w:jc w:val="center"/>
              <w:rPr>
                <w:sz w:val="20"/>
              </w:rPr>
            </w:pPr>
            <w:r>
              <w:rPr>
                <w:sz w:val="20"/>
              </w:rPr>
              <w:t>≥2W@532 nm</w:t>
            </w:r>
            <w:r>
              <w:rPr>
                <w:rFonts w:hint="eastAsia"/>
                <w:sz w:val="20"/>
              </w:rPr>
              <w:t>；</w:t>
            </w:r>
          </w:p>
          <w:p>
            <w:pPr>
              <w:jc w:val="center"/>
              <w:rPr>
                <w:sz w:val="20"/>
              </w:rPr>
            </w:pPr>
            <w:r>
              <w:rPr>
                <w:sz w:val="20"/>
              </w:rPr>
              <w:t>≥2W@1064 nm</w:t>
            </w:r>
          </w:p>
        </w:tc>
      </w:tr>
      <w:tr>
        <w:tblPrEx>
          <w:tblW w:w="4928" w:type="pct"/>
          <w:tblInd w:w="0" w:type="dxa"/>
          <w:tblCellMar>
            <w:top w:w="0" w:type="dxa"/>
            <w:left w:w="108" w:type="dxa"/>
            <w:bottom w:w="0" w:type="dxa"/>
            <w:right w:w="108" w:type="dxa"/>
          </w:tblCellMar>
        </w:tblPrEx>
        <w:trPr>
          <w:trHeight w:val="405"/>
        </w:trPr>
        <w:tc>
          <w:tcPr>
            <w:tcW w:w="785" w:type="pct"/>
            <w:vMerge/>
            <w:vAlign w:val="center"/>
          </w:tcPr>
          <w:p>
            <w:pPr>
              <w:jc w:val="center"/>
              <w:rPr>
                <w:sz w:val="20"/>
              </w:rPr>
            </w:pPr>
          </w:p>
        </w:tc>
        <w:tc>
          <w:tcPr>
            <w:tcW w:w="1748" w:type="pct"/>
            <w:vAlign w:val="center"/>
          </w:tcPr>
          <w:p>
            <w:pPr>
              <w:jc w:val="center"/>
              <w:rPr>
                <w:sz w:val="20"/>
              </w:rPr>
            </w:pPr>
            <w:r>
              <w:rPr>
                <w:sz w:val="20"/>
              </w:rPr>
              <w:t>#</w:t>
            </w:r>
            <w:r>
              <w:rPr>
                <w:rFonts w:hint="eastAsia"/>
                <w:sz w:val="20"/>
              </w:rPr>
              <w:t>脉冲重复频率</w:t>
            </w:r>
          </w:p>
        </w:tc>
        <w:tc>
          <w:tcPr>
            <w:tcW w:w="2466" w:type="pct"/>
            <w:vAlign w:val="center"/>
          </w:tcPr>
          <w:p>
            <w:pPr>
              <w:jc w:val="center"/>
              <w:rPr>
                <w:sz w:val="20"/>
              </w:rPr>
            </w:pPr>
            <w:r>
              <w:rPr>
                <w:sz w:val="20"/>
              </w:rPr>
              <w:t>≥100Hz</w:t>
            </w:r>
          </w:p>
        </w:tc>
      </w:tr>
      <w:tr>
        <w:tblPrEx>
          <w:tblW w:w="4928" w:type="pct"/>
          <w:tblInd w:w="0" w:type="dxa"/>
          <w:tblCellMar>
            <w:top w:w="0" w:type="dxa"/>
            <w:left w:w="108" w:type="dxa"/>
            <w:bottom w:w="0" w:type="dxa"/>
            <w:right w:w="108" w:type="dxa"/>
          </w:tblCellMar>
        </w:tblPrEx>
        <w:trPr>
          <w:trHeight w:val="405"/>
        </w:trPr>
        <w:tc>
          <w:tcPr>
            <w:tcW w:w="785" w:type="pct"/>
            <w:vMerge/>
            <w:vAlign w:val="center"/>
          </w:tcPr>
          <w:p>
            <w:pPr>
              <w:jc w:val="center"/>
              <w:rPr>
                <w:sz w:val="20"/>
              </w:rPr>
            </w:pPr>
          </w:p>
        </w:tc>
        <w:tc>
          <w:tcPr>
            <w:tcW w:w="1748" w:type="pct"/>
            <w:vAlign w:val="center"/>
          </w:tcPr>
          <w:p>
            <w:pPr>
              <w:jc w:val="center"/>
              <w:rPr>
                <w:sz w:val="20"/>
              </w:rPr>
            </w:pPr>
            <w:r>
              <w:rPr>
                <w:rFonts w:hint="eastAsia"/>
                <w:sz w:val="20"/>
              </w:rPr>
              <w:t>脉冲宽度</w:t>
            </w:r>
          </w:p>
        </w:tc>
        <w:tc>
          <w:tcPr>
            <w:tcW w:w="2466" w:type="pct"/>
            <w:vAlign w:val="center"/>
          </w:tcPr>
          <w:p>
            <w:pPr>
              <w:jc w:val="center"/>
              <w:rPr>
                <w:sz w:val="20"/>
              </w:rPr>
            </w:pPr>
            <w:r>
              <w:rPr>
                <w:sz w:val="20"/>
              </w:rPr>
              <w:t>≤10ns@355nm&amp;532nm</w:t>
            </w:r>
            <w:r>
              <w:rPr>
                <w:rFonts w:hint="eastAsia"/>
                <w:sz w:val="20"/>
              </w:rPr>
              <w:t>，</w:t>
            </w:r>
          </w:p>
          <w:p>
            <w:pPr>
              <w:jc w:val="center"/>
              <w:rPr>
                <w:sz w:val="20"/>
              </w:rPr>
            </w:pPr>
            <w:r>
              <w:rPr>
                <w:sz w:val="20"/>
              </w:rPr>
              <w:t>≤15ns@1064nm</w:t>
            </w:r>
          </w:p>
        </w:tc>
      </w:tr>
      <w:tr>
        <w:tblPrEx>
          <w:tblW w:w="4928" w:type="pct"/>
          <w:tblInd w:w="0" w:type="dxa"/>
          <w:tblCellMar>
            <w:top w:w="0" w:type="dxa"/>
            <w:left w:w="108" w:type="dxa"/>
            <w:bottom w:w="0" w:type="dxa"/>
            <w:right w:w="108" w:type="dxa"/>
          </w:tblCellMar>
        </w:tblPrEx>
        <w:trPr>
          <w:trHeight w:val="173"/>
        </w:trPr>
        <w:tc>
          <w:tcPr>
            <w:tcW w:w="785" w:type="pct"/>
            <w:vMerge/>
            <w:vAlign w:val="center"/>
          </w:tcPr>
          <w:p>
            <w:pPr>
              <w:jc w:val="center"/>
              <w:rPr>
                <w:sz w:val="20"/>
              </w:rPr>
            </w:pPr>
          </w:p>
        </w:tc>
        <w:tc>
          <w:tcPr>
            <w:tcW w:w="1748" w:type="pct"/>
            <w:vAlign w:val="center"/>
          </w:tcPr>
          <w:p>
            <w:pPr>
              <w:jc w:val="center"/>
              <w:rPr>
                <w:sz w:val="20"/>
              </w:rPr>
            </w:pPr>
            <w:r>
              <w:rPr>
                <w:rFonts w:hint="eastAsia"/>
                <w:sz w:val="20"/>
              </w:rPr>
              <w:t>激光发散角</w:t>
            </w:r>
          </w:p>
        </w:tc>
        <w:tc>
          <w:tcPr>
            <w:tcW w:w="2466" w:type="pct"/>
            <w:vAlign w:val="center"/>
          </w:tcPr>
          <w:p>
            <w:pPr>
              <w:jc w:val="center"/>
              <w:rPr>
                <w:sz w:val="20"/>
              </w:rPr>
            </w:pPr>
            <w:bookmarkStart w:id="60" w:name="OLE_LINK1"/>
            <w:r>
              <w:rPr>
                <w:sz w:val="20"/>
              </w:rPr>
              <w:t>≤</w:t>
            </w:r>
            <w:bookmarkEnd w:id="60"/>
            <w:r>
              <w:rPr>
                <w:sz w:val="20"/>
              </w:rPr>
              <w:t>1mrad</w:t>
            </w:r>
          </w:p>
        </w:tc>
      </w:tr>
      <w:tr>
        <w:tblPrEx>
          <w:tblW w:w="4928" w:type="pct"/>
          <w:tblInd w:w="0" w:type="dxa"/>
          <w:tblCellMar>
            <w:top w:w="0" w:type="dxa"/>
            <w:left w:w="108" w:type="dxa"/>
            <w:bottom w:w="0" w:type="dxa"/>
            <w:right w:w="108" w:type="dxa"/>
          </w:tblCellMar>
        </w:tblPrEx>
        <w:trPr>
          <w:trHeight w:val="173"/>
        </w:trPr>
        <w:tc>
          <w:tcPr>
            <w:tcW w:w="785" w:type="pct"/>
            <w:vMerge w:val="restart"/>
            <w:vAlign w:val="center"/>
          </w:tcPr>
          <w:p>
            <w:pPr>
              <w:jc w:val="center"/>
              <w:rPr>
                <w:sz w:val="20"/>
              </w:rPr>
            </w:pPr>
            <w:r>
              <w:rPr>
                <w:rFonts w:hint="eastAsia"/>
                <w:sz w:val="20"/>
              </w:rPr>
              <w:t>接收系统</w:t>
            </w:r>
          </w:p>
        </w:tc>
        <w:tc>
          <w:tcPr>
            <w:tcW w:w="1748" w:type="pct"/>
            <w:vAlign w:val="center"/>
          </w:tcPr>
          <w:p>
            <w:pPr>
              <w:jc w:val="center"/>
              <w:rPr>
                <w:sz w:val="20"/>
              </w:rPr>
            </w:pPr>
            <w:r>
              <w:rPr>
                <w:rFonts w:hint="eastAsia"/>
                <w:sz w:val="20"/>
              </w:rPr>
              <w:t>望远镜类型</w:t>
            </w:r>
          </w:p>
        </w:tc>
        <w:tc>
          <w:tcPr>
            <w:tcW w:w="2466" w:type="pct"/>
            <w:vAlign w:val="center"/>
          </w:tcPr>
          <w:p>
            <w:pPr>
              <w:jc w:val="center"/>
              <w:rPr>
                <w:sz w:val="20"/>
              </w:rPr>
            </w:pPr>
            <w:r>
              <w:rPr>
                <w:rFonts w:hint="eastAsia"/>
                <w:sz w:val="20"/>
              </w:rPr>
              <w:t>采用透射式或反射式望远镜</w:t>
            </w:r>
          </w:p>
        </w:tc>
      </w:tr>
      <w:tr>
        <w:tblPrEx>
          <w:tblW w:w="4928" w:type="pct"/>
          <w:tblInd w:w="0" w:type="dxa"/>
          <w:tblCellMar>
            <w:top w:w="0" w:type="dxa"/>
            <w:left w:w="108" w:type="dxa"/>
            <w:bottom w:w="0" w:type="dxa"/>
            <w:right w:w="108" w:type="dxa"/>
          </w:tblCellMar>
        </w:tblPrEx>
        <w:trPr>
          <w:trHeight w:val="173"/>
        </w:trPr>
        <w:tc>
          <w:tcPr>
            <w:tcW w:w="785" w:type="pct"/>
            <w:vMerge/>
            <w:vAlign w:val="center"/>
          </w:tcPr>
          <w:p>
            <w:pPr>
              <w:jc w:val="center"/>
              <w:rPr>
                <w:sz w:val="20"/>
              </w:rPr>
            </w:pPr>
          </w:p>
        </w:tc>
        <w:tc>
          <w:tcPr>
            <w:tcW w:w="1748" w:type="pct"/>
            <w:vAlign w:val="center"/>
          </w:tcPr>
          <w:p>
            <w:pPr>
              <w:jc w:val="center"/>
              <w:rPr>
                <w:sz w:val="20"/>
              </w:rPr>
            </w:pPr>
            <w:r>
              <w:rPr>
                <w:rFonts w:hint="eastAsia"/>
                <w:sz w:val="20"/>
              </w:rPr>
              <w:t>望远镜口径</w:t>
            </w:r>
          </w:p>
        </w:tc>
        <w:tc>
          <w:tcPr>
            <w:tcW w:w="2466" w:type="pct"/>
            <w:vAlign w:val="center"/>
          </w:tcPr>
          <w:p>
            <w:pPr>
              <w:jc w:val="center"/>
              <w:rPr>
                <w:sz w:val="20"/>
              </w:rPr>
            </w:pPr>
            <w:r>
              <w:rPr>
                <w:sz w:val="20"/>
              </w:rPr>
              <w:t>≥300mm</w:t>
            </w:r>
          </w:p>
        </w:tc>
      </w:tr>
      <w:tr>
        <w:tblPrEx>
          <w:tblW w:w="4928" w:type="pct"/>
          <w:tblInd w:w="0" w:type="dxa"/>
          <w:tblCellMar>
            <w:top w:w="0" w:type="dxa"/>
            <w:left w:w="108" w:type="dxa"/>
            <w:bottom w:w="0" w:type="dxa"/>
            <w:right w:w="108" w:type="dxa"/>
          </w:tblCellMar>
        </w:tblPrEx>
        <w:trPr>
          <w:trHeight w:val="173"/>
        </w:trPr>
        <w:tc>
          <w:tcPr>
            <w:tcW w:w="785" w:type="pct"/>
            <w:vMerge/>
            <w:vAlign w:val="center"/>
          </w:tcPr>
          <w:p>
            <w:pPr>
              <w:jc w:val="center"/>
              <w:rPr>
                <w:sz w:val="20"/>
              </w:rPr>
            </w:pPr>
          </w:p>
        </w:tc>
        <w:tc>
          <w:tcPr>
            <w:tcW w:w="1748" w:type="pct"/>
            <w:vAlign w:val="center"/>
          </w:tcPr>
          <w:p>
            <w:pPr>
              <w:jc w:val="center"/>
              <w:rPr>
                <w:sz w:val="20"/>
              </w:rPr>
            </w:pPr>
            <w:r>
              <w:rPr>
                <w:rFonts w:hint="eastAsia"/>
                <w:sz w:val="20"/>
              </w:rPr>
              <w:t>接收视场角</w:t>
            </w:r>
          </w:p>
        </w:tc>
        <w:tc>
          <w:tcPr>
            <w:tcW w:w="2466" w:type="pct"/>
            <w:vAlign w:val="center"/>
          </w:tcPr>
          <w:p>
            <w:pPr>
              <w:jc w:val="center"/>
              <w:rPr>
                <w:sz w:val="20"/>
              </w:rPr>
            </w:pPr>
            <w:r>
              <w:rPr>
                <w:sz w:val="20"/>
              </w:rPr>
              <w:t>≤1mrad</w:t>
            </w:r>
          </w:p>
        </w:tc>
      </w:tr>
      <w:tr>
        <w:tblPrEx>
          <w:tblW w:w="4928" w:type="pct"/>
          <w:tblInd w:w="0" w:type="dxa"/>
          <w:tblCellMar>
            <w:top w:w="0" w:type="dxa"/>
            <w:left w:w="108" w:type="dxa"/>
            <w:bottom w:w="0" w:type="dxa"/>
            <w:right w:w="108" w:type="dxa"/>
          </w:tblCellMar>
        </w:tblPrEx>
        <w:trPr>
          <w:trHeight w:val="354"/>
        </w:trPr>
        <w:tc>
          <w:tcPr>
            <w:tcW w:w="785" w:type="pct"/>
            <w:vMerge/>
            <w:vAlign w:val="center"/>
          </w:tcPr>
          <w:p>
            <w:pPr>
              <w:jc w:val="center"/>
              <w:rPr>
                <w:sz w:val="20"/>
              </w:rPr>
            </w:pPr>
          </w:p>
        </w:tc>
        <w:tc>
          <w:tcPr>
            <w:tcW w:w="1748" w:type="pct"/>
            <w:vAlign w:val="center"/>
          </w:tcPr>
          <w:p>
            <w:pPr>
              <w:jc w:val="center"/>
              <w:rPr>
                <w:sz w:val="20"/>
              </w:rPr>
            </w:pPr>
            <w:r>
              <w:rPr>
                <w:rFonts w:hint="eastAsia"/>
                <w:sz w:val="20"/>
              </w:rPr>
              <w:t>接收通道</w:t>
            </w:r>
          </w:p>
        </w:tc>
        <w:tc>
          <w:tcPr>
            <w:tcW w:w="2466" w:type="pct"/>
            <w:vAlign w:val="center"/>
          </w:tcPr>
          <w:p>
            <w:pPr>
              <w:jc w:val="center"/>
              <w:rPr>
                <w:sz w:val="20"/>
              </w:rPr>
            </w:pPr>
            <w:r>
              <w:rPr>
                <w:sz w:val="20"/>
              </w:rPr>
              <w:t>355nm</w:t>
            </w:r>
            <w:r>
              <w:rPr>
                <w:rFonts w:hint="eastAsia"/>
                <w:sz w:val="20"/>
              </w:rPr>
              <w:t>垂直，</w:t>
            </w:r>
            <w:r>
              <w:rPr>
                <w:sz w:val="20"/>
              </w:rPr>
              <w:t>355nm</w:t>
            </w:r>
            <w:r>
              <w:rPr>
                <w:rFonts w:hint="eastAsia"/>
                <w:sz w:val="20"/>
              </w:rPr>
              <w:t>平行，</w:t>
            </w:r>
            <w:r>
              <w:rPr>
                <w:sz w:val="20"/>
              </w:rPr>
              <w:t>532nm</w:t>
            </w:r>
            <w:r>
              <w:rPr>
                <w:rFonts w:hint="eastAsia"/>
                <w:sz w:val="20"/>
              </w:rPr>
              <w:t>垂直，</w:t>
            </w:r>
            <w:r>
              <w:rPr>
                <w:sz w:val="20"/>
              </w:rPr>
              <w:t>532nm</w:t>
            </w:r>
            <w:r>
              <w:rPr>
                <w:rFonts w:hint="eastAsia"/>
                <w:sz w:val="20"/>
              </w:rPr>
              <w:t>平行，</w:t>
            </w:r>
            <w:r>
              <w:rPr>
                <w:sz w:val="20"/>
              </w:rPr>
              <w:t>1064nm</w:t>
            </w:r>
            <w:r>
              <w:rPr>
                <w:rFonts w:hint="eastAsia"/>
                <w:sz w:val="20"/>
              </w:rPr>
              <w:t>，</w:t>
            </w:r>
            <w:r>
              <w:rPr>
                <w:sz w:val="20"/>
              </w:rPr>
              <w:t>386nm</w:t>
            </w:r>
            <w:r>
              <w:rPr>
                <w:rFonts w:hint="eastAsia"/>
                <w:sz w:val="20"/>
              </w:rPr>
              <w:t>氮分子拉曼，</w:t>
            </w:r>
            <w:r>
              <w:rPr>
                <w:sz w:val="20"/>
              </w:rPr>
              <w:t>407nm</w:t>
            </w:r>
            <w:r>
              <w:rPr>
                <w:rFonts w:hint="eastAsia"/>
                <w:sz w:val="20"/>
              </w:rPr>
              <w:t>水汽分子拉曼，</w:t>
            </w:r>
            <w:r>
              <w:rPr>
                <w:sz w:val="20"/>
              </w:rPr>
              <w:t>607nm</w:t>
            </w:r>
            <w:r>
              <w:rPr>
                <w:rFonts w:hint="eastAsia"/>
                <w:sz w:val="20"/>
              </w:rPr>
              <w:t>氮分子拉曼，</w:t>
            </w:r>
            <w:r>
              <w:rPr>
                <w:sz w:val="20"/>
              </w:rPr>
              <w:t>353nm</w:t>
            </w:r>
            <w:r>
              <w:rPr>
                <w:rFonts w:hint="eastAsia"/>
                <w:sz w:val="20"/>
              </w:rPr>
              <w:t>和</w:t>
            </w:r>
            <w:r>
              <w:rPr>
                <w:sz w:val="20"/>
              </w:rPr>
              <w:t xml:space="preserve">354nm </w:t>
            </w:r>
            <w:r>
              <w:rPr>
                <w:rFonts w:hint="eastAsia"/>
                <w:sz w:val="20"/>
              </w:rPr>
              <w:t>转动拉曼测温通道</w:t>
            </w:r>
          </w:p>
        </w:tc>
      </w:tr>
      <w:tr>
        <w:tblPrEx>
          <w:tblW w:w="4928" w:type="pct"/>
          <w:tblInd w:w="0" w:type="dxa"/>
          <w:tblCellMar>
            <w:top w:w="0" w:type="dxa"/>
            <w:left w:w="108" w:type="dxa"/>
            <w:bottom w:w="0" w:type="dxa"/>
            <w:right w:w="108" w:type="dxa"/>
          </w:tblCellMar>
        </w:tblPrEx>
        <w:trPr>
          <w:trHeight w:val="173"/>
        </w:trPr>
        <w:tc>
          <w:tcPr>
            <w:tcW w:w="785" w:type="pct"/>
            <w:vMerge w:val="restart"/>
            <w:vAlign w:val="center"/>
          </w:tcPr>
          <w:p>
            <w:pPr>
              <w:jc w:val="center"/>
              <w:rPr>
                <w:sz w:val="20"/>
              </w:rPr>
            </w:pPr>
            <w:r>
              <w:rPr>
                <w:rFonts w:hint="eastAsia"/>
                <w:sz w:val="20"/>
              </w:rPr>
              <w:t>光电转换和数据采集系统</w:t>
            </w:r>
          </w:p>
        </w:tc>
        <w:tc>
          <w:tcPr>
            <w:tcW w:w="1748" w:type="pct"/>
            <w:vAlign w:val="center"/>
          </w:tcPr>
          <w:p>
            <w:pPr>
              <w:jc w:val="center"/>
              <w:rPr>
                <w:sz w:val="20"/>
              </w:rPr>
            </w:pPr>
            <w:r>
              <w:rPr>
                <w:rFonts w:hint="eastAsia"/>
                <w:sz w:val="20"/>
              </w:rPr>
              <w:t>光电探测器类型</w:t>
            </w:r>
          </w:p>
        </w:tc>
        <w:tc>
          <w:tcPr>
            <w:tcW w:w="2466" w:type="pct"/>
            <w:vAlign w:val="center"/>
          </w:tcPr>
          <w:p>
            <w:pPr>
              <w:jc w:val="center"/>
              <w:rPr>
                <w:sz w:val="20"/>
              </w:rPr>
            </w:pPr>
            <w:r>
              <w:rPr>
                <w:sz w:val="20"/>
              </w:rPr>
              <w:t>PMT</w:t>
            </w:r>
            <w:r>
              <w:rPr>
                <w:rFonts w:hint="eastAsia"/>
                <w:sz w:val="20"/>
              </w:rPr>
              <w:t>、</w:t>
            </w:r>
            <w:r>
              <w:rPr>
                <w:sz w:val="20"/>
              </w:rPr>
              <w:t>APD</w:t>
            </w:r>
          </w:p>
        </w:tc>
      </w:tr>
      <w:tr>
        <w:tblPrEx>
          <w:tblW w:w="4928" w:type="pct"/>
          <w:tblInd w:w="0" w:type="dxa"/>
          <w:tblCellMar>
            <w:top w:w="0" w:type="dxa"/>
            <w:left w:w="108" w:type="dxa"/>
            <w:bottom w:w="0" w:type="dxa"/>
            <w:right w:w="108" w:type="dxa"/>
          </w:tblCellMar>
        </w:tblPrEx>
        <w:trPr>
          <w:trHeight w:val="173"/>
        </w:trPr>
        <w:tc>
          <w:tcPr>
            <w:tcW w:w="785" w:type="pct"/>
            <w:vMerge/>
            <w:vAlign w:val="center"/>
          </w:tcPr>
          <w:p>
            <w:pPr>
              <w:jc w:val="center"/>
              <w:rPr>
                <w:sz w:val="20"/>
              </w:rPr>
            </w:pPr>
          </w:p>
        </w:tc>
        <w:tc>
          <w:tcPr>
            <w:tcW w:w="1748" w:type="pct"/>
            <w:vAlign w:val="center"/>
          </w:tcPr>
          <w:p>
            <w:pPr>
              <w:jc w:val="center"/>
              <w:rPr>
                <w:sz w:val="20"/>
              </w:rPr>
            </w:pPr>
            <w:r>
              <w:rPr>
                <w:rFonts w:hint="eastAsia"/>
                <w:sz w:val="20"/>
              </w:rPr>
              <w:t>光电探测器模式</w:t>
            </w:r>
          </w:p>
        </w:tc>
        <w:tc>
          <w:tcPr>
            <w:tcW w:w="2466" w:type="pct"/>
            <w:vAlign w:val="center"/>
          </w:tcPr>
          <w:p>
            <w:pPr>
              <w:jc w:val="center"/>
              <w:rPr>
                <w:sz w:val="20"/>
              </w:rPr>
            </w:pPr>
            <w:r>
              <w:rPr>
                <w:rFonts w:hint="eastAsia"/>
                <w:sz w:val="20"/>
              </w:rPr>
              <w:t>模拟或光子计数</w:t>
            </w:r>
          </w:p>
        </w:tc>
      </w:tr>
      <w:tr>
        <w:tblPrEx>
          <w:tblW w:w="4928" w:type="pct"/>
          <w:tblInd w:w="0" w:type="dxa"/>
          <w:tblCellMar>
            <w:top w:w="0" w:type="dxa"/>
            <w:left w:w="108" w:type="dxa"/>
            <w:bottom w:w="0" w:type="dxa"/>
            <w:right w:w="108" w:type="dxa"/>
          </w:tblCellMar>
        </w:tblPrEx>
        <w:trPr>
          <w:trHeight w:val="90"/>
        </w:trPr>
        <w:tc>
          <w:tcPr>
            <w:tcW w:w="785" w:type="pct"/>
            <w:vMerge/>
            <w:vAlign w:val="center"/>
          </w:tcPr>
          <w:p>
            <w:pPr>
              <w:jc w:val="center"/>
              <w:rPr>
                <w:sz w:val="20"/>
              </w:rPr>
            </w:pPr>
          </w:p>
        </w:tc>
        <w:tc>
          <w:tcPr>
            <w:tcW w:w="1748" w:type="pct"/>
            <w:vAlign w:val="center"/>
          </w:tcPr>
          <w:p>
            <w:pPr>
              <w:jc w:val="center"/>
              <w:rPr>
                <w:sz w:val="20"/>
              </w:rPr>
            </w:pPr>
            <w:r>
              <w:rPr>
                <w:rFonts w:hint="eastAsia"/>
                <w:sz w:val="20"/>
              </w:rPr>
              <w:t>采样位数</w:t>
            </w:r>
          </w:p>
        </w:tc>
        <w:tc>
          <w:tcPr>
            <w:tcW w:w="2466" w:type="pct"/>
            <w:vAlign w:val="center"/>
          </w:tcPr>
          <w:p>
            <w:pPr>
              <w:jc w:val="center"/>
              <w:rPr>
                <w:sz w:val="20"/>
              </w:rPr>
            </w:pPr>
            <w:r>
              <w:rPr>
                <w:rFonts w:hint="eastAsia"/>
                <w:sz w:val="20"/>
              </w:rPr>
              <w:t>光子计数通道：</w:t>
            </w:r>
            <w:r>
              <w:rPr>
                <w:sz w:val="20"/>
              </w:rPr>
              <w:t>200 Mc/s</w:t>
            </w:r>
          </w:p>
        </w:tc>
      </w:tr>
      <w:tr>
        <w:tblPrEx>
          <w:tblW w:w="4928" w:type="pct"/>
          <w:tblInd w:w="0" w:type="dxa"/>
          <w:tblCellMar>
            <w:top w:w="0" w:type="dxa"/>
            <w:left w:w="108" w:type="dxa"/>
            <w:bottom w:w="0" w:type="dxa"/>
            <w:right w:w="108" w:type="dxa"/>
          </w:tblCellMar>
        </w:tblPrEx>
        <w:trPr>
          <w:trHeight w:val="173"/>
        </w:trPr>
        <w:tc>
          <w:tcPr>
            <w:tcW w:w="785" w:type="pct"/>
            <w:vMerge/>
            <w:vAlign w:val="center"/>
          </w:tcPr>
          <w:p>
            <w:pPr>
              <w:jc w:val="center"/>
              <w:rPr>
                <w:sz w:val="20"/>
              </w:rPr>
            </w:pPr>
          </w:p>
        </w:tc>
        <w:tc>
          <w:tcPr>
            <w:tcW w:w="1748" w:type="pct"/>
            <w:vAlign w:val="center"/>
          </w:tcPr>
          <w:p>
            <w:pPr>
              <w:jc w:val="center"/>
              <w:rPr>
                <w:sz w:val="20"/>
              </w:rPr>
            </w:pPr>
            <w:r>
              <w:rPr>
                <w:rFonts w:hint="eastAsia"/>
                <w:sz w:val="20"/>
              </w:rPr>
              <w:t>分光方式</w:t>
            </w:r>
          </w:p>
        </w:tc>
        <w:tc>
          <w:tcPr>
            <w:tcW w:w="2466" w:type="pct"/>
            <w:vAlign w:val="center"/>
          </w:tcPr>
          <w:p>
            <w:pPr>
              <w:jc w:val="center"/>
              <w:rPr>
                <w:sz w:val="20"/>
              </w:rPr>
            </w:pPr>
            <w:r>
              <w:rPr>
                <w:rFonts w:hint="eastAsia"/>
                <w:sz w:val="20"/>
              </w:rPr>
              <w:t>干涉滤光片分光</w:t>
            </w:r>
          </w:p>
        </w:tc>
      </w:tr>
      <w:tr>
        <w:tblPrEx>
          <w:tblW w:w="4928" w:type="pct"/>
          <w:tblInd w:w="0" w:type="dxa"/>
          <w:tblCellMar>
            <w:top w:w="0" w:type="dxa"/>
            <w:left w:w="108" w:type="dxa"/>
            <w:bottom w:w="0" w:type="dxa"/>
            <w:right w:w="108" w:type="dxa"/>
          </w:tblCellMar>
        </w:tblPrEx>
        <w:trPr>
          <w:trHeight w:val="173"/>
        </w:trPr>
        <w:tc>
          <w:tcPr>
            <w:tcW w:w="785" w:type="pct"/>
            <w:vMerge/>
            <w:vAlign w:val="center"/>
          </w:tcPr>
          <w:p>
            <w:pPr>
              <w:jc w:val="center"/>
              <w:rPr>
                <w:sz w:val="20"/>
              </w:rPr>
            </w:pPr>
          </w:p>
        </w:tc>
        <w:tc>
          <w:tcPr>
            <w:tcW w:w="1748" w:type="pct"/>
            <w:vAlign w:val="center"/>
          </w:tcPr>
          <w:p>
            <w:pPr>
              <w:jc w:val="center"/>
              <w:rPr>
                <w:sz w:val="20"/>
              </w:rPr>
            </w:pPr>
            <w:r>
              <w:rPr>
                <w:rFonts w:hint="eastAsia"/>
                <w:sz w:val="20"/>
              </w:rPr>
              <w:t>弹性到拉曼通道（</w:t>
            </w:r>
            <w:r>
              <w:rPr>
                <w:sz w:val="20"/>
              </w:rPr>
              <w:t>386</w:t>
            </w:r>
            <w:r>
              <w:rPr>
                <w:rFonts w:hint="eastAsia"/>
                <w:sz w:val="20"/>
              </w:rPr>
              <w:t>，</w:t>
            </w:r>
            <w:r>
              <w:rPr>
                <w:sz w:val="20"/>
              </w:rPr>
              <w:t>407</w:t>
            </w:r>
            <w:r>
              <w:rPr>
                <w:rFonts w:hint="eastAsia"/>
                <w:sz w:val="20"/>
              </w:rPr>
              <w:t>，</w:t>
            </w:r>
            <w:r>
              <w:rPr>
                <w:sz w:val="20"/>
              </w:rPr>
              <w:t>607</w:t>
            </w:r>
            <w:r>
              <w:rPr>
                <w:rFonts w:hint="eastAsia"/>
                <w:sz w:val="20"/>
              </w:rPr>
              <w:t>）串扰</w:t>
            </w:r>
          </w:p>
        </w:tc>
        <w:tc>
          <w:tcPr>
            <w:tcW w:w="2466" w:type="pct"/>
            <w:vAlign w:val="center"/>
          </w:tcPr>
          <w:p>
            <w:pPr>
              <w:jc w:val="center"/>
              <w:rPr>
                <w:sz w:val="20"/>
              </w:rPr>
            </w:pPr>
            <w:r>
              <w:rPr>
                <w:rFonts w:hint="eastAsia"/>
                <w:sz w:val="20"/>
              </w:rPr>
              <w:t>≤</w:t>
            </w:r>
            <w:r>
              <w:rPr>
                <w:sz w:val="20"/>
              </w:rPr>
              <w:t>0.01%</w:t>
            </w:r>
          </w:p>
        </w:tc>
      </w:tr>
      <w:tr>
        <w:tblPrEx>
          <w:tblW w:w="4928" w:type="pct"/>
          <w:tblInd w:w="0" w:type="dxa"/>
          <w:tblCellMar>
            <w:top w:w="0" w:type="dxa"/>
            <w:left w:w="108" w:type="dxa"/>
            <w:bottom w:w="0" w:type="dxa"/>
            <w:right w:w="108" w:type="dxa"/>
          </w:tblCellMar>
        </w:tblPrEx>
        <w:trPr>
          <w:trHeight w:val="173"/>
        </w:trPr>
        <w:tc>
          <w:tcPr>
            <w:tcW w:w="785" w:type="pct"/>
            <w:vMerge/>
            <w:vAlign w:val="center"/>
          </w:tcPr>
          <w:p>
            <w:pPr>
              <w:jc w:val="center"/>
              <w:rPr>
                <w:sz w:val="20"/>
              </w:rPr>
            </w:pPr>
          </w:p>
        </w:tc>
        <w:tc>
          <w:tcPr>
            <w:tcW w:w="1748" w:type="pct"/>
            <w:vAlign w:val="center"/>
          </w:tcPr>
          <w:p>
            <w:pPr>
              <w:jc w:val="center"/>
              <w:rPr>
                <w:sz w:val="20"/>
              </w:rPr>
            </w:pPr>
            <w:r>
              <w:rPr>
                <w:rFonts w:hint="eastAsia"/>
                <w:sz w:val="20"/>
              </w:rPr>
              <w:t>弹性到转动拉曼通道（测温通道）串扰</w:t>
            </w:r>
          </w:p>
        </w:tc>
        <w:tc>
          <w:tcPr>
            <w:tcW w:w="2466" w:type="pct"/>
            <w:vAlign w:val="center"/>
          </w:tcPr>
          <w:p>
            <w:pPr>
              <w:jc w:val="center"/>
              <w:rPr>
                <w:sz w:val="20"/>
              </w:rPr>
            </w:pPr>
            <w:r>
              <w:rPr>
                <w:rFonts w:hint="eastAsia"/>
                <w:sz w:val="20"/>
              </w:rPr>
              <w:t>≤</w:t>
            </w:r>
            <w:r>
              <w:rPr>
                <w:sz w:val="20"/>
              </w:rPr>
              <w:t>0.1%</w:t>
            </w:r>
          </w:p>
        </w:tc>
      </w:tr>
      <w:tr>
        <w:tblPrEx>
          <w:tblW w:w="4928" w:type="pct"/>
          <w:tblInd w:w="0" w:type="dxa"/>
          <w:tblCellMar>
            <w:top w:w="0" w:type="dxa"/>
            <w:left w:w="108" w:type="dxa"/>
            <w:bottom w:w="0" w:type="dxa"/>
            <w:right w:w="108" w:type="dxa"/>
          </w:tblCellMar>
        </w:tblPrEx>
        <w:trPr>
          <w:trHeight w:val="173"/>
        </w:trPr>
        <w:tc>
          <w:tcPr>
            <w:tcW w:w="785" w:type="pct"/>
            <w:vMerge/>
            <w:vAlign w:val="center"/>
          </w:tcPr>
          <w:p>
            <w:pPr>
              <w:jc w:val="center"/>
              <w:rPr>
                <w:sz w:val="20"/>
              </w:rPr>
            </w:pPr>
          </w:p>
        </w:tc>
        <w:tc>
          <w:tcPr>
            <w:tcW w:w="1748" w:type="pct"/>
            <w:vAlign w:val="center"/>
          </w:tcPr>
          <w:p>
            <w:pPr>
              <w:jc w:val="center"/>
              <w:rPr>
                <w:sz w:val="20"/>
              </w:rPr>
            </w:pPr>
            <w:r>
              <w:rPr>
                <w:sz w:val="20"/>
              </w:rPr>
              <w:t>#</w:t>
            </w:r>
            <w:r>
              <w:rPr>
                <w:rFonts w:hint="eastAsia"/>
                <w:sz w:val="20"/>
              </w:rPr>
              <w:t>干涉滤光片带宽</w:t>
            </w:r>
          </w:p>
        </w:tc>
        <w:tc>
          <w:tcPr>
            <w:tcW w:w="2466" w:type="pct"/>
            <w:vAlign w:val="center"/>
          </w:tcPr>
          <w:p>
            <w:pPr>
              <w:jc w:val="center"/>
              <w:rPr>
                <w:sz w:val="20"/>
              </w:rPr>
            </w:pPr>
            <w:r>
              <w:rPr>
                <w:rFonts w:hint="eastAsia"/>
                <w:sz w:val="20"/>
              </w:rPr>
              <w:t>带宽≤</w:t>
            </w:r>
            <w:r>
              <w:rPr>
                <w:sz w:val="20"/>
              </w:rPr>
              <w:t>2nm</w:t>
            </w:r>
          </w:p>
        </w:tc>
      </w:tr>
      <w:tr>
        <w:tblPrEx>
          <w:tblW w:w="4928" w:type="pct"/>
          <w:tblInd w:w="0" w:type="dxa"/>
          <w:tblCellMar>
            <w:top w:w="0" w:type="dxa"/>
            <w:left w:w="108" w:type="dxa"/>
            <w:bottom w:w="0" w:type="dxa"/>
            <w:right w:w="108" w:type="dxa"/>
          </w:tblCellMar>
        </w:tblPrEx>
        <w:trPr>
          <w:trHeight w:val="173"/>
        </w:trPr>
        <w:tc>
          <w:tcPr>
            <w:tcW w:w="785" w:type="pct"/>
            <w:vMerge/>
            <w:vAlign w:val="center"/>
          </w:tcPr>
          <w:p>
            <w:pPr>
              <w:jc w:val="center"/>
              <w:rPr>
                <w:sz w:val="20"/>
              </w:rPr>
            </w:pPr>
          </w:p>
        </w:tc>
        <w:tc>
          <w:tcPr>
            <w:tcW w:w="1748" w:type="pct"/>
            <w:vAlign w:val="center"/>
          </w:tcPr>
          <w:p>
            <w:pPr>
              <w:jc w:val="center"/>
              <w:rPr>
                <w:sz w:val="20"/>
              </w:rPr>
            </w:pPr>
            <w:r>
              <w:rPr>
                <w:rFonts w:hint="eastAsia"/>
                <w:sz w:val="20"/>
              </w:rPr>
              <w:t>干涉滤光片带宽抑制</w:t>
            </w:r>
          </w:p>
        </w:tc>
        <w:tc>
          <w:tcPr>
            <w:tcW w:w="2466" w:type="pct"/>
            <w:vAlign w:val="center"/>
          </w:tcPr>
          <w:p>
            <w:pPr>
              <w:jc w:val="center"/>
              <w:rPr>
                <w:sz w:val="20"/>
              </w:rPr>
            </w:pPr>
            <w:r>
              <w:rPr>
                <w:rFonts w:hint="eastAsia"/>
                <w:sz w:val="20"/>
              </w:rPr>
              <w:t>＞</w:t>
            </w:r>
            <w:r>
              <w:rPr>
                <w:sz w:val="20"/>
              </w:rPr>
              <w:t>OD6</w:t>
            </w:r>
          </w:p>
        </w:tc>
      </w:tr>
      <w:tr>
        <w:tblPrEx>
          <w:tblW w:w="4928" w:type="pct"/>
          <w:tblInd w:w="0" w:type="dxa"/>
          <w:tblCellMar>
            <w:top w:w="0" w:type="dxa"/>
            <w:left w:w="108" w:type="dxa"/>
            <w:bottom w:w="0" w:type="dxa"/>
            <w:right w:w="108" w:type="dxa"/>
          </w:tblCellMar>
        </w:tblPrEx>
        <w:trPr>
          <w:trHeight w:val="173"/>
        </w:trPr>
        <w:tc>
          <w:tcPr>
            <w:tcW w:w="785" w:type="pct"/>
            <w:vMerge w:val="restart"/>
            <w:vAlign w:val="center"/>
          </w:tcPr>
          <w:p>
            <w:pPr>
              <w:jc w:val="center"/>
              <w:rPr>
                <w:sz w:val="20"/>
              </w:rPr>
            </w:pPr>
            <w:r>
              <w:rPr>
                <w:rFonts w:hint="eastAsia"/>
                <w:sz w:val="20"/>
              </w:rPr>
              <w:t>性能指标</w:t>
            </w:r>
          </w:p>
        </w:tc>
        <w:tc>
          <w:tcPr>
            <w:tcW w:w="1748" w:type="pct"/>
            <w:vAlign w:val="center"/>
          </w:tcPr>
          <w:p>
            <w:pPr>
              <w:jc w:val="center"/>
              <w:rPr>
                <w:sz w:val="20"/>
              </w:rPr>
            </w:pPr>
            <w:r>
              <w:rPr>
                <w:sz w:val="20"/>
              </w:rPr>
              <w:t>#</w:t>
            </w:r>
            <w:r>
              <w:rPr>
                <w:rFonts w:hint="eastAsia"/>
                <w:sz w:val="20"/>
              </w:rPr>
              <w:t>有效探测范围</w:t>
            </w:r>
          </w:p>
        </w:tc>
        <w:tc>
          <w:tcPr>
            <w:tcW w:w="2466" w:type="pct"/>
            <w:vAlign w:val="center"/>
          </w:tcPr>
          <w:p>
            <w:pPr>
              <w:ind w:firstLine="400" w:firstLineChars="200"/>
              <w:jc w:val="center"/>
              <w:rPr>
                <w:sz w:val="20"/>
              </w:rPr>
            </w:pPr>
            <w:r>
              <w:rPr>
                <w:rFonts w:hint="eastAsia"/>
                <w:sz w:val="20"/>
              </w:rPr>
              <w:t>气溶胶通道：≥</w:t>
            </w:r>
            <w:r>
              <w:rPr>
                <w:sz w:val="20"/>
              </w:rPr>
              <w:t>10km</w:t>
            </w:r>
            <w:r>
              <w:rPr>
                <w:rFonts w:hint="eastAsia"/>
                <w:sz w:val="20"/>
              </w:rPr>
              <w:t>；</w:t>
            </w:r>
          </w:p>
          <w:p>
            <w:pPr>
              <w:jc w:val="center"/>
              <w:rPr>
                <w:sz w:val="20"/>
              </w:rPr>
            </w:pPr>
            <w:r>
              <w:rPr>
                <w:rFonts w:hint="eastAsia"/>
                <w:sz w:val="20"/>
              </w:rPr>
              <w:t>温度通道：白天≥</w:t>
            </w:r>
            <w:r>
              <w:rPr>
                <w:sz w:val="20"/>
              </w:rPr>
              <w:t>3km</w:t>
            </w:r>
            <w:r>
              <w:rPr>
                <w:rFonts w:hint="eastAsia"/>
                <w:sz w:val="20"/>
              </w:rPr>
              <w:t>，夜间≥</w:t>
            </w:r>
            <w:r>
              <w:rPr>
                <w:sz w:val="20"/>
              </w:rPr>
              <w:t>10km</w:t>
            </w:r>
            <w:r>
              <w:rPr>
                <w:rFonts w:hint="eastAsia"/>
                <w:sz w:val="20"/>
              </w:rPr>
              <w:t>；</w:t>
            </w:r>
          </w:p>
          <w:p>
            <w:pPr>
              <w:jc w:val="center"/>
              <w:rPr>
                <w:sz w:val="20"/>
              </w:rPr>
            </w:pPr>
            <w:r>
              <w:rPr>
                <w:rFonts w:hint="eastAsia"/>
                <w:sz w:val="20"/>
              </w:rPr>
              <w:t>水汽通道：白天≥</w:t>
            </w:r>
            <w:r>
              <w:rPr>
                <w:sz w:val="20"/>
              </w:rPr>
              <w:t>3km</w:t>
            </w:r>
            <w:r>
              <w:rPr>
                <w:rFonts w:hint="eastAsia"/>
                <w:sz w:val="20"/>
              </w:rPr>
              <w:t>，夜间≥</w:t>
            </w:r>
            <w:r>
              <w:rPr>
                <w:sz w:val="20"/>
              </w:rPr>
              <w:t>5km</w:t>
            </w:r>
          </w:p>
        </w:tc>
      </w:tr>
      <w:tr>
        <w:tblPrEx>
          <w:tblW w:w="4928" w:type="pct"/>
          <w:tblInd w:w="0" w:type="dxa"/>
          <w:tblCellMar>
            <w:top w:w="0" w:type="dxa"/>
            <w:left w:w="108" w:type="dxa"/>
            <w:bottom w:w="0" w:type="dxa"/>
            <w:right w:w="108" w:type="dxa"/>
          </w:tblCellMar>
        </w:tblPrEx>
        <w:trPr>
          <w:trHeight w:val="173"/>
        </w:trPr>
        <w:tc>
          <w:tcPr>
            <w:tcW w:w="785" w:type="pct"/>
            <w:vMerge/>
            <w:vAlign w:val="center"/>
          </w:tcPr>
          <w:p>
            <w:pPr>
              <w:jc w:val="center"/>
              <w:rPr>
                <w:sz w:val="20"/>
              </w:rPr>
            </w:pPr>
          </w:p>
        </w:tc>
        <w:tc>
          <w:tcPr>
            <w:tcW w:w="1748" w:type="pct"/>
            <w:vAlign w:val="center"/>
          </w:tcPr>
          <w:p>
            <w:pPr>
              <w:jc w:val="center"/>
              <w:rPr>
                <w:sz w:val="20"/>
              </w:rPr>
            </w:pPr>
            <w:r>
              <w:rPr>
                <w:rFonts w:hint="eastAsia"/>
                <w:sz w:val="20"/>
              </w:rPr>
              <w:t>空间分辨率</w:t>
            </w:r>
          </w:p>
        </w:tc>
        <w:tc>
          <w:tcPr>
            <w:tcW w:w="2466" w:type="pct"/>
            <w:vAlign w:val="center"/>
          </w:tcPr>
          <w:p>
            <w:pPr>
              <w:jc w:val="center"/>
              <w:rPr>
                <w:sz w:val="20"/>
              </w:rPr>
            </w:pPr>
            <w:r>
              <w:rPr>
                <w:sz w:val="20"/>
              </w:rPr>
              <w:t>15m</w:t>
            </w:r>
            <w:r>
              <w:rPr>
                <w:rFonts w:hint="eastAsia"/>
                <w:sz w:val="20"/>
              </w:rPr>
              <w:t>及其倍数，可调</w:t>
            </w:r>
          </w:p>
        </w:tc>
      </w:tr>
      <w:tr>
        <w:tblPrEx>
          <w:tblW w:w="4928" w:type="pct"/>
          <w:tblInd w:w="0" w:type="dxa"/>
          <w:tblCellMar>
            <w:top w:w="0" w:type="dxa"/>
            <w:left w:w="108" w:type="dxa"/>
            <w:bottom w:w="0" w:type="dxa"/>
            <w:right w:w="108" w:type="dxa"/>
          </w:tblCellMar>
        </w:tblPrEx>
        <w:trPr>
          <w:trHeight w:val="173"/>
        </w:trPr>
        <w:tc>
          <w:tcPr>
            <w:tcW w:w="785" w:type="pct"/>
            <w:vMerge/>
            <w:vAlign w:val="center"/>
          </w:tcPr>
          <w:p>
            <w:pPr>
              <w:jc w:val="center"/>
              <w:rPr>
                <w:sz w:val="20"/>
              </w:rPr>
            </w:pPr>
          </w:p>
        </w:tc>
        <w:tc>
          <w:tcPr>
            <w:tcW w:w="1748" w:type="pct"/>
            <w:vAlign w:val="center"/>
          </w:tcPr>
          <w:p>
            <w:pPr>
              <w:jc w:val="center"/>
              <w:rPr>
                <w:sz w:val="20"/>
              </w:rPr>
            </w:pPr>
            <w:r>
              <w:rPr>
                <w:rFonts w:hint="eastAsia"/>
                <w:sz w:val="20"/>
              </w:rPr>
              <w:t>时间分辨率</w:t>
            </w:r>
          </w:p>
        </w:tc>
        <w:tc>
          <w:tcPr>
            <w:tcW w:w="2466" w:type="pct"/>
            <w:vAlign w:val="center"/>
          </w:tcPr>
          <w:p>
            <w:pPr>
              <w:jc w:val="center"/>
              <w:rPr>
                <w:sz w:val="20"/>
              </w:rPr>
            </w:pPr>
            <w:r>
              <w:rPr>
                <w:sz w:val="20"/>
              </w:rPr>
              <w:t>1-30min</w:t>
            </w:r>
            <w:r>
              <w:rPr>
                <w:rFonts w:hint="eastAsia"/>
                <w:sz w:val="20"/>
              </w:rPr>
              <w:t>可调</w:t>
            </w:r>
          </w:p>
        </w:tc>
      </w:tr>
      <w:tr>
        <w:tblPrEx>
          <w:tblW w:w="4928" w:type="pct"/>
          <w:tblInd w:w="0" w:type="dxa"/>
          <w:tblCellMar>
            <w:top w:w="0" w:type="dxa"/>
            <w:left w:w="108" w:type="dxa"/>
            <w:bottom w:w="0" w:type="dxa"/>
            <w:right w:w="108" w:type="dxa"/>
          </w:tblCellMar>
        </w:tblPrEx>
        <w:trPr>
          <w:trHeight w:val="173"/>
        </w:trPr>
        <w:tc>
          <w:tcPr>
            <w:tcW w:w="785" w:type="pct"/>
            <w:vMerge/>
            <w:vAlign w:val="center"/>
          </w:tcPr>
          <w:p>
            <w:pPr>
              <w:jc w:val="center"/>
              <w:rPr>
                <w:sz w:val="20"/>
              </w:rPr>
            </w:pPr>
          </w:p>
        </w:tc>
        <w:tc>
          <w:tcPr>
            <w:tcW w:w="1748" w:type="pct"/>
            <w:vAlign w:val="center"/>
          </w:tcPr>
          <w:p>
            <w:pPr>
              <w:jc w:val="center"/>
              <w:rPr>
                <w:sz w:val="20"/>
              </w:rPr>
            </w:pPr>
            <w:r>
              <w:rPr>
                <w:rFonts w:hint="eastAsia"/>
                <w:sz w:val="20"/>
              </w:rPr>
              <w:t>数据产品种类</w:t>
            </w:r>
          </w:p>
        </w:tc>
        <w:tc>
          <w:tcPr>
            <w:tcW w:w="2466" w:type="pct"/>
            <w:vAlign w:val="center"/>
          </w:tcPr>
          <w:p>
            <w:pPr>
              <w:jc w:val="center"/>
              <w:rPr>
                <w:sz w:val="20"/>
              </w:rPr>
            </w:pPr>
            <w:r>
              <w:rPr>
                <w:rFonts w:hint="eastAsia"/>
                <w:sz w:val="20"/>
              </w:rPr>
              <w:t>水汽混合比廓线、温度廓线、气溶胶消光系数、气溶胶后向散射系数、气溶胶粒子退偏振比、云信息、光学厚度、污染物混合层高度、能见度等、</w:t>
            </w:r>
            <w:r>
              <w:rPr>
                <w:sz w:val="20"/>
              </w:rPr>
              <w:t xml:space="preserve"> PM2.5/PM10</w:t>
            </w:r>
            <w:r>
              <w:rPr>
                <w:rFonts w:hint="eastAsia"/>
                <w:sz w:val="20"/>
              </w:rPr>
              <w:t>质量浓度、气溶胶和云相态分类、气溶胶色比，气溶胶激光雷达比，复折射率指数等</w:t>
            </w:r>
          </w:p>
        </w:tc>
      </w:tr>
      <w:tr>
        <w:tblPrEx>
          <w:tblW w:w="4928" w:type="pct"/>
          <w:tblInd w:w="0" w:type="dxa"/>
          <w:tblCellMar>
            <w:top w:w="0" w:type="dxa"/>
            <w:left w:w="108" w:type="dxa"/>
            <w:bottom w:w="0" w:type="dxa"/>
            <w:right w:w="108" w:type="dxa"/>
          </w:tblCellMar>
        </w:tblPrEx>
        <w:trPr>
          <w:trHeight w:val="173"/>
        </w:trPr>
        <w:tc>
          <w:tcPr>
            <w:tcW w:w="785" w:type="pct"/>
            <w:vMerge/>
            <w:vAlign w:val="center"/>
          </w:tcPr>
          <w:p>
            <w:pPr>
              <w:jc w:val="center"/>
              <w:rPr>
                <w:sz w:val="20"/>
              </w:rPr>
            </w:pPr>
          </w:p>
        </w:tc>
        <w:tc>
          <w:tcPr>
            <w:tcW w:w="1748" w:type="pct"/>
            <w:vAlign w:val="center"/>
          </w:tcPr>
          <w:p>
            <w:pPr>
              <w:jc w:val="center"/>
              <w:rPr>
                <w:sz w:val="20"/>
              </w:rPr>
            </w:pPr>
            <w:r>
              <w:rPr>
                <w:rFonts w:hint="eastAsia"/>
                <w:sz w:val="20"/>
              </w:rPr>
              <w:t>数据格式</w:t>
            </w:r>
          </w:p>
        </w:tc>
        <w:tc>
          <w:tcPr>
            <w:tcW w:w="2466" w:type="pct"/>
            <w:vAlign w:val="center"/>
          </w:tcPr>
          <w:p>
            <w:pPr>
              <w:jc w:val="center"/>
              <w:rPr>
                <w:sz w:val="20"/>
              </w:rPr>
            </w:pPr>
            <w:r>
              <w:rPr>
                <w:rFonts w:hint="eastAsia"/>
                <w:sz w:val="20"/>
              </w:rPr>
              <w:t>按照中国气象局统一要求</w:t>
            </w:r>
          </w:p>
        </w:tc>
      </w:tr>
      <w:tr>
        <w:tblPrEx>
          <w:tblW w:w="4928" w:type="pct"/>
          <w:tblInd w:w="0" w:type="dxa"/>
          <w:tblCellMar>
            <w:top w:w="0" w:type="dxa"/>
            <w:left w:w="108" w:type="dxa"/>
            <w:bottom w:w="0" w:type="dxa"/>
            <w:right w:w="108" w:type="dxa"/>
          </w:tblCellMar>
        </w:tblPrEx>
        <w:trPr>
          <w:trHeight w:val="347"/>
        </w:trPr>
        <w:tc>
          <w:tcPr>
            <w:tcW w:w="785" w:type="pct"/>
            <w:vMerge/>
            <w:vAlign w:val="center"/>
          </w:tcPr>
          <w:p>
            <w:pPr>
              <w:jc w:val="center"/>
              <w:rPr>
                <w:sz w:val="20"/>
              </w:rPr>
            </w:pPr>
          </w:p>
        </w:tc>
        <w:tc>
          <w:tcPr>
            <w:tcW w:w="1748" w:type="pct"/>
            <w:vMerge w:val="restart"/>
            <w:vAlign w:val="center"/>
          </w:tcPr>
          <w:p>
            <w:pPr>
              <w:jc w:val="center"/>
              <w:rPr>
                <w:sz w:val="20"/>
              </w:rPr>
            </w:pPr>
            <w:r>
              <w:rPr>
                <w:sz w:val="20"/>
              </w:rPr>
              <w:t>#</w:t>
            </w:r>
            <w:r>
              <w:rPr>
                <w:rFonts w:hint="eastAsia"/>
                <w:sz w:val="20"/>
              </w:rPr>
              <w:t>温度夜间探测精度</w:t>
            </w:r>
          </w:p>
        </w:tc>
        <w:tc>
          <w:tcPr>
            <w:tcW w:w="2466" w:type="pct"/>
            <w:vAlign w:val="center"/>
          </w:tcPr>
          <w:p>
            <w:pPr>
              <w:jc w:val="center"/>
              <w:rPr>
                <w:sz w:val="20"/>
              </w:rPr>
            </w:pPr>
            <w:r>
              <w:rPr>
                <w:sz w:val="20"/>
              </w:rPr>
              <w:t>0.5-2km</w:t>
            </w:r>
            <w:r>
              <w:rPr>
                <w:rFonts w:hint="eastAsia"/>
                <w:sz w:val="20"/>
              </w:rPr>
              <w:t>，温度平均偏差小于</w:t>
            </w:r>
            <w:r>
              <w:rPr>
                <w:sz w:val="20"/>
              </w:rPr>
              <w:t>2K</w:t>
            </w:r>
          </w:p>
        </w:tc>
      </w:tr>
      <w:tr>
        <w:tblPrEx>
          <w:tblW w:w="4928" w:type="pct"/>
          <w:tblInd w:w="0" w:type="dxa"/>
          <w:tblCellMar>
            <w:top w:w="0" w:type="dxa"/>
            <w:left w:w="108" w:type="dxa"/>
            <w:bottom w:w="0" w:type="dxa"/>
            <w:right w:w="108" w:type="dxa"/>
          </w:tblCellMar>
        </w:tblPrEx>
        <w:trPr>
          <w:trHeight w:val="347"/>
        </w:trPr>
        <w:tc>
          <w:tcPr>
            <w:tcW w:w="785" w:type="pct"/>
            <w:vMerge/>
            <w:vAlign w:val="center"/>
          </w:tcPr>
          <w:p>
            <w:pPr>
              <w:jc w:val="center"/>
              <w:rPr>
                <w:sz w:val="20"/>
              </w:rPr>
            </w:pPr>
          </w:p>
        </w:tc>
        <w:tc>
          <w:tcPr>
            <w:tcW w:w="1748" w:type="pct"/>
            <w:vMerge/>
            <w:vAlign w:val="center"/>
          </w:tcPr>
          <w:p>
            <w:pPr>
              <w:jc w:val="center"/>
              <w:rPr>
                <w:sz w:val="20"/>
              </w:rPr>
            </w:pPr>
          </w:p>
        </w:tc>
        <w:tc>
          <w:tcPr>
            <w:tcW w:w="2466" w:type="pct"/>
            <w:vAlign w:val="center"/>
          </w:tcPr>
          <w:p>
            <w:pPr>
              <w:jc w:val="center"/>
              <w:rPr>
                <w:sz w:val="20"/>
              </w:rPr>
            </w:pPr>
            <w:r>
              <w:rPr>
                <w:sz w:val="20"/>
              </w:rPr>
              <w:t>2-4km</w:t>
            </w:r>
            <w:r>
              <w:rPr>
                <w:rFonts w:hint="eastAsia"/>
                <w:sz w:val="20"/>
              </w:rPr>
              <w:t>，温度平均偏差小于</w:t>
            </w:r>
            <w:r>
              <w:rPr>
                <w:sz w:val="20"/>
              </w:rPr>
              <w:t>2K</w:t>
            </w:r>
          </w:p>
        </w:tc>
      </w:tr>
      <w:tr>
        <w:tblPrEx>
          <w:tblW w:w="4928" w:type="pct"/>
          <w:tblInd w:w="0" w:type="dxa"/>
          <w:tblCellMar>
            <w:top w:w="0" w:type="dxa"/>
            <w:left w:w="108" w:type="dxa"/>
            <w:bottom w:w="0" w:type="dxa"/>
            <w:right w:w="108" w:type="dxa"/>
          </w:tblCellMar>
        </w:tblPrEx>
        <w:trPr>
          <w:trHeight w:val="347"/>
        </w:trPr>
        <w:tc>
          <w:tcPr>
            <w:tcW w:w="785" w:type="pct"/>
            <w:vMerge/>
            <w:vAlign w:val="center"/>
          </w:tcPr>
          <w:p>
            <w:pPr>
              <w:jc w:val="center"/>
              <w:rPr>
                <w:sz w:val="20"/>
              </w:rPr>
            </w:pPr>
          </w:p>
        </w:tc>
        <w:tc>
          <w:tcPr>
            <w:tcW w:w="1748" w:type="pct"/>
            <w:vMerge w:val="restart"/>
            <w:vAlign w:val="center"/>
          </w:tcPr>
          <w:p>
            <w:pPr>
              <w:jc w:val="center"/>
              <w:rPr>
                <w:sz w:val="20"/>
              </w:rPr>
            </w:pPr>
            <w:r>
              <w:rPr>
                <w:sz w:val="20"/>
              </w:rPr>
              <w:t>#</w:t>
            </w:r>
            <w:r>
              <w:rPr>
                <w:rFonts w:hint="eastAsia"/>
                <w:sz w:val="20"/>
              </w:rPr>
              <w:t>温度白天探测精度</w:t>
            </w:r>
          </w:p>
        </w:tc>
        <w:tc>
          <w:tcPr>
            <w:tcW w:w="2466" w:type="pct"/>
            <w:vAlign w:val="center"/>
          </w:tcPr>
          <w:p>
            <w:pPr>
              <w:jc w:val="center"/>
              <w:rPr>
                <w:sz w:val="20"/>
              </w:rPr>
            </w:pPr>
            <w:r>
              <w:rPr>
                <w:sz w:val="20"/>
              </w:rPr>
              <w:t>0.5-1.5km</w:t>
            </w:r>
            <w:r>
              <w:rPr>
                <w:rFonts w:hint="eastAsia"/>
                <w:sz w:val="20"/>
              </w:rPr>
              <w:t>，温度平均偏差小于</w:t>
            </w:r>
            <w:r>
              <w:rPr>
                <w:sz w:val="20"/>
              </w:rPr>
              <w:t>2K</w:t>
            </w:r>
          </w:p>
        </w:tc>
      </w:tr>
      <w:tr>
        <w:tblPrEx>
          <w:tblW w:w="4928" w:type="pct"/>
          <w:tblInd w:w="0" w:type="dxa"/>
          <w:tblCellMar>
            <w:top w:w="0" w:type="dxa"/>
            <w:left w:w="108" w:type="dxa"/>
            <w:bottom w:w="0" w:type="dxa"/>
            <w:right w:w="108" w:type="dxa"/>
          </w:tblCellMar>
        </w:tblPrEx>
        <w:trPr>
          <w:trHeight w:val="347"/>
        </w:trPr>
        <w:tc>
          <w:tcPr>
            <w:tcW w:w="785" w:type="pct"/>
            <w:vMerge/>
            <w:vAlign w:val="center"/>
          </w:tcPr>
          <w:p>
            <w:pPr>
              <w:jc w:val="center"/>
              <w:rPr>
                <w:sz w:val="20"/>
              </w:rPr>
            </w:pPr>
          </w:p>
        </w:tc>
        <w:tc>
          <w:tcPr>
            <w:tcW w:w="1748" w:type="pct"/>
            <w:vMerge/>
            <w:vAlign w:val="center"/>
          </w:tcPr>
          <w:p>
            <w:pPr>
              <w:jc w:val="center"/>
              <w:rPr>
                <w:sz w:val="20"/>
              </w:rPr>
            </w:pPr>
          </w:p>
        </w:tc>
        <w:tc>
          <w:tcPr>
            <w:tcW w:w="2466" w:type="pct"/>
            <w:vAlign w:val="center"/>
          </w:tcPr>
          <w:p>
            <w:pPr>
              <w:jc w:val="center"/>
              <w:rPr>
                <w:sz w:val="20"/>
              </w:rPr>
            </w:pPr>
            <w:r>
              <w:rPr>
                <w:sz w:val="20"/>
              </w:rPr>
              <w:t>1.5-3km</w:t>
            </w:r>
            <w:r>
              <w:rPr>
                <w:rFonts w:hint="eastAsia"/>
                <w:sz w:val="20"/>
              </w:rPr>
              <w:t>，温度平均偏差小于</w:t>
            </w:r>
            <w:r>
              <w:rPr>
                <w:sz w:val="20"/>
              </w:rPr>
              <w:t>2K</w:t>
            </w:r>
          </w:p>
        </w:tc>
      </w:tr>
      <w:tr>
        <w:tblPrEx>
          <w:tblW w:w="4928" w:type="pct"/>
          <w:tblInd w:w="0" w:type="dxa"/>
          <w:tblCellMar>
            <w:top w:w="0" w:type="dxa"/>
            <w:left w:w="108" w:type="dxa"/>
            <w:bottom w:w="0" w:type="dxa"/>
            <w:right w:w="108" w:type="dxa"/>
          </w:tblCellMar>
        </w:tblPrEx>
        <w:trPr>
          <w:trHeight w:val="347"/>
        </w:trPr>
        <w:tc>
          <w:tcPr>
            <w:tcW w:w="785" w:type="pct"/>
            <w:vMerge/>
            <w:vAlign w:val="center"/>
          </w:tcPr>
          <w:p>
            <w:pPr>
              <w:jc w:val="center"/>
              <w:rPr>
                <w:sz w:val="20"/>
              </w:rPr>
            </w:pPr>
          </w:p>
        </w:tc>
        <w:tc>
          <w:tcPr>
            <w:tcW w:w="1748" w:type="pct"/>
            <w:vMerge w:val="restart"/>
            <w:vAlign w:val="center"/>
          </w:tcPr>
          <w:p>
            <w:pPr>
              <w:jc w:val="center"/>
              <w:rPr>
                <w:sz w:val="20"/>
              </w:rPr>
            </w:pPr>
            <w:r>
              <w:rPr>
                <w:sz w:val="20"/>
              </w:rPr>
              <w:t>#</w:t>
            </w:r>
            <w:r>
              <w:rPr>
                <w:rFonts w:hint="eastAsia"/>
                <w:sz w:val="20"/>
              </w:rPr>
              <w:t>水汽夜间探测精度</w:t>
            </w:r>
          </w:p>
        </w:tc>
        <w:tc>
          <w:tcPr>
            <w:tcW w:w="2466" w:type="pct"/>
            <w:vAlign w:val="center"/>
          </w:tcPr>
          <w:p>
            <w:pPr>
              <w:jc w:val="center"/>
              <w:rPr>
                <w:sz w:val="20"/>
              </w:rPr>
            </w:pPr>
            <w:r>
              <w:rPr>
                <w:sz w:val="20"/>
              </w:rPr>
              <w:t>0.5-1km</w:t>
            </w:r>
            <w:r>
              <w:rPr>
                <w:rFonts w:hint="eastAsia"/>
                <w:sz w:val="20"/>
              </w:rPr>
              <w:t>，相对湿度平均偏差小于</w:t>
            </w:r>
            <w:r>
              <w:rPr>
                <w:sz w:val="20"/>
              </w:rPr>
              <w:t>15%</w:t>
            </w:r>
          </w:p>
        </w:tc>
      </w:tr>
      <w:tr>
        <w:tblPrEx>
          <w:tblW w:w="4928" w:type="pct"/>
          <w:tblInd w:w="0" w:type="dxa"/>
          <w:tblCellMar>
            <w:top w:w="0" w:type="dxa"/>
            <w:left w:w="108" w:type="dxa"/>
            <w:bottom w:w="0" w:type="dxa"/>
            <w:right w:w="108" w:type="dxa"/>
          </w:tblCellMar>
        </w:tblPrEx>
        <w:trPr>
          <w:trHeight w:val="347"/>
        </w:trPr>
        <w:tc>
          <w:tcPr>
            <w:tcW w:w="785" w:type="pct"/>
            <w:vMerge/>
            <w:vAlign w:val="center"/>
          </w:tcPr>
          <w:p>
            <w:pPr>
              <w:jc w:val="center"/>
              <w:rPr>
                <w:sz w:val="20"/>
              </w:rPr>
            </w:pPr>
          </w:p>
        </w:tc>
        <w:tc>
          <w:tcPr>
            <w:tcW w:w="1748" w:type="pct"/>
            <w:vMerge/>
            <w:vAlign w:val="center"/>
          </w:tcPr>
          <w:p>
            <w:pPr>
              <w:jc w:val="center"/>
              <w:rPr>
                <w:sz w:val="20"/>
              </w:rPr>
            </w:pPr>
          </w:p>
        </w:tc>
        <w:tc>
          <w:tcPr>
            <w:tcW w:w="2466" w:type="pct"/>
            <w:vAlign w:val="center"/>
          </w:tcPr>
          <w:p>
            <w:pPr>
              <w:jc w:val="center"/>
              <w:rPr>
                <w:sz w:val="20"/>
              </w:rPr>
            </w:pPr>
            <w:r>
              <w:rPr>
                <w:sz w:val="20"/>
              </w:rPr>
              <w:t>1-3km</w:t>
            </w:r>
            <w:r>
              <w:rPr>
                <w:rFonts w:hint="eastAsia"/>
                <w:sz w:val="20"/>
              </w:rPr>
              <w:t>，相对湿度平均偏差小于</w:t>
            </w:r>
            <w:r>
              <w:rPr>
                <w:sz w:val="20"/>
              </w:rPr>
              <w:t>15%</w:t>
            </w:r>
          </w:p>
        </w:tc>
      </w:tr>
      <w:tr>
        <w:tblPrEx>
          <w:tblW w:w="4928" w:type="pct"/>
          <w:tblInd w:w="0" w:type="dxa"/>
          <w:tblCellMar>
            <w:top w:w="0" w:type="dxa"/>
            <w:left w:w="108" w:type="dxa"/>
            <w:bottom w:w="0" w:type="dxa"/>
            <w:right w:w="108" w:type="dxa"/>
          </w:tblCellMar>
        </w:tblPrEx>
        <w:trPr>
          <w:trHeight w:val="347"/>
        </w:trPr>
        <w:tc>
          <w:tcPr>
            <w:tcW w:w="785" w:type="pct"/>
            <w:vMerge/>
            <w:vAlign w:val="center"/>
          </w:tcPr>
          <w:p>
            <w:pPr>
              <w:jc w:val="center"/>
              <w:rPr>
                <w:sz w:val="20"/>
              </w:rPr>
            </w:pPr>
          </w:p>
        </w:tc>
        <w:tc>
          <w:tcPr>
            <w:tcW w:w="1748" w:type="pct"/>
            <w:vMerge w:val="restart"/>
            <w:vAlign w:val="center"/>
          </w:tcPr>
          <w:p>
            <w:pPr>
              <w:jc w:val="center"/>
              <w:rPr>
                <w:sz w:val="20"/>
              </w:rPr>
            </w:pPr>
            <w:r>
              <w:rPr>
                <w:sz w:val="20"/>
              </w:rPr>
              <w:t>#</w:t>
            </w:r>
            <w:r>
              <w:rPr>
                <w:rFonts w:hint="eastAsia"/>
                <w:sz w:val="20"/>
              </w:rPr>
              <w:t>水汽白天探测精度</w:t>
            </w:r>
          </w:p>
        </w:tc>
        <w:tc>
          <w:tcPr>
            <w:tcW w:w="2466" w:type="pct"/>
            <w:vAlign w:val="center"/>
          </w:tcPr>
          <w:p>
            <w:pPr>
              <w:jc w:val="center"/>
              <w:rPr>
                <w:sz w:val="20"/>
              </w:rPr>
            </w:pPr>
            <w:r>
              <w:rPr>
                <w:sz w:val="20"/>
              </w:rPr>
              <w:t>0.5-1km</w:t>
            </w:r>
            <w:r>
              <w:rPr>
                <w:rFonts w:hint="eastAsia"/>
                <w:sz w:val="20"/>
              </w:rPr>
              <w:t>，相对湿度平均偏差小于</w:t>
            </w:r>
            <w:r>
              <w:rPr>
                <w:sz w:val="20"/>
              </w:rPr>
              <w:t>15%</w:t>
            </w:r>
          </w:p>
        </w:tc>
      </w:tr>
      <w:tr>
        <w:tblPrEx>
          <w:tblW w:w="4928" w:type="pct"/>
          <w:tblInd w:w="0" w:type="dxa"/>
          <w:tblCellMar>
            <w:top w:w="0" w:type="dxa"/>
            <w:left w:w="108" w:type="dxa"/>
            <w:bottom w:w="0" w:type="dxa"/>
            <w:right w:w="108" w:type="dxa"/>
          </w:tblCellMar>
        </w:tblPrEx>
        <w:trPr>
          <w:trHeight w:val="347"/>
        </w:trPr>
        <w:tc>
          <w:tcPr>
            <w:tcW w:w="785" w:type="pct"/>
            <w:vMerge/>
            <w:vAlign w:val="center"/>
          </w:tcPr>
          <w:p>
            <w:pPr>
              <w:jc w:val="center"/>
              <w:rPr>
                <w:sz w:val="20"/>
              </w:rPr>
            </w:pPr>
          </w:p>
        </w:tc>
        <w:tc>
          <w:tcPr>
            <w:tcW w:w="1748" w:type="pct"/>
            <w:vMerge/>
            <w:vAlign w:val="center"/>
          </w:tcPr>
          <w:p>
            <w:pPr>
              <w:jc w:val="center"/>
              <w:rPr>
                <w:sz w:val="20"/>
              </w:rPr>
            </w:pPr>
          </w:p>
        </w:tc>
        <w:tc>
          <w:tcPr>
            <w:tcW w:w="2466" w:type="pct"/>
            <w:vAlign w:val="center"/>
          </w:tcPr>
          <w:p>
            <w:pPr>
              <w:jc w:val="center"/>
              <w:rPr>
                <w:sz w:val="20"/>
              </w:rPr>
            </w:pPr>
            <w:r>
              <w:rPr>
                <w:sz w:val="20"/>
              </w:rPr>
              <w:t>1-2km</w:t>
            </w:r>
            <w:r>
              <w:rPr>
                <w:rFonts w:hint="eastAsia"/>
                <w:sz w:val="20"/>
              </w:rPr>
              <w:t>，相对湿度平均偏差小于</w:t>
            </w:r>
            <w:r>
              <w:rPr>
                <w:sz w:val="20"/>
              </w:rPr>
              <w:t>15%</w:t>
            </w:r>
          </w:p>
        </w:tc>
      </w:tr>
      <w:tr>
        <w:tblPrEx>
          <w:tblW w:w="4928" w:type="pct"/>
          <w:tblInd w:w="0" w:type="dxa"/>
          <w:tblCellMar>
            <w:top w:w="0" w:type="dxa"/>
            <w:left w:w="108" w:type="dxa"/>
            <w:bottom w:w="0" w:type="dxa"/>
            <w:right w:w="108" w:type="dxa"/>
          </w:tblCellMar>
        </w:tblPrEx>
        <w:trPr>
          <w:trHeight w:val="347"/>
        </w:trPr>
        <w:tc>
          <w:tcPr>
            <w:tcW w:w="785" w:type="pct"/>
            <w:vMerge/>
            <w:vAlign w:val="center"/>
          </w:tcPr>
          <w:p>
            <w:pPr>
              <w:jc w:val="center"/>
              <w:rPr>
                <w:sz w:val="20"/>
              </w:rPr>
            </w:pPr>
          </w:p>
        </w:tc>
        <w:tc>
          <w:tcPr>
            <w:tcW w:w="1748" w:type="pct"/>
            <w:vAlign w:val="center"/>
          </w:tcPr>
          <w:p>
            <w:pPr>
              <w:jc w:val="center"/>
              <w:rPr>
                <w:sz w:val="20"/>
              </w:rPr>
            </w:pPr>
            <w:r>
              <w:rPr>
                <w:sz w:val="20"/>
              </w:rPr>
              <w:t>#</w:t>
            </w:r>
            <w:r>
              <w:rPr>
                <w:rFonts w:hint="eastAsia"/>
                <w:sz w:val="20"/>
              </w:rPr>
              <w:t>气溶胶后向散射系数精度</w:t>
            </w:r>
          </w:p>
        </w:tc>
        <w:tc>
          <w:tcPr>
            <w:tcW w:w="2466" w:type="pct"/>
            <w:vAlign w:val="center"/>
          </w:tcPr>
          <w:p>
            <w:pPr>
              <w:jc w:val="center"/>
              <w:rPr>
                <w:sz w:val="20"/>
              </w:rPr>
            </w:pPr>
            <w:r>
              <w:rPr>
                <w:rFonts w:hint="eastAsia"/>
                <w:sz w:val="20"/>
              </w:rPr>
              <w:t>米散射：</w:t>
            </w:r>
            <w:r>
              <w:rPr>
                <w:sz w:val="20"/>
              </w:rPr>
              <w:t>0.5-2 km</w:t>
            </w:r>
            <w:r>
              <w:rPr>
                <w:rFonts w:hint="eastAsia"/>
                <w:sz w:val="20"/>
              </w:rPr>
              <w:t>：不大于</w:t>
            </w:r>
            <w:r>
              <w:rPr>
                <w:sz w:val="20"/>
              </w:rPr>
              <w:t>20%</w:t>
            </w:r>
            <w:r>
              <w:rPr>
                <w:rFonts w:hint="eastAsia"/>
                <w:sz w:val="20"/>
              </w:rPr>
              <w:t>，满足后向散射系数</w:t>
            </w:r>
            <w:r>
              <w:rPr>
                <w:sz w:val="20"/>
              </w:rPr>
              <w:t>&gt;1</w:t>
            </w:r>
            <w:r>
              <w:rPr>
                <w:rFonts w:hint="eastAsia"/>
                <w:sz w:val="20"/>
              </w:rPr>
              <w:t>×</w:t>
            </w:r>
            <w:r>
              <w:rPr>
                <w:sz w:val="20"/>
              </w:rPr>
              <w:t>10-7</w:t>
            </w:r>
            <w:r>
              <w:rPr>
                <w:rFonts w:hint="eastAsia"/>
                <w:sz w:val="20"/>
              </w:rPr>
              <w:t>时，</w:t>
            </w:r>
            <w:r>
              <w:rPr>
                <w:sz w:val="20"/>
              </w:rPr>
              <w:t>2-5 km</w:t>
            </w:r>
            <w:r>
              <w:rPr>
                <w:rFonts w:hint="eastAsia"/>
                <w:sz w:val="20"/>
              </w:rPr>
              <w:t>：不大于</w:t>
            </w:r>
            <w:r>
              <w:rPr>
                <w:sz w:val="20"/>
              </w:rPr>
              <w:t>40%</w:t>
            </w:r>
            <w:r>
              <w:rPr>
                <w:rFonts w:hint="eastAsia"/>
                <w:sz w:val="20"/>
              </w:rPr>
              <w:t>（不计入激光观测仪比误差）；</w:t>
            </w:r>
          </w:p>
          <w:p>
            <w:pPr>
              <w:jc w:val="center"/>
              <w:rPr>
                <w:sz w:val="20"/>
              </w:rPr>
            </w:pPr>
            <w:r>
              <w:rPr>
                <w:rFonts w:hint="eastAsia"/>
                <w:sz w:val="20"/>
              </w:rPr>
              <w:t>拉曼散射：</w:t>
            </w:r>
            <w:r>
              <w:rPr>
                <w:sz w:val="20"/>
              </w:rPr>
              <w:t>0.5-2 km</w:t>
            </w:r>
            <w:r>
              <w:rPr>
                <w:rFonts w:hint="eastAsia"/>
                <w:sz w:val="20"/>
              </w:rPr>
              <w:t>：不大于</w:t>
            </w:r>
            <w:r>
              <w:rPr>
                <w:sz w:val="20"/>
              </w:rPr>
              <w:t>25%</w:t>
            </w:r>
            <w:r>
              <w:rPr>
                <w:rFonts w:hint="eastAsia"/>
                <w:sz w:val="20"/>
              </w:rPr>
              <w:t>，</w:t>
            </w:r>
            <w:r>
              <w:rPr>
                <w:sz w:val="20"/>
              </w:rPr>
              <w:t>2-5 km</w:t>
            </w:r>
            <w:r>
              <w:rPr>
                <w:rFonts w:hint="eastAsia"/>
                <w:sz w:val="20"/>
              </w:rPr>
              <w:t>：不大于</w:t>
            </w:r>
            <w:r>
              <w:rPr>
                <w:sz w:val="20"/>
              </w:rPr>
              <w:t>30%</w:t>
            </w:r>
            <w:r>
              <w:rPr>
                <w:rFonts w:hint="eastAsia"/>
                <w:sz w:val="20"/>
              </w:rPr>
              <w:t>（不计入激光观测仪比误差）</w:t>
            </w:r>
          </w:p>
        </w:tc>
      </w:tr>
      <w:tr>
        <w:tblPrEx>
          <w:tblW w:w="4928" w:type="pct"/>
          <w:tblInd w:w="0" w:type="dxa"/>
          <w:tblCellMar>
            <w:top w:w="0" w:type="dxa"/>
            <w:left w:w="108" w:type="dxa"/>
            <w:bottom w:w="0" w:type="dxa"/>
            <w:right w:w="108" w:type="dxa"/>
          </w:tblCellMar>
        </w:tblPrEx>
        <w:trPr>
          <w:trHeight w:val="347"/>
        </w:trPr>
        <w:tc>
          <w:tcPr>
            <w:tcW w:w="785" w:type="pct"/>
            <w:vMerge/>
            <w:vAlign w:val="center"/>
          </w:tcPr>
          <w:p>
            <w:pPr>
              <w:jc w:val="center"/>
              <w:rPr>
                <w:sz w:val="20"/>
              </w:rPr>
            </w:pPr>
          </w:p>
        </w:tc>
        <w:tc>
          <w:tcPr>
            <w:tcW w:w="1748" w:type="pct"/>
            <w:vAlign w:val="center"/>
          </w:tcPr>
          <w:p>
            <w:pPr>
              <w:jc w:val="center"/>
              <w:rPr>
                <w:sz w:val="20"/>
              </w:rPr>
            </w:pPr>
            <w:r>
              <w:rPr>
                <w:sz w:val="20"/>
              </w:rPr>
              <w:t>#</w:t>
            </w:r>
            <w:r>
              <w:rPr>
                <w:rFonts w:hint="eastAsia"/>
                <w:sz w:val="20"/>
              </w:rPr>
              <w:t>气溶胶消光系数测量精度</w:t>
            </w:r>
          </w:p>
        </w:tc>
        <w:tc>
          <w:tcPr>
            <w:tcW w:w="2466" w:type="pct"/>
            <w:vAlign w:val="center"/>
          </w:tcPr>
          <w:p>
            <w:pPr>
              <w:jc w:val="center"/>
              <w:rPr>
                <w:sz w:val="20"/>
              </w:rPr>
            </w:pPr>
            <w:r>
              <w:rPr>
                <w:rFonts w:hint="eastAsia"/>
                <w:sz w:val="20"/>
              </w:rPr>
              <w:t>米散射：</w:t>
            </w:r>
            <w:r>
              <w:rPr>
                <w:sz w:val="20"/>
              </w:rPr>
              <w:t>0.5-2 km</w:t>
            </w:r>
            <w:r>
              <w:rPr>
                <w:rFonts w:hint="eastAsia"/>
                <w:sz w:val="20"/>
              </w:rPr>
              <w:t>：不大于</w:t>
            </w:r>
            <w:r>
              <w:rPr>
                <w:sz w:val="20"/>
              </w:rPr>
              <w:t>20%</w:t>
            </w:r>
            <w:r>
              <w:rPr>
                <w:rFonts w:hint="eastAsia"/>
                <w:sz w:val="20"/>
              </w:rPr>
              <w:t>，满足后向散射系数</w:t>
            </w:r>
            <w:r>
              <w:rPr>
                <w:sz w:val="20"/>
              </w:rPr>
              <w:t>&gt;1</w:t>
            </w:r>
            <w:r>
              <w:rPr>
                <w:rFonts w:hint="eastAsia"/>
                <w:sz w:val="20"/>
              </w:rPr>
              <w:t>×</w:t>
            </w:r>
            <w:r>
              <w:rPr>
                <w:sz w:val="20"/>
              </w:rPr>
              <w:t>10-7</w:t>
            </w:r>
            <w:r>
              <w:rPr>
                <w:rFonts w:hint="eastAsia"/>
                <w:sz w:val="20"/>
              </w:rPr>
              <w:t>时，</w:t>
            </w:r>
            <w:r>
              <w:rPr>
                <w:sz w:val="20"/>
              </w:rPr>
              <w:t>2-5 km</w:t>
            </w:r>
            <w:r>
              <w:rPr>
                <w:rFonts w:hint="eastAsia"/>
                <w:sz w:val="20"/>
              </w:rPr>
              <w:t>：不大于</w:t>
            </w:r>
            <w:r>
              <w:rPr>
                <w:sz w:val="20"/>
              </w:rPr>
              <w:t>40%</w:t>
            </w:r>
            <w:r>
              <w:rPr>
                <w:rFonts w:hint="eastAsia"/>
                <w:sz w:val="20"/>
              </w:rPr>
              <w:t>（不计入激光观测仪比误差）；</w:t>
            </w:r>
          </w:p>
          <w:p>
            <w:pPr>
              <w:jc w:val="center"/>
              <w:rPr>
                <w:sz w:val="20"/>
              </w:rPr>
            </w:pPr>
            <w:r>
              <w:rPr>
                <w:rFonts w:hint="eastAsia"/>
                <w:sz w:val="20"/>
              </w:rPr>
              <w:t>拉曼散射：</w:t>
            </w:r>
            <w:r>
              <w:rPr>
                <w:sz w:val="20"/>
              </w:rPr>
              <w:t>0.5-2 km</w:t>
            </w:r>
            <w:r>
              <w:rPr>
                <w:rFonts w:hint="eastAsia"/>
                <w:sz w:val="20"/>
              </w:rPr>
              <w:t>：不大于</w:t>
            </w:r>
            <w:r>
              <w:rPr>
                <w:sz w:val="20"/>
              </w:rPr>
              <w:t>30%</w:t>
            </w:r>
            <w:r>
              <w:rPr>
                <w:rFonts w:hint="eastAsia"/>
                <w:sz w:val="20"/>
              </w:rPr>
              <w:t>，</w:t>
            </w:r>
            <w:r>
              <w:rPr>
                <w:sz w:val="20"/>
              </w:rPr>
              <w:t xml:space="preserve"> 2-5 km</w:t>
            </w:r>
            <w:r>
              <w:rPr>
                <w:rFonts w:hint="eastAsia"/>
                <w:sz w:val="20"/>
              </w:rPr>
              <w:t>：不大于</w:t>
            </w:r>
            <w:r>
              <w:rPr>
                <w:sz w:val="20"/>
              </w:rPr>
              <w:t>40%</w:t>
            </w:r>
            <w:r>
              <w:rPr>
                <w:rFonts w:hint="eastAsia"/>
                <w:sz w:val="20"/>
              </w:rPr>
              <w:t>；</w:t>
            </w:r>
          </w:p>
        </w:tc>
      </w:tr>
      <w:tr>
        <w:tblPrEx>
          <w:tblW w:w="4928" w:type="pct"/>
          <w:tblInd w:w="0" w:type="dxa"/>
          <w:tblCellMar>
            <w:top w:w="0" w:type="dxa"/>
            <w:left w:w="108" w:type="dxa"/>
            <w:bottom w:w="0" w:type="dxa"/>
            <w:right w:w="108" w:type="dxa"/>
          </w:tblCellMar>
        </w:tblPrEx>
        <w:trPr>
          <w:trHeight w:val="347"/>
        </w:trPr>
        <w:tc>
          <w:tcPr>
            <w:tcW w:w="785" w:type="pct"/>
            <w:vMerge w:val="restart"/>
            <w:vAlign w:val="center"/>
          </w:tcPr>
          <w:p>
            <w:pPr>
              <w:jc w:val="center"/>
              <w:rPr>
                <w:sz w:val="20"/>
              </w:rPr>
            </w:pPr>
            <w:r>
              <w:rPr>
                <w:rFonts w:hint="eastAsia"/>
                <w:sz w:val="20"/>
              </w:rPr>
              <w:t>设备</w:t>
            </w:r>
          </w:p>
        </w:tc>
        <w:tc>
          <w:tcPr>
            <w:tcW w:w="1748" w:type="pct"/>
            <w:vAlign w:val="center"/>
          </w:tcPr>
          <w:p>
            <w:pPr>
              <w:jc w:val="center"/>
              <w:rPr>
                <w:sz w:val="20"/>
              </w:rPr>
            </w:pPr>
            <w:r>
              <w:rPr>
                <w:rFonts w:hint="eastAsia"/>
                <w:sz w:val="20"/>
              </w:rPr>
              <w:t>电磁兼容性要求</w:t>
            </w:r>
          </w:p>
        </w:tc>
        <w:tc>
          <w:tcPr>
            <w:tcW w:w="2466" w:type="pct"/>
            <w:vAlign w:val="center"/>
          </w:tcPr>
          <w:p>
            <w:pPr>
              <w:jc w:val="center"/>
              <w:rPr>
                <w:sz w:val="20"/>
              </w:rPr>
            </w:pPr>
            <w:r>
              <w:rPr>
                <w:rFonts w:hint="eastAsia"/>
                <w:sz w:val="20"/>
              </w:rPr>
              <w:t>产品通过电快速瞬变脉冲群抗扰度测试、浪涌抗扰度测试、静电放电抗扰度测试、电压暂降和短时中断抗扰度试验要求</w:t>
            </w:r>
          </w:p>
        </w:tc>
      </w:tr>
      <w:tr>
        <w:tblPrEx>
          <w:tblW w:w="4928" w:type="pct"/>
          <w:tblInd w:w="0" w:type="dxa"/>
          <w:tblCellMar>
            <w:top w:w="0" w:type="dxa"/>
            <w:left w:w="108" w:type="dxa"/>
            <w:bottom w:w="0" w:type="dxa"/>
            <w:right w:w="108" w:type="dxa"/>
          </w:tblCellMar>
        </w:tblPrEx>
        <w:trPr>
          <w:trHeight w:val="347"/>
        </w:trPr>
        <w:tc>
          <w:tcPr>
            <w:tcW w:w="785" w:type="pct"/>
            <w:vMerge/>
            <w:vAlign w:val="center"/>
          </w:tcPr>
          <w:p>
            <w:pPr>
              <w:jc w:val="center"/>
              <w:rPr>
                <w:sz w:val="20"/>
              </w:rPr>
            </w:pPr>
          </w:p>
        </w:tc>
        <w:tc>
          <w:tcPr>
            <w:tcW w:w="1748" w:type="pct"/>
            <w:vAlign w:val="center"/>
          </w:tcPr>
          <w:p>
            <w:pPr>
              <w:jc w:val="center"/>
              <w:rPr>
                <w:sz w:val="20"/>
              </w:rPr>
            </w:pPr>
            <w:r>
              <w:rPr>
                <w:rFonts w:hint="eastAsia"/>
                <w:sz w:val="20"/>
              </w:rPr>
              <w:t>信号自适应调节功能</w:t>
            </w:r>
          </w:p>
        </w:tc>
        <w:tc>
          <w:tcPr>
            <w:tcW w:w="2466" w:type="pct"/>
            <w:vAlign w:val="center"/>
          </w:tcPr>
          <w:p>
            <w:pPr>
              <w:jc w:val="center"/>
              <w:rPr>
                <w:sz w:val="20"/>
              </w:rPr>
            </w:pPr>
            <w:r>
              <w:rPr>
                <w:rFonts w:hint="eastAsia"/>
                <w:sz w:val="20"/>
              </w:rPr>
              <w:t>产品具备信号自适应调节功能，通过软硬件适配实现最佳信号获取，满足不同天气条件下的探测需求</w:t>
            </w:r>
          </w:p>
          <w:p>
            <w:pPr>
              <w:jc w:val="center"/>
              <w:rPr>
                <w:sz w:val="20"/>
              </w:rPr>
            </w:pPr>
            <w:r>
              <w:rPr>
                <w:rFonts w:hint="eastAsia"/>
                <w:sz w:val="20"/>
              </w:rPr>
              <w:t>（</w:t>
            </w:r>
            <w:r>
              <w:rPr>
                <w:sz w:val="20"/>
              </w:rPr>
              <w:t>1</w:t>
            </w:r>
            <w:r>
              <w:rPr>
                <w:rFonts w:hint="eastAsia"/>
                <w:sz w:val="20"/>
              </w:rPr>
              <w:t>）接收通道衰减片可根据接收信号强度等级通过舵机自动衰减；</w:t>
            </w:r>
          </w:p>
          <w:p>
            <w:pPr>
              <w:jc w:val="center"/>
              <w:rPr>
                <w:sz w:val="20"/>
              </w:rPr>
            </w:pPr>
            <w:r>
              <w:rPr>
                <w:rFonts w:hint="eastAsia"/>
                <w:sz w:val="20"/>
              </w:rPr>
              <w:t>（</w:t>
            </w:r>
            <w:r>
              <w:rPr>
                <w:sz w:val="20"/>
              </w:rPr>
              <w:t>2</w:t>
            </w:r>
            <w:r>
              <w:rPr>
                <w:rFonts w:hint="eastAsia"/>
                <w:sz w:val="20"/>
              </w:rPr>
              <w:t>）拉曼通道探测器电压可根据信号强度等级进行自适应匹配。</w:t>
            </w:r>
          </w:p>
          <w:p>
            <w:pPr>
              <w:jc w:val="center"/>
              <w:rPr>
                <w:sz w:val="20"/>
              </w:rPr>
            </w:pPr>
            <w:r>
              <w:rPr>
                <w:rFonts w:hint="eastAsia"/>
                <w:sz w:val="20"/>
              </w:rPr>
              <w:t>（</w:t>
            </w:r>
            <w:r>
              <w:rPr>
                <w:sz w:val="20"/>
              </w:rPr>
              <w:t>3</w:t>
            </w:r>
            <w:r>
              <w:rPr>
                <w:rFonts w:hint="eastAsia"/>
                <w:sz w:val="20"/>
              </w:rPr>
              <w:t>）远程自动调节激光雷达信号；</w:t>
            </w:r>
          </w:p>
        </w:tc>
      </w:tr>
      <w:tr>
        <w:tblPrEx>
          <w:tblW w:w="4928" w:type="pct"/>
          <w:tblInd w:w="0" w:type="dxa"/>
          <w:tblCellMar>
            <w:top w:w="0" w:type="dxa"/>
            <w:left w:w="108" w:type="dxa"/>
            <w:bottom w:w="0" w:type="dxa"/>
            <w:right w:w="108" w:type="dxa"/>
          </w:tblCellMar>
        </w:tblPrEx>
        <w:trPr>
          <w:trHeight w:val="347"/>
        </w:trPr>
        <w:tc>
          <w:tcPr>
            <w:tcW w:w="785" w:type="pct"/>
            <w:vMerge/>
            <w:vAlign w:val="center"/>
          </w:tcPr>
          <w:p>
            <w:pPr>
              <w:jc w:val="center"/>
              <w:rPr>
                <w:sz w:val="20"/>
              </w:rPr>
            </w:pPr>
          </w:p>
        </w:tc>
        <w:tc>
          <w:tcPr>
            <w:tcW w:w="1748" w:type="pct"/>
            <w:vAlign w:val="center"/>
          </w:tcPr>
          <w:p>
            <w:pPr>
              <w:jc w:val="center"/>
              <w:rPr>
                <w:sz w:val="20"/>
              </w:rPr>
            </w:pPr>
            <w:r>
              <w:rPr>
                <w:rFonts w:hint="eastAsia"/>
                <w:sz w:val="20"/>
              </w:rPr>
              <w:t>数据质控</w:t>
            </w:r>
          </w:p>
        </w:tc>
        <w:tc>
          <w:tcPr>
            <w:tcW w:w="2466" w:type="pct"/>
            <w:vAlign w:val="center"/>
          </w:tcPr>
          <w:p>
            <w:pPr>
              <w:jc w:val="center"/>
              <w:rPr>
                <w:sz w:val="20"/>
              </w:rPr>
            </w:pPr>
            <w:r>
              <w:rPr>
                <w:rFonts w:hint="eastAsia"/>
                <w:sz w:val="20"/>
              </w:rPr>
              <w:t>设备具备智能化数据质控功能，能够直接实现最大探测距离、接收横截面四象限均匀性、大气瑞利信号拟合一致性等指标的在线自动化标定（无需人为现场进行检测），辅助及时识别设备潜在问题</w:t>
            </w:r>
          </w:p>
        </w:tc>
      </w:tr>
      <w:tr>
        <w:tblPrEx>
          <w:tblW w:w="4928" w:type="pct"/>
          <w:tblInd w:w="0" w:type="dxa"/>
          <w:tblCellMar>
            <w:top w:w="0" w:type="dxa"/>
            <w:left w:w="108" w:type="dxa"/>
            <w:bottom w:w="0" w:type="dxa"/>
            <w:right w:w="108" w:type="dxa"/>
          </w:tblCellMar>
        </w:tblPrEx>
        <w:trPr>
          <w:trHeight w:val="173"/>
        </w:trPr>
        <w:tc>
          <w:tcPr>
            <w:tcW w:w="785" w:type="pct"/>
            <w:vMerge/>
            <w:vAlign w:val="center"/>
          </w:tcPr>
          <w:p>
            <w:pPr>
              <w:jc w:val="center"/>
              <w:rPr>
                <w:sz w:val="20"/>
              </w:rPr>
            </w:pPr>
          </w:p>
        </w:tc>
        <w:tc>
          <w:tcPr>
            <w:tcW w:w="1748" w:type="pct"/>
            <w:vAlign w:val="center"/>
          </w:tcPr>
          <w:p>
            <w:pPr>
              <w:jc w:val="center"/>
              <w:rPr>
                <w:sz w:val="20"/>
              </w:rPr>
            </w:pPr>
            <w:r>
              <w:rPr>
                <w:rFonts w:hint="eastAsia"/>
                <w:sz w:val="20"/>
              </w:rPr>
              <w:t>平均无故障运行时间</w:t>
            </w:r>
          </w:p>
        </w:tc>
        <w:tc>
          <w:tcPr>
            <w:tcW w:w="2466" w:type="pct"/>
            <w:vAlign w:val="center"/>
          </w:tcPr>
          <w:p>
            <w:pPr>
              <w:jc w:val="center"/>
              <w:rPr>
                <w:sz w:val="20"/>
              </w:rPr>
            </w:pPr>
            <w:r>
              <w:rPr>
                <w:sz w:val="20"/>
              </w:rPr>
              <w:t>≥2000h</w:t>
            </w:r>
          </w:p>
        </w:tc>
      </w:tr>
      <w:tr>
        <w:tblPrEx>
          <w:tblW w:w="4928" w:type="pct"/>
          <w:tblInd w:w="0" w:type="dxa"/>
          <w:tblCellMar>
            <w:top w:w="0" w:type="dxa"/>
            <w:left w:w="108" w:type="dxa"/>
            <w:bottom w:w="0" w:type="dxa"/>
            <w:right w:w="108" w:type="dxa"/>
          </w:tblCellMar>
        </w:tblPrEx>
        <w:trPr>
          <w:trHeight w:val="173"/>
        </w:trPr>
        <w:tc>
          <w:tcPr>
            <w:tcW w:w="785" w:type="pct"/>
            <w:vMerge/>
            <w:vAlign w:val="center"/>
          </w:tcPr>
          <w:p>
            <w:pPr>
              <w:jc w:val="center"/>
              <w:rPr>
                <w:sz w:val="20"/>
              </w:rPr>
            </w:pPr>
          </w:p>
        </w:tc>
        <w:tc>
          <w:tcPr>
            <w:tcW w:w="1748" w:type="pct"/>
            <w:vAlign w:val="center"/>
          </w:tcPr>
          <w:p>
            <w:pPr>
              <w:jc w:val="center"/>
              <w:rPr>
                <w:sz w:val="20"/>
              </w:rPr>
            </w:pPr>
            <w:r>
              <w:rPr>
                <w:rFonts w:hint="eastAsia"/>
                <w:sz w:val="20"/>
              </w:rPr>
              <w:t>平均无故障修复时间</w:t>
            </w:r>
          </w:p>
        </w:tc>
        <w:tc>
          <w:tcPr>
            <w:tcW w:w="2466" w:type="pct"/>
            <w:vAlign w:val="center"/>
          </w:tcPr>
          <w:p>
            <w:pPr>
              <w:tabs>
                <w:tab w:val="left" w:pos="775"/>
                <w:tab w:val="center" w:pos="2079"/>
              </w:tabs>
              <w:jc w:val="center"/>
              <w:rPr>
                <w:sz w:val="20"/>
              </w:rPr>
            </w:pPr>
            <w:r>
              <w:rPr>
                <w:rFonts w:hint="eastAsia"/>
                <w:sz w:val="20"/>
              </w:rPr>
              <w:t>≤</w:t>
            </w:r>
            <w:r>
              <w:rPr>
                <w:sz w:val="20"/>
              </w:rPr>
              <w:t>0.5h</w:t>
            </w:r>
          </w:p>
        </w:tc>
      </w:tr>
      <w:tr>
        <w:tblPrEx>
          <w:tblW w:w="4928" w:type="pct"/>
          <w:tblInd w:w="0" w:type="dxa"/>
          <w:tblCellMar>
            <w:top w:w="0" w:type="dxa"/>
            <w:left w:w="108" w:type="dxa"/>
            <w:bottom w:w="0" w:type="dxa"/>
            <w:right w:w="108" w:type="dxa"/>
          </w:tblCellMar>
        </w:tblPrEx>
        <w:trPr>
          <w:trHeight w:val="173"/>
        </w:trPr>
        <w:tc>
          <w:tcPr>
            <w:tcW w:w="785" w:type="pct"/>
            <w:vMerge/>
            <w:vAlign w:val="center"/>
          </w:tcPr>
          <w:p>
            <w:pPr>
              <w:jc w:val="center"/>
              <w:rPr>
                <w:sz w:val="20"/>
              </w:rPr>
            </w:pPr>
          </w:p>
        </w:tc>
        <w:tc>
          <w:tcPr>
            <w:tcW w:w="1748" w:type="pct"/>
            <w:vAlign w:val="center"/>
          </w:tcPr>
          <w:p>
            <w:pPr>
              <w:jc w:val="center"/>
              <w:rPr>
                <w:sz w:val="20"/>
              </w:rPr>
            </w:pPr>
            <w:r>
              <w:rPr>
                <w:rFonts w:hint="eastAsia"/>
                <w:sz w:val="20"/>
              </w:rPr>
              <w:t>工作温度</w:t>
            </w:r>
          </w:p>
        </w:tc>
        <w:tc>
          <w:tcPr>
            <w:tcW w:w="2466" w:type="pct"/>
            <w:vAlign w:val="center"/>
          </w:tcPr>
          <w:p>
            <w:pPr>
              <w:jc w:val="center"/>
              <w:rPr>
                <w:sz w:val="20"/>
              </w:rPr>
            </w:pPr>
            <w:r>
              <w:rPr>
                <w:rFonts w:hint="eastAsia"/>
                <w:sz w:val="20"/>
              </w:rPr>
              <w:t>舱外装置：</w:t>
            </w:r>
            <w:r>
              <w:rPr>
                <w:sz w:val="20"/>
              </w:rPr>
              <w:t>-40</w:t>
            </w:r>
            <w:r>
              <w:rPr>
                <w:rFonts w:hint="eastAsia"/>
                <w:sz w:val="20"/>
              </w:rPr>
              <w:t>℃</w:t>
            </w:r>
            <w:r>
              <w:rPr>
                <w:sz w:val="20"/>
              </w:rPr>
              <w:t>~+50</w:t>
            </w:r>
            <w:r>
              <w:rPr>
                <w:rFonts w:hint="eastAsia"/>
                <w:sz w:val="20"/>
              </w:rPr>
              <w:t>℃，舱内装置：</w:t>
            </w:r>
            <w:r>
              <w:rPr>
                <w:sz w:val="20"/>
              </w:rPr>
              <w:t>+10</w:t>
            </w:r>
            <w:r>
              <w:rPr>
                <w:rFonts w:hint="eastAsia"/>
                <w:sz w:val="20"/>
              </w:rPr>
              <w:t>℃</w:t>
            </w:r>
            <w:r>
              <w:rPr>
                <w:sz w:val="20"/>
              </w:rPr>
              <w:t>~30</w:t>
            </w:r>
            <w:r>
              <w:rPr>
                <w:rFonts w:hint="eastAsia"/>
                <w:sz w:val="20"/>
              </w:rPr>
              <w:t>℃</w:t>
            </w:r>
          </w:p>
        </w:tc>
      </w:tr>
      <w:tr>
        <w:tblPrEx>
          <w:tblW w:w="4928" w:type="pct"/>
          <w:tblInd w:w="0" w:type="dxa"/>
          <w:tblCellMar>
            <w:top w:w="0" w:type="dxa"/>
            <w:left w:w="108" w:type="dxa"/>
            <w:bottom w:w="0" w:type="dxa"/>
            <w:right w:w="108" w:type="dxa"/>
          </w:tblCellMar>
        </w:tblPrEx>
        <w:trPr>
          <w:trHeight w:val="180"/>
        </w:trPr>
        <w:tc>
          <w:tcPr>
            <w:tcW w:w="785" w:type="pct"/>
            <w:vMerge/>
            <w:vAlign w:val="center"/>
          </w:tcPr>
          <w:p>
            <w:pPr>
              <w:jc w:val="center"/>
              <w:rPr>
                <w:sz w:val="20"/>
              </w:rPr>
            </w:pPr>
          </w:p>
        </w:tc>
        <w:tc>
          <w:tcPr>
            <w:tcW w:w="1748" w:type="pct"/>
            <w:vAlign w:val="center"/>
          </w:tcPr>
          <w:p>
            <w:pPr>
              <w:jc w:val="center"/>
              <w:rPr>
                <w:sz w:val="20"/>
              </w:rPr>
            </w:pPr>
            <w:r>
              <w:rPr>
                <w:rFonts w:hint="eastAsia"/>
                <w:sz w:val="20"/>
              </w:rPr>
              <w:t>电源要求</w:t>
            </w:r>
          </w:p>
        </w:tc>
        <w:tc>
          <w:tcPr>
            <w:tcW w:w="2466" w:type="pct"/>
            <w:vAlign w:val="center"/>
          </w:tcPr>
          <w:p>
            <w:pPr>
              <w:jc w:val="center"/>
              <w:rPr>
                <w:sz w:val="20"/>
              </w:rPr>
            </w:pPr>
            <w:r>
              <w:rPr>
                <w:rFonts w:hint="eastAsia"/>
                <w:sz w:val="20"/>
              </w:rPr>
              <w:t>单相，</w:t>
            </w:r>
            <w:r>
              <w:rPr>
                <w:sz w:val="20"/>
              </w:rPr>
              <w:t>AC220 V</w:t>
            </w:r>
            <w:r>
              <w:rPr>
                <w:rFonts w:hint="eastAsia"/>
                <w:sz w:val="20"/>
              </w:rPr>
              <w:t>±</w:t>
            </w:r>
            <w:r>
              <w:rPr>
                <w:sz w:val="20"/>
              </w:rPr>
              <w:t>15%</w:t>
            </w:r>
            <w:r>
              <w:rPr>
                <w:rFonts w:hint="eastAsia"/>
                <w:sz w:val="20"/>
              </w:rPr>
              <w:t>，</w:t>
            </w:r>
            <w:r>
              <w:rPr>
                <w:sz w:val="20"/>
              </w:rPr>
              <w:t>50 Hz</w:t>
            </w:r>
            <w:r>
              <w:rPr>
                <w:rFonts w:hint="eastAsia"/>
                <w:sz w:val="20"/>
              </w:rPr>
              <w:t>±</w:t>
            </w:r>
            <w:r>
              <w:rPr>
                <w:sz w:val="20"/>
              </w:rPr>
              <w:t>5%</w:t>
            </w:r>
          </w:p>
        </w:tc>
      </w:tr>
    </w:tbl>
    <w:p/>
    <w:p>
      <w:pPr>
        <w:spacing w:line="360" w:lineRule="auto"/>
        <w:ind w:firstLine="420" w:firstLineChars="200"/>
        <w:rPr>
          <w:rFonts w:ascii="宋体" w:hAnsi="宋体"/>
          <w:szCs w:val="21"/>
        </w:rPr>
      </w:pPr>
      <w:r>
        <w:rPr>
          <w:rFonts w:ascii="宋体" w:hAnsi="宋体" w:hint="eastAsia"/>
          <w:szCs w:val="21"/>
        </w:rPr>
        <w:t>四、检验考核要求</w:t>
      </w:r>
    </w:p>
    <w:p>
      <w:pPr>
        <w:spacing w:line="360" w:lineRule="auto"/>
        <w:ind w:firstLine="420" w:firstLineChars="200"/>
        <w:rPr>
          <w:rFonts w:ascii="宋体" w:hAnsi="宋体"/>
          <w:szCs w:val="21"/>
        </w:rPr>
      </w:pPr>
      <w:r>
        <w:rPr>
          <w:rFonts w:ascii="宋体" w:hAnsi="宋体" w:hint="eastAsia"/>
          <w:szCs w:val="21"/>
        </w:rPr>
        <w:t>（一）质量标准</w:t>
      </w:r>
    </w:p>
    <w:p>
      <w:pPr>
        <w:spacing w:line="360" w:lineRule="auto"/>
        <w:ind w:firstLine="420" w:firstLineChars="200"/>
        <w:rPr>
          <w:rFonts w:ascii="宋体" w:hAnsi="宋体"/>
          <w:szCs w:val="21"/>
        </w:rPr>
      </w:pPr>
      <w:r>
        <w:rPr>
          <w:rFonts w:ascii="宋体" w:hAnsi="宋体" w:hint="eastAsia"/>
          <w:szCs w:val="21"/>
        </w:rPr>
        <w:t>投标人保证提供的货物符合中华人民共和国国家及行业的安全质量标准、环保标准中之较高者；若货物来源于中华人民共和国境外，还要同时符合货物来源国的官方、行业及生产厂商的安全质量标准、环保标准中之较高者。上述标准为已发布的且在货物交付时有效的最新版本的标准；当货物来源于中华人民共和国境外时，产品必须附有原产地证明、合法进货渠道证明及海关完税证明。</w:t>
      </w:r>
    </w:p>
    <w:p>
      <w:pPr>
        <w:spacing w:line="360" w:lineRule="auto"/>
        <w:ind w:firstLine="420" w:firstLineChars="200"/>
        <w:rPr>
          <w:rFonts w:ascii="宋体" w:hAnsi="宋体"/>
          <w:szCs w:val="21"/>
        </w:rPr>
      </w:pPr>
      <w:r>
        <w:rPr>
          <w:rFonts w:ascii="宋体" w:hAnsi="宋体" w:hint="eastAsia"/>
          <w:szCs w:val="21"/>
        </w:rPr>
        <w:t>（二）验收组织</w:t>
      </w:r>
    </w:p>
    <w:p>
      <w:pPr>
        <w:widowControl/>
        <w:spacing w:line="360" w:lineRule="auto"/>
        <w:ind w:firstLine="420" w:firstLineChars="200"/>
        <w:rPr>
          <w:rFonts w:ascii="宋体" w:hAnsi="宋体"/>
          <w:szCs w:val="21"/>
        </w:rPr>
      </w:pPr>
      <w:r>
        <w:rPr>
          <w:rFonts w:ascii="宋体" w:hAnsi="宋体" w:hint="eastAsia"/>
          <w:szCs w:val="21"/>
        </w:rPr>
        <w:t>1.出厂验收</w:t>
      </w:r>
    </w:p>
    <w:p>
      <w:pPr>
        <w:widowControl/>
        <w:spacing w:line="360" w:lineRule="auto"/>
        <w:ind w:firstLine="420" w:firstLineChars="200"/>
        <w:jc w:val="left"/>
        <w:rPr>
          <w:rFonts w:ascii="宋体" w:hAnsi="宋体"/>
          <w:szCs w:val="21"/>
          <w:lang w:bidi="ar"/>
        </w:rPr>
      </w:pPr>
      <w:r>
        <w:rPr>
          <w:rFonts w:ascii="宋体" w:hAnsi="宋体" w:hint="eastAsia"/>
          <w:szCs w:val="21"/>
          <w:lang w:bidi="ar"/>
        </w:rPr>
        <w:t>中标人应在设备出厂前严格按照中国气象局业务规范、相关行业标准及招标文件技术要求组织出厂验收，完成整机性能、关键技术指标、系统功能及连续考机测试，提交全套资质文件、技术资料、校准及检测报告。采购人派员参与验收，验收合格并签署出厂验收报告后方可发货，未通过出厂验收严禁出厂。</w:t>
      </w:r>
    </w:p>
    <w:p>
      <w:pPr>
        <w:widowControl/>
        <w:spacing w:line="360" w:lineRule="auto"/>
        <w:ind w:firstLine="420" w:firstLineChars="200"/>
        <w:rPr>
          <w:rFonts w:ascii="宋体" w:hAnsi="宋体"/>
          <w:szCs w:val="21"/>
        </w:rPr>
      </w:pPr>
      <w:r>
        <w:rPr>
          <w:rFonts w:ascii="宋体" w:hAnsi="宋体" w:hint="eastAsia"/>
          <w:szCs w:val="21"/>
        </w:rPr>
        <w:t>2 现场安装验收</w:t>
      </w:r>
    </w:p>
    <w:p>
      <w:pPr>
        <w:widowControl/>
        <w:spacing w:line="360" w:lineRule="auto"/>
        <w:ind w:firstLine="420" w:firstLineChars="200"/>
        <w:jc w:val="left"/>
        <w:rPr>
          <w:rFonts w:ascii="宋体" w:hAnsi="宋体"/>
          <w:szCs w:val="21"/>
          <w:lang w:bidi="ar"/>
        </w:rPr>
      </w:pPr>
      <w:r>
        <w:rPr>
          <w:rFonts w:ascii="宋体" w:hAnsi="宋体" w:hint="eastAsia"/>
          <w:szCs w:val="21"/>
          <w:lang w:bidi="ar"/>
        </w:rPr>
        <w:t>设备到货后，中标人负责完成设备安装就位、基础及塔架施工、线缆敷设、防雷接地、供电及机房配套建设，按气象装备安装规范完成系统安装、标校调试、整机联调及业务数据链路接入测试。安装调试完成后由采购人组织现场安装验收，核查安装工艺、设备状态及系统联调功能，验收合格后方可进入试运行阶段。</w:t>
      </w:r>
    </w:p>
    <w:p>
      <w:pPr>
        <w:widowControl/>
        <w:spacing w:line="360" w:lineRule="auto"/>
        <w:ind w:firstLine="420" w:firstLineChars="200"/>
        <w:rPr>
          <w:rFonts w:ascii="宋体" w:hAnsi="宋体"/>
          <w:szCs w:val="21"/>
        </w:rPr>
      </w:pPr>
      <w:r>
        <w:rPr>
          <w:rFonts w:ascii="宋体" w:hAnsi="宋体" w:hint="eastAsia"/>
          <w:szCs w:val="21"/>
        </w:rPr>
        <w:t>3.试运行验收</w:t>
      </w:r>
    </w:p>
    <w:p>
      <w:pPr>
        <w:widowControl/>
        <w:spacing w:line="360" w:lineRule="auto"/>
        <w:ind w:firstLine="420" w:firstLineChars="200"/>
        <w:jc w:val="left"/>
        <w:rPr>
          <w:rFonts w:ascii="宋体" w:hAnsi="宋体"/>
          <w:szCs w:val="21"/>
          <w:lang w:bidi="ar"/>
        </w:rPr>
      </w:pPr>
      <w:r>
        <w:rPr>
          <w:rFonts w:ascii="宋体" w:hAnsi="宋体" w:hint="eastAsia"/>
          <w:szCs w:val="21"/>
          <w:lang w:bidi="ar"/>
        </w:rPr>
        <w:t>地面观测设备现场调试合格后进入试运行期，试运行周期不少于 90 天。试运行期间设备应连续稳定运行，无重大故障停机，观测数据完整率、运行稳定性、产品精度均满足气象业务运行要求。中标人做好运行值守、故障处置、运行台账记录，并完成现场操作及维护培训。</w:t>
      </w:r>
    </w:p>
    <w:p>
      <w:pPr>
        <w:widowControl/>
        <w:spacing w:line="360" w:lineRule="auto"/>
        <w:ind w:firstLine="420" w:firstLineChars="200"/>
        <w:jc w:val="left"/>
        <w:rPr>
          <w:rFonts w:ascii="宋体" w:hAnsi="宋体"/>
          <w:szCs w:val="21"/>
          <w:lang w:bidi="ar"/>
        </w:rPr>
      </w:pPr>
      <w:r>
        <w:rPr>
          <w:rFonts w:ascii="宋体" w:hAnsi="宋体" w:hint="eastAsia"/>
          <w:szCs w:val="21"/>
          <w:lang w:bidi="ar"/>
        </w:rPr>
        <w:t>试运行期满组织专项验收，验收合格后方可申请最终合同验收。</w:t>
      </w:r>
    </w:p>
    <w:p>
      <w:pPr>
        <w:widowControl/>
        <w:spacing w:line="360" w:lineRule="auto"/>
        <w:ind w:firstLine="420" w:firstLineChars="200"/>
        <w:rPr>
          <w:rFonts w:ascii="宋体" w:hAnsi="宋体"/>
          <w:szCs w:val="21"/>
        </w:rPr>
      </w:pPr>
      <w:r>
        <w:rPr>
          <w:rFonts w:ascii="宋体" w:hAnsi="宋体" w:hint="eastAsia"/>
          <w:szCs w:val="21"/>
        </w:rPr>
        <w:t>4.合同验收</w:t>
      </w:r>
    </w:p>
    <w:p>
      <w:pPr>
        <w:widowControl/>
        <w:spacing w:line="360" w:lineRule="auto"/>
        <w:ind w:firstLine="420" w:firstLineChars="200"/>
        <w:jc w:val="left"/>
        <w:rPr>
          <w:rFonts w:ascii="宋体" w:hAnsi="宋体"/>
          <w:szCs w:val="21"/>
        </w:rPr>
      </w:pPr>
      <w:r>
        <w:rPr>
          <w:rFonts w:ascii="宋体" w:hAnsi="宋体" w:hint="eastAsia"/>
          <w:szCs w:val="21"/>
          <w:lang w:bidi="ar"/>
        </w:rPr>
        <w:t>在出厂、安装、试运行各阶段验收均合格的前提下，组织项目合同最终验收。全面核查设备配置、资料归档、备品备件、技术培训、履约服务及质保承诺等全部合同内容，对照技术参数、行业标准及业务应用要求综合评审，全部满足要求后签署最终验收证书，正式交付投入业务运行，进入质保期。若最终验收仍存在缺项、指标不达标、资料不全等问题，不予通过验收，中标人须限期完成补齐、整改、完善，直至终审合格，相关费用及责任由中标人自行承担。</w:t>
      </w:r>
    </w:p>
    <w:p>
      <w:pPr>
        <w:spacing w:line="360" w:lineRule="auto"/>
        <w:ind w:firstLine="420" w:firstLineChars="200"/>
        <w:rPr>
          <w:rFonts w:ascii="宋体" w:hAnsi="宋体"/>
          <w:szCs w:val="21"/>
        </w:rPr>
      </w:pPr>
      <w:r>
        <w:rPr>
          <w:rFonts w:ascii="宋体" w:hAnsi="宋体" w:hint="eastAsia"/>
          <w:szCs w:val="21"/>
        </w:rPr>
        <w:t>五、技术服务和质保期服务要求</w:t>
      </w:r>
    </w:p>
    <w:p>
      <w:pPr>
        <w:spacing w:line="360" w:lineRule="auto"/>
        <w:ind w:firstLine="420" w:firstLineChars="200"/>
        <w:rPr>
          <w:rFonts w:ascii="宋体" w:hAnsi="宋体"/>
          <w:szCs w:val="21"/>
        </w:rPr>
      </w:pPr>
      <w:r>
        <w:rPr>
          <w:rFonts w:ascii="宋体" w:hAnsi="宋体" w:hint="eastAsia"/>
          <w:szCs w:val="21"/>
        </w:rPr>
        <w:t>（一）技术服务</w:t>
      </w:r>
    </w:p>
    <w:p>
      <w:pPr>
        <w:spacing w:line="360" w:lineRule="auto"/>
        <w:ind w:firstLine="420" w:firstLineChars="200"/>
        <w:rPr>
          <w:rFonts w:ascii="宋体" w:hAnsi="宋体"/>
          <w:szCs w:val="21"/>
        </w:rPr>
      </w:pPr>
      <w:r>
        <w:rPr>
          <w:rFonts w:ascii="宋体" w:hAnsi="宋体" w:hint="eastAsia"/>
          <w:szCs w:val="21"/>
        </w:rPr>
        <w:t>1.中标人需提供详细技术方案，包括但不限于:设备安装建设规范、设备工作原理、设备部件结构组成、设备操作手册、设备运行维护手册、设备软件使用手册、相关产品算法说明文档等。</w:t>
      </w:r>
    </w:p>
    <w:p>
      <w:pPr>
        <w:spacing w:line="360" w:lineRule="auto"/>
        <w:ind w:firstLine="420" w:firstLineChars="200"/>
        <w:rPr>
          <w:rFonts w:ascii="宋体" w:hAnsi="宋体"/>
          <w:szCs w:val="21"/>
        </w:rPr>
      </w:pPr>
      <w:r>
        <w:rPr>
          <w:rFonts w:ascii="宋体" w:hAnsi="宋体" w:hint="eastAsia"/>
          <w:szCs w:val="21"/>
        </w:rPr>
        <w:t>2.中标人需提供详细售后服务方案，包括设备售后服务组织机构、人员组成、技术支持文档等。其中，售后服务组织机构设置合理，人员技术能力强，技术文档内容全面。</w:t>
      </w:r>
    </w:p>
    <w:p>
      <w:pPr>
        <w:widowControl/>
        <w:spacing w:line="360" w:lineRule="auto"/>
        <w:ind w:firstLine="420" w:firstLineChars="200"/>
        <w:jc w:val="left"/>
        <w:rPr>
          <w:rFonts w:ascii="宋体" w:hAnsi="宋体"/>
          <w:szCs w:val="21"/>
        </w:rPr>
      </w:pPr>
      <w:r>
        <w:rPr>
          <w:rFonts w:ascii="宋体" w:hAnsi="宋体" w:hint="eastAsia"/>
          <w:szCs w:val="21"/>
        </w:rPr>
        <w:t>3.中标人需提供详细培训方案，包括设备使用、日常维护、观测原理及产品应用等理论培训及现场培训，培训时间及地点双方协商确定，确保使用方参训人员熟练掌握设备操作、日常维护及业务应用技能。</w:t>
      </w:r>
    </w:p>
    <w:p>
      <w:pPr>
        <w:spacing w:line="360" w:lineRule="auto"/>
        <w:ind w:firstLine="420" w:firstLineChars="200"/>
        <w:rPr>
          <w:rFonts w:ascii="宋体" w:hAnsi="宋体"/>
          <w:szCs w:val="21"/>
        </w:rPr>
      </w:pPr>
      <w:r>
        <w:rPr>
          <w:rFonts w:ascii="宋体" w:eastAsia="宋体" w:hAnsi="宋体" w:cs="Times New Roman" w:hint="eastAsia"/>
          <w:szCs w:val="21"/>
        </w:rPr>
        <w:t>4.采购人有重大活动或应急保障时，可要求中标人提供现场保障服务。</w:t>
      </w:r>
    </w:p>
    <w:p>
      <w:pPr>
        <w:spacing w:line="360" w:lineRule="auto"/>
        <w:ind w:firstLine="420" w:firstLineChars="200"/>
        <w:rPr>
          <w:rFonts w:ascii="宋体" w:eastAsia="宋体" w:hAnsi="宋体"/>
          <w:szCs w:val="21"/>
        </w:rPr>
      </w:pPr>
      <w:r>
        <w:rPr>
          <w:rFonts w:ascii="宋体" w:hAnsi="宋体" w:hint="eastAsia"/>
          <w:szCs w:val="21"/>
        </w:rPr>
        <w:t>（二）质保期服务</w:t>
      </w:r>
    </w:p>
    <w:p>
      <w:pPr>
        <w:spacing w:line="360" w:lineRule="auto"/>
        <w:ind w:firstLine="420" w:firstLineChars="200"/>
        <w:rPr>
          <w:rFonts w:cs="宋体"/>
          <w:szCs w:val="21"/>
        </w:rPr>
      </w:pPr>
      <w:r>
        <w:rPr>
          <w:rFonts w:ascii="宋体" w:hAnsi="宋体" w:cs="宋体" w:hint="eastAsia"/>
          <w:szCs w:val="21"/>
        </w:rPr>
        <w:t>1.</w:t>
      </w:r>
      <w:r>
        <w:rPr>
          <w:rFonts w:ascii="宋体" w:hAnsi="宋体" w:cs="宋体" w:hint="eastAsia"/>
          <w:szCs w:val="21"/>
        </w:rPr>
        <w:t>中标人提供自用户验收合格后8年的免费质保期服务（提供相关承诺函</w:t>
      </w:r>
      <w:r>
        <w:rPr>
          <w:rFonts w:ascii="宋体" w:hAnsi="宋体" w:cs="宋体" w:hint="eastAsia"/>
          <w:szCs w:val="21"/>
          <w:lang w:eastAsia="zh-CN"/>
        </w:rPr>
        <w:t>）</w:t>
      </w:r>
      <w:r>
        <w:rPr>
          <w:rFonts w:ascii="宋体" w:eastAsia="宋体" w:hAnsi="宋体" w:cs="宋体" w:hint="eastAsia"/>
          <w:szCs w:val="21"/>
          <w:lang w:eastAsia="zh-CN"/>
        </w:rPr>
        <w:t>*</w:t>
      </w:r>
      <w:r>
        <w:rPr>
          <w:rFonts w:ascii="宋体" w:hAnsi="宋体" w:cs="宋体" w:hint="eastAsia"/>
          <w:szCs w:val="21"/>
          <w:lang w:eastAsia="zh-CN"/>
        </w:rPr>
        <w:t>，</w:t>
      </w:r>
      <w:r>
        <w:rPr>
          <w:rFonts w:ascii="宋体" w:hAnsi="宋体" w:cs="宋体" w:hint="eastAsia"/>
          <w:szCs w:val="21"/>
        </w:rPr>
        <w:t>质保期内因设备设计、质量出现问题，均由中标人即时无偿解决(包括更换器件)，如因自身故障致设备停用时间累计超过20天时，则质保期在状态恢复正常时重新计算。质保期内，经中标人累计5次维修仍无法正常使用或达不到相关质量标准的，视作设备存在严重质量问题，应支付赔偿金并退还已付全部款项。</w:t>
      </w:r>
    </w:p>
    <w:p>
      <w:pPr>
        <w:widowControl/>
        <w:snapToGrid w:val="0"/>
        <w:spacing w:line="360" w:lineRule="auto"/>
        <w:ind w:firstLine="420" w:firstLineChars="200"/>
        <w:jc w:val="left"/>
        <w:rPr>
          <w:rFonts w:ascii="宋体" w:eastAsia="宋体" w:hAnsi="宋体" w:cs="Times New Roman"/>
          <w:szCs w:val="21"/>
        </w:rPr>
      </w:pPr>
      <w:r>
        <w:rPr>
          <w:rFonts w:ascii="宋体" w:hAnsi="宋体" w:cs="宋体" w:hint="eastAsia"/>
          <w:szCs w:val="21"/>
        </w:rPr>
        <w:t>2.中标人应对投标产品提供巡检和定标服务，主要包括日巡查、周维护、月维护及标校、汛前巡检及标校、年维护及标校（标定）、消防设备检测等现场巡检巡查工作。</w:t>
      </w:r>
      <w:r>
        <w:rPr>
          <w:rFonts w:ascii="宋体" w:hAnsi="宋体" w:hint="eastAsia"/>
          <w:szCs w:val="21"/>
        </w:rPr>
        <w:t>质保期内为免费用户提供1</w:t>
      </w:r>
      <w:r>
        <w:rPr>
          <w:rFonts w:ascii="Times New Roman" w:hAnsi="Times New Roman" w:cs="Times New Roman"/>
          <w:szCs w:val="21"/>
        </w:rPr>
        <w:t>~</w:t>
      </w:r>
      <w:r>
        <w:rPr>
          <w:rFonts w:ascii="宋体" w:hAnsi="宋体" w:hint="eastAsia"/>
          <w:szCs w:val="21"/>
        </w:rPr>
        <w:t>2次搬移服务。</w:t>
      </w:r>
    </w:p>
    <w:p>
      <w:pPr>
        <w:spacing w:line="360" w:lineRule="auto"/>
        <w:ind w:firstLine="420" w:firstLineChars="200"/>
        <w:rPr>
          <w:rFonts w:ascii="宋体" w:hAnsi="宋体"/>
          <w:szCs w:val="21"/>
        </w:rPr>
      </w:pPr>
      <w:r>
        <w:rPr>
          <w:rFonts w:ascii="宋体" w:hAnsi="宋体" w:hint="eastAsia"/>
          <w:szCs w:val="21"/>
        </w:rPr>
        <w:t>3.在质保期内，中标人服务时间应为7</w:t>
      </w:r>
      <w:r>
        <w:t>×</w:t>
      </w:r>
      <w:r>
        <w:rPr>
          <w:rFonts w:ascii="宋体" w:hAnsi="宋体" w:hint="eastAsia"/>
          <w:szCs w:val="21"/>
        </w:rPr>
        <w:t>24小时，在接报后1小时内响应，给予远程技术支持；需现场处理的，观测期12小时内到达现场，48小时完成故障修复；非观测期24小时内到达现场，72小时完成故障修复，确保设备正常投入业务运行。如在检修时间后仍无法排除故障，则中标方应在24小时内提供不低于故障设备规格、型号、性能的备用设备供甲方使用，直至故障设备修复或更换。由此产生的一切费用均由中标人承担。</w:t>
      </w:r>
    </w:p>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szCs w:val="21"/>
        </w:rPr>
        <w:t>.提供投标产品软件免费升级服务，所提供观测设备观测数据能接入采购人现有气象数据平台。</w:t>
      </w:r>
    </w:p>
    <w:p>
      <w:pPr>
        <w:spacing w:line="360" w:lineRule="auto"/>
        <w:ind w:firstLine="420" w:firstLineChars="200"/>
        <w:rPr>
          <w:rFonts w:ascii="宋体" w:hAnsi="宋体"/>
          <w:szCs w:val="21"/>
        </w:rPr>
      </w:pPr>
      <w:r>
        <w:rPr>
          <w:rFonts w:ascii="宋体" w:eastAsia="宋体" w:hAnsi="宋体" w:hint="eastAsia"/>
          <w:szCs w:val="21"/>
        </w:rPr>
        <w:t>5</w:t>
      </w:r>
      <w:r>
        <w:rPr>
          <w:rFonts w:ascii="宋体" w:eastAsia="宋体" w:hAnsi="宋体" w:cs="Times New Roman" w:hint="eastAsia"/>
          <w:szCs w:val="21"/>
        </w:rPr>
        <w:t>.</w:t>
      </w:r>
      <w:r>
        <w:rPr>
          <w:rFonts w:ascii="宋体" w:hAnsi="宋体" w:hint="eastAsia"/>
          <w:szCs w:val="21"/>
        </w:rPr>
        <w:t>质保期过后，中标人仍有义务提供技术服务(包括提供设备维护、备件等)。</w:t>
      </w:r>
    </w:p>
    <w:p>
      <w:pPr>
        <w:spacing w:line="360" w:lineRule="auto"/>
        <w:ind w:firstLine="420" w:firstLineChars="200"/>
        <w:rPr>
          <w:rFonts w:ascii="宋体" w:hAnsi="宋体"/>
          <w:b/>
          <w:bCs/>
          <w:szCs w:val="21"/>
        </w:rPr>
      </w:pPr>
      <w:r>
        <w:rPr>
          <w:rFonts w:ascii="宋体" w:hAnsi="宋体" w:hint="eastAsia"/>
          <w:b/>
          <w:bCs/>
          <w:szCs w:val="21"/>
        </w:rPr>
        <w:t>六、培训要求</w:t>
      </w:r>
    </w:p>
    <w:p>
      <w:pPr>
        <w:spacing w:line="360" w:lineRule="auto"/>
        <w:ind w:firstLine="420" w:firstLineChars="200"/>
        <w:rPr>
          <w:rFonts w:ascii="宋体" w:hAnsi="宋体" w:cs="宋体"/>
          <w:szCs w:val="21"/>
        </w:rPr>
      </w:pPr>
      <w:r>
        <w:rPr>
          <w:rFonts w:ascii="宋体" w:hAnsi="宋体" w:hint="eastAsia"/>
          <w:szCs w:val="21"/>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升级、应用所需的知识和技能。书面承诺每种设备的培训讲师具有中级以上职称或从事该设备技术工作至少2年；设备供应商对每套投标产品提供至少2次技术培训，培训内容包括设备安装、使用、日常维护、观测原理及产品应用，培训时间及地点双方协商确定。</w:t>
      </w:r>
    </w:p>
    <w:p>
      <w:pPr>
        <w:spacing w:line="360" w:lineRule="auto"/>
        <w:rPr>
          <w:rFonts w:ascii="宋体" w:eastAsia="宋体" w:hAnsi="宋体" w:cs="Times New Roman"/>
          <w:szCs w:val="21"/>
        </w:rPr>
      </w:pPr>
    </w:p>
    <w:p>
      <w:pPr>
        <w:spacing w:line="360" w:lineRule="auto"/>
        <w:rPr>
          <w:rFonts w:ascii="宋体" w:eastAsia="宋体" w:hAnsi="宋体" w:cs="Times New Roman"/>
          <w:szCs w:val="21"/>
        </w:rPr>
      </w:pPr>
      <w:r>
        <w:rPr>
          <w:rFonts w:ascii="宋体" w:eastAsia="宋体" w:hAnsi="宋体" w:cs="Times New Roman" w:hint="eastAsia"/>
          <w:szCs w:val="21"/>
        </w:rPr>
        <w:t>第七章 采购需求 附表</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36"/>
        <w:gridCol w:w="995"/>
        <w:gridCol w:w="716"/>
        <w:gridCol w:w="995"/>
        <w:gridCol w:w="1135"/>
        <w:gridCol w:w="3860"/>
        <w:gridCol w:w="424"/>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拉曼激光雷达</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3,250,000.00</w:t>
            </w:r>
          </w:p>
        </w:tc>
        <w:tc>
          <w:tcPr/>
          <w:p>
            <w:pPr>
              <w:autoSpaceDE w:val="0"/>
              <w:jc w:val="center"/>
              <w:rPr>
                <w:rFonts w:asciiTheme="minorEastAsia" w:hAnsiTheme="minorEastAsia" w:cstheme="minorEastAsia" w:hint="eastAsia"/>
                <w:kern w:val="0"/>
                <w:szCs w:val="21"/>
              </w:rPr>
            </w:pPr>
            <w:r>
              <w:t>合同签订后180天内完成供货、安装调试并具备现场测试条件</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3,250,000.00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24"/>
        <w:gridCol w:w="2705"/>
        <w:gridCol w:w="1195"/>
        <w:gridCol w:w="524"/>
        <w:gridCol w:w="1195"/>
        <w:gridCol w:w="996"/>
        <w:gridCol w:w="859"/>
        <w:gridCol w:w="52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业务与科技发展科(001034015002)</w:t>
            </w:r>
          </w:p>
        </w:tc>
        <w:tc>
          <w:tcPr/>
          <w:p>
            <w:r>
              <w:t>拉曼激光雷达</w:t>
            </w:r>
          </w:p>
        </w:tc>
        <w:tc>
          <w:tcPr/>
          <w:p>
            <w:r>
              <w:t>1</w:t>
            </w:r>
          </w:p>
        </w:tc>
        <w:tc>
          <w:tcPr/>
          <w:p>
            <w:r>
              <w:t>3250000.00</w:t>
            </w:r>
          </w:p>
        </w:tc>
        <w:tc>
          <w:tcPr/>
          <w:p>
            <w:r>
              <w:t xml:space="preserve">3250000.00  </w:t>
            </w:r>
          </w:p>
        </w:tc>
        <w:tc>
          <w:tcPr/>
          <w:p/>
        </w:tc>
        <w:tc>
          <w:tcP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pPr>
        <w:spacing w:before="156" w:beforeLines="50" w:line="360" w:lineRule="auto"/>
        <w:jc w:val="center"/>
        <w:outlineLvl w:val="1"/>
        <w:rPr>
          <w:rFonts w:ascii="宋体" w:hAnsi="宋体"/>
          <w:b/>
          <w:sz w:val="30"/>
          <w:szCs w:val="30"/>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rPr>
      </w:pPr>
      <w:bookmarkStart w:id="69" w:name="投标被拒绝条款专用部分_JJTK"/>
      <w:r>
        <w:rPr>
          <w:rFonts w:hint="eastAsia"/>
          <w:b/>
          <w:sz w:val="30"/>
          <w:szCs w:val="30"/>
        </w:rPr>
        <w:t>第八章  投标被拒绝条款专用部分</w:t>
      </w:r>
    </w:p>
    <w:p>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vAlign w:val="center"/>
          </w:tcPr>
          <w:p>
            <w:pPr>
              <w:rPr>
                <w:sz w:val="18"/>
                <w:szCs w:val="18"/>
              </w:rPr>
            </w:pPr>
            <w:r>
              <w:rPr>
                <w:rFonts w:hint="eastAsia"/>
                <w:sz w:val="18"/>
                <w:szCs w:val="18"/>
              </w:rPr>
              <w:t>序号</w:t>
            </w:r>
          </w:p>
        </w:tc>
        <w:tc>
          <w:tcPr>
            <w:tcW w:w="898"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347" w:type="dxa"/>
            <w:vAlign w:val="center"/>
          </w:tcPr>
          <w:p>
            <w:pPr>
              <w:jc w:val="center"/>
              <w:rPr>
                <w:sz w:val="18"/>
                <w:szCs w:val="18"/>
              </w:rPr>
            </w:pPr>
            <w:r>
              <w:rPr>
                <w:rFonts w:hint="eastAsia"/>
                <w:sz w:val="18"/>
                <w:szCs w:val="18"/>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pPr>
              <w:jc w:val="center"/>
              <w:rPr>
                <w:rFonts w:hint="default"/>
                <w:b/>
                <w:sz w:val="18"/>
                <w:szCs w:val="18"/>
              </w:rPr>
            </w:pPr>
            <w:r>
              <w:rPr>
                <w:rFonts w:hint="eastAsia"/>
                <w:b/>
                <w:sz w:val="18"/>
                <w:szCs w:val="18"/>
                <w:lang w:val="en-US" w:eastAsia="zh-CN"/>
              </w:rPr>
              <w:t>第五章</w:t>
            </w:r>
            <w:r>
              <w:rPr>
                <w:rFonts w:hint="eastAsia"/>
                <w:b/>
                <w:sz w:val="18"/>
                <w:szCs w:val="18"/>
              </w:rPr>
              <w:t xml:space="preserve">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vAlign w:val="center"/>
          </w:tcPr>
          <w:p>
            <w:pPr>
              <w:numPr>
                <w:ilvl w:val="0"/>
                <w:numId w:val="14"/>
              </w:numPr>
              <w:rPr>
                <w:rFonts w:ascii="宋体" w:hAnsi="宋体"/>
                <w:sz w:val="18"/>
                <w:szCs w:val="18"/>
              </w:rPr>
            </w:pPr>
          </w:p>
        </w:tc>
        <w:tc>
          <w:tcPr>
            <w:tcW w:w="898" w:type="dxa"/>
            <w:vAlign w:val="center"/>
          </w:tcPr>
          <w:p>
            <w:pPr>
              <w:jc w:val="center"/>
              <w:rPr>
                <w:rFonts w:ascii="宋体" w:hAnsi="宋体"/>
                <w:sz w:val="18"/>
                <w:szCs w:val="18"/>
              </w:rPr>
            </w:pPr>
          </w:p>
        </w:tc>
        <w:tc>
          <w:tcPr>
            <w:tcW w:w="7347" w:type="dxa"/>
          </w:tcPr>
          <w:p>
            <w:pPr>
              <w:tabs>
                <w:tab w:val="left" w:pos="709"/>
              </w:tabs>
              <w:spacing w:line="360" w:lineRule="auto"/>
              <w:jc w:val="left"/>
              <w:rPr>
                <w:rFonts w:ascii="宋体" w:hAnsi="宋体" w:cs="微软雅黑" w:hint="eastAsia"/>
                <w:b/>
                <w:color w:val="0000FF"/>
                <w:kern w:val="0"/>
                <w:sz w:val="18"/>
                <w:szCs w:val="18"/>
              </w:rPr>
            </w:pPr>
            <w:r>
              <w:rPr>
                <w:rFonts w:ascii="宋体" w:hAnsi="宋体" w:cs="微软雅黑" w:hint="eastAsia"/>
                <w:b/>
                <w:color w:val="0000FF"/>
                <w:kern w:val="0"/>
                <w:sz w:val="18"/>
                <w:szCs w:val="18"/>
                <w:lang w:val="en-US" w:eastAsia="zh-CN"/>
              </w:rPr>
              <w:t>无</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pPr>
              <w:jc w:val="center"/>
              <w:rPr>
                <w:sz w:val="18"/>
                <w:szCs w:val="18"/>
              </w:rPr>
            </w:pPr>
            <w:r>
              <w:rPr>
                <w:rFonts w:hint="eastAsia"/>
                <w:b/>
                <w:sz w:val="18"/>
                <w:szCs w:val="18"/>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vAlign w:val="center"/>
          </w:tcPr>
          <w:p>
            <w:pPr>
              <w:numPr>
                <w:ilvl w:val="0"/>
                <w:numId w:val="14"/>
              </w:numPr>
              <w:rPr>
                <w:rFonts w:ascii="宋体" w:hAnsi="宋体"/>
                <w:sz w:val="18"/>
                <w:szCs w:val="18"/>
              </w:rPr>
            </w:pPr>
          </w:p>
        </w:tc>
        <w:tc>
          <w:tcPr>
            <w:tcW w:w="898" w:type="dxa"/>
            <w:vAlign w:val="center"/>
          </w:tcPr>
          <w:p>
            <w:pPr>
              <w:jc w:val="center"/>
              <w:rPr>
                <w:rFonts w:ascii="宋体" w:hAnsi="宋体"/>
                <w:sz w:val="18"/>
                <w:szCs w:val="18"/>
              </w:rPr>
            </w:pPr>
          </w:p>
        </w:tc>
        <w:tc>
          <w:tcPr>
            <w:tcW w:w="7347" w:type="dxa"/>
            <w:vAlign w:val="center"/>
          </w:tcPr>
          <w:p>
            <w:pPr>
              <w:tabs>
                <w:tab w:val="left" w:pos="709"/>
              </w:tabs>
              <w:spacing w:line="360" w:lineRule="auto"/>
              <w:jc w:val="left"/>
              <w:rPr>
                <w:rFonts w:ascii="宋体" w:hAnsi="宋体"/>
                <w:sz w:val="18"/>
                <w:szCs w:val="18"/>
              </w:rPr>
            </w:pPr>
            <w:r>
              <w:rPr>
                <w:rFonts w:ascii="宋体" w:hAnsi="宋体" w:hint="eastAsia"/>
                <w:szCs w:val="21"/>
                <w:highlight w:val="yellow"/>
              </w:rPr>
              <w:t>提供自用户验收合格后8年的免费质保期服务（提供相关承诺函）*</w:t>
            </w:r>
          </w:p>
        </w:tc>
      </w:tr>
    </w:tbl>
    <w:p>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b/>
          <w:bCs/>
          <w:sz w:val="30"/>
          <w:szCs w:val="30"/>
        </w:rPr>
        <w:sectPr>
          <w:headerReference w:type="default" r:id="rId6"/>
          <w:footerReference w:type="default" r:id="rId7"/>
          <w:pgSz w:w="11906" w:h="16838"/>
          <w:pgMar w:top="1440" w:right="1800" w:bottom="1440" w:left="1800" w:header="851" w:footer="992" w:gutter="0"/>
          <w:cols w:space="708"/>
          <w:docGrid w:type="lines" w:linePitch="312"/>
        </w:sectPr>
      </w:pPr>
      <w:bookmarkEnd w:id="6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A24733" w:rsidP="00D971A4">
      <w:pPr>
        <w:numPr>
          <w:ilvl w:val="0"/>
          <w:numId w:val="5"/>
        </w:numPr>
        <w:spacing w:line="360" w:lineRule="auto"/>
        <w:ind w:firstLine="3066" w:firstLineChars="1460"/>
        <w:jc w:val="left"/>
        <w:rPr>
          <w:b/>
          <w:bCs/>
          <w:szCs w:val="21"/>
        </w:rPr>
      </w:pPr>
      <w:bookmarkStart w:id="70" w:name="采购公告合同部分_ZBGGHT"/>
      <w:r>
        <w:rPr>
          <w:rFonts w:hint="eastAsia"/>
          <w:b/>
          <w:bCs/>
          <w:szCs w:val="21"/>
        </w:rPr>
        <w:t xml:space="preserve"> </w:t>
      </w:r>
      <w:r>
        <w:rPr>
          <w:rFonts w:hint="eastAsia"/>
          <w:b/>
          <w:bCs/>
          <w:szCs w:val="21"/>
        </w:rPr>
        <w:t>采购合同</w:t>
      </w:r>
    </w:p>
    <w:p w:rsidR="00A24733">
      <w:pPr>
        <w:spacing w:line="360" w:lineRule="auto"/>
        <w:ind w:left="1680" w:firstLine="420"/>
        <w:jc w:val="left"/>
        <w:rPr>
          <w:b/>
          <w:bCs/>
          <w:szCs w:val="21"/>
        </w:rPr>
      </w:pPr>
      <w:r>
        <w:rPr>
          <w:rFonts w:hint="eastAsia"/>
          <w:b/>
          <w:bCs/>
          <w:szCs w:val="21"/>
        </w:rPr>
        <w:t>必须明确合同金额支付条件及支付比例</w:t>
      </w:r>
    </w:p>
    <w:p w:rsidR="00A24733">
      <w:pPr>
        <w:pStyle w:val="BodyText"/>
        <w:spacing w:after="0"/>
        <w:jc w:val="center"/>
        <w:rPr>
          <w:rFonts w:ascii="宋体" w:hAnsi="宋体" w:cs="宋体"/>
          <w:b/>
          <w:bCs/>
          <w:spacing w:val="-20"/>
          <w:kern w:val="44"/>
          <w:sz w:val="48"/>
          <w:szCs w:val="48"/>
        </w:rPr>
      </w:pPr>
      <w:r>
        <w:rPr>
          <w:b/>
          <w:bCs/>
          <w:szCs w:val="21"/>
        </w:rPr>
        <w:br w:type="page"/>
      </w:r>
      <w:bookmarkStart w:id="71" w:name="_Toc3995"/>
    </w:p>
    <w:p w:rsidR="00A24733">
      <w:pPr>
        <w:pStyle w:val="BodyText"/>
        <w:spacing w:after="0"/>
        <w:jc w:val="center"/>
        <w:rPr>
          <w:rFonts w:ascii="宋体" w:hAnsi="宋体" w:cs="宋体"/>
          <w:b/>
          <w:bCs/>
          <w:spacing w:val="-20"/>
          <w:kern w:val="44"/>
          <w:sz w:val="48"/>
          <w:szCs w:val="48"/>
        </w:rPr>
      </w:pPr>
    </w:p>
    <w:p w:rsidR="00A24733">
      <w:pPr>
        <w:pStyle w:val="BodyText"/>
        <w:spacing w:after="0"/>
        <w:jc w:val="center"/>
        <w:rPr>
          <w:rFonts w:ascii="宋体" w:hAnsi="宋体" w:cs="宋体"/>
          <w:b/>
          <w:bCs/>
          <w:spacing w:val="-20"/>
          <w:kern w:val="44"/>
          <w:sz w:val="48"/>
          <w:szCs w:val="48"/>
        </w:rPr>
      </w:pPr>
    </w:p>
    <w:p w:rsidR="00A24733">
      <w:pPr>
        <w:pStyle w:val="BodyText"/>
        <w:spacing w:after="0"/>
        <w:jc w:val="center"/>
        <w:rPr>
          <w:rFonts w:ascii="宋体" w:hAnsi="宋体" w:cs="宋体"/>
          <w:b/>
          <w:bCs/>
          <w:spacing w:val="-20"/>
          <w:kern w:val="44"/>
          <w:sz w:val="48"/>
          <w:szCs w:val="48"/>
        </w:rPr>
      </w:pPr>
    </w:p>
    <w:p w:rsidR="00A24733">
      <w:pPr>
        <w:pStyle w:val="BodyText"/>
        <w:spacing w:after="0"/>
        <w:jc w:val="center"/>
        <w:rPr>
          <w:rFonts w:ascii="宋体" w:hAnsi="宋体" w:cs="宋体"/>
          <w:b/>
          <w:bCs/>
          <w:spacing w:val="-20"/>
          <w:kern w:val="44"/>
          <w:sz w:val="48"/>
          <w:szCs w:val="48"/>
        </w:rPr>
      </w:pPr>
    </w:p>
    <w:p w:rsidR="00A24733">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政府采购货物买卖合同</w:t>
      </w:r>
    </w:p>
    <w:p w:rsidR="00A24733">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（试行）</w:t>
      </w:r>
    </w:p>
    <w:p w:rsidR="00A24733">
      <w:pPr>
        <w:rPr>
          <w:rFonts w:ascii="宋体" w:hAnsi="宋体" w:cs="宋体"/>
          <w:b/>
          <w:bCs/>
          <w:spacing w:val="-20"/>
          <w:kern w:val="44"/>
          <w:sz w:val="40"/>
          <w:szCs w:val="40"/>
        </w:rPr>
      </w:pPr>
    </w:p>
    <w:p w:rsidR="00A24733">
      <w:pPr>
        <w:rPr>
          <w:rFonts w:ascii="宋体" w:hAnsi="宋体" w:cs="宋体"/>
          <w:b/>
          <w:bCs/>
          <w:spacing w:val="-20"/>
          <w:kern w:val="44"/>
          <w:sz w:val="40"/>
          <w:szCs w:val="40"/>
        </w:rPr>
      </w:pPr>
    </w:p>
    <w:p w:rsidR="00A24733">
      <w:pPr>
        <w:rPr>
          <w:rFonts w:ascii="宋体" w:hAnsi="宋体" w:cs="宋体"/>
          <w:b/>
          <w:bCs/>
          <w:spacing w:val="-20"/>
          <w:kern w:val="44"/>
          <w:sz w:val="40"/>
          <w:szCs w:val="40"/>
        </w:rPr>
      </w:pPr>
    </w:p>
    <w:p w:rsidR="00A24733">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rsidR="00A24733">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rsidR="00A24733">
      <w:pPr>
        <w:spacing w:line="360" w:lineRule="auto"/>
        <w:ind w:left="420" w:leftChars="20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rsidR="00A24733">
      <w:pPr>
        <w:spacing w:line="360" w:lineRule="auto"/>
        <w:ind w:left="420" w:leftChars="20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rsidR="00A24733">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rsidR="00A24733"/>
    <w:p w:rsidR="00A24733">
      <w:pPr>
        <w:rPr>
          <w:rFonts w:eastAsia="黑体"/>
          <w:sz w:val="44"/>
          <w:szCs w:val="44"/>
        </w:rPr>
      </w:pPr>
      <w:r>
        <w:rPr>
          <w:rFonts w:eastAsia="黑体"/>
          <w:sz w:val="44"/>
          <w:szCs w:val="44"/>
        </w:rPr>
        <w:br w:type="page"/>
      </w:r>
    </w:p>
    <w:p w:rsidR="00A24733">
      <w:pPr>
        <w:rPr>
          <w:rFonts w:eastAsia="黑体"/>
          <w:sz w:val="44"/>
          <w:szCs w:val="44"/>
        </w:rPr>
      </w:pPr>
    </w:p>
    <w:p w:rsidR="00A24733">
      <w:pPr>
        <w:rPr>
          <w:rFonts w:eastAsia="黑体"/>
          <w:sz w:val="44"/>
          <w:szCs w:val="44"/>
        </w:rPr>
      </w:pPr>
    </w:p>
    <w:p w:rsidR="00A24733">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rsidR="00A24733">
      <w:pPr>
        <w:ind w:firstLine="640" w:firstLineChars="200"/>
        <w:rPr>
          <w:rFonts w:ascii="仿宋_GB2312" w:eastAsia="仿宋_GB2312" w:hAnsi="仿宋_GB2312" w:cs="仿宋_GB2312"/>
          <w:sz w:val="32"/>
          <w:szCs w:val="32"/>
        </w:rPr>
      </w:pPr>
    </w:p>
    <w:p w:rsidR="00A24733">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rsidR="00A24733">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rsidR="00A24733">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rsidR="00A24733">
      <w:pPr>
        <w:rPr>
          <w:rFonts w:eastAsia="黑体"/>
          <w:sz w:val="44"/>
          <w:szCs w:val="44"/>
        </w:rPr>
        <w:sectPr>
          <w:pgSz w:w="11906" w:h="16838"/>
          <w:pgMar w:top="1440" w:right="1800" w:bottom="1440" w:left="1800" w:header="851" w:footer="992" w:gutter="0"/>
          <w:cols w:space="425"/>
          <w:docGrid w:type="lines" w:linePitch="312"/>
        </w:sectPr>
      </w:pPr>
    </w:p>
    <w:p w:rsidR="00A24733">
      <w:pPr>
        <w:pStyle w:val="Heading2"/>
        <w:numPr>
          <w:ilvl w:val="0"/>
          <w:numId w:val="0"/>
        </w:numPr>
        <w:adjustRightInd w:val="0"/>
        <w:snapToGrid w:val="0"/>
        <w:spacing w:line="400" w:lineRule="exact"/>
        <w:jc w:val="center"/>
        <w:rPr>
          <w:rFonts w:ascii="黑体" w:hAnsi="华文中宋"/>
          <w:b w:val="0"/>
          <w:bCs w:val="0"/>
          <w:sz w:val="28"/>
          <w:szCs w:val="28"/>
        </w:rPr>
      </w:pPr>
      <w:bookmarkStart w:id="72" w:name="_Toc22209"/>
      <w:bookmarkEnd w:id="71"/>
      <w:r>
        <w:rPr>
          <w:rFonts w:ascii="黑体" w:hAnsi="黑体" w:hint="eastAsia"/>
          <w:b w:val="0"/>
          <w:bCs w:val="0"/>
          <w:sz w:val="28"/>
          <w:szCs w:val="28"/>
        </w:rPr>
        <w:t xml:space="preserve">第一节 </w:t>
      </w:r>
      <w:r>
        <w:rPr>
          <w:rFonts w:ascii="黑体" w:hAnsi="华文中宋" w:hint="eastAsia"/>
          <w:b w:val="0"/>
          <w:bCs w:val="0"/>
          <w:sz w:val="28"/>
          <w:szCs w:val="28"/>
        </w:rPr>
        <w:t>政府采购合同协议书</w:t>
      </w:r>
      <w:bookmarkEnd w:id="72"/>
    </w:p>
    <w:p w:rsidR="00A24733">
      <w:pPr>
        <w:adjustRightInd w:val="0"/>
        <w:snapToGrid w:val="0"/>
        <w:spacing w:line="400" w:lineRule="exact"/>
        <w:rPr>
          <w:rFonts w:ascii="宋体" w:hAnsi="宋体"/>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t xml:space="preserve">                                   文件约定的合同甲方）</w:t>
      </w:r>
    </w:p>
    <w:p w:rsidR="00A24733">
      <w:pPr>
        <w:adjustRightInd w:val="0"/>
        <w:snapToGrid w:val="0"/>
        <w:spacing w:line="400" w:lineRule="exact"/>
        <w:rPr>
          <w:rFonts w:ascii="宋体" w:hAnsi="宋体"/>
          <w:szCs w:val="21"/>
        </w:rPr>
      </w:pPr>
      <w:r>
        <w:rPr>
          <w:rFonts w:ascii="宋体" w:hAnsi="宋体" w:hint="eastAsia"/>
          <w:szCs w:val="21"/>
        </w:rPr>
        <w:t>乙方1（全称）：</w:t>
      </w:r>
      <w:r>
        <w:rPr>
          <w:rFonts w:ascii="宋体" w:hAnsi="宋体" w:hint="eastAsia"/>
          <w:szCs w:val="21"/>
          <w:u w:val="single"/>
        </w:rPr>
        <w:t xml:space="preserve">                       </w:t>
      </w:r>
      <w:r>
        <w:rPr>
          <w:rFonts w:ascii="宋体" w:hAnsi="宋体" w:hint="eastAsia"/>
          <w:szCs w:val="21"/>
        </w:rPr>
        <w:t>（供应商）</w:t>
      </w:r>
    </w:p>
    <w:p w:rsidR="00A24733">
      <w:pPr>
        <w:adjustRightInd w:val="0"/>
        <w:snapToGrid w:val="0"/>
        <w:spacing w:line="400" w:lineRule="exact"/>
        <w:rPr>
          <w:rFonts w:ascii="宋体" w:hAnsi="宋体"/>
          <w:szCs w:val="21"/>
        </w:rPr>
      </w:pPr>
      <w:r>
        <w:rPr>
          <w:rFonts w:ascii="宋体" w:hAnsi="宋体" w:hint="eastAsia"/>
          <w:szCs w:val="21"/>
        </w:rPr>
        <w:t>乙方2（全称）：</w:t>
      </w:r>
      <w:r>
        <w:rPr>
          <w:rFonts w:ascii="宋体" w:hAnsi="宋体" w:hint="eastAsia"/>
          <w:szCs w:val="21"/>
          <w:u w:val="single"/>
        </w:rPr>
        <w:t xml:space="preserve">                        </w:t>
      </w:r>
      <w:r>
        <w:rPr>
          <w:rFonts w:ascii="宋体" w:hAnsi="宋体" w:hint="eastAsia"/>
          <w:szCs w:val="21"/>
        </w:rPr>
        <w:t>（联合体成员供应商或其他合同主体）（如有）</w:t>
      </w:r>
    </w:p>
    <w:p w:rsidR="00A24733">
      <w:pPr>
        <w:adjustRightInd w:val="0"/>
        <w:snapToGrid w:val="0"/>
        <w:spacing w:line="400" w:lineRule="exact"/>
        <w:rPr>
          <w:rFonts w:ascii="宋体" w:hAnsi="宋体"/>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A24733">
      <w:pPr>
        <w:spacing w:line="400" w:lineRule="exact"/>
      </w:pPr>
    </w:p>
    <w:p w:rsidR="00A24733">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rsidR="00A24733" w:rsidP="00D971A4">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项目信息</w:t>
      </w:r>
    </w:p>
    <w:p w:rsidR="00A24733">
      <w:pPr>
        <w:pStyle w:val="BodyTextIndent"/>
        <w:numPr>
          <w:ilvl w:val="0"/>
          <w:numId w:val="7"/>
        </w:numPr>
        <w:adjustRightInd w:val="0"/>
        <w:snapToGrid w:val="0"/>
        <w:spacing w:after="0" w:line="400" w:lineRule="exact"/>
        <w:ind w:left="0" w:firstLine="420" w:leftChars="0" w:firstLineChars="200"/>
        <w:rPr>
          <w:rFonts w:ascii="宋体" w:hAnsi="宋体"/>
          <w:szCs w:val="21"/>
          <w:u w:val="single"/>
        </w:rPr>
      </w:pPr>
      <w:r>
        <w:rPr>
          <w:rFonts w:ascii="宋体" w:hAnsi="宋体" w:hint="eastAsia"/>
          <w:szCs w:val="21"/>
        </w:rPr>
        <w:t>采购项目名称：</w:t>
      </w:r>
      <w:r>
        <w:rPr>
          <w:rFonts w:ascii="宋体" w:hAnsi="宋体"/>
          <w:szCs w:val="21"/>
          <w:u w:val="single"/>
        </w:rPr>
        <w:t xml:space="preserve">                                          </w:t>
      </w:r>
    </w:p>
    <w:p w:rsidR="00A24733">
      <w:pPr>
        <w:pStyle w:val="BodyTextIndent"/>
        <w:tabs>
          <w:tab w:val="left" w:pos="999"/>
        </w:tabs>
        <w:adjustRightInd w:val="0"/>
        <w:snapToGrid w:val="0"/>
        <w:spacing w:after="0" w:line="400" w:lineRule="exact"/>
        <w:ind w:left="0" w:leftChars="0"/>
        <w:rPr>
          <w:rFonts w:ascii="宋体" w:hAnsi="宋体"/>
          <w:szCs w:val="21"/>
        </w:rPr>
      </w:pPr>
      <w:r>
        <w:rPr>
          <w:rFonts w:ascii="宋体" w:hAnsi="宋体" w:hint="eastAsia"/>
          <w:szCs w:val="21"/>
        </w:rPr>
        <w:t xml:space="preserve">         采购项目编号：</w:t>
      </w:r>
      <w:r>
        <w:rPr>
          <w:rFonts w:ascii="宋体" w:hAnsi="宋体"/>
          <w:szCs w:val="21"/>
          <w:u w:val="single"/>
        </w:rPr>
        <w:t xml:space="preserve">                                          </w:t>
      </w:r>
    </w:p>
    <w:p w:rsidR="00A24733">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（2）采购计划编号：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rsidR="00A24733">
      <w:pPr>
        <w:adjustRightInd w:val="0"/>
        <w:snapToGrid w:val="0"/>
        <w:spacing w:line="400" w:lineRule="exact"/>
        <w:ind w:firstLine="420" w:firstLineChars="200"/>
        <w:rPr>
          <w:rFonts w:ascii="宋体" w:hAnsi="宋体"/>
          <w:szCs w:val="21"/>
        </w:rPr>
      </w:pPr>
      <w:r>
        <w:rPr>
          <w:rFonts w:ascii="宋体" w:hAnsi="宋体" w:hint="eastAsia"/>
          <w:szCs w:val="21"/>
        </w:rPr>
        <w:t>（3）项目内容：</w:t>
      </w:r>
    </w:p>
    <w:p w:rsidR="00A24733">
      <w:pPr>
        <w:adjustRightInd w:val="0"/>
        <w:snapToGrid w:val="0"/>
        <w:spacing w:line="400" w:lineRule="exact"/>
        <w:ind w:firstLine="420" w:firstLineChars="200"/>
        <w:rPr>
          <w:rFonts w:ascii="宋体" w:hAnsi="宋体"/>
          <w:szCs w:val="21"/>
        </w:rPr>
      </w:pPr>
      <w:r>
        <w:rPr>
          <w:rFonts w:ascii="宋体" w:hAnsi="宋体" w:hint="eastAsia"/>
          <w:szCs w:val="21"/>
        </w:rPr>
        <w:t xml:space="preserve">     采购标的及数量（台/套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rsidR="00A24733">
      <w:pPr>
        <w:adjustRightInd w:val="0"/>
        <w:snapToGrid w:val="0"/>
        <w:spacing w:line="400" w:lineRule="exact"/>
        <w:ind w:firstLine="420" w:firstLineChars="200"/>
        <w:rPr>
          <w:rFonts w:ascii="宋体" w:hAnsi="宋体" w:cs="宋体"/>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rsidR="00A24733">
      <w:pPr>
        <w:adjustRightInd w:val="0"/>
        <w:snapToGrid w:val="0"/>
        <w:spacing w:line="400" w:lineRule="exact"/>
        <w:ind w:firstLine="945" w:firstLineChars="450"/>
        <w:rPr>
          <w:rFonts w:ascii="宋体" w:hAnsi="宋体"/>
          <w:szCs w:val="21"/>
          <w:u w:val="single"/>
        </w:rPr>
      </w:pPr>
      <w:r>
        <w:rPr>
          <w:rFonts w:ascii="宋体" w:hAnsi="宋体" w:hint="eastAsia"/>
          <w:szCs w:val="21"/>
        </w:rPr>
        <w:t>采购标的</w:t>
      </w:r>
      <w:r>
        <w:rPr>
          <w:rFonts w:ascii="宋体" w:hAnsi="宋体" w:hint="eastAsia"/>
          <w:szCs w:val="21"/>
        </w:rPr>
        <w:t>的</w:t>
      </w:r>
      <w:r>
        <w:rPr>
          <w:rFonts w:ascii="宋体" w:hAnsi="宋体" w:hint="eastAsia"/>
          <w:szCs w:val="21"/>
        </w:rPr>
        <w:t>技术要求、商务要求具体见附件。</w:t>
      </w:r>
    </w:p>
    <w:p w:rsidR="00A24733">
      <w:pPr>
        <w:adjustRightInd w:val="0"/>
        <w:snapToGrid w:val="0"/>
        <w:spacing w:line="400" w:lineRule="exact"/>
        <w:ind w:firstLine="945" w:firstLineChars="450"/>
        <w:rPr>
          <w:rFonts w:ascii="宋体" w:hAnsi="宋体" w:cs="宋体"/>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rsidR="00A24733">
      <w:pPr>
        <w:adjustRightInd w:val="0"/>
        <w:snapToGrid w:val="0"/>
        <w:spacing w:line="400" w:lineRule="exact"/>
        <w:ind w:firstLine="420" w:firstLineChars="200"/>
        <w:rPr>
          <w:rFonts w:ascii="宋体" w:hAnsi="宋体" w:cs="宋体"/>
          <w:kern w:val="0"/>
          <w:szCs w:val="21"/>
          <w:u w:val="single"/>
        </w:rPr>
      </w:pPr>
      <w:r>
        <w:rPr>
          <w:rFonts w:ascii="宋体" w:hAnsi="宋体" w:cs="宋体" w:hint="eastAsia"/>
          <w:szCs w:val="21"/>
        </w:rPr>
        <w:t xml:space="preserve">     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rsidR="00A24733">
      <w:pPr>
        <w:adjustRightInd w:val="0"/>
        <w:snapToGrid w:val="0"/>
        <w:spacing w:line="400" w:lineRule="exact"/>
        <w:ind w:firstLine="420" w:firstLineChars="200"/>
        <w:rPr>
          <w:rFonts w:ascii="宋体" w:hAnsi="宋体" w:cs="宋体"/>
          <w:szCs w:val="21"/>
        </w:rPr>
      </w:pPr>
      <w:r>
        <w:rPr>
          <w:rFonts w:ascii="宋体" w:hAnsi="宋体" w:cs="宋体" w:hint="eastAsia"/>
          <w:szCs w:val="21"/>
        </w:rPr>
        <w:t xml:space="preserve">     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型号：</w:t>
      </w:r>
      <w:r>
        <w:rPr>
          <w:rFonts w:ascii="宋体" w:hAnsi="宋体" w:cs="宋体" w:hint="eastAsia"/>
          <w:szCs w:val="21"/>
          <w:u w:val="single"/>
        </w:rPr>
        <w:t xml:space="preserve">       </w:t>
      </w:r>
      <w:r>
        <w:rPr>
          <w:rFonts w:ascii="宋体" w:hAnsi="宋体" w:cs="宋体" w:hint="eastAsia"/>
          <w:szCs w:val="21"/>
        </w:rPr>
        <w:t xml:space="preserve"> </w:t>
      </w:r>
    </w:p>
    <w:p w:rsidR="00A24733">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A24733">
      <w:pPr>
        <w:pStyle w:val="AONormal"/>
        <w:ind w:firstLine="420"/>
        <w:rPr>
          <w:rFonts w:ascii="宋体" w:eastAsia="宋体" w:hAnsi="宋体" w:cs="宋体"/>
          <w:sz w:val="21"/>
        </w:rPr>
      </w:pPr>
      <w:r>
        <w:rPr>
          <w:rFonts w:ascii="宋体" w:eastAsia="宋体" w:hAnsi="宋体" w:cs="宋体" w:hint="eastAsia"/>
          <w:sz w:val="21"/>
        </w:rPr>
        <w:t xml:space="preserve">     关键部件：</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p>
    <w:p w:rsidR="00A24733">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（注：关键部件是指财政部会同有关部门发布的政府采购需求标准规定的需要通过国家有关部门指定的测评机构开展的安全可靠测评的软硬件，如CPU芯片、操作系统、数据库等。）</w:t>
      </w:r>
    </w:p>
    <w:p w:rsidR="00A24733">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rsidR="00A24733">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w:t>
      </w:r>
      <w:r>
        <w:rPr>
          <w:rFonts w:ascii="宋体" w:eastAsia="宋体" w:hAnsi="宋体" w:cs="宋体" w:hint="eastAsia"/>
          <w:sz w:val="21"/>
        </w:rPr>
        <w:t>《政府采购品目分类目录》底级品目</w:t>
      </w:r>
      <w:r>
        <w:rPr>
          <w:rFonts w:ascii="宋体" w:eastAsia="宋体" w:hAnsi="宋体" w:cs="宋体" w:hint="eastAsia"/>
          <w:sz w:val="21"/>
        </w:rPr>
        <w:t>名称：</w:t>
      </w:r>
      <w:r>
        <w:rPr>
          <w:rFonts w:ascii="宋体" w:eastAsia="宋体" w:hAnsi="宋体" w:cs="宋体" w:hint="eastAsia"/>
          <w:sz w:val="21"/>
          <w:u w:val="single"/>
        </w:rPr>
        <w:t xml:space="preserve">     </w:t>
      </w:r>
      <w:r>
        <w:rPr>
          <w:rFonts w:ascii="宋体" w:eastAsia="宋体" w:hAnsi="宋体" w:cs="宋体" w:hint="eastAsia"/>
          <w:sz w:val="21"/>
        </w:rPr>
        <w:t xml:space="preserve"> 数量：</w:t>
      </w:r>
      <w:r>
        <w:rPr>
          <w:rFonts w:ascii="宋体" w:eastAsia="宋体" w:hAnsi="宋体" w:cs="宋体" w:hint="eastAsia"/>
          <w:sz w:val="21"/>
          <w:u w:val="single"/>
        </w:rPr>
        <w:t xml:space="preserve">    </w:t>
      </w:r>
      <w:r>
        <w:rPr>
          <w:rFonts w:ascii="宋体" w:eastAsia="宋体" w:hAnsi="宋体" w:cs="宋体" w:hint="eastAsia"/>
          <w:sz w:val="21"/>
        </w:rPr>
        <w:t xml:space="preserve"> 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A24733">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rsidR="00A24733">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 xml:space="preserve">政府集中采购  </w:t>
      </w:r>
      <w:r>
        <w:rPr>
          <w:rFonts w:ascii="Wingdings" w:eastAsia="宋体" w:hAnsi="Wingdings" w:cs="宋体"/>
          <w:sz w:val="21"/>
        </w:rPr>
        <w:sym w:font="Wingdings" w:char="F0A8"/>
      </w:r>
      <w:r>
        <w:rPr>
          <w:rFonts w:ascii="宋体" w:eastAsia="宋体" w:hAnsi="宋体" w:cs="宋体" w:hint="eastAsia"/>
          <w:sz w:val="21"/>
        </w:rPr>
        <w:t xml:space="preserve">部门集中采购  </w:t>
      </w:r>
      <w:r>
        <w:rPr>
          <w:rFonts w:ascii="Wingdings" w:eastAsia="宋体" w:hAnsi="Wingdings" w:cs="宋体"/>
          <w:sz w:val="21"/>
        </w:rPr>
        <w:sym w:font="Wingdings" w:char="F0A8"/>
      </w:r>
      <w:r>
        <w:rPr>
          <w:rFonts w:ascii="宋体" w:eastAsia="宋体" w:hAnsi="宋体" w:cs="宋体" w:hint="eastAsia"/>
          <w:sz w:val="21"/>
        </w:rPr>
        <w:t>分散采购</w:t>
      </w:r>
    </w:p>
    <w:p w:rsidR="00A24733">
      <w:pPr>
        <w:pStyle w:val="AONormal"/>
        <w:snapToGrid w:val="0"/>
        <w:ind w:firstLine="420" w:firstLineChars="0"/>
        <w:rPr>
          <w:rFonts w:ascii="宋体" w:eastAsia="宋体" w:hAnsi="宋体" w:cs="宋体"/>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 xml:space="preserve">公开招标 </w:t>
      </w:r>
      <w:r>
        <w:rPr>
          <w:rFonts w:ascii="Wingdings" w:eastAsia="宋体" w:hAnsi="Wingdings" w:cs="宋体"/>
          <w:sz w:val="21"/>
        </w:rPr>
        <w:sym w:font="Wingdings" w:char="F0A8"/>
      </w:r>
      <w:r>
        <w:rPr>
          <w:rFonts w:ascii="宋体" w:eastAsia="宋体" w:hAnsi="宋体" w:cs="宋体" w:hint="eastAsia"/>
          <w:sz w:val="21"/>
        </w:rPr>
        <w:t xml:space="preserve">邀请招标 </w:t>
      </w:r>
      <w:r>
        <w:rPr>
          <w:rFonts w:ascii="Wingdings" w:eastAsia="宋体" w:hAnsi="Wingdings" w:cs="宋体"/>
          <w:sz w:val="21"/>
        </w:rPr>
        <w:sym w:font="Wingdings" w:char="F0A8"/>
      </w:r>
      <w:r>
        <w:rPr>
          <w:rFonts w:ascii="宋体" w:eastAsia="宋体" w:hAnsi="宋体" w:cs="宋体" w:hint="eastAsia"/>
          <w:sz w:val="21"/>
        </w:rPr>
        <w:t xml:space="preserve">竞争性谈判 </w:t>
      </w:r>
      <w:r>
        <w:rPr>
          <w:rFonts w:ascii="Wingdings" w:eastAsia="宋体" w:hAnsi="Wingdings" w:cs="宋体"/>
          <w:sz w:val="21"/>
        </w:rPr>
        <w:sym w:font="Wingdings" w:char="F0A8"/>
      </w:r>
      <w:r>
        <w:rPr>
          <w:rFonts w:ascii="宋体" w:eastAsia="宋体" w:hAnsi="宋体" w:cs="宋体" w:hint="eastAsia"/>
          <w:sz w:val="21"/>
        </w:rPr>
        <w:t>竞争性磋商</w:t>
      </w:r>
    </w:p>
    <w:p w:rsidR="00A24733">
      <w:pPr>
        <w:pStyle w:val="AONormal"/>
        <w:snapToGrid w:val="0"/>
        <w:ind w:firstLine="420" w:firstLineChars="0"/>
        <w:rPr>
          <w:rFonts w:ascii="宋体" w:eastAsia="宋体" w:hAnsi="宋体" w:cs="宋体"/>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 xml:space="preserve">询价 </w:t>
      </w:r>
      <w:r>
        <w:rPr>
          <w:rFonts w:ascii="Wingdings" w:eastAsia="宋体" w:hAnsi="Wingdings" w:cs="宋体"/>
          <w:sz w:val="21"/>
        </w:rPr>
        <w:sym w:font="Wingdings" w:char="F0A8"/>
      </w:r>
      <w:r>
        <w:rPr>
          <w:rFonts w:ascii="宋体" w:eastAsia="宋体" w:hAnsi="宋体" w:cs="宋体" w:hint="eastAsia"/>
          <w:sz w:val="21"/>
        </w:rPr>
        <w:t xml:space="preserve">单一来源 </w:t>
      </w:r>
      <w:r>
        <w:rPr>
          <w:rFonts w:ascii="Wingdings" w:eastAsia="宋体" w:hAnsi="Wingdings" w:cs="宋体"/>
          <w:sz w:val="21"/>
        </w:rPr>
        <w:sym w:font="Wingdings" w:char="F0A8"/>
      </w:r>
      <w:r>
        <w:rPr>
          <w:rFonts w:ascii="宋体" w:eastAsia="宋体" w:hAnsi="宋体" w:cs="宋体" w:hint="eastAsia"/>
          <w:sz w:val="21"/>
        </w:rPr>
        <w:t xml:space="preserve">框架协议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rsidR="00A24733">
      <w:pPr>
        <w:pStyle w:val="AONormal"/>
        <w:snapToGrid w:val="0"/>
        <w:ind w:firstLine="420" w:firstLineChars="0"/>
        <w:rPr>
          <w:rFonts w:ascii="宋体" w:eastAsia="宋体" w:hAnsi="宋体" w:cs="宋体"/>
          <w:sz w:val="21"/>
        </w:rPr>
      </w:pPr>
      <w:r>
        <w:rPr>
          <w:rFonts w:ascii="宋体" w:eastAsia="宋体" w:hAnsi="宋体" w:cs="宋体" w:hint="eastAsia"/>
          <w:sz w:val="21"/>
        </w:rPr>
        <w:t>（注：在框架协议采购的第二阶段，可选择使用该合同文本）</w:t>
      </w:r>
    </w:p>
    <w:p w:rsidR="00A24733">
      <w:pPr>
        <w:pStyle w:val="AONormal"/>
        <w:snapToGrid w:val="0"/>
        <w:ind w:firstLine="220" w:firstLineChars="100"/>
        <w:rPr>
          <w:rFonts w:ascii="宋体" w:eastAsia="宋体" w:hAnsi="宋体" w:cs="Times New Roman"/>
          <w:kern w:val="2"/>
          <w:sz w:val="21"/>
        </w:rPr>
      </w:pPr>
      <w:r>
        <w:rPr>
          <w:rFonts w:ascii="宋体" w:hAnsi="宋体" w:hint="eastAsia"/>
        </w:rPr>
        <w:t xml:space="preserve"> </w:t>
      </w:r>
      <w:r>
        <w:rPr>
          <w:rFonts w:ascii="宋体" w:hAnsi="宋体" w:hint="eastAsia"/>
        </w:rPr>
        <w:t>（</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 xml:space="preserve">是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A24733">
      <w:pPr>
        <w:adjustRightInd w:val="0"/>
        <w:snapToGrid w:val="0"/>
        <w:spacing w:line="400" w:lineRule="exact"/>
        <w:rPr>
          <w:rFonts w:ascii="宋体" w:hAnsi="宋体"/>
          <w:iCs/>
          <w:szCs w:val="21"/>
        </w:rPr>
      </w:pPr>
      <w:r>
        <w:rPr>
          <w:rFonts w:ascii="宋体" w:hAnsi="宋体" w:hint="eastAsia"/>
          <w:szCs w:val="21"/>
        </w:rPr>
        <w:t xml:space="preserve">         本合同是否为专门面向中小企业的采购合同（中小企业预留合同）：</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A24733">
      <w:pPr>
        <w:adjustRightInd w:val="0"/>
        <w:snapToGrid w:val="0"/>
        <w:spacing w:line="400" w:lineRule="exact"/>
        <w:rPr>
          <w:rFonts w:ascii="宋体" w:hAnsi="宋体"/>
          <w:iCs/>
          <w:szCs w:val="21"/>
        </w:rPr>
      </w:pPr>
      <w:r>
        <w:rPr>
          <w:rFonts w:hint="eastAsia"/>
        </w:rPr>
        <w:t xml:space="preserve">         </w:t>
      </w:r>
      <w:r>
        <w:rPr>
          <w:rFonts w:hint="eastAsia"/>
        </w:rPr>
        <w:t>若本项目</w:t>
      </w:r>
      <w:r>
        <w:rPr>
          <w:rFonts w:hint="eastAsia"/>
        </w:rPr>
        <w:t>不</w:t>
      </w:r>
      <w:r>
        <w:rPr>
          <w:rFonts w:hint="eastAsia"/>
        </w:rPr>
        <w:t>专门面向中小企业采购，是否给予小</w:t>
      </w:r>
      <w:r>
        <w:rPr>
          <w:rFonts w:hint="eastAsia"/>
        </w:rPr>
        <w:t>微企业</w:t>
      </w:r>
      <w:r>
        <w:rPr>
          <w:rFonts w:hint="eastAsia"/>
        </w:rPr>
        <w:t>评审优惠：</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A24733">
      <w:pPr>
        <w:adjustRightInd w:val="0"/>
        <w:snapToGrid w:val="0"/>
        <w:spacing w:line="400" w:lineRule="exact"/>
        <w:rPr>
          <w:rFonts w:ascii="宋体" w:hAnsi="宋体"/>
          <w:iCs/>
          <w:szCs w:val="21"/>
        </w:rPr>
      </w:pPr>
      <w:r>
        <w:rPr>
          <w:rFonts w:hint="eastAsia"/>
        </w:rPr>
        <w:t xml:space="preserve">         </w:t>
      </w:r>
      <w:r>
        <w:rPr>
          <w:rFonts w:hint="eastAsia"/>
        </w:rPr>
        <w:t>中标（成交）采购标的制造商是否为残疾人福利性单位：</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A24733">
      <w:pPr>
        <w:snapToGrid w:val="0"/>
        <w:spacing w:line="400" w:lineRule="exact"/>
      </w:pPr>
      <w:r>
        <w:rPr>
          <w:rFonts w:hint="eastAsia"/>
        </w:rPr>
        <w:t xml:space="preserve">         </w:t>
      </w:r>
      <w:r>
        <w:rPr>
          <w:rFonts w:hint="eastAsia"/>
        </w:rPr>
        <w:t>中标（成交）采购标的制造商是否为监狱企业：</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A24733">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A24733">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分包主要内容：</w:t>
      </w:r>
      <w:r>
        <w:rPr>
          <w:rFonts w:ascii="宋体" w:hAnsi="宋体" w:hint="eastAsia"/>
          <w:szCs w:val="21"/>
          <w:u w:val="single"/>
        </w:rPr>
        <w:t xml:space="preserve">                                            </w:t>
      </w:r>
    </w:p>
    <w:p w:rsidR="00A24733">
      <w:pPr>
        <w:adjustRightInd w:val="0"/>
        <w:snapToGrid w:val="0"/>
        <w:spacing w:line="400" w:lineRule="exact"/>
        <w:ind w:firstLine="840" w:firstLineChars="400"/>
        <w:rPr>
          <w:rFonts w:ascii="宋体" w:hAnsi="宋体"/>
          <w:szCs w:val="21"/>
        </w:rPr>
      </w:pPr>
      <w:r>
        <w:rPr>
          <w:rFonts w:ascii="宋体" w:hAnsi="宋体" w:hint="eastAsia"/>
          <w:szCs w:val="21"/>
        </w:rPr>
        <w:t xml:space="preserve"> 分包供应商/制造商名称（如供应商和制造商不同，请分别填写）：</w:t>
      </w:r>
    </w:p>
    <w:p w:rsidR="00A24733">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u w:val="single"/>
        </w:rPr>
        <w:t xml:space="preserve">                                                          </w:t>
      </w:r>
    </w:p>
    <w:p w:rsidR="00A24733">
      <w:pPr>
        <w:adjustRightInd w:val="0"/>
        <w:snapToGrid w:val="0"/>
        <w:spacing w:line="400" w:lineRule="exact"/>
        <w:ind w:firstLine="840" w:firstLineChars="400"/>
        <w:rPr>
          <w:rFonts w:ascii="宋体" w:hAnsi="宋体"/>
          <w:szCs w:val="21"/>
        </w:rPr>
      </w:pPr>
      <w:r>
        <w:rPr>
          <w:rFonts w:ascii="宋体" w:hAnsi="宋体" w:hint="eastAsia"/>
          <w:szCs w:val="21"/>
        </w:rPr>
        <w:t xml:space="preserve"> 分包供应商/制造商类型（如果供应商和制造商不同，只填写制造商类型）：</w:t>
      </w:r>
    </w:p>
    <w:p w:rsidR="00A24733">
      <w:pPr>
        <w:adjustRightInd w:val="0"/>
        <w:snapToGrid w:val="0"/>
        <w:spacing w:line="400" w:lineRule="exact"/>
        <w:ind w:firstLine="840" w:firstLineChars="400"/>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大型企业  </w:t>
      </w:r>
      <w:r>
        <w:rPr>
          <w:rFonts w:ascii="Wingdings" w:hAnsi="Wingdings"/>
          <w:iCs/>
          <w:szCs w:val="21"/>
        </w:rPr>
        <w:sym w:font="Wingdings" w:char="F0A8"/>
      </w:r>
      <w:r>
        <w:rPr>
          <w:rFonts w:ascii="宋体" w:hAnsi="宋体" w:hint="eastAsia"/>
          <w:iCs/>
          <w:szCs w:val="21"/>
        </w:rPr>
        <w:t xml:space="preserve">中型企业  </w:t>
      </w:r>
      <w:r>
        <w:rPr>
          <w:rFonts w:ascii="Wingdings" w:hAnsi="Wingdings"/>
          <w:iCs/>
          <w:szCs w:val="21"/>
        </w:rPr>
        <w:sym w:font="Wingdings" w:char="F0A8"/>
      </w:r>
      <w:r>
        <w:rPr>
          <w:rFonts w:ascii="宋体" w:hAnsi="宋体" w:hint="eastAsia"/>
          <w:iCs/>
          <w:szCs w:val="21"/>
        </w:rPr>
        <w:t xml:space="preserve">小微型企业  </w:t>
      </w:r>
    </w:p>
    <w:p w:rsidR="00A24733">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残疾人福利性单位 </w:t>
      </w:r>
      <w:r>
        <w:rPr>
          <w:rFonts w:ascii="Wingdings" w:hAnsi="Wingdings"/>
          <w:iCs/>
          <w:szCs w:val="21"/>
        </w:rPr>
        <w:sym w:font="Wingdings" w:char="F0A8"/>
      </w:r>
      <w:r>
        <w:rPr>
          <w:rFonts w:ascii="宋体" w:hAnsi="宋体" w:hint="eastAsia"/>
          <w:iCs/>
          <w:szCs w:val="21"/>
        </w:rPr>
        <w:t xml:space="preserve">监狱企业 </w:t>
      </w:r>
      <w:r>
        <w:rPr>
          <w:rFonts w:ascii="Wingdings" w:hAnsi="Wingdings"/>
          <w:iCs/>
          <w:szCs w:val="21"/>
        </w:rPr>
        <w:sym w:font="Wingdings" w:char="F0A8"/>
      </w:r>
      <w:r>
        <w:rPr>
          <w:rFonts w:ascii="宋体" w:hAnsi="宋体" w:hint="eastAsia"/>
          <w:iCs/>
          <w:szCs w:val="21"/>
        </w:rPr>
        <w:t>其他</w:t>
      </w:r>
    </w:p>
    <w:p w:rsidR="00A24733">
      <w:pPr>
        <w:adjustRightInd w:val="0"/>
        <w:snapToGrid w:val="0"/>
        <w:spacing w:line="400" w:lineRule="exact"/>
        <w:rPr>
          <w:rFonts w:ascii="宋体" w:hAnsi="宋体" w:cs="宋体"/>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 xml:space="preserve">是       </w:t>
      </w:r>
      <w:r>
        <w:rPr>
          <w:rFonts w:ascii="Wingdings" w:hAnsi="Wingdings" w:cs="宋体"/>
          <w:iCs/>
          <w:szCs w:val="21"/>
        </w:rPr>
        <w:sym w:font="Wingdings" w:char="F0A8"/>
      </w:r>
      <w:r>
        <w:rPr>
          <w:rFonts w:ascii="宋体" w:hAnsi="宋体" w:cs="宋体" w:hint="eastAsia"/>
          <w:iCs/>
          <w:szCs w:val="21"/>
        </w:rPr>
        <w:t>否</w:t>
      </w:r>
    </w:p>
    <w:p w:rsidR="00A24733">
      <w:pPr>
        <w:pStyle w:val="AONormal"/>
        <w:tabs>
          <w:tab w:val="left" w:pos="1340"/>
        </w:tabs>
        <w:ind w:firstLine="420"/>
        <w:rPr>
          <w:rFonts w:ascii="宋体" w:eastAsia="宋体" w:hAnsi="宋体" w:cs="宋体"/>
          <w:sz w:val="21"/>
          <w:u w:val="single"/>
        </w:rPr>
      </w:pPr>
      <w:r>
        <w:rPr>
          <w:rFonts w:ascii="宋体" w:eastAsia="宋体" w:hAnsi="宋体" w:cs="宋体" w:hint="eastAsia"/>
          <w:sz w:val="21"/>
        </w:rPr>
        <w:t xml:space="preserve">     外商投资企业类型：</w:t>
      </w:r>
      <w:r>
        <w:rPr>
          <w:rFonts w:ascii="Wingdings" w:eastAsia="宋体" w:hAnsi="Wingdings" w:cs="宋体"/>
          <w:iCs/>
          <w:sz w:val="21"/>
        </w:rPr>
        <w:sym w:font="Wingdings" w:char="F0A8"/>
      </w:r>
      <w:r>
        <w:rPr>
          <w:rFonts w:ascii="宋体" w:eastAsia="宋体" w:hAnsi="宋体" w:cs="宋体" w:hint="eastAsia"/>
          <w:sz w:val="21"/>
        </w:rPr>
        <w:t xml:space="preserve">全部由外国投资者投资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rsidR="00A24733">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rsidR="00A24733">
      <w:pPr>
        <w:adjustRightInd w:val="0"/>
        <w:snapToGrid w:val="0"/>
        <w:spacing w:line="400" w:lineRule="exact"/>
        <w:ind w:firstLine="840" w:firstLineChars="400"/>
        <w:rPr>
          <w:rFonts w:ascii="宋体" w:hAnsi="宋体" w:cs="宋体"/>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w:t>
      </w:r>
      <w:r>
        <w:rPr>
          <w:rFonts w:ascii="宋体" w:hAnsi="宋体" w:cs="宋体" w:hint="eastAsia"/>
          <w:szCs w:val="21"/>
        </w:rPr>
        <w:t>《政府采购品目分类目录》底级品目</w:t>
      </w:r>
      <w:r>
        <w:rPr>
          <w:rFonts w:ascii="宋体" w:hAnsi="宋体" w:cs="宋体" w:hint="eastAsia"/>
          <w:szCs w:val="21"/>
        </w:rPr>
        <w:t>名称：</w:t>
      </w:r>
      <w:r>
        <w:rPr>
          <w:rFonts w:ascii="宋体" w:hAnsi="宋体" w:cs="宋体" w:hint="eastAsia"/>
          <w:szCs w:val="21"/>
          <w:u w:val="single"/>
        </w:rPr>
        <w:t xml:space="preserve">         </w:t>
      </w:r>
      <w:r>
        <w:rPr>
          <w:rFonts w:ascii="宋体" w:hAnsi="宋体" w:cs="宋体" w:hint="eastAsia"/>
          <w:szCs w:val="21"/>
        </w:rPr>
        <w:t xml:space="preserve"> 金额：</w:t>
      </w:r>
      <w:r>
        <w:rPr>
          <w:rFonts w:ascii="宋体" w:hAnsi="宋体" w:cs="宋体" w:hint="eastAsia"/>
          <w:szCs w:val="21"/>
          <w:u w:val="single"/>
        </w:rPr>
        <w:t xml:space="preserve">        </w:t>
      </w:r>
    </w:p>
    <w:p w:rsidR="00A24733">
      <w:pPr>
        <w:adjustRightInd w:val="0"/>
        <w:snapToGrid w:val="0"/>
        <w:spacing w:line="400" w:lineRule="exact"/>
        <w:ind w:firstLine="840" w:firstLineChars="400"/>
        <w:rPr>
          <w:rFonts w:ascii="宋体" w:hAnsi="宋体"/>
          <w:szCs w:val="21"/>
        </w:rPr>
      </w:pPr>
      <w:r>
        <w:rPr>
          <w:rFonts w:ascii="宋体" w:hAnsi="宋体" w:cs="宋体" w:hint="eastAsia"/>
          <w:szCs w:val="21"/>
        </w:rPr>
        <w:t xml:space="preserve">        国别：</w:t>
      </w:r>
      <w:r>
        <w:rPr>
          <w:rFonts w:ascii="宋体" w:hAnsi="宋体" w:cs="宋体" w:hint="eastAsia"/>
          <w:szCs w:val="21"/>
          <w:u w:val="single"/>
        </w:rPr>
        <w:t xml:space="preserve">        </w:t>
      </w:r>
      <w:r>
        <w:rPr>
          <w:rFonts w:ascii="宋体" w:hAnsi="宋体" w:cs="宋体" w:hint="eastAsia"/>
          <w:szCs w:val="21"/>
        </w:rPr>
        <w:t xml:space="preserve"> 品牌：</w:t>
      </w:r>
      <w:r>
        <w:rPr>
          <w:rFonts w:ascii="宋体" w:hAnsi="宋体" w:cs="宋体" w:hint="eastAsia"/>
          <w:szCs w:val="21"/>
          <w:u w:val="single"/>
        </w:rPr>
        <w:t xml:space="preserve">        </w:t>
      </w:r>
      <w:r>
        <w:rPr>
          <w:rFonts w:ascii="宋体" w:hAnsi="宋体" w:cs="宋体" w:hint="eastAsia"/>
          <w:szCs w:val="21"/>
        </w:rPr>
        <w:t xml:space="preserve"> 规格型号：</w:t>
      </w:r>
      <w:r>
        <w:rPr>
          <w:rFonts w:ascii="宋体" w:hAnsi="宋体" w:cs="宋体" w:hint="eastAsia"/>
          <w:szCs w:val="21"/>
          <w:u w:val="single"/>
        </w:rPr>
        <w:t xml:space="preserve">        </w:t>
      </w:r>
      <w:r>
        <w:rPr>
          <w:rFonts w:ascii="宋体" w:hAnsi="宋体" w:hint="eastAsia"/>
          <w:szCs w:val="21"/>
        </w:rPr>
        <w:t xml:space="preserve">      </w:t>
      </w:r>
    </w:p>
    <w:p w:rsidR="00A24733">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rsidR="00A24733">
      <w:pPr>
        <w:tabs>
          <w:tab w:val="left" w:pos="740"/>
        </w:tabs>
        <w:adjustRightInd w:val="0"/>
        <w:snapToGrid w:val="0"/>
        <w:spacing w:line="400" w:lineRule="exact"/>
        <w:rPr>
          <w:rFonts w:ascii="宋体" w:hAnsi="宋体"/>
          <w:szCs w:val="21"/>
        </w:rPr>
      </w:pPr>
      <w:r>
        <w:rPr>
          <w:rFonts w:ascii="宋体" w:hAnsi="宋体" w:hint="eastAsia"/>
          <w:szCs w:val="21"/>
        </w:rPr>
        <w:t xml:space="preserve">    （1</w:t>
      </w:r>
      <w:r>
        <w:rPr>
          <w:rFonts w:ascii="宋体" w:hAnsi="宋体"/>
          <w:szCs w:val="21"/>
          <w:lang w:val="en"/>
        </w:rPr>
        <w:t>0</w:t>
      </w:r>
      <w:r>
        <w:rPr>
          <w:rFonts w:ascii="宋体" w:hAnsi="宋体" w:hint="eastAsia"/>
          <w:szCs w:val="21"/>
        </w:rPr>
        <w:t>）是否涉及节能产品：</w:t>
      </w:r>
    </w:p>
    <w:p w:rsidR="00A24733">
      <w:pPr>
        <w:tabs>
          <w:tab w:val="left" w:pos="740"/>
        </w:tabs>
        <w:adjustRightInd w:val="0"/>
        <w:snapToGrid w:val="0"/>
        <w:spacing w:line="400" w:lineRule="exact"/>
        <w:rPr>
          <w:rFonts w:ascii="宋体" w:hAnsi="宋体"/>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w:t>
      </w:r>
      <w:r>
        <w:rPr>
          <w:rFonts w:ascii="宋体" w:hAnsi="宋体" w:hint="eastAsia"/>
          <w:szCs w:val="21"/>
        </w:rPr>
        <w:t>的底级品目</w:t>
      </w:r>
      <w:r>
        <w:rPr>
          <w:rFonts w:ascii="宋体" w:hAnsi="宋体" w:hint="eastAsia"/>
          <w:szCs w:val="21"/>
        </w:rPr>
        <w:t>名称：</w:t>
      </w:r>
      <w:r>
        <w:rPr>
          <w:rFonts w:ascii="宋体" w:hAnsi="宋体" w:hint="eastAsia"/>
          <w:szCs w:val="21"/>
          <w:u w:val="single"/>
        </w:rPr>
        <w:t xml:space="preserve">         </w:t>
      </w:r>
      <w:r>
        <w:rPr>
          <w:rFonts w:ascii="宋体" w:hAnsi="宋体" w:hint="eastAsia"/>
          <w:iCs/>
          <w:szCs w:val="21"/>
        </w:rPr>
        <w:t xml:space="preserve">     </w:t>
      </w:r>
    </w:p>
    <w:p w:rsidR="00A24733">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A24733">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A24733">
      <w:pPr>
        <w:tabs>
          <w:tab w:val="left" w:pos="740"/>
        </w:tabs>
        <w:adjustRightInd w:val="0"/>
        <w:snapToGrid w:val="0"/>
        <w:spacing w:line="400" w:lineRule="exact"/>
        <w:rPr>
          <w:rFonts w:ascii="宋体" w:hAnsi="宋体"/>
          <w:szCs w:val="21"/>
        </w:rPr>
      </w:pPr>
      <w:r>
        <w:rPr>
          <w:rFonts w:ascii="宋体" w:hAnsi="宋体" w:hint="eastAsia"/>
          <w:szCs w:val="21"/>
        </w:rPr>
        <w:t xml:space="preserve">          是否涉及环境标志产品：</w:t>
      </w:r>
    </w:p>
    <w:p w:rsidR="00A24733">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w:t>
      </w:r>
      <w:r>
        <w:rPr>
          <w:rFonts w:ascii="宋体" w:hAnsi="宋体" w:hint="eastAsia"/>
          <w:szCs w:val="21"/>
        </w:rPr>
        <w:t>的底级品目</w:t>
      </w:r>
      <w:r>
        <w:rPr>
          <w:rFonts w:ascii="宋体" w:hAnsi="宋体" w:hint="eastAsia"/>
          <w:szCs w:val="21"/>
        </w:rPr>
        <w:t>名称：</w:t>
      </w:r>
      <w:r>
        <w:rPr>
          <w:rFonts w:ascii="宋体" w:hAnsi="宋体" w:hint="eastAsia"/>
          <w:szCs w:val="21"/>
          <w:u w:val="single"/>
        </w:rPr>
        <w:t xml:space="preserve">         </w:t>
      </w:r>
      <w:r>
        <w:rPr>
          <w:rFonts w:ascii="宋体" w:hAnsi="宋体" w:hint="eastAsia"/>
          <w:iCs/>
          <w:szCs w:val="21"/>
        </w:rPr>
        <w:t xml:space="preserve"> </w:t>
      </w:r>
    </w:p>
    <w:p w:rsidR="00A24733">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A24733">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A24733">
      <w:pPr>
        <w:pStyle w:val="AONormal"/>
        <w:snapToGrid w:val="0"/>
        <w:ind w:firstLine="0" w:firstLineChars="0"/>
        <w:rPr>
          <w:rFonts w:ascii="宋体" w:eastAsia="宋体" w:hAnsi="宋体" w:cs="Times New Roman"/>
          <w:kern w:val="2"/>
          <w:sz w:val="21"/>
        </w:rPr>
      </w:pPr>
      <w:r>
        <w:rPr>
          <w:rFonts w:ascii="宋体" w:hAnsi="宋体" w:hint="eastAsia"/>
          <w:sz w:val="21"/>
        </w:rPr>
        <w:t xml:space="preserve">          </w:t>
      </w:r>
      <w:r>
        <w:rPr>
          <w:rFonts w:ascii="宋体" w:eastAsia="宋体" w:hAnsi="宋体" w:cs="Times New Roman" w:hint="eastAsia"/>
          <w:kern w:val="2"/>
          <w:sz w:val="21"/>
        </w:rPr>
        <w:t xml:space="preserve">是否涉及绿色产品： </w:t>
      </w:r>
    </w:p>
    <w:p w:rsidR="00A24733">
      <w:pPr>
        <w:pStyle w:val="AONormal"/>
        <w:ind w:firstLine="420" w:firstLineChars="0"/>
        <w:rPr>
          <w:rFonts w:ascii="宋体" w:eastAsia="宋体" w:hAnsi="宋体"/>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w:t>
      </w:r>
      <w:r>
        <w:rPr>
          <w:rFonts w:ascii="宋体" w:eastAsia="宋体" w:hAnsi="宋体" w:cs="Times New Roman" w:hint="eastAsia"/>
          <w:kern w:val="2"/>
          <w:sz w:val="21"/>
        </w:rPr>
        <w:t>的底级品目</w:t>
      </w:r>
      <w:r>
        <w:rPr>
          <w:rFonts w:ascii="宋体" w:eastAsia="宋体" w:hAnsi="宋体" w:cs="Times New Roman" w:hint="eastAsia"/>
          <w:kern w:val="2"/>
          <w:sz w:val="21"/>
        </w:rPr>
        <w:t>名称：</w:t>
      </w:r>
      <w:r>
        <w:rPr>
          <w:rFonts w:ascii="宋体" w:eastAsia="宋体" w:hAnsi="宋体" w:hint="eastAsia"/>
          <w:u w:val="single"/>
        </w:rPr>
        <w:t xml:space="preserve">         </w:t>
      </w:r>
    </w:p>
    <w:p w:rsidR="00A24733">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A24733">
      <w:pPr>
        <w:pStyle w:val="AONormal"/>
        <w:ind w:firstLine="420" w:firstLineChars="0"/>
        <w:rPr>
          <w:rFonts w:ascii="宋体" w:hAnsi="宋体"/>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A24733">
      <w:pPr>
        <w:adjustRightInd w:val="0"/>
        <w:snapToGrid w:val="0"/>
        <w:spacing w:line="400" w:lineRule="exact"/>
        <w:rPr>
          <w:rFonts w:ascii="宋体" w:hAnsi="宋体"/>
          <w:szCs w:val="21"/>
        </w:rPr>
      </w:pPr>
      <w:r>
        <w:rPr>
          <w:rFonts w:ascii="宋体" w:hAnsi="宋体" w:hint="eastAsia"/>
          <w:szCs w:val="21"/>
        </w:rPr>
        <w:t xml:space="preserve">    （1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rsidR="00A24733">
      <w:pPr>
        <w:adjustRightInd w:val="0"/>
        <w:snapToGrid w:val="0"/>
        <w:spacing w:line="400" w:lineRule="exact"/>
        <w:ind w:firstLine="840" w:firstLineChars="400"/>
        <w:rPr>
          <w:rFonts w:ascii="宋体" w:hAnsi="宋体"/>
          <w:szCs w:val="21"/>
        </w:rPr>
      </w:pPr>
      <w:r>
        <w:rPr>
          <w:rFonts w:ascii="Wingdings" w:hAnsi="Wingdings"/>
          <w:szCs w:val="21"/>
        </w:rPr>
        <w:sym w:font="Wingdings" w:char="F0A8"/>
      </w:r>
      <w:r>
        <w:rPr>
          <w:rFonts w:ascii="宋体" w:hAnsi="宋体" w:hint="eastAsia"/>
          <w:szCs w:val="21"/>
        </w:rPr>
        <w:t xml:space="preserve">是       </w:t>
      </w:r>
      <w:r>
        <w:rPr>
          <w:rFonts w:ascii="Wingdings" w:hAnsi="Wingdings"/>
          <w:szCs w:val="21"/>
        </w:rPr>
        <w:sym w:font="Wingdings" w:char="F0A8"/>
      </w:r>
      <w:r>
        <w:rPr>
          <w:rFonts w:ascii="宋体" w:hAnsi="宋体" w:hint="eastAsia"/>
          <w:szCs w:val="21"/>
        </w:rPr>
        <w:t xml:space="preserve">否      </w:t>
      </w:r>
      <w:r>
        <w:rPr>
          <w:rFonts w:ascii="Wingdings" w:hAnsi="Wingdings"/>
          <w:szCs w:val="21"/>
        </w:rPr>
        <w:sym w:font="Wingdings" w:char="F0A8"/>
      </w:r>
      <w:r>
        <w:rPr>
          <w:rFonts w:ascii="宋体" w:hAnsi="宋体" w:hint="eastAsia"/>
          <w:szCs w:val="21"/>
        </w:rPr>
        <w:t>不涉及</w:t>
      </w:r>
    </w:p>
    <w:p w:rsidR="00A24733" w:rsidP="00D971A4">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合同金额</w:t>
      </w:r>
    </w:p>
    <w:p w:rsidR="00A24733">
      <w:pPr>
        <w:adjustRightInd w:val="0"/>
        <w:snapToGrid w:val="0"/>
        <w:spacing w:line="400" w:lineRule="exact"/>
        <w:ind w:firstLine="420" w:firstLineChars="200"/>
        <w:rPr>
          <w:rFonts w:ascii="宋体" w:hAnsi="宋体"/>
          <w:szCs w:val="21"/>
        </w:rPr>
      </w:pPr>
      <w:r>
        <w:rPr>
          <w:rFonts w:ascii="宋体" w:hAnsi="宋体" w:hint="eastAsia"/>
          <w:szCs w:val="21"/>
        </w:rPr>
        <w:t>（1）合同金额小写：</w:t>
      </w:r>
      <w:r>
        <w:rPr>
          <w:rFonts w:ascii="宋体" w:hAnsi="宋体" w:hint="eastAsia"/>
          <w:szCs w:val="21"/>
          <w:u w:val="single"/>
        </w:rPr>
        <w:t xml:space="preserve">                           </w:t>
      </w:r>
    </w:p>
    <w:p w:rsidR="00A24733">
      <w:pPr>
        <w:adjustRightInd w:val="0"/>
        <w:snapToGrid w:val="0"/>
        <w:spacing w:line="400" w:lineRule="exact"/>
        <w:rPr>
          <w:rFonts w:ascii="宋体" w:hAnsi="宋体"/>
          <w:szCs w:val="21"/>
          <w:u w:val="single"/>
        </w:rPr>
      </w:pPr>
      <w:r>
        <w:rPr>
          <w:rFonts w:ascii="宋体" w:hAnsi="宋体" w:hint="eastAsia"/>
          <w:szCs w:val="21"/>
        </w:rPr>
        <w:t xml:space="preserve">                 大写：</w:t>
      </w:r>
      <w:r>
        <w:rPr>
          <w:rFonts w:ascii="宋体" w:hAnsi="宋体" w:hint="eastAsia"/>
          <w:szCs w:val="21"/>
          <w:u w:val="single"/>
        </w:rPr>
        <w:t xml:space="preserve">                           </w:t>
      </w:r>
    </w:p>
    <w:p w:rsidR="00A24733">
      <w:pPr>
        <w:adjustRightInd w:val="0"/>
        <w:snapToGrid w:val="0"/>
        <w:spacing w:line="400" w:lineRule="exact"/>
        <w:rPr>
          <w:rFonts w:ascii="宋体" w:hAnsi="宋体"/>
          <w:szCs w:val="21"/>
        </w:rPr>
      </w:pPr>
      <w:r>
        <w:rPr>
          <w:rFonts w:ascii="宋体" w:hAnsi="宋体" w:hint="eastAsia"/>
          <w:szCs w:val="21"/>
        </w:rPr>
        <w:t xml:space="preserve">         分包金额（如有）小写：</w:t>
      </w:r>
      <w:r>
        <w:rPr>
          <w:rFonts w:ascii="宋体" w:hAnsi="宋体" w:hint="eastAsia"/>
          <w:szCs w:val="21"/>
          <w:u w:val="single"/>
        </w:rPr>
        <w:t xml:space="preserve">                   </w:t>
      </w:r>
    </w:p>
    <w:p w:rsidR="00A24733">
      <w:pPr>
        <w:adjustRightInd w:val="0"/>
        <w:snapToGrid w:val="0"/>
        <w:spacing w:line="400" w:lineRule="exact"/>
        <w:rPr>
          <w:rFonts w:ascii="宋体" w:hAnsi="宋体"/>
          <w:szCs w:val="21"/>
          <w:u w:val="single"/>
        </w:rPr>
      </w:pPr>
      <w:r>
        <w:rPr>
          <w:rFonts w:ascii="宋体" w:hAnsi="宋体" w:hint="eastAsia"/>
          <w:szCs w:val="21"/>
        </w:rPr>
        <w:t xml:space="preserve">                     大写：</w:t>
      </w:r>
      <w:r>
        <w:rPr>
          <w:rFonts w:ascii="宋体" w:hAnsi="宋体" w:hint="eastAsia"/>
          <w:szCs w:val="21"/>
          <w:u w:val="single"/>
        </w:rPr>
        <w:t xml:space="preserve">                       </w:t>
      </w:r>
    </w:p>
    <w:p w:rsidR="00A24733">
      <w:pPr>
        <w:adjustRightInd w:val="0"/>
        <w:snapToGrid w:val="0"/>
        <w:spacing w:line="400" w:lineRule="exact"/>
        <w:rPr>
          <w:rFonts w:ascii="宋体" w:hAnsi="宋体"/>
          <w:szCs w:val="21"/>
        </w:rPr>
      </w:pPr>
      <w:r>
        <w:rPr>
          <w:rFonts w:ascii="宋体" w:hAnsi="宋体" w:hint="eastAsia"/>
          <w:szCs w:val="21"/>
        </w:rPr>
        <w:t xml:space="preserve">    （注：固定单价合同应填写单价和最高限价）</w:t>
      </w:r>
    </w:p>
    <w:p w:rsidR="00A24733">
      <w:pPr>
        <w:adjustRightInd w:val="0"/>
        <w:snapToGrid w:val="0"/>
        <w:spacing w:line="400" w:lineRule="exact"/>
        <w:rPr>
          <w:rFonts w:ascii="宋体" w:hAnsi="宋体"/>
          <w:szCs w:val="21"/>
        </w:rPr>
      </w:pPr>
      <w:r>
        <w:rPr>
          <w:rFonts w:ascii="宋体" w:hAnsi="宋体" w:hint="eastAsia"/>
          <w:szCs w:val="21"/>
        </w:rPr>
        <w:t xml:space="preserve">    （2）合同定价方式（采用组合定价方式的，</w:t>
      </w:r>
      <w:r>
        <w:rPr>
          <w:rFonts w:ascii="宋体" w:hAnsi="宋体" w:hint="eastAsia"/>
          <w:szCs w:val="21"/>
        </w:rPr>
        <w:t>可以勾选多项</w:t>
      </w:r>
      <w:r>
        <w:rPr>
          <w:rFonts w:ascii="宋体" w:hAnsi="宋体" w:hint="eastAsia"/>
          <w:szCs w:val="21"/>
        </w:rPr>
        <w:t>）：</w:t>
      </w:r>
    </w:p>
    <w:p w:rsidR="00A24733">
      <w:pPr>
        <w:adjustRightInd w:val="0"/>
        <w:snapToGrid w:val="0"/>
        <w:spacing w:line="400" w:lineRule="exact"/>
        <w:ind w:firstLine="420" w:firstLineChars="200"/>
        <w:rPr>
          <w:rFonts w:ascii="宋体" w:hAnsi="宋体"/>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固定总价 </w:t>
      </w:r>
      <w:r>
        <w:rPr>
          <w:rFonts w:ascii="Wingdings" w:hAnsi="Wingdings"/>
          <w:iCs/>
          <w:szCs w:val="21"/>
        </w:rPr>
        <w:sym w:font="Wingdings" w:char="F0A8"/>
      </w:r>
      <w:r>
        <w:rPr>
          <w:rFonts w:ascii="宋体" w:hAnsi="宋体" w:hint="eastAsia"/>
          <w:iCs/>
          <w:szCs w:val="21"/>
        </w:rPr>
        <w:t xml:space="preserve">固定单价 </w:t>
      </w:r>
      <w:r>
        <w:rPr>
          <w:rFonts w:ascii="Wingdings" w:hAnsi="Wingdings"/>
          <w:iCs/>
          <w:szCs w:val="21"/>
        </w:rPr>
        <w:sym w:font="Wingdings" w:char="F0A8"/>
      </w:r>
      <w:r>
        <w:rPr>
          <w:rFonts w:ascii="宋体" w:hAnsi="宋体" w:hint="eastAsia"/>
          <w:iCs/>
          <w:szCs w:val="21"/>
        </w:rPr>
        <w:t xml:space="preserve">固定费率 </w:t>
      </w:r>
      <w:r>
        <w:rPr>
          <w:rFonts w:ascii="Wingdings" w:hAnsi="Wingdings"/>
          <w:iCs/>
          <w:szCs w:val="21"/>
        </w:rPr>
        <w:sym w:font="Wingdings" w:char="F0A8"/>
      </w:r>
      <w:r>
        <w:rPr>
          <w:rFonts w:ascii="宋体" w:hAnsi="宋体" w:hint="eastAsia"/>
          <w:iCs/>
          <w:szCs w:val="21"/>
        </w:rPr>
        <w:t xml:space="preserve">成本补偿 </w:t>
      </w:r>
      <w:r>
        <w:rPr>
          <w:rFonts w:ascii="Wingdings" w:hAnsi="Wingdings"/>
          <w:iCs/>
          <w:szCs w:val="21"/>
        </w:rPr>
        <w:sym w:font="Wingdings" w:char="F0A8"/>
      </w:r>
      <w:r>
        <w:rPr>
          <w:rFonts w:ascii="宋体" w:hAnsi="宋体" w:hint="eastAsia"/>
          <w:iCs/>
          <w:szCs w:val="21"/>
        </w:rPr>
        <w:t xml:space="preserve">绩效激励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rsidR="00A24733">
      <w:pPr>
        <w:pStyle w:val="12"/>
        <w:spacing w:line="400" w:lineRule="exact"/>
      </w:pPr>
      <w:r>
        <w:rPr>
          <w:rFonts w:ascii="宋体" w:hAnsi="宋体" w:hint="eastAsia"/>
        </w:rPr>
        <w:t>（3）付款方式（按项目</w:t>
      </w:r>
      <w:r>
        <w:rPr>
          <w:rFonts w:ascii="宋体" w:hAnsi="宋体" w:hint="eastAsia"/>
        </w:rPr>
        <w:t>实际勾选填写</w:t>
      </w:r>
      <w:r>
        <w:rPr>
          <w:rFonts w:ascii="宋体" w:hAnsi="宋体" w:hint="eastAsia"/>
        </w:rPr>
        <w:t>）：</w:t>
      </w:r>
    </w:p>
    <w:p w:rsidR="00A24733">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全额付款：</w:t>
      </w:r>
      <w:r>
        <w:rPr>
          <w:rFonts w:ascii="宋体" w:hAnsi="宋体" w:hint="eastAsia"/>
          <w:szCs w:val="21"/>
          <w:u w:val="single"/>
        </w:rPr>
        <w:t xml:space="preserve">     （应明确一次性支付合同款项的条件）                    </w:t>
      </w:r>
    </w:p>
    <w:p w:rsidR="009606FE" w:rsidP="00D971A4">
      <w:pPr>
        <w:spacing w:line="360" w:lineRule="auto"/>
        <w:ind w:firstLine="630" w:firstLineChars="300"/>
        <w:rPr>
          <w:rFonts w:ascii="宋体" w:hAnsi="宋体" w:hint="eastAsia"/>
          <w:szCs w:val="21"/>
        </w:rPr>
      </w:pPr>
      <w:r>
        <w:rPr>
          <w:rFonts w:ascii="Wingdings" w:hAnsi="Wingdings"/>
          <w:szCs w:val="21"/>
        </w:rPr>
        <w:sym w:font="Wingdings" w:char="F0A8"/>
      </w:r>
      <w:r>
        <w:rPr>
          <w:rFonts w:ascii="宋体" w:hAnsi="宋体" w:hint="eastAsia"/>
          <w:szCs w:val="21"/>
        </w:rPr>
        <w:t>分期付款：</w:t>
      </w:r>
    </w:p>
    <w:p w:rsidR="009606FE" w:rsidRPr="009606FE" w:rsidP="009606FE">
      <w:pPr>
        <w:spacing w:line="360" w:lineRule="auto"/>
        <w:ind w:firstLine="420" w:firstLineChars="200"/>
        <w:rPr>
          <w:rFonts w:ascii="宋体" w:eastAsia="Times New Roman" w:hAnsi="宋体" w:cs="Times New Roman"/>
        </w:rPr>
      </w:pPr>
      <w:r>
        <w:rPr>
          <w:rFonts w:ascii="宋体" w:hAnsi="宋体" w:cs="Times New Roman" w:hint="eastAsia"/>
          <w:szCs w:val="24"/>
        </w:rPr>
        <w:t>1.</w:t>
      </w:r>
      <w:r w:rsidRPr="009606FE">
        <w:rPr>
          <w:rFonts w:ascii="宋体" w:eastAsia="Times New Roman" w:hAnsi="宋体" w:cs="Times New Roman"/>
          <w:szCs w:val="24"/>
        </w:rPr>
        <w:t>合同签订</w:t>
      </w:r>
      <w:r>
        <w:rPr>
          <w:rFonts w:ascii="宋体" w:eastAsia="Times New Roman" w:hAnsi="宋体" w:cs="Times New Roman"/>
          <w:szCs w:val="24"/>
        </w:rPr>
        <w:t>后，乙方向甲方提供合同总金额5%的银行履约保函，设备验收合格</w:t>
      </w:r>
      <w:r w:rsidRPr="009606FE">
        <w:rPr>
          <w:rFonts w:ascii="宋体" w:eastAsia="Times New Roman" w:hAnsi="宋体" w:cs="Times New Roman"/>
          <w:szCs w:val="24"/>
        </w:rPr>
        <w:t>后，甲方将银行履约保函退还乙方。</w:t>
      </w:r>
    </w:p>
    <w:p w:rsidR="009606FE" w:rsidRPr="009606FE" w:rsidP="009606FE">
      <w:pPr>
        <w:spacing w:line="360" w:lineRule="auto"/>
        <w:ind w:firstLine="420" w:firstLineChars="200"/>
        <w:rPr>
          <w:rFonts w:ascii="宋体" w:eastAsia="Times New Roman" w:hAnsi="宋体" w:cs="Times New Roman"/>
        </w:rPr>
      </w:pPr>
      <w:r>
        <w:rPr>
          <w:rFonts w:ascii="宋体" w:hAnsi="宋体" w:cs="Times New Roman" w:hint="eastAsia"/>
          <w:szCs w:val="24"/>
        </w:rPr>
        <w:t>2.</w:t>
      </w:r>
      <w:r w:rsidRPr="009606FE">
        <w:rPr>
          <w:rFonts w:ascii="宋体" w:eastAsia="Times New Roman" w:hAnsi="宋体" w:cs="Times New Roman"/>
          <w:szCs w:val="24"/>
        </w:rPr>
        <w:t>合同签订后30日内</w:t>
      </w:r>
      <w:r>
        <w:rPr>
          <w:rFonts w:ascii="宋体" w:eastAsia="Times New Roman" w:hAnsi="宋体" w:cs="Times New Roman"/>
          <w:szCs w:val="24"/>
        </w:rPr>
        <w:t>甲方向乙方</w:t>
      </w:r>
      <w:r w:rsidRPr="009606FE">
        <w:rPr>
          <w:rFonts w:ascii="宋体" w:eastAsia="Times New Roman" w:hAnsi="宋体" w:cs="Times New Roman"/>
          <w:szCs w:val="24"/>
        </w:rPr>
        <w:t>支付合同</w:t>
      </w:r>
      <w:r>
        <w:rPr>
          <w:rFonts w:ascii="宋体" w:eastAsia="Times New Roman" w:hAnsi="宋体" w:cs="Times New Roman"/>
          <w:szCs w:val="24"/>
        </w:rPr>
        <w:t>总</w:t>
      </w:r>
      <w:r w:rsidRPr="009606FE">
        <w:rPr>
          <w:rFonts w:ascii="宋体" w:eastAsia="Times New Roman" w:hAnsi="宋体" w:cs="Times New Roman"/>
          <w:szCs w:val="24"/>
        </w:rPr>
        <w:t>金额的30%</w:t>
      </w:r>
      <w:r>
        <w:rPr>
          <w:rFonts w:ascii="宋体" w:eastAsia="Times New Roman" w:hAnsi="宋体" w:cs="Times New Roman"/>
          <w:szCs w:val="24"/>
        </w:rPr>
        <w:t>；设备</w:t>
      </w:r>
      <w:r w:rsidRPr="009606FE">
        <w:rPr>
          <w:rFonts w:ascii="宋体" w:eastAsia="Times New Roman" w:hAnsi="宋体" w:cs="Times New Roman"/>
          <w:szCs w:val="24"/>
        </w:rPr>
        <w:t>出厂验收</w:t>
      </w:r>
      <w:r>
        <w:rPr>
          <w:rFonts w:ascii="宋体" w:eastAsia="Times New Roman" w:hAnsi="宋体" w:cs="Times New Roman"/>
          <w:szCs w:val="24"/>
        </w:rPr>
        <w:t>合格</w:t>
      </w:r>
      <w:r w:rsidRPr="009606FE">
        <w:rPr>
          <w:rFonts w:ascii="宋体" w:eastAsia="Times New Roman" w:hAnsi="宋体" w:cs="Times New Roman"/>
          <w:szCs w:val="24"/>
        </w:rPr>
        <w:t>后</w:t>
      </w:r>
      <w:r w:rsidRPr="009606FE">
        <w:rPr>
          <w:rFonts w:ascii="宋体" w:eastAsia="Times New Roman" w:hAnsi="宋体" w:cs="Times New Roman" w:hint="eastAsia"/>
          <w:szCs w:val="24"/>
        </w:rPr>
        <w:t>30日内向乙方</w:t>
      </w:r>
      <w:r>
        <w:rPr>
          <w:rFonts w:ascii="宋体" w:eastAsia="Times New Roman" w:hAnsi="宋体" w:cs="Times New Roman" w:hint="eastAsia"/>
          <w:szCs w:val="24"/>
        </w:rPr>
        <w:t>支</w:t>
      </w:r>
      <w:r w:rsidRPr="009606FE">
        <w:rPr>
          <w:rFonts w:ascii="宋体" w:eastAsia="Times New Roman" w:hAnsi="宋体" w:cs="Times New Roman"/>
          <w:szCs w:val="24"/>
        </w:rPr>
        <w:t>付合同</w:t>
      </w:r>
      <w:r>
        <w:rPr>
          <w:rFonts w:ascii="宋体" w:eastAsia="Times New Roman" w:hAnsi="宋体" w:cs="Times New Roman"/>
          <w:szCs w:val="24"/>
        </w:rPr>
        <w:t>总</w:t>
      </w:r>
      <w:r w:rsidRPr="009606FE">
        <w:rPr>
          <w:rFonts w:ascii="宋体" w:eastAsia="Times New Roman" w:hAnsi="宋体" w:cs="Times New Roman"/>
          <w:szCs w:val="24"/>
        </w:rPr>
        <w:t>金额的30%；设备安装调试完毕，</w:t>
      </w:r>
      <w:r>
        <w:rPr>
          <w:rFonts w:ascii="宋体" w:eastAsia="Times New Roman" w:hAnsi="宋体" w:cs="Times New Roman"/>
          <w:szCs w:val="24"/>
        </w:rPr>
        <w:t>现场验收合格</w:t>
      </w:r>
      <w:r w:rsidRPr="009606FE">
        <w:rPr>
          <w:rFonts w:ascii="宋体" w:eastAsia="Times New Roman" w:hAnsi="宋体" w:cs="Times New Roman" w:hint="eastAsia"/>
          <w:szCs w:val="24"/>
        </w:rPr>
        <w:t>30日内</w:t>
      </w:r>
      <w:r>
        <w:rPr>
          <w:rFonts w:ascii="宋体" w:eastAsia="Times New Roman" w:hAnsi="宋体" w:cs="Times New Roman"/>
          <w:szCs w:val="24"/>
        </w:rPr>
        <w:t>支付合同金额的30%；合同验收通过</w:t>
      </w:r>
      <w:r w:rsidRPr="009606FE">
        <w:rPr>
          <w:rFonts w:ascii="宋体" w:eastAsia="Times New Roman" w:hAnsi="宋体" w:cs="Times New Roman"/>
          <w:szCs w:val="24"/>
        </w:rPr>
        <w:t>后支付合同金额的10%。</w:t>
      </w:r>
    </w:p>
    <w:p w:rsidR="00A24733">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成本补偿：</w:t>
      </w:r>
      <w:r>
        <w:rPr>
          <w:rFonts w:ascii="宋体" w:hAnsi="宋体" w:hint="eastAsia"/>
          <w:szCs w:val="21"/>
          <w:u w:val="single"/>
        </w:rPr>
        <w:t xml:space="preserve">      （应明确按照成本补偿方式的支付方式和支付条件）   </w:t>
      </w:r>
    </w:p>
    <w:p w:rsidR="00A24733">
      <w:pPr>
        <w:adjustRightInd w:val="0"/>
        <w:snapToGrid w:val="0"/>
        <w:spacing w:line="400" w:lineRule="exact"/>
        <w:ind w:firstLine="630" w:firstLineChars="300"/>
        <w:rPr>
          <w:rFonts w:ascii="宋体" w:hAnsi="宋体"/>
          <w:szCs w:val="21"/>
        </w:rPr>
      </w:pPr>
      <w:r>
        <w:rPr>
          <w:rFonts w:ascii="Wingdings" w:hAnsi="Wingdings"/>
          <w:szCs w:val="21"/>
        </w:rPr>
        <w:sym w:font="Wingdings" w:char="F0A8"/>
      </w:r>
      <w:r>
        <w:rPr>
          <w:rFonts w:ascii="宋体" w:hAnsi="宋体" w:hint="eastAsia"/>
          <w:szCs w:val="21"/>
        </w:rPr>
        <w:t>绩效激励：</w:t>
      </w:r>
      <w:r>
        <w:rPr>
          <w:rFonts w:ascii="宋体" w:hAnsi="宋体" w:hint="eastAsia"/>
          <w:szCs w:val="21"/>
          <w:u w:val="single"/>
        </w:rPr>
        <w:t xml:space="preserve">      （应明确按照绩效激励方式的支付方式和支付条件）   </w:t>
      </w:r>
    </w:p>
    <w:p w:rsidR="00A24733" w:rsidP="00D971A4">
      <w:pPr>
        <w:numPr>
          <w:ilvl w:val="0"/>
          <w:numId w:val="6"/>
        </w:numPr>
        <w:adjustRightInd w:val="0"/>
        <w:snapToGrid w:val="0"/>
        <w:spacing w:line="400" w:lineRule="exact"/>
        <w:ind w:firstLine="420" w:firstLineChars="200"/>
        <w:rPr>
          <w:rFonts w:ascii="宋体" w:hAnsi="宋体"/>
          <w:b/>
          <w:szCs w:val="21"/>
          <w:u w:val="single"/>
        </w:rPr>
      </w:pPr>
      <w:r>
        <w:rPr>
          <w:rFonts w:ascii="宋体" w:hAnsi="宋体" w:hint="eastAsia"/>
          <w:b/>
          <w:szCs w:val="21"/>
        </w:rPr>
        <w:t>合同履行</w:t>
      </w:r>
    </w:p>
    <w:p w:rsidR="00A24733">
      <w:pPr>
        <w:adjustRightInd w:val="0"/>
        <w:snapToGrid w:val="0"/>
        <w:spacing w:line="400" w:lineRule="exact"/>
        <w:ind w:firstLine="420" w:firstLineChars="200"/>
        <w:rPr>
          <w:rFonts w:ascii="宋体" w:hAnsi="宋体" w:cs="宋体"/>
          <w:szCs w:val="21"/>
        </w:rPr>
      </w:pPr>
      <w:r>
        <w:rPr>
          <w:rFonts w:ascii="宋体" w:hAnsi="宋体" w:cs="宋体" w:hint="eastAsia"/>
          <w:szCs w:val="21"/>
        </w:rPr>
        <w:t>（1）起始日期：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rsidR="00A24733">
      <w:pPr>
        <w:adjustRightInd w:val="0"/>
        <w:snapToGrid w:val="0"/>
        <w:spacing w:line="400" w:lineRule="exact"/>
        <w:ind w:firstLine="420" w:firstLineChars="200"/>
        <w:rPr>
          <w:rFonts w:ascii="宋体" w:hAnsi="宋体" w:cs="宋体"/>
          <w:szCs w:val="21"/>
          <w:u w:val="single"/>
        </w:rPr>
      </w:pPr>
      <w:r>
        <w:rPr>
          <w:rFonts w:ascii="宋体" w:hAnsi="宋体" w:cs="宋体" w:hint="eastAsia"/>
          <w:szCs w:val="21"/>
        </w:rPr>
        <w:t>（2）履约地点</w:t>
      </w:r>
      <w:r>
        <w:rPr>
          <w:rFonts w:ascii="宋体" w:hAnsi="宋体" w:cs="宋体" w:hint="eastAsia"/>
          <w:bCs/>
          <w:szCs w:val="21"/>
        </w:rPr>
        <w:t>：</w:t>
      </w:r>
      <w:r>
        <w:rPr>
          <w:rFonts w:ascii="宋体" w:hAnsi="宋体" w:cs="宋体" w:hint="eastAsia"/>
          <w:szCs w:val="21"/>
          <w:u w:val="single"/>
        </w:rPr>
        <w:t xml:space="preserve">                             </w:t>
      </w:r>
    </w:p>
    <w:p w:rsidR="00A24733">
      <w:pPr>
        <w:adjustRightInd w:val="0"/>
        <w:snapToGrid w:val="0"/>
        <w:spacing w:line="400" w:lineRule="exact"/>
        <w:ind w:firstLine="420" w:firstLineChars="200"/>
        <w:rPr>
          <w:rFonts w:ascii="宋体" w:hAnsi="宋体" w:cs="宋体"/>
          <w:szCs w:val="21"/>
        </w:rPr>
      </w:pPr>
      <w:r>
        <w:rPr>
          <w:rFonts w:ascii="宋体" w:hAnsi="宋体" w:cs="宋体" w:hint="eastAsia"/>
          <w:bCs/>
          <w:szCs w:val="21"/>
        </w:rPr>
        <w:t>（3）履约担保：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 xml:space="preserve">是    </w:t>
      </w:r>
      <w:r>
        <w:rPr>
          <w:rFonts w:ascii="Wingdings" w:hAnsi="Wingdings" w:cs="宋体"/>
          <w:szCs w:val="21"/>
        </w:rPr>
        <w:sym w:font="Wingdings" w:char="F0A8"/>
      </w:r>
      <w:r>
        <w:rPr>
          <w:rFonts w:ascii="宋体" w:hAnsi="宋体" w:cs="宋体" w:hint="eastAsia"/>
          <w:szCs w:val="21"/>
        </w:rPr>
        <w:t>否</w:t>
      </w:r>
    </w:p>
    <w:p w:rsidR="00A24733">
      <w:pPr>
        <w:pStyle w:val="AONormal"/>
        <w:rPr>
          <w:rFonts w:ascii="宋体" w:eastAsia="宋体" w:hAnsi="宋体" w:cs="宋体"/>
          <w:sz w:val="21"/>
        </w:rPr>
      </w:pPr>
      <w:r>
        <w:rPr>
          <w:rFonts w:ascii="宋体" w:hAnsi="宋体" w:cs="宋体" w:hint="eastAsia"/>
          <w:bCs/>
        </w:rPr>
        <w:t xml:space="preserve">  </w:t>
      </w:r>
      <w:r>
        <w:rPr>
          <w:rFonts w:ascii="宋体" w:eastAsia="宋体" w:hAnsi="宋体" w:cs="宋体" w:hint="eastAsia"/>
          <w:sz w:val="21"/>
        </w:rPr>
        <w:t xml:space="preserve">  收取履约保证金形式：</w:t>
      </w:r>
      <w:r>
        <w:rPr>
          <w:rFonts w:ascii="宋体" w:eastAsia="宋体" w:hAnsi="宋体" w:cs="宋体" w:hint="eastAsia"/>
          <w:bCs/>
          <w:sz w:val="21"/>
          <w:u w:val="single"/>
        </w:rPr>
        <w:t xml:space="preserve">                            </w:t>
      </w:r>
    </w:p>
    <w:p w:rsidR="00A24733">
      <w:pPr>
        <w:pStyle w:val="AONormal"/>
        <w:ind w:firstLine="420"/>
        <w:rPr>
          <w:rFonts w:ascii="宋体" w:eastAsia="宋体" w:hAnsi="宋体" w:cs="宋体"/>
          <w:sz w:val="21"/>
        </w:rPr>
      </w:pPr>
      <w:r>
        <w:rPr>
          <w:rFonts w:ascii="宋体" w:eastAsia="宋体" w:hAnsi="宋体" w:cs="宋体" w:hint="eastAsia"/>
          <w:sz w:val="21"/>
        </w:rPr>
        <w:t xml:space="preserve">    收取履约保证金金额：</w:t>
      </w:r>
      <w:r>
        <w:rPr>
          <w:rFonts w:ascii="宋体" w:eastAsia="宋体" w:hAnsi="宋体" w:cs="宋体" w:hint="eastAsia"/>
          <w:bCs/>
          <w:sz w:val="21"/>
          <w:u w:val="single"/>
        </w:rPr>
        <w:t xml:space="preserve">                            </w:t>
      </w:r>
    </w:p>
    <w:p w:rsidR="00A24733">
      <w:pPr>
        <w:snapToGrid w:val="0"/>
        <w:spacing w:line="400" w:lineRule="exact"/>
        <w:ind w:firstLine="420" w:firstLineChars="200"/>
        <w:rPr>
          <w:rFonts w:ascii="宋体" w:hAnsi="宋体" w:cs="宋体"/>
        </w:rPr>
      </w:pPr>
      <w:r>
        <w:rPr>
          <w:rFonts w:ascii="宋体" w:hAnsi="宋体" w:cs="宋体" w:hint="eastAsia"/>
          <w:bCs/>
          <w:szCs w:val="21"/>
        </w:rPr>
        <w:t xml:space="preserve">    履约担保期限：</w:t>
      </w:r>
      <w:r>
        <w:rPr>
          <w:rFonts w:ascii="宋体" w:hAnsi="宋体" w:cs="宋体" w:hint="eastAsia"/>
          <w:bCs/>
          <w:szCs w:val="21"/>
          <w:u w:val="single"/>
        </w:rPr>
        <w:t xml:space="preserve">                                  </w:t>
      </w:r>
    </w:p>
    <w:p w:rsidR="00A24733">
      <w:pPr>
        <w:adjustRightInd w:val="0"/>
        <w:snapToGrid w:val="0"/>
        <w:spacing w:line="400" w:lineRule="exact"/>
        <w:ind w:firstLine="420" w:firstLineChars="200"/>
        <w:rPr>
          <w:rFonts w:ascii="宋体" w:hAnsi="宋体" w:cs="宋体"/>
          <w:bCs/>
          <w:szCs w:val="21"/>
        </w:rPr>
      </w:pPr>
      <w:r>
        <w:rPr>
          <w:rFonts w:ascii="宋体" w:hAnsi="宋体" w:cs="宋体" w:hint="eastAsia"/>
          <w:bCs/>
          <w:szCs w:val="21"/>
        </w:rPr>
        <w:t>（4）分期履行要求：</w:t>
      </w:r>
      <w:r>
        <w:rPr>
          <w:rFonts w:ascii="宋体" w:hAnsi="宋体" w:cs="宋体" w:hint="eastAsia"/>
          <w:bCs/>
          <w:szCs w:val="21"/>
          <w:u w:val="single"/>
        </w:rPr>
        <w:t xml:space="preserve">                                                        </w:t>
      </w:r>
    </w:p>
    <w:p w:rsidR="00A24733">
      <w:pPr>
        <w:adjustRightInd w:val="0"/>
        <w:snapToGrid w:val="0"/>
        <w:spacing w:line="400" w:lineRule="exact"/>
        <w:ind w:firstLine="420" w:firstLineChars="200"/>
        <w:rPr>
          <w:rFonts w:ascii="宋体" w:hAnsi="宋体" w:cs="宋体"/>
          <w:szCs w:val="21"/>
          <w:u w:val="single"/>
        </w:rPr>
      </w:pPr>
      <w:r>
        <w:rPr>
          <w:rFonts w:ascii="宋体" w:hAnsi="宋体" w:cs="宋体" w:hint="eastAsia"/>
          <w:bCs/>
          <w:szCs w:val="21"/>
        </w:rPr>
        <w:t>（5）风险处置措施和替代方案：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rsidR="00A24733" w:rsidP="00D971A4">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合同验收</w:t>
      </w:r>
    </w:p>
    <w:p w:rsidR="00A24733">
      <w:pPr>
        <w:numPr>
          <w:ilvl w:val="0"/>
          <w:numId w:val="8"/>
        </w:numPr>
        <w:adjustRightInd w:val="0"/>
        <w:snapToGrid w:val="0"/>
        <w:spacing w:line="400" w:lineRule="exact"/>
        <w:ind w:firstLine="420" w:firstLineChars="200"/>
        <w:rPr>
          <w:rFonts w:ascii="宋体" w:hAnsi="宋体"/>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 xml:space="preserve">自行组织 </w:t>
      </w:r>
      <w:r>
        <w:rPr>
          <w:rFonts w:ascii="Wingdings" w:hAnsi="Wingdings" w:cs="宋体"/>
          <w:szCs w:val="21"/>
        </w:rPr>
        <w:sym w:font="Wingdings" w:char="F0A8"/>
      </w:r>
      <w:r>
        <w:rPr>
          <w:rFonts w:ascii="宋体" w:hAnsi="宋体" w:hint="eastAsia"/>
          <w:bCs/>
          <w:szCs w:val="21"/>
        </w:rPr>
        <w:t>委托第三方组织</w:t>
      </w:r>
    </w:p>
    <w:p w:rsidR="00A24733">
      <w:pPr>
        <w:adjustRightInd w:val="0"/>
        <w:snapToGrid w:val="0"/>
        <w:spacing w:line="400" w:lineRule="exact"/>
        <w:rPr>
          <w:rFonts w:ascii="宋体" w:hAnsi="宋体"/>
          <w:bCs/>
          <w:szCs w:val="21"/>
        </w:rPr>
      </w:pPr>
      <w:r>
        <w:rPr>
          <w:rFonts w:ascii="宋体" w:hAnsi="宋体" w:hint="eastAsia"/>
          <w:bCs/>
          <w:szCs w:val="21"/>
        </w:rPr>
        <w:t xml:space="preserve">         验收主体：</w:t>
      </w:r>
      <w:r>
        <w:rPr>
          <w:rFonts w:ascii="宋体" w:hAnsi="宋体" w:hint="eastAsia"/>
          <w:bCs/>
          <w:szCs w:val="21"/>
          <w:u w:val="single"/>
        </w:rPr>
        <w:t xml:space="preserve">                  </w:t>
      </w:r>
    </w:p>
    <w:p w:rsidR="00A24733">
      <w:pPr>
        <w:adjustRightInd w:val="0"/>
        <w:snapToGrid w:val="0"/>
        <w:spacing w:line="400" w:lineRule="exact"/>
        <w:rPr>
          <w:rFonts w:ascii="宋体" w:hAnsi="宋体"/>
          <w:bCs/>
          <w:szCs w:val="21"/>
        </w:rPr>
      </w:pPr>
      <w:r>
        <w:rPr>
          <w:rFonts w:ascii="宋体" w:hAnsi="宋体" w:hint="eastAsia"/>
          <w:bCs/>
          <w:szCs w:val="21"/>
        </w:rPr>
        <w:t xml:space="preserve">        是否邀请本项目的其他供应商参加验收：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A24733">
      <w:pPr>
        <w:adjustRightInd w:val="0"/>
        <w:snapToGrid w:val="0"/>
        <w:spacing w:line="400" w:lineRule="exact"/>
        <w:ind w:firstLine="840" w:firstLineChars="400"/>
        <w:rPr>
          <w:rFonts w:ascii="宋体" w:hAnsi="宋体"/>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A24733">
      <w:pPr>
        <w:adjustRightInd w:val="0"/>
        <w:snapToGrid w:val="0"/>
        <w:spacing w:line="400" w:lineRule="exact"/>
        <w:ind w:firstLine="840" w:firstLineChars="400"/>
        <w:rPr>
          <w:rFonts w:ascii="宋体" w:hAnsi="宋体"/>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A24733">
      <w:pPr>
        <w:adjustRightInd w:val="0"/>
        <w:snapToGrid w:val="0"/>
        <w:spacing w:line="400" w:lineRule="exact"/>
        <w:ind w:firstLine="840" w:firstLineChars="400"/>
        <w:rPr>
          <w:rFonts w:ascii="宋体" w:hAnsi="宋体"/>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A24733">
      <w:pPr>
        <w:adjustRightInd w:val="0"/>
        <w:snapToGrid w:val="0"/>
        <w:spacing w:line="400" w:lineRule="exact"/>
        <w:ind w:firstLine="840" w:firstLineChars="400"/>
        <w:rPr>
          <w:rFonts w:ascii="宋体" w:hAnsi="宋体"/>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A24733">
      <w:pPr>
        <w:adjustRightInd w:val="0"/>
        <w:snapToGrid w:val="0"/>
        <w:spacing w:line="400" w:lineRule="exact"/>
        <w:ind w:firstLine="840" w:firstLineChars="400"/>
        <w:rPr>
          <w:rFonts w:ascii="宋体" w:hAnsi="宋体"/>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rsidR="00A24733">
      <w:pPr>
        <w:adjustRightInd w:val="0"/>
        <w:snapToGrid w:val="0"/>
        <w:spacing w:line="400" w:lineRule="exact"/>
        <w:ind w:firstLine="840" w:firstLineChars="400"/>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A24733">
      <w:pPr>
        <w:adjustRightInd w:val="0"/>
        <w:snapToGrid w:val="0"/>
        <w:spacing w:line="400" w:lineRule="exact"/>
        <w:ind w:firstLine="840" w:firstLineChars="400"/>
        <w:rPr>
          <w:rFonts w:ascii="宋体" w:hAnsi="宋体"/>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rsidR="00A24733">
      <w:pPr>
        <w:adjustRightInd w:val="0"/>
        <w:snapToGrid w:val="0"/>
        <w:spacing w:line="400" w:lineRule="exact"/>
        <w:ind w:firstLine="420" w:firstLineChars="200"/>
        <w:rPr>
          <w:rFonts w:ascii="宋体" w:hAnsi="宋体"/>
          <w:bCs/>
          <w:szCs w:val="21"/>
          <w:u w:val="single"/>
        </w:rPr>
      </w:pPr>
      <w:r>
        <w:rPr>
          <w:rFonts w:ascii="宋体" w:hAnsi="宋体" w:hint="eastAsia"/>
          <w:bCs/>
          <w:szCs w:val="21"/>
        </w:rPr>
        <w:t>（2）履约验收时间：</w:t>
      </w:r>
      <w:r>
        <w:rPr>
          <w:rFonts w:ascii="宋体" w:hAnsi="宋体" w:hint="eastAsia"/>
          <w:bCs/>
          <w:szCs w:val="21"/>
          <w:u w:val="single"/>
        </w:rPr>
        <w:t xml:space="preserve">（计划于何时验收/供应商提出验收申请之日起   日内组织验收） </w:t>
      </w:r>
    </w:p>
    <w:p w:rsidR="00A24733">
      <w:pPr>
        <w:adjustRightInd w:val="0"/>
        <w:snapToGrid w:val="0"/>
        <w:spacing w:line="400" w:lineRule="exact"/>
        <w:ind w:firstLine="420" w:firstLineChars="200"/>
        <w:rPr>
          <w:rFonts w:ascii="宋体" w:hAnsi="宋体"/>
          <w:bCs/>
          <w:szCs w:val="21"/>
        </w:rPr>
      </w:pPr>
      <w:r>
        <w:rPr>
          <w:rFonts w:ascii="宋体" w:hAnsi="宋体" w:hint="eastAsia"/>
          <w:bCs/>
          <w:szCs w:val="21"/>
        </w:rPr>
        <w:t>（3）履约验收方式：</w:t>
      </w:r>
      <w:r>
        <w:rPr>
          <w:rFonts w:ascii="Wingdings" w:hAnsi="Wingdings" w:cs="宋体"/>
          <w:szCs w:val="21"/>
        </w:rPr>
        <w:sym w:font="Wingdings" w:char="F0A8"/>
      </w:r>
      <w:r>
        <w:rPr>
          <w:rFonts w:ascii="宋体" w:hAnsi="宋体" w:hint="eastAsia"/>
          <w:bCs/>
          <w:szCs w:val="21"/>
        </w:rPr>
        <w:t xml:space="preserve">一次性验收         </w:t>
      </w:r>
    </w:p>
    <w:p w:rsidR="00A24733">
      <w:pPr>
        <w:adjustRightInd w:val="0"/>
        <w:snapToGrid w:val="0"/>
        <w:spacing w:line="400" w:lineRule="exact"/>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分期/分项验收：</w:t>
      </w:r>
      <w:r>
        <w:rPr>
          <w:rFonts w:ascii="宋体" w:hAnsi="宋体" w:hint="eastAsia"/>
          <w:bCs/>
          <w:szCs w:val="21"/>
          <w:u w:val="single"/>
        </w:rPr>
        <w:t xml:space="preserve"> （应明确分期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 xml:space="preserve">）  </w:t>
      </w:r>
    </w:p>
    <w:p w:rsidR="00A24733">
      <w:pPr>
        <w:adjustRightInd w:val="0"/>
        <w:snapToGrid w:val="0"/>
        <w:spacing w:line="400" w:lineRule="exact"/>
        <w:ind w:firstLine="420" w:firstLineChars="200"/>
        <w:rPr>
          <w:rFonts w:ascii="宋体" w:hAnsi="宋体"/>
          <w:bCs/>
          <w:szCs w:val="21"/>
        </w:rPr>
      </w:pPr>
      <w:r>
        <w:rPr>
          <w:rFonts w:ascii="宋体" w:hAnsi="宋体" w:hint="eastAsia"/>
          <w:bCs/>
          <w:szCs w:val="21"/>
        </w:rPr>
        <w:t>（4）履约验收程序：</w:t>
      </w:r>
      <w:r>
        <w:rPr>
          <w:rFonts w:ascii="宋体" w:hAnsi="宋体" w:hint="eastAsia"/>
          <w:bCs/>
          <w:szCs w:val="21"/>
          <w:u w:val="single"/>
        </w:rPr>
        <w:t xml:space="preserve">                                         </w:t>
      </w:r>
    </w:p>
    <w:p w:rsidR="00A24733">
      <w:pPr>
        <w:adjustRightInd w:val="0"/>
        <w:snapToGrid w:val="0"/>
        <w:spacing w:line="400" w:lineRule="exact"/>
        <w:ind w:firstLine="420" w:firstLineChars="200"/>
        <w:rPr>
          <w:rFonts w:ascii="宋体" w:hAnsi="宋体"/>
          <w:bCs/>
          <w:szCs w:val="21"/>
          <w:u w:val="single"/>
        </w:rPr>
      </w:pPr>
      <w:r>
        <w:rPr>
          <w:rFonts w:ascii="宋体" w:hAnsi="宋体" w:hint="eastAsia"/>
          <w:bCs/>
          <w:szCs w:val="21"/>
        </w:rPr>
        <w:t>（5）履约验收的内容：</w:t>
      </w:r>
      <w:r>
        <w:rPr>
          <w:rFonts w:ascii="宋体" w:hAnsi="宋体" w:hint="eastAsia"/>
          <w:bCs/>
          <w:szCs w:val="21"/>
          <w:u w:val="single"/>
        </w:rPr>
        <w:t xml:space="preserve"> （应当包括每一项技术和商务要求的履约情况，特别是落实政府采购扶持中小企业，支持绿色发展和乡村振兴等政策情况）                                      </w:t>
      </w:r>
    </w:p>
    <w:p w:rsidR="00A24733">
      <w:pPr>
        <w:adjustRightInd w:val="0"/>
        <w:snapToGrid w:val="0"/>
        <w:spacing w:line="400" w:lineRule="exact"/>
        <w:ind w:firstLine="420" w:firstLineChars="200"/>
        <w:rPr>
          <w:rFonts w:ascii="宋体" w:hAnsi="宋体"/>
          <w:bCs/>
          <w:szCs w:val="21"/>
          <w:u w:val="single"/>
        </w:rPr>
      </w:pPr>
      <w:r>
        <w:rPr>
          <w:rFonts w:ascii="宋体" w:hAnsi="宋体" w:hint="eastAsia"/>
          <w:bCs/>
          <w:szCs w:val="21"/>
        </w:rPr>
        <w:t>（6）履约验收标准：</w:t>
      </w:r>
      <w:r>
        <w:rPr>
          <w:rFonts w:ascii="宋体" w:hAnsi="宋体" w:hint="eastAsia"/>
          <w:bCs/>
          <w:szCs w:val="21"/>
          <w:u w:val="single"/>
        </w:rPr>
        <w:t xml:space="preserve">                                         </w:t>
      </w:r>
    </w:p>
    <w:p w:rsidR="00A24733">
      <w:pPr>
        <w:pStyle w:val="AONormal"/>
        <w:ind w:firstLine="420"/>
        <w:rPr>
          <w:rFonts w:ascii="宋体" w:eastAsia="宋体" w:hAnsi="宋体" w:cs="宋体"/>
          <w:sz w:val="21"/>
        </w:rPr>
      </w:pPr>
      <w:r>
        <w:rPr>
          <w:rFonts w:ascii="宋体" w:eastAsia="宋体" w:hAnsi="宋体" w:cs="宋体" w:hint="eastAsia"/>
          <w:bCs/>
          <w:sz w:val="21"/>
        </w:rPr>
        <w:t>（7）是否以采购活动中供应商提供的样品作为参考：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 xml:space="preserve">是  </w:t>
      </w:r>
      <w:r>
        <w:rPr>
          <w:rFonts w:ascii="Wingdings" w:eastAsia="宋体" w:hAnsi="Wingdings" w:cs="宋体"/>
          <w:sz w:val="21"/>
        </w:rPr>
        <w:sym w:font="Wingdings" w:char="F0A8"/>
      </w:r>
      <w:r>
        <w:rPr>
          <w:rFonts w:ascii="宋体" w:eastAsia="宋体" w:hAnsi="宋体" w:cs="宋体" w:hint="eastAsia"/>
          <w:bCs/>
          <w:sz w:val="21"/>
        </w:rPr>
        <w:t>否</w:t>
      </w:r>
    </w:p>
    <w:p w:rsidR="00A24733">
      <w:pPr>
        <w:adjustRightInd w:val="0"/>
        <w:snapToGrid w:val="0"/>
        <w:spacing w:line="400" w:lineRule="exact"/>
        <w:ind w:firstLine="420" w:firstLineChars="200"/>
        <w:rPr>
          <w:rFonts w:ascii="宋体" w:hAnsi="宋体" w:cs="宋体"/>
          <w:bCs/>
          <w:szCs w:val="21"/>
          <w:u w:val="single"/>
        </w:rPr>
      </w:pPr>
      <w:r>
        <w:rPr>
          <w:rFonts w:ascii="宋体" w:hAnsi="宋体" w:cs="宋体" w:hint="eastAsia"/>
          <w:bCs/>
          <w:szCs w:val="21"/>
        </w:rPr>
        <w:t>（8）履约验收其他事项：</w:t>
      </w:r>
      <w:r>
        <w:rPr>
          <w:rFonts w:ascii="宋体" w:hAnsi="宋体" w:cs="宋体" w:hint="eastAsia"/>
          <w:bCs/>
          <w:szCs w:val="21"/>
          <w:u w:val="single"/>
        </w:rPr>
        <w:t xml:space="preserve">      （产权过户登记等）          </w:t>
      </w:r>
    </w:p>
    <w:p w:rsidR="00A24733" w:rsidP="00D971A4">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组成合同的文件</w:t>
      </w:r>
    </w:p>
    <w:p w:rsidR="00A24733">
      <w:pPr>
        <w:adjustRightInd w:val="0"/>
        <w:snapToGrid w:val="0"/>
        <w:spacing w:line="400" w:lineRule="exact"/>
        <w:ind w:firstLine="420" w:firstLineChars="200"/>
        <w:rPr>
          <w:rFonts w:ascii="宋体" w:hAnsi="宋体"/>
          <w:szCs w:val="21"/>
        </w:rPr>
      </w:pPr>
      <w:r>
        <w:rPr>
          <w:rFonts w:ascii="宋体" w:hAnsi="宋体" w:hint="eastAsia"/>
          <w:szCs w:val="21"/>
        </w:rPr>
        <w:t>本协议书与下列文件一起构成合同文件，如下述文件之间有任何抵触、矛盾或歧义，应按以下顺序解释：</w:t>
      </w:r>
    </w:p>
    <w:p w:rsidR="00A24733">
      <w:pPr>
        <w:adjustRightInd w:val="0"/>
        <w:snapToGrid w:val="0"/>
        <w:spacing w:line="400" w:lineRule="exact"/>
        <w:ind w:firstLine="420" w:firstLineChars="200"/>
        <w:rPr>
          <w:rFonts w:ascii="宋体" w:hAnsi="宋体"/>
          <w:szCs w:val="21"/>
        </w:rPr>
      </w:pPr>
      <w:r>
        <w:rPr>
          <w:rFonts w:ascii="宋体" w:hAnsi="宋体" w:hint="eastAsia"/>
          <w:szCs w:val="21"/>
        </w:rPr>
        <w:t>（1）政府采购合同协议书及其变更、补充协议</w:t>
      </w:r>
    </w:p>
    <w:p w:rsidR="00A24733">
      <w:pPr>
        <w:adjustRightInd w:val="0"/>
        <w:snapToGrid w:val="0"/>
        <w:spacing w:line="400" w:lineRule="exact"/>
        <w:ind w:firstLine="420" w:firstLineChars="200"/>
        <w:rPr>
          <w:rFonts w:ascii="宋体" w:hAnsi="宋体"/>
          <w:szCs w:val="21"/>
        </w:rPr>
      </w:pPr>
      <w:r>
        <w:rPr>
          <w:rFonts w:ascii="宋体" w:hAnsi="宋体" w:hint="eastAsia"/>
          <w:szCs w:val="21"/>
        </w:rPr>
        <w:t>（2）政府采购合同专用条款</w:t>
      </w:r>
    </w:p>
    <w:p w:rsidR="00A24733">
      <w:pPr>
        <w:adjustRightInd w:val="0"/>
        <w:snapToGrid w:val="0"/>
        <w:spacing w:line="400" w:lineRule="exact"/>
        <w:ind w:firstLine="420" w:firstLineChars="200"/>
        <w:rPr>
          <w:rFonts w:ascii="宋体" w:hAnsi="宋体"/>
          <w:szCs w:val="21"/>
        </w:rPr>
      </w:pPr>
      <w:r>
        <w:rPr>
          <w:rFonts w:ascii="宋体" w:hAnsi="宋体" w:hint="eastAsia"/>
          <w:szCs w:val="21"/>
        </w:rPr>
        <w:t>（3）政府采购合同通用条款</w:t>
      </w:r>
    </w:p>
    <w:p w:rsidR="00A24733">
      <w:pPr>
        <w:adjustRightInd w:val="0"/>
        <w:snapToGrid w:val="0"/>
        <w:spacing w:line="400" w:lineRule="exact"/>
        <w:ind w:firstLine="420" w:firstLineChars="200"/>
        <w:rPr>
          <w:rFonts w:ascii="宋体" w:hAnsi="宋体"/>
          <w:szCs w:val="21"/>
        </w:rPr>
      </w:pPr>
      <w:r>
        <w:rPr>
          <w:rFonts w:ascii="宋体" w:hAnsi="宋体" w:hint="eastAsia"/>
          <w:szCs w:val="21"/>
        </w:rPr>
        <w:t>（4）中标（成交）通知书</w:t>
      </w:r>
    </w:p>
    <w:p w:rsidR="00A24733">
      <w:pPr>
        <w:adjustRightInd w:val="0"/>
        <w:snapToGrid w:val="0"/>
        <w:spacing w:line="400" w:lineRule="exact"/>
        <w:ind w:firstLine="420" w:firstLineChars="200"/>
        <w:rPr>
          <w:rFonts w:ascii="宋体" w:hAnsi="宋体"/>
          <w:szCs w:val="21"/>
        </w:rPr>
      </w:pPr>
      <w:r>
        <w:rPr>
          <w:rFonts w:ascii="宋体" w:hAnsi="宋体" w:hint="eastAsia"/>
          <w:szCs w:val="21"/>
        </w:rPr>
        <w:t>（5）投标（响应）文件</w:t>
      </w:r>
    </w:p>
    <w:p w:rsidR="00A24733">
      <w:pPr>
        <w:adjustRightInd w:val="0"/>
        <w:snapToGrid w:val="0"/>
        <w:spacing w:line="400" w:lineRule="exact"/>
        <w:ind w:firstLine="420" w:firstLineChars="200"/>
        <w:rPr>
          <w:rFonts w:ascii="宋体" w:hAnsi="宋体"/>
          <w:szCs w:val="21"/>
        </w:rPr>
      </w:pPr>
      <w:r>
        <w:rPr>
          <w:rFonts w:ascii="宋体" w:hAnsi="宋体" w:hint="eastAsia"/>
          <w:szCs w:val="21"/>
        </w:rPr>
        <w:t>（6）采购文件</w:t>
      </w:r>
    </w:p>
    <w:p w:rsidR="00A24733">
      <w:pPr>
        <w:adjustRightInd w:val="0"/>
        <w:snapToGrid w:val="0"/>
        <w:spacing w:line="400" w:lineRule="exact"/>
        <w:ind w:firstLine="420" w:firstLineChars="200"/>
        <w:rPr>
          <w:rFonts w:ascii="宋体" w:hAnsi="宋体"/>
          <w:szCs w:val="21"/>
        </w:rPr>
      </w:pPr>
      <w:r>
        <w:rPr>
          <w:rFonts w:ascii="宋体" w:hAnsi="宋体" w:hint="eastAsia"/>
          <w:szCs w:val="21"/>
        </w:rPr>
        <w:t>（7）有关技术文件，图纸</w:t>
      </w:r>
    </w:p>
    <w:p w:rsidR="00A24733">
      <w:pPr>
        <w:pStyle w:val="AONormal"/>
        <w:ind w:firstLine="420"/>
        <w:rPr>
          <w:rFonts w:ascii="宋体" w:eastAsia="宋体" w:hAnsi="宋体" w:cs="宋体"/>
          <w:kern w:val="2"/>
          <w:sz w:val="21"/>
        </w:rPr>
      </w:pPr>
      <w:r>
        <w:rPr>
          <w:rFonts w:ascii="宋体" w:eastAsia="宋体" w:hAnsi="宋体" w:cs="宋体" w:hint="eastAsia"/>
          <w:sz w:val="21"/>
        </w:rPr>
        <w:t>（8）</w:t>
      </w:r>
      <w:r>
        <w:rPr>
          <w:rFonts w:ascii="宋体" w:eastAsia="宋体" w:hAnsi="宋体" w:cs="宋体" w:hint="eastAsia"/>
          <w:color w:val="000000"/>
          <w:kern w:val="2"/>
          <w:sz w:val="21"/>
        </w:rPr>
        <w:t>国家法律、行政法规和规章制度规定或合同约定的作为合同组成部分的其他文件</w:t>
      </w:r>
    </w:p>
    <w:p w:rsidR="00A24733" w:rsidP="00D971A4">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合同生效</w:t>
      </w:r>
    </w:p>
    <w:p w:rsidR="00A24733">
      <w:pPr>
        <w:adjustRightInd w:val="0"/>
        <w:snapToGrid w:val="0"/>
        <w:spacing w:line="400" w:lineRule="exact"/>
        <w:ind w:firstLine="420" w:firstLineChars="200"/>
        <w:rPr>
          <w:rFonts w:ascii="宋体" w:hAnsi="宋体"/>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rsidR="00A24733" w:rsidP="00D971A4">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合同份数</w:t>
      </w:r>
    </w:p>
    <w:p w:rsidR="00A24733">
      <w:pPr>
        <w:adjustRightInd w:val="0"/>
        <w:snapToGrid w:val="0"/>
        <w:spacing w:line="400" w:lineRule="exact"/>
        <w:ind w:firstLine="420" w:firstLineChars="200"/>
        <w:rPr>
          <w:rFonts w:ascii="宋体" w:hAnsi="宋体"/>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rsidR="00A24733">
      <w:pPr>
        <w:adjustRightInd w:val="0"/>
        <w:snapToGrid w:val="0"/>
        <w:spacing w:line="400" w:lineRule="exact"/>
        <w:ind w:firstLine="420" w:firstLineChars="200"/>
        <w:rPr>
          <w:rFonts w:ascii="宋体" w:hAnsi="宋体"/>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A24733">
      <w:pPr>
        <w:adjustRightInd w:val="0"/>
        <w:snapToGrid w:val="0"/>
        <w:spacing w:line="400" w:lineRule="exact"/>
        <w:ind w:firstLine="420" w:firstLineChars="200"/>
        <w:rPr>
          <w:rFonts w:ascii="宋体" w:hAnsi="宋体"/>
          <w:szCs w:val="21"/>
        </w:rPr>
      </w:pPr>
      <w:r>
        <w:rPr>
          <w:rFonts w:ascii="宋体" w:hAnsi="宋体" w:hint="eastAsia"/>
          <w:szCs w:val="21"/>
        </w:rPr>
        <w:t>合同订立地点：</w:t>
      </w:r>
      <w:r>
        <w:rPr>
          <w:rFonts w:ascii="宋体" w:hAnsi="宋体" w:hint="eastAsia"/>
          <w:szCs w:val="21"/>
          <w:u w:val="single"/>
        </w:rPr>
        <w:t xml:space="preserve">                           </w:t>
      </w:r>
    </w:p>
    <w:p w:rsidR="00A24733">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sidR="00A24733">
      <w:r>
        <w:rPr>
          <w:rFonts w:hint="eastAsia"/>
        </w:rPr>
        <w:br w:type="page"/>
      </w:r>
    </w:p>
    <w:p w:rsidR="00A24733">
      <w:pPr>
        <w:pStyle w:val="12"/>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891"/>
        <w:gridCol w:w="2412"/>
        <w:gridCol w:w="1978"/>
        <w:gridCol w:w="2117"/>
      </w:tblGrid>
      <w:tr>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vAlign w:val="center"/>
          </w:tcPr>
          <w:p w:rsidR="00A24733">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rsidR="00A24733">
            <w:pPr>
              <w:adjustRightInd w:val="0"/>
              <w:snapToGrid w:val="0"/>
              <w:spacing w:line="300" w:lineRule="exact"/>
              <w:jc w:val="center"/>
            </w:pPr>
            <w:r>
              <w:rPr>
                <w:szCs w:val="21"/>
              </w:rPr>
              <w:t>乙方</w:t>
            </w:r>
            <w:r>
              <w:rPr>
                <w:rFonts w:hint="eastAsia"/>
                <w:szCs w:val="21"/>
              </w:rPr>
              <w:t>（供应商）</w:t>
            </w:r>
          </w:p>
        </w:tc>
      </w:tr>
      <w:tr>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A24733">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A24733">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A24733">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rsidR="00A24733">
            <w:pPr>
              <w:adjustRightInd w:val="0"/>
              <w:snapToGrid w:val="0"/>
              <w:spacing w:line="300" w:lineRule="exact"/>
              <w:jc w:val="center"/>
              <w:rPr>
                <w:spacing w:val="20"/>
                <w:szCs w:val="21"/>
              </w:rPr>
            </w:pPr>
          </w:p>
        </w:tc>
      </w:tr>
      <w:tr>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A24733">
            <w:pPr>
              <w:adjustRightInd w:val="0"/>
              <w:snapToGrid w:val="0"/>
              <w:spacing w:line="300" w:lineRule="exact"/>
              <w:jc w:val="center"/>
              <w:rPr>
                <w:szCs w:val="21"/>
              </w:rPr>
            </w:pPr>
            <w:r>
              <w:rPr>
                <w:szCs w:val="21"/>
              </w:rPr>
              <w:t>法定代表人</w:t>
            </w:r>
          </w:p>
          <w:p w:rsidR="00A24733">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A24733">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rsidR="00A24733">
            <w:pPr>
              <w:adjustRightInd w:val="0"/>
              <w:snapToGrid w:val="0"/>
              <w:spacing w:line="300" w:lineRule="exact"/>
              <w:jc w:val="center"/>
              <w:rPr>
                <w:szCs w:val="21"/>
              </w:rPr>
            </w:pPr>
            <w:r>
              <w:rPr>
                <w:szCs w:val="21"/>
              </w:rPr>
              <w:t>法定代表人</w:t>
            </w:r>
          </w:p>
          <w:p w:rsidR="00A24733">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rsidR="00A24733">
            <w:pPr>
              <w:adjustRightInd w:val="0"/>
              <w:snapToGrid w:val="0"/>
              <w:spacing w:line="300" w:lineRule="exact"/>
              <w:jc w:val="center"/>
              <w:rPr>
                <w:szCs w:val="21"/>
              </w:rPr>
            </w:pPr>
          </w:p>
        </w:tc>
      </w:tr>
      <w:tr>
        <w:tblPrEx>
          <w:tblW w:w="4927" w:type="pct"/>
          <w:tblLook w:val="04A0"/>
        </w:tblPrEx>
        <w:trPr>
          <w:trHeight w:val="483"/>
        </w:trPr>
        <w:tc>
          <w:tcPr>
            <w:tcW w:w="1126" w:type="pct"/>
            <w:vMerge/>
            <w:tcBorders>
              <w:bottom w:val="single" w:sz="2" w:space="0" w:color="auto"/>
              <w:right w:val="single" w:sz="2" w:space="0" w:color="auto"/>
            </w:tcBorders>
            <w:vAlign w:val="center"/>
          </w:tcPr>
          <w:p w:rsidR="00A24733">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rsidR="00A24733">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A24733">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rsidR="00A24733">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A24733">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A24733">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A24733">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259" w:type="pct"/>
            <w:tcBorders>
              <w:top w:val="single" w:sz="2" w:space="0" w:color="auto"/>
              <w:left w:val="single" w:sz="2" w:space="0" w:color="auto"/>
              <w:bottom w:val="single" w:sz="2" w:space="0" w:color="auto"/>
            </w:tcBorders>
            <w:vAlign w:val="center"/>
          </w:tcPr>
          <w:p w:rsidR="00A24733">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A24733">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A24733">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A24733">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259" w:type="pct"/>
            <w:tcBorders>
              <w:top w:val="single" w:sz="2" w:space="0" w:color="auto"/>
              <w:left w:val="single" w:sz="2" w:space="0" w:color="auto"/>
              <w:bottom w:val="single" w:sz="2" w:space="0" w:color="auto"/>
            </w:tcBorders>
            <w:vAlign w:val="center"/>
          </w:tcPr>
          <w:p w:rsidR="00A24733">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A24733">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A24733">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A24733">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rsidR="00A24733">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A24733">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A24733">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A24733">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rsidR="00A24733">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A24733">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A24733">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A24733">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rsidR="00A24733">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A24733">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A24733">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A24733">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rsidR="00A24733">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A24733">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A24733">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A24733">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A24733">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A24733">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A24733">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A24733">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rsidR="00A24733">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A24733">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A24733">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A24733">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rsidR="00A24733">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A24733">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A24733">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A24733">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rsidR="00A24733">
            <w:pPr>
              <w:adjustRightInd w:val="0"/>
              <w:snapToGrid w:val="0"/>
              <w:spacing w:line="300" w:lineRule="exact"/>
              <w:jc w:val="center"/>
              <w:rPr>
                <w:spacing w:val="20"/>
                <w:szCs w:val="21"/>
              </w:rPr>
            </w:pPr>
          </w:p>
        </w:tc>
      </w:tr>
      <w:tr>
        <w:tblPrEx>
          <w:tblW w:w="4927" w:type="pct"/>
          <w:tblLook w:val="04A0"/>
        </w:tblPrEx>
        <w:trPr>
          <w:trHeight w:val="586"/>
        </w:trPr>
        <w:tc>
          <w:tcPr>
            <w:tcW w:w="5000" w:type="pct"/>
            <w:gridSpan w:val="4"/>
            <w:tcBorders>
              <w:top w:val="single" w:sz="2" w:space="0" w:color="auto"/>
            </w:tcBorders>
            <w:vAlign w:val="center"/>
          </w:tcPr>
          <w:p w:rsidR="00A24733">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rsidR="00A24733">
      <w:pPr>
        <w:pStyle w:val="Heading2"/>
        <w:numPr>
          <w:ilvl w:val="0"/>
          <w:numId w:val="0"/>
        </w:numPr>
        <w:adjustRightInd w:val="0"/>
        <w:snapToGrid w:val="0"/>
        <w:spacing w:before="156" w:beforeLines="50"/>
        <w:jc w:val="center"/>
        <w:rPr>
          <w:rFonts w:ascii="黑体" w:hAnsi="黑体"/>
          <w:sz w:val="28"/>
          <w:szCs w:val="28"/>
        </w:rPr>
      </w:pPr>
      <w:r>
        <w:rPr>
          <w:rFonts w:ascii="宋体" w:hAnsi="宋体"/>
          <w:sz w:val="21"/>
          <w:szCs w:val="21"/>
          <w:u w:val="single"/>
        </w:rPr>
        <w:br w:type="page"/>
      </w:r>
      <w:bookmarkStart w:id="73" w:name="_Toc27624"/>
      <w:r>
        <w:rPr>
          <w:rFonts w:ascii="黑体" w:hAnsi="黑体" w:hint="eastAsia"/>
          <w:b w:val="0"/>
          <w:bCs w:val="0"/>
          <w:sz w:val="28"/>
          <w:szCs w:val="28"/>
        </w:rPr>
        <w:t>第二节 政府采购合同通用条款</w:t>
      </w:r>
      <w:bookmarkEnd w:id="73"/>
    </w:p>
    <w:p w:rsidR="00A24733">
      <w:pPr>
        <w:tabs>
          <w:tab w:val="left" w:pos="8820"/>
          <w:tab w:val="left" w:pos="9345"/>
          <w:tab w:val="left" w:pos="9765"/>
        </w:tabs>
        <w:adjustRightInd w:val="0"/>
        <w:snapToGrid w:val="0"/>
        <w:spacing w:line="400" w:lineRule="exact"/>
        <w:jc w:val="left"/>
        <w:rPr>
          <w:rFonts w:ascii="宋体" w:hAnsi="宋体"/>
          <w:b/>
          <w:bCs/>
        </w:rPr>
      </w:pPr>
      <w:r>
        <w:rPr>
          <w:rFonts w:ascii="宋体" w:hAnsi="宋体" w:hint="eastAsia"/>
          <w:b/>
          <w:sz w:val="24"/>
        </w:rPr>
        <w:t xml:space="preserve">1. </w:t>
      </w:r>
      <w:r>
        <w:rPr>
          <w:rFonts w:ascii="宋体" w:hAnsi="宋体" w:hint="eastAsia"/>
          <w:b/>
          <w:bCs/>
          <w:sz w:val="24"/>
        </w:rPr>
        <w:t>定义</w:t>
      </w:r>
    </w:p>
    <w:p w:rsidR="00A24733">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1.1合同当事人</w:t>
      </w:r>
    </w:p>
    <w:p w:rsidR="00A2473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（1）采购人（以下称甲方）是指使用财政性资金，通过政府采购方式向供应商购买货物及其相关服务的国家机关、事业单位、团体组织。</w:t>
      </w:r>
    </w:p>
    <w:p w:rsidR="00A2473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（2）供应商（以下称乙方）是指参加政府采购活动并且中标（成交），向采购人提供合同约定的货物及其相关服务的法人、非法人组织或者自然人。</w:t>
      </w:r>
    </w:p>
    <w:p w:rsidR="00A2473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rsidR="00A24733">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1.2本合同下列术语应解释为：</w:t>
      </w:r>
    </w:p>
    <w:p w:rsidR="00A24733">
      <w:pPr>
        <w:adjustRightInd w:val="0"/>
        <w:snapToGrid w:val="0"/>
        <w:spacing w:line="400" w:lineRule="exact"/>
        <w:ind w:firstLine="420" w:firstLineChars="200"/>
        <w:jc w:val="left"/>
        <w:rPr>
          <w:rFonts w:ascii="宋体" w:hAnsi="宋体"/>
          <w:szCs w:val="21"/>
        </w:rPr>
      </w:pPr>
      <w:r>
        <w:rPr>
          <w:rFonts w:ascii="宋体" w:hAnsi="宋体" w:hint="eastAsia"/>
          <w:szCs w:val="21"/>
        </w:rPr>
        <w:t>（1）“合同”系指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rsidR="00A24733">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（2）“合同价款”系指根据本合同规定乙方在全面履行合同义务后甲方应支付给乙方的价款。</w:t>
      </w:r>
    </w:p>
    <w:p w:rsidR="00A24733">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szCs w:val="21"/>
        </w:rPr>
        <w:t>（3）“货物”系指乙方根据本合同规定须向甲方提供的各种形态和种类的物品，包括原材料、设备、产品（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rsidR="00A24733">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rsidR="00A24733">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（5）“分包”系指中标（成交）供应商按采购文件、投标（响应）文件的规定，根据分包意向协议，将中标（成交）项目中的部分履约内容，分给具有相应资质条件的供应</w:t>
      </w:r>
      <w:r>
        <w:rPr>
          <w:rFonts w:ascii="宋体" w:hAnsi="宋体" w:hint="eastAsia"/>
          <w:color w:val="000000"/>
          <w:szCs w:val="21"/>
        </w:rPr>
        <w:t>商履行</w:t>
      </w:r>
      <w:r>
        <w:rPr>
          <w:rFonts w:ascii="宋体" w:hAnsi="宋体" w:hint="eastAsia"/>
          <w:color w:val="000000"/>
          <w:szCs w:val="21"/>
        </w:rPr>
        <w:t>合同的行为。</w:t>
      </w:r>
    </w:p>
    <w:p w:rsidR="00A24733">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（6）</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rsidR="00A24733">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（7）其他术语解释，见【</w:t>
      </w:r>
      <w:r>
        <w:rPr>
          <w:rFonts w:ascii="宋体" w:hAnsi="宋体" w:hint="eastAsia"/>
          <w:b/>
          <w:bCs/>
          <w:color w:val="000000"/>
          <w:szCs w:val="21"/>
        </w:rPr>
        <w:t>政府采购合同专用条款</w:t>
      </w:r>
      <w:r>
        <w:rPr>
          <w:rFonts w:ascii="宋体" w:hAnsi="宋体" w:hint="eastAsia"/>
          <w:color w:val="000000"/>
          <w:szCs w:val="21"/>
        </w:rPr>
        <w:t>】。</w:t>
      </w:r>
    </w:p>
    <w:p w:rsidR="00A24733">
      <w:pPr>
        <w:numPr>
          <w:ilvl w:val="0"/>
          <w:numId w:val="9"/>
        </w:numPr>
        <w:autoSpaceDE w:val="0"/>
        <w:autoSpaceDN w:val="0"/>
        <w:adjustRightInd w:val="0"/>
        <w:snapToGrid w:val="0"/>
        <w:spacing w:line="400" w:lineRule="exact"/>
        <w:jc w:val="left"/>
        <w:rPr>
          <w:rFonts w:ascii="宋体" w:hAnsi="宋体"/>
          <w:b/>
          <w:bCs/>
          <w:color w:val="000000"/>
        </w:rPr>
      </w:pPr>
      <w:r>
        <w:rPr>
          <w:rFonts w:ascii="宋体" w:hAnsi="宋体" w:hint="eastAsia"/>
          <w:b/>
          <w:color w:val="000000"/>
          <w:sz w:val="24"/>
        </w:rPr>
        <w:t>合同标的及金额</w:t>
      </w:r>
    </w:p>
    <w:p w:rsidR="00A24733">
      <w:pPr>
        <w:autoSpaceDE w:val="0"/>
        <w:autoSpaceDN w:val="0"/>
        <w:adjustRightInd w:val="0"/>
        <w:snapToGrid w:val="0"/>
        <w:spacing w:line="400" w:lineRule="exact"/>
        <w:ind w:firstLine="420" w:firstLineChars="200"/>
        <w:jc w:val="left"/>
        <w:rPr>
          <w:rFonts w:ascii="宋体" w:hAnsi="宋体"/>
          <w:b/>
          <w:bCs/>
          <w:i/>
          <w:iCs/>
          <w:color w:val="000000"/>
          <w:szCs w:val="21"/>
        </w:rPr>
      </w:pPr>
      <w:r>
        <w:rPr>
          <w:rFonts w:ascii="宋体" w:hAnsi="宋体" w:hint="eastAsia"/>
          <w:color w:val="000000"/>
          <w:szCs w:val="21"/>
        </w:rPr>
        <w:t>2.1 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rsidR="00A24733">
      <w:pPr>
        <w:adjustRightInd w:val="0"/>
        <w:snapToGrid w:val="0"/>
        <w:spacing w:line="400" w:lineRule="exact"/>
        <w:jc w:val="left"/>
        <w:rPr>
          <w:rFonts w:ascii="宋体" w:hAnsi="宋体"/>
          <w:b/>
          <w:color w:val="000000"/>
        </w:rPr>
      </w:pPr>
      <w:r>
        <w:rPr>
          <w:rFonts w:ascii="宋体" w:hAnsi="宋体" w:hint="eastAsia"/>
          <w:b/>
          <w:color w:val="000000"/>
          <w:sz w:val="24"/>
        </w:rPr>
        <w:t>3. 履行合同的时间、地点和方式</w:t>
      </w:r>
    </w:p>
    <w:p w:rsidR="00A24733">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rsidR="00A24733">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4. 甲方的权利和义务</w:t>
      </w:r>
    </w:p>
    <w:p w:rsidR="00A24733">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4.1</w:t>
      </w:r>
      <w:r>
        <w:rPr>
          <w:rFonts w:ascii="宋体" w:hAnsi="宋体"/>
          <w:color w:val="000000"/>
          <w:szCs w:val="21"/>
        </w:rPr>
        <w:t xml:space="preserve"> 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rsidR="00A24733">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rsidR="00A24733">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rsidR="00A24733">
      <w:pPr>
        <w:snapToGrid w:val="0"/>
        <w:spacing w:line="400" w:lineRule="exact"/>
        <w:ind w:firstLine="420" w:firstLineChars="200"/>
        <w:rPr>
          <w:rFonts w:eastAsia="华文楷体"/>
        </w:rPr>
      </w:pPr>
      <w:r>
        <w:rPr>
          <w:rFonts w:ascii="宋体" w:hAnsi="宋体"/>
          <w:color w:val="000000"/>
          <w:szCs w:val="21"/>
        </w:rPr>
        <w:t>4.4 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w:t>
      </w:r>
      <w:r>
        <w:rPr>
          <w:rFonts w:ascii="宋体" w:hAnsi="宋体" w:cs="宋体" w:hint="eastAsia"/>
          <w:szCs w:val="21"/>
        </w:rPr>
        <w:t>作出</w:t>
      </w:r>
      <w:r>
        <w:rPr>
          <w:rFonts w:ascii="宋体" w:hAnsi="宋体" w:cs="宋体" w:hint="eastAsia"/>
          <w:szCs w:val="21"/>
        </w:rPr>
        <w:t>任何说明的，</w:t>
      </w:r>
      <w:r>
        <w:rPr>
          <w:rFonts w:ascii="宋体" w:hAnsi="宋体" w:hint="eastAsia"/>
          <w:color w:val="000000"/>
          <w:szCs w:val="21"/>
        </w:rPr>
        <w:t>视为验收通过。</w:t>
      </w:r>
    </w:p>
    <w:p w:rsidR="00A24733">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rsidR="00A24733">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rsidR="00A24733">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5. 乙方的权利和义务</w:t>
      </w:r>
    </w:p>
    <w:p w:rsidR="00A24733">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rsidR="00A24733">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w:t>
      </w:r>
      <w:r>
        <w:rPr>
          <w:rFonts w:ascii="宋体" w:hAnsi="宋体"/>
          <w:color w:val="000000"/>
          <w:szCs w:val="21"/>
        </w:rPr>
        <w:t>2 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rsidR="00A24733">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rsidR="00A24733">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rsidR="00A24733">
      <w:pPr>
        <w:numPr>
          <w:ilvl w:val="0"/>
          <w:numId w:val="10"/>
        </w:num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合同履行</w:t>
      </w:r>
    </w:p>
    <w:p w:rsidR="00A24733">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6.1 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rsidR="00A24733">
      <w:pPr>
        <w:autoSpaceDE w:val="0"/>
        <w:autoSpaceDN w:val="0"/>
        <w:adjustRightInd w:val="0"/>
        <w:snapToGrid w:val="0"/>
        <w:spacing w:line="400" w:lineRule="exact"/>
        <w:ind w:firstLine="420" w:firstLineChars="200"/>
        <w:jc w:val="left"/>
      </w:pPr>
      <w:r>
        <w:rPr>
          <w:rFonts w:ascii="宋体" w:hAnsi="宋体"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rsidR="00A24733">
      <w:pPr>
        <w:adjustRightInd w:val="0"/>
        <w:snapToGrid w:val="0"/>
        <w:spacing w:line="400" w:lineRule="exact"/>
        <w:jc w:val="left"/>
        <w:rPr>
          <w:rFonts w:ascii="宋体" w:hAnsi="宋体"/>
          <w:b/>
          <w:bCs/>
          <w:color w:val="000000"/>
        </w:rPr>
      </w:pPr>
      <w:r>
        <w:rPr>
          <w:rFonts w:ascii="宋体" w:hAnsi="宋体" w:hint="eastAsia"/>
          <w:b/>
          <w:bCs/>
          <w:color w:val="000000"/>
          <w:sz w:val="24"/>
        </w:rPr>
        <w:t>7. 货物包装、运输、保险和交付要求</w:t>
      </w:r>
    </w:p>
    <w:p w:rsidR="00A24733">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7.1 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rsidR="00A24733">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7.2 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rsidR="00A24733">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7.3 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rsidR="00A24733">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w:t>
      </w:r>
      <w:r>
        <w:rPr>
          <w:rFonts w:ascii="宋体" w:hAnsi="宋体" w:hint="eastAsia"/>
          <w:color w:val="000000"/>
          <w:szCs w:val="21"/>
        </w:rPr>
        <w:t>报告。</w:t>
      </w:r>
    </w:p>
    <w:p w:rsidR="00A24733">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乙方在运输到达之前应提前通知甲方，并提示货物运输装卸的注意事项，甲方配合乙方做好货物的接收工作。</w:t>
      </w:r>
    </w:p>
    <w:p w:rsidR="00A24733">
      <w:pPr>
        <w:pStyle w:val="AONormal"/>
        <w:ind w:firstLine="420"/>
        <w:rPr>
          <w:sz w:val="21"/>
        </w:rPr>
      </w:pPr>
      <w:r>
        <w:rPr>
          <w:rFonts w:ascii="宋体" w:eastAsia="宋体" w:hAnsi="宋体" w:cs="Times New Roman" w:hint="eastAsia"/>
          <w:color w:val="000000"/>
          <w:kern w:val="2"/>
          <w:sz w:val="21"/>
        </w:rPr>
        <w:t>7.6 如因包装、运输问题导致货物损毁、丢失或者品质下降，甲方有权要求降价、换货、拒收部分或整批货物，由此产生的费用和损失，均由乙方承担。</w:t>
      </w:r>
    </w:p>
    <w:p w:rsidR="00A24733">
      <w:pPr>
        <w:adjustRightInd w:val="0"/>
        <w:snapToGrid w:val="0"/>
        <w:spacing w:line="400" w:lineRule="exact"/>
        <w:jc w:val="left"/>
        <w:rPr>
          <w:rFonts w:ascii="宋体" w:hAnsi="宋体"/>
          <w:b/>
        </w:rPr>
      </w:pPr>
      <w:r>
        <w:rPr>
          <w:rFonts w:ascii="宋体" w:hAnsi="宋体" w:hint="eastAsia"/>
          <w:b/>
          <w:color w:val="000000"/>
          <w:sz w:val="24"/>
        </w:rPr>
        <w:t xml:space="preserve">8. </w:t>
      </w:r>
      <w:r>
        <w:rPr>
          <w:rFonts w:ascii="宋体" w:hAnsi="宋体" w:hint="eastAsia"/>
          <w:b/>
          <w:sz w:val="24"/>
        </w:rPr>
        <w:t>质量标准和保证</w:t>
      </w:r>
    </w:p>
    <w:p w:rsidR="00A24733">
      <w:pPr>
        <w:pStyle w:val="PlainText"/>
        <w:adjustRightInd w:val="0"/>
        <w:snapToGrid w:val="0"/>
        <w:spacing w:line="400" w:lineRule="exact"/>
        <w:ind w:firstLine="420" w:firstLineChars="200"/>
        <w:jc w:val="left"/>
        <w:rPr>
          <w:rFonts w:hAnsi="宋体"/>
          <w:b/>
        </w:rPr>
      </w:pPr>
      <w:r>
        <w:rPr>
          <w:rFonts w:hAnsi="宋体" w:hint="eastAsia"/>
        </w:rPr>
        <w:t>8.1 质量标准</w:t>
      </w:r>
    </w:p>
    <w:p w:rsidR="00A2473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A24733">
      <w:pPr>
        <w:pStyle w:val="PlainText"/>
        <w:adjustRightInd w:val="0"/>
        <w:snapToGrid w:val="0"/>
        <w:spacing w:line="400" w:lineRule="exact"/>
        <w:ind w:firstLine="420" w:firstLineChars="200"/>
        <w:jc w:val="left"/>
        <w:rPr>
          <w:rFonts w:hAnsi="宋体"/>
        </w:rPr>
      </w:pPr>
      <w:r>
        <w:rPr>
          <w:rFonts w:hAnsi="宋体" w:hint="eastAsia"/>
        </w:rPr>
        <w:t>（2）采用中华人民共和国法定计量单位。</w:t>
      </w:r>
    </w:p>
    <w:p w:rsidR="00A2473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（3）乙方所提供的货物应符合国家有关安全、环保、卫生的规定。</w:t>
      </w:r>
    </w:p>
    <w:p w:rsidR="00A2473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（4）乙方应向甲方提交所提供货物的技术文件，包括相应的中文技术文件，如：产品目录、图纸、操作手册、使用说明、维护手册或服务指南等。上述文件应</w:t>
      </w:r>
      <w:r>
        <w:rPr>
          <w:rFonts w:ascii="宋体" w:hAnsi="宋体" w:hint="eastAsia"/>
          <w:szCs w:val="21"/>
        </w:rPr>
        <w:t>包装好随货物</w:t>
      </w:r>
      <w:r>
        <w:rPr>
          <w:rFonts w:ascii="宋体" w:hAnsi="宋体" w:hint="eastAsia"/>
          <w:szCs w:val="21"/>
        </w:rPr>
        <w:t>一同发运。</w:t>
      </w:r>
    </w:p>
    <w:p w:rsidR="00A2473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8.2 保证</w:t>
      </w:r>
    </w:p>
    <w:p w:rsidR="00A2473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（1）乙方应保证提供的货物完全符合合同规定的质量、规格和性能要求。乙方应保证货物在正确安装、正常使用和保养条件下，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w:t>
      </w:r>
      <w:r>
        <w:rPr>
          <w:rFonts w:ascii="宋体" w:hAnsi="宋体" w:hint="eastAsia"/>
          <w:szCs w:val="21"/>
        </w:rPr>
        <w:t>本保证</w:t>
      </w:r>
      <w:r>
        <w:rPr>
          <w:rFonts w:ascii="宋体" w:hAnsi="宋体" w:hint="eastAsia"/>
          <w:szCs w:val="21"/>
        </w:rPr>
        <w:t>保持有效。</w:t>
      </w:r>
    </w:p>
    <w:p w:rsidR="00A2473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（2）在质量保证期内所发现的缺陷，甲方应尽快以书面形式通知乙方。</w:t>
      </w:r>
    </w:p>
    <w:p w:rsidR="00A2473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rsidR="00A2473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rPr>
        <w:t>5</w:t>
      </w:r>
      <w:r>
        <w:rPr>
          <w:rFonts w:ascii="宋体" w:hAnsi="宋体" w:hint="eastAsia"/>
          <w:szCs w:val="21"/>
        </w:rPr>
        <w:t>.1条规定以书面形式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rsidR="00A24733">
      <w:pPr>
        <w:adjustRightInd w:val="0"/>
        <w:snapToGrid w:val="0"/>
        <w:spacing w:line="400" w:lineRule="exact"/>
        <w:ind w:firstLine="420" w:firstLineChars="200"/>
        <w:jc w:val="left"/>
      </w:pPr>
      <w:r>
        <w:rPr>
          <w:rFonts w:ascii="宋体" w:hAnsi="宋体" w:hint="eastAsia"/>
          <w:szCs w:val="21"/>
        </w:rPr>
        <w:t>（5）乙方在约定的时间内未能弥补缺陷，甲方可采取必要的补救措施，但其风险和费用将由乙方承担，甲方根据合同约定对乙方行使的其他权利不受影响。</w:t>
      </w:r>
    </w:p>
    <w:p w:rsidR="00A24733">
      <w:pPr>
        <w:adjustRightInd w:val="0"/>
        <w:snapToGrid w:val="0"/>
        <w:spacing w:line="400" w:lineRule="exact"/>
        <w:jc w:val="left"/>
        <w:rPr>
          <w:rFonts w:ascii="宋体" w:hAnsi="宋体"/>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rsidR="00A24733">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9.1 乙方保证对其出售的货物享有合法的权利。</w:t>
      </w:r>
    </w:p>
    <w:p w:rsidR="00A24733">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rsidR="00A24733">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9.3 如甲方使用上述货物构成对第三人侵权的，则由乙方承担全部责任。</w:t>
      </w:r>
    </w:p>
    <w:p w:rsidR="00A24733">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10. 知识产权保护</w:t>
      </w:r>
    </w:p>
    <w:p w:rsidR="00A2473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color w:val="000000"/>
          <w:szCs w:val="21"/>
        </w:rPr>
        <w:t>10.1 乙方对其所销售的货物应当享有知识产权或经权利人合法授权，保证没有侵犯任</w:t>
      </w:r>
      <w:r>
        <w:rPr>
          <w:rFonts w:ascii="宋体" w:hAnsi="宋体" w:hint="eastAsia"/>
          <w:szCs w:val="21"/>
        </w:rPr>
        <w:t>何第三人的知识产权等权利。</w:t>
      </w:r>
      <w:bookmarkStart w:id="74" w:name="_Hlk163047038"/>
      <w:r>
        <w:rPr>
          <w:rFonts w:ascii="宋体" w:hAnsi="宋体" w:cs="宋体" w:hint="eastAsia"/>
          <w:szCs w:val="15"/>
        </w:rPr>
        <w:t>因违反前述约定对第三人构成侵权的，应当由乙方向第三人承担法律责</w:t>
      </w:r>
      <w:r>
        <w:rPr>
          <w:rFonts w:ascii="宋体" w:hAnsi="宋体" w:cs="宋体" w:hint="eastAsia"/>
          <w:szCs w:val="15"/>
        </w:rPr>
        <w:t>任；甲方依法向第三人赔偿后，有权向乙方追偿。甲方有其他损失的，乙方应当赔偿</w:t>
      </w:r>
      <w:bookmarkEnd w:id="74"/>
      <w:r>
        <w:rPr>
          <w:rFonts w:ascii="宋体" w:hAnsi="宋体" w:hint="eastAsia"/>
          <w:szCs w:val="21"/>
        </w:rPr>
        <w:t>。</w:t>
      </w:r>
    </w:p>
    <w:p w:rsidR="00A24733">
      <w:pPr>
        <w:autoSpaceDE w:val="0"/>
        <w:autoSpaceDN w:val="0"/>
        <w:adjustRightInd w:val="0"/>
        <w:snapToGrid w:val="0"/>
        <w:spacing w:line="400" w:lineRule="exact"/>
        <w:jc w:val="left"/>
        <w:rPr>
          <w:rFonts w:ascii="宋体" w:hAnsi="宋体"/>
          <w:b/>
          <w:bCs/>
        </w:rPr>
      </w:pPr>
      <w:r>
        <w:rPr>
          <w:rFonts w:ascii="宋体" w:hAnsi="宋体" w:hint="eastAsia"/>
          <w:b/>
          <w:bCs/>
          <w:sz w:val="24"/>
        </w:rPr>
        <w:t>11. 保密义务</w:t>
      </w:r>
    </w:p>
    <w:p w:rsidR="00A24733">
      <w:pPr>
        <w:autoSpaceDE w:val="0"/>
        <w:autoSpaceDN w:val="0"/>
        <w:adjustRightInd w:val="0"/>
        <w:snapToGrid w:val="0"/>
        <w:spacing w:line="400" w:lineRule="exact"/>
        <w:ind w:firstLine="420" w:firstLineChars="200"/>
        <w:jc w:val="left"/>
        <w:rPr>
          <w:rFonts w:ascii="宋体" w:hAnsi="宋体" w:cs="宋体"/>
          <w:szCs w:val="15"/>
        </w:rPr>
      </w:pPr>
      <w:r>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rsidR="00A24733">
      <w:pPr>
        <w:autoSpaceDE w:val="0"/>
        <w:autoSpaceDN w:val="0"/>
        <w:adjustRightInd w:val="0"/>
        <w:snapToGrid w:val="0"/>
        <w:spacing w:line="400" w:lineRule="exact"/>
        <w:jc w:val="left"/>
        <w:rPr>
          <w:rFonts w:ascii="宋体" w:hAnsi="宋体"/>
          <w:b/>
          <w:bCs/>
        </w:rPr>
      </w:pPr>
      <w:r>
        <w:rPr>
          <w:rFonts w:ascii="宋体" w:hAnsi="宋体" w:hint="eastAsia"/>
          <w:b/>
          <w:bCs/>
          <w:sz w:val="24"/>
        </w:rPr>
        <w:t>12. 合同价款支付</w:t>
      </w:r>
    </w:p>
    <w:p w:rsidR="00A24733">
      <w:pPr>
        <w:numPr>
          <w:ilvl w:val="1"/>
          <w:numId w:val="11"/>
        </w:numPr>
        <w:adjustRightInd w:val="0"/>
        <w:snapToGrid w:val="0"/>
        <w:spacing w:line="400" w:lineRule="exact"/>
        <w:jc w:val="left"/>
        <w:rPr>
          <w:rFonts w:ascii="宋体" w:hAnsi="宋体"/>
          <w:szCs w:val="21"/>
        </w:rPr>
      </w:pPr>
      <w:r>
        <w:rPr>
          <w:rFonts w:ascii="宋体" w:hAnsi="宋体" w:hint="eastAsia"/>
          <w:szCs w:val="21"/>
        </w:rPr>
        <w:t>合同价款支付按照国库集中支付制度及财政管理相关规定执行。</w:t>
      </w:r>
    </w:p>
    <w:p w:rsidR="00A24733">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对于满足合同约定支付条件的，甲方原则上应当自收到发票后10个工作日内将资金支付到合同约定的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账户，不得以机构变动、人员更替、政策调整等为由迟延付款，不得将采购文件和合同中未规定的义务作为向乙方付款的条件。具体合同价款支付时间在【政府采购合同专用条款】中</w:t>
      </w:r>
      <w:r>
        <w:rPr>
          <w:rFonts w:ascii="宋体" w:hAnsi="宋体" w:hint="eastAsia"/>
          <w:szCs w:val="21"/>
        </w:rPr>
        <w:t>约</w:t>
      </w:r>
      <w:r>
        <w:rPr>
          <w:rFonts w:ascii="宋体" w:eastAsia="宋体" w:hAnsi="宋体" w:hint="eastAsia"/>
          <w:szCs w:val="21"/>
        </w:rPr>
        <w:t>定。</w:t>
      </w:r>
    </w:p>
    <w:p w:rsidR="00A24733">
      <w:pPr>
        <w:pStyle w:val="BodyText"/>
        <w:spacing w:after="0" w:line="400" w:lineRule="exact"/>
        <w:rPr>
          <w:rFonts w:ascii="宋体" w:hAnsi="宋体"/>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rsidR="00A24733">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rsidR="00A24733">
      <w:pPr>
        <w:adjustRightInd w:val="0"/>
        <w:snapToGrid w:val="0"/>
        <w:spacing w:line="400" w:lineRule="exact"/>
        <w:ind w:firstLine="420" w:firstLineChars="200"/>
        <w:jc w:val="left"/>
        <w:rPr>
          <w:rFonts w:ascii="宋体" w:hAnsi="宋体"/>
          <w:szCs w:val="21"/>
        </w:rPr>
      </w:pPr>
      <w:r>
        <w:rPr>
          <w:rFonts w:ascii="宋体" w:hAnsi="宋体" w:hint="eastAsia"/>
          <w:szCs w:val="21"/>
        </w:rPr>
        <w:t>13.2 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A24733">
      <w:pPr>
        <w:spacing w:line="400" w:lineRule="exact"/>
        <w:ind w:firstLine="420"/>
      </w:pPr>
      <w:r>
        <w:rPr>
          <w:rFonts w:ascii="宋体" w:hAnsi="宋体" w:hint="eastAsia"/>
          <w:szCs w:val="21"/>
        </w:rPr>
        <w:t>13.3 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rsidR="00A24733">
      <w:pPr>
        <w:autoSpaceDE w:val="0"/>
        <w:autoSpaceDN w:val="0"/>
        <w:adjustRightInd w:val="0"/>
        <w:snapToGrid w:val="0"/>
        <w:spacing w:line="400" w:lineRule="exact"/>
        <w:jc w:val="left"/>
        <w:rPr>
          <w:rFonts w:ascii="宋体" w:hAnsi="宋体"/>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rsidR="00A2473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14.1 </w:t>
      </w:r>
      <w:r>
        <w:rPr>
          <w:rFonts w:ascii="宋体" w:hAnsi="宋体" w:hint="eastAsia"/>
          <w:szCs w:val="21"/>
        </w:rPr>
        <w:t>除项目</w:t>
      </w:r>
      <w:r>
        <w:rPr>
          <w:rFonts w:ascii="宋体" w:hAnsi="宋体" w:hint="eastAsia"/>
          <w:szCs w:val="21"/>
        </w:rPr>
        <w:t>不涉及或采购活动中明确约定无须承担外，乙方还应提供下列服务：</w:t>
      </w:r>
    </w:p>
    <w:p w:rsidR="00A2473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（1）货物的现场移动、安装、调试、启动监督及技术支持；</w:t>
      </w:r>
    </w:p>
    <w:p w:rsidR="00A2473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（2）提供货物组装和维修所需的专用工具和辅助材料；</w:t>
      </w:r>
    </w:p>
    <w:p w:rsidR="00A2473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rsidR="00A2473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（4）在制造商所在地或指定现场就货物的安装、启动、运营、维护、废弃处置等对甲方操作人员进行培训</w:t>
      </w:r>
      <w:r>
        <w:rPr>
          <w:rFonts w:ascii="宋体" w:hAnsi="宋体" w:cs="宋体" w:hint="eastAsia"/>
          <w:szCs w:val="15"/>
        </w:rPr>
        <w:t>；</w:t>
      </w:r>
    </w:p>
    <w:p w:rsidR="00A24733">
      <w:pPr>
        <w:pStyle w:val="AONormal"/>
        <w:ind w:firstLine="420"/>
        <w:rPr>
          <w:rFonts w:ascii="宋体" w:eastAsia="宋体" w:hAnsi="宋体" w:cs="宋体"/>
          <w:sz w:val="21"/>
        </w:rPr>
      </w:pPr>
      <w:r>
        <w:rPr>
          <w:rFonts w:ascii="宋体" w:eastAsia="宋体" w:hAnsi="宋体" w:cs="宋体" w:hint="eastAsia"/>
          <w:sz w:val="21"/>
        </w:rPr>
        <w:t>（5）依照法律、行政法规的规定或者按照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rsidR="00A2473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（6）</w:t>
      </w:r>
      <w:r>
        <w:rPr>
          <w:rFonts w:ascii="宋体" w:hAnsi="宋体" w:hint="eastAsia"/>
          <w:b/>
          <w:szCs w:val="21"/>
        </w:rPr>
        <w:t>【政府采购合同专用条款】</w:t>
      </w:r>
      <w:r>
        <w:rPr>
          <w:rFonts w:ascii="宋体" w:hAnsi="宋体" w:hint="eastAsia"/>
          <w:szCs w:val="21"/>
        </w:rPr>
        <w:t>规定由乙方提供的其他服务。</w:t>
      </w:r>
    </w:p>
    <w:p w:rsidR="00A2473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14.2 乙方提供的售后服务的费用已包含在合同价款中，甲方不再另行支付。</w:t>
      </w:r>
    </w:p>
    <w:p w:rsidR="00A24733">
      <w:pPr>
        <w:adjustRightInd w:val="0"/>
        <w:snapToGrid w:val="0"/>
        <w:spacing w:line="400" w:lineRule="exact"/>
        <w:jc w:val="left"/>
        <w:rPr>
          <w:rFonts w:ascii="宋体" w:hAnsi="宋体"/>
          <w:b/>
          <w:bCs/>
        </w:rPr>
      </w:pPr>
      <w:r>
        <w:rPr>
          <w:rFonts w:ascii="宋体" w:hAnsi="宋体" w:hint="eastAsia"/>
          <w:b/>
          <w:bCs/>
          <w:sz w:val="24"/>
        </w:rPr>
        <w:t>15. 违约责任</w:t>
      </w:r>
    </w:p>
    <w:p w:rsidR="00A24733">
      <w:pPr>
        <w:adjustRightInd w:val="0"/>
        <w:snapToGrid w:val="0"/>
        <w:spacing w:line="400" w:lineRule="exact"/>
        <w:ind w:firstLine="420" w:firstLineChars="200"/>
        <w:jc w:val="left"/>
        <w:rPr>
          <w:rFonts w:ascii="宋体" w:hAnsi="宋体"/>
          <w:bCs/>
          <w:szCs w:val="21"/>
        </w:rPr>
      </w:pPr>
      <w:r>
        <w:rPr>
          <w:rFonts w:ascii="宋体" w:hAnsi="宋体" w:hint="eastAsia"/>
          <w:bCs/>
          <w:szCs w:val="21"/>
        </w:rPr>
        <w:t>15.1质量瑕疵的违约责任</w:t>
      </w:r>
    </w:p>
    <w:p w:rsidR="00A2473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rsidR="00A24733">
      <w:pPr>
        <w:autoSpaceDE w:val="0"/>
        <w:autoSpaceDN w:val="0"/>
        <w:adjustRightInd w:val="0"/>
        <w:snapToGrid w:val="0"/>
        <w:spacing w:line="400" w:lineRule="exact"/>
        <w:ind w:firstLine="420" w:firstLineChars="200"/>
        <w:jc w:val="left"/>
        <w:rPr>
          <w:rFonts w:ascii="宋体" w:hAnsi="宋体"/>
          <w:bCs/>
          <w:szCs w:val="21"/>
        </w:rPr>
      </w:pPr>
      <w:r>
        <w:rPr>
          <w:rFonts w:ascii="宋体" w:hAnsi="宋体" w:hint="eastAsia"/>
          <w:bCs/>
          <w:szCs w:val="21"/>
        </w:rPr>
        <w:t>15.2 迟延交货的违约责任</w:t>
      </w:r>
    </w:p>
    <w:p w:rsidR="00A2473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A2473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规定执行。如果涉及公共利益，且赔偿金额无法弥补公共利益损失，甲方可要求继续履行或者采取其他补救措施。</w:t>
      </w:r>
    </w:p>
    <w:p w:rsidR="00A2473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15.3 迟延支付的违约责任</w:t>
      </w:r>
    </w:p>
    <w:p w:rsidR="00A2473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rsidR="00A24733">
      <w:pPr>
        <w:adjustRightInd w:val="0"/>
        <w:snapToGrid w:val="0"/>
        <w:spacing w:line="400" w:lineRule="exact"/>
        <w:ind w:firstLine="420" w:firstLineChars="200"/>
        <w:jc w:val="left"/>
        <w:rPr>
          <w:rFonts w:ascii="宋体" w:hAnsi="宋体"/>
          <w:szCs w:val="21"/>
        </w:rPr>
      </w:pPr>
      <w:r>
        <w:rPr>
          <w:rFonts w:ascii="宋体" w:hAnsi="宋体" w:hint="eastAsia"/>
          <w:bCs/>
          <w:szCs w:val="21"/>
        </w:rPr>
        <w:t>15.4其他违约责任根据项目实际需要按</w:t>
      </w:r>
      <w:r>
        <w:rPr>
          <w:rFonts w:ascii="宋体" w:hAnsi="宋体" w:hint="eastAsia"/>
          <w:b/>
          <w:bCs/>
          <w:szCs w:val="21"/>
        </w:rPr>
        <w:t>【政府采购合同专用条款】</w:t>
      </w:r>
      <w:r>
        <w:rPr>
          <w:rFonts w:ascii="宋体" w:hAnsi="宋体" w:hint="eastAsia"/>
          <w:szCs w:val="21"/>
        </w:rPr>
        <w:t>规定执行。</w:t>
      </w:r>
    </w:p>
    <w:p w:rsidR="00A24733">
      <w:pPr>
        <w:numPr>
          <w:ilvl w:val="0"/>
          <w:numId w:val="12"/>
        </w:numPr>
        <w:autoSpaceDE w:val="0"/>
        <w:autoSpaceDN w:val="0"/>
        <w:adjustRightInd w:val="0"/>
        <w:snapToGrid w:val="0"/>
        <w:spacing w:line="400" w:lineRule="exact"/>
        <w:jc w:val="left"/>
        <w:rPr>
          <w:rFonts w:ascii="宋体" w:hAnsi="宋体"/>
          <w:b/>
        </w:rPr>
      </w:pPr>
      <w:r>
        <w:rPr>
          <w:rFonts w:ascii="宋体" w:hAnsi="宋体" w:hint="eastAsia"/>
          <w:b/>
          <w:sz w:val="24"/>
        </w:rPr>
        <w:t>合同变更、中止与终止</w:t>
      </w:r>
    </w:p>
    <w:p w:rsidR="00A24733">
      <w:pPr>
        <w:adjustRightInd w:val="0"/>
        <w:snapToGrid w:val="0"/>
        <w:spacing w:line="400" w:lineRule="exact"/>
        <w:jc w:val="left"/>
        <w:rPr>
          <w:rFonts w:ascii="宋体" w:hAnsi="宋体"/>
          <w:szCs w:val="21"/>
        </w:rPr>
      </w:pPr>
      <w:r>
        <w:rPr>
          <w:rFonts w:ascii="宋体" w:hAnsi="宋体" w:hint="eastAsia"/>
          <w:szCs w:val="21"/>
        </w:rPr>
        <w:t xml:space="preserve">    16.1合同的变更</w:t>
      </w:r>
    </w:p>
    <w:p w:rsidR="00A2473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政府采购合同履行中，在不改变合同其他条款的前提下，甲方可以在合同价款10%的范围内追加与合同标的相同的货物，并就此与乙方协商一致后签订补充协议。</w:t>
      </w:r>
    </w:p>
    <w:p w:rsidR="00A24733">
      <w:pPr>
        <w:adjustRightInd w:val="0"/>
        <w:snapToGrid w:val="0"/>
        <w:spacing w:line="400" w:lineRule="exact"/>
        <w:ind w:firstLine="420" w:firstLineChars="200"/>
        <w:jc w:val="left"/>
        <w:rPr>
          <w:rFonts w:ascii="宋体" w:hAnsi="宋体"/>
          <w:szCs w:val="21"/>
        </w:rPr>
      </w:pPr>
      <w:r>
        <w:rPr>
          <w:rFonts w:ascii="宋体" w:hAnsi="宋体" w:hint="eastAsia"/>
          <w:szCs w:val="21"/>
        </w:rPr>
        <w:t>16.2合同的中止</w:t>
      </w:r>
    </w:p>
    <w:p w:rsidR="00A2473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（1）合同履行过程中因供应商就采购文件、采购过程或结果提起投诉的，甲方认为有必要的，可以中止合同的履行。</w:t>
      </w:r>
    </w:p>
    <w:p w:rsidR="00A2473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rsidR="00A24733">
      <w:pPr>
        <w:pStyle w:val="AONormal"/>
        <w:ind w:firstLine="420"/>
        <w:jc w:val="both"/>
        <w:rPr>
          <w:sz w:val="21"/>
        </w:rPr>
      </w:pPr>
      <w:r>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rsidR="00A24733">
      <w:pPr>
        <w:snapToGrid w:val="0"/>
        <w:spacing w:line="400" w:lineRule="exact"/>
        <w:ind w:firstLine="420" w:firstLineChars="200"/>
        <w:jc w:val="left"/>
      </w:pPr>
      <w:r>
        <w:rPr>
          <w:rFonts w:ascii="宋体" w:hAnsi="宋体" w:hint="eastAsia"/>
          <w:szCs w:val="21"/>
        </w:rPr>
        <w:t>（4）甲方不得以行政区划调整、政府换届、机构或者职能调整以及相关责任人更替为由中止合同。</w:t>
      </w:r>
    </w:p>
    <w:p w:rsidR="00A24733">
      <w:pPr>
        <w:adjustRightInd w:val="0"/>
        <w:snapToGrid w:val="0"/>
        <w:spacing w:line="400" w:lineRule="exact"/>
        <w:ind w:firstLine="420" w:firstLineChars="200"/>
        <w:jc w:val="left"/>
        <w:rPr>
          <w:rFonts w:ascii="宋体" w:hAnsi="宋体"/>
          <w:szCs w:val="21"/>
        </w:rPr>
      </w:pPr>
      <w:r>
        <w:rPr>
          <w:rFonts w:ascii="宋体" w:hAnsi="宋体" w:hint="eastAsia"/>
          <w:szCs w:val="21"/>
        </w:rPr>
        <w:t>16.3合同的终止</w:t>
      </w:r>
    </w:p>
    <w:p w:rsidR="00A2473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（1）合同因有效期限届满而终止；</w:t>
      </w:r>
    </w:p>
    <w:p w:rsidR="00A24733">
      <w:pPr>
        <w:snapToGrid w:val="0"/>
        <w:spacing w:line="400" w:lineRule="exact"/>
        <w:ind w:firstLine="420" w:firstLineChars="200"/>
        <w:rPr>
          <w:rFonts w:ascii="宋体" w:hAnsi="宋体" w:cs="宋体"/>
          <w:szCs w:val="21"/>
        </w:rPr>
      </w:pPr>
      <w:r>
        <w:rPr>
          <w:rFonts w:ascii="宋体" w:hAnsi="宋体" w:hint="eastAsia"/>
          <w:szCs w:val="21"/>
        </w:rPr>
        <w:t>（2）乙方未按合同约定履行，构成根本性违约的，甲方有权终止合同，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rsidR="00A24733">
      <w:pPr>
        <w:pStyle w:val="AONormal"/>
        <w:rPr>
          <w:rFonts w:ascii="宋体" w:hAnsi="宋体"/>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rsidR="00A24733">
      <w:pPr>
        <w:pStyle w:val="AONormal"/>
        <w:ind w:firstLine="420"/>
        <w:jc w:val="both"/>
        <w:rPr>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rsidR="00A24733">
      <w:pPr>
        <w:autoSpaceDE w:val="0"/>
        <w:autoSpaceDN w:val="0"/>
        <w:adjustRightInd w:val="0"/>
        <w:snapToGrid w:val="0"/>
        <w:spacing w:line="400" w:lineRule="exact"/>
        <w:jc w:val="left"/>
        <w:rPr>
          <w:rFonts w:ascii="宋体" w:hAnsi="宋体"/>
          <w:b/>
          <w:bCs/>
        </w:rPr>
      </w:pPr>
      <w:r>
        <w:rPr>
          <w:rFonts w:ascii="宋体" w:hAnsi="宋体" w:hint="eastAsia"/>
          <w:b/>
          <w:bCs/>
          <w:sz w:val="24"/>
        </w:rPr>
        <w:t>17. 合同分包</w:t>
      </w:r>
    </w:p>
    <w:p w:rsidR="00A2473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17.1 乙方不得将合同转包给其他供应商。涉及合同分包的，乙方应根据采购文件和投标（响应）文件规定进行合同分包。</w:t>
      </w:r>
    </w:p>
    <w:p w:rsidR="00A2473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17.2 乙方执行政府采购政策向中小企业依法分包的，乙方应当按采购文件和投标（响应）文件签订分包意向协议，分包意向协议属于本合同组成部分。</w:t>
      </w:r>
    </w:p>
    <w:p w:rsidR="00A24733">
      <w:pPr>
        <w:autoSpaceDE w:val="0"/>
        <w:autoSpaceDN w:val="0"/>
        <w:adjustRightInd w:val="0"/>
        <w:snapToGrid w:val="0"/>
        <w:spacing w:line="400" w:lineRule="exact"/>
        <w:jc w:val="left"/>
        <w:rPr>
          <w:rFonts w:ascii="宋体" w:hAnsi="宋体"/>
          <w:b/>
          <w:bCs/>
        </w:rPr>
      </w:pPr>
      <w:r>
        <w:rPr>
          <w:rFonts w:ascii="宋体" w:hAnsi="宋体" w:hint="eastAsia"/>
          <w:b/>
          <w:bCs/>
          <w:sz w:val="24"/>
        </w:rPr>
        <w:t>18. 不可抗力</w:t>
      </w:r>
    </w:p>
    <w:p w:rsidR="00A2473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18.1 不可抗力是指合同双方不能预见、不能避免且不能克服的客观情况。</w:t>
      </w:r>
    </w:p>
    <w:p w:rsidR="00A2473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18.2 任何一方对由于不可抗力造成的部分或全部不能履行合同不承担违约责任。但迟延履行后发生不可抗力的，不能免除责任。</w:t>
      </w:r>
    </w:p>
    <w:p w:rsidR="00A2473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rsidR="00A24733">
      <w:pPr>
        <w:autoSpaceDE w:val="0"/>
        <w:autoSpaceDN w:val="0"/>
        <w:adjustRightInd w:val="0"/>
        <w:snapToGrid w:val="0"/>
        <w:spacing w:line="400" w:lineRule="exact"/>
        <w:jc w:val="left"/>
        <w:rPr>
          <w:rFonts w:ascii="宋体" w:hAnsi="宋体"/>
          <w:b/>
          <w:bCs/>
        </w:rPr>
      </w:pPr>
      <w:r>
        <w:rPr>
          <w:rFonts w:ascii="宋体" w:hAnsi="宋体" w:hint="eastAsia"/>
          <w:b/>
          <w:bCs/>
          <w:sz w:val="24"/>
        </w:rPr>
        <w:t>19. 解决争议的方法</w:t>
      </w:r>
    </w:p>
    <w:p w:rsidR="00A24733">
      <w:pPr>
        <w:pStyle w:val="AONormal"/>
        <w:ind w:firstLine="420"/>
        <w:jc w:val="both"/>
        <w:rPr>
          <w:rFonts w:ascii="宋体" w:eastAsia="宋体" w:hAnsi="宋体" w:cs="宋体"/>
          <w:sz w:val="21"/>
        </w:rPr>
      </w:pPr>
      <w:r>
        <w:rPr>
          <w:rFonts w:ascii="宋体" w:eastAsia="宋体" w:hAnsi="宋体" w:cs="宋体" w:hint="eastAsia"/>
          <w:sz w:val="21"/>
        </w:rPr>
        <w:t>19.1 因本合同及合同有关事项发生的争议，由甲乙双方友好协商解决。协商不成时，可以向有关组织申请调解。合同一方或双方不愿调解或调解不成的，可以通过仲裁或诉讼的方式解决争议。</w:t>
      </w:r>
    </w:p>
    <w:p w:rsidR="00A24733">
      <w:pPr>
        <w:pStyle w:val="AONormal"/>
        <w:ind w:firstLine="420"/>
        <w:jc w:val="both"/>
        <w:rPr>
          <w:rFonts w:ascii="宋体" w:eastAsia="宋体" w:hAnsi="宋体" w:cs="宋体"/>
          <w:sz w:val="21"/>
        </w:rPr>
      </w:pPr>
      <w:r>
        <w:rPr>
          <w:rFonts w:ascii="宋体" w:eastAsia="宋体" w:hAnsi="宋体" w:cs="宋体" w:hint="eastAsia"/>
          <w:sz w:val="21"/>
        </w:rPr>
        <w:t>19.2 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rsidR="00A24733">
      <w:pPr>
        <w:pStyle w:val="AONormal"/>
        <w:ind w:firstLine="420"/>
        <w:jc w:val="both"/>
        <w:rPr>
          <w:rFonts w:ascii="宋体" w:eastAsia="宋体" w:hAnsi="宋体" w:cs="宋体"/>
          <w:sz w:val="21"/>
        </w:rPr>
      </w:pPr>
      <w:r>
        <w:rPr>
          <w:rFonts w:ascii="宋体" w:eastAsia="宋体" w:hAnsi="宋体" w:cs="宋体" w:hint="eastAsia"/>
          <w:sz w:val="21"/>
        </w:rPr>
        <w:t>19.3 如甲乙双方有争议的事项不影响合同其他部分的履行，在争议解决期间，合同其他部分应当继续履行。</w:t>
      </w:r>
    </w:p>
    <w:p w:rsidR="00A24733">
      <w:pPr>
        <w:autoSpaceDE w:val="0"/>
        <w:autoSpaceDN w:val="0"/>
        <w:adjustRightInd w:val="0"/>
        <w:snapToGrid w:val="0"/>
        <w:spacing w:line="400" w:lineRule="exact"/>
        <w:jc w:val="left"/>
        <w:rPr>
          <w:rFonts w:ascii="宋体" w:hAnsi="宋体"/>
        </w:rPr>
      </w:pPr>
      <w:r>
        <w:rPr>
          <w:rFonts w:ascii="宋体" w:hAnsi="宋体" w:hint="eastAsia"/>
          <w:b/>
          <w:sz w:val="24"/>
        </w:rPr>
        <w:t>20. 政府采购政策</w:t>
      </w:r>
    </w:p>
    <w:p w:rsidR="00A24733">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20.1 </w:t>
      </w:r>
      <w:r>
        <w:rPr>
          <w:rFonts w:ascii="宋体" w:hAnsi="宋体" w:cs="宋体" w:hint="eastAsia"/>
          <w:lang w:val="en-GB"/>
        </w:rPr>
        <w:t>本合同应当按照规定执行政府采购政策。</w:t>
      </w:r>
    </w:p>
    <w:p w:rsidR="00A24733">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ascii="宋体" w:hAnsi="宋体" w:hint="eastAsia"/>
          <w:szCs w:val="21"/>
        </w:rPr>
        <w:t>0.2 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rsidR="00A24733">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w:t>
      </w:r>
      <w:r>
        <w:rPr>
          <w:rFonts w:ascii="宋体" w:hAnsi="宋体" w:hint="eastAsia"/>
          <w:color w:val="auto"/>
          <w:szCs w:val="21"/>
        </w:rPr>
        <w:t>对于为落实中小企业支持政策，通过采购项目整体预留、设置采购</w:t>
      </w:r>
      <w:r>
        <w:rPr>
          <w:rFonts w:ascii="宋体" w:hAnsi="宋体" w:hint="eastAsia"/>
          <w:color w:val="auto"/>
          <w:szCs w:val="21"/>
        </w:rPr>
        <w:t>包专门</w:t>
      </w:r>
      <w:r>
        <w:rPr>
          <w:rFonts w:ascii="宋体" w:hAnsi="宋体" w:hint="eastAsia"/>
          <w:color w:val="auto"/>
          <w:szCs w:val="21"/>
        </w:rPr>
        <w:t>预留、要求以联合体形</w:t>
      </w:r>
      <w:r>
        <w:rPr>
          <w:rFonts w:ascii="宋体" w:hAnsi="宋体" w:hint="eastAsia"/>
          <w:color w:val="auto"/>
          <w:szCs w:val="21"/>
        </w:rPr>
        <w:t>式参加</w:t>
      </w:r>
      <w:r>
        <w:rPr>
          <w:rFonts w:ascii="宋体" w:hAnsi="宋体" w:hint="eastAsia"/>
          <w:color w:val="auto"/>
          <w:szCs w:val="21"/>
        </w:rPr>
        <w:t>或者合同分包等措施签订的采购合同，应当明确标注本合同为中小企业预留合同。其中，要求以联合体形</w:t>
      </w:r>
      <w:r>
        <w:rPr>
          <w:rFonts w:ascii="宋体" w:hAnsi="宋体" w:hint="eastAsia"/>
          <w:color w:val="auto"/>
          <w:szCs w:val="21"/>
        </w:rPr>
        <w:t>式参加</w:t>
      </w:r>
      <w:r>
        <w:rPr>
          <w:rFonts w:ascii="宋体" w:hAnsi="宋体" w:hint="eastAsia"/>
          <w:color w:val="auto"/>
          <w:szCs w:val="21"/>
        </w:rPr>
        <w:t>采购活动或者合同分包的，须将联合协议或者分包意向协议作为采购合同的组成部分。</w:t>
      </w:r>
    </w:p>
    <w:p w:rsidR="00A24733">
      <w:pPr>
        <w:autoSpaceDE w:val="0"/>
        <w:autoSpaceDN w:val="0"/>
        <w:adjustRightInd w:val="0"/>
        <w:snapToGrid w:val="0"/>
        <w:spacing w:line="400" w:lineRule="exact"/>
        <w:jc w:val="left"/>
        <w:rPr>
          <w:rFonts w:ascii="宋体" w:hAnsi="宋体"/>
          <w:b/>
        </w:rPr>
      </w:pPr>
      <w:r>
        <w:rPr>
          <w:rFonts w:ascii="宋体" w:hAnsi="宋体" w:hint="eastAsia"/>
          <w:b/>
          <w:sz w:val="24"/>
        </w:rPr>
        <w:t>21. 法律适用</w:t>
      </w:r>
    </w:p>
    <w:p w:rsidR="00A24733">
      <w:pPr>
        <w:pStyle w:val="AONormal"/>
        <w:ind w:firstLine="420"/>
        <w:jc w:val="both"/>
        <w:rPr>
          <w:rFonts w:ascii="宋体" w:eastAsia="宋体" w:hAnsi="宋体" w:cs="宋体"/>
          <w:sz w:val="21"/>
        </w:rPr>
      </w:pPr>
      <w:r>
        <w:rPr>
          <w:rFonts w:ascii="宋体" w:eastAsia="宋体" w:hAnsi="宋体" w:cs="宋体" w:hint="eastAsia"/>
          <w:sz w:val="21"/>
        </w:rPr>
        <w:t>21.1 本合同的订立、生效、解释、履行及与本合同有关的争议解决，均适用法律、行政法规。</w:t>
      </w:r>
    </w:p>
    <w:p w:rsidR="00A24733">
      <w:pPr>
        <w:pStyle w:val="AONormal"/>
        <w:ind w:firstLine="420"/>
        <w:jc w:val="both"/>
        <w:rPr>
          <w:rFonts w:ascii="宋体" w:eastAsia="宋体" w:hAnsi="宋体" w:cs="宋体"/>
          <w:sz w:val="21"/>
        </w:rPr>
      </w:pPr>
      <w:r>
        <w:rPr>
          <w:rFonts w:ascii="宋体" w:eastAsia="宋体" w:hAnsi="宋体" w:cs="宋体" w:hint="eastAsia"/>
          <w:sz w:val="21"/>
        </w:rPr>
        <w:t>21.2 本合同条款与法律、行政法规的强制性规定不一致的，双方当事人应按照法律、行政法规的强制性规定修改本合同的相关条款。</w:t>
      </w:r>
    </w:p>
    <w:p w:rsidR="00A24733">
      <w:pPr>
        <w:autoSpaceDE w:val="0"/>
        <w:autoSpaceDN w:val="0"/>
        <w:adjustRightInd w:val="0"/>
        <w:snapToGrid w:val="0"/>
        <w:spacing w:line="400" w:lineRule="exact"/>
        <w:jc w:val="left"/>
        <w:rPr>
          <w:rFonts w:ascii="宋体" w:hAnsi="宋体"/>
          <w:b/>
        </w:rPr>
      </w:pPr>
      <w:r>
        <w:rPr>
          <w:rFonts w:ascii="宋体" w:hAnsi="宋体" w:hint="eastAsia"/>
          <w:b/>
          <w:sz w:val="24"/>
        </w:rPr>
        <w:t>22. 通知</w:t>
      </w:r>
    </w:p>
    <w:p w:rsidR="00A24733">
      <w:pPr>
        <w:pStyle w:val="AONormal"/>
        <w:ind w:firstLine="420"/>
        <w:jc w:val="both"/>
        <w:rPr>
          <w:rFonts w:ascii="宋体" w:eastAsia="宋体" w:hAnsi="宋体" w:cs="宋体"/>
          <w:sz w:val="21"/>
        </w:rPr>
      </w:pPr>
      <w:r>
        <w:rPr>
          <w:rFonts w:ascii="宋体" w:eastAsia="宋体" w:hAnsi="宋体" w:cs="宋体" w:hint="eastAsia"/>
          <w:sz w:val="21"/>
        </w:rPr>
        <w:t>22.1 本合同任何</w:t>
      </w:r>
      <w:r>
        <w:rPr>
          <w:rFonts w:ascii="宋体" w:eastAsia="宋体" w:hAnsi="宋体" w:cs="宋体" w:hint="eastAsia"/>
          <w:sz w:val="21"/>
        </w:rPr>
        <w:t>一</w:t>
      </w:r>
      <w:r>
        <w:rPr>
          <w:rFonts w:ascii="宋体" w:eastAsia="宋体" w:hAnsi="宋体" w:cs="宋体" w:hint="eastAsia"/>
          <w:sz w:val="21"/>
        </w:rPr>
        <w:t>方向对方发出的通知、信件、数据电文等，应当发送至本合同第一部分《政府采购合同协议书》所约定的通讯地址、联系人、联系电话或电子邮箱。</w:t>
      </w:r>
    </w:p>
    <w:p w:rsidR="00A24733">
      <w:pPr>
        <w:pStyle w:val="AONormal"/>
        <w:ind w:firstLine="0" w:firstLineChars="0"/>
        <w:jc w:val="both"/>
        <w:rPr>
          <w:sz w:val="21"/>
        </w:rPr>
      </w:pPr>
      <w:r>
        <w:rPr>
          <w:rFonts w:ascii="宋体" w:eastAsia="宋体" w:hAnsi="宋体" w:cs="宋体" w:hint="eastAsia"/>
          <w:sz w:val="21"/>
        </w:rPr>
        <w:t xml:space="preserve">    22.2 一方当事人变更名称、住所、联系人、联系电话或电子邮箱等信息的，应当在变更后3日内及时书面通知对方，对方实际收到变更通知前的送达仍为有效送达。</w:t>
      </w:r>
    </w:p>
    <w:p w:rsidR="00A24733">
      <w:pPr>
        <w:adjustRightInd w:val="0"/>
        <w:snapToGrid w:val="0"/>
        <w:spacing w:line="400" w:lineRule="exact"/>
        <w:ind w:firstLine="420" w:firstLineChars="200"/>
        <w:jc w:val="left"/>
        <w:rPr>
          <w:rFonts w:ascii="宋体" w:hAnsi="宋体"/>
          <w:szCs w:val="21"/>
        </w:rPr>
      </w:pPr>
      <w:r>
        <w:rPr>
          <w:rFonts w:ascii="宋体" w:hAnsi="宋体" w:hint="eastAsia"/>
          <w:szCs w:val="21"/>
        </w:rPr>
        <w:t>22.3本合同一方给另一方的通知均应采用书面形式，传真或快递送到本合同中规定的对方的地址和办理签收手续。</w:t>
      </w:r>
    </w:p>
    <w:p w:rsidR="00A24733">
      <w:pPr>
        <w:adjustRightInd w:val="0"/>
        <w:snapToGrid w:val="0"/>
        <w:spacing w:line="400" w:lineRule="exact"/>
        <w:ind w:firstLine="420" w:firstLineChars="200"/>
        <w:jc w:val="left"/>
        <w:rPr>
          <w:rFonts w:ascii="宋体" w:hAnsi="宋体"/>
          <w:szCs w:val="21"/>
        </w:rPr>
      </w:pPr>
      <w:r>
        <w:rPr>
          <w:rFonts w:ascii="宋体" w:hAnsi="宋体" w:hint="eastAsia"/>
          <w:szCs w:val="21"/>
        </w:rPr>
        <w:t>22.4通知以送达之日或通知书中规定的生效之日起生效，两者中以较迟之日为准。</w:t>
      </w:r>
    </w:p>
    <w:p w:rsidR="00A24733">
      <w:pPr>
        <w:numPr>
          <w:ilvl w:val="0"/>
          <w:numId w:val="13"/>
        </w:numPr>
        <w:adjustRightInd w:val="0"/>
        <w:snapToGrid w:val="0"/>
        <w:spacing w:line="400" w:lineRule="exact"/>
        <w:jc w:val="left"/>
        <w:rPr>
          <w:rFonts w:ascii="宋体" w:hAnsi="宋体"/>
          <w:b/>
          <w:bCs/>
        </w:rPr>
      </w:pPr>
      <w:r>
        <w:rPr>
          <w:rFonts w:ascii="宋体" w:hAnsi="宋体" w:hint="eastAsia"/>
          <w:b/>
          <w:bCs/>
          <w:sz w:val="24"/>
        </w:rPr>
        <w:t>合同未尽事项</w:t>
      </w:r>
    </w:p>
    <w:p w:rsidR="00A24733">
      <w:pPr>
        <w:adjustRightInd w:val="0"/>
        <w:snapToGrid w:val="0"/>
        <w:spacing w:line="400" w:lineRule="exact"/>
        <w:ind w:firstLine="420" w:firstLineChars="200"/>
        <w:jc w:val="left"/>
        <w:rPr>
          <w:rFonts w:ascii="宋体" w:hAnsi="宋体"/>
          <w:bCs/>
          <w:szCs w:val="21"/>
        </w:rPr>
      </w:pPr>
      <w:r>
        <w:rPr>
          <w:rFonts w:ascii="宋体" w:hAnsi="宋体" w:hint="eastAsia"/>
          <w:bCs/>
          <w:szCs w:val="21"/>
        </w:rPr>
        <w:t>23.1合同未尽事项见</w:t>
      </w:r>
      <w:r>
        <w:rPr>
          <w:rFonts w:ascii="宋体" w:hAnsi="宋体" w:hint="eastAsia"/>
          <w:b/>
          <w:szCs w:val="21"/>
        </w:rPr>
        <w:t>【政府采购合同专用条款】</w:t>
      </w:r>
      <w:r>
        <w:rPr>
          <w:rFonts w:ascii="宋体" w:hAnsi="宋体" w:hint="eastAsia"/>
          <w:bCs/>
          <w:szCs w:val="21"/>
        </w:rPr>
        <w:t>。</w:t>
      </w:r>
    </w:p>
    <w:p w:rsidR="00A24733">
      <w:pPr>
        <w:adjustRightInd w:val="0"/>
        <w:snapToGrid w:val="0"/>
        <w:spacing w:line="400" w:lineRule="exact"/>
        <w:jc w:val="left"/>
        <w:rPr>
          <w:rFonts w:ascii="黑体" w:eastAsia="黑体" w:hAnsi="华文中宋"/>
          <w:sz w:val="28"/>
          <w:szCs w:val="28"/>
        </w:rPr>
      </w:pPr>
      <w:r>
        <w:rPr>
          <w:rFonts w:ascii="宋体" w:hAnsi="宋体" w:hint="eastAsia"/>
          <w:bCs/>
          <w:szCs w:val="21"/>
        </w:rPr>
        <w:t xml:space="preserve">    23.2 合同附件与合同正文具有同等的法律效力。</w:t>
      </w:r>
      <w:bookmarkStart w:id="75" w:name="_Toc20313"/>
    </w:p>
    <w:p w:rsidR="00A24733">
      <w:pPr>
        <w:adjustRightInd w:val="0"/>
        <w:snapToGrid w:val="0"/>
        <w:jc w:val="center"/>
        <w:rPr>
          <w:rFonts w:ascii="黑体" w:eastAsia="黑体" w:hAnsi="华文中宋"/>
          <w:sz w:val="28"/>
          <w:szCs w:val="28"/>
        </w:rPr>
      </w:pPr>
      <w:r>
        <w:rPr>
          <w:rFonts w:ascii="黑体" w:eastAsia="黑体" w:hAnsi="华文中宋" w:hint="eastAsia"/>
          <w:sz w:val="28"/>
          <w:szCs w:val="28"/>
        </w:rPr>
        <w:br w:type="page"/>
      </w:r>
    </w:p>
    <w:p w:rsidR="00A24733">
      <w:pPr>
        <w:pStyle w:val="Heading2"/>
        <w:numPr>
          <w:ilvl w:val="0"/>
          <w:numId w:val="0"/>
        </w:numPr>
        <w:adjustRightInd w:val="0"/>
        <w:snapToGrid w:val="0"/>
        <w:jc w:val="center"/>
        <w:rPr>
          <w:rFonts w:ascii="黑体" w:hAnsi="华文中宋"/>
          <w:b w:val="0"/>
          <w:bCs w:val="0"/>
          <w:sz w:val="28"/>
          <w:szCs w:val="28"/>
        </w:rPr>
      </w:pPr>
      <w:r>
        <w:rPr>
          <w:rFonts w:ascii="黑体" w:hAnsi="华文中宋" w:hint="eastAsia"/>
          <w:b w:val="0"/>
          <w:bCs w:val="0"/>
          <w:sz w:val="28"/>
          <w:szCs w:val="28"/>
        </w:rPr>
        <w:t>第三节 政府采购合同专用条款</w:t>
      </w:r>
      <w:bookmarkEnd w:id="75"/>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vAlign w:val="center"/>
          </w:tcPr>
          <w:p w:rsidR="00A24733">
            <w:pPr>
              <w:adjustRightInd w:val="0"/>
              <w:snapToGrid w:val="0"/>
              <w:jc w:val="center"/>
              <w:rPr>
                <w:rFonts w:ascii="宋体" w:hAnsi="宋体"/>
                <w:szCs w:val="21"/>
              </w:rPr>
            </w:pPr>
            <w:r>
              <w:rPr>
                <w:rFonts w:ascii="宋体" w:hAnsi="宋体" w:hint="eastAsia"/>
                <w:szCs w:val="21"/>
              </w:rPr>
              <w:t>第二节</w:t>
            </w:r>
          </w:p>
          <w:p w:rsidR="00A24733">
            <w:pPr>
              <w:adjustRightInd w:val="0"/>
              <w:snapToGrid w:val="0"/>
              <w:jc w:val="center"/>
              <w:rPr>
                <w:rFonts w:ascii="宋体" w:hAnsi="宋体"/>
                <w:szCs w:val="21"/>
              </w:rPr>
            </w:pPr>
            <w:r>
              <w:rPr>
                <w:rFonts w:ascii="宋体" w:hAnsi="宋体" w:hint="eastAsia"/>
                <w:szCs w:val="21"/>
              </w:rPr>
              <w:t>第1.2（6）项</w:t>
            </w:r>
          </w:p>
        </w:tc>
        <w:tc>
          <w:tcPr>
            <w:tcW w:w="1742" w:type="dxa"/>
            <w:vAlign w:val="center"/>
          </w:tcPr>
          <w:p w:rsidR="00A24733">
            <w:pPr>
              <w:adjustRightInd w:val="0"/>
              <w:snapToGrid w:val="0"/>
              <w:jc w:val="left"/>
              <w:rPr>
                <w:rFonts w:ascii="宋体" w:hAnsi="宋体"/>
                <w:szCs w:val="21"/>
              </w:rPr>
            </w:pPr>
            <w:r>
              <w:rPr>
                <w:rFonts w:ascii="宋体" w:hAnsi="宋体" w:hint="eastAsia"/>
                <w:szCs w:val="21"/>
              </w:rPr>
              <w:t>联合体具体要求</w:t>
            </w:r>
          </w:p>
        </w:tc>
        <w:tc>
          <w:tcPr>
            <w:tcW w:w="5170" w:type="dxa"/>
            <w:vAlign w:val="center"/>
          </w:tcPr>
          <w:p w:rsidR="00A24733">
            <w:pPr>
              <w:adjustRightInd w:val="0"/>
              <w:snapToGrid w:val="0"/>
              <w:jc w:val="left"/>
              <w:rPr>
                <w:rFonts w:ascii="宋体" w:hAnsi="宋体"/>
                <w:szCs w:val="21"/>
              </w:rPr>
            </w:pPr>
          </w:p>
        </w:tc>
      </w:tr>
      <w:tr>
        <w:tblPrEx>
          <w:tblW w:w="8519" w:type="dxa"/>
          <w:tblInd w:w="108" w:type="dxa"/>
          <w:tblLayout w:type="fixed"/>
          <w:tblLook w:val="04A0"/>
        </w:tblPrEx>
        <w:trPr>
          <w:trHeight w:val="604"/>
        </w:trPr>
        <w:tc>
          <w:tcPr>
            <w:tcW w:w="1607" w:type="dxa"/>
            <w:vAlign w:val="center"/>
          </w:tcPr>
          <w:p w:rsidR="00A24733">
            <w:pPr>
              <w:adjustRightInd w:val="0"/>
              <w:snapToGrid w:val="0"/>
              <w:jc w:val="center"/>
              <w:rPr>
                <w:rFonts w:ascii="宋体" w:hAnsi="宋体"/>
                <w:szCs w:val="21"/>
              </w:rPr>
            </w:pPr>
            <w:r>
              <w:rPr>
                <w:rFonts w:ascii="宋体" w:hAnsi="宋体" w:hint="eastAsia"/>
                <w:szCs w:val="21"/>
              </w:rPr>
              <w:t>第二节</w:t>
            </w:r>
          </w:p>
          <w:p w:rsidR="00A24733">
            <w:pPr>
              <w:adjustRightInd w:val="0"/>
              <w:snapToGrid w:val="0"/>
              <w:jc w:val="center"/>
              <w:rPr>
                <w:rFonts w:ascii="宋体" w:hAnsi="宋体"/>
                <w:szCs w:val="21"/>
              </w:rPr>
            </w:pPr>
            <w:r>
              <w:rPr>
                <w:rFonts w:ascii="宋体" w:hAnsi="宋体" w:hint="eastAsia"/>
                <w:szCs w:val="21"/>
              </w:rPr>
              <w:t>第1.2（7）项</w:t>
            </w:r>
          </w:p>
        </w:tc>
        <w:tc>
          <w:tcPr>
            <w:tcW w:w="1742" w:type="dxa"/>
            <w:vAlign w:val="center"/>
          </w:tcPr>
          <w:p w:rsidR="00A24733">
            <w:pPr>
              <w:adjustRightInd w:val="0"/>
              <w:snapToGrid w:val="0"/>
              <w:jc w:val="left"/>
              <w:rPr>
                <w:rFonts w:ascii="宋体" w:hAnsi="宋体"/>
                <w:szCs w:val="21"/>
              </w:rPr>
            </w:pPr>
            <w:r>
              <w:rPr>
                <w:rFonts w:ascii="宋体" w:hAnsi="宋体" w:hint="eastAsia"/>
                <w:szCs w:val="21"/>
              </w:rPr>
              <w:t>其他术语解释</w:t>
            </w:r>
          </w:p>
        </w:tc>
        <w:tc>
          <w:tcPr>
            <w:tcW w:w="5170" w:type="dxa"/>
            <w:vAlign w:val="center"/>
          </w:tcPr>
          <w:p w:rsidR="00A24733">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A24733">
            <w:pPr>
              <w:adjustRightInd w:val="0"/>
              <w:snapToGrid w:val="0"/>
              <w:jc w:val="center"/>
              <w:rPr>
                <w:rFonts w:ascii="宋体" w:hAnsi="宋体"/>
                <w:szCs w:val="21"/>
              </w:rPr>
            </w:pPr>
            <w:r>
              <w:rPr>
                <w:rFonts w:ascii="宋体" w:hAnsi="宋体" w:hint="eastAsia"/>
                <w:szCs w:val="21"/>
              </w:rPr>
              <w:t>第二节</w:t>
            </w:r>
          </w:p>
          <w:p w:rsidR="00A24733">
            <w:pPr>
              <w:adjustRightInd w:val="0"/>
              <w:snapToGrid w:val="0"/>
              <w:jc w:val="center"/>
              <w:rPr>
                <w:rFonts w:ascii="宋体" w:hAnsi="宋体"/>
                <w:szCs w:val="21"/>
              </w:rPr>
            </w:pPr>
            <w:r>
              <w:rPr>
                <w:rFonts w:ascii="宋体" w:hAnsi="宋体" w:hint="eastAsia"/>
                <w:szCs w:val="21"/>
              </w:rPr>
              <w:t>第4.4款</w:t>
            </w:r>
          </w:p>
        </w:tc>
        <w:tc>
          <w:tcPr>
            <w:tcW w:w="1742" w:type="dxa"/>
            <w:vAlign w:val="center"/>
          </w:tcPr>
          <w:p w:rsidR="00A24733">
            <w:pPr>
              <w:adjustRightInd w:val="0"/>
              <w:snapToGrid w:val="0"/>
              <w:jc w:val="left"/>
              <w:rPr>
                <w:rFonts w:ascii="宋体" w:hAnsi="宋体"/>
                <w:szCs w:val="21"/>
              </w:rPr>
            </w:pPr>
            <w:r>
              <w:rPr>
                <w:rFonts w:ascii="宋体" w:hAnsi="宋体" w:hint="eastAsia"/>
                <w:szCs w:val="21"/>
              </w:rPr>
              <w:t>履约验收中甲方提出异议或</w:t>
            </w:r>
            <w:r>
              <w:rPr>
                <w:rFonts w:ascii="宋体" w:hAnsi="宋体" w:hint="eastAsia"/>
                <w:szCs w:val="21"/>
              </w:rPr>
              <w:t>作出</w:t>
            </w:r>
            <w:r>
              <w:rPr>
                <w:rFonts w:ascii="宋体" w:hAnsi="宋体" w:hint="eastAsia"/>
                <w:szCs w:val="21"/>
              </w:rPr>
              <w:t>说明的期限</w:t>
            </w:r>
          </w:p>
        </w:tc>
        <w:tc>
          <w:tcPr>
            <w:tcW w:w="5170" w:type="dxa"/>
            <w:vAlign w:val="center"/>
          </w:tcPr>
          <w:p w:rsidR="00A24733">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A24733">
            <w:pPr>
              <w:adjustRightInd w:val="0"/>
              <w:snapToGrid w:val="0"/>
              <w:jc w:val="center"/>
              <w:rPr>
                <w:rFonts w:ascii="宋体" w:hAnsi="宋体"/>
                <w:szCs w:val="21"/>
              </w:rPr>
            </w:pPr>
            <w:r>
              <w:rPr>
                <w:rFonts w:ascii="宋体" w:hAnsi="宋体" w:hint="eastAsia"/>
                <w:szCs w:val="21"/>
              </w:rPr>
              <w:t>第二节</w:t>
            </w:r>
          </w:p>
          <w:p w:rsidR="00A24733">
            <w:pPr>
              <w:adjustRightInd w:val="0"/>
              <w:snapToGrid w:val="0"/>
              <w:jc w:val="center"/>
              <w:rPr>
                <w:rFonts w:ascii="宋体" w:hAnsi="宋体"/>
                <w:szCs w:val="21"/>
              </w:rPr>
            </w:pPr>
            <w:r>
              <w:rPr>
                <w:rFonts w:ascii="宋体" w:hAnsi="宋体" w:hint="eastAsia"/>
                <w:szCs w:val="21"/>
              </w:rPr>
              <w:t>第4.6款</w:t>
            </w:r>
          </w:p>
        </w:tc>
        <w:tc>
          <w:tcPr>
            <w:tcW w:w="1742" w:type="dxa"/>
            <w:vAlign w:val="center"/>
          </w:tcPr>
          <w:p w:rsidR="00A24733">
            <w:pPr>
              <w:adjustRightInd w:val="0"/>
              <w:snapToGrid w:val="0"/>
              <w:jc w:val="left"/>
              <w:rPr>
                <w:rFonts w:ascii="宋体" w:hAnsi="宋体"/>
                <w:szCs w:val="21"/>
              </w:rPr>
            </w:pPr>
            <w:r>
              <w:rPr>
                <w:rFonts w:ascii="宋体" w:hAnsi="宋体" w:hint="eastAsia"/>
                <w:szCs w:val="21"/>
              </w:rPr>
              <w:t>约定甲方承担的其他义务和责任</w:t>
            </w:r>
          </w:p>
        </w:tc>
        <w:tc>
          <w:tcPr>
            <w:tcW w:w="5170" w:type="dxa"/>
            <w:vAlign w:val="center"/>
          </w:tcPr>
          <w:p w:rsidR="00A24733">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A24733">
            <w:pPr>
              <w:adjustRightInd w:val="0"/>
              <w:snapToGrid w:val="0"/>
              <w:jc w:val="center"/>
              <w:rPr>
                <w:rFonts w:ascii="宋体" w:hAnsi="宋体"/>
                <w:szCs w:val="21"/>
              </w:rPr>
            </w:pPr>
            <w:r>
              <w:rPr>
                <w:rFonts w:ascii="宋体" w:hAnsi="宋体" w:hint="eastAsia"/>
                <w:szCs w:val="21"/>
              </w:rPr>
              <w:t>第二节</w:t>
            </w:r>
          </w:p>
          <w:p w:rsidR="00A24733">
            <w:pPr>
              <w:snapToGrid w:val="0"/>
              <w:jc w:val="center"/>
            </w:pPr>
            <w:r>
              <w:rPr>
                <w:rFonts w:ascii="宋体" w:hAnsi="宋体" w:hint="eastAsia"/>
                <w:szCs w:val="21"/>
              </w:rPr>
              <w:t>第5.4款</w:t>
            </w:r>
          </w:p>
        </w:tc>
        <w:tc>
          <w:tcPr>
            <w:tcW w:w="1742" w:type="dxa"/>
            <w:vAlign w:val="center"/>
          </w:tcPr>
          <w:p w:rsidR="00A24733">
            <w:pPr>
              <w:adjustRightInd w:val="0"/>
              <w:snapToGrid w:val="0"/>
              <w:jc w:val="left"/>
              <w:rPr>
                <w:rFonts w:ascii="宋体" w:hAnsi="宋体"/>
                <w:szCs w:val="21"/>
              </w:rPr>
            </w:pPr>
            <w:r>
              <w:rPr>
                <w:rFonts w:ascii="宋体" w:hAnsi="宋体" w:hint="eastAsia"/>
                <w:szCs w:val="21"/>
              </w:rPr>
              <w:t>约定乙方承担的其他义务和责任</w:t>
            </w:r>
          </w:p>
        </w:tc>
        <w:tc>
          <w:tcPr>
            <w:tcW w:w="5170" w:type="dxa"/>
            <w:vAlign w:val="center"/>
          </w:tcPr>
          <w:p w:rsidR="00A24733">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A24733">
            <w:pPr>
              <w:adjustRightInd w:val="0"/>
              <w:snapToGrid w:val="0"/>
              <w:jc w:val="center"/>
              <w:rPr>
                <w:rFonts w:ascii="宋体" w:hAnsi="宋体"/>
                <w:szCs w:val="21"/>
              </w:rPr>
            </w:pPr>
            <w:r>
              <w:rPr>
                <w:rFonts w:ascii="宋体" w:hAnsi="宋体" w:hint="eastAsia"/>
                <w:szCs w:val="21"/>
              </w:rPr>
              <w:t>第二节</w:t>
            </w:r>
          </w:p>
          <w:p w:rsidR="00A24733">
            <w:pPr>
              <w:snapToGrid w:val="0"/>
              <w:jc w:val="center"/>
              <w:rPr>
                <w:rFonts w:ascii="宋体" w:hAnsi="宋体"/>
                <w:szCs w:val="21"/>
              </w:rPr>
            </w:pPr>
            <w:r>
              <w:rPr>
                <w:rFonts w:ascii="宋体" w:hAnsi="宋体" w:hint="eastAsia"/>
                <w:szCs w:val="21"/>
              </w:rPr>
              <w:t>第6.1款</w:t>
            </w:r>
          </w:p>
        </w:tc>
        <w:tc>
          <w:tcPr>
            <w:tcW w:w="1742" w:type="dxa"/>
            <w:vAlign w:val="center"/>
          </w:tcPr>
          <w:p w:rsidR="00A24733">
            <w:pPr>
              <w:adjustRightInd w:val="0"/>
              <w:snapToGrid w:val="0"/>
              <w:jc w:val="left"/>
              <w:rPr>
                <w:rFonts w:ascii="宋体" w:hAnsi="宋体"/>
                <w:szCs w:val="21"/>
              </w:rPr>
            </w:pPr>
            <w:r>
              <w:rPr>
                <w:rFonts w:ascii="宋体" w:hAnsi="宋体" w:hint="eastAsia"/>
                <w:szCs w:val="21"/>
              </w:rPr>
              <w:t>履行合同义务的顺序</w:t>
            </w:r>
          </w:p>
        </w:tc>
        <w:tc>
          <w:tcPr>
            <w:tcW w:w="5170" w:type="dxa"/>
            <w:vAlign w:val="center"/>
          </w:tcPr>
          <w:p w:rsidR="00A24733">
            <w:pPr>
              <w:adjustRightInd w:val="0"/>
              <w:snapToGrid w:val="0"/>
              <w:jc w:val="left"/>
              <w:rPr>
                <w:rFonts w:ascii="宋体" w:hAnsi="宋体"/>
                <w:szCs w:val="21"/>
              </w:rPr>
            </w:pPr>
          </w:p>
        </w:tc>
      </w:tr>
      <w:tr>
        <w:tblPrEx>
          <w:tblW w:w="8519" w:type="dxa"/>
          <w:tblInd w:w="108" w:type="dxa"/>
          <w:tblLayout w:type="fixed"/>
          <w:tblLook w:val="04A0"/>
        </w:tblPrEx>
        <w:trPr>
          <w:trHeight w:val="667"/>
        </w:trPr>
        <w:tc>
          <w:tcPr>
            <w:tcW w:w="1607" w:type="dxa"/>
            <w:vMerge w:val="restart"/>
            <w:vAlign w:val="center"/>
          </w:tcPr>
          <w:p w:rsidR="00A24733">
            <w:pPr>
              <w:adjustRightInd w:val="0"/>
              <w:snapToGrid w:val="0"/>
              <w:jc w:val="center"/>
              <w:rPr>
                <w:rFonts w:ascii="宋体" w:hAnsi="宋体"/>
                <w:szCs w:val="21"/>
              </w:rPr>
            </w:pPr>
            <w:r>
              <w:rPr>
                <w:rFonts w:ascii="宋体" w:hAnsi="宋体" w:hint="eastAsia"/>
                <w:szCs w:val="21"/>
              </w:rPr>
              <w:t>第二节</w:t>
            </w:r>
          </w:p>
          <w:p w:rsidR="00A24733">
            <w:pPr>
              <w:adjustRightInd w:val="0"/>
              <w:snapToGrid w:val="0"/>
              <w:jc w:val="center"/>
              <w:rPr>
                <w:rFonts w:ascii="宋体" w:hAnsi="宋体"/>
                <w:szCs w:val="21"/>
              </w:rPr>
            </w:pPr>
            <w:r>
              <w:rPr>
                <w:rFonts w:ascii="宋体" w:hAnsi="宋体" w:hint="eastAsia"/>
                <w:szCs w:val="21"/>
              </w:rPr>
              <w:t>第7.1款</w:t>
            </w:r>
          </w:p>
        </w:tc>
        <w:tc>
          <w:tcPr>
            <w:tcW w:w="1742" w:type="dxa"/>
            <w:vAlign w:val="center"/>
          </w:tcPr>
          <w:p w:rsidR="00A24733">
            <w:pPr>
              <w:adjustRightInd w:val="0"/>
              <w:snapToGrid w:val="0"/>
              <w:jc w:val="left"/>
              <w:rPr>
                <w:rFonts w:ascii="宋体" w:hAnsi="宋体"/>
                <w:szCs w:val="21"/>
              </w:rPr>
            </w:pPr>
            <w:r>
              <w:rPr>
                <w:rFonts w:ascii="宋体" w:hAnsi="宋体" w:hint="eastAsia"/>
                <w:szCs w:val="21"/>
              </w:rPr>
              <w:t>包装特殊要求</w:t>
            </w:r>
          </w:p>
        </w:tc>
        <w:tc>
          <w:tcPr>
            <w:tcW w:w="5170" w:type="dxa"/>
            <w:vAlign w:val="center"/>
          </w:tcPr>
          <w:p w:rsidR="00A24733"/>
        </w:tc>
      </w:tr>
      <w:tr>
        <w:tblPrEx>
          <w:tblW w:w="8519" w:type="dxa"/>
          <w:tblInd w:w="108" w:type="dxa"/>
          <w:tblLayout w:type="fixed"/>
          <w:tblLook w:val="04A0"/>
        </w:tblPrEx>
        <w:trPr>
          <w:trHeight w:val="667"/>
        </w:trPr>
        <w:tc>
          <w:tcPr>
            <w:tcW w:w="1607" w:type="dxa"/>
            <w:vMerge/>
            <w:vAlign w:val="center"/>
          </w:tcPr>
          <w:p w:rsidR="00A24733">
            <w:pPr>
              <w:adjustRightInd w:val="0"/>
              <w:snapToGrid w:val="0"/>
              <w:jc w:val="center"/>
              <w:rPr>
                <w:rFonts w:ascii="宋体" w:hAnsi="宋体"/>
                <w:szCs w:val="21"/>
              </w:rPr>
            </w:pPr>
          </w:p>
        </w:tc>
        <w:tc>
          <w:tcPr>
            <w:tcW w:w="1742" w:type="dxa"/>
            <w:vAlign w:val="center"/>
          </w:tcPr>
          <w:p w:rsidR="00A24733">
            <w:pPr>
              <w:adjustRightInd w:val="0"/>
              <w:snapToGrid w:val="0"/>
              <w:jc w:val="left"/>
              <w:rPr>
                <w:rFonts w:ascii="宋体" w:hAnsi="宋体"/>
                <w:szCs w:val="21"/>
              </w:rPr>
            </w:pPr>
            <w:r>
              <w:rPr>
                <w:rFonts w:ascii="宋体" w:hAnsi="宋体" w:hint="eastAsia"/>
                <w:szCs w:val="21"/>
              </w:rPr>
              <w:t>指定现场</w:t>
            </w:r>
          </w:p>
        </w:tc>
        <w:tc>
          <w:tcPr>
            <w:tcW w:w="5170" w:type="dxa"/>
            <w:vAlign w:val="center"/>
          </w:tcPr>
          <w:p w:rsidR="00A24733"/>
        </w:tc>
      </w:tr>
      <w:tr>
        <w:tblPrEx>
          <w:tblW w:w="8519" w:type="dxa"/>
          <w:tblInd w:w="108" w:type="dxa"/>
          <w:tblLayout w:type="fixed"/>
          <w:tblLook w:val="04A0"/>
        </w:tblPrEx>
        <w:trPr>
          <w:trHeight w:val="772"/>
        </w:trPr>
        <w:tc>
          <w:tcPr>
            <w:tcW w:w="1607" w:type="dxa"/>
            <w:vAlign w:val="center"/>
          </w:tcPr>
          <w:p w:rsidR="00A24733">
            <w:pPr>
              <w:adjustRightInd w:val="0"/>
              <w:snapToGrid w:val="0"/>
              <w:jc w:val="center"/>
              <w:rPr>
                <w:rFonts w:ascii="宋体" w:hAnsi="宋体"/>
                <w:szCs w:val="21"/>
              </w:rPr>
            </w:pPr>
            <w:r>
              <w:rPr>
                <w:rFonts w:ascii="宋体" w:hAnsi="宋体" w:hint="eastAsia"/>
                <w:szCs w:val="21"/>
              </w:rPr>
              <w:t>第二节</w:t>
            </w:r>
          </w:p>
          <w:p w:rsidR="00A24733">
            <w:pPr>
              <w:adjustRightInd w:val="0"/>
              <w:snapToGrid w:val="0"/>
              <w:jc w:val="center"/>
              <w:rPr>
                <w:rFonts w:ascii="宋体" w:hAnsi="宋体"/>
                <w:szCs w:val="21"/>
              </w:rPr>
            </w:pPr>
            <w:r>
              <w:rPr>
                <w:rFonts w:ascii="宋体" w:hAnsi="宋体" w:hint="eastAsia"/>
                <w:szCs w:val="21"/>
              </w:rPr>
              <w:t>第7.2款</w:t>
            </w:r>
          </w:p>
        </w:tc>
        <w:tc>
          <w:tcPr>
            <w:tcW w:w="1742" w:type="dxa"/>
            <w:vAlign w:val="center"/>
          </w:tcPr>
          <w:p w:rsidR="00A24733">
            <w:pPr>
              <w:adjustRightInd w:val="0"/>
              <w:snapToGrid w:val="0"/>
              <w:jc w:val="left"/>
              <w:rPr>
                <w:rFonts w:ascii="宋体" w:hAnsi="宋体"/>
                <w:szCs w:val="21"/>
              </w:rPr>
            </w:pPr>
            <w:r>
              <w:rPr>
                <w:rFonts w:ascii="宋体" w:hAnsi="宋体" w:hint="eastAsia"/>
                <w:szCs w:val="21"/>
              </w:rPr>
              <w:t>运输特殊要求</w:t>
            </w:r>
          </w:p>
        </w:tc>
        <w:tc>
          <w:tcPr>
            <w:tcW w:w="5170" w:type="dxa"/>
            <w:vAlign w:val="center"/>
          </w:tcPr>
          <w:p w:rsidR="00A24733"/>
        </w:tc>
      </w:tr>
      <w:tr>
        <w:tblPrEx>
          <w:tblW w:w="8519" w:type="dxa"/>
          <w:tblInd w:w="108" w:type="dxa"/>
          <w:tblLayout w:type="fixed"/>
          <w:tblLook w:val="04A0"/>
        </w:tblPrEx>
        <w:trPr>
          <w:trHeight w:val="667"/>
        </w:trPr>
        <w:tc>
          <w:tcPr>
            <w:tcW w:w="1607" w:type="dxa"/>
            <w:vAlign w:val="center"/>
          </w:tcPr>
          <w:p w:rsidR="00A24733">
            <w:pPr>
              <w:adjustRightInd w:val="0"/>
              <w:snapToGrid w:val="0"/>
              <w:jc w:val="center"/>
              <w:rPr>
                <w:rFonts w:ascii="宋体" w:hAnsi="宋体"/>
                <w:szCs w:val="21"/>
              </w:rPr>
            </w:pPr>
            <w:r>
              <w:rPr>
                <w:rFonts w:ascii="宋体" w:hAnsi="宋体" w:hint="eastAsia"/>
                <w:szCs w:val="21"/>
              </w:rPr>
              <w:t>第二节</w:t>
            </w:r>
          </w:p>
          <w:p w:rsidR="00A24733">
            <w:pPr>
              <w:adjustRightInd w:val="0"/>
              <w:snapToGrid w:val="0"/>
              <w:jc w:val="center"/>
              <w:rPr>
                <w:rFonts w:ascii="宋体" w:hAnsi="宋体"/>
                <w:szCs w:val="21"/>
              </w:rPr>
            </w:pPr>
            <w:r>
              <w:rPr>
                <w:rFonts w:ascii="宋体" w:hAnsi="宋体" w:hint="eastAsia"/>
                <w:szCs w:val="21"/>
              </w:rPr>
              <w:t>第7.3款</w:t>
            </w:r>
          </w:p>
        </w:tc>
        <w:tc>
          <w:tcPr>
            <w:tcW w:w="1742" w:type="dxa"/>
            <w:vAlign w:val="center"/>
          </w:tcPr>
          <w:p w:rsidR="00A24733">
            <w:pPr>
              <w:adjustRightInd w:val="0"/>
              <w:snapToGrid w:val="0"/>
              <w:jc w:val="left"/>
              <w:rPr>
                <w:rFonts w:ascii="宋体" w:hAnsi="宋体"/>
                <w:szCs w:val="21"/>
              </w:rPr>
            </w:pPr>
            <w:r>
              <w:rPr>
                <w:rFonts w:ascii="宋体" w:hAnsi="宋体" w:hint="eastAsia"/>
                <w:szCs w:val="21"/>
              </w:rPr>
              <w:t>保险要求</w:t>
            </w:r>
          </w:p>
        </w:tc>
        <w:tc>
          <w:tcPr>
            <w:tcW w:w="5170" w:type="dxa"/>
            <w:vAlign w:val="center"/>
          </w:tcPr>
          <w:p w:rsidR="00A24733"/>
        </w:tc>
      </w:tr>
      <w:tr>
        <w:tblPrEx>
          <w:tblW w:w="8519" w:type="dxa"/>
          <w:tblInd w:w="108" w:type="dxa"/>
          <w:tblLayout w:type="fixed"/>
          <w:tblLook w:val="04A0"/>
        </w:tblPrEx>
        <w:trPr>
          <w:trHeight w:val="736"/>
        </w:trPr>
        <w:tc>
          <w:tcPr>
            <w:tcW w:w="1607" w:type="dxa"/>
            <w:vAlign w:val="center"/>
          </w:tcPr>
          <w:p w:rsidR="00A24733">
            <w:pPr>
              <w:adjustRightInd w:val="0"/>
              <w:snapToGrid w:val="0"/>
              <w:jc w:val="center"/>
              <w:rPr>
                <w:rFonts w:ascii="宋体" w:hAnsi="宋体"/>
                <w:szCs w:val="21"/>
              </w:rPr>
            </w:pPr>
            <w:r>
              <w:rPr>
                <w:rFonts w:ascii="宋体" w:hAnsi="宋体" w:hint="eastAsia"/>
                <w:szCs w:val="21"/>
              </w:rPr>
              <w:t>第二节</w:t>
            </w:r>
          </w:p>
          <w:p w:rsidR="00A24733">
            <w:pPr>
              <w:adjustRightInd w:val="0"/>
              <w:snapToGrid w:val="0"/>
              <w:jc w:val="center"/>
              <w:rPr>
                <w:rFonts w:ascii="宋体" w:hAnsi="宋体"/>
                <w:szCs w:val="21"/>
              </w:rPr>
            </w:pPr>
            <w:r>
              <w:rPr>
                <w:rFonts w:ascii="宋体" w:hAnsi="宋体" w:hint="eastAsia"/>
                <w:szCs w:val="21"/>
              </w:rPr>
              <w:t>第8.2（1）项</w:t>
            </w:r>
          </w:p>
        </w:tc>
        <w:tc>
          <w:tcPr>
            <w:tcW w:w="1742" w:type="dxa"/>
            <w:vAlign w:val="center"/>
          </w:tcPr>
          <w:p w:rsidR="00A24733">
            <w:pPr>
              <w:adjustRightInd w:val="0"/>
              <w:snapToGrid w:val="0"/>
              <w:jc w:val="left"/>
              <w:rPr>
                <w:rFonts w:ascii="宋体" w:hAnsi="宋体"/>
                <w:szCs w:val="21"/>
              </w:rPr>
            </w:pPr>
            <w:r>
              <w:rPr>
                <w:rFonts w:ascii="宋体" w:hAnsi="宋体" w:hint="eastAsia"/>
                <w:szCs w:val="21"/>
              </w:rPr>
              <w:t>质量保证期</w:t>
            </w:r>
          </w:p>
        </w:tc>
        <w:tc>
          <w:tcPr>
            <w:tcW w:w="5170" w:type="dxa"/>
            <w:vAlign w:val="center"/>
          </w:tcPr>
          <w:p w:rsidR="00A24733">
            <w:pPr>
              <w:autoSpaceDE w:val="0"/>
              <w:autoSpaceDN w:val="0"/>
              <w:adjustRightInd w:val="0"/>
              <w:snapToGrid w:val="0"/>
              <w:ind w:firstLine="420" w:firstLineChars="20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A24733">
            <w:pPr>
              <w:adjustRightInd w:val="0"/>
              <w:snapToGrid w:val="0"/>
              <w:jc w:val="center"/>
              <w:rPr>
                <w:rFonts w:ascii="宋体" w:hAnsi="宋体"/>
                <w:szCs w:val="21"/>
              </w:rPr>
            </w:pPr>
            <w:r>
              <w:rPr>
                <w:rFonts w:ascii="宋体" w:hAnsi="宋体" w:hint="eastAsia"/>
                <w:szCs w:val="21"/>
              </w:rPr>
              <w:t>第二节</w:t>
            </w:r>
          </w:p>
          <w:p w:rsidR="00A24733">
            <w:pPr>
              <w:adjustRightInd w:val="0"/>
              <w:snapToGrid w:val="0"/>
              <w:jc w:val="center"/>
              <w:rPr>
                <w:rFonts w:ascii="宋体" w:hAnsi="宋体"/>
                <w:szCs w:val="21"/>
              </w:rPr>
            </w:pPr>
            <w:r>
              <w:rPr>
                <w:rFonts w:ascii="宋体" w:hAnsi="宋体" w:hint="eastAsia"/>
                <w:szCs w:val="21"/>
              </w:rPr>
              <w:t>第8.2（3）项</w:t>
            </w:r>
          </w:p>
        </w:tc>
        <w:tc>
          <w:tcPr>
            <w:tcW w:w="1742" w:type="dxa"/>
            <w:vAlign w:val="center"/>
          </w:tcPr>
          <w:p w:rsidR="00A24733">
            <w:pPr>
              <w:adjustRightInd w:val="0"/>
              <w:snapToGrid w:val="0"/>
              <w:jc w:val="left"/>
              <w:rPr>
                <w:rFonts w:ascii="宋体" w:hAnsi="宋体"/>
                <w:szCs w:val="21"/>
              </w:rPr>
            </w:pPr>
            <w:r>
              <w:rPr>
                <w:rFonts w:ascii="宋体" w:hAnsi="宋体" w:hint="eastAsia"/>
                <w:szCs w:val="21"/>
              </w:rPr>
              <w:t>货物质量缺陷</w:t>
            </w:r>
          </w:p>
          <w:p w:rsidR="00A24733">
            <w:pPr>
              <w:adjustRightInd w:val="0"/>
              <w:snapToGrid w:val="0"/>
              <w:jc w:val="left"/>
              <w:rPr>
                <w:rFonts w:ascii="宋体" w:hAnsi="宋体"/>
                <w:szCs w:val="21"/>
              </w:rPr>
            </w:pPr>
            <w:r>
              <w:rPr>
                <w:rFonts w:ascii="宋体" w:hAnsi="宋体" w:hint="eastAsia"/>
                <w:szCs w:val="21"/>
              </w:rPr>
              <w:t>响应时间</w:t>
            </w:r>
          </w:p>
        </w:tc>
        <w:tc>
          <w:tcPr>
            <w:tcW w:w="5170" w:type="dxa"/>
            <w:vAlign w:val="center"/>
          </w:tcPr>
          <w:p w:rsidR="00A24733">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A24733">
            <w:pPr>
              <w:snapToGrid w:val="0"/>
              <w:jc w:val="center"/>
              <w:rPr>
                <w:rFonts w:ascii="宋体" w:hAnsi="宋体" w:cs="宋体"/>
                <w:szCs w:val="21"/>
              </w:rPr>
            </w:pPr>
            <w:r>
              <w:rPr>
                <w:rFonts w:ascii="宋体" w:hAnsi="宋体" w:cs="宋体" w:hint="eastAsia"/>
                <w:szCs w:val="21"/>
              </w:rPr>
              <w:t>第二节</w:t>
            </w:r>
          </w:p>
          <w:p w:rsidR="00A24733">
            <w:pPr>
              <w:pStyle w:val="AONormal"/>
              <w:ind w:firstLine="0" w:firstLineChars="0"/>
              <w:jc w:val="center"/>
            </w:pPr>
            <w:r>
              <w:rPr>
                <w:rFonts w:ascii="宋体" w:eastAsia="宋体" w:hAnsi="宋体" w:cs="宋体" w:hint="eastAsia"/>
              </w:rPr>
              <w:t>第11.1款</w:t>
            </w:r>
          </w:p>
        </w:tc>
        <w:tc>
          <w:tcPr>
            <w:tcW w:w="1742" w:type="dxa"/>
            <w:vAlign w:val="center"/>
          </w:tcPr>
          <w:p w:rsidR="00A24733">
            <w:pPr>
              <w:adjustRightInd w:val="0"/>
              <w:snapToGrid w:val="0"/>
              <w:rPr>
                <w:rFonts w:ascii="宋体" w:hAnsi="宋体"/>
                <w:szCs w:val="21"/>
              </w:rPr>
            </w:pPr>
            <w:r>
              <w:rPr>
                <w:rFonts w:ascii="宋体" w:hAnsi="宋体" w:hint="eastAsia"/>
                <w:szCs w:val="21"/>
              </w:rPr>
              <w:t>其他应当保密的信息</w:t>
            </w:r>
          </w:p>
        </w:tc>
        <w:tc>
          <w:tcPr>
            <w:tcW w:w="5170" w:type="dxa"/>
            <w:vAlign w:val="center"/>
          </w:tcPr>
          <w:p w:rsidR="00A24733">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A24733">
            <w:pPr>
              <w:adjustRightInd w:val="0"/>
              <w:snapToGrid w:val="0"/>
              <w:jc w:val="center"/>
              <w:rPr>
                <w:rFonts w:ascii="宋体" w:hAnsi="宋体"/>
                <w:szCs w:val="21"/>
              </w:rPr>
            </w:pPr>
            <w:r>
              <w:rPr>
                <w:rFonts w:ascii="宋体" w:hAnsi="宋体" w:hint="eastAsia"/>
                <w:szCs w:val="21"/>
              </w:rPr>
              <w:t>第二节</w:t>
            </w:r>
          </w:p>
          <w:p w:rsidR="00A24733">
            <w:pPr>
              <w:adjustRightInd w:val="0"/>
              <w:snapToGrid w:val="0"/>
              <w:jc w:val="center"/>
              <w:rPr>
                <w:rFonts w:ascii="宋体" w:hAnsi="宋体"/>
                <w:szCs w:val="21"/>
              </w:rPr>
            </w:pPr>
            <w:r>
              <w:rPr>
                <w:rFonts w:ascii="宋体" w:hAnsi="宋体" w:hint="eastAsia"/>
                <w:szCs w:val="21"/>
              </w:rPr>
              <w:t>第12.2款</w:t>
            </w:r>
          </w:p>
        </w:tc>
        <w:tc>
          <w:tcPr>
            <w:tcW w:w="1742" w:type="dxa"/>
            <w:vAlign w:val="center"/>
          </w:tcPr>
          <w:p w:rsidR="00A24733">
            <w:pPr>
              <w:adjustRightInd w:val="0"/>
              <w:snapToGrid w:val="0"/>
              <w:jc w:val="left"/>
              <w:rPr>
                <w:rFonts w:ascii="宋体" w:hAnsi="宋体"/>
                <w:szCs w:val="21"/>
              </w:rPr>
            </w:pPr>
            <w:r>
              <w:rPr>
                <w:rFonts w:ascii="宋体" w:hAnsi="宋体" w:hint="eastAsia"/>
                <w:szCs w:val="21"/>
              </w:rPr>
              <w:t>合同价款支付时间</w:t>
            </w:r>
          </w:p>
        </w:tc>
        <w:tc>
          <w:tcPr>
            <w:tcW w:w="5170" w:type="dxa"/>
            <w:vAlign w:val="center"/>
          </w:tcPr>
          <w:p w:rsidR="00A24733">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A24733">
            <w:pPr>
              <w:adjustRightInd w:val="0"/>
              <w:snapToGrid w:val="0"/>
              <w:jc w:val="center"/>
              <w:rPr>
                <w:rFonts w:ascii="宋体" w:hAnsi="宋体"/>
                <w:szCs w:val="21"/>
              </w:rPr>
            </w:pPr>
            <w:r>
              <w:rPr>
                <w:rFonts w:ascii="宋体" w:hAnsi="宋体" w:hint="eastAsia"/>
                <w:szCs w:val="21"/>
              </w:rPr>
              <w:t>第二节</w:t>
            </w:r>
          </w:p>
          <w:p w:rsidR="00A24733">
            <w:pPr>
              <w:adjustRightInd w:val="0"/>
              <w:snapToGrid w:val="0"/>
              <w:jc w:val="center"/>
              <w:rPr>
                <w:rFonts w:ascii="宋体" w:hAnsi="宋体"/>
                <w:szCs w:val="21"/>
              </w:rPr>
            </w:pPr>
            <w:r>
              <w:rPr>
                <w:rFonts w:ascii="宋体" w:hAnsi="宋体" w:hint="eastAsia"/>
                <w:szCs w:val="21"/>
              </w:rPr>
              <w:t>第13.2款</w:t>
            </w:r>
          </w:p>
        </w:tc>
        <w:tc>
          <w:tcPr>
            <w:tcW w:w="1742" w:type="dxa"/>
            <w:vAlign w:val="center"/>
          </w:tcPr>
          <w:p w:rsidR="00A24733">
            <w:pPr>
              <w:adjustRightInd w:val="0"/>
              <w:snapToGrid w:val="0"/>
              <w:jc w:val="left"/>
              <w:rPr>
                <w:rFonts w:ascii="宋体" w:hAnsi="宋体"/>
                <w:szCs w:val="21"/>
              </w:rPr>
            </w:pPr>
            <w:r>
              <w:rPr>
                <w:rFonts w:ascii="宋体" w:hAnsi="宋体" w:hint="eastAsia"/>
                <w:szCs w:val="21"/>
              </w:rPr>
              <w:t>履约保证金不予退还的情形</w:t>
            </w:r>
          </w:p>
        </w:tc>
        <w:tc>
          <w:tcPr>
            <w:tcW w:w="5170" w:type="dxa"/>
            <w:vAlign w:val="center"/>
          </w:tcPr>
          <w:p w:rsidR="00A24733">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A24733">
            <w:pPr>
              <w:adjustRightInd w:val="0"/>
              <w:snapToGrid w:val="0"/>
              <w:jc w:val="center"/>
              <w:rPr>
                <w:rFonts w:ascii="宋体" w:hAnsi="宋体"/>
                <w:szCs w:val="21"/>
              </w:rPr>
            </w:pPr>
            <w:r>
              <w:rPr>
                <w:rFonts w:ascii="宋体" w:hAnsi="宋体" w:hint="eastAsia"/>
                <w:szCs w:val="21"/>
              </w:rPr>
              <w:t>第二节</w:t>
            </w:r>
          </w:p>
          <w:p w:rsidR="00A24733">
            <w:pPr>
              <w:adjustRightInd w:val="0"/>
              <w:snapToGrid w:val="0"/>
              <w:jc w:val="center"/>
              <w:rPr>
                <w:rFonts w:ascii="宋体" w:hAnsi="宋体"/>
                <w:szCs w:val="21"/>
              </w:rPr>
            </w:pPr>
            <w:r>
              <w:rPr>
                <w:rFonts w:ascii="宋体" w:hAnsi="宋体" w:hint="eastAsia"/>
                <w:szCs w:val="21"/>
              </w:rPr>
              <w:t>第13.3款</w:t>
            </w:r>
          </w:p>
        </w:tc>
        <w:tc>
          <w:tcPr>
            <w:tcW w:w="1742" w:type="dxa"/>
            <w:vAlign w:val="center"/>
          </w:tcPr>
          <w:p w:rsidR="00A24733">
            <w:pPr>
              <w:adjustRightInd w:val="0"/>
              <w:snapToGrid w:val="0"/>
              <w:jc w:val="left"/>
              <w:rPr>
                <w:rFonts w:ascii="宋体" w:hAnsi="宋体"/>
                <w:szCs w:val="21"/>
              </w:rPr>
            </w:pPr>
            <w:r>
              <w:rPr>
                <w:rFonts w:ascii="宋体" w:hAnsi="宋体" w:hint="eastAsia"/>
                <w:szCs w:val="21"/>
              </w:rPr>
              <w:t>履约保证金退还时间及逾期退还的违约金</w:t>
            </w:r>
          </w:p>
        </w:tc>
        <w:tc>
          <w:tcPr>
            <w:tcW w:w="5170" w:type="dxa"/>
            <w:vAlign w:val="center"/>
          </w:tcPr>
          <w:p w:rsidR="00A24733">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A24733">
            <w:pPr>
              <w:adjustRightInd w:val="0"/>
              <w:snapToGrid w:val="0"/>
              <w:jc w:val="center"/>
              <w:rPr>
                <w:rFonts w:ascii="宋体" w:hAnsi="宋体"/>
                <w:szCs w:val="21"/>
              </w:rPr>
            </w:pPr>
            <w:r>
              <w:rPr>
                <w:rFonts w:ascii="宋体" w:hAnsi="宋体" w:hint="eastAsia"/>
                <w:szCs w:val="21"/>
              </w:rPr>
              <w:t>第二节</w:t>
            </w:r>
          </w:p>
          <w:p w:rsidR="00A24733">
            <w:pPr>
              <w:adjustRightInd w:val="0"/>
              <w:snapToGrid w:val="0"/>
              <w:jc w:val="center"/>
              <w:rPr>
                <w:rFonts w:ascii="宋体" w:hAnsi="宋体"/>
                <w:szCs w:val="21"/>
              </w:rPr>
            </w:pPr>
            <w:r>
              <w:rPr>
                <w:rFonts w:ascii="宋体" w:hAnsi="宋体" w:hint="eastAsia"/>
                <w:szCs w:val="21"/>
              </w:rPr>
              <w:t>第14.1（3）项</w:t>
            </w:r>
          </w:p>
        </w:tc>
        <w:tc>
          <w:tcPr>
            <w:tcW w:w="1742" w:type="dxa"/>
            <w:vAlign w:val="center"/>
          </w:tcPr>
          <w:p w:rsidR="00A24733">
            <w:pPr>
              <w:adjustRightInd w:val="0"/>
              <w:snapToGrid w:val="0"/>
              <w:jc w:val="left"/>
              <w:rPr>
                <w:rFonts w:ascii="宋体" w:hAnsi="宋体"/>
                <w:szCs w:val="21"/>
              </w:rPr>
            </w:pPr>
            <w:r>
              <w:rPr>
                <w:rFonts w:ascii="宋体" w:hAnsi="宋体" w:hint="eastAsia"/>
                <w:szCs w:val="21"/>
              </w:rPr>
              <w:t>运行监督、维修期限</w:t>
            </w:r>
          </w:p>
        </w:tc>
        <w:tc>
          <w:tcPr>
            <w:tcW w:w="5170" w:type="dxa"/>
            <w:vAlign w:val="center"/>
          </w:tcPr>
          <w:p w:rsidR="00A24733">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A24733">
            <w:pPr>
              <w:adjustRightInd w:val="0"/>
              <w:snapToGrid w:val="0"/>
              <w:jc w:val="center"/>
              <w:rPr>
                <w:rFonts w:ascii="宋体" w:hAnsi="宋体"/>
                <w:szCs w:val="21"/>
              </w:rPr>
            </w:pPr>
            <w:r>
              <w:rPr>
                <w:rFonts w:ascii="宋体" w:hAnsi="宋体" w:hint="eastAsia"/>
                <w:szCs w:val="21"/>
              </w:rPr>
              <w:t>第二节</w:t>
            </w:r>
          </w:p>
          <w:p w:rsidR="00A24733">
            <w:pPr>
              <w:adjustRightInd w:val="0"/>
              <w:snapToGrid w:val="0"/>
              <w:jc w:val="center"/>
              <w:rPr>
                <w:rFonts w:ascii="宋体" w:hAnsi="宋体"/>
                <w:szCs w:val="21"/>
              </w:rPr>
            </w:pPr>
            <w:r>
              <w:rPr>
                <w:rFonts w:ascii="宋体" w:hAnsi="宋体" w:hint="eastAsia"/>
                <w:szCs w:val="21"/>
              </w:rPr>
              <w:t>第14.1（5）项</w:t>
            </w:r>
          </w:p>
        </w:tc>
        <w:tc>
          <w:tcPr>
            <w:tcW w:w="1742" w:type="dxa"/>
            <w:vAlign w:val="center"/>
          </w:tcPr>
          <w:p w:rsidR="00A24733">
            <w:pPr>
              <w:adjustRightInd w:val="0"/>
              <w:snapToGrid w:val="0"/>
              <w:jc w:val="left"/>
              <w:rPr>
                <w:rFonts w:ascii="宋体" w:hAnsi="宋体"/>
                <w:szCs w:val="21"/>
              </w:rPr>
            </w:pPr>
            <w:r>
              <w:rPr>
                <w:rFonts w:ascii="宋体" w:hAnsi="宋体" w:hint="eastAsia"/>
                <w:szCs w:val="21"/>
              </w:rPr>
              <w:t>货物回收的约定</w:t>
            </w:r>
          </w:p>
        </w:tc>
        <w:tc>
          <w:tcPr>
            <w:tcW w:w="5170" w:type="dxa"/>
            <w:vAlign w:val="center"/>
          </w:tcPr>
          <w:p w:rsidR="00A24733">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A24733">
            <w:pPr>
              <w:adjustRightInd w:val="0"/>
              <w:snapToGrid w:val="0"/>
              <w:jc w:val="center"/>
              <w:rPr>
                <w:rFonts w:ascii="宋体" w:hAnsi="宋体"/>
                <w:szCs w:val="21"/>
              </w:rPr>
            </w:pPr>
            <w:r>
              <w:rPr>
                <w:rFonts w:ascii="宋体" w:hAnsi="宋体" w:hint="eastAsia"/>
                <w:szCs w:val="21"/>
              </w:rPr>
              <w:t>第二节</w:t>
            </w:r>
          </w:p>
          <w:p w:rsidR="00A24733">
            <w:pPr>
              <w:adjustRightInd w:val="0"/>
              <w:snapToGrid w:val="0"/>
              <w:jc w:val="center"/>
              <w:rPr>
                <w:rFonts w:ascii="宋体" w:hAnsi="宋体"/>
                <w:szCs w:val="21"/>
              </w:rPr>
            </w:pPr>
            <w:r>
              <w:rPr>
                <w:rFonts w:ascii="宋体" w:hAnsi="宋体" w:hint="eastAsia"/>
                <w:szCs w:val="21"/>
              </w:rPr>
              <w:t>第14.1（6）项</w:t>
            </w:r>
          </w:p>
        </w:tc>
        <w:tc>
          <w:tcPr>
            <w:tcW w:w="1742" w:type="dxa"/>
            <w:vAlign w:val="center"/>
          </w:tcPr>
          <w:p w:rsidR="00A24733">
            <w:pPr>
              <w:adjustRightInd w:val="0"/>
              <w:snapToGrid w:val="0"/>
              <w:jc w:val="left"/>
              <w:rPr>
                <w:rFonts w:ascii="宋体" w:hAnsi="宋体"/>
                <w:szCs w:val="21"/>
              </w:rPr>
            </w:pPr>
            <w:r>
              <w:rPr>
                <w:rFonts w:ascii="宋体" w:hAnsi="宋体" w:hint="eastAsia"/>
                <w:szCs w:val="21"/>
              </w:rPr>
              <w:t>乙方提供的其他服务</w:t>
            </w:r>
          </w:p>
        </w:tc>
        <w:tc>
          <w:tcPr>
            <w:tcW w:w="5170" w:type="dxa"/>
            <w:vAlign w:val="center"/>
          </w:tcPr>
          <w:p w:rsidR="00A24733">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A24733">
            <w:pPr>
              <w:adjustRightInd w:val="0"/>
              <w:snapToGrid w:val="0"/>
              <w:jc w:val="center"/>
              <w:rPr>
                <w:rFonts w:ascii="宋体" w:hAnsi="宋体"/>
                <w:szCs w:val="21"/>
              </w:rPr>
            </w:pPr>
            <w:r>
              <w:rPr>
                <w:rFonts w:ascii="宋体" w:hAnsi="宋体" w:hint="eastAsia"/>
                <w:szCs w:val="21"/>
              </w:rPr>
              <w:t>第二节</w:t>
            </w:r>
          </w:p>
          <w:p w:rsidR="00A24733">
            <w:pPr>
              <w:adjustRightInd w:val="0"/>
              <w:snapToGrid w:val="0"/>
              <w:jc w:val="center"/>
              <w:rPr>
                <w:rFonts w:ascii="宋体" w:hAnsi="宋体"/>
                <w:szCs w:val="21"/>
              </w:rPr>
            </w:pPr>
            <w:r>
              <w:rPr>
                <w:rFonts w:ascii="宋体" w:hAnsi="宋体" w:hint="eastAsia"/>
                <w:szCs w:val="21"/>
              </w:rPr>
              <w:t>第15.1款</w:t>
            </w:r>
          </w:p>
        </w:tc>
        <w:tc>
          <w:tcPr>
            <w:tcW w:w="1742" w:type="dxa"/>
            <w:vAlign w:val="center"/>
          </w:tcPr>
          <w:p w:rsidR="00A24733">
            <w:pPr>
              <w:adjustRightInd w:val="0"/>
              <w:snapToGrid w:val="0"/>
              <w:jc w:val="left"/>
              <w:rPr>
                <w:rFonts w:ascii="宋体" w:hAnsi="宋体"/>
                <w:szCs w:val="21"/>
              </w:rPr>
            </w:pPr>
            <w:r>
              <w:rPr>
                <w:rFonts w:ascii="宋体" w:hAnsi="宋体" w:hint="eastAsia"/>
                <w:szCs w:val="21"/>
              </w:rPr>
              <w:t>修理、重作、更换相关具体规定</w:t>
            </w:r>
          </w:p>
        </w:tc>
        <w:tc>
          <w:tcPr>
            <w:tcW w:w="5170" w:type="dxa"/>
            <w:vAlign w:val="center"/>
          </w:tcPr>
          <w:p w:rsidR="00A24733">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A24733">
            <w:pPr>
              <w:adjustRightInd w:val="0"/>
              <w:snapToGrid w:val="0"/>
              <w:jc w:val="center"/>
              <w:rPr>
                <w:rFonts w:ascii="宋体" w:hAnsi="宋体"/>
                <w:szCs w:val="21"/>
              </w:rPr>
            </w:pPr>
            <w:r>
              <w:rPr>
                <w:rFonts w:ascii="宋体" w:hAnsi="宋体" w:hint="eastAsia"/>
                <w:szCs w:val="21"/>
              </w:rPr>
              <w:t>第二节</w:t>
            </w:r>
          </w:p>
          <w:p w:rsidR="00A24733">
            <w:pPr>
              <w:adjustRightInd w:val="0"/>
              <w:snapToGrid w:val="0"/>
              <w:jc w:val="center"/>
              <w:rPr>
                <w:rFonts w:ascii="宋体" w:hAnsi="宋体"/>
                <w:szCs w:val="21"/>
              </w:rPr>
            </w:pPr>
            <w:r>
              <w:rPr>
                <w:rFonts w:ascii="宋体" w:hAnsi="宋体" w:hint="eastAsia"/>
                <w:szCs w:val="21"/>
              </w:rPr>
              <w:t>第15.2（2）项</w:t>
            </w:r>
          </w:p>
        </w:tc>
        <w:tc>
          <w:tcPr>
            <w:tcW w:w="1742" w:type="dxa"/>
            <w:vAlign w:val="center"/>
          </w:tcPr>
          <w:p w:rsidR="00A24733">
            <w:pPr>
              <w:adjustRightInd w:val="0"/>
              <w:snapToGrid w:val="0"/>
              <w:jc w:val="left"/>
              <w:rPr>
                <w:rFonts w:ascii="宋体" w:hAnsi="宋体"/>
                <w:szCs w:val="21"/>
              </w:rPr>
            </w:pPr>
            <w:r>
              <w:rPr>
                <w:rFonts w:ascii="宋体" w:hAnsi="宋体" w:hint="eastAsia"/>
                <w:szCs w:val="21"/>
              </w:rPr>
              <w:t>迟延交货赔偿费</w:t>
            </w:r>
          </w:p>
        </w:tc>
        <w:tc>
          <w:tcPr>
            <w:tcW w:w="5170" w:type="dxa"/>
            <w:vAlign w:val="center"/>
          </w:tcPr>
          <w:p w:rsidR="00A24733">
            <w:pPr>
              <w:adjustRightInd w:val="0"/>
              <w:snapToGrid w:val="0"/>
              <w:jc w:val="left"/>
              <w:rPr>
                <w:rFonts w:ascii="宋体" w:hAnsi="宋体"/>
                <w:szCs w:val="21"/>
                <w:u w:val="single"/>
              </w:rPr>
            </w:pPr>
          </w:p>
        </w:tc>
      </w:tr>
      <w:tr>
        <w:tblPrEx>
          <w:tblW w:w="8519" w:type="dxa"/>
          <w:tblInd w:w="108" w:type="dxa"/>
          <w:tblLayout w:type="fixed"/>
          <w:tblLook w:val="04A0"/>
        </w:tblPrEx>
        <w:trPr>
          <w:trHeight w:val="736"/>
        </w:trPr>
        <w:tc>
          <w:tcPr>
            <w:tcW w:w="1607" w:type="dxa"/>
            <w:vAlign w:val="center"/>
          </w:tcPr>
          <w:p w:rsidR="00A24733">
            <w:pPr>
              <w:adjustRightInd w:val="0"/>
              <w:snapToGrid w:val="0"/>
              <w:jc w:val="center"/>
              <w:rPr>
                <w:rFonts w:ascii="宋体" w:hAnsi="宋体"/>
                <w:szCs w:val="21"/>
              </w:rPr>
            </w:pPr>
            <w:r>
              <w:rPr>
                <w:rFonts w:ascii="宋体" w:hAnsi="宋体" w:hint="eastAsia"/>
                <w:szCs w:val="21"/>
              </w:rPr>
              <w:t>第二节</w:t>
            </w:r>
          </w:p>
          <w:p w:rsidR="00A24733">
            <w:pPr>
              <w:adjustRightInd w:val="0"/>
              <w:snapToGrid w:val="0"/>
              <w:jc w:val="center"/>
              <w:rPr>
                <w:rFonts w:ascii="宋体" w:hAnsi="宋体"/>
                <w:szCs w:val="21"/>
              </w:rPr>
            </w:pPr>
            <w:r>
              <w:rPr>
                <w:rFonts w:ascii="宋体" w:hAnsi="宋体" w:hint="eastAsia"/>
                <w:szCs w:val="21"/>
              </w:rPr>
              <w:t>第15.3款</w:t>
            </w:r>
          </w:p>
        </w:tc>
        <w:tc>
          <w:tcPr>
            <w:tcW w:w="1742" w:type="dxa"/>
            <w:vAlign w:val="center"/>
          </w:tcPr>
          <w:p w:rsidR="00A24733">
            <w:pPr>
              <w:adjustRightInd w:val="0"/>
              <w:snapToGrid w:val="0"/>
              <w:jc w:val="left"/>
              <w:rPr>
                <w:rFonts w:ascii="宋体" w:hAnsi="宋体"/>
                <w:szCs w:val="21"/>
              </w:rPr>
            </w:pPr>
            <w:r>
              <w:rPr>
                <w:rFonts w:ascii="宋体" w:hAnsi="宋体" w:hint="eastAsia"/>
                <w:szCs w:val="21"/>
              </w:rPr>
              <w:t>逾期付款利息</w:t>
            </w:r>
          </w:p>
        </w:tc>
        <w:tc>
          <w:tcPr>
            <w:tcW w:w="5170" w:type="dxa"/>
            <w:vAlign w:val="center"/>
          </w:tcPr>
          <w:p w:rsidR="00A24733">
            <w:pPr>
              <w:adjustRightInd w:val="0"/>
              <w:snapToGrid w:val="0"/>
              <w:jc w:val="left"/>
              <w:rPr>
                <w:rFonts w:ascii="宋体" w:hAnsi="宋体"/>
                <w:szCs w:val="21"/>
                <w:u w:val="single"/>
              </w:rPr>
            </w:pPr>
          </w:p>
        </w:tc>
      </w:tr>
      <w:tr>
        <w:tblPrEx>
          <w:tblW w:w="8519" w:type="dxa"/>
          <w:tblInd w:w="108" w:type="dxa"/>
          <w:tblLayout w:type="fixed"/>
          <w:tblLook w:val="04A0"/>
        </w:tblPrEx>
        <w:trPr>
          <w:trHeight w:val="876"/>
        </w:trPr>
        <w:tc>
          <w:tcPr>
            <w:tcW w:w="1607" w:type="dxa"/>
            <w:tcBorders>
              <w:bottom w:val="single" w:sz="2" w:space="0" w:color="auto"/>
              <w:right w:val="single" w:sz="2" w:space="0" w:color="auto"/>
            </w:tcBorders>
            <w:vAlign w:val="center"/>
          </w:tcPr>
          <w:p w:rsidR="00A24733">
            <w:pPr>
              <w:adjustRightInd w:val="0"/>
              <w:snapToGrid w:val="0"/>
              <w:jc w:val="center"/>
              <w:rPr>
                <w:rFonts w:ascii="宋体" w:hAnsi="宋体"/>
                <w:szCs w:val="21"/>
              </w:rPr>
            </w:pPr>
            <w:r>
              <w:rPr>
                <w:rFonts w:ascii="宋体" w:hAnsi="宋体" w:hint="eastAsia"/>
                <w:szCs w:val="21"/>
              </w:rPr>
              <w:t>第二节</w:t>
            </w:r>
          </w:p>
          <w:p w:rsidR="00A24733">
            <w:pPr>
              <w:adjustRightInd w:val="0"/>
              <w:snapToGrid w:val="0"/>
              <w:jc w:val="center"/>
              <w:rPr>
                <w:rFonts w:ascii="宋体" w:hAnsi="宋体"/>
                <w:szCs w:val="21"/>
              </w:rPr>
            </w:pPr>
            <w:r>
              <w:rPr>
                <w:rFonts w:ascii="宋体" w:hAnsi="宋体" w:hint="eastAsia"/>
                <w:szCs w:val="21"/>
              </w:rPr>
              <w:t>第15.4款</w:t>
            </w:r>
          </w:p>
        </w:tc>
        <w:tc>
          <w:tcPr>
            <w:tcW w:w="1742" w:type="dxa"/>
            <w:tcBorders>
              <w:left w:val="single" w:sz="2" w:space="0" w:color="auto"/>
              <w:bottom w:val="single" w:sz="2" w:space="0" w:color="auto"/>
              <w:right w:val="single" w:sz="2" w:space="0" w:color="auto"/>
            </w:tcBorders>
            <w:vAlign w:val="center"/>
          </w:tcPr>
          <w:p w:rsidR="00A24733">
            <w:pPr>
              <w:adjustRightInd w:val="0"/>
              <w:snapToGrid w:val="0"/>
              <w:jc w:val="left"/>
              <w:rPr>
                <w:rFonts w:ascii="宋体" w:hAnsi="宋体"/>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rsidR="00A24733">
            <w:pPr>
              <w:adjustRightInd w:val="0"/>
              <w:snapToGrid w:val="0"/>
              <w:jc w:val="left"/>
              <w:rPr>
                <w:rFonts w:ascii="宋体" w:hAnsi="宋体"/>
                <w:szCs w:val="21"/>
                <w:u w:val="single"/>
              </w:rPr>
            </w:pPr>
          </w:p>
        </w:tc>
      </w:tr>
      <w:tr>
        <w:tblPrEx>
          <w:tblW w:w="8519" w:type="dxa"/>
          <w:tblInd w:w="108" w:type="dxa"/>
          <w:tblLayout w:type="fixed"/>
          <w:tblLook w:val="04A0"/>
        </w:tblPrEx>
        <w:trPr>
          <w:trHeight w:val="90"/>
        </w:trPr>
        <w:tc>
          <w:tcPr>
            <w:tcW w:w="1607" w:type="dxa"/>
            <w:tcBorders>
              <w:top w:val="single" w:sz="2" w:space="0" w:color="auto"/>
              <w:right w:val="single" w:sz="2" w:space="0" w:color="auto"/>
            </w:tcBorders>
            <w:vAlign w:val="center"/>
          </w:tcPr>
          <w:p w:rsidR="00A24733">
            <w:pPr>
              <w:adjustRightInd w:val="0"/>
              <w:snapToGrid w:val="0"/>
              <w:jc w:val="center"/>
              <w:rPr>
                <w:rFonts w:ascii="宋体" w:hAnsi="宋体"/>
                <w:szCs w:val="21"/>
              </w:rPr>
            </w:pPr>
            <w:r>
              <w:rPr>
                <w:rFonts w:ascii="宋体" w:hAnsi="宋体" w:hint="eastAsia"/>
                <w:szCs w:val="21"/>
              </w:rPr>
              <w:t>第二节</w:t>
            </w:r>
          </w:p>
          <w:p w:rsidR="00A24733">
            <w:pPr>
              <w:adjustRightInd w:val="0"/>
              <w:snapToGrid w:val="0"/>
              <w:jc w:val="center"/>
              <w:rPr>
                <w:rFonts w:ascii="宋体" w:hAnsi="宋体"/>
                <w:szCs w:val="21"/>
              </w:rPr>
            </w:pPr>
            <w:r>
              <w:rPr>
                <w:rFonts w:ascii="宋体" w:hAnsi="宋体" w:hint="eastAsia"/>
                <w:szCs w:val="21"/>
              </w:rPr>
              <w:t>第19.2款</w:t>
            </w:r>
          </w:p>
        </w:tc>
        <w:tc>
          <w:tcPr>
            <w:tcW w:w="1742" w:type="dxa"/>
            <w:tcBorders>
              <w:top w:val="single" w:sz="2" w:space="0" w:color="auto"/>
              <w:left w:val="single" w:sz="2" w:space="0" w:color="auto"/>
              <w:right w:val="single" w:sz="2" w:space="0" w:color="auto"/>
            </w:tcBorders>
            <w:vAlign w:val="center"/>
          </w:tcPr>
          <w:p w:rsidR="00A24733">
            <w:pPr>
              <w:adjustRightInd w:val="0"/>
              <w:snapToGrid w:val="0"/>
              <w:jc w:val="left"/>
              <w:rPr>
                <w:rFonts w:ascii="宋体" w:hAnsi="宋体"/>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rsidR="00A24733">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rsidR="00A24733">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（1）向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rsidR="00A24733">
            <w:pPr>
              <w:adjustRightInd w:val="0"/>
              <w:snapToGrid w:val="0"/>
              <w:jc w:val="left"/>
              <w:rPr>
                <w:rFonts w:ascii="宋体" w:hAnsi="宋体"/>
                <w:szCs w:val="21"/>
                <w:u w:val="single"/>
              </w:rPr>
            </w:pPr>
            <w:r>
              <w:rPr>
                <w:rFonts w:ascii="宋体" w:hAnsi="宋体" w:cs="宋体" w:hint="eastAsia"/>
                <w:iCs/>
                <w:szCs w:val="21"/>
              </w:rPr>
              <w:t>（2）向</w:t>
            </w:r>
            <w:r>
              <w:rPr>
                <w:rFonts w:ascii="宋体" w:hAnsi="宋体" w:cs="宋体" w:hint="eastAsia"/>
                <w:iCs/>
                <w:szCs w:val="21"/>
                <w:u w:val="single"/>
              </w:rPr>
              <w:t xml:space="preserve">                    </w:t>
            </w:r>
            <w:r>
              <w:rPr>
                <w:rFonts w:ascii="宋体" w:hAnsi="宋体" w:cs="宋体" w:hint="eastAsia"/>
                <w:iCs/>
                <w:szCs w:val="21"/>
              </w:rPr>
              <w:t>人民法院起诉。</w:t>
            </w:r>
          </w:p>
        </w:tc>
      </w:tr>
      <w:tr>
        <w:tblPrEx>
          <w:tblW w:w="8519" w:type="dxa"/>
          <w:tblInd w:w="108" w:type="dxa"/>
          <w:tblLayout w:type="fixed"/>
          <w:tblLook w:val="04A0"/>
        </w:tblPrEx>
        <w:trPr>
          <w:trHeight w:val="770"/>
        </w:trPr>
        <w:tc>
          <w:tcPr>
            <w:tcW w:w="1607" w:type="dxa"/>
            <w:vAlign w:val="center"/>
          </w:tcPr>
          <w:p w:rsidR="00A24733">
            <w:pPr>
              <w:adjustRightInd w:val="0"/>
              <w:snapToGrid w:val="0"/>
              <w:jc w:val="center"/>
              <w:rPr>
                <w:rFonts w:ascii="宋体" w:hAnsi="宋体"/>
                <w:szCs w:val="21"/>
              </w:rPr>
            </w:pPr>
            <w:r>
              <w:rPr>
                <w:rFonts w:ascii="宋体" w:hAnsi="宋体" w:hint="eastAsia"/>
                <w:szCs w:val="21"/>
              </w:rPr>
              <w:t>第二节</w:t>
            </w:r>
          </w:p>
          <w:p w:rsidR="00A24733">
            <w:pPr>
              <w:adjustRightInd w:val="0"/>
              <w:snapToGrid w:val="0"/>
              <w:jc w:val="center"/>
              <w:rPr>
                <w:rFonts w:ascii="宋体" w:hAnsi="宋体"/>
                <w:szCs w:val="21"/>
              </w:rPr>
            </w:pPr>
            <w:r>
              <w:rPr>
                <w:rFonts w:ascii="宋体" w:hAnsi="宋体" w:hint="eastAsia"/>
                <w:szCs w:val="21"/>
              </w:rPr>
              <w:t>第23.1款</w:t>
            </w:r>
          </w:p>
        </w:tc>
        <w:tc>
          <w:tcPr>
            <w:tcW w:w="1742" w:type="dxa"/>
            <w:vAlign w:val="center"/>
          </w:tcPr>
          <w:p w:rsidR="00A24733">
            <w:pPr>
              <w:adjustRightInd w:val="0"/>
              <w:snapToGrid w:val="0"/>
              <w:jc w:val="left"/>
              <w:rPr>
                <w:rFonts w:ascii="宋体" w:hAnsi="宋体"/>
                <w:szCs w:val="21"/>
              </w:rPr>
            </w:pPr>
            <w:r>
              <w:rPr>
                <w:rFonts w:ascii="宋体" w:hAnsi="宋体" w:hint="eastAsia"/>
                <w:bCs/>
                <w:szCs w:val="21"/>
              </w:rPr>
              <w:t>其他专用条款</w:t>
            </w:r>
          </w:p>
        </w:tc>
        <w:tc>
          <w:tcPr>
            <w:tcW w:w="5170" w:type="dxa"/>
            <w:vAlign w:val="center"/>
          </w:tcPr>
          <w:p w:rsidR="00A24733">
            <w:pPr>
              <w:adjustRightInd w:val="0"/>
              <w:snapToGrid w:val="0"/>
              <w:jc w:val="left"/>
              <w:rPr>
                <w:rFonts w:ascii="宋体" w:hAnsi="宋体"/>
                <w:szCs w:val="21"/>
              </w:rPr>
            </w:pPr>
          </w:p>
        </w:tc>
      </w:tr>
    </w:tbl>
    <w:p w:rsidR="00A24733"/>
    <w:p w:rsidR="00A24733">
      <w:pPr>
        <w:rPr>
          <w:b/>
          <w:bCs/>
          <w:sz w:val="44"/>
          <w:szCs w:val="44"/>
        </w:rPr>
      </w:pPr>
    </w:p>
    <w:p w:rsidR="00A24733"/>
    <w:p w:rsidR="00A77B3E"/>
    <w:p w:rsidR="00A24733" w:rsidP="00D971A4">
      <w:pPr>
        <w:numPr>
          <w:ilvl w:val="0"/>
          <w:numId w:val="5"/>
        </w:numPr>
        <w:spacing w:line="360" w:lineRule="auto"/>
        <w:ind w:firstLine="3066" w:firstLineChars="1460"/>
        <w:jc w:val="left"/>
        <w:rPr>
          <w:b/>
          <w:bCs/>
          <w:szCs w:val="21"/>
        </w:rPr>
      </w:pPr>
      <w:bookmarkEnd w:id="70"/>
    </w:p>
    <w:sectPr>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altName w:val="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Calibri">
    <w:altName w:val="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variable"/>
    <w:sig w:usb0="00000287" w:usb1="080F0000" w:usb2="00000000" w:usb3="00000000" w:csb0="0004009F" w:csb1="DFD7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6" w:usb3="00000000" w:csb0="00040001"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60FDA683"/>
    <w:multiLevelType w:val="singleLevel"/>
    <w:tmpl w:val="60FDA683"/>
    <w:lvl w:ilvl="0">
      <w:start w:val="3"/>
      <w:numFmt w:val="chineseCounting"/>
      <w:suff w:val="nothing"/>
      <w:lvlText w:val="%1、"/>
      <w:lvlJc w:val="left"/>
      <w:rPr>
        <w:rFonts w:hint="eastAsia"/>
      </w:rPr>
    </w:lvl>
  </w:abstractNum>
  <w:abstractNum w:abstractNumId="13">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2"/>
  </w:num>
  <w:num w:numId="5">
    <w:abstractNumId w:val="11"/>
  </w:num>
  <w:num w:numId="6">
    <w:abstractNumId w:val="13"/>
  </w:num>
  <w:num w:numId="7">
    <w:abstractNumId w:val="1"/>
  </w:num>
  <w:num w:numId="8">
    <w:abstractNumId w:val="5"/>
  </w:num>
  <w:num w:numId="9">
    <w:abstractNumId w:val="3"/>
  </w:num>
  <w:num w:numId="10">
    <w:abstractNumId w:val="2"/>
  </w:num>
  <w:num w:numId="11">
    <w:abstractNumId w:val="10"/>
  </w:num>
  <w:num w:numId="12">
    <w:abstractNumId w:val="0"/>
  </w:num>
  <w:num w:numId="13">
    <w:abstractNumId w:val="4"/>
  </w:num>
  <w:num w:numId="14">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stylePaneFormatFilter w:val="3F01"/>
  <w:documentProtection w:edit="trackedChanges" w:enforcement="0"/>
  <w:defaultTabStop w:val="420"/>
  <w:drawingGridHorizontalSpacing w:val="105"/>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06F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4733"/>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1A4"/>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7D72482"/>
    <w:rsid w:val="2C524B24"/>
    <w:rsid w:val="30901049"/>
    <w:rsid w:val="30FA7AC8"/>
    <w:rsid w:val="325C2291"/>
    <w:rsid w:val="35B53FBD"/>
    <w:rsid w:val="3653693B"/>
    <w:rsid w:val="38D40889"/>
    <w:rsid w:val="390D2D52"/>
    <w:rsid w:val="3AC23405"/>
    <w:rsid w:val="3BAE7045"/>
    <w:rsid w:val="450656E4"/>
    <w:rsid w:val="478D4909"/>
    <w:rsid w:val="48F46997"/>
    <w:rsid w:val="4E754480"/>
    <w:rsid w:val="4ED765AF"/>
    <w:rsid w:val="510E299D"/>
    <w:rsid w:val="5AE70CB8"/>
    <w:rsid w:val="5BAD110F"/>
    <w:rsid w:val="5CBB779A"/>
    <w:rsid w:val="5DF92D4C"/>
    <w:rsid w:val="62F85366"/>
    <w:rsid w:val="63161C90"/>
    <w:rsid w:val="79ED357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styleId="Caption">
    <w:name w:val="caption"/>
    <w:basedOn w:val="Normal"/>
    <w:next w:val="Normal"/>
    <w:uiPriority w:val="35"/>
    <w:qFormat/>
    <w:pPr>
      <w:jc w:val="center"/>
    </w:pPr>
    <w:rPr>
      <w:rFonts w:ascii="Arial" w:eastAsia="黑体" w:hAnsi="Arial" w:cs="Arial"/>
      <w:sz w:val="20"/>
      <w:szCs w:val="22"/>
    </w:rPr>
  </w:style>
  <w:style w:type="character" w:styleId="Emphasis">
    <w:name w:val="Emphasis"/>
    <w:qFormat/>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157260480</TotalTime>
  <Pages>38</Pages>
  <Words>24654</Words>
  <Characters>26059</Characters>
  <Application>Microsoft Office Word</Application>
  <DocSecurity>0</DocSecurity>
  <Lines>209</Lines>
  <Paragraphs>59</Paragraphs>
  <ScaleCrop>false</ScaleCrop>
  <Company>中国气象局</Company>
  <LinksUpToDate>false</LinksUpToDate>
  <CharactersWithSpaces>26175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2026-03-17T08:52:06Z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2052-12.1.0.25225</vt:lpwstr>
  </property>
  <property fmtid="{D5CDD505-2E9C-101B-9397-08002B2CF9AE}" pid="4" name="KSOTemplateDocerSaveRecord">
    <vt:lpwstr>eyJoZGlkIjoiM2FkMjdjNjAxZjdmYjI5MjMyNmE5MTA5ZjJkMDM4NmEiLCJ1c2VySWQiOiI0MTI2MjIxMDYifQ==</vt:lpwstr>
  </property>
</Properties>
</file>