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2025年云南省地基遥感垂直观测系统建设项目微波辐射计采购项目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ZQCD-25183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云南省大气探测技术保障中心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2025年云南省地基遥感垂直观测系统建设项目微波辐射计采购项目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ZQCD-25183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云南临沧</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2025年08月25日 00:00:00</w:t>
      </w:r>
      <w:bookmarkEnd w:id="26"/>
      <w:r>
        <w:rPr>
          <w:rFonts w:ascii="宋体" w:hint="eastAsia"/>
          <w:szCs w:val="21"/>
          <w:highlight w:val="none"/>
        </w:rPr>
        <w:t>至</w:t>
      </w:r>
      <w:bookmarkStart w:id="27" w:name="项目公告_signUpLastTime"/>
      <w:r>
        <w:rPr>
          <w:rFonts w:ascii="宋体" w:hint="eastAsia"/>
          <w:szCs w:val="21"/>
          <w:highlight w:val="none"/>
        </w:rPr>
        <w:t>2025年09月01日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云南省大气探测技术保障中心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解莉燕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0871-64114397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云南省昆明市西昌路77号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云南省大气探测技术保障中心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（1）标的：微波辐射计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针对本项目采购的微波辐射计，</w:t>
              <w:cr/>
              <w:t>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针对微波辐射计设备，测试报告应涵盖高温试验、低温试验、盐雾试验、防护等级试验等内容，每包含一项得0.75分，最多得3分。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5"/>
        <w:gridCol w:w="892"/>
        <w:gridCol w:w="746"/>
        <w:gridCol w:w="1038"/>
        <w:gridCol w:w="1183"/>
        <w:gridCol w:w="746"/>
        <w:gridCol w:w="350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含设备（含 8 年质保）、基础建设、测试、选址、运输、安装调试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7"/>
        <w:gridCol w:w="2518"/>
        <w:gridCol w:w="1092"/>
        <w:gridCol w:w="557"/>
        <w:gridCol w:w="1270"/>
        <w:gridCol w:w="1059"/>
        <w:gridCol w:w="913"/>
        <w:gridCol w:w="5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云南省大气探测技术保障中心</w:t>
            </w:r>
          </w:p>
        </w:tc>
        <w:tc>
          <w:tcPr/>
          <w:p>
            <w:r>
              <w:t>微波辐射计</w:t>
            </w:r>
          </w:p>
        </w:tc>
        <w:tc>
          <w:tcPr/>
          <w:p>
            <w:r>
              <w:t>1</w:t>
            </w:r>
          </w:p>
        </w:tc>
        <w:tc>
          <w:tcPr/>
          <w:p>
            <w:r>
              <w:t>1800000.00</w:t>
            </w:r>
          </w:p>
        </w:tc>
        <w:tc>
          <w:tcPr/>
          <w:p>
            <w:r>
              <w:t xml:space="preserve">1800000.00  </w:t>
            </w:r>
          </w:p>
        </w:tc>
        <w:tc>
          <w:tcPr/>
          <w:p>
            <w:r>
              <w:t>云南临沧</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5F3DFD">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依据中国气象局《综合气象观测业务发展“十四五”规划》，北斗探空站点建设地基遥感垂直观测系统，实现对测站上空温度、湿度、液态含水量高分辨率和气溶胶浓度高分辨率、高精度实时监测，有效增强地基遥感垂直探测能力。</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通过项目拟在云南临沧地基遥感垂直观测系统增补微波辐射计,实现对测站上空温度、湿度和高空液态含水量高分辨率高分辨率、高精度实时监测，有效增强地基垂直探测能力，通过地基遥感廓线集成系统与现有的高空气象观测系统等多种观测设备协同观测、优势互补，切实提高该地区精细化探测能力，大大提升防灾减灾气象保障水平，为建设地区生态文明建设、人工影响天气等气象保障服务提供科技支撑，为地方经济社会发展贡献力量。</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8个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10人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5F3DFD" w:rsidRPr="00A75F3C">
      <w:pPr>
        <w:spacing w:line="560" w:lineRule="exact"/>
        <w:ind w:firstLine="560" w:firstLineChars="200"/>
        <w:rPr>
          <w:rFonts w:ascii="仿宋" w:eastAsia="仿宋" w:hAnsi="仿宋" w:cs="仿宋"/>
          <w:b/>
          <w:bCs/>
          <w:sz w:val="28"/>
          <w:szCs w:val="20"/>
        </w:rPr>
      </w:pPr>
      <w:r w:rsidRPr="00A75F3C">
        <w:rPr>
          <w:rFonts w:ascii="仿宋" w:eastAsia="仿宋" w:hAnsi="仿宋" w:cs="仿宋" w:hint="eastAsia"/>
          <w:b/>
          <w:bCs/>
          <w:sz w:val="28"/>
          <w:szCs w:val="20"/>
        </w:rPr>
        <w:t>四、交货要求及履约地点</w:t>
      </w:r>
    </w:p>
    <w:p w:rsidR="005F3DFD" w:rsidRPr="00A75F3C">
      <w:pPr>
        <w:spacing w:line="560" w:lineRule="exact"/>
        <w:ind w:firstLine="560" w:firstLineChars="200"/>
        <w:rPr>
          <w:rFonts w:ascii="仿宋" w:eastAsia="仿宋" w:hAnsi="仿宋" w:cs="仿宋"/>
          <w:sz w:val="28"/>
          <w:szCs w:val="20"/>
        </w:rPr>
      </w:pPr>
      <w:r w:rsidRPr="00A75F3C">
        <w:rPr>
          <w:rFonts w:ascii="仿宋" w:eastAsia="仿宋" w:hAnsi="仿宋" w:cs="仿宋" w:hint="eastAsia"/>
          <w:sz w:val="28"/>
          <w:szCs w:val="20"/>
        </w:rPr>
        <w:t>中标供应商将所有设备运送至云南省临沧市临翔区，（运输相关费用由供应商负责），并负责安装调试。</w:t>
      </w:r>
    </w:p>
    <w:p w:rsidR="005F3DFD">
      <w:pPr>
        <w:spacing w:line="560" w:lineRule="exact"/>
        <w:ind w:left="559" w:leftChars="266"/>
        <w:rPr>
          <w:rFonts w:ascii="仿宋" w:eastAsia="仿宋" w:hAnsi="仿宋" w:cs="仿宋"/>
          <w:b/>
          <w:bCs/>
          <w:sz w:val="28"/>
          <w:szCs w:val="20"/>
        </w:rPr>
      </w:pPr>
      <w:r w:rsidRPr="00A75F3C">
        <w:rPr>
          <w:rFonts w:ascii="仿宋" w:eastAsia="仿宋" w:hAnsi="仿宋" w:cs="仿宋" w:hint="eastAsia"/>
          <w:sz w:val="28"/>
          <w:szCs w:val="20"/>
        </w:rPr>
        <w:t>合同签订后60天内完成供货、</w:t>
      </w:r>
      <w:r w:rsidRPr="00A75F3C" w:rsidR="0031414E">
        <w:rPr>
          <w:rFonts w:ascii="仿宋" w:eastAsia="仿宋" w:hAnsi="仿宋" w:cs="仿宋" w:hint="eastAsia"/>
          <w:sz w:val="28"/>
          <w:szCs w:val="20"/>
        </w:rPr>
        <w:t>90天</w:t>
      </w:r>
      <w:r w:rsidRPr="00A75F3C">
        <w:rPr>
          <w:rFonts w:ascii="仿宋" w:eastAsia="仿宋" w:hAnsi="仿宋" w:cs="仿宋" w:hint="eastAsia"/>
          <w:sz w:val="28"/>
          <w:szCs w:val="20"/>
        </w:rPr>
        <w:t>安装调试并具备验收条件。</w:t>
      </w:r>
      <w:r>
        <w:rPr>
          <w:rFonts w:ascii="仿宋" w:eastAsia="仿宋" w:hAnsi="仿宋" w:cs="仿宋" w:hint="eastAsia"/>
          <w:b/>
          <w:bCs/>
          <w:sz w:val="28"/>
          <w:szCs w:val="20"/>
        </w:rPr>
        <w:t>五、服务团队要求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支持中国气象局和云南省气象局的气象通讯协议，可无缝接入业务网络系统，实现与国家局和省局网络系统、国家局天衡天衍平台无缝接入，完全符合甲方相关要求和规范，保证其系统的兼容性和功能的完整性。</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七、质保服务</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除</w:t>
      </w:r>
      <w:r>
        <w:rPr>
          <w:rFonts w:ascii="仿宋" w:eastAsia="仿宋" w:hAnsi="仿宋" w:cs="仿宋"/>
          <w:sz w:val="28"/>
          <w:szCs w:val="20"/>
        </w:rPr>
        <w:t>《</w:t>
      </w:r>
      <w:r>
        <w:rPr>
          <w:rFonts w:ascii="仿宋" w:eastAsia="仿宋" w:hAnsi="仿宋" w:cs="仿宋" w:hint="eastAsia"/>
          <w:sz w:val="28"/>
          <w:szCs w:val="20"/>
        </w:rPr>
        <w:t>采购</w:t>
      </w:r>
      <w:r>
        <w:rPr>
          <w:rFonts w:ascii="仿宋" w:eastAsia="仿宋" w:hAnsi="仿宋" w:cs="仿宋"/>
          <w:sz w:val="28"/>
          <w:szCs w:val="20"/>
        </w:rPr>
        <w:t>需求书》</w:t>
      </w:r>
      <w:r>
        <w:rPr>
          <w:rFonts w:ascii="仿宋" w:eastAsia="仿宋" w:hAnsi="仿宋" w:cs="仿宋" w:hint="eastAsia"/>
          <w:sz w:val="28"/>
          <w:szCs w:val="20"/>
        </w:rPr>
        <w:t>明确</w:t>
      </w:r>
      <w:r>
        <w:rPr>
          <w:rFonts w:ascii="仿宋" w:eastAsia="仿宋" w:hAnsi="仿宋" w:cs="仿宋"/>
          <w:sz w:val="28"/>
          <w:szCs w:val="20"/>
        </w:rPr>
        <w:t>的服务外，</w:t>
      </w:r>
      <w:r w:rsidR="009307A1">
        <w:rPr>
          <w:rFonts w:ascii="仿宋" w:eastAsia="仿宋" w:hAnsi="仿宋" w:cs="仿宋" w:hint="eastAsia"/>
          <w:sz w:val="28"/>
          <w:szCs w:val="20"/>
        </w:rPr>
        <w:t>质保期服务</w:t>
      </w:r>
      <w:r>
        <w:rPr>
          <w:rFonts w:ascii="仿宋" w:eastAsia="仿宋" w:hAnsi="仿宋" w:cs="仿宋" w:hint="eastAsia"/>
          <w:sz w:val="28"/>
          <w:szCs w:val="20"/>
        </w:rPr>
        <w:t>还需</w:t>
      </w:r>
      <w:r>
        <w:rPr>
          <w:rFonts w:ascii="仿宋" w:eastAsia="仿宋" w:hAnsi="仿宋" w:cs="仿宋"/>
          <w:sz w:val="28"/>
          <w:szCs w:val="20"/>
        </w:rPr>
        <w:t>满足如下</w:t>
      </w:r>
      <w:r w:rsidR="009307A1">
        <w:rPr>
          <w:rFonts w:ascii="仿宋" w:eastAsia="仿宋" w:hAnsi="仿宋" w:cs="仿宋" w:hint="eastAsia"/>
          <w:sz w:val="28"/>
          <w:szCs w:val="20"/>
        </w:rPr>
        <w:t>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分期付款：</w:t>
      </w:r>
    </w:p>
    <w:p w:rsidR="005F3DFD">
      <w:pPr>
        <w:spacing w:line="560" w:lineRule="exact"/>
        <w:ind w:firstLine="560" w:firstLineChars="200"/>
        <w:rPr>
          <w:rFonts w:ascii="仿宋" w:eastAsia="仿宋" w:hAnsi="仿宋" w:cs="仿宋"/>
          <w:sz w:val="28"/>
          <w:szCs w:val="20"/>
        </w:rPr>
      </w:pPr>
      <w:bookmarkStart w:id="69" w:name="OLE_LINK75"/>
      <w:r>
        <w:rPr>
          <w:rFonts w:ascii="仿宋" w:eastAsia="仿宋" w:hAnsi="仿宋" w:cs="仿宋" w:hint="eastAsia"/>
          <w:sz w:val="28"/>
          <w:szCs w:val="20"/>
        </w:rPr>
        <w:t>（1）合同生效后付款：双方签署合同后30个工作日内，乙方向甲方提供合同总金额 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的银行履约保函，同时向甲方开具合同总金额的 95%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（小写） 的增值税普通发票，甲方向乙方支付相应金额款项。</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（2）到货后付款：设备到货签收、安装合格后 30个工作日内，乙方向甲方开具合同总金额的 5% 即人民币</w:t>
      </w:r>
      <w:r>
        <w:rPr>
          <w:rFonts w:ascii="仿宋" w:eastAsia="仿宋" w:hAnsi="仿宋" w:cs="仿宋" w:hint="eastAsia"/>
          <w:sz w:val="28"/>
          <w:szCs w:val="20"/>
          <w:u w:val="single"/>
        </w:rPr>
        <w:t xml:space="preserve">    </w:t>
      </w:r>
      <w:r>
        <w:rPr>
          <w:rFonts w:ascii="仿宋" w:eastAsia="仿宋" w:hAnsi="仿宋" w:cs="仿宋" w:hint="eastAsia"/>
          <w:sz w:val="28"/>
          <w:szCs w:val="20"/>
        </w:rPr>
        <w:t>元（大写）</w:t>
      </w:r>
      <w:r>
        <w:rPr>
          <w:rFonts w:ascii="仿宋" w:eastAsia="仿宋" w:hAnsi="仿宋" w:cs="仿宋" w:hint="eastAsia"/>
          <w:sz w:val="28"/>
          <w:szCs w:val="20"/>
          <w:u w:val="single"/>
        </w:rPr>
        <w:t xml:space="preserve">    </w:t>
      </w:r>
      <w:r>
        <w:rPr>
          <w:rFonts w:ascii="仿宋" w:eastAsia="仿宋" w:hAnsi="仿宋" w:cs="仿宋" w:hint="eastAsia"/>
          <w:sz w:val="28"/>
          <w:szCs w:val="20"/>
        </w:rPr>
        <w:t>元（小写） 的增值税普通发票，同时甲方向乙方支付相应金额款项。</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（3）甲方验收合格一年后，甲方将银行履约保函退还乙方。</w:t>
      </w:r>
    </w:p>
    <w:bookmarkEnd w:id="69"/>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w:t>
      </w:r>
      <w:r>
        <w:rPr>
          <w:rFonts w:ascii="仿宋" w:eastAsia="仿宋" w:hAnsi="仿宋" w:cs="仿宋" w:hint="eastAsia"/>
          <w:sz w:val="28"/>
          <w:szCs w:val="20"/>
        </w:rPr>
        <w:t>对待。</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w:t>
      </w:r>
      <w:r>
        <w:rPr>
          <w:rFonts w:ascii="仿宋" w:eastAsia="仿宋" w:hAnsi="仿宋" w:cs="仿宋" w:hint="eastAsia"/>
          <w:sz w:val="28"/>
          <w:szCs w:val="20"/>
        </w:rPr>
        <w:t>可进行最终验收。在试运行期间，由于设备质量等造成某些指标达不到要求，允许中标人更换或进行修复，但试运行期另加1个月。</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rsidR="005F3DFD">
      <w:pPr>
        <w:numPr>
          <w:ilvl w:val="0"/>
          <w:numId w:val="4"/>
        </w:numPr>
        <w:spacing w:line="560" w:lineRule="exact"/>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rsidR="005F3DFD">
      <w:pPr>
        <w:numPr>
          <w:ilvl w:val="0"/>
          <w:numId w:val="4"/>
        </w:numPr>
        <w:spacing w:line="560" w:lineRule="exact"/>
        <w:rPr>
          <w:rFonts w:ascii="仿宋" w:eastAsia="仿宋" w:hAnsi="仿宋" w:cs="仿宋"/>
          <w:sz w:val="28"/>
          <w:szCs w:val="20"/>
        </w:rPr>
      </w:pPr>
      <w:r>
        <w:rPr>
          <w:rFonts w:ascii="仿宋" w:eastAsia="仿宋" w:hAnsi="仿宋" w:cs="仿宋" w:hint="eastAsia"/>
          <w:sz w:val="28"/>
          <w:szCs w:val="20"/>
        </w:rPr>
        <w:t>货物符合技术规格，性能满足要求；</w:t>
      </w:r>
    </w:p>
    <w:p w:rsidR="005F3DFD">
      <w:pPr>
        <w:numPr>
          <w:ilvl w:val="0"/>
          <w:numId w:val="4"/>
        </w:numPr>
        <w:spacing w:line="560" w:lineRule="exact"/>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9.5保修及售后服务</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w:t>
      </w:r>
      <w:r>
        <w:rPr>
          <w:rFonts w:ascii="仿宋" w:eastAsia="仿宋" w:hAnsi="仿宋" w:cs="仿宋" w:hint="eastAsia"/>
          <w:sz w:val="28"/>
          <w:szCs w:val="20"/>
        </w:rPr>
        <w:t>件等）。</w:t>
      </w:r>
    </w:p>
    <w:p w:rsidR="005F3DFD">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9.6工程进度</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sidR="001D0ECB">
        <w:rPr>
          <w:rFonts w:ascii="仿宋" w:eastAsia="仿宋" w:hAnsi="仿宋" w:cs="仿宋" w:hint="eastAsia"/>
          <w:sz w:val="28"/>
          <w:szCs w:val="20"/>
        </w:rPr>
        <w:t>1</w:t>
      </w:r>
      <w:r>
        <w:rPr>
          <w:rFonts w:ascii="仿宋" w:eastAsia="仿宋" w:hAnsi="仿宋" w:cs="仿宋" w:hint="eastAsia"/>
          <w:sz w:val="28"/>
          <w:szCs w:val="20"/>
        </w:rPr>
        <w:t>）设备到达安装现场后，收到招标人通知五日内到达现场， 完成设备的安装、调测以及供电系统的联调工作。</w:t>
      </w:r>
    </w:p>
    <w:p w:rsidR="005F3DFD">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sidR="001D0ECB">
        <w:rPr>
          <w:rFonts w:ascii="仿宋" w:eastAsia="仿宋" w:hAnsi="仿宋" w:cs="仿宋" w:hint="eastAsia"/>
          <w:sz w:val="28"/>
          <w:szCs w:val="20"/>
        </w:rPr>
        <w:t>2</w:t>
      </w:r>
      <w:r>
        <w:rPr>
          <w:rFonts w:ascii="仿宋" w:eastAsia="仿宋" w:hAnsi="仿宋" w:cs="仿宋" w:hint="eastAsia"/>
          <w:sz w:val="28"/>
          <w:szCs w:val="20"/>
        </w:rPr>
        <w:t>）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5F3DFD">
      <w:pPr>
        <w:spacing w:line="560" w:lineRule="exact"/>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506F96">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06F9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D42E0">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06F96">
            <w:pPr>
              <w:rPr>
                <w:sz w:val="18"/>
                <w:szCs w:val="18"/>
              </w:rPr>
            </w:pPr>
            <w:r>
              <w:rPr>
                <w:rFonts w:hint="eastAsia"/>
                <w:sz w:val="18"/>
                <w:szCs w:val="18"/>
              </w:rPr>
              <w:t>序号</w:t>
            </w:r>
          </w:p>
        </w:tc>
        <w:tc>
          <w:tcPr>
            <w:tcW w:w="898" w:type="dxa"/>
            <w:vAlign w:val="center"/>
          </w:tcPr>
          <w:p w:rsidR="00506F96">
            <w:pPr>
              <w:jc w:val="center"/>
              <w:rPr>
                <w:sz w:val="18"/>
                <w:szCs w:val="18"/>
              </w:rPr>
            </w:pPr>
            <w:r>
              <w:rPr>
                <w:rFonts w:hint="eastAsia"/>
                <w:sz w:val="18"/>
                <w:szCs w:val="18"/>
              </w:rPr>
              <w:t>对应</w:t>
            </w:r>
          </w:p>
          <w:p w:rsidR="00506F96">
            <w:pPr>
              <w:jc w:val="center"/>
              <w:rPr>
                <w:sz w:val="18"/>
                <w:szCs w:val="18"/>
              </w:rPr>
            </w:pPr>
            <w:r>
              <w:rPr>
                <w:rFonts w:hint="eastAsia"/>
                <w:sz w:val="18"/>
                <w:szCs w:val="18"/>
              </w:rPr>
              <w:t>条款号</w:t>
            </w:r>
          </w:p>
        </w:tc>
        <w:tc>
          <w:tcPr>
            <w:tcW w:w="7347" w:type="dxa"/>
            <w:vAlign w:val="center"/>
          </w:tcPr>
          <w:p w:rsidR="00506F9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9D42E0">
        <w:tblPrEx>
          <w:tblW w:w="8789" w:type="dxa"/>
          <w:tblLayout w:type="fixed"/>
          <w:tblLook w:val="04A0"/>
        </w:tblPrEx>
        <w:trPr>
          <w:cantSplit/>
        </w:trPr>
        <w:tc>
          <w:tcPr>
            <w:tcW w:w="8789" w:type="dxa"/>
            <w:gridSpan w:val="3"/>
            <w:vAlign w:val="center"/>
          </w:tcPr>
          <w:p w:rsidR="00506F9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9D42E0">
        <w:tblPrEx>
          <w:tblW w:w="8789" w:type="dxa"/>
          <w:tblLayout w:type="fixed"/>
          <w:tblLook w:val="04A0"/>
        </w:tblPrEx>
        <w:trPr>
          <w:cantSplit/>
        </w:trPr>
        <w:tc>
          <w:tcPr>
            <w:tcW w:w="544" w:type="dxa"/>
            <w:vAlign w:val="center"/>
          </w:tcPr>
          <w:p w:rsidR="009D42E0" w:rsidP="009D42E0">
            <w:pPr>
              <w:numPr>
                <w:ilvl w:val="0"/>
                <w:numId w:val="14"/>
              </w:numPr>
              <w:rPr>
                <w:rFonts w:ascii="宋体" w:hAnsi="宋体"/>
                <w:sz w:val="18"/>
                <w:szCs w:val="18"/>
              </w:rPr>
            </w:pPr>
          </w:p>
        </w:tc>
        <w:tc>
          <w:tcPr>
            <w:tcW w:w="898" w:type="dxa"/>
            <w:vAlign w:val="center"/>
          </w:tcPr>
          <w:p w:rsidR="009D42E0" w:rsidP="009D42E0">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vAlign w:val="center"/>
          </w:tcPr>
          <w:p w:rsidR="009D42E0" w:rsidP="009D42E0">
            <w:pPr>
              <w:tabs>
                <w:tab w:val="left" w:pos="709"/>
              </w:tabs>
              <w:spacing w:line="360" w:lineRule="auto"/>
              <w:jc w:val="left"/>
              <w:rPr>
                <w:rFonts w:ascii="宋体" w:hAnsi="宋体" w:cs="微软雅黑"/>
                <w:b/>
                <w:color w:val="0000FF"/>
                <w:kern w:val="0"/>
                <w:sz w:val="18"/>
                <w:szCs w:val="18"/>
              </w:rPr>
            </w:pPr>
            <w:bookmarkStart w:id="71" w:name="许可证_exclusiveLicenseFlagText_0"/>
            <w:r>
              <w:rPr>
                <w:rFonts w:asciiTheme="minorEastAsia" w:eastAsiaTheme="minorEastAsia" w:hAnsiTheme="minorEastAsia" w:cstheme="minorEastAsia" w:hint="eastAsia"/>
                <w:kern w:val="0"/>
                <w:szCs w:val="21"/>
              </w:rPr>
              <w:t>必须，微波辐射计需要提供至投标截止日仍有效的《气象专用技术装备使用许可证》：</w:t>
            </w:r>
            <w:r>
              <w:rPr>
                <w:rFonts w:asciiTheme="minorEastAsia" w:eastAsiaTheme="minorEastAsia" w:hAnsiTheme="minorEastAsia" w:cstheme="minorEastAsia" w:hint="eastAsia"/>
                <w:kern w:val="0"/>
                <w:szCs w:val="21"/>
              </w:rPr>
              <w:t>地基</w:t>
            </w:r>
            <w:r>
              <w:rPr>
                <w:rFonts w:asciiTheme="minorEastAsia" w:eastAsiaTheme="minorEastAsia" w:hAnsiTheme="minorEastAsia" w:cstheme="minorEastAsia" w:hint="eastAsia"/>
                <w:kern w:val="0"/>
                <w:szCs w:val="21"/>
              </w:rPr>
              <w:t>微波辐射计</w:t>
            </w:r>
            <w:bookmarkEnd w:id="71"/>
          </w:p>
        </w:tc>
      </w:tr>
      <w:tr w:rsidTr="009D42E0">
        <w:tblPrEx>
          <w:tblW w:w="8789" w:type="dxa"/>
          <w:tblLayout w:type="fixed"/>
          <w:tblLook w:val="04A0"/>
        </w:tblPrEx>
        <w:trPr>
          <w:cantSplit/>
        </w:trPr>
        <w:tc>
          <w:tcPr>
            <w:tcW w:w="8789" w:type="dxa"/>
            <w:gridSpan w:val="3"/>
            <w:vAlign w:val="center"/>
          </w:tcPr>
          <w:p w:rsidR="00506F9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9D42E0">
        <w:tblPrEx>
          <w:tblW w:w="8789" w:type="dxa"/>
          <w:tblLayout w:type="fixed"/>
          <w:tblLook w:val="04A0"/>
        </w:tblPrEx>
        <w:trPr>
          <w:cantSplit/>
        </w:trPr>
        <w:tc>
          <w:tcPr>
            <w:tcW w:w="544" w:type="dxa"/>
            <w:vAlign w:val="center"/>
          </w:tcPr>
          <w:p w:rsidR="00506F96">
            <w:pPr>
              <w:numPr>
                <w:ilvl w:val="0"/>
                <w:numId w:val="14"/>
              </w:numPr>
              <w:rPr>
                <w:rFonts w:ascii="宋体" w:hAnsi="宋体"/>
                <w:sz w:val="18"/>
                <w:szCs w:val="18"/>
              </w:rPr>
            </w:pPr>
          </w:p>
        </w:tc>
        <w:tc>
          <w:tcPr>
            <w:tcW w:w="898" w:type="dxa"/>
            <w:vAlign w:val="center"/>
          </w:tcPr>
          <w:p w:rsidR="00506F96">
            <w:pPr>
              <w:jc w:val="center"/>
              <w:rPr>
                <w:rFonts w:ascii="宋体" w:hAnsi="宋体"/>
                <w:sz w:val="18"/>
                <w:szCs w:val="18"/>
              </w:rPr>
            </w:pPr>
            <w:r>
              <w:rPr>
                <w:rFonts w:ascii="宋体" w:hAnsi="宋体"/>
                <w:sz w:val="18"/>
                <w:szCs w:val="18"/>
              </w:rPr>
              <w:t>4.3</w:t>
            </w:r>
          </w:p>
        </w:tc>
        <w:tc>
          <w:tcPr>
            <w:tcW w:w="7347" w:type="dxa"/>
            <w:vAlign w:val="center"/>
          </w:tcPr>
          <w:p w:rsidR="00506F96">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设备供应商对所有设备提供自验收合格后8年的免费维护维修服务*</w:t>
            </w:r>
          </w:p>
        </w:tc>
      </w:tr>
    </w:tbl>
    <w:p w:rsidR="00506F9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506F96">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6C0598">
      <w:pPr>
        <w:numPr>
          <w:ilvl w:val="0"/>
          <w:numId w:val="5"/>
        </w:numPr>
        <w:spacing w:line="360" w:lineRule="auto"/>
        <w:ind w:firstLine="3066" w:firstLineChars="1460"/>
        <w:jc w:val="left"/>
        <w:rPr>
          <w:b/>
          <w:bCs/>
          <w:szCs w:val="21"/>
        </w:rPr>
      </w:pPr>
      <w:bookmarkStart w:id="72" w:name="采购公告合同部分_ZBGGHT"/>
      <w:r>
        <w:rPr>
          <w:rFonts w:hint="eastAsia"/>
          <w:b/>
          <w:bCs/>
          <w:szCs w:val="21"/>
        </w:rPr>
        <w:t xml:space="preserve"> </w:t>
      </w:r>
      <w:r>
        <w:rPr>
          <w:rFonts w:hint="eastAsia"/>
          <w:b/>
          <w:bCs/>
          <w:szCs w:val="21"/>
        </w:rPr>
        <w:t>采购合同</w:t>
      </w:r>
    </w:p>
    <w:p w:rsidR="006C0598">
      <w:pPr>
        <w:spacing w:line="360" w:lineRule="auto"/>
        <w:ind w:left="1680" w:firstLine="420"/>
        <w:jc w:val="left"/>
        <w:rPr>
          <w:b/>
          <w:bCs/>
          <w:szCs w:val="21"/>
        </w:rPr>
      </w:pPr>
      <w:r>
        <w:rPr>
          <w:rFonts w:hint="eastAsia"/>
          <w:b/>
          <w:bCs/>
          <w:szCs w:val="21"/>
        </w:rPr>
        <w:t>必须明确合同金额支付条件及支付比例</w:t>
      </w:r>
    </w:p>
    <w:p w:rsidR="006C0598">
      <w:pPr>
        <w:pStyle w:val="BodyText"/>
        <w:spacing w:after="0"/>
        <w:jc w:val="center"/>
        <w:rPr>
          <w:rFonts w:ascii="宋体" w:hAnsi="宋体" w:cs="宋体"/>
          <w:b/>
          <w:bCs/>
          <w:spacing w:val="-20"/>
          <w:kern w:val="44"/>
          <w:sz w:val="48"/>
          <w:szCs w:val="48"/>
        </w:rPr>
      </w:pPr>
      <w:r>
        <w:rPr>
          <w:b/>
          <w:bCs/>
          <w:szCs w:val="21"/>
        </w:rPr>
        <w:br w:type="page"/>
      </w:r>
      <w:bookmarkStart w:id="73" w:name="_Toc3995"/>
    </w:p>
    <w:p w:rsidR="006C0598">
      <w:pPr>
        <w:pStyle w:val="BodyText"/>
        <w:spacing w:after="0"/>
        <w:jc w:val="center"/>
        <w:rPr>
          <w:rFonts w:ascii="宋体" w:hAnsi="宋体" w:cs="宋体"/>
          <w:b/>
          <w:bCs/>
          <w:spacing w:val="-20"/>
          <w:kern w:val="44"/>
          <w:sz w:val="48"/>
          <w:szCs w:val="48"/>
        </w:rPr>
      </w:pPr>
    </w:p>
    <w:p w:rsidR="006C0598">
      <w:pPr>
        <w:pStyle w:val="BodyText"/>
        <w:spacing w:after="0"/>
        <w:jc w:val="center"/>
        <w:rPr>
          <w:rFonts w:ascii="宋体" w:hAnsi="宋体" w:cs="宋体"/>
          <w:b/>
          <w:bCs/>
          <w:spacing w:val="-20"/>
          <w:kern w:val="44"/>
          <w:sz w:val="48"/>
          <w:szCs w:val="48"/>
        </w:rPr>
      </w:pPr>
    </w:p>
    <w:p w:rsidR="006C0598">
      <w:pPr>
        <w:pStyle w:val="BodyText"/>
        <w:spacing w:after="0"/>
        <w:jc w:val="center"/>
        <w:rPr>
          <w:rFonts w:ascii="宋体" w:hAnsi="宋体" w:cs="宋体"/>
          <w:b/>
          <w:bCs/>
          <w:spacing w:val="-20"/>
          <w:kern w:val="44"/>
          <w:sz w:val="48"/>
          <w:szCs w:val="48"/>
        </w:rPr>
      </w:pPr>
    </w:p>
    <w:p w:rsidR="006C0598">
      <w:pPr>
        <w:pStyle w:val="BodyText"/>
        <w:spacing w:after="0"/>
        <w:jc w:val="center"/>
        <w:rPr>
          <w:rFonts w:ascii="宋体" w:hAnsi="宋体" w:cs="宋体"/>
          <w:b/>
          <w:bCs/>
          <w:spacing w:val="-20"/>
          <w:kern w:val="44"/>
          <w:sz w:val="48"/>
          <w:szCs w:val="48"/>
        </w:rPr>
      </w:pPr>
    </w:p>
    <w:p w:rsidR="006C059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6C0598">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6C0598">
      <w:pPr>
        <w:rPr>
          <w:rFonts w:ascii="宋体" w:hAnsi="宋体" w:cs="宋体"/>
          <w:b/>
          <w:bCs/>
          <w:spacing w:val="-20"/>
          <w:kern w:val="44"/>
          <w:sz w:val="40"/>
          <w:szCs w:val="40"/>
        </w:rPr>
      </w:pPr>
    </w:p>
    <w:p w:rsidR="006C0598">
      <w:pPr>
        <w:rPr>
          <w:rFonts w:ascii="宋体" w:hAnsi="宋体" w:cs="宋体"/>
          <w:b/>
          <w:bCs/>
          <w:spacing w:val="-20"/>
          <w:kern w:val="44"/>
          <w:sz w:val="40"/>
          <w:szCs w:val="40"/>
        </w:rPr>
      </w:pPr>
    </w:p>
    <w:p w:rsidR="006C0598">
      <w:pPr>
        <w:rPr>
          <w:rFonts w:ascii="宋体" w:hAnsi="宋体" w:cs="宋体"/>
          <w:b/>
          <w:bCs/>
          <w:spacing w:val="-20"/>
          <w:kern w:val="44"/>
          <w:sz w:val="40"/>
          <w:szCs w:val="40"/>
        </w:rPr>
      </w:pPr>
    </w:p>
    <w:p w:rsidR="006C0598">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6C0598">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6C0598">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6C0598">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6C0598">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6C0598"/>
    <w:p w:rsidR="006C0598">
      <w:pPr>
        <w:rPr>
          <w:rFonts w:eastAsia="黑体"/>
          <w:sz w:val="44"/>
          <w:szCs w:val="44"/>
        </w:rPr>
      </w:pPr>
      <w:r>
        <w:rPr>
          <w:rFonts w:eastAsia="黑体"/>
          <w:sz w:val="44"/>
          <w:szCs w:val="44"/>
        </w:rPr>
        <w:br w:type="page"/>
      </w:r>
    </w:p>
    <w:p w:rsidR="006C0598">
      <w:pPr>
        <w:rPr>
          <w:rFonts w:eastAsia="黑体"/>
          <w:sz w:val="44"/>
          <w:szCs w:val="44"/>
        </w:rPr>
      </w:pPr>
    </w:p>
    <w:p w:rsidR="006C0598">
      <w:pPr>
        <w:rPr>
          <w:rFonts w:eastAsia="黑体"/>
          <w:sz w:val="44"/>
          <w:szCs w:val="44"/>
        </w:rPr>
      </w:pPr>
    </w:p>
    <w:p w:rsidR="006C0598">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6C0598">
      <w:pPr>
        <w:ind w:firstLine="640" w:firstLineChars="200"/>
        <w:rPr>
          <w:rFonts w:ascii="仿宋_GB2312" w:eastAsia="仿宋_GB2312" w:hAnsi="仿宋_GB2312" w:cs="仿宋_GB2312"/>
          <w:sz w:val="32"/>
          <w:szCs w:val="32"/>
        </w:rPr>
      </w:pPr>
    </w:p>
    <w:p w:rsidR="006C059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6C0598">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6C059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6C0598">
      <w:pPr>
        <w:rPr>
          <w:rFonts w:eastAsia="黑体"/>
          <w:sz w:val="44"/>
          <w:szCs w:val="44"/>
        </w:rPr>
        <w:sectPr>
          <w:pgSz w:w="11906" w:h="16838"/>
          <w:pgMar w:top="1440" w:right="1800" w:bottom="1440" w:left="1800" w:header="851" w:footer="992" w:gutter="0"/>
          <w:cols w:space="425"/>
          <w:docGrid w:type="lines" w:linePitch="312"/>
        </w:sectPr>
      </w:pPr>
    </w:p>
    <w:p w:rsidR="006C0598">
      <w:pPr>
        <w:pStyle w:val="Heading2"/>
        <w:numPr>
          <w:ilvl w:val="0"/>
          <w:numId w:val="0"/>
        </w:numPr>
        <w:adjustRightInd w:val="0"/>
        <w:snapToGrid w:val="0"/>
        <w:spacing w:line="400" w:lineRule="exact"/>
        <w:jc w:val="center"/>
        <w:rPr>
          <w:rFonts w:ascii="黑体" w:hAnsi="华文中宋"/>
          <w:b w:val="0"/>
          <w:bCs w:val="0"/>
          <w:sz w:val="28"/>
          <w:szCs w:val="28"/>
        </w:rPr>
      </w:pPr>
      <w:bookmarkStart w:id="74" w:name="_Toc22209"/>
      <w:bookmarkEnd w:id="73"/>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4"/>
    </w:p>
    <w:p w:rsidR="006C0598">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6C059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6C0598">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C0598">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6C0598">
      <w:pPr>
        <w:spacing w:line="400" w:lineRule="exact"/>
      </w:pPr>
    </w:p>
    <w:p w:rsidR="006C059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6C0598">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6C0598">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6C0598">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6C0598">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6C0598">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6C0598">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6C0598">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6C0598">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6C059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C059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6C05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6C05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6C05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6C05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6C0598">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6C0598">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6C0598">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6C0598">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6C0598">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C0598">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C0598">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C0598">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C0598">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6C059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6C059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6C0598">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6C059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6C0598">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6C0598">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6C0598">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6C0598">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6C059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6C0598">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6C0598">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6C0598">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6C059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6C0598">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6C05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C059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C059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6C0598">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6C05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C0598">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6C0598">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6C0598">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6C0598">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6C0598">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6C059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6C0598">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6C059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C059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6C0598">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6C059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6C0598">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6C0598">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6C0598">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6C0598">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A77620" w:rsidRPr="00A77620" w:rsidP="00A77620">
      <w:pPr>
        <w:spacing w:line="560" w:lineRule="exact"/>
        <w:ind w:firstLine="420" w:firstLineChars="200"/>
        <w:rPr>
          <w:rFonts w:ascii="宋体" w:hAnsi="宋体"/>
          <w:szCs w:val="21"/>
        </w:rPr>
      </w:pPr>
      <w:r>
        <w:rPr>
          <w:rFonts w:ascii="Wingdings" w:hAnsi="Wingdings"/>
          <w:szCs w:val="21"/>
        </w:rPr>
        <w:sym w:font="Wingdings" w:char="F0FC"/>
      </w:r>
      <w:r w:rsidR="00BF686F">
        <w:rPr>
          <w:rFonts w:ascii="宋体" w:hAnsi="宋体" w:hint="eastAsia"/>
          <w:szCs w:val="21"/>
        </w:rPr>
        <w:t>分期付款：</w:t>
      </w:r>
      <w:r w:rsidR="00BF686F">
        <w:rPr>
          <w:rFonts w:ascii="宋体" w:hAnsi="宋体" w:hint="eastAsia"/>
          <w:szCs w:val="21"/>
          <w:u w:val="single"/>
        </w:rPr>
        <w:t xml:space="preserve"> </w:t>
      </w:r>
      <w:r w:rsidRPr="00A77620" w:rsidR="00BF686F">
        <w:rPr>
          <w:rFonts w:ascii="宋体" w:hAnsi="宋体" w:hint="eastAsia"/>
          <w:szCs w:val="21"/>
        </w:rPr>
        <w:t xml:space="preserve"> </w:t>
      </w:r>
      <w:r w:rsidRPr="00A77620">
        <w:rPr>
          <w:rFonts w:ascii="宋体" w:hAnsi="宋体" w:hint="eastAsia"/>
          <w:szCs w:val="21"/>
        </w:rPr>
        <w:t>（1）合同生效后付款：双方签署合同后30个工作日内，乙方向甲方提供合同总金额 5% 即人民币    元（大写）    （小写） 的银行履约保函，同时向甲方开具合同总金额的 95% 即人民币    元（大写）    （小写） 的增值税普通发票，甲方向乙方支付相应金额款项。</w:t>
      </w:r>
    </w:p>
    <w:p w:rsidR="00A77620" w:rsidRPr="00A77620" w:rsidP="00A77620">
      <w:pPr>
        <w:spacing w:line="560" w:lineRule="exact"/>
        <w:ind w:firstLine="420" w:firstLineChars="200"/>
        <w:rPr>
          <w:rFonts w:ascii="宋体" w:hAnsi="宋体"/>
          <w:szCs w:val="21"/>
        </w:rPr>
      </w:pPr>
      <w:r w:rsidRPr="00A77620">
        <w:rPr>
          <w:rFonts w:ascii="宋体" w:hAnsi="宋体" w:hint="eastAsia"/>
          <w:szCs w:val="21"/>
        </w:rPr>
        <w:t>（2）到货后付款：设备到货签收、安装合格后 30个工作日内，乙方向甲方开具合同总金额的 5% 即人民币    元（大写）    元（小写） 的增值税普通发票，同时甲方向乙方支付相应金额款项。</w:t>
      </w:r>
    </w:p>
    <w:p w:rsidR="00A77620" w:rsidRPr="00A77620" w:rsidP="00A77620">
      <w:pPr>
        <w:spacing w:line="560" w:lineRule="exact"/>
        <w:ind w:firstLine="420" w:firstLineChars="200"/>
        <w:rPr>
          <w:rFonts w:ascii="宋体" w:hAnsi="宋体"/>
          <w:szCs w:val="21"/>
        </w:rPr>
      </w:pPr>
      <w:r w:rsidRPr="00A77620">
        <w:rPr>
          <w:rFonts w:ascii="宋体" w:hAnsi="宋体" w:hint="eastAsia"/>
          <w:szCs w:val="21"/>
        </w:rPr>
        <w:t>（3）甲方验收合格一年后，甲方将银行履约保函退还乙方。</w:t>
      </w:r>
    </w:p>
    <w:p w:rsidR="006C0598" w:rsidP="00A77620">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6C0598">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6C0598">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6C0598">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6C0598">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6C0598">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6C0598">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6C0598">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6C0598">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6C0598">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6C0598">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6C0598">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6C059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6C0598">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6C0598">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6C0598">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6C05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6C059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6C0598">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6C0598">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6C05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6C0598">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6C0598">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6C0598">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6C0598">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6C0598">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6C0598">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6C0598">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6C0598">
      <w:r>
        <w:rPr>
          <w:rFonts w:hint="eastAsia"/>
        </w:rPr>
        <w:br w:type="page"/>
      </w:r>
    </w:p>
    <w:p w:rsidR="006C0598">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6C0598">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6C0598">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法定代表人</w:t>
            </w:r>
          </w:p>
          <w:p w:rsidR="006C0598">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法定代表人</w:t>
            </w:r>
          </w:p>
          <w:p w:rsidR="006C0598">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6C0598">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6C0598">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6C0598">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6C0598">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5"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5"/>
    </w:p>
    <w:p w:rsidR="006C0598">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6C05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6C0598">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6C059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6C059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6C059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6C059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6C059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6C0598">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6C0598">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6C0598">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6C059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6C0598">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6C059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6C059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6C0598">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6C0598">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6C0598">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6C0598">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6C059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6C0598">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6C0598">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6C0598">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6C0598">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6C0598">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6C0598">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6C0598">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6C059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6C0598">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6"/>
      <w:r>
        <w:rPr>
          <w:rFonts w:ascii="宋体" w:hAnsi="宋体" w:hint="eastAsia"/>
          <w:szCs w:val="21"/>
        </w:rPr>
        <w:t>。</w:t>
      </w:r>
    </w:p>
    <w:p w:rsidR="006C059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6C0598">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6C059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6C0598">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6C0598">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6C0598">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6C0598">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6C0598">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6C0598">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6C0598">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6C0598">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6C0598">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6C0598">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6C0598">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6C0598">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6C0598">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6C0598">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6C0598">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6C0598">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6C0598">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6C059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6C059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6C0598">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6C0598">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6C0598">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6C0598">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6C0598">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6C0598">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6C0598">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6C0598">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6C0598">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6C0598">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6C0598">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6C0598">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7" w:name="_Toc20313"/>
    </w:p>
    <w:p w:rsidR="006C0598">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6C0598">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6C0598"/>
        </w:tc>
      </w:tr>
      <w:tr>
        <w:tblPrEx>
          <w:tblW w:w="8519" w:type="dxa"/>
          <w:tblInd w:w="108" w:type="dxa"/>
          <w:tblLayout w:type="fixed"/>
          <w:tblLook w:val="04A0"/>
        </w:tblPrEx>
        <w:trPr>
          <w:trHeight w:val="667"/>
        </w:trPr>
        <w:tc>
          <w:tcPr>
            <w:tcW w:w="1607" w:type="dxa"/>
            <w:vMerge/>
            <w:vAlign w:val="center"/>
          </w:tcPr>
          <w:p w:rsidR="006C0598">
            <w:pPr>
              <w:adjustRightInd w:val="0"/>
              <w:snapToGrid w:val="0"/>
              <w:jc w:val="center"/>
              <w:rPr>
                <w:rFonts w:ascii="宋体" w:hAnsi="宋体"/>
                <w:szCs w:val="21"/>
              </w:rPr>
            </w:pPr>
          </w:p>
        </w:tc>
        <w:tc>
          <w:tcPr>
            <w:tcW w:w="1742" w:type="dxa"/>
            <w:vAlign w:val="center"/>
          </w:tcPr>
          <w:p w:rsidR="006C0598">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6C0598"/>
        </w:tc>
      </w:tr>
      <w:tr>
        <w:tblPrEx>
          <w:tblW w:w="8519" w:type="dxa"/>
          <w:tblInd w:w="108" w:type="dxa"/>
          <w:tblLayout w:type="fixed"/>
          <w:tblLook w:val="04A0"/>
        </w:tblPrEx>
        <w:trPr>
          <w:trHeight w:val="772"/>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6C0598"/>
        </w:tc>
      </w:tr>
      <w:tr>
        <w:tblPrEx>
          <w:tblW w:w="8519" w:type="dxa"/>
          <w:tblInd w:w="108" w:type="dxa"/>
          <w:tblLayout w:type="fixed"/>
          <w:tblLook w:val="04A0"/>
        </w:tblPrEx>
        <w:trPr>
          <w:trHeight w:val="667"/>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6C0598"/>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6C0598">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货物质量缺陷</w:t>
            </w:r>
          </w:p>
          <w:p w:rsidR="006C0598">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snapToGrid w:val="0"/>
              <w:jc w:val="center"/>
              <w:rPr>
                <w:rFonts w:ascii="宋体" w:hAnsi="宋体" w:cs="宋体"/>
                <w:szCs w:val="21"/>
              </w:rPr>
            </w:pPr>
            <w:r>
              <w:rPr>
                <w:rFonts w:ascii="宋体" w:hAnsi="宋体" w:cs="宋体" w:hint="eastAsia"/>
                <w:szCs w:val="21"/>
              </w:rPr>
              <w:t>第二节</w:t>
            </w:r>
          </w:p>
          <w:p w:rsidR="006C0598">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6C0598">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6C0598">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6C0598">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6C0598">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6C0598">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6C0598">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6C0598">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6C059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6C0598">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6C0598">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6C0598">
            <w:pPr>
              <w:adjustRightInd w:val="0"/>
              <w:snapToGrid w:val="0"/>
              <w:jc w:val="center"/>
              <w:rPr>
                <w:rFonts w:ascii="宋体" w:hAnsi="宋体"/>
                <w:szCs w:val="21"/>
              </w:rPr>
            </w:pPr>
            <w:r>
              <w:rPr>
                <w:rFonts w:ascii="宋体" w:hAnsi="宋体" w:hint="eastAsia"/>
                <w:szCs w:val="21"/>
              </w:rPr>
              <w:t>第二节</w:t>
            </w:r>
          </w:p>
          <w:p w:rsidR="006C0598">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6C0598">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6C0598">
            <w:pPr>
              <w:adjustRightInd w:val="0"/>
              <w:snapToGrid w:val="0"/>
              <w:jc w:val="left"/>
              <w:rPr>
                <w:rFonts w:ascii="宋体" w:hAnsi="宋体"/>
                <w:szCs w:val="21"/>
              </w:rPr>
            </w:pPr>
          </w:p>
        </w:tc>
      </w:tr>
    </w:tbl>
    <w:p w:rsidR="006C0598"/>
    <w:p w:rsidR="006C0598">
      <w:pPr>
        <w:rPr>
          <w:b/>
          <w:bCs/>
          <w:sz w:val="44"/>
          <w:szCs w:val="44"/>
        </w:rPr>
      </w:pPr>
    </w:p>
    <w:p w:rsidR="006C0598"/>
    <w:p w:rsidR="00A77B3E"/>
    <w:p w:rsidR="006C0598">
      <w:pPr>
        <w:numPr>
          <w:ilvl w:val="0"/>
          <w:numId w:val="5"/>
        </w:numPr>
        <w:spacing w:line="360" w:lineRule="auto"/>
        <w:ind w:firstLine="3066" w:firstLineChars="1460"/>
        <w:jc w:val="left"/>
        <w:rPr>
          <w:b/>
          <w:bCs/>
          <w:szCs w:val="21"/>
        </w:rPr>
      </w:pPr>
      <w:bookmarkEnd w:id="72"/>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ECB"/>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14E"/>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6F96"/>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3DFD"/>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598"/>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07A1"/>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2E0"/>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5F3C"/>
    <w:rsid w:val="00A77620"/>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86F"/>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