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贵州省2026年短临工程集成式交通气象监测仪采购项目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ZQCD-26210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贵州省气象数据中心（贵州省气象探测中心、贵州省气象档案馆）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贵州省2026年短临工程集成式交通气象监测仪采购项目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ZQCD-26210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贵州省白云区、修文县、息烽县、遵义县、汇川区</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2026年09月22日 00:00:00</w:t>
      </w:r>
      <w:bookmarkEnd w:id="26"/>
      <w:r>
        <w:rPr>
          <w:rFonts w:ascii="宋体" w:hint="eastAsia"/>
          <w:szCs w:val="21"/>
          <w:highlight w:val="none"/>
        </w:rPr>
        <w:t>至</w:t>
      </w:r>
      <w:bookmarkStart w:id="27" w:name="项目公告_signUpLastTime"/>
      <w:r>
        <w:rPr>
          <w:rFonts w:ascii="宋体" w:hint="eastAsia"/>
          <w:szCs w:val="21"/>
          <w:highlight w:val="none"/>
        </w:rPr>
        <w:t>2026年09月29日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2026年10月15日 13:30:00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贵州省气象数据中心（贵州省气象探测中心、贵州省气象档案馆）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李艳</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0851-85202346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贵州省贵阳市南明区翠微巷9号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贵州省气象数据中心（贵州省气象探测中心、贵州省气象档案馆）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不允许（仅针对以下产品：集成式交通气象监测仪不允许代理商投标）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必须，以下产品需要提供至投标截止日仍有效的《气象专用技术装备使用许可证》：集成式交通气象监测仪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（1）标的：集成式交通气象监测仪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103.800000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103.800000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59"/>
        <w:gridCol w:w="1103"/>
        <w:gridCol w:w="259"/>
        <w:gridCol w:w="72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1、生产厂家、投标人、投标产品非强制资质要求（客观分）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2、投标人业绩（客观分）</w:t>
            </w:r>
          </w:p>
        </w:tc>
        <w:tc>
          <w:tcPr/>
          <w:p>
            <w:r>
              <w:t>勾选打分</w:t>
            </w:r>
            <w:r>
              <w:t>(5)</w:t>
            </w:r>
          </w:p>
        </w:tc>
        <w:tc>
          <w:tcPr/>
          <w:p>
            <w:r>
              <w:t>评审标准：</w:t>
            </w:r>
          </w:p>
          <w:p>
            <w:r>
              <w:t>销售合同必须包括集成式交通气象监测仪，每提供1份合同得1分，最多得5分。否则不得分。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1、售后服务（主观分）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2、质保服务方案（主观分）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3、培训承诺及方案（主观分）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4、交货期保证（客观分）</w:t>
            </w:r>
          </w:p>
        </w:tc>
        <w:tc>
          <w:tcPr/>
          <w:p>
            <w:r>
              <w:t>勾选打分</w:t>
            </w:r>
            <w:r>
              <w:t>(1)</w:t>
            </w:r>
          </w:p>
        </w:tc>
        <w:tc>
          <w:tcPr/>
          <w:p>
            <w:r>
              <w:t>评审标准：</w:t>
            </w:r>
          </w:p>
          <w:p>
            <w:r>
              <w:t>针对本项目采购的集成式交通气象监测仪，承诺每提前5天交货的得0.5分，最多得1分。否则不得分。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5、用户满意度证明（客观分）</w:t>
            </w:r>
          </w:p>
        </w:tc>
        <w:tc>
          <w:tcPr/>
          <w:p>
            <w:r>
              <w:t>勾选打分</w:t>
            </w:r>
            <w:r>
              <w:t>(3)</w:t>
            </w:r>
          </w:p>
        </w:tc>
        <w:tc>
          <w:tcPr/>
          <w:p>
            <w:r>
              <w:t>评审标准：</w:t>
            </w:r>
          </w:p>
          <w:p>
            <w:r>
              <w:t>针对集成式交通气象监测仪设备，每提供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6、服务团队（客观分）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2、除项目经理外至少5人具有2年及以上相关工作经验的，得1分；为本项目派出的技术人员至少2人具有1年及以上相关工作经验的，得0.5分；其他不得分。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1、投标产品重要技术指标（客观分）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2、投标产品技术方案（主观分）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二档：技术方案基本能按照招标文件的格式进行响应，不详细、不具体，无针对性。</w:t>
              <w:cr/>
              <w:t xml:space="preserve">三档：技术方案基本能按照招标文件的要求进行响应，详细具体，有一定针对性，基本满足采购文件需求。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3、投标产品综合性能（主观分）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4、实施方案（主观分）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5、投标产品的环境适应性（客观分）</w:t>
            </w:r>
          </w:p>
        </w:tc>
        <w:tc>
          <w:tcPr/>
          <w:p>
            <w:r>
              <w:t>勾选打分</w:t>
            </w:r>
            <w:r>
              <w:t>(2)</w:t>
            </w:r>
          </w:p>
        </w:tc>
        <w:tc>
          <w:tcPr/>
          <w:p>
            <w:r>
              <w:t>评审标准：</w:t>
            </w:r>
          </w:p>
          <w:p>
            <w:r>
              <w:t>针对集成式交通气象监测仪设备，测试报告涵盖低温、高温、恒定湿热等内容的，得2分。否则不得分。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6、投标产品软件兼容性（客观分）</w:t>
            </w:r>
          </w:p>
        </w:tc>
        <w:tc>
          <w:tcPr/>
          <w:p>
            <w:r>
              <w:t>勾选打分</w:t>
            </w:r>
            <w:r>
              <w:t>(2)</w:t>
            </w:r>
          </w:p>
        </w:tc>
        <w:tc>
          <w:tcPr/>
          <w:p>
            <w:r>
              <w:t>评审标准：</w:t>
            </w:r>
          </w:p>
          <w:p>
            <w:r>
              <w:t>投标产品软件兼容性强，观测数据能接入省级天擎和国家级天擎，且需遵循气象大数据云平台技术要求和接口规范得2分。否则不得分。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（一）系统组成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集成式交通气象监测仪采用一个微控制单元，在底层电路板级将多种传感器和多种通讯手段集成一体，满足能见度、路面状况、路面温度等公路交通安全高敏感气象要素同步监测的同时，兼具常规气温、相对湿度、风速、风向、降雨强度（等级或降雨量）等常规要素的监测。设备技术性能指标必须满足公安、交通等行业部门对公路交通气象监测的特殊专业要求，不需要建设专用基础立杆进行安装，可借助公路旁灯杆、监控杆、龙门架等已有设施进行安装，最大限度降低公路交通气象站运输、安装、维护方面的额外成本。</w:t>
      </w:r>
    </w:p>
    <w:p>
      <w:pPr>
        <w:numPr>
          <w:ilvl w:val="0"/>
          <w:numId w:val="4"/>
        </w:numPr>
        <w:spacing w:line="560" w:lineRule="exact"/>
        <w:ind w:firstLine="560" w:firstLineChars="200"/>
        <w:rPr>
          <w:rFonts w:ascii="仿宋" w:eastAsia="仿宋" w:hAnsi="仿宋" w:cs="仿宋" w:hint="eastAsia"/>
          <w:sz w:val="28"/>
          <w:szCs w:val="20"/>
        </w:rPr>
      </w:pPr>
      <w:bookmarkStart w:id="61" w:name="_Hlk211516166"/>
      <w:r>
        <w:rPr>
          <w:rFonts w:ascii="仿宋" w:eastAsia="仿宋" w:hAnsi="仿宋" w:cs="仿宋" w:hint="eastAsia"/>
          <w:sz w:val="28"/>
          <w:szCs w:val="20"/>
        </w:rPr>
        <w:t>技术性能要求</w:t>
      </w:r>
    </w:p>
    <w:p>
      <w:pPr>
        <w:spacing w:after="156" w:afterLines="50"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集成式交通气象监测仪许可为：集成式交通气象监测仪。设备技术指标如下：</w:t>
      </w:r>
    </w:p>
    <w:tbl>
      <w:tblPr>
        <w:tblStyle w:val="TableNormal"/>
        <w:tblW w:w="8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3"/>
        <w:gridCol w:w="1227"/>
        <w:gridCol w:w="1978"/>
        <w:gridCol w:w="1404"/>
        <w:gridCol w:w="3072"/>
      </w:tblGrid>
      <w:tr>
        <w:tblPrEx>
          <w:tblW w:w="8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
          <w:tblHeader/>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序号</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测量要素</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范围</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分辨力</w:t>
            </w:r>
          </w:p>
        </w:tc>
        <w:tc>
          <w:tcPr>
            <w:tcW w:w="3072"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准确度等级/最大允许误差</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物理规格</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尺寸（长*宽*高）</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610*260*450mm（</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10mm）；重量</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6kg</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2</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通讯方式</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4G并向下兼容（标配），内置蓝牙（选配）；预留RS232或RS485数据传输接口</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3</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供电方式</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直流供电或太阳能供电</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4</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数据传输</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可通过约定的通信方式和数据协议将数据上传至省级数据中心或气象大数据云平台，实现数据解码和数据服务</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5</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路面状况</w:t>
            </w:r>
          </w:p>
        </w:tc>
        <w:tc>
          <w:tcPr>
            <w:tcW w:w="3382" w:type="dxa"/>
            <w:gridSpan w:val="2"/>
            <w:tcBorders>
              <w:top w:val="single" w:sz="4" w:space="0" w:color="auto"/>
              <w:left w:val="single" w:sz="4" w:space="0" w:color="auto"/>
              <w:bottom w:val="single" w:sz="4" w:space="0" w:color="auto"/>
              <w:right w:val="single" w:sz="4" w:space="0" w:color="auto"/>
            </w:tcBorders>
            <w:vAlign w:val="center"/>
          </w:tcPr>
          <w:p>
            <w:pPr>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准确区分干燥、潮湿、积水、霜\雪、冰、冰水混合等6种路面状况，可反演输出湿滑系数</w:t>
            </w:r>
          </w:p>
        </w:tc>
        <w:tc>
          <w:tcPr>
            <w:tcW w:w="3072"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&gt;90%</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6</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能见度</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10～5000m</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1m</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误差指标，以下需全部满足</w:t>
            </w:r>
          </w:p>
          <w:p>
            <w:pPr>
              <w:jc w:val="left"/>
              <w:rPr>
                <w:rFonts w:ascii="仿宋_GB2312" w:eastAsia="仿宋_GB2312" w:hAnsi="仿宋_GB2312" w:cs="仿宋_GB2312"/>
                <w:sz w:val="21"/>
                <w:szCs w:val="21"/>
                <w:highlight w:val="yellow"/>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50m（能见度</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500m）</w:t>
            </w:r>
          </w:p>
          <w:p>
            <w:pPr>
              <w:jc w:val="left"/>
              <w:rPr>
                <w:rFonts w:ascii="仿宋_GB2312" w:eastAsia="仿宋_GB2312" w:hAnsi="仿宋_GB2312" w:cs="仿宋_GB2312"/>
                <w:sz w:val="21"/>
                <w:szCs w:val="21"/>
                <w:highlight w:val="yellow"/>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10%（500m&lt;能见度</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1500m）</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20%（能见度＞1500m）</w:t>
            </w:r>
          </w:p>
        </w:tc>
      </w:tr>
      <w:tr>
        <w:tblPrEx>
          <w:tblW w:w="8404" w:type="dxa"/>
          <w:jc w:val="center"/>
          <w:tblLayout w:type="fixed"/>
          <w:tblCellMar>
            <w:top w:w="0" w:type="dxa"/>
            <w:left w:w="108" w:type="dxa"/>
            <w:bottom w:w="0" w:type="dxa"/>
            <w:right w:w="108" w:type="dxa"/>
          </w:tblCellMar>
          <w:tblLook w:val="0000"/>
        </w:tblPrEx>
        <w:trPr>
          <w:trHeight w:val="90"/>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7</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路面温度</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40～+80</w:t>
            </w:r>
            <w:r>
              <w:rPr>
                <w:rFonts w:ascii="仿宋_GB2312" w:eastAsia="仿宋_GB2312" w:hAnsi="仿宋_GB2312" w:cs="仿宋_GB2312" w:hint="eastAsia"/>
                <w:sz w:val="21"/>
                <w:szCs w:val="21"/>
              </w:rPr>
              <w:t>℃</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0.1</w:t>
            </w:r>
            <w:r>
              <w:rPr>
                <w:rFonts w:ascii="仿宋_GB2312" w:eastAsia="仿宋_GB2312" w:hAnsi="仿宋_GB2312" w:cs="仿宋_GB2312" w:hint="eastAsia"/>
                <w:sz w:val="21"/>
                <w:szCs w:val="21"/>
                <w:highlight w:val="yellow"/>
              </w:rPr>
              <w:t>℃</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hint="eastAsia"/>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误差指标，以下需全部满足</w:t>
            </w:r>
          </w:p>
          <w:p>
            <w:pPr>
              <w:jc w:val="left"/>
              <w:rPr>
                <w:rFonts w:ascii="仿宋_GB2312" w:eastAsia="仿宋_GB2312" w:hAnsi="仿宋_GB2312" w:cs="仿宋_GB2312"/>
                <w:sz w:val="21"/>
                <w:szCs w:val="21"/>
                <w:highlight w:val="yellow"/>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0.5</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 xml:space="preserve"> @（-5</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2</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（其它范围）</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8</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湿滑系数</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0.01～1.00</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0.01</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9</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气温</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-40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～+55</w:t>
            </w:r>
            <w:r>
              <w:rPr>
                <w:rFonts w:ascii="仿宋_GB2312" w:eastAsia="仿宋_GB2312" w:hAnsi="仿宋_GB2312" w:cs="仿宋_GB2312" w:hint="eastAsia"/>
                <w:sz w:val="21"/>
                <w:szCs w:val="21"/>
              </w:rPr>
              <w:t>℃</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0.1</w:t>
            </w:r>
            <w:r>
              <w:rPr>
                <w:rFonts w:ascii="仿宋_GB2312" w:eastAsia="仿宋_GB2312" w:hAnsi="仿宋_GB2312" w:cs="仿宋_GB2312" w:hint="eastAsia"/>
                <w:sz w:val="21"/>
                <w:szCs w:val="21"/>
              </w:rPr>
              <w:t>℃</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0.5</w:t>
            </w:r>
            <w:r>
              <w:rPr>
                <w:rFonts w:ascii="仿宋_GB2312" w:eastAsia="仿宋_GB2312" w:hAnsi="仿宋_GB2312" w:cs="仿宋_GB2312" w:hint="eastAsia"/>
                <w:sz w:val="21"/>
                <w:szCs w:val="21"/>
                <w:highlight w:val="yellow"/>
              </w:rPr>
              <w:t>℃</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10</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相对湿度</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10%～100%RH</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0.1%RH</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hint="eastAsia"/>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误差指标，以下需全部满足</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3%RH（</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80%RH）</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5%RH（＞80%RH）</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11</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气压</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500～1100hPa</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0.1hPa</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0.5hPa</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12</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风速</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0～60m/s</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0.1m/s</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hint="eastAsia"/>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（0.5+0.03V）m/s</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highlight w:val="yellow"/>
              </w:rPr>
              <w:t>（V表示当前风速值）</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13</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风向</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0～360</w:t>
            </w:r>
            <w:r>
              <w:rPr>
                <w:rFonts w:ascii="仿宋_GB2312" w:eastAsia="仿宋_GB2312" w:hAnsi="仿宋_GB2312" w:cs="仿宋_GB2312" w:hint="eastAsia"/>
                <w:sz w:val="21"/>
                <w:szCs w:val="21"/>
              </w:rPr>
              <w:t>°</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w:t>
            </w:r>
            <w:r>
              <w:rPr>
                <w:rFonts w:ascii="仿宋_GB2312" w:eastAsia="仿宋_GB2312" w:hAnsi="仿宋_GB2312" w:cs="仿宋_GB2312" w:hint="eastAsia"/>
                <w:sz w:val="21"/>
                <w:szCs w:val="21"/>
              </w:rPr>
              <w:t>°</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w:t>
            </w:r>
            <w:r>
              <w:rPr>
                <w:rFonts w:ascii="仿宋_GB2312" w:eastAsia="仿宋_GB2312" w:hAnsi="仿宋_GB2312" w:cs="仿宋_GB2312" w:hint="eastAsia"/>
                <w:sz w:val="21"/>
                <w:szCs w:val="21"/>
              </w:rPr>
              <w:t>°</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14</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降雨强度</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至少可识别有/无降雨，宜识别降雨强度等级或测量降雨量，</w:t>
            </w:r>
            <w:r>
              <w:rPr>
                <w:rFonts w:ascii="仿宋_GB2312" w:eastAsia="仿宋_GB2312" w:hAnsi="仿宋_GB2312" w:cs="仿宋_GB2312" w:hint="eastAsia"/>
                <w:kern w:val="0"/>
                <w:sz w:val="21"/>
                <w:szCs w:val="21"/>
                <w:highlight w:val="yellow"/>
              </w:rPr>
              <w:t>降雨强度等级分为小雨、中雨、大雨、暴雨、大暴雨、特大暴雨6个类别</w:t>
            </w:r>
            <w:r>
              <w:rPr>
                <w:rFonts w:ascii="仿宋_GB2312" w:eastAsia="仿宋_GB2312" w:hAnsi="仿宋_GB2312" w:cs="仿宋_GB2312" w:hint="eastAsia"/>
                <w:sz w:val="21"/>
                <w:szCs w:val="21"/>
                <w:highlight w:val="yellow"/>
              </w:rPr>
              <w:t>（参考 GB/T28592</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2012 ）</w:t>
            </w:r>
          </w:p>
        </w:tc>
      </w:tr>
      <w:bookmarkEnd w:id="61"/>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 数据要求</w:t>
      </w:r>
    </w:p>
    <w:p>
      <w:pPr>
        <w:spacing w:line="560" w:lineRule="exact"/>
        <w:ind w:firstLine="560" w:firstLineChars="200"/>
        <w:rPr>
          <w:rFonts w:ascii="仿宋" w:eastAsia="仿宋" w:hAnsi="仿宋" w:cs="仿宋"/>
          <w:sz w:val="28"/>
          <w:szCs w:val="20"/>
          <w:highlight w:val="yellow"/>
        </w:rPr>
      </w:pPr>
      <w:r>
        <w:rPr>
          <w:rFonts w:ascii="仿宋" w:eastAsia="仿宋" w:hAnsi="仿宋" w:cs="仿宋" w:hint="eastAsia"/>
          <w:sz w:val="28"/>
          <w:szCs w:val="20"/>
        </w:rPr>
        <w:t>数据存储、质控等相关要求需按照《集成式交通气象监测仪技术要求》执行，</w:t>
      </w:r>
      <w:r>
        <w:rPr>
          <w:rFonts w:ascii="仿宋" w:eastAsia="仿宋" w:hAnsi="仿宋" w:cs="仿宋" w:hint="eastAsia"/>
          <w:sz w:val="28"/>
          <w:szCs w:val="20"/>
          <w:highlight w:val="yellow"/>
        </w:rPr>
        <w:t>需按照相关数据要求生成标准格式数据，满足通过约定的通信方式和数据协议，将数据上传至省级气象通信系统，在本省天擎进行解码、入库提供服务的同时，将数据上传至国家级气象通信系统，在国家级天擎进行解码、入库提供服务。</w:t>
      </w:r>
    </w:p>
    <w:p>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t>供应商按照业务运行规范要求执行，确保设备稳定运行，</w:t>
      </w:r>
      <w:r>
        <w:rPr>
          <w:rFonts w:ascii="仿宋" w:eastAsia="仿宋" w:hAnsi="仿宋" w:cs="仿宋" w:hint="eastAsia"/>
          <w:sz w:val="28"/>
          <w:szCs w:val="20"/>
        </w:rPr>
        <w:t>负责</w:t>
      </w:r>
      <w:r>
        <w:rPr>
          <w:rFonts w:ascii="仿宋" w:eastAsia="仿宋" w:hAnsi="仿宋" w:cs="仿宋"/>
          <w:sz w:val="28"/>
          <w:szCs w:val="20"/>
        </w:rPr>
        <w:t>故障维修等。</w:t>
      </w:r>
      <w:r>
        <w:rPr>
          <w:rFonts w:ascii="仿宋" w:eastAsia="仿宋" w:hAnsi="仿宋" w:cs="仿宋" w:hint="eastAsia"/>
          <w:sz w:val="28"/>
          <w:szCs w:val="20"/>
        </w:rPr>
        <w:t>按照《</w:t>
      </w:r>
      <w:r>
        <w:rPr>
          <w:rFonts w:ascii="仿宋" w:eastAsia="仿宋" w:hAnsi="仿宋" w:cs="仿宋" w:hint="eastAsia"/>
          <w:sz w:val="28"/>
          <w:szCs w:val="20"/>
        </w:rPr>
        <w:t>“</w:t>
      </w:r>
      <w:r>
        <w:rPr>
          <w:rFonts w:ascii="仿宋" w:eastAsia="仿宋" w:hAnsi="仿宋" w:cs="仿宋" w:hint="eastAsia"/>
          <w:sz w:val="28"/>
          <w:szCs w:val="20"/>
        </w:rPr>
        <w:t>十四五</w:t>
      </w:r>
      <w:r>
        <w:rPr>
          <w:rFonts w:ascii="仿宋" w:eastAsia="仿宋" w:hAnsi="仿宋" w:cs="仿宋" w:hint="eastAsia"/>
          <w:sz w:val="28"/>
          <w:szCs w:val="20"/>
        </w:rPr>
        <w:t>”</w:t>
      </w:r>
      <w:r>
        <w:rPr>
          <w:rFonts w:ascii="仿宋" w:eastAsia="仿宋" w:hAnsi="仿宋" w:cs="仿宋" w:hint="eastAsia"/>
          <w:sz w:val="28"/>
          <w:szCs w:val="20"/>
        </w:rPr>
        <w:t>期间综合观测类工程项目新上设备建设及质保指导意见》（重点项目办函〔2025〕12号）相关要求执行，并提供相关承诺函。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（1）供应商将所有设备运送到招标人指定地点（运输相关费用由供应商负责），并负责安装调试。新建、改建观测场场地平整以及地沟、小路等建设，设备安装完成后场地恢复、绿化等</w:t>
      </w:r>
      <w:r>
        <w:rPr>
          <w:rFonts w:ascii="仿宋" w:eastAsia="仿宋" w:hAnsi="仿宋" w:cs="仿宋" w:hint="eastAsia"/>
          <w:sz w:val="28"/>
          <w:szCs w:val="20"/>
        </w:rPr>
        <w:t>。</w:t>
      </w:r>
      <w:r>
        <w:rPr>
          <w:rFonts w:ascii="仿宋" w:eastAsia="仿宋" w:hAnsi="仿宋" w:cs="仿宋"/>
          <w:sz w:val="28"/>
          <w:szCs w:val="20"/>
        </w:rPr>
        <w:t>设备安装、集成与调试等，包括</w:t>
      </w:r>
      <w:r>
        <w:rPr>
          <w:rFonts w:ascii="仿宋" w:eastAsia="仿宋" w:hAnsi="仿宋" w:cs="仿宋" w:hint="eastAsia"/>
          <w:sz w:val="28"/>
          <w:szCs w:val="20"/>
        </w:rPr>
        <w:t>集成式交通气象监测仪</w:t>
      </w:r>
      <w:r>
        <w:rPr>
          <w:rFonts w:ascii="仿宋" w:eastAsia="仿宋" w:hAnsi="仿宋" w:cs="仿宋"/>
          <w:sz w:val="28"/>
          <w:szCs w:val="20"/>
        </w:rPr>
        <w:t>各类设备安装、集成与调试等</w:t>
      </w:r>
      <w:r>
        <w:rPr>
          <w:rFonts w:ascii="仿宋" w:eastAsia="仿宋" w:hAnsi="仿宋" w:cs="仿宋" w:hint="eastAsia"/>
          <w:sz w:val="28"/>
          <w:szCs w:val="20"/>
        </w:rPr>
        <w:t>，涉及</w:t>
      </w:r>
      <w:r>
        <w:rPr>
          <w:rFonts w:ascii="仿宋" w:eastAsia="仿宋" w:hAnsi="仿宋" w:cs="仿宋"/>
          <w:sz w:val="28"/>
          <w:szCs w:val="20"/>
        </w:rPr>
        <w:t>安装支架（立柱）、线缆、安装结构件等附属设施、仪器安装基础建设等</w:t>
      </w:r>
      <w:r>
        <w:rPr>
          <w:rFonts w:ascii="仿宋" w:eastAsia="仿宋" w:hAnsi="仿宋" w:cs="仿宋" w:hint="eastAsia"/>
          <w:sz w:val="28"/>
          <w:szCs w:val="20"/>
        </w:rPr>
        <w:t>，要</w:t>
      </w:r>
      <w:r>
        <w:rPr>
          <w:rFonts w:ascii="仿宋" w:eastAsia="仿宋" w:hAnsi="仿宋" w:cs="仿宋"/>
          <w:sz w:val="28"/>
          <w:szCs w:val="20"/>
        </w:rPr>
        <w:t>必需</w:t>
      </w:r>
      <w:r>
        <w:rPr>
          <w:rFonts w:ascii="仿宋" w:eastAsia="仿宋" w:hAnsi="仿宋" w:cs="仿宋" w:hint="eastAsia"/>
          <w:sz w:val="28"/>
          <w:szCs w:val="20"/>
        </w:rPr>
        <w:t>安装</w:t>
      </w:r>
      <w:r>
        <w:rPr>
          <w:rFonts w:ascii="仿宋" w:eastAsia="仿宋" w:hAnsi="仿宋" w:cs="仿宋"/>
          <w:sz w:val="28"/>
          <w:szCs w:val="20"/>
        </w:rPr>
        <w:t>；设备布局及建设要求符合</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十四五</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期间综合观测类工程项目新上设备建设技术要求》(气测函〔2025〕226号)</w:t>
      </w:r>
      <w:r>
        <w:rPr>
          <w:rFonts w:ascii="仿宋" w:eastAsia="仿宋" w:hAnsi="仿宋" w:cs="仿宋"/>
          <w:sz w:val="28"/>
          <w:szCs w:val="20"/>
        </w:rPr>
        <w:t>要求。</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（2）</w:t>
      </w:r>
      <w:r>
        <w:rPr>
          <w:rFonts w:ascii="仿宋" w:eastAsia="仿宋" w:hAnsi="仿宋" w:cs="仿宋" w:hint="eastAsia"/>
          <w:color w:val="FF0000"/>
          <w:sz w:val="28"/>
          <w:szCs w:val="20"/>
          <w:highlight w:val="yellow"/>
        </w:rPr>
        <w:t>*</w:t>
      </w:r>
      <w:r>
        <w:rPr>
          <w:rFonts w:ascii="仿宋" w:eastAsia="仿宋" w:hAnsi="仿宋" w:cs="仿宋"/>
          <w:color w:val="FF0000"/>
          <w:sz w:val="28"/>
          <w:szCs w:val="20"/>
          <w:highlight w:val="yellow"/>
        </w:rPr>
        <w:t>质保期：</w:t>
      </w:r>
      <w:r>
        <w:rPr>
          <w:rFonts w:ascii="仿宋" w:eastAsia="仿宋" w:hAnsi="仿宋" w:cs="仿宋" w:hint="eastAsia"/>
          <w:color w:val="FF0000"/>
          <w:sz w:val="28"/>
          <w:szCs w:val="20"/>
          <w:highlight w:val="yellow"/>
        </w:rPr>
        <w:t>8</w:t>
      </w:r>
      <w:r>
        <w:rPr>
          <w:rFonts w:ascii="仿宋" w:eastAsia="仿宋" w:hAnsi="仿宋" w:cs="仿宋"/>
          <w:color w:val="FF0000"/>
          <w:sz w:val="28"/>
          <w:szCs w:val="20"/>
          <w:highlight w:val="yellow"/>
        </w:rPr>
        <w:t>年，</w:t>
      </w:r>
      <w:r>
        <w:rPr>
          <w:rFonts w:ascii="仿宋" w:eastAsia="仿宋" w:hAnsi="仿宋" w:cs="仿宋"/>
          <w:sz w:val="28"/>
          <w:szCs w:val="20"/>
        </w:rPr>
        <w:t>供应商需对质保期（保内、保外）政策进行阐述或承诺，列明有偿服务和无偿服务内容。</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（3）在质保期内，设备供应商服务时间应为7×24小时，当投标产品或软件遭到损坏或出现故障时，要在用户报修之时起48小时内做出响应，开展维修维护工作，视情况双方协商设备恢复正常运行时限。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五、技术培训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8"/>
        </w:rPr>
        <w:t>（1）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（2）技术培训内容包括：设备工作原理、使用方法、日常维护及一般常见故障的诊断及排除等。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（5）培训次数、课时及人数要求详见采购需求-其他技术及商务需求。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六、验收要求（检验考核要求等）</w:t>
      </w:r>
    </w:p>
    <w:p>
      <w:pPr>
        <w:ind w:firstLine="560" w:firstLineChars="200"/>
        <w:rPr>
          <w:rFonts w:eastAsia="仿宋"/>
          <w:sz w:val="28"/>
          <w:szCs w:val="20"/>
        </w:rPr>
      </w:pPr>
      <w:r>
        <w:rPr>
          <w:rFonts w:eastAsia="仿宋" w:hint="eastAsia"/>
          <w:sz w:val="28"/>
          <w:szCs w:val="20"/>
        </w:rPr>
        <w:t>按照</w:t>
      </w:r>
      <w:r>
        <w:rPr>
          <w:rFonts w:eastAsia="仿宋"/>
          <w:sz w:val="28"/>
          <w:szCs w:val="20"/>
        </w:rPr>
        <w:t>功能规格需求书、测试大纲，以及中国气象局最新业务管理规定等有关文件要求开展检验考核。</w:t>
      </w:r>
    </w:p>
    <w:p>
      <w:pPr>
        <w:numPr>
          <w:ilvl w:val="0"/>
          <w:numId w:val="6"/>
        </w:numPr>
        <w:ind w:firstLine="560" w:firstLineChars="200"/>
        <w:rPr>
          <w:rFonts w:eastAsia="仿宋" w:hint="eastAsia"/>
          <w:sz w:val="28"/>
          <w:szCs w:val="20"/>
        </w:rPr>
      </w:pPr>
      <w:r>
        <w:rPr>
          <w:rFonts w:eastAsia="仿宋" w:hint="eastAsia"/>
          <w:sz w:val="28"/>
          <w:szCs w:val="20"/>
        </w:rPr>
        <w:t>提供的</w:t>
      </w:r>
      <w:r>
        <w:rPr>
          <w:rFonts w:ascii="仿宋" w:eastAsia="仿宋" w:hAnsi="仿宋" w:cs="仿宋" w:hint="eastAsia"/>
          <w:sz w:val="28"/>
          <w:szCs w:val="20"/>
        </w:rPr>
        <w:t>集成式交通气象监测仪</w:t>
      </w:r>
      <w:r>
        <w:rPr>
          <w:rFonts w:eastAsia="仿宋" w:hint="eastAsia"/>
          <w:sz w:val="28"/>
          <w:szCs w:val="20"/>
        </w:rPr>
        <w:t>需具备装备许可，否则验收为不合格，追究中标方的责任。</w:t>
      </w:r>
    </w:p>
    <w:p>
      <w:pPr>
        <w:numPr>
          <w:ilvl w:val="0"/>
          <w:numId w:val="6"/>
        </w:numPr>
        <w:ind w:firstLine="560" w:firstLineChars="200"/>
        <w:rPr>
          <w:rFonts w:ascii="仿宋" w:eastAsia="仿宋" w:hAnsi="仿宋" w:cs="仿宋"/>
          <w:sz w:val="28"/>
          <w:szCs w:val="20"/>
        </w:rPr>
      </w:pPr>
      <w:r>
        <w:rPr>
          <w:rFonts w:ascii="仿宋" w:eastAsia="仿宋" w:hAnsi="仿宋" w:cs="仿宋" w:hint="eastAsia"/>
          <w:sz w:val="28"/>
          <w:szCs w:val="20"/>
        </w:rPr>
        <w:t>中标方负责设备的集成、安装和调试，设备安装、调试需达到</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十四五</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期间综合观测类工程项目新上设备建设技术要求》(气测函〔2025〕226号)等文件</w:t>
      </w:r>
      <w:r>
        <w:rPr>
          <w:rFonts w:ascii="仿宋" w:eastAsia="仿宋" w:hAnsi="仿宋" w:cs="仿宋" w:hint="eastAsia"/>
          <w:sz w:val="28"/>
          <w:szCs w:val="20"/>
        </w:rPr>
        <w:t>要求。</w:t>
      </w:r>
    </w:p>
    <w:p>
      <w:pPr>
        <w:numPr>
          <w:ilvl w:val="0"/>
          <w:numId w:val="6"/>
        </w:numPr>
        <w:ind w:firstLine="560" w:firstLineChars="200"/>
        <w:rPr>
          <w:rFonts w:ascii="仿宋" w:eastAsia="仿宋" w:hAnsi="仿宋" w:cs="仿宋" w:hint="eastAsia"/>
          <w:sz w:val="28"/>
          <w:szCs w:val="20"/>
        </w:rPr>
      </w:pPr>
      <w:r>
        <w:rPr>
          <w:rFonts w:ascii="仿宋" w:eastAsia="仿宋" w:hAnsi="仿宋" w:cs="仿宋" w:hint="eastAsia"/>
          <w:sz w:val="28"/>
          <w:szCs w:val="20"/>
        </w:rPr>
        <w:t>设备按照《</w:t>
      </w:r>
      <w:r>
        <w:rPr>
          <w:rFonts w:ascii="仿宋" w:eastAsia="仿宋" w:hAnsi="仿宋" w:cs="仿宋" w:hint="eastAsia"/>
          <w:sz w:val="28"/>
          <w:szCs w:val="20"/>
        </w:rPr>
        <w:t>“</w:t>
      </w:r>
      <w:r>
        <w:rPr>
          <w:rFonts w:ascii="仿宋" w:eastAsia="仿宋" w:hAnsi="仿宋" w:cs="仿宋" w:hint="eastAsia"/>
          <w:sz w:val="28"/>
          <w:szCs w:val="20"/>
        </w:rPr>
        <w:t>十四五</w:t>
      </w:r>
      <w:r>
        <w:rPr>
          <w:rFonts w:ascii="仿宋" w:eastAsia="仿宋" w:hAnsi="仿宋" w:cs="仿宋" w:hint="eastAsia"/>
          <w:sz w:val="28"/>
          <w:szCs w:val="20"/>
        </w:rPr>
        <w:t>”</w:t>
      </w:r>
      <w:r>
        <w:rPr>
          <w:rFonts w:ascii="仿宋" w:eastAsia="仿宋" w:hAnsi="仿宋" w:cs="仿宋" w:hint="eastAsia"/>
          <w:sz w:val="28"/>
          <w:szCs w:val="20"/>
        </w:rPr>
        <w:t>期间综合观测类工程项目新上设备验收技术指南（极端灾害性天气短临预警能力提升工程分册）》</w:t>
      </w:r>
      <w:r>
        <w:rPr>
          <w:rFonts w:ascii="仿宋_GB2312" w:eastAsia="仿宋_GB2312" w:hAnsi="仿宋_GB2312" w:cs="仿宋_GB2312" w:hint="eastAsia"/>
          <w:bCs/>
          <w:sz w:val="28"/>
          <w:szCs w:val="28"/>
        </w:rPr>
        <w:t>（气测函〔2026〕56号）等文件要求</w:t>
      </w:r>
      <w:r>
        <w:rPr>
          <w:rFonts w:ascii="仿宋" w:eastAsia="仿宋" w:hAnsi="仿宋" w:cs="仿宋" w:hint="eastAsia"/>
          <w:sz w:val="28"/>
          <w:szCs w:val="20"/>
        </w:rPr>
        <w:t>开展验收。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七、其他要求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70" w:lineRule="exact"/>
        <w:ind w:left="0" w:firstLine="560" w:leftChars="0" w:firstLineChars="200"/>
        <w:rPr>
          <w:rFonts w:ascii="仿宋" w:eastAsia="仿宋" w:hAnsi="仿宋" w:cs="Times New Roman" w:hint="eastAsia"/>
          <w:sz w:val="28"/>
          <w:szCs w:val="28"/>
        </w:rPr>
      </w:pPr>
      <w:r>
        <w:rPr>
          <w:rFonts w:ascii="仿宋" w:eastAsia="仿宋" w:hAnsi="仿宋" w:hint="eastAsia"/>
          <w:sz w:val="28"/>
          <w:szCs w:val="28"/>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92"/>
        <w:gridCol w:w="1395"/>
        <w:gridCol w:w="643"/>
        <w:gridCol w:w="893"/>
        <w:gridCol w:w="1019"/>
        <w:gridCol w:w="643"/>
        <w:gridCol w:w="357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集成式交通气象监测仪</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1,038,000.00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含8年质保；含设备安装必要的基础和附属设施以及无线通信费</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1,038,000.00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75"/>
        <w:gridCol w:w="1199"/>
        <w:gridCol w:w="979"/>
        <w:gridCol w:w="275"/>
        <w:gridCol w:w="627"/>
        <w:gridCol w:w="523"/>
        <w:gridCol w:w="2036"/>
        <w:gridCol w:w="260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省气象数据中心(001052512)</w:t>
            </w:r>
          </w:p>
        </w:tc>
        <w:tc>
          <w:tcPr/>
          <w:p>
            <w:r>
              <w:t>集成式交通气象监测仪</w:t>
            </w:r>
          </w:p>
        </w:tc>
        <w:tc>
          <w:tcPr/>
          <w:p>
            <w:r>
              <w:t>6</w:t>
            </w:r>
          </w:p>
        </w:tc>
        <w:tc>
          <w:tcPr/>
          <w:p>
            <w:r>
              <w:t>1038000.00</w:t>
            </w:r>
          </w:p>
        </w:tc>
        <w:tc>
          <w:tcPr/>
          <w:p>
            <w:r>
              <w:t xml:space="preserve">1038000.00  </w:t>
            </w:r>
          </w:p>
        </w:tc>
        <w:tc>
          <w:tcPr/>
          <w:p>
            <w:r>
              <w:t>贵州省白云区、修文县、息烽县、遵义县、汇川区</w:t>
            </w:r>
          </w:p>
        </w:tc>
        <w:tc>
          <w:tcPr/>
          <w:p>
            <w:r>
              <w:t>贵州省气象数据中心(贵州省气象探测中心、贵州省气象档案馆） 李艳 18786105308</w:t>
            </w: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default"/>
          <w:sz w:val="28"/>
          <w:szCs w:val="20"/>
        </w:rPr>
      </w:pPr>
      <w:r>
        <w:rPr>
          <w:rFonts w:ascii="仿宋" w:eastAsia="仿宋" w:hAnsi="仿宋" w:cs="仿宋" w:hint="default"/>
          <w:sz w:val="28"/>
          <w:szCs w:val="20"/>
        </w:rPr>
        <w:t>贵州省在G75</w:t>
      </w:r>
      <w:bookmarkStart w:id="70" w:name="OLE_LINK10"/>
      <w:r>
        <w:rPr>
          <w:rFonts w:ascii="仿宋" w:eastAsia="仿宋" w:hAnsi="仿宋" w:cs="仿宋" w:hint="default"/>
          <w:sz w:val="28"/>
          <w:szCs w:val="20"/>
        </w:rPr>
        <w:t>黔渝高速公路沿线</w:t>
      </w:r>
      <w:bookmarkEnd w:id="70"/>
      <w:r>
        <w:rPr>
          <w:rFonts w:ascii="仿宋" w:eastAsia="仿宋" w:hAnsi="仿宋" w:cs="仿宋" w:hint="default"/>
          <w:sz w:val="28"/>
          <w:szCs w:val="20"/>
        </w:rPr>
        <w:t>的暴雨、浓雾、雨雪冰冻等交通气象灾害多发路段，参照《集成式交通气象监测仪技术要求》（气办发〔2024〕70号），新建</w:t>
      </w:r>
      <w:r>
        <w:rPr>
          <w:rFonts w:ascii="仿宋" w:eastAsia="仿宋" w:hAnsi="仿宋" w:cs="仿宋" w:hint="eastAsia"/>
          <w:sz w:val="28"/>
          <w:szCs w:val="20"/>
          <w:lang w:val="en-US" w:eastAsia="zh-CN"/>
        </w:rPr>
        <w:t>6</w:t>
      </w:r>
      <w:r>
        <w:rPr>
          <w:rFonts w:ascii="仿宋" w:eastAsia="仿宋" w:hAnsi="仿宋" w:cs="仿宋" w:hint="default"/>
          <w:sz w:val="28"/>
          <w:szCs w:val="20"/>
        </w:rPr>
        <w:t>套集成式交通气象监测仪，实现对公路沿线路面状况、能见度、路面温度、气温、相对湿度、气压、风速、风向、降雨强度的实时监测。</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6</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8</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eastAsia="zh-CN"/>
        </w:rPr>
        <w:t>贵州省白云区</w:t>
      </w:r>
      <w:r>
        <w:rPr>
          <w:rFonts w:ascii="仿宋" w:eastAsia="仿宋" w:hAnsi="仿宋" w:cs="仿宋" w:hint="eastAsia"/>
          <w:sz w:val="28"/>
          <w:szCs w:val="20"/>
          <w:lang w:val="en-US" w:eastAsia="zh-CN"/>
        </w:rPr>
        <w:t>、修文县、息烽县、遵义县和汇川区</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支持TCP、UDP通信协议，通过气象宽带网、互联网和行业专网无缝接入省级汇聚处理中心站，观测数据格式和文件名按照中国气象局要求，形成消息和文件数据格式，实现与国内气象通信系统(CTS)无缝接入，观测数据能接入省级天擎和国家级天擎，且需遵循气象大数据云平台技术要求和接口规范。</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default"/>
          <w:sz w:val="28"/>
          <w:szCs w:val="20"/>
        </w:rPr>
      </w:pPr>
      <w:r>
        <w:rPr>
          <w:rFonts w:ascii="仿宋" w:eastAsia="仿宋" w:hAnsi="仿宋" w:cs="仿宋" w:hint="eastAsia"/>
          <w:sz w:val="28"/>
          <w:szCs w:val="20"/>
          <w:lang w:eastAsia="zh-CN"/>
        </w:rPr>
        <w:t>无。</w:t>
      </w:r>
    </w:p>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1"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8"/>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spacing w:line="320" w:lineRule="exact"/>
              <w:ind w:firstLine="36" w:firstLineChars="20"/>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以下产品需要提供至投标截止日仍有效的《气象专用技术装备使用许可证》：</w:t>
            </w:r>
          </w:p>
          <w:p>
            <w:pPr>
              <w:tabs>
                <w:tab w:val="left" w:pos="709"/>
              </w:tabs>
              <w:spacing w:line="360" w:lineRule="auto"/>
              <w:jc w:val="left"/>
              <w:rPr>
                <w:rFonts w:ascii="宋体" w:hAnsi="宋体" w:cs="微软雅黑" w:hint="eastAsia"/>
                <w:b/>
                <w:color w:val="0000FF"/>
                <w:kern w:val="0"/>
                <w:sz w:val="18"/>
                <w:szCs w:val="18"/>
                <w:highlight w:val="none"/>
              </w:rPr>
            </w:pPr>
            <w:bookmarkStart w:id="72" w:name="OLE_LINK1"/>
            <w:r>
              <w:rPr>
                <w:rFonts w:ascii="宋体" w:hAnsi="宋体" w:cs="微软雅黑" w:hint="eastAsia"/>
                <w:b/>
                <w:color w:val="0000FF"/>
                <w:kern w:val="0"/>
                <w:sz w:val="18"/>
                <w:szCs w:val="18"/>
                <w:highlight w:val="none"/>
                <w:lang w:val="en-US" w:eastAsia="zh-CN"/>
              </w:rPr>
              <w:t>1.</w:t>
            </w:r>
            <w:r>
              <w:rPr>
                <w:rFonts w:ascii="宋体" w:hAnsi="宋体" w:cs="微软雅黑" w:hint="eastAsia"/>
                <w:b/>
                <w:color w:val="0000FF"/>
                <w:kern w:val="0"/>
                <w:sz w:val="18"/>
                <w:szCs w:val="18"/>
                <w:highlight w:val="none"/>
              </w:rPr>
              <w:t>集成式交通气象监测仪</w:t>
            </w:r>
            <w:bookmarkEnd w:id="72"/>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8"/>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eastAsia="zh-CN"/>
              </w:rPr>
              <w:t>四、</w:t>
            </w:r>
            <w:r>
              <w:rPr>
                <w:rFonts w:ascii="宋体" w:hAnsi="宋体" w:hint="eastAsia"/>
                <w:sz w:val="18"/>
                <w:szCs w:val="18"/>
                <w:highlight w:val="none"/>
              </w:rPr>
              <w:t>质保服务要求</w:t>
            </w:r>
          </w:p>
          <w:p>
            <w:pPr>
              <w:jc w:val="center"/>
              <w:rPr>
                <w:rFonts w:ascii="宋体" w:hAnsi="宋体" w:hint="eastAsia"/>
                <w:sz w:val="18"/>
                <w:szCs w:val="18"/>
                <w:highlight w:val="none"/>
              </w:rPr>
            </w:pPr>
          </w:p>
        </w:tc>
        <w:tc>
          <w:tcPr>
            <w:tcW w:w="7347" w:type="dxa"/>
            <w:shd w:val="clear" w:color="auto" w:fill="auto"/>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rPr>
              <w:t>*质保期：8年，供应商需对质保期（保内、保外）政策进行阐述或承诺，列明有偿服务和无偿服务内容。</w:t>
            </w:r>
          </w:p>
        </w:tc>
      </w:tr>
    </w:tbl>
    <w:p>
      <w:pPr>
        <w:spacing w:before="156" w:beforeLines="50" w:line="360" w:lineRule="auto"/>
        <w:ind w:firstLine="420"/>
        <w:rPr>
          <w:highlight w:val="none"/>
        </w:rPr>
      </w:pPr>
      <w:r>
        <w:rPr>
          <w:rFonts w:ascii="宋体" w:hAnsi="宋体" w:hint="eastAsia"/>
          <w:szCs w:val="21"/>
          <w:highlight w:val="none"/>
        </w:rPr>
        <w:t>注：根据项目具</w:t>
      </w:r>
      <w:r>
        <w:rPr>
          <w:rFonts w:ascii="宋体" w:hAnsi="宋体" w:hint="eastAsia"/>
          <w:szCs w:val="21"/>
          <w:highlight w:val="none"/>
        </w:rPr>
        <w:t>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b/>
          <w:bCs/>
          <w:szCs w:val="21"/>
        </w:rPr>
      </w:pPr>
      <w:bookmarkStart w:id="73" w:name="采购公告合同部分_ZBGGHT"/>
      <w:r>
        <w:rPr>
          <w:b/>
          <w:bCs/>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b/>
          <w:bCs/>
          <w:szCs w:val="21"/>
        </w:rPr>
        <w:instrText>ADDIN CNKISM.UserStyle</w:instrText>
      </w:r>
      <w:r>
        <w:rPr>
          <w:b/>
          <w:bCs/>
          <w:szCs w:val="21"/>
        </w:rPr>
        <w:fldChar w:fldCharType="separate"/>
      </w:r>
      <w:r>
        <w:rPr>
          <w:b/>
          <w:bCs/>
          <w:szCs w:val="21"/>
        </w:rPr>
        <w:fldChar w:fldCharType="end"/>
      </w: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74"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num="1" w:space="720"/>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rPr>
      </w:pPr>
      <w:bookmarkStart w:id="75"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5"/>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tbl>
      <w:tblPr>
        <w:tblStyle w:val="TableNormal"/>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3"/>
        <w:gridCol w:w="956"/>
        <w:gridCol w:w="669"/>
        <w:gridCol w:w="537"/>
        <w:gridCol w:w="1489"/>
        <w:gridCol w:w="1489"/>
        <w:gridCol w:w="644"/>
        <w:gridCol w:w="668"/>
        <w:gridCol w:w="966"/>
      </w:tblGrid>
      <w:tr>
        <w:tblPrEx>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37"/>
          <w:jc w:val="center"/>
        </w:trPr>
        <w:tc>
          <w:tcPr>
            <w:tcW w:w="533"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序号</w:t>
            </w:r>
          </w:p>
        </w:tc>
        <w:tc>
          <w:tcPr>
            <w:tcW w:w="1625" w:type="dxa"/>
            <w:gridSpan w:val="2"/>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服务产品名称</w:t>
            </w:r>
          </w:p>
        </w:tc>
        <w:tc>
          <w:tcPr>
            <w:tcW w:w="537"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数量</w:t>
            </w:r>
          </w:p>
        </w:tc>
        <w:tc>
          <w:tcPr>
            <w:tcW w:w="1489"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jc w:val="center"/>
              <w:rPr>
                <w:rFonts w:ascii="宋体" w:hAnsi="宋体" w:cs="宋体" w:hint="eastAsia"/>
                <w:szCs w:val="21"/>
              </w:rPr>
            </w:pPr>
            <w:r>
              <w:rPr>
                <w:rFonts w:ascii="宋体" w:hAnsi="宋体" w:cs="宋体" w:hint="eastAsia"/>
                <w:szCs w:val="21"/>
              </w:rPr>
              <w:t>品牌</w:t>
            </w:r>
          </w:p>
        </w:tc>
        <w:tc>
          <w:tcPr>
            <w:tcW w:w="1489"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jc w:val="center"/>
              <w:rPr>
                <w:sz w:val="20"/>
                <w:szCs w:val="21"/>
              </w:rPr>
            </w:pPr>
            <w:r>
              <w:rPr>
                <w:rFonts w:ascii="宋体" w:hAnsi="宋体" w:cs="宋体" w:hint="eastAsia"/>
                <w:szCs w:val="21"/>
              </w:rPr>
              <w:t>规格型号</w:t>
            </w:r>
          </w:p>
        </w:tc>
        <w:tc>
          <w:tcPr>
            <w:tcW w:w="643" w:type="dxa"/>
            <w:tcBorders>
              <w:top w:val="single" w:sz="4" w:space="0" w:color="auto"/>
              <w:left w:val="single" w:sz="4" w:space="0" w:color="auto"/>
              <w:bottom w:val="single" w:sz="4" w:space="0" w:color="auto"/>
              <w:right w:val="single" w:sz="4" w:space="0" w:color="auto"/>
            </w:tcBorders>
            <w:noWrap w:val="0"/>
            <w:vAlign w:val="top"/>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单价（元）</w:t>
            </w:r>
          </w:p>
        </w:tc>
        <w:tc>
          <w:tcPr>
            <w:tcW w:w="668"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总价（元）</w:t>
            </w:r>
          </w:p>
        </w:tc>
        <w:tc>
          <w:tcPr>
            <w:tcW w:w="966"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交付时间</w:t>
            </w:r>
          </w:p>
        </w:tc>
      </w:tr>
      <w:tr>
        <w:tblPrEx>
          <w:tblW w:w="7951" w:type="dxa"/>
          <w:jc w:val="center"/>
          <w:tblLayout w:type="fixed"/>
          <w:tblCellMar>
            <w:top w:w="0" w:type="dxa"/>
            <w:left w:w="108" w:type="dxa"/>
            <w:bottom w:w="0" w:type="dxa"/>
            <w:right w:w="108" w:type="dxa"/>
          </w:tblCellMar>
        </w:tblPrEx>
        <w:trPr>
          <w:trHeight w:val="372"/>
          <w:jc w:val="center"/>
        </w:trPr>
        <w:tc>
          <w:tcPr>
            <w:tcW w:w="533"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noWrap w:val="0"/>
            <w:vAlign w:val="top"/>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noWrap w:val="0"/>
            <w:vAlign w:val="top"/>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PrEx>
        <w:trPr>
          <w:trHeight w:val="365"/>
          <w:jc w:val="center"/>
        </w:trPr>
        <w:tc>
          <w:tcPr>
            <w:tcW w:w="533"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noWrap w:val="0"/>
            <w:vAlign w:val="top"/>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noWrap w:val="0"/>
            <w:vAlign w:val="top"/>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PrEx>
        <w:trPr>
          <w:trHeight w:val="372"/>
          <w:jc w:val="center"/>
        </w:trPr>
        <w:tc>
          <w:tcPr>
            <w:tcW w:w="533"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noWrap w:val="0"/>
            <w:vAlign w:val="top"/>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noWrap w:val="0"/>
            <w:vAlign w:val="top"/>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PrEx>
        <w:trPr>
          <w:trHeight w:val="365"/>
          <w:jc w:val="center"/>
        </w:trPr>
        <w:tc>
          <w:tcPr>
            <w:tcW w:w="1489" w:type="dxa"/>
            <w:gridSpan w:val="2"/>
            <w:tcBorders>
              <w:top w:val="single" w:sz="4" w:space="0" w:color="auto"/>
              <w:left w:val="single" w:sz="4" w:space="0" w:color="auto"/>
              <w:bottom w:val="single" w:sz="4" w:space="0" w:color="auto"/>
              <w:right w:val="single" w:sz="4" w:space="0" w:color="auto"/>
            </w:tcBorders>
            <w:noWrap w:val="0"/>
            <w:vAlign w:val="top"/>
          </w:tcPr>
          <w:p>
            <w:pPr>
              <w:tabs>
                <w:tab w:val="left" w:pos="1573"/>
              </w:tabs>
              <w:autoSpaceDE w:val="0"/>
              <w:autoSpaceDN w:val="0"/>
              <w:adjustRightInd w:val="0"/>
              <w:snapToGrid w:val="0"/>
              <w:spacing w:line="360" w:lineRule="auto"/>
              <w:jc w:val="center"/>
              <w:rPr>
                <w:rFonts w:ascii="宋体" w:hAnsi="宋体" w:hint="eastAsia"/>
                <w:sz w:val="20"/>
                <w:szCs w:val="21"/>
              </w:rPr>
            </w:pPr>
          </w:p>
        </w:tc>
        <w:tc>
          <w:tcPr>
            <w:tcW w:w="4828" w:type="dxa"/>
            <w:gridSpan w:val="5"/>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合计</w:t>
            </w:r>
          </w:p>
        </w:tc>
        <w:tc>
          <w:tcPr>
            <w:tcW w:w="668"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noWrap w:val="0"/>
            <w:vAlign w:val="center"/>
          </w:tcPr>
          <w:p>
            <w:pPr>
              <w:tabs>
                <w:tab w:val="left" w:pos="1573"/>
              </w:tabs>
              <w:autoSpaceDE w:val="0"/>
              <w:autoSpaceDN w:val="0"/>
              <w:adjustRightInd w:val="0"/>
              <w:snapToGrid w:val="0"/>
              <w:spacing w:line="360" w:lineRule="auto"/>
              <w:rPr>
                <w:rFonts w:ascii="宋体" w:hAnsi="宋体"/>
                <w:sz w:val="20"/>
                <w:szCs w:val="21"/>
              </w:rPr>
            </w:pPr>
          </w:p>
        </w:tc>
      </w:tr>
    </w:tbl>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采购标的的技术要求、商务要求具体见招标文件。</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FE"/>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（应明确分期支付合同款项的各期比例和支付条件，各期支付条件应与分期履约验收情况挂钩） </w:t>
      </w:r>
      <w:r>
        <w:rPr>
          <w:rFonts w:ascii="宋体" w:hAnsi="宋体" w:hint="eastAsia"/>
          <w:szCs w:val="21"/>
        </w:rPr>
        <w:t>，其中涉及预付款的：</w:t>
      </w:r>
      <w:r>
        <w:rPr>
          <w:rFonts w:ascii="宋体" w:hAnsi="宋体" w:hint="eastAsia"/>
          <w:szCs w:val="21"/>
          <w:u w:val="single"/>
        </w:rPr>
        <w:t xml:space="preserve">  </w:t>
      </w:r>
    </w:p>
    <w:p>
      <w:pPr>
        <w:numPr>
          <w:ilvl w:val="0"/>
          <w:numId w:val="10"/>
        </w:numPr>
        <w:snapToGrid w:val="0"/>
        <w:spacing w:line="400" w:lineRule="exact"/>
        <w:ind w:firstLine="630" w:firstLineChars="300"/>
        <w:rPr>
          <w:rFonts w:ascii="宋体" w:hAnsi="宋体" w:hint="eastAsia"/>
          <w:szCs w:val="21"/>
          <w:highlight w:val="yellow"/>
        </w:rPr>
      </w:pPr>
      <w:r>
        <w:rPr>
          <w:rFonts w:ascii="宋体" w:hAnsi="宋体" w:hint="eastAsia"/>
          <w:szCs w:val="21"/>
          <w:highlight w:val="yellow"/>
        </w:rPr>
        <w:t>签订本协议后</w:t>
      </w:r>
      <w:r>
        <w:rPr>
          <w:rFonts w:ascii="宋体" w:hAnsi="宋体" w:hint="eastAsia"/>
          <w:szCs w:val="21"/>
          <w:highlight w:val="yellow"/>
          <w:u w:val="single"/>
        </w:rPr>
        <w:t xml:space="preserve"> </w:t>
      </w:r>
      <w:r>
        <w:rPr>
          <w:rFonts w:ascii="宋体" w:hAnsi="宋体" w:hint="eastAsia"/>
          <w:szCs w:val="21"/>
          <w:highlight w:val="yellow"/>
          <w:u w:val="single"/>
          <w:lang w:val="en-US" w:eastAsia="zh-CN"/>
        </w:rPr>
        <w:t>30</w:t>
      </w:r>
      <w:r>
        <w:rPr>
          <w:rFonts w:ascii="宋体" w:hAnsi="宋体" w:hint="eastAsia"/>
          <w:szCs w:val="21"/>
          <w:highlight w:val="yellow"/>
          <w:u w:val="single"/>
        </w:rPr>
        <w:t xml:space="preserve">  个工作</w:t>
      </w:r>
      <w:r>
        <w:rPr>
          <w:rFonts w:ascii="宋体" w:hAnsi="宋体" w:hint="eastAsia"/>
          <w:szCs w:val="21"/>
          <w:highlight w:val="yellow"/>
        </w:rPr>
        <w:t>日内甲方支付乙方合同金额的</w:t>
      </w:r>
      <w:r>
        <w:rPr>
          <w:rFonts w:ascii="宋体" w:hAnsi="宋体"/>
          <w:szCs w:val="21"/>
          <w:highlight w:val="yellow"/>
          <w:u w:val="single"/>
        </w:rPr>
        <w:t xml:space="preserve"> </w:t>
      </w:r>
      <w:r>
        <w:rPr>
          <w:rFonts w:ascii="宋体" w:hAnsi="宋体" w:hint="eastAsia"/>
          <w:szCs w:val="21"/>
          <w:highlight w:val="yellow"/>
          <w:u w:val="single"/>
          <w:lang w:val="en-US" w:eastAsia="zh-CN"/>
        </w:rPr>
        <w:t>90</w:t>
      </w:r>
      <w:r>
        <w:rPr>
          <w:rFonts w:ascii="宋体" w:hAnsi="宋体"/>
          <w:szCs w:val="21"/>
          <w:highlight w:val="yellow"/>
          <w:u w:val="single"/>
        </w:rPr>
        <w:t xml:space="preserve"> </w:t>
      </w:r>
      <w:r>
        <w:rPr>
          <w:rFonts w:ascii="宋体" w:hAnsi="宋体" w:hint="eastAsia"/>
          <w:szCs w:val="21"/>
          <w:highlight w:val="yellow"/>
          <w:u w:val="single"/>
        </w:rPr>
        <w:t>%，</w:t>
      </w:r>
      <w:r>
        <w:rPr>
          <w:rFonts w:ascii="宋体" w:hAnsi="宋体" w:hint="eastAsia"/>
          <w:szCs w:val="21"/>
          <w:highlight w:val="yellow"/>
        </w:rPr>
        <w:t>即人民币</w:t>
      </w:r>
    </w:p>
    <w:p>
      <w:pPr>
        <w:snapToGrid w:val="0"/>
        <w:spacing w:line="400" w:lineRule="exact"/>
        <w:rPr>
          <w:rFonts w:ascii="宋体" w:hAnsi="宋体" w:hint="eastAsia"/>
          <w:szCs w:val="21"/>
          <w:highlight w:val="yellow"/>
        </w:rPr>
      </w:pPr>
      <w:r>
        <w:rPr>
          <w:rFonts w:ascii="宋体" w:hAnsi="宋体" w:hint="eastAsia"/>
          <w:szCs w:val="21"/>
          <w:highlight w:val="yellow"/>
        </w:rPr>
        <w:t xml:space="preserve"> </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numPr>
          <w:ilvl w:val="0"/>
          <w:numId w:val="10"/>
        </w:numPr>
        <w:snapToGrid w:val="0"/>
        <w:spacing w:line="400" w:lineRule="exact"/>
        <w:ind w:firstLine="630" w:firstLineChars="300"/>
        <w:rPr>
          <w:rFonts w:ascii="宋体" w:hAnsi="宋体" w:hint="eastAsia"/>
          <w:szCs w:val="21"/>
          <w:highlight w:val="yellow"/>
        </w:rPr>
      </w:pPr>
      <w:r>
        <w:rPr>
          <w:rFonts w:ascii="宋体" w:hAnsi="宋体" w:hint="eastAsia"/>
          <w:szCs w:val="21"/>
          <w:highlight w:val="yellow"/>
        </w:rPr>
        <w:t>到货且完成现场安装，</w:t>
      </w:r>
      <w:r>
        <w:rPr>
          <w:rFonts w:hAnsi="宋体" w:hint="eastAsia"/>
          <w:kern w:val="0"/>
          <w:highlight w:val="yellow"/>
        </w:rPr>
        <w:t>经甲方核对无误、检验合格后</w:t>
      </w:r>
      <w:r>
        <w:rPr>
          <w:rFonts w:ascii="宋体" w:hAnsi="宋体" w:hint="eastAsia"/>
          <w:szCs w:val="21"/>
          <w:highlight w:val="yellow"/>
          <w:u w:val="single"/>
          <w:lang w:val="en-US" w:eastAsia="zh-CN"/>
        </w:rPr>
        <w:t>30</w:t>
      </w:r>
      <w:r>
        <w:rPr>
          <w:rFonts w:ascii="宋体" w:hAnsi="宋体" w:hint="eastAsia"/>
          <w:szCs w:val="21"/>
          <w:highlight w:val="yellow"/>
          <w:u w:val="single"/>
        </w:rPr>
        <w:t xml:space="preserve"> </w:t>
      </w:r>
      <w:r>
        <w:rPr>
          <w:rFonts w:hAnsi="宋体" w:hint="eastAsia"/>
          <w:kern w:val="0"/>
          <w:highlight w:val="yellow"/>
          <w:u w:val="single"/>
        </w:rPr>
        <w:t>个工作日内</w:t>
      </w:r>
      <w:r>
        <w:rPr>
          <w:rFonts w:hAnsi="宋体" w:hint="eastAsia"/>
          <w:kern w:val="0"/>
          <w:highlight w:val="yellow"/>
        </w:rPr>
        <w:t>，</w:t>
      </w:r>
      <w:r>
        <w:rPr>
          <w:rFonts w:ascii="宋体" w:hAnsi="宋体" w:hint="eastAsia"/>
          <w:szCs w:val="21"/>
          <w:highlight w:val="yellow"/>
        </w:rPr>
        <w:t>甲方向乙方支付合同总金额的</w:t>
      </w:r>
      <w:r>
        <w:rPr>
          <w:rFonts w:ascii="宋体" w:hAnsi="宋体" w:hint="eastAsia"/>
          <w:szCs w:val="21"/>
          <w:highlight w:val="yellow"/>
          <w:u w:val="single"/>
        </w:rPr>
        <w:t xml:space="preserve"> </w:t>
      </w:r>
      <w:r>
        <w:rPr>
          <w:rFonts w:ascii="宋体" w:hAnsi="宋体" w:hint="eastAsia"/>
          <w:szCs w:val="21"/>
          <w:highlight w:val="yellow"/>
          <w:u w:val="single"/>
          <w:lang w:val="en-US" w:eastAsia="zh-CN"/>
        </w:rPr>
        <w:t>5</w:t>
      </w:r>
      <w:r>
        <w:rPr>
          <w:rFonts w:ascii="宋体" w:hAnsi="宋体" w:hint="eastAsia"/>
          <w:szCs w:val="21"/>
          <w:highlight w:val="yellow"/>
          <w:u w:val="single"/>
        </w:rPr>
        <w:t xml:space="preserve">  </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numPr>
          <w:ilvl w:val="0"/>
          <w:numId w:val="10"/>
        </w:numPr>
        <w:snapToGrid w:val="0"/>
        <w:spacing w:line="400" w:lineRule="exact"/>
        <w:ind w:firstLine="630" w:firstLineChars="300"/>
        <w:rPr>
          <w:rFonts w:ascii="宋体" w:hAnsi="宋体" w:hint="eastAsia"/>
          <w:szCs w:val="21"/>
          <w:u w:val="single"/>
        </w:rPr>
      </w:pPr>
      <w:r>
        <w:rPr>
          <w:rFonts w:hint="eastAsia"/>
          <w:highlight w:val="yellow"/>
        </w:rPr>
        <w:t>完成现场验收和合同验收后</w:t>
      </w:r>
      <w:r>
        <w:rPr>
          <w:rFonts w:ascii="宋体" w:hAnsi="宋体" w:hint="eastAsia"/>
          <w:szCs w:val="21"/>
          <w:highlight w:val="yellow"/>
          <w:u w:val="single"/>
          <w:lang w:val="en-US" w:eastAsia="zh-CN"/>
        </w:rPr>
        <w:t>30</w:t>
      </w:r>
      <w:r>
        <w:rPr>
          <w:rFonts w:ascii="宋体" w:hAnsi="宋体" w:hint="eastAsia"/>
          <w:szCs w:val="21"/>
          <w:highlight w:val="yellow"/>
          <w:u w:val="single"/>
        </w:rPr>
        <w:t xml:space="preserve"> </w:t>
      </w:r>
      <w:r>
        <w:rPr>
          <w:rFonts w:hAnsi="宋体" w:hint="eastAsia"/>
          <w:kern w:val="0"/>
          <w:highlight w:val="yellow"/>
          <w:u w:val="single"/>
        </w:rPr>
        <w:t>个工作日内</w:t>
      </w:r>
      <w:r>
        <w:rPr>
          <w:rFonts w:hAnsi="宋体" w:hint="eastAsia"/>
          <w:kern w:val="0"/>
          <w:highlight w:val="yellow"/>
        </w:rPr>
        <w:t>，</w:t>
      </w:r>
      <w:r>
        <w:rPr>
          <w:rFonts w:ascii="宋体" w:hAnsi="宋体" w:hint="eastAsia"/>
          <w:szCs w:val="21"/>
          <w:highlight w:val="yellow"/>
        </w:rPr>
        <w:t>甲方向乙方支付合同总金额的</w:t>
      </w:r>
      <w:r>
        <w:rPr>
          <w:rFonts w:ascii="宋体" w:hAnsi="宋体" w:hint="eastAsia"/>
          <w:szCs w:val="21"/>
          <w:highlight w:val="yellow"/>
          <w:u w:val="single"/>
        </w:rPr>
        <w:t xml:space="preserve">  </w:t>
      </w:r>
      <w:r>
        <w:rPr>
          <w:rFonts w:ascii="宋体" w:hAnsi="宋体" w:hint="eastAsia"/>
          <w:szCs w:val="21"/>
          <w:highlight w:val="yellow"/>
          <w:u w:val="single"/>
          <w:lang w:val="en-US" w:eastAsia="zh-CN"/>
        </w:rPr>
        <w:t>5</w:t>
      </w:r>
      <w:r>
        <w:rPr>
          <w:rFonts w:ascii="宋体" w:hAnsi="宋体" w:hint="eastAsia"/>
          <w:szCs w:val="21"/>
          <w:highlight w:val="yellow"/>
          <w:u w:val="single"/>
        </w:rPr>
        <w:t xml:space="preserve">   </w:t>
      </w:r>
      <w:r>
        <w:rPr>
          <w:rFonts w:ascii="宋体" w:hAnsi="宋体" w:hint="eastAsia"/>
          <w:szCs w:val="21"/>
          <w:highlight w:val="yellow"/>
        </w:rPr>
        <w:t>%，即人民币</w:t>
      </w:r>
      <w:r>
        <w:rPr>
          <w:rFonts w:ascii="宋体" w:hAnsi="宋体" w:hint="eastAsia"/>
          <w:szCs w:val="21"/>
          <w:highlight w:val="yellow"/>
          <w:u w:val="single"/>
        </w:rPr>
        <w:t xml:space="preserve">              </w:t>
      </w:r>
      <w:r>
        <w:rPr>
          <w:rFonts w:ascii="宋体" w:hAnsi="宋体" w:hint="eastAsia"/>
          <w:szCs w:val="21"/>
          <w:highlight w:val="yellow"/>
        </w:rPr>
        <w:t>元（大写）：</w:t>
      </w:r>
      <w:r>
        <w:rPr>
          <w:rFonts w:ascii="宋体" w:hAnsi="宋体" w:hint="eastAsia"/>
          <w:szCs w:val="21"/>
          <w:highlight w:val="yellow"/>
          <w:u w:val="single"/>
        </w:rPr>
        <w:t xml:space="preserve">          </w:t>
      </w:r>
      <w:r>
        <w:rPr>
          <w:rFonts w:ascii="宋体" w:hAnsi="宋体" w:hint="eastAsia"/>
          <w:szCs w:val="21"/>
          <w:highlight w:val="yellow"/>
        </w:rPr>
        <w:t>元（小写）。</w:t>
      </w:r>
    </w:p>
    <w:p>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8"/>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合同履行及验收</w:t>
      </w:r>
    </w:p>
    <w:p>
      <w:pPr>
        <w:adjustRightInd w:val="0"/>
        <w:snapToGrid w:val="0"/>
        <w:spacing w:line="360" w:lineRule="auto"/>
        <w:ind w:left="420"/>
        <w:rPr>
          <w:b/>
        </w:rPr>
      </w:pPr>
      <w:r>
        <w:rPr>
          <w:rFonts w:ascii="宋体" w:hAnsi="宋体" w:hint="eastAsia"/>
          <w:b/>
          <w:szCs w:val="21"/>
        </w:rPr>
        <w:t xml:space="preserve"> </w:t>
      </w:r>
      <w:r>
        <w:rPr>
          <w:rFonts w:hint="eastAsia"/>
          <w:b/>
        </w:rPr>
        <w:t>（1）质量标准及保证</w:t>
      </w:r>
      <w:r>
        <w:rPr>
          <w:rFonts w:ascii="宋体" w:hAnsi="宋体" w:hint="eastAsia"/>
          <w:szCs w:val="21"/>
          <w:u w:val="single"/>
        </w:rPr>
        <w:t xml:space="preserve"> </w:t>
      </w:r>
    </w:p>
    <w:p>
      <w:pPr>
        <w:numPr>
          <w:ilvl w:val="0"/>
          <w:numId w:val="11"/>
        </w:numPr>
        <w:tabs>
          <w:tab w:val="left" w:pos="1573"/>
        </w:tabs>
        <w:adjustRightInd w:val="0"/>
        <w:snapToGrid w:val="0"/>
        <w:spacing w:line="360" w:lineRule="auto"/>
        <w:ind w:firstLine="420" w:firstLineChars="200"/>
        <w:rPr>
          <w:rFonts w:hint="eastAsia"/>
        </w:rPr>
      </w:pPr>
      <w:r>
        <w:rPr>
          <w:rFonts w:hint="eastAsia"/>
        </w:rPr>
        <w:t>乙方应提供产品达到合格标准的出厂测试报告。</w:t>
      </w:r>
    </w:p>
    <w:p>
      <w:pPr>
        <w:numPr>
          <w:ilvl w:val="0"/>
          <w:numId w:val="11"/>
        </w:numPr>
        <w:tabs>
          <w:tab w:val="left" w:pos="1573"/>
        </w:tabs>
        <w:adjustRightInd w:val="0"/>
        <w:snapToGrid w:val="0"/>
        <w:spacing w:line="360" w:lineRule="auto"/>
        <w:ind w:firstLine="420" w:firstLineChars="200"/>
        <w:rPr>
          <w:rFonts w:hint="eastAsia"/>
        </w:rPr>
      </w:pPr>
      <w:r>
        <w:rPr>
          <w:rFonts w:hint="eastAsia"/>
        </w:rPr>
        <w:t>合同签订后</w:t>
      </w:r>
      <w:r>
        <w:rPr>
          <w:rFonts w:ascii="宋体" w:hAnsi="宋体" w:hint="eastAsia"/>
          <w:szCs w:val="21"/>
          <w:highlight w:val="yellow"/>
          <w:u w:val="single"/>
          <w:lang w:val="en-US" w:eastAsia="zh-CN"/>
        </w:rPr>
        <w:t>120</w:t>
      </w:r>
      <w:r>
        <w:rPr>
          <w:rFonts w:ascii="宋体" w:hAnsi="宋体" w:hint="eastAsia"/>
          <w:szCs w:val="21"/>
          <w:highlight w:val="yellow"/>
          <w:u w:val="single"/>
        </w:rPr>
        <w:t xml:space="preserve"> </w:t>
      </w:r>
      <w:r>
        <w:rPr>
          <w:rFonts w:hint="eastAsia"/>
        </w:rPr>
        <w:t>天内，完成设备出厂测试，</w:t>
      </w:r>
      <w:r>
        <w:rPr>
          <w:rFonts w:ascii="宋体" w:hAnsi="宋体" w:hint="eastAsia"/>
          <w:szCs w:val="21"/>
          <w:highlight w:val="yellow"/>
          <w:u w:val="single"/>
          <w:lang w:val="en-US" w:eastAsia="zh-CN"/>
        </w:rPr>
        <w:t>10</w:t>
      </w:r>
      <w:r>
        <w:rPr>
          <w:rFonts w:hint="eastAsia"/>
        </w:rPr>
        <w:t>天内发货</w:t>
      </w:r>
    </w:p>
    <w:p>
      <w:pPr>
        <w:numPr>
          <w:ilvl w:val="0"/>
          <w:numId w:val="11"/>
        </w:numPr>
        <w:tabs>
          <w:tab w:val="left" w:pos="1573"/>
        </w:tabs>
        <w:adjustRightInd w:val="0"/>
        <w:snapToGrid w:val="0"/>
        <w:spacing w:line="360" w:lineRule="auto"/>
        <w:ind w:firstLine="420" w:firstLineChars="200"/>
        <w:rPr>
          <w:rFonts w:hint="eastAsia"/>
        </w:rPr>
      </w:pPr>
      <w:r>
        <w:rPr>
          <w:rFonts w:hint="eastAsia"/>
        </w:rPr>
        <w:t>合同签订后</w:t>
      </w:r>
      <w:r>
        <w:rPr>
          <w:rFonts w:ascii="宋体" w:hAnsi="宋体" w:hint="eastAsia"/>
          <w:szCs w:val="21"/>
          <w:highlight w:val="yellow"/>
          <w:u w:val="single"/>
          <w:lang w:val="en-US" w:eastAsia="zh-CN"/>
        </w:rPr>
        <w:t>180</w:t>
      </w:r>
      <w:r>
        <w:rPr>
          <w:rFonts w:hint="eastAsia"/>
        </w:rPr>
        <w:t>天内，完成现场后安装、测试和数据上传。</w:t>
      </w:r>
    </w:p>
    <w:p>
      <w:pPr>
        <w:numPr>
          <w:ilvl w:val="0"/>
          <w:numId w:val="11"/>
        </w:numPr>
        <w:tabs>
          <w:tab w:val="left" w:pos="1573"/>
        </w:tabs>
        <w:adjustRightInd w:val="0"/>
        <w:snapToGrid w:val="0"/>
        <w:spacing w:line="360" w:lineRule="auto"/>
        <w:ind w:firstLine="420" w:firstLineChars="200"/>
      </w:pPr>
      <w:r>
        <w:rPr>
          <w:rFonts w:hint="eastAsia"/>
        </w:rPr>
        <w:t>合同签订后</w:t>
      </w:r>
      <w:r>
        <w:rPr>
          <w:rFonts w:ascii="宋体" w:hAnsi="宋体" w:hint="eastAsia"/>
          <w:szCs w:val="21"/>
          <w:highlight w:val="yellow"/>
          <w:u w:val="single"/>
          <w:lang w:val="en-US" w:eastAsia="zh-CN"/>
        </w:rPr>
        <w:t>360</w:t>
      </w:r>
      <w:r>
        <w:rPr>
          <w:rFonts w:ascii="宋体" w:hAnsi="宋体" w:hint="eastAsia"/>
          <w:szCs w:val="21"/>
          <w:highlight w:val="yellow"/>
          <w:u w:val="single"/>
        </w:rPr>
        <w:t xml:space="preserve"> </w:t>
      </w:r>
      <w:r>
        <w:rPr>
          <w:rFonts w:hint="eastAsia"/>
        </w:rPr>
        <w:t>天内，完成现场验收</w:t>
      </w:r>
      <w:r>
        <w:rPr>
          <w:rFonts w:hint="eastAsia"/>
          <w:highlight w:val="yellow"/>
        </w:rPr>
        <w:t>和合同验收</w:t>
      </w:r>
      <w:r>
        <w:rPr>
          <w:rFonts w:hint="eastAsia"/>
        </w:rPr>
        <w:t>。</w:t>
      </w:r>
    </w:p>
    <w:p>
      <w:pPr>
        <w:numPr>
          <w:ilvl w:val="0"/>
          <w:numId w:val="11"/>
        </w:numPr>
        <w:tabs>
          <w:tab w:val="left" w:pos="1573"/>
        </w:tabs>
        <w:adjustRightInd w:val="0"/>
        <w:snapToGrid w:val="0"/>
        <w:spacing w:line="360" w:lineRule="auto"/>
        <w:ind w:firstLine="420" w:firstLineChars="200"/>
        <w:rPr>
          <w:rFonts w:ascii="Calibri" w:hAnsi="Calibri" w:hint="eastAsia"/>
          <w:color w:val="000000"/>
          <w:highlight w:val="yellow"/>
        </w:rPr>
      </w:pPr>
      <w:r>
        <w:rPr>
          <w:rFonts w:hint="eastAsia"/>
        </w:rPr>
        <w:t>备品备件、故障维修、巡检巡查等具体要求按照</w:t>
      </w:r>
      <w:r>
        <w:rPr>
          <w:rFonts w:ascii="Calibri" w:eastAsia="宋体" w:hAnsi="Calibri" w:cs="Times New Roman" w:hint="eastAsia"/>
          <w:color w:val="000000"/>
          <w:sz w:val="21"/>
          <w:szCs w:val="22"/>
          <w:highlight w:val="yellow"/>
        </w:rPr>
        <w:t>《“十四五”期间综合观测类工程项目新上设备建设及质保指导意见》（重点项目办函〔2025〕12号）相关要求执行</w:t>
      </w:r>
      <w:r>
        <w:rPr>
          <w:rFonts w:ascii="Calibri" w:eastAsia="宋体" w:hAnsi="Calibri" w:cs="Times New Roman" w:hint="eastAsia"/>
          <w:color w:val="000000"/>
          <w:sz w:val="21"/>
          <w:szCs w:val="22"/>
          <w:highlight w:val="yellow"/>
          <w:lang w:eastAsia="zh-CN"/>
        </w:rPr>
        <w:t>。</w:t>
      </w:r>
    </w:p>
    <w:p>
      <w:pPr>
        <w:numPr>
          <w:ilvl w:val="0"/>
          <w:numId w:val="11"/>
        </w:numPr>
        <w:tabs>
          <w:tab w:val="left" w:pos="1573"/>
        </w:tabs>
        <w:adjustRightInd w:val="0"/>
        <w:snapToGrid w:val="0"/>
        <w:spacing w:line="360" w:lineRule="auto"/>
        <w:ind w:firstLine="420" w:firstLineChars="200"/>
        <w:rPr>
          <w:rFonts w:hint="eastAsia"/>
          <w:highlight w:val="yellow"/>
        </w:rPr>
      </w:pPr>
      <w:r>
        <w:rPr>
          <w:rFonts w:hint="eastAsia"/>
          <w:highlight w:val="yellow"/>
        </w:rPr>
        <w:t>本合同约定的各项技术标准、规范及验收依据，应以合同签订时有效的最新版本为准。在合同履行期间，若前述规范发生修订，乙方应遵照执行，甲方不因此增加合同价款。</w:t>
      </w:r>
    </w:p>
    <w:p>
      <w:pPr>
        <w:numPr>
          <w:ilvl w:val="0"/>
          <w:numId w:val="9"/>
        </w:numPr>
        <w:adjustRightInd w:val="0"/>
        <w:snapToGrid w:val="0"/>
        <w:spacing w:line="360" w:lineRule="auto"/>
        <w:ind w:left="420"/>
        <w:rPr>
          <w:b/>
        </w:rPr>
      </w:pPr>
      <w:r>
        <w:rPr>
          <w:rFonts w:hint="eastAsia"/>
          <w:b/>
        </w:rPr>
        <w:t>验收</w:t>
      </w:r>
    </w:p>
    <w:p>
      <w:pPr>
        <w:pStyle w:val="BodyTextFirstIndent2"/>
        <w:numPr>
          <w:ilvl w:val="0"/>
          <w:numId w:val="12"/>
        </w:numPr>
        <w:ind w:leftChars="0" w:firstLineChars="0"/>
        <w:rPr>
          <w:rFonts w:hint="eastAsia"/>
          <w:highlight w:val="yellow"/>
        </w:rPr>
      </w:pPr>
      <w:r>
        <w:rPr>
          <w:rFonts w:hint="eastAsia"/>
          <w:highlight w:val="yellow"/>
        </w:rPr>
        <w:t>乙方应按照甲方要求提交合同实施情况报告、出厂测试报告、货物/服务接收清单、现场验收报告、安装后测试报告、业务运行准入测试报告等。</w:t>
      </w:r>
      <w:r>
        <w:rPr>
          <w:rFonts w:hint="eastAsia"/>
          <w:highlight w:val="yellow"/>
          <w:lang w:eastAsia="zh-CN"/>
        </w:rPr>
        <w:t>集成式交通气象监测仪</w:t>
      </w:r>
      <w:r>
        <w:rPr>
          <w:rFonts w:hint="eastAsia"/>
          <w:highlight w:val="yellow"/>
        </w:rPr>
        <w:t>需具备</w:t>
      </w:r>
      <w:r>
        <w:rPr>
          <w:rFonts w:hint="eastAsia"/>
          <w:color w:val="FF0000"/>
          <w:highlight w:val="yellow"/>
        </w:rPr>
        <w:t>集成式交通气象监测仪装备许可</w:t>
      </w:r>
      <w:r>
        <w:rPr>
          <w:rFonts w:hint="eastAsia"/>
          <w:highlight w:val="yellow"/>
        </w:rPr>
        <w:t>，否则验收为不合格，追究乙方责任。满足《“十四五”期间综合观测类工程项目新上设备验收技术指南》验收要求。</w:t>
      </w:r>
    </w:p>
    <w:p>
      <w:pPr>
        <w:pStyle w:val="BodyTextFirstIndent2"/>
        <w:numPr>
          <w:ilvl w:val="0"/>
          <w:numId w:val="12"/>
        </w:numPr>
        <w:ind w:leftChars="0" w:firstLineChars="0"/>
        <w:rPr>
          <w:rFonts w:hint="eastAsia"/>
          <w:highlight w:val="yellow"/>
        </w:rPr>
      </w:pPr>
      <w:r>
        <w:rPr>
          <w:rFonts w:hint="eastAsia"/>
          <w:highlight w:val="yellow"/>
        </w:rPr>
        <w:t>乙方按照相关规范和投标设备说明书的规定完成设备供货、安装、调试及试运行。</w:t>
      </w:r>
    </w:p>
    <w:p>
      <w:pPr>
        <w:pStyle w:val="BodyTextFirstIndent2"/>
        <w:numPr>
          <w:ilvl w:val="0"/>
          <w:numId w:val="12"/>
        </w:numPr>
        <w:ind w:leftChars="0" w:firstLineChars="0"/>
        <w:rPr>
          <w:rFonts w:hint="eastAsia"/>
          <w:highlight w:val="yellow"/>
        </w:rPr>
      </w:pPr>
      <w:r>
        <w:rPr>
          <w:rFonts w:hint="eastAsia"/>
          <w:highlight w:val="yellow"/>
        </w:rPr>
        <w:t>在设备安装、调试合格后，提交检验测试报告，经甲方验收合格后签署现场验收报告。</w:t>
      </w:r>
    </w:p>
    <w:p>
      <w:pPr>
        <w:pStyle w:val="BodyTextFirstIndent2"/>
        <w:numPr>
          <w:ilvl w:val="0"/>
          <w:numId w:val="12"/>
        </w:numPr>
        <w:ind w:leftChars="0" w:firstLineChars="0"/>
        <w:rPr>
          <w:rFonts w:ascii="Calibri" w:eastAsia="宋体" w:hAnsi="Calibri" w:cs="Times New Roman" w:hint="eastAsia"/>
          <w:highlight w:val="yellow"/>
        </w:rPr>
      </w:pPr>
      <w:r>
        <w:rPr>
          <w:rFonts w:hint="eastAsia"/>
          <w:highlight w:val="yellow"/>
        </w:rPr>
        <w:t>在设备试运行结束后，经甲方验收合格后签署合同验收报告。</w:t>
      </w:r>
    </w:p>
    <w:p>
      <w:pPr>
        <w:pStyle w:val="BodyTextFirstIndent2"/>
        <w:numPr>
          <w:ilvl w:val="0"/>
          <w:numId w:val="12"/>
        </w:numPr>
        <w:ind w:leftChars="0" w:firstLineChars="0"/>
        <w:rPr>
          <w:rFonts w:ascii="Calibri" w:eastAsia="宋体" w:hAnsi="Calibri" w:cs="Times New Roman" w:hint="eastAsia"/>
          <w:highlight w:val="yellow"/>
        </w:rPr>
      </w:pPr>
      <w:r>
        <w:rPr>
          <w:rFonts w:ascii="Calibri" w:eastAsia="宋体" w:hAnsi="Calibri" w:cs="Times New Roman" w:hint="eastAsia"/>
          <w:sz w:val="21"/>
          <w:szCs w:val="22"/>
          <w:highlight w:val="yellow"/>
        </w:rPr>
        <w:t>按照相关数据要求生成标准格式数据，需满足通过约定的通信方式和数据协议，将数据上传至省级气象通信系统，在本省天擎进行解码、入库提供服务的同时，将数据上传至国家级气象通信系统，在国家级天擎进行解码、入库提供服务。</w:t>
      </w:r>
    </w:p>
    <w:p>
      <w:pPr>
        <w:adjustRightInd w:val="0"/>
        <w:snapToGrid w:val="0"/>
        <w:spacing w:line="360" w:lineRule="auto"/>
        <w:ind w:left="420"/>
        <w:rPr>
          <w:b/>
        </w:rPr>
      </w:pPr>
      <w:r>
        <w:rPr>
          <w:rFonts w:hint="eastAsia"/>
          <w:b/>
        </w:rPr>
        <w:t>（3）运输</w:t>
      </w:r>
    </w:p>
    <w:p>
      <w:pPr>
        <w:pStyle w:val="BodyTextFirstIndent2"/>
        <w:ind w:left="0" w:leftChars="0"/>
        <w:rPr>
          <w:highlight w:val="yellow"/>
        </w:rPr>
      </w:pPr>
      <w:r>
        <w:rPr>
          <w:rFonts w:hint="eastAsia"/>
          <w:highlight w:val="yellow"/>
        </w:rPr>
        <w:t>供应商将所有设备运送到招标人指定地点（运输相关费用由供应商负责），并负责安装调试。</w:t>
      </w:r>
    </w:p>
    <w:p>
      <w:pPr>
        <w:adjustRightInd w:val="0"/>
        <w:snapToGrid w:val="0"/>
        <w:spacing w:line="360" w:lineRule="auto"/>
        <w:ind w:left="420"/>
        <w:rPr>
          <w:b/>
        </w:rPr>
      </w:pPr>
      <w:r>
        <w:rPr>
          <w:rFonts w:hint="eastAsia"/>
          <w:b/>
        </w:rPr>
        <w:t>（4）技术服务和保修责任方式</w:t>
      </w:r>
    </w:p>
    <w:p>
      <w:pPr>
        <w:tabs>
          <w:tab w:val="left" w:pos="1573"/>
        </w:tabs>
        <w:adjustRightInd w:val="0"/>
        <w:snapToGrid w:val="0"/>
        <w:spacing w:line="360" w:lineRule="auto"/>
        <w:ind w:left="840"/>
        <w:rPr>
          <w:rFonts w:ascii="宋体" w:hAnsi="宋体"/>
          <w:szCs w:val="21"/>
        </w:rPr>
      </w:pPr>
      <w:r>
        <w:rPr>
          <w:rFonts w:ascii="宋体" w:hAnsi="宋体" w:hint="eastAsia"/>
          <w:szCs w:val="21"/>
        </w:rPr>
        <w:t>1）乙方对合同货物的质量保修期为</w:t>
      </w:r>
      <w:r>
        <w:rPr>
          <w:rFonts w:ascii="宋体" w:hAnsi="宋体" w:hint="eastAsia"/>
          <w:szCs w:val="21"/>
          <w:lang w:eastAsia="zh-CN"/>
        </w:rPr>
        <w:t>合同</w:t>
      </w:r>
      <w:r>
        <w:rPr>
          <w:rFonts w:ascii="宋体" w:hAnsi="宋体" w:hint="eastAsia"/>
          <w:szCs w:val="21"/>
        </w:rPr>
        <w:t>验收报告签署之日起96 个月。</w:t>
      </w:r>
    </w:p>
    <w:p>
      <w:pPr>
        <w:tabs>
          <w:tab w:val="left" w:pos="1573"/>
        </w:tabs>
        <w:adjustRightInd w:val="0"/>
        <w:snapToGrid w:val="0"/>
        <w:spacing w:line="360" w:lineRule="auto"/>
        <w:ind w:left="840"/>
        <w:rPr>
          <w:rFonts w:ascii="宋体" w:hAnsi="宋体"/>
          <w:szCs w:val="21"/>
        </w:rPr>
      </w:pPr>
      <w:r>
        <w:rPr>
          <w:rFonts w:ascii="宋体" w:hAnsi="宋体" w:hint="eastAsia"/>
          <w:szCs w:val="21"/>
        </w:rPr>
        <w:t>2）在保修期内，如果设备发生故障，乙方将调查故障原因及修复情况及时上报甲方。</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color w:val="FF0000"/>
          <w:szCs w:val="21"/>
        </w:rPr>
        <w:t>3）</w:t>
      </w:r>
      <w:r>
        <w:rPr>
          <w:rFonts w:ascii="宋体" w:hAnsi="宋体" w:hint="eastAsia"/>
          <w:szCs w:val="21"/>
          <w:highlight w:val="yellow"/>
        </w:rPr>
        <w:t>乙方承诺在质保期内为甲方提供免费7天×24小时技术支持服务。当货物遭到损坏或出现故障时，要在用户报修之时起48小时内做出响应，开展维修维护工作，视情况双方协商设备恢复正常运行时限。</w:t>
      </w:r>
    </w:p>
    <w:p>
      <w:pPr>
        <w:tabs>
          <w:tab w:val="left" w:pos="1573"/>
        </w:tabs>
        <w:adjustRightInd w:val="0"/>
        <w:snapToGrid w:val="0"/>
        <w:spacing w:line="360" w:lineRule="auto"/>
        <w:ind w:left="840" w:firstLine="0" w:firstLineChars="0"/>
        <w:rPr>
          <w:rFonts w:ascii="宋体" w:hAnsi="宋体" w:hint="eastAsia"/>
          <w:szCs w:val="21"/>
          <w:highlight w:val="yellow"/>
        </w:rPr>
      </w:pPr>
      <w:r>
        <w:rPr>
          <w:rFonts w:ascii="宋体" w:hAnsi="宋体" w:hint="eastAsia"/>
          <w:szCs w:val="21"/>
          <w:highlight w:val="yellow"/>
        </w:rPr>
        <w:t>4）</w:t>
      </w:r>
      <w:r>
        <w:rPr>
          <w:rFonts w:ascii="宋体" w:eastAsia="宋体" w:hAnsi="宋体" w:cs="Times New Roman" w:hint="eastAsia"/>
          <w:szCs w:val="21"/>
          <w:highlight w:val="yellow"/>
        </w:rPr>
        <w:t>质保期内</w:t>
      </w:r>
      <w:r>
        <w:rPr>
          <w:rFonts w:ascii="宋体" w:eastAsia="宋体" w:hAnsi="宋体" w:cs="Times New Roman" w:hint="eastAsia"/>
          <w:szCs w:val="21"/>
          <w:highlight w:val="yellow"/>
          <w:lang w:eastAsia="zh-CN"/>
        </w:rPr>
        <w:t>，</w:t>
      </w:r>
      <w:r>
        <w:rPr>
          <w:rFonts w:ascii="宋体" w:eastAsia="宋体" w:hAnsi="宋体" w:cs="Times New Roman" w:hint="eastAsia"/>
          <w:sz w:val="21"/>
          <w:szCs w:val="21"/>
          <w:highlight w:val="yellow"/>
        </w:rPr>
        <w:t>设备供应商对每套投标产品提供至少2次技术培训，培训课时不少于</w:t>
      </w:r>
      <w:r>
        <w:rPr>
          <w:rFonts w:ascii="宋体" w:hAnsi="宋体" w:cs="Times New Roman" w:hint="eastAsia"/>
          <w:sz w:val="21"/>
          <w:szCs w:val="21"/>
          <w:highlight w:val="yellow"/>
          <w:lang w:val="en-US" w:eastAsia="zh-CN"/>
        </w:rPr>
        <w:t>6</w:t>
      </w:r>
      <w:r>
        <w:rPr>
          <w:rFonts w:ascii="宋体" w:eastAsia="宋体" w:hAnsi="宋体" w:cs="Times New Roman" w:hint="eastAsia"/>
          <w:sz w:val="21"/>
          <w:szCs w:val="21"/>
          <w:highlight w:val="yellow"/>
        </w:rPr>
        <w:t>个课时，培训人数不少于</w:t>
      </w:r>
      <w:r>
        <w:rPr>
          <w:rFonts w:ascii="宋体" w:hAnsi="宋体" w:cs="Times New Roman" w:hint="eastAsia"/>
          <w:sz w:val="21"/>
          <w:szCs w:val="21"/>
          <w:highlight w:val="yellow"/>
          <w:lang w:val="en-US" w:eastAsia="zh-CN"/>
        </w:rPr>
        <w:t>8</w:t>
      </w:r>
      <w:r>
        <w:rPr>
          <w:rFonts w:ascii="宋体" w:eastAsia="宋体" w:hAnsi="宋体" w:cs="Times New Roman" w:hint="eastAsia"/>
          <w:sz w:val="21"/>
          <w:szCs w:val="21"/>
          <w:highlight w:val="yellow"/>
        </w:rPr>
        <w:t>人。培训内容包括设备安装、使用、日常维护、观测原理及产品应用。</w:t>
      </w:r>
    </w:p>
    <w:p>
      <w:pPr>
        <w:tabs>
          <w:tab w:val="left" w:pos="1573"/>
        </w:tabs>
        <w:adjustRightInd w:val="0"/>
        <w:snapToGrid w:val="0"/>
        <w:spacing w:line="360" w:lineRule="auto"/>
        <w:ind w:left="840"/>
        <w:rPr>
          <w:rFonts w:ascii="宋体" w:hAnsi="宋体" w:hint="eastAsia"/>
          <w:szCs w:val="21"/>
          <w:highlight w:val="yellow"/>
        </w:rPr>
      </w:pPr>
    </w:p>
    <w:p>
      <w:pPr>
        <w:adjustRightInd w:val="0"/>
        <w:snapToGrid w:val="0"/>
        <w:spacing w:line="360" w:lineRule="auto"/>
        <w:ind w:left="420"/>
        <w:rPr>
          <w:b/>
        </w:rPr>
      </w:pPr>
      <w:r>
        <w:rPr>
          <w:rFonts w:hint="eastAsia"/>
          <w:b/>
        </w:rPr>
        <w:t>（5）安全生产责任</w:t>
      </w:r>
    </w:p>
    <w:p>
      <w:pPr>
        <w:keepNext w:val="0"/>
        <w:keepLines w:val="0"/>
        <w:widowControl/>
        <w:suppressLineNumbers w:val="0"/>
        <w:tabs>
          <w:tab w:val="left" w:pos="1573"/>
        </w:tabs>
        <w:adjustRightInd w:val="0"/>
        <w:snapToGrid w:val="0"/>
        <w:spacing w:before="0" w:beforeAutospacing="0" w:after="0" w:afterAutospacing="0" w:line="360" w:lineRule="auto"/>
        <w:ind w:left="840" w:right="0"/>
        <w:jc w:val="left"/>
        <w:rPr>
          <w:rFonts w:ascii="宋体" w:hAnsi="宋体" w:hint="eastAsia"/>
          <w:szCs w:val="21"/>
        </w:rPr>
      </w:pPr>
      <w:r>
        <w:rPr>
          <w:rFonts w:ascii="宋体" w:hAnsi="宋体" w:hint="eastAsia"/>
          <w:szCs w:val="21"/>
        </w:rPr>
        <w:t>1）</w:t>
      </w:r>
      <w:r>
        <w:rPr>
          <w:rFonts w:ascii="宋体" w:eastAsia="宋体" w:hAnsi="宋体" w:cs="Times New Roman" w:hint="eastAsia"/>
          <w:kern w:val="2"/>
          <w:sz w:val="21"/>
          <w:szCs w:val="21"/>
          <w:lang w:val="en-US" w:eastAsia="zh-CN" w:bidi="ar"/>
        </w:rPr>
        <w:t>甲乙双方应严格遵守《安全生产法》相关法律法规。乙方负责本项目气象设备现场安装、调试全过程安全生产管理，落实岗前安全交底，规范高处作业、临时用电操作，配齐安全防护用品；相关特种作业人员须持证上岗。</w:t>
      </w:r>
    </w:p>
    <w:p>
      <w:pPr>
        <w:keepNext w:val="0"/>
        <w:keepLines w:val="0"/>
        <w:widowControl/>
        <w:suppressLineNumbers w:val="0"/>
        <w:tabs>
          <w:tab w:val="left" w:pos="1573"/>
        </w:tabs>
        <w:adjustRightInd w:val="0"/>
        <w:snapToGrid w:val="0"/>
        <w:spacing w:before="0" w:beforeAutospacing="0" w:after="0" w:afterAutospacing="0" w:line="360" w:lineRule="auto"/>
        <w:ind w:left="840" w:right="0"/>
        <w:jc w:val="left"/>
        <w:rPr>
          <w:rFonts w:ascii="宋体" w:hAnsi="宋体" w:hint="eastAsia"/>
          <w:szCs w:val="21"/>
        </w:rPr>
      </w:pPr>
      <w:r>
        <w:rPr>
          <w:rFonts w:ascii="宋体" w:hAnsi="宋体" w:hint="eastAsia"/>
          <w:szCs w:val="21"/>
        </w:rPr>
        <w:t>2）</w:t>
      </w:r>
      <w:r>
        <w:rPr>
          <w:rFonts w:ascii="宋体" w:eastAsia="宋体" w:hAnsi="宋体" w:cs="Times New Roman" w:hint="eastAsia"/>
          <w:kern w:val="2"/>
          <w:sz w:val="21"/>
          <w:szCs w:val="21"/>
          <w:lang w:val="en-US" w:eastAsia="zh-CN" w:bidi="ar"/>
        </w:rPr>
        <w:t>乙方须为全部进场作业人员购买工伤保险及人身意外伤害保险，保险覆盖安装调试全周期。因乙方人员违规操作、安全管理不到位引发安全事故、人员伤亡、第三方财产损失及行政处罚的，全部责任与经济赔偿由乙方承担；造成甲方损失的，甲方有权向乙方追偿。</w:t>
      </w:r>
    </w:p>
    <w:p>
      <w:pPr>
        <w:keepNext w:val="0"/>
        <w:keepLines w:val="0"/>
        <w:widowControl/>
        <w:suppressLineNumbers w:val="0"/>
        <w:tabs>
          <w:tab w:val="left" w:pos="1573"/>
        </w:tabs>
        <w:adjustRightInd w:val="0"/>
        <w:snapToGrid w:val="0"/>
        <w:spacing w:before="0" w:beforeAutospacing="0" w:after="0" w:afterAutospacing="0" w:line="360" w:lineRule="auto"/>
        <w:ind w:left="840" w:right="0"/>
        <w:jc w:val="left"/>
        <w:rPr>
          <w:rFonts w:ascii="宋体" w:hAnsi="宋体" w:hint="eastAsia"/>
          <w:szCs w:val="21"/>
        </w:rPr>
      </w:pPr>
      <w:r>
        <w:rPr>
          <w:rFonts w:ascii="宋体" w:hAnsi="宋体" w:hint="eastAsia"/>
          <w:color w:val="FF0000"/>
          <w:szCs w:val="21"/>
        </w:rPr>
        <w:t>3）</w:t>
      </w:r>
      <w:r>
        <w:rPr>
          <w:rFonts w:ascii="宋体" w:eastAsia="宋体" w:hAnsi="宋体" w:cs="Times New Roman" w:hint="eastAsia"/>
          <w:kern w:val="2"/>
          <w:sz w:val="21"/>
          <w:szCs w:val="21"/>
          <w:lang w:val="en-US" w:eastAsia="zh-CN" w:bidi="ar"/>
        </w:rPr>
        <w:t>因甲方场地固有隐患、甲方违规指令造成事故，由甲方承担相应责任；双方均有过错的，按过错比例分担。发生安全事故，乙方须第一时间施救、保护现场并及时通知甲方，严禁瞒报迟报。甲方有权现场安全检查，发现隐患可要求乙方立即停工整改；乙方拒不整改的，甲方有权暂缓款项支付并追究违约责任。</w:t>
      </w:r>
    </w:p>
    <w:p>
      <w:pPr>
        <w:adjustRightInd w:val="0"/>
        <w:snapToGrid w:val="0"/>
        <w:spacing w:line="400" w:lineRule="exact"/>
        <w:ind w:left="420"/>
        <w:rPr>
          <w:rFonts w:ascii="宋体" w:hAnsi="宋体"/>
          <w:bCs/>
          <w:szCs w:val="21"/>
        </w:rPr>
      </w:pPr>
      <w:r>
        <w:rPr>
          <w:rFonts w:ascii="宋体" w:hAnsi="宋体" w:hint="eastAsia"/>
          <w:bCs/>
          <w:szCs w:val="21"/>
        </w:rPr>
        <w:t>（6）验收组织方式：</w:t>
      </w:r>
      <w:r>
        <w:rPr>
          <w:rFonts w:ascii="Wingdings" w:hAnsi="Wingdings" w:cs="宋体"/>
          <w:szCs w:val="21"/>
        </w:rPr>
        <w:sym w:font="Wingdings" w:char="F0FE"/>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r>
        <w:rPr>
          <w:rFonts w:ascii="宋体" w:hAnsi="宋体" w:hint="eastAsia"/>
          <w:bCs/>
          <w:szCs w:val="21"/>
          <w:u w:val="single"/>
          <w:lang w:eastAsia="zh-CN"/>
        </w:rPr>
        <w:t>贵州省气象数据中心</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FE"/>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r>
        <w:rPr>
          <w:rFonts w:ascii="宋体" w:hAnsi="宋体" w:hint="eastAsia"/>
          <w:bCs/>
          <w:szCs w:val="21"/>
          <w:u w:val="single"/>
          <w:lang w:val="en-US" w:eastAsia="zh-CN"/>
        </w:rPr>
        <w:t>/</w:t>
      </w:r>
      <w:r>
        <w:rPr>
          <w:rFonts w:ascii="宋体" w:hAnsi="宋体" w:hint="eastAsia"/>
          <w:bCs/>
          <w:szCs w:val="21"/>
          <w:u w:val="single"/>
        </w:rPr>
        <w:t xml:space="preserve">           </w:t>
      </w:r>
    </w:p>
    <w:p>
      <w:pPr>
        <w:adjustRightInd w:val="0"/>
        <w:snapToGrid w:val="0"/>
        <w:spacing w:line="360" w:lineRule="exact"/>
        <w:ind w:firstLine="420" w:firstLineChars="200"/>
        <w:jc w:val="left"/>
        <w:rPr>
          <w:bCs/>
          <w:color w:val="000000"/>
          <w:szCs w:val="21"/>
          <w:highlight w:val="none"/>
          <w:u w:val="single"/>
        </w:rPr>
      </w:pPr>
      <w:r>
        <w:rPr>
          <w:rFonts w:ascii="宋体" w:hAnsi="宋体" w:hint="eastAsia"/>
          <w:bCs/>
          <w:szCs w:val="21"/>
        </w:rPr>
        <w:t>履约验收时间：</w:t>
      </w:r>
      <w:r>
        <w:rPr>
          <w:bCs/>
          <w:color w:val="000000"/>
          <w:szCs w:val="21"/>
          <w:u w:val="single"/>
        </w:rPr>
        <w:t xml:space="preserve"> </w:t>
      </w:r>
      <w:r>
        <w:rPr>
          <w:rFonts w:hint="eastAsia"/>
          <w:bCs/>
          <w:color w:val="000000"/>
          <w:szCs w:val="21"/>
          <w:highlight w:val="none"/>
          <w:u w:val="single"/>
        </w:rPr>
        <w:t>货物到货安装调试完成，</w:t>
      </w:r>
      <w:r>
        <w:rPr>
          <w:bCs/>
          <w:color w:val="000000"/>
          <w:szCs w:val="21"/>
          <w:highlight w:val="none"/>
          <w:u w:val="single"/>
        </w:rPr>
        <w:t xml:space="preserve">供应商提出验收申请之日起10日内组织验收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履约验收程序：</w:t>
      </w:r>
      <w:r>
        <w:rPr>
          <w:bCs/>
          <w:color w:val="000000"/>
          <w:szCs w:val="21"/>
          <w:highlight w:val="none"/>
          <w:u w:val="single"/>
        </w:rPr>
        <w:t xml:space="preserve"> 设备安装调试和试运行结束后，采购人组织最终验收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履约验收的内容：</w:t>
      </w:r>
      <w:r>
        <w:rPr>
          <w:rFonts w:ascii="宋体" w:hAnsi="宋体" w:hint="eastAsia"/>
          <w:bCs/>
          <w:szCs w:val="21"/>
          <w:u w:val="single"/>
        </w:rPr>
        <w:t xml:space="preserve"> </w:t>
      </w:r>
      <w:r>
        <w:rPr>
          <w:bCs/>
          <w:color w:val="000000"/>
          <w:szCs w:val="21"/>
          <w:highlight w:val="none"/>
          <w:u w:val="single"/>
        </w:rPr>
        <w:t xml:space="preserve"> 包括每一项技术和商务要求的履约情况 </w:t>
      </w:r>
    </w:p>
    <w:p>
      <w:pPr>
        <w:ind w:firstLine="420" w:firstLineChars="200"/>
        <w:jc w:val="left"/>
        <w:rPr>
          <w:rFonts w:hint="eastAsia"/>
          <w:bCs/>
          <w:color w:val="000000"/>
          <w:szCs w:val="21"/>
          <w:highlight w:val="none"/>
          <w:u w:val="single"/>
        </w:rPr>
      </w:pPr>
      <w:r>
        <w:rPr>
          <w:rFonts w:ascii="宋体" w:hAnsi="宋体" w:hint="eastAsia"/>
          <w:bCs/>
          <w:szCs w:val="21"/>
        </w:rPr>
        <w:t>履约验收标准：</w:t>
      </w:r>
      <w:r>
        <w:rPr>
          <w:rFonts w:hint="eastAsia"/>
          <w:bCs/>
          <w:color w:val="000000"/>
          <w:szCs w:val="21"/>
          <w:highlight w:val="none"/>
          <w:u w:val="single"/>
        </w:rPr>
        <w:t>参照功能规格需求书、测试大纲，以及中国气象局最新业务管理规定等有关文件要求开展检验考核。</w:t>
      </w:r>
    </w:p>
    <w:p>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FE"/>
      </w:r>
      <w:r>
        <w:rPr>
          <w:rFonts w:ascii="宋体" w:eastAsia="宋体" w:hAnsi="宋体" w:cs="宋体" w:hint="eastAsia"/>
          <w:bCs/>
          <w:sz w:val="21"/>
        </w:rPr>
        <w:t>否</w:t>
      </w:r>
    </w:p>
    <w:p>
      <w:pPr>
        <w:adjustRightInd w:val="0"/>
        <w:snapToGrid w:val="0"/>
        <w:spacing w:line="400" w:lineRule="exact"/>
        <w:ind w:firstLine="735" w:firstLineChars="350"/>
        <w:rPr>
          <w:rFonts w:ascii="宋体" w:hAnsi="宋体" w:cs="宋体"/>
          <w:bCs/>
          <w:szCs w:val="21"/>
          <w:u w:val="single"/>
        </w:rPr>
      </w:pP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lang w:val="en-US" w:eastAsia="zh-CN"/>
        </w:rPr>
        <w:t>/</w:t>
      </w:r>
      <w:r>
        <w:rPr>
          <w:rFonts w:ascii="宋体" w:hAnsi="宋体" w:cs="宋体" w:hint="eastAsia"/>
          <w:bCs/>
          <w:szCs w:val="21"/>
          <w:u w:val="single"/>
        </w:rPr>
        <w:t xml:space="preserve">        </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color w:val="000000"/>
          <w:szCs w:val="21"/>
          <w:u w:val="single"/>
        </w:rPr>
        <w:t>双方授权代表签字并加盖公章（或合同章）</w:t>
      </w:r>
      <w:r>
        <w:rPr>
          <w:rFonts w:hint="eastAsia"/>
          <w:color w:val="000000"/>
          <w:szCs w:val="21"/>
          <w:u w:val="single"/>
        </w:rPr>
        <w:t>后</w:t>
      </w:r>
      <w:r>
        <w:rPr>
          <w:rFonts w:ascii="宋体" w:hAnsi="宋体" w:hint="eastAsia"/>
          <w:szCs w:val="21"/>
        </w:rPr>
        <w:t>生效。</w:t>
      </w:r>
    </w:p>
    <w:p>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color w:val="000000"/>
          <w:szCs w:val="21"/>
        </w:rPr>
        <w:t>本合同一式</w:t>
      </w:r>
      <w:r>
        <w:rPr>
          <w:color w:val="000000"/>
          <w:szCs w:val="21"/>
          <w:u w:val="single"/>
        </w:rPr>
        <w:t xml:space="preserve"> 陆 </w:t>
      </w:r>
      <w:r>
        <w:rPr>
          <w:color w:val="000000"/>
          <w:szCs w:val="21"/>
        </w:rPr>
        <w:t>份，甲方执</w:t>
      </w:r>
      <w:r>
        <w:rPr>
          <w:color w:val="000000"/>
          <w:szCs w:val="21"/>
          <w:u w:val="single"/>
        </w:rPr>
        <w:t xml:space="preserve"> 叁 </w:t>
      </w:r>
      <w:r>
        <w:rPr>
          <w:color w:val="000000"/>
          <w:szCs w:val="21"/>
        </w:rPr>
        <w:t>份，乙方执</w:t>
      </w:r>
      <w:r>
        <w:rPr>
          <w:color w:val="000000"/>
          <w:szCs w:val="21"/>
          <w:u w:val="single"/>
        </w:rPr>
        <w:t xml:space="preserve"> 叁 </w:t>
      </w:r>
      <w:r>
        <w:rPr>
          <w:color w:val="000000"/>
          <w:szCs w:val="21"/>
        </w:rPr>
        <w:t>份，均具有同等法律效力。</w:t>
      </w: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rPr>
            </w:pPr>
            <w:r>
              <w:rPr>
                <w:rFonts w:hint="eastAsia"/>
                <w:szCs w:val="21"/>
                <w:lang w:val="en-US" w:eastAsia="zh-CN"/>
              </w:rPr>
              <w:t>贵州省气象数据中心</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6" w:name="_Toc27624"/>
      <w:r>
        <w:rPr>
          <w:rFonts w:ascii="黑体" w:hAnsi="黑体" w:hint="eastAsia"/>
          <w:b w:val="0"/>
          <w:bCs w:val="0"/>
          <w:sz w:val="28"/>
          <w:szCs w:val="28"/>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13"/>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4"/>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7"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5"/>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乙方提供的产品不符合合同约定、招标文件要求、国家/行业相关标准的货物型号、规格、数量、材质及技术参数等或存在产品质量缺陷，甲方有权要求乙方根据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6"/>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7"/>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8"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noWrap w:val="0"/>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rPr>
            </w:pPr>
          </w:p>
        </w:tc>
        <w:tc>
          <w:tcPr>
            <w:tcW w:w="1742" w:type="dxa"/>
            <w:noWrap w:val="0"/>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noWrap w:val="0"/>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noWrap w:val="0"/>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noWrap w:val="0"/>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noWrap w:val="0"/>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noWrap w:val="0"/>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noWrap w:val="0"/>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noWrap w:val="0"/>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noWrap w:val="0"/>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noWrap w:val="0"/>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noWrap w:val="0"/>
            <w:vAlign w:val="center"/>
          </w:tcPr>
          <w:p>
            <w:pPr>
              <w:adjustRightInd w:val="0"/>
              <w:snapToGrid w:val="0"/>
              <w:jc w:val="left"/>
              <w:rPr>
                <w:rFonts w:ascii="宋体" w:hAnsi="宋体"/>
                <w:szCs w:val="21"/>
              </w:rPr>
            </w:pPr>
          </w:p>
        </w:tc>
      </w:tr>
    </w:tbl>
    <w:p/>
    <w:p>
      <w:pPr>
        <w:rPr>
          <w:b/>
          <w:bCs/>
          <w:sz w:val="44"/>
          <w:szCs w:val="44"/>
        </w:rPr>
      </w:pPr>
    </w:p>
    <w:p/>
    <w:p w:rsidR="00A77B3E"/>
    <w:p>
      <w:pPr>
        <w:numPr>
          <w:ilvl w:val="0"/>
          <w:numId w:val="7"/>
        </w:numPr>
        <w:spacing w:line="360" w:lineRule="auto"/>
        <w:ind w:firstLine="3066" w:firstLineChars="1460"/>
        <w:jc w:val="left"/>
        <w:rPr>
          <w:b/>
          <w:bCs/>
          <w:szCs w:val="21"/>
        </w:rPr>
      </w:pPr>
      <w:bookmarkEnd w:id="73"/>
    </w:p>
    <w:sectPr>
      <w:pgSz w:w="11906" w:h="16838"/>
      <w:pgMar w:top="1440" w:right="1800" w:bottom="1440" w:left="1800" w:header="851" w:footer="992" w:gutter="0"/>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modern"/>
    <w:pitch w:val="variable"/>
    <w:sig w:usb0="00000203" w:usb1="288F0000" w:usb2="00000006" w:usb3="00000000" w:csb0="001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8F653B3"/>
    <w:multiLevelType w:val="singleLevel"/>
    <w:tmpl w:val="88F653B3"/>
    <w:lvl w:ilvl="0">
      <w:start w:val="4"/>
      <w:numFmt w:val="chineseCounting"/>
      <w:suff w:val="nothing"/>
      <w:lvlText w:val="%1、"/>
      <w:lvlJc w:val="left"/>
      <w:rPr>
        <w:rFonts w:hint="eastAsia"/>
      </w:rPr>
    </w:lvl>
  </w:abstractNum>
  <w:abstractNum w:abstractNumId="1">
    <w:nsid w:val="A87AE6D4"/>
    <w:multiLevelType w:val="singleLevel"/>
    <w:tmpl w:val="A87AE6D4"/>
    <w:lvl w:ilvl="0">
      <w:start w:val="2"/>
      <w:numFmt w:val="chineseCounting"/>
      <w:suff w:val="space"/>
      <w:lvlText w:val="(%1)"/>
      <w:lvlJc w:val="left"/>
      <w:rPr>
        <w:rFonts w:hint="eastAsia"/>
      </w:rPr>
    </w:lvl>
  </w:abstractNum>
  <w:abstractNum w:abstractNumId="2">
    <w:nsid w:val="BF6BC116"/>
    <w:multiLevelType w:val="singleLevel"/>
    <w:tmpl w:val="BF6BC116"/>
    <w:lvl w:ilvl="0">
      <w:start w:val="16"/>
      <w:numFmt w:val="decimal"/>
      <w:suff w:val="space"/>
      <w:lvlText w:val="%1."/>
      <w:lvlJc w:val="left"/>
    </w:lvl>
  </w:abstractNum>
  <w:abstractNum w:abstractNumId="3">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EFF0EB14"/>
    <w:multiLevelType w:val="singleLevel"/>
    <w:tmpl w:val="EFF0EB1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1530C5B"/>
    <w:multiLevelType w:val="singleLevel"/>
    <w:tmpl w:val="21530C5B"/>
    <w:lvl w:ilvl="0">
      <w:start w:val="1"/>
      <w:numFmt w:val="decimal"/>
      <w:lvlText w:val="%1)"/>
      <w:lvlJc w:val="left"/>
      <w:pPr>
        <w:ind w:left="562" w:hanging="420"/>
      </w:p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6307C022"/>
    <w:multiLevelType w:val="singleLevel"/>
    <w:tmpl w:val="6307C022"/>
    <w:lvl w:ilvl="0">
      <w:start w:val="1"/>
      <w:numFmt w:val="decimal"/>
      <w:suff w:val="nothing"/>
      <w:lvlText w:val="%1）"/>
      <w:lvlJc w:val="left"/>
    </w:lvl>
  </w:abstractNum>
  <w:abstractNum w:abstractNumId="16">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7">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1"/>
  </w:num>
  <w:num w:numId="5">
    <w:abstractNumId w:val="0"/>
  </w:num>
  <w:num w:numId="6">
    <w:abstractNumId w:val="7"/>
  </w:num>
  <w:num w:numId="7">
    <w:abstractNumId w:val="14"/>
  </w:num>
  <w:num w:numId="8">
    <w:abstractNumId w:val="17"/>
  </w:num>
  <w:num w:numId="9">
    <w:abstractNumId w:val="3"/>
  </w:num>
  <w:num w:numId="10">
    <w:abstractNumId w:val="15"/>
  </w:num>
  <w:num w:numId="11">
    <w:abstractNumId w:val="11"/>
  </w:num>
  <w:num w:numId="12">
    <w:abstractNumId w:val="16"/>
  </w:num>
  <w:num w:numId="13">
    <w:abstractNumId w:val="5"/>
  </w:num>
  <w:num w:numId="14">
    <w:abstractNumId w:val="4"/>
  </w:num>
  <w:num w:numId="15">
    <w:abstractNumId w:val="13"/>
  </w:num>
  <w:num w:numId="16">
    <w:abstractNumId w:val="2"/>
  </w:num>
  <w:num w:numId="17">
    <w:abstractNumId w:val="6"/>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 w:type="paragraph" w:styleId="BodyTextFirstIndent2">
    <w:name w:val="Body Text First Indent 2"/>
    <w:basedOn w:val="BodyTextIndent"/>
    <w:link w:val="20"/>
    <w:qFormat/>
    <w:pPr>
      <w:ind w:firstLine="420" w:firstLineChars="200"/>
    </w:pPr>
    <w:rPr>
      <w:szCs w:val="22"/>
    </w:rPr>
  </w:style>
  <w:style w:type="character" w:customStyle="1" w:styleId="20">
    <w:name w:val="正文首行缩进 2 字符"/>
    <w:link w:val="BodyTextFirstIndent2"/>
    <w:qFormat/>
    <w:rPr>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