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气候极端事件风险应对业务能力提升软件项目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ZQCD-26220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left="210" w:firstLine="210" w:leftChars="100" w:firstLineChars="1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left"/>
        <w:outlineLvl w:val="1"/>
        <w:rPr>
          <w:rFonts w:ascii="宋体" w:hAnsi="宋体" w:hint="eastAsia"/>
        </w:rPr>
      </w:pP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1.3.10</w:t>
            </w:r>
          </w:p>
        </w:tc>
        <w:tc>
          <w:tcPr>
            <w:tcW w:w="7723" w:type="dxa"/>
            <w:vAlign w:val="center"/>
          </w:tcPr>
          <w:p>
            <w:pPr>
              <w:pStyle w:val="10"/>
              <w:numPr>
                <w:ilvl w:val="0"/>
                <w:numId w:val="0"/>
              </w:numPr>
              <w:tabs>
                <w:tab w:val="left" w:pos="34"/>
                <w:tab w:val="clear" w:pos="709"/>
                <w:tab w:val="left" w:pos="1573"/>
              </w:tabs>
              <w:adjustRightInd w:val="0"/>
              <w:snapToGrid w:val="0"/>
              <w:spacing w:line="360" w:lineRule="auto"/>
              <w:ind w:left="34" w:leftChars="16"/>
              <w:rPr>
                <w:rFonts w:hint="eastAsia"/>
                <w:bCs/>
                <w:sz w:val="18"/>
                <w:szCs w:val="18"/>
              </w:rPr>
            </w:pPr>
            <w:r>
              <w:rPr>
                <w:rFonts w:hint="eastAsia"/>
                <w:sz w:val="18"/>
                <w:szCs w:val="18"/>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rPr>
              <w:t>拒绝</w:t>
            </w:r>
            <w:r>
              <w:rPr>
                <w:rFonts w:hint="eastAsia"/>
                <w:bCs/>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rPr>
              <w:t>仅接受该</w:t>
            </w:r>
            <w:r>
              <w:rPr>
                <w:rFonts w:ascii="宋体" w:hAnsi="宋体" w:hint="eastAsia"/>
                <w:sz w:val="18"/>
                <w:szCs w:val="18"/>
              </w:rPr>
              <w:t>投标人</w:t>
            </w:r>
            <w:r>
              <w:rPr>
                <w:rFonts w:ascii="宋体" w:hAnsi="宋体"/>
                <w:sz w:val="18"/>
                <w:szCs w:val="18"/>
              </w:rPr>
              <w:t>的投标，</w:t>
            </w:r>
            <w:r>
              <w:rPr>
                <w:rFonts w:ascii="宋体" w:hAnsi="宋体" w:hint="eastAsia"/>
                <w:sz w:val="18"/>
                <w:szCs w:val="18"/>
              </w:rPr>
              <w:t>被</w:t>
            </w:r>
            <w:r>
              <w:rPr>
                <w:rFonts w:ascii="宋体" w:hAnsi="宋体"/>
                <w:sz w:val="18"/>
                <w:szCs w:val="18"/>
              </w:rPr>
              <w:t>授权</w:t>
            </w:r>
            <w:r>
              <w:rPr>
                <w:rFonts w:ascii="宋体" w:hAnsi="宋体" w:hint="eastAsia"/>
                <w:sz w:val="18"/>
                <w:szCs w:val="18"/>
              </w:rPr>
              <w:t>人的</w:t>
            </w:r>
            <w:r>
              <w:rPr>
                <w:rFonts w:ascii="宋体" w:hAnsi="宋体"/>
                <w:sz w:val="18"/>
                <w:szCs w:val="18"/>
              </w:rPr>
              <w:t>投标将被</w:t>
            </w:r>
            <w:r>
              <w:rPr>
                <w:rFonts w:ascii="宋体" w:hAnsi="宋体"/>
                <w:b/>
                <w:sz w:val="18"/>
                <w:szCs w:val="18"/>
              </w:rPr>
              <w:t>拒绝</w:t>
            </w:r>
            <w:r>
              <w:rPr>
                <w:rFonts w:ascii="宋体" w:hAnsi="宋体" w:hint="eastAsia"/>
                <w:sz w:val="18"/>
                <w:szCs w:val="18"/>
              </w:rPr>
              <w:t>。（2）除</w:t>
            </w:r>
            <w:r>
              <w:rPr>
                <w:rFonts w:ascii="宋体" w:hAnsi="宋体" w:hint="eastAsia"/>
                <w:b/>
                <w:bCs/>
                <w:sz w:val="18"/>
                <w:szCs w:val="18"/>
              </w:rPr>
              <w:t>第五章投标人须知专用部分</w:t>
            </w:r>
            <w:r>
              <w:rPr>
                <w:rFonts w:ascii="宋体" w:hAnsi="宋体" w:hint="eastAsia"/>
                <w:bCs/>
                <w:sz w:val="18"/>
                <w:szCs w:val="18"/>
              </w:rPr>
              <w:t>另有约定外，拥有第三方软件著作权的所有</w:t>
            </w:r>
            <w:r>
              <w:rPr>
                <w:rFonts w:ascii="宋体" w:hAnsi="宋体" w:hint="eastAsia"/>
                <w:sz w:val="18"/>
                <w:szCs w:val="18"/>
              </w:rPr>
              <w:t>第三方，只能授权同一个投标人在开发本项目招标的软件时，对该第三方软件进行移植、修改、再开发，否则被授权的所有投标人的投标将全部被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1.3.12</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1.3.13</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本项目如不需要驻场服务，则投标人应符合以下条件，否则投标将被</w:t>
            </w:r>
            <w:r>
              <w:rPr>
                <w:rFonts w:ascii="宋体" w:hAnsi="宋体" w:hint="eastAsia"/>
                <w:b/>
                <w:sz w:val="18"/>
                <w:szCs w:val="18"/>
              </w:rPr>
              <w:t>拒绝</w:t>
            </w:r>
            <w:r>
              <w:rPr>
                <w:rFonts w:ascii="宋体" w:hAnsi="宋体" w:hint="eastAsia"/>
                <w:sz w:val="18"/>
                <w:szCs w:val="18"/>
              </w:rPr>
              <w:t>：</w:t>
            </w:r>
            <w:r>
              <w:rPr>
                <w:rFonts w:ascii="宋体" w:hAnsi="宋体" w:hint="eastAsia"/>
                <w:sz w:val="18"/>
                <w:szCs w:val="18"/>
              </w:rPr>
              <w:t>①</w:t>
            </w:r>
            <w:r>
              <w:rPr>
                <w:rFonts w:ascii="宋体" w:hAnsi="宋体" w:hint="eastAsia"/>
                <w:sz w:val="18"/>
                <w:szCs w:val="18"/>
              </w:rPr>
              <w:t>用于本项目的设施、系统和数据与其他项目有明确、清晰的边界；</w:t>
            </w:r>
            <w:r>
              <w:rPr>
                <w:rFonts w:ascii="宋体" w:hAnsi="宋体" w:hint="eastAsia"/>
                <w:sz w:val="18"/>
                <w:szCs w:val="18"/>
              </w:rPr>
              <w:t>②</w:t>
            </w:r>
            <w:r>
              <w:rPr>
                <w:rFonts w:ascii="宋体" w:hAnsi="宋体" w:hint="eastAsia"/>
                <w:sz w:val="18"/>
                <w:szCs w:val="18"/>
              </w:rPr>
              <w:t>用于本项目的服务器</w:t>
            </w:r>
            <w:r>
              <w:rPr>
                <w:rFonts w:ascii="宋体" w:hAnsi="宋体" w:hint="eastAsia"/>
                <w:spacing w:val="-34"/>
                <w:sz w:val="18"/>
                <w:szCs w:val="18"/>
              </w:rPr>
              <w:t>、</w:t>
            </w:r>
            <w:r>
              <w:rPr>
                <w:rFonts w:ascii="宋体" w:hAnsi="宋体" w:hint="eastAsia"/>
                <w:sz w:val="18"/>
                <w:szCs w:val="18"/>
              </w:rPr>
              <w:t>存储</w:t>
            </w:r>
            <w:r>
              <w:rPr>
                <w:rFonts w:ascii="宋体" w:hAnsi="宋体" w:hint="eastAsia"/>
                <w:spacing w:val="-34"/>
                <w:sz w:val="18"/>
                <w:szCs w:val="18"/>
              </w:rPr>
              <w:t>、</w:t>
            </w:r>
            <w:r>
              <w:rPr>
                <w:rFonts w:ascii="宋体" w:hAnsi="宋体" w:hint="eastAsia"/>
                <w:sz w:val="18"/>
                <w:szCs w:val="18"/>
              </w:rPr>
              <w:t>网络设备、操作系统</w:t>
            </w:r>
            <w:r>
              <w:rPr>
                <w:rFonts w:ascii="宋体" w:hAnsi="宋体" w:hint="eastAsia"/>
                <w:spacing w:val="-20"/>
                <w:sz w:val="18"/>
                <w:szCs w:val="18"/>
              </w:rPr>
              <w:t>、</w:t>
            </w:r>
            <w:r>
              <w:rPr>
                <w:rFonts w:ascii="宋体" w:hAnsi="宋体" w:hint="eastAsia"/>
                <w:sz w:val="18"/>
                <w:szCs w:val="18"/>
              </w:rPr>
              <w:t>数据库</w:t>
            </w:r>
            <w:r>
              <w:rPr>
                <w:rFonts w:ascii="宋体" w:hAnsi="宋体" w:hint="eastAsia"/>
                <w:spacing w:val="-20"/>
                <w:sz w:val="18"/>
                <w:szCs w:val="18"/>
              </w:rPr>
              <w:t>、</w:t>
            </w:r>
            <w:r>
              <w:rPr>
                <w:rFonts w:ascii="宋体" w:hAnsi="宋体" w:hint="eastAsia"/>
                <w:sz w:val="18"/>
                <w:szCs w:val="18"/>
              </w:rPr>
              <w:t>中间件等软</w:t>
            </w:r>
            <w:r>
              <w:rPr>
                <w:rFonts w:ascii="宋体" w:hAnsi="宋体" w:hint="eastAsia"/>
                <w:spacing w:val="-20"/>
                <w:sz w:val="18"/>
                <w:szCs w:val="18"/>
              </w:rPr>
              <w:t>、</w:t>
            </w:r>
            <w:r>
              <w:rPr>
                <w:rFonts w:ascii="宋体" w:hAnsi="宋体" w:hint="eastAsia"/>
                <w:sz w:val="18"/>
                <w:szCs w:val="18"/>
              </w:rPr>
              <w:t>硬件设施具有最高管理权限；</w:t>
            </w:r>
            <w:r>
              <w:rPr>
                <w:rFonts w:ascii="宋体" w:hAnsi="宋体" w:hint="eastAsia"/>
                <w:sz w:val="18"/>
                <w:szCs w:val="18"/>
              </w:rPr>
              <w:t>③</w:t>
            </w:r>
            <w:r>
              <w:rPr>
                <w:rFonts w:ascii="宋体" w:hAnsi="宋体" w:hint="eastAsia"/>
                <w:sz w:val="18"/>
                <w:szCs w:val="18"/>
              </w:rPr>
              <w:t>具有防止数据泄露的管理和技术措施；</w:t>
            </w:r>
            <w:r>
              <w:rPr>
                <w:rFonts w:ascii="宋体" w:hAnsi="宋体" w:hint="eastAsia"/>
                <w:sz w:val="18"/>
                <w:szCs w:val="18"/>
              </w:rPr>
              <w:t>④</w:t>
            </w:r>
            <w:r>
              <w:rPr>
                <w:rFonts w:ascii="宋体" w:hAnsi="宋体" w:hint="eastAsia"/>
                <w:sz w:val="18"/>
                <w:szCs w:val="18"/>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第五章投标人须知专用部分5.7条</w:t>
            </w:r>
            <w:r>
              <w:rPr>
                <w:rFonts w:hint="eastAsia"/>
                <w:sz w:val="18"/>
                <w:szCs w:val="18"/>
              </w:rPr>
              <w:t>有关代理商投标要求，以及进口产品代理商未按</w:t>
            </w:r>
            <w:r>
              <w:rPr>
                <w:rFonts w:hint="eastAsia"/>
                <w:b/>
                <w:sz w:val="18"/>
                <w:szCs w:val="18"/>
              </w:rPr>
              <w:t>第五章投标人须知专用部分5.8条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rPr>
            </w:pPr>
            <w:r>
              <w:rPr>
                <w:rFonts w:ascii="宋体" w:hAnsi="宋体" w:hint="eastAsia"/>
                <w:sz w:val="18"/>
                <w:szCs w:val="18"/>
              </w:rPr>
              <w:t>投标人未提交全以下商务文件（特别说明除外）：（1）法定代表人身份证明或授权委托书；（2）投标函；（3）资格、资信证明文件：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ascii="宋体" w:hAnsi="宋体"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ascii="宋体" w:hAnsi="宋体" w:hint="eastAsia"/>
                <w:sz w:val="18"/>
                <w:szCs w:val="18"/>
              </w:rPr>
              <w:t>④</w:t>
            </w:r>
            <w:r>
              <w:rPr>
                <w:rFonts w:ascii="宋体" w:hAnsi="宋体" w:hint="eastAsia"/>
                <w:sz w:val="18"/>
                <w:szCs w:val="18"/>
              </w:rPr>
              <w:t>财务状况证明；</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ascii="宋体" w:hAnsi="宋体" w:hint="eastAsia"/>
                <w:sz w:val="18"/>
                <w:szCs w:val="18"/>
              </w:rPr>
              <w:t>⑥</w:t>
            </w:r>
            <w:r>
              <w:rPr>
                <w:rFonts w:ascii="宋体" w:hAnsi="宋体" w:hint="eastAsia"/>
                <w:sz w:val="18"/>
                <w:szCs w:val="18"/>
              </w:rPr>
              <w:t>不使用第三方软件移植承诺书或</w:t>
            </w:r>
            <w:r>
              <w:rPr>
                <w:rFonts w:ascii="宋体" w:hAnsi="宋体" w:hint="eastAsia"/>
                <w:bCs/>
                <w:sz w:val="18"/>
                <w:szCs w:val="18"/>
              </w:rPr>
              <w:t>软件移植授权书（开发本项目招标的软件，如不使用第三方软件进行移植、修改和再开发的，应提供《</w:t>
            </w:r>
            <w:r>
              <w:rPr>
                <w:rFonts w:ascii="宋体" w:hAnsi="宋体" w:hint="eastAsia"/>
                <w:sz w:val="18"/>
                <w:szCs w:val="18"/>
              </w:rPr>
              <w:t>不使用第三方软件移植承诺书》，</w:t>
            </w:r>
            <w:r>
              <w:rPr>
                <w:rFonts w:ascii="宋体" w:hAnsi="宋体" w:hint="eastAsia"/>
                <w:bCs/>
                <w:sz w:val="18"/>
                <w:szCs w:val="18"/>
              </w:rPr>
              <w:t>如使用则应提供《软件移植授权书</w:t>
            </w:r>
            <w:r>
              <w:rPr>
                <w:rFonts w:ascii="宋体" w:hAnsi="宋体" w:hint="eastAsia"/>
                <w:sz w:val="18"/>
                <w:szCs w:val="18"/>
              </w:rPr>
              <w:t>》</w:t>
            </w:r>
            <w:r>
              <w:rPr>
                <w:rFonts w:ascii="宋体" w:hAnsi="宋体" w:hint="eastAsia"/>
                <w:bCs/>
                <w:sz w:val="18"/>
                <w:szCs w:val="18"/>
              </w:rPr>
              <w:t>）；</w:t>
            </w:r>
            <w:r>
              <w:rPr>
                <w:rFonts w:ascii="宋体" w:hAnsi="宋体" w:hint="eastAsia"/>
                <w:sz w:val="18"/>
                <w:szCs w:val="18"/>
              </w:rPr>
              <w:t>⑦</w:t>
            </w:r>
            <w:r>
              <w:rPr>
                <w:rFonts w:ascii="宋体" w:hAnsi="宋体" w:hint="eastAsia"/>
                <w:bCs/>
                <w:sz w:val="18"/>
                <w:szCs w:val="18"/>
              </w:rPr>
              <w:t>投标货物的《</w:t>
            </w:r>
            <w:r>
              <w:rPr>
                <w:rFonts w:ascii="宋体" w:hAnsi="宋体" w:hint="eastAsia"/>
                <w:sz w:val="18"/>
                <w:szCs w:val="18"/>
              </w:rPr>
              <w:t>气象专用技术装备使用许可证》（如本次采购内容不包括货物，或者投标货物不必须取得《气象专用技术装备使用许可证》的，可以不提供）；</w:t>
            </w:r>
            <w:r>
              <w:rPr>
                <w:rFonts w:ascii="宋体" w:hAnsi="宋体" w:hint="eastAsia"/>
                <w:bCs/>
                <w:sz w:val="18"/>
                <w:szCs w:val="18"/>
              </w:rPr>
              <w:t>⑧</w:t>
            </w:r>
            <w:r>
              <w:rPr>
                <w:rFonts w:ascii="宋体" w:hAnsi="宋体" w:hint="eastAsia"/>
                <w:bCs/>
                <w:sz w:val="18"/>
                <w:szCs w:val="18"/>
              </w:rPr>
              <w:t>进口产品制造商授权书（投标货物不是进口产品的，不提供）；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⑩</w:t>
            </w:r>
            <w:r>
              <w:rPr>
                <w:rFonts w:ascii="宋体" w:hAnsi="宋体" w:hint="eastAsia"/>
                <w:sz w:val="18"/>
                <w:szCs w:val="18"/>
              </w:rPr>
              <w:t>联合体协议（如有）</w:t>
            </w:r>
            <w:r>
              <w:rPr>
                <w:rFonts w:ascii="宋体" w:hAnsi="宋体" w:hint="eastAsia"/>
                <w:bCs/>
                <w:sz w:val="18"/>
                <w:szCs w:val="18"/>
              </w:rPr>
              <w:t>；</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11</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分包意向协议（如有）；</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12</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按照</w:t>
            </w:r>
            <w:r>
              <w:rPr>
                <w:rFonts w:ascii="宋体" w:hAnsi="宋体" w:hint="eastAsia"/>
                <w:b/>
                <w:sz w:val="18"/>
                <w:szCs w:val="18"/>
              </w:rPr>
              <w:t>第五章投标人须知专用部分5.2条</w:t>
            </w:r>
            <w:r>
              <w:rPr>
                <w:rFonts w:ascii="宋体" w:hAnsi="宋体" w:hint="eastAsia"/>
                <w:sz w:val="18"/>
                <w:szCs w:val="18"/>
              </w:rPr>
              <w:t>规定应提交的特殊资质条件证明文件。（4）银行保函或投标保证金说明函（本项目不要求提交投标保证金的不提供）。（5）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tabs>
                <w:tab w:val="left" w:pos="900"/>
                <w:tab w:val="left" w:pos="5580"/>
              </w:tabs>
              <w:adjustRightInd w:val="0"/>
              <w:snapToGrid w:val="0"/>
              <w:spacing w:line="360" w:lineRule="auto"/>
              <w:jc w:val="left"/>
              <w:rPr>
                <w:rFonts w:ascii="宋体" w:hAnsi="宋体"/>
                <w:sz w:val="18"/>
                <w:szCs w:val="18"/>
              </w:rPr>
            </w:pPr>
            <w:r>
              <w:rPr>
                <w:rFonts w:ascii="宋体" w:hAnsi="宋体" w:hint="eastAsia"/>
                <w:sz w:val="18"/>
                <w:szCs w:val="18"/>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投标文件的盖章、签字等签署要求见1.2.9条。其中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rPr>
            </w:pPr>
            <w:r>
              <w:rPr>
                <w:rFonts w:ascii="宋体" w:hAnsi="宋体" w:hint="eastAsia"/>
                <w:b/>
                <w:sz w:val="18"/>
                <w:szCs w:val="18"/>
              </w:rPr>
              <w:t>不使用第三方软件移植承诺书。</w:t>
            </w:r>
            <w:r>
              <w:rPr>
                <w:rFonts w:ascii="宋体" w:hAnsi="宋体" w:hint="eastAsia"/>
                <w:sz w:val="18"/>
                <w:szCs w:val="18"/>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rPr>
            </w:pPr>
            <w:r>
              <w:rPr>
                <w:rFonts w:ascii="宋体" w:hAnsi="宋体" w:hint="eastAsia"/>
                <w:b/>
                <w:sz w:val="18"/>
                <w:szCs w:val="18"/>
              </w:rPr>
              <w:t>软件移植</w:t>
            </w:r>
            <w:r>
              <w:rPr>
                <w:rFonts w:ascii="宋体" w:hAnsi="宋体" w:hint="eastAsia"/>
                <w:b/>
                <w:bCs/>
                <w:sz w:val="18"/>
                <w:szCs w:val="18"/>
              </w:rPr>
              <w:t>授权书。</w:t>
            </w:r>
            <w:r>
              <w:rPr>
                <w:rFonts w:ascii="宋体" w:hAnsi="宋体" w:hint="eastAsia"/>
                <w:sz w:val="18"/>
                <w:szCs w:val="18"/>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国家气候中心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气候极端事件风险应对业务能力提升软件项目</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ZQCD-26220</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合同签订后12个月内完成并具备验收条件。具体见第七章“采购需求”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2026年10月01日 00:00:00</w:t>
      </w:r>
      <w:bookmarkEnd w:id="27"/>
      <w:r>
        <w:rPr>
          <w:rFonts w:ascii="宋体" w:hint="eastAsia"/>
          <w:szCs w:val="21"/>
          <w:highlight w:val="none"/>
        </w:rPr>
        <w:t>至</w:t>
      </w:r>
      <w:bookmarkStart w:id="28" w:name="项目公告_signUpLastTime"/>
      <w:r>
        <w:rPr>
          <w:rFonts w:ascii="宋体" w:hint="eastAsia"/>
          <w:szCs w:val="21"/>
          <w:highlight w:val="none"/>
        </w:rPr>
        <w:t>2026年10月13日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9" w:name="项目公告_openBidTime"/>
      <w:r>
        <w:rPr>
          <w:rFonts w:ascii="宋体" w:hAnsi="宋体" w:hint="eastAsia"/>
          <w:bCs/>
          <w:szCs w:val="21"/>
          <w:highlight w:val="none"/>
        </w:rPr>
        <w:t>2026年10月22日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杜建君</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01058995155</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国家气候中心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刘北</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010-58991536</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国家气候中心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是</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20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15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（1）标的：气候极端事件风险应对业务能力提升软件项目，属于 软件和信息技术服务业；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是，代理服务费：8.9万元。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1,792.550000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1,792.550000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根据本项目实际情况，招标文件1.27.3第1项至第3项启动异常低价投标审查的数值标准为65%。</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23"/>
        <w:gridCol w:w="365"/>
        <w:gridCol w:w="1149"/>
        <w:gridCol w:w="365"/>
        <w:gridCol w:w="642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(4)</w:t>
            </w:r>
          </w:p>
        </w:tc>
        <w:tc>
          <w:tcPr/>
          <w:p>
            <w:r>
              <w:t>评审标准：</w:t>
            </w:r>
          </w:p>
          <w:p>
            <w:r>
              <w:t>1、投标人具有 ISO9000系列质量管理体系认证；</w:t>
              <w:cr/>
              <w:t>2、投标人具有ISO20000信息技术服务管理体系认证；</w:t>
              <w:cr/>
              <w:t>3、投标人具有ISO27001信息安全管理体系认证；</w:t>
              <w:cr/>
              <w:t>4、投标人具有CCRC信息安全服务资质认证证书；</w:t>
              <w:cr/>
              <w:t>以上每有一个证书得1分，满分4分。否则不得分。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服务合同必须包括与本项目类似的软件开发，每提供1份合同得2分，最多得8分。否则不得分。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(3)</w:t>
            </w:r>
          </w:p>
        </w:tc>
        <w:tc>
          <w:tcPr/>
          <w:p>
            <w:r>
              <w:t>评审标准：</w:t>
            </w:r>
          </w:p>
          <w:p>
            <w:r>
              <w:t>每提供 1份用户满意度证明得1分，最多得3分。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勾选打分</w:t>
            </w:r>
            <w:r>
              <w:t>(5)</w:t>
            </w:r>
          </w:p>
        </w:tc>
        <w:tc>
          <w:tcPr/>
          <w:p>
            <w:r>
              <w:t>评审标准：</w:t>
            </w:r>
          </w:p>
          <w:p>
            <w:r>
              <w:t>每提供1份投标人原始取得的软件著作权证书或专利证书得1分，最多得5分。否则不得分。</w:t>
            </w:r>
          </w:p>
          <w:p>
            <w:r>
              <w:t>评审标准说明：</w:t>
            </w:r>
          </w:p>
          <w:p>
            <w:r>
              <w:t>投标人提供原始取得的软件著作权证书或专利证书复印件，并加盖投标人公章。</w:t>
            </w:r>
          </w:p>
          <w:p/>
        </w:tc>
      </w:tr>
      <w:tr>
        <w:tblPrEx>
          <w:tblW w:w="5000" w:type="pct"/>
          <w:tblCellMar>
            <w:left w:w="108" w:type="dxa"/>
            <w:right w:w="108" w:type="dxa"/>
          </w:tblCellMar>
        </w:tblPrEx>
        <w:tc>
          <w:tcPr/>
          <w:p>
            <w:r>
              <w:t>6</w:t>
            </w:r>
          </w:p>
        </w:tc>
        <w:tc>
          <w:tcPr>
            <w:vMerge/>
          </w:tcPr>
          <w:p>
            <w:r>
              <w:t>商务部分</w:t>
            </w:r>
          </w:p>
        </w:tc>
        <w:tc>
          <w:tcPr/>
          <w:p>
            <w:r>
              <w:t>项目团队（客观分）</w:t>
            </w:r>
          </w:p>
        </w:tc>
        <w:tc>
          <w:tcPr/>
          <w:p>
            <w:r>
              <w:t>区间打分</w:t>
            </w:r>
            <w:r>
              <w:t>(15)</w:t>
            </w:r>
          </w:p>
        </w:tc>
        <w:tc>
          <w:tcPr/>
          <w:p>
            <w:r>
              <w:t>评审标准：</w:t>
            </w:r>
          </w:p>
          <w:p>
            <w:r>
              <w:t>投标人为本项目组建专门的项目实施团队，团队组织结构清晰，人员资质齐全、分工明确，设立项目经理、技术负责人各1人。具体按如下评分：</w:t>
              <w:cr/>
              <w:t>1、项目经理同时具有信息系统项目管理师（高级）和 CISP（注册信息安全专业人员）证书得4分，否则不得分；</w:t>
              <w:cr/>
              <w:t>2、技术负责人具有中级或以上系统集成项目管理工程师证书得2分，有类似项目软件开发经验得2分，满分4分；</w:t>
              <w:cr/>
              <w:t>3、除项目经理和技术负责人外，团队成员中至少2人具有2年以上软件开发经验，在此基础上，每增加1名具有2年以上软件开发经验的人员得1分，最高5分；</w:t>
              <w:cr/>
              <w:t>4、除项目经理和技术负责人外，团队成员至少2人有气象类专业背景得1分，至少2人具有地理信息类专业背景得1分，本项目满分2分；</w:t>
            </w:r>
          </w:p>
          <w:p>
            <w:r>
              <w:t>评审标准说明：</w:t>
            </w:r>
          </w:p>
          <w:p>
            <w:r>
              <w:t>须提供人员名单、相关证书复印件、 工作经历背景，投标人为相关人员缴纳的近6个月内任一期社保清单（投标人为新成立的公司，可提供劳动合同），并加盖投标人公章。</w:t>
            </w:r>
          </w:p>
          <w:p/>
        </w:tc>
      </w:tr>
      <w:tr>
        <w:tblPrEx>
          <w:tblW w:w="5000" w:type="pct"/>
          <w:tblCellMar>
            <w:left w:w="108" w:type="dxa"/>
            <w:right w:w="108" w:type="dxa"/>
          </w:tblCellMar>
        </w:tblPrEx>
        <w:tc>
          <w:tcPr/>
          <w:p>
            <w:r>
              <w:t>7</w:t>
            </w:r>
          </w:p>
        </w:tc>
        <w:tc>
          <w:tcPr>
            <w:vMerge w:val="restart"/>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8</w:t>
            </w:r>
          </w:p>
        </w:tc>
        <w:tc>
          <w:tcPr>
            <w:vMerge/>
          </w:tcPr>
          <w:p>
            <w:r>
              <w:t>服务部分</w:t>
            </w:r>
          </w:p>
        </w:tc>
        <w:tc>
          <w:tcPr/>
          <w:p>
            <w:r>
              <w:t>免费质保期（客观分）</w:t>
            </w:r>
          </w:p>
        </w:tc>
        <w:tc>
          <w:tcPr/>
          <w:p>
            <w:r>
              <w:t>勾选打分</w:t>
            </w:r>
            <w:r>
              <w:t>(6)</w:t>
            </w:r>
          </w:p>
        </w:tc>
        <w:tc>
          <w:tcPr/>
          <w:p>
            <w:r>
              <w:t>评审标准：</w:t>
            </w:r>
          </w:p>
          <w:p>
            <w:r>
              <w:t>一档0分</w:t>
              <w:cr/>
              <w:t>二档2分</w:t>
              <w:cr/>
              <w:t>三档4分</w:t>
              <w:cr/>
              <w:t>四档6分</w:t>
            </w:r>
          </w:p>
          <w:p>
            <w:r>
              <w:t>评审标准说明：</w:t>
            </w:r>
          </w:p>
          <w:p>
            <w:r>
              <w:t>质保期自项目最终验收合格之日起计算；免费质保期内，投标人须免费提供故障修复、补丁升级及技术支持，不得另行收费；承诺年限以投标文件中的书面承诺为准，无需提供其他证明材料。</w:t>
              <w:cr/>
              <w:t>具体标准评分如下：</w:t>
              <w:cr/>
              <w:t>一档：承诺免费质保期 &lt; 1年或无承诺；</w:t>
              <w:cr/>
              <w:t>二档：承诺免费质保期 = 1年；</w:t>
              <w:cr/>
              <w:t>三档：承诺免费质保期 = 2年；</w:t>
              <w:cr/>
              <w:t>四档：承诺免费质保期 ≥ 3年。</w:t>
            </w:r>
          </w:p>
          <w:p/>
        </w:tc>
      </w:tr>
      <w:tr>
        <w:tblPrEx>
          <w:tblW w:w="5000" w:type="pct"/>
          <w:tblCellMar>
            <w:left w:w="108" w:type="dxa"/>
            <w:right w:w="108" w:type="dxa"/>
          </w:tblCellMar>
        </w:tblPrEx>
        <w:tc>
          <w:tcPr/>
          <w:p>
            <w:r>
              <w:t>9</w:t>
            </w:r>
          </w:p>
        </w:tc>
        <w:tc>
          <w:tcPr>
            <w:vMerge/>
          </w:tcPr>
          <w:p>
            <w:r>
              <w:t>服务部分</w:t>
            </w:r>
          </w:p>
        </w:tc>
        <w:tc>
          <w:tcPr/>
          <w:p>
            <w:r>
              <w:t>开发期内需求变更（客观分）</w:t>
            </w:r>
          </w:p>
        </w:tc>
        <w:tc>
          <w:tcPr/>
          <w:p>
            <w:r>
              <w:t>区间打分</w:t>
            </w:r>
            <w:r>
              <w:t>(3)</w:t>
            </w:r>
          </w:p>
        </w:tc>
        <w:tc>
          <w:tcPr/>
          <w:p>
            <w:r>
              <w:t>评审标准：</w:t>
            </w:r>
          </w:p>
          <w:p>
            <w:r>
              <w:t>提供书面承诺得3分。</w:t>
            </w:r>
          </w:p>
          <w:p>
            <w:r>
              <w:t>评审标准说明：</w:t>
            </w:r>
          </w:p>
          <w:p>
            <w:r>
              <w:t>书面承诺软件开发期内采购人免费拥有20%的软件需求变更权利。</w:t>
            </w:r>
          </w:p>
          <w:p/>
        </w:tc>
      </w:tr>
      <w:tr>
        <w:tblPrEx>
          <w:tblW w:w="5000" w:type="pct"/>
          <w:tblCellMar>
            <w:left w:w="108" w:type="dxa"/>
            <w:right w:w="108" w:type="dxa"/>
          </w:tblCellMar>
        </w:tblPrEx>
        <w:tc>
          <w:tcPr/>
          <w:p>
            <w:r>
              <w:t>10</w:t>
            </w:r>
          </w:p>
        </w:tc>
        <w:tc>
          <w:tcPr>
            <w:vMerge w:val="restart"/>
          </w:tcPr>
          <w:p>
            <w:r>
              <w:t>技术部分</w:t>
            </w:r>
          </w:p>
        </w:tc>
        <w:tc>
          <w:tcPr/>
          <w:p>
            <w:r>
              <w:t>项目总体需求分析（主观分）</w:t>
            </w:r>
          </w:p>
        </w:tc>
        <w:tc>
          <w:tcPr/>
          <w:p>
            <w:r>
              <w:t>勾选打分</w:t>
            </w:r>
            <w:r>
              <w:t>(4)</w:t>
            </w:r>
          </w:p>
        </w:tc>
        <w:tc>
          <w:tcPr/>
          <w:p>
            <w:r>
              <w:t>评审标准：</w:t>
            </w:r>
          </w:p>
          <w:p>
            <w:r>
              <w:t>一档0分</w:t>
              <w:cr/>
              <w:t>二档1分</w:t>
              <w:cr/>
              <w:t>三档2分</w:t>
              <w:cr/>
              <w:t>四档4分</w:t>
            </w:r>
          </w:p>
          <w:p>
            <w:r>
              <w:t>评审标准说明：</w:t>
            </w:r>
          </w:p>
          <w:p>
            <w:r>
              <w:t xml:space="preserve">根据投标人提供的软件开发需求分析报告评分。分析报告应包括软件系统各模块功能需求分析、软件系统的非功能及性能需求分析、数据需求分析、接口需求分析。具体评分标准如下： </w:t>
              <w:cr/>
              <w:t xml:space="preserve">一档：未提交需求分析； </w:t>
              <w:cr/>
              <w:t xml:space="preserve">二档：提交的需求分析不完整（指缺失软件系统各模块功能需求分析、软件系统的非功能及性能需求分析、数据需求分析、接口需求分析任一部分），或者未对软件系统各模块进行功能需求拆分； </w:t>
              <w:cr/>
              <w:t xml:space="preserve">三档：需求分析完整、全面，但不具体、不详细、不充分，合理性、针对性一般； </w:t>
              <w:cr/>
              <w:t>四档：需求分析完整全面，且详细具体充分，合理性、针对性强，完全契合项目需求。</w:t>
            </w:r>
          </w:p>
          <w:p/>
        </w:tc>
      </w:tr>
      <w:tr>
        <w:tblPrEx>
          <w:tblW w:w="5000" w:type="pct"/>
          <w:tblCellMar>
            <w:left w:w="108" w:type="dxa"/>
            <w:right w:w="108" w:type="dxa"/>
          </w:tblCellMar>
        </w:tblPrEx>
        <w:tc>
          <w:tcPr/>
          <w:p>
            <w:r>
              <w:t>11</w:t>
            </w:r>
          </w:p>
        </w:tc>
        <w:tc>
          <w:tcPr>
            <w:vMerge/>
          </w:tcPr>
          <w:p>
            <w:r>
              <w:t>技术部分</w:t>
            </w:r>
          </w:p>
        </w:tc>
        <w:tc>
          <w:tcPr/>
          <w:p>
            <w:r>
              <w:t>系统整体架构技术方案（主观分）</w:t>
            </w:r>
          </w:p>
        </w:tc>
        <w:tc>
          <w:tcPr/>
          <w:p>
            <w:r>
              <w:t>勾选打分</w:t>
            </w:r>
            <w:r>
              <w:t>(4)</w:t>
            </w:r>
          </w:p>
        </w:tc>
        <w:tc>
          <w:tcPr/>
          <w:p>
            <w:r>
              <w:t>评审标准：</w:t>
            </w:r>
          </w:p>
          <w:p>
            <w:r>
              <w:t>一档0分</w:t>
              <w:cr/>
              <w:t>二档1分</w:t>
              <w:cr/>
              <w:t>三档2分</w:t>
              <w:cr/>
              <w:t>四档4分</w:t>
            </w:r>
          </w:p>
          <w:p>
            <w:r>
              <w:t>评审标准说明：</w:t>
            </w:r>
          </w:p>
          <w:p>
            <w:r>
              <w:t>根据提交的系统整体架构设计技术方案（包括总体架构设计、技术架构与技术路线设计、数据架构设计、接口设计、部署设计、非功能性设计）评分：</w:t>
              <w:cr/>
              <w:t>一档：未提供；</w:t>
              <w:cr/>
              <w:t>二档：系统整体架构设计不完整（指缺失总体架构设计、技术架构与技术路线设计、数据架构设计、接口设计、部署设计、非功能性设计任意一项），或者不合理，无针对性；</w:t>
              <w:cr/>
              <w:t>三档：系统整体架构设计完整，图文规范，有一定合理性、针对性；</w:t>
              <w:cr/>
              <w:t>四档：系统整体架构设计完整，图文规范，合理可行，技术先进，针对性强。</w:t>
            </w:r>
          </w:p>
          <w:p/>
        </w:tc>
      </w:tr>
      <w:tr>
        <w:tblPrEx>
          <w:tblW w:w="5000" w:type="pct"/>
          <w:tblCellMar>
            <w:left w:w="108" w:type="dxa"/>
            <w:right w:w="108" w:type="dxa"/>
          </w:tblCellMar>
        </w:tblPrEx>
        <w:tc>
          <w:tcPr/>
          <w:p>
            <w:r>
              <w:t>12</w:t>
            </w:r>
          </w:p>
        </w:tc>
        <w:tc>
          <w:tcPr>
            <w:vMerge/>
          </w:tcPr>
          <w:p>
            <w:r>
              <w:t>技术部分</w:t>
            </w:r>
          </w:p>
        </w:tc>
        <w:tc>
          <w:tcPr/>
          <w:p>
            <w:r>
              <w:t>详细设计技术方案（主观分）</w:t>
            </w:r>
          </w:p>
        </w:tc>
        <w:tc>
          <w:tcPr/>
          <w:p>
            <w:r>
              <w:t>区间打分</w:t>
            </w:r>
            <w:r>
              <w:t>(36)</w:t>
            </w:r>
          </w:p>
        </w:tc>
        <w:tc>
          <w:tcPr/>
          <w:p>
            <w:r>
              <w:t>评审标准：</w:t>
            </w:r>
          </w:p>
          <w:p>
            <w:r>
              <w:t>提交以下子系统详细设计技术方案：</w:t>
              <w:cr/>
              <w:t>（1）基于多模式的全球多尺度智能网格预测子系统</w:t>
              <w:cr/>
              <w:t>（2）次季节重要过程预测与检验子系统</w:t>
              <w:cr/>
              <w:t>（3）极端气候事件预测子系统</w:t>
              <w:cr/>
              <w:t>（4）春季北方沙尘预测子系统</w:t>
              <w:cr/>
              <w:t>（5）气候变化与极端事件预估子系统</w:t>
              <w:cr/>
              <w:t>（6）次季节-季节极端水文事件风险预警子系统</w:t>
              <w:cr/>
              <w:t>（7）次季节至季节风能太阳能资源精细化预测子系统</w:t>
              <w:cr/>
              <w:t>（8）行业灾害风险预警能力提升与服务子系统</w:t>
              <w:cr/>
              <w:t>（9）气候综合业务协同支撑平台</w:t>
              <w:cr/>
              <w:t>以上每个子系统</w:t>
              <w:cr/>
              <w:t>一档0分</w:t>
              <w:cr/>
              <w:t>二档1分</w:t>
              <w:cr/>
              <w:t>三档2分</w:t>
              <w:cr/>
              <w:t>四档4分</w:t>
              <w:cr/>
              <w:t>以上共计9个子系统，满分36分。</w:t>
            </w:r>
          </w:p>
          <w:p>
            <w:r>
              <w:t>评审标准说明：</w:t>
            </w:r>
          </w:p>
          <w:p>
            <w:r>
              <w:t>根据提交的详细设计技术方案评分。具体标准如下：</w:t>
              <w:cr/>
              <w:t xml:space="preserve">一档：未提供 </w:t>
              <w:cr/>
              <w:t>二档：技术方案不完整，未覆盖项目的功能和非功能需求，描述不清楚、缺乏针对关建技术的分析，可行性针对性差。</w:t>
              <w:cr/>
              <w:t xml:space="preserve">三档：技术方案内容较完整，覆盖项目的功能和非功能需求，描述基本清楚；技术思路较合理、关建技术的分析较清晰，解决措施有一定可行性针对性，基本满足采购需求。 </w:t>
              <w:cr/>
              <w:t>四档：技术方案内容完整、详实，覆盖项目的功能和非功能需求，描述清楚，逻辑性强，图文规范；技术先进，针对关建技术的分析详细，解决措施切实可行，针对性强，完全满足采购需求。</w:t>
            </w:r>
          </w:p>
          <w:p/>
        </w:tc>
      </w:tr>
    </w:tbl>
    <w:p w:rsidR="00A77B3E">
      <w:r>
        <w:t xml:space="preserve">      </w:t>
      </w:r>
    </w:p>
    <w:p w:rsidR="00A77B3E"/>
    <w:p w:rsidR="00A77B3E">
      <w:bookmarkEnd w:id="59"/>
    </w:p>
    <w:p>
      <w:pPr>
        <w:spacing w:before="156" w:beforeLines="50" w:line="360" w:lineRule="auto"/>
        <w:jc w:val="center"/>
        <w:outlineLvl w:val="1"/>
        <w:rPr>
          <w:rFonts w:ascii="宋体" w:hAnsi="宋体" w:hint="eastAsia"/>
          <w:b/>
          <w:sz w:val="30"/>
          <w:szCs w:val="30"/>
        </w:rPr>
      </w:pPr>
      <w:r>
        <w:rPr>
          <w:bCs/>
          <w:szCs w:val="21"/>
          <w:highlight w:val="none"/>
        </w:rPr>
        <w:br w:type="page"/>
      </w:r>
      <w:bookmarkStart w:id="60" w:name="插入_采购需求书"/>
      <w:r>
        <w:rPr>
          <w:rFonts w:ascii="宋体" w:hAnsi="宋体" w:hint="eastAsia"/>
          <w:b/>
          <w:sz w:val="30"/>
          <w:szCs w:val="30"/>
        </w:rPr>
        <w:t>第七章  采购需求</w:t>
      </w:r>
    </w:p>
    <w:p>
      <w:pPr>
        <w:jc w:val="left"/>
        <w:rPr>
          <w:b/>
          <w:szCs w:val="21"/>
        </w:rPr>
      </w:pPr>
    </w:p>
    <w:p>
      <w:pPr>
        <w:pStyle w:val="Heading2"/>
        <w:numPr>
          <w:ilvl w:val="1"/>
          <w:numId w:val="4"/>
        </w:numPr>
      </w:pPr>
      <w:r>
        <w:rPr>
          <w:rFonts w:hint="eastAsia"/>
        </w:rPr>
        <w:t>项目建设背景及必要性</w:t>
      </w:r>
    </w:p>
    <w:p>
      <w:pPr>
        <w:pStyle w:val="Heading3"/>
        <w:numPr>
          <w:ilvl w:val="2"/>
          <w:numId w:val="5"/>
        </w:numPr>
      </w:pPr>
      <w:r>
        <w:rPr>
          <w:rFonts w:hint="eastAsia"/>
        </w:rPr>
        <w:t>建设背景</w:t>
      </w:r>
    </w:p>
    <w:p>
      <w:pPr>
        <w:ind w:firstLine="420" w:firstLineChars="200"/>
      </w:pPr>
      <w:r>
        <w:rPr>
          <w:rFonts w:hint="eastAsia"/>
        </w:rPr>
        <w:t>当前，全球气候变暖趋势持续加剧，我国作为全球气候变化的敏感区与影响显著区，极端高温、强降水、干旱、沙尘等天气气候事件呈现出频发重发、并发广发的严峻态势，对国民经济运行和人民生命财产安全构成了严重威胁。在此背景下，提升极端事件风险防范能力，已成为保障国家气候安全、支撑经济社会高质量发展的关键一环。</w:t>
      </w:r>
    </w:p>
    <w:p>
      <w:r>
        <w:rPr>
          <w:rFonts w:hint="eastAsia"/>
        </w:rPr>
        <w:t>国家气候中心作为我国气候业务的核心部门，虽已建成气候监测预测分析系统（CIPAS）、7个气候预测模式系统等12个业务软件，初步支撑了国省两级气候业务运行，但随着新形势发展，现有软件体系已难以满足“监测精准、预测前瞻、预警及时、服务有效”的闭环业务需求，主要存在以下突出矛盾：</w:t>
      </w:r>
    </w:p>
    <w:p>
      <w:pPr>
        <w:ind w:firstLine="420"/>
      </w:pPr>
      <w:r>
        <w:rPr>
          <w:rFonts w:hint="eastAsia"/>
        </w:rPr>
        <w:t>1.核心预测能力存在短板。次季节尺度强降水、强降温等关键过程缺乏客观化识别技术，预测依赖人工，检验体系不完善；沙尘预测仍以定性分析为主，缺乏动力模式支撑的定量预测模型；气候变化预估数据异构繁杂，产品精细化程度不足，难以支撑行业级的深度应用。</w:t>
      </w:r>
    </w:p>
    <w:p>
      <w:pPr>
        <w:ind w:firstLine="420"/>
      </w:pPr>
      <w:r>
        <w:rPr>
          <w:rFonts w:hint="eastAsia"/>
        </w:rPr>
        <w:t>2.业务协同与智能化水平滞后。现有系统呈“烟囱式”分布，数据基座分散未有效整合，国省协同的产品下发、订正与上传流程尚未完全打通；“预测-检验-优化”的自动化闭环尚未形成，且缺乏AI智能分析与柔性化服务组件，难以应对海量数据的自动化处理与个性化服务定制需求。</w:t>
      </w:r>
    </w:p>
    <w:p>
      <w:pPr>
        <w:ind w:firstLine="420"/>
      </w:pPr>
      <w:r>
        <w:rPr>
          <w:rFonts w:hint="eastAsia"/>
        </w:rPr>
        <w:t>3.行业服务支撑能力不足。面向农业、能源、水利等重点行业的灾害风险预警缺乏标准化对接机制，极端水文事件预警覆盖不全，风能太阳能资源精细化预测产品缺失，无法精准满足行业对气候风险超前感知与科学调控的迫切需求。</w:t>
      </w:r>
    </w:p>
    <w:p>
      <w:pPr>
        <w:pStyle w:val="Heading3"/>
        <w:numPr>
          <w:ilvl w:val="2"/>
          <w:numId w:val="5"/>
        </w:numPr>
      </w:pPr>
      <w:r>
        <w:rPr>
          <w:rFonts w:hint="eastAsia"/>
        </w:rPr>
        <w:t>建设目标</w:t>
      </w:r>
    </w:p>
    <w:p>
      <w:pPr>
        <w:ind w:firstLine="420"/>
      </w:pPr>
      <w:r>
        <w:rPr>
          <w:rFonts w:hint="eastAsia"/>
        </w:rPr>
        <w:t>基于当前我国气候安全面临的严峻形势及现有业务能力的突出短板，本项目的建设不仅是技术层面的迭代升级，更是保障国家重大战略实施、支撑经济社会高质量发展的迫切需要，其目标主要体现在以下四个方面：</w:t>
      </w:r>
    </w:p>
    <w:p>
      <w:pPr>
        <w:ind w:firstLine="420"/>
      </w:pPr>
      <w:r>
        <w:rPr>
          <w:rFonts w:hint="eastAsia"/>
        </w:rPr>
        <w:t>1. 落实国家重大战略部署，履行气象职责的必然要求</w:t>
      </w:r>
    </w:p>
    <w:p>
      <w:pPr>
        <w:ind w:firstLine="420"/>
      </w:pPr>
      <w:r>
        <w:rPr>
          <w:rFonts w:hint="eastAsia"/>
        </w:rPr>
        <w:t>当前，《气象高质量发展纲要（2022—2035年）》明确提出要“提高气候预测和气候风险评估能力”。《提升极端事件风险防范能力，保障气候适应型社会建设行动方案（2025-2030年）》更是将“提升极端天气气候事件无缝隙预报预警水平”列为重点任务。国家气候中心作为国家级业务单位，亟需通过本项目建设，将政策要求转化为实实在在的业务能力，填补极端气候事件预测预警的业务空白，这是落实国家防灾减灾救灾体制改革、保障国家气候安全的政治责任和使命担当。</w:t>
      </w:r>
    </w:p>
    <w:p>
      <w:pPr>
        <w:ind w:firstLine="420"/>
      </w:pPr>
      <w:r>
        <w:rPr>
          <w:rFonts w:hint="eastAsia"/>
        </w:rPr>
        <w:t>2. 应对极端天气气候事件频发重发的现实需要</w:t>
      </w:r>
    </w:p>
    <w:p>
      <w:pPr>
        <w:ind w:firstLine="420"/>
      </w:pPr>
      <w:r>
        <w:rPr>
          <w:rFonts w:hint="eastAsia"/>
        </w:rPr>
        <w:t>在全球变暖背景下，我国极端天气气候事件呈现“出现频率增高、影响范围扩大、致灾损失加重”的特征。现有业务软件在次季节关键过程（如强降水、强降温）预测上依赖人工、客观性差，在沙尘、极端水文事件等灾害预测上缺乏定量模型支撑，难以满足“早发现、早预警、早行动”的防灾需求。本项目建设将大幅提升预测的客观化、精细化与前瞻性，将预警窗口期由天气尺度延伸至次季节乃至季节尺度，为各级政府预留宝贵的应急准备时间，最大限度减少人民群众生命财产损失。</w:t>
      </w:r>
    </w:p>
    <w:p>
      <w:pPr>
        <w:ind w:firstLine="420"/>
      </w:pPr>
      <w:r>
        <w:rPr>
          <w:rFonts w:hint="eastAsia"/>
        </w:rPr>
        <w:t>3. 破解现有业务系统瓶颈，实现集约化发展的内在需求</w:t>
      </w:r>
    </w:p>
    <w:p>
      <w:pPr>
        <w:ind w:firstLine="420"/>
      </w:pPr>
      <w:r>
        <w:rPr>
          <w:rFonts w:hint="eastAsia"/>
        </w:rPr>
        <w:t>目前国家气候中心虽拥有12个业务系统，但普遍存在“烟囱林立、数据孤岛、重复建设”的问题。各系统间缺乏统一的数据基座和组件共享机制，导致国省协同流程不畅、算法复用率低、维护成本高昂。特别是在AI技术应用、行业定制化服务等方面存在明显短板。本项目建设将遵循“统筹集约”原则，依托“天擎”平台构建一体化业务架构，打破数据壁垒，实现业务软件的流程再造和能力升级，彻底解决现有系统“有系统无集成、有数据无智能、有产品无服务”的结构性矛盾。</w:t>
      </w:r>
    </w:p>
    <w:p>
      <w:pPr>
        <w:ind w:firstLine="420"/>
      </w:pPr>
      <w:r>
        <w:rPr>
          <w:rFonts w:hint="eastAsia"/>
        </w:rPr>
        <w:t>4. 支撑重点行业提质增效，服务经济社会发展的关键举措</w:t>
      </w:r>
    </w:p>
    <w:p>
      <w:pPr>
        <w:ind w:firstLine="420"/>
      </w:pPr>
      <w:r>
        <w:rPr>
          <w:rFonts w:hint="eastAsia"/>
        </w:rPr>
        <w:t>随着能源革命、乡村振兴等国家战略的深入实施，电力、农业、水利等行业对气候风险的敏感度和依赖性日益增强。现有系统缺乏对风能太阳能资源的精细化预测能力，难以支撑新型电力系统建设；缺乏针对农业、电力等行业的定制化风险评估模型，难以满足行业精细化服务需求。本项目建设将打通“气象-行业”的数据与服务链条，提供高精度的风光资源预测、极端水文预警及行业灾害风险评估产品，助力能源安全保供、粮食安全及水资源优化配置，将气候“软实力”转化为经济“硬效益”。</w:t>
      </w:r>
    </w:p>
    <w:p>
      <w:pPr>
        <w:pStyle w:val="Heading2"/>
        <w:numPr>
          <w:ilvl w:val="1"/>
          <w:numId w:val="4"/>
        </w:numPr>
      </w:pPr>
      <w:r>
        <w:rPr>
          <w:rFonts w:hint="eastAsia"/>
        </w:rPr>
        <w:t>项目建设内容</w:t>
      </w:r>
    </w:p>
    <w:p>
      <w:pPr>
        <w:ind w:firstLine="420" w:firstLineChars="200"/>
      </w:pPr>
      <w:r>
        <w:t>依托国家级气象大数据云平台“天擎”实施，共建设9个业务子系统。其中，基于多模式的全球多尺度智能网格预测子系统集成“风顺”AI与多模式，研发多尺度集合预测技术，生成高分辨率网格及EFI指数产品，建立预测-检验闭环；次季节重要过程预测与检验子系统研发次季节过程动态识别技术，构建国省协同产品流转与实时评分体系，形成“预测-检验”闭环；极端气候事件预测子系统融合AI与多模式，研发全球及区域尺度概率预测产品，耦合多方案动力降尺度，生成高分辨率极端事件产品，形成标准化集合体系；春季北方沙尘预测子系统补足沙尘高影响要素监测，整合前兆信号与CMA-CPSv3，开发月、季尺度沙尘日数客观预测方法，建立滚动评估评分机制；气候变化与极端事件预估子系统构建多源异构数据标准化集成能力，研发偏差校正、降尺度、融合技术，形成高质量预估数据集，开展多维度诊断与风险评估，开发决策服务智能生成功能；次季节-季节极端水文事件风险预警子系统耦合分布式水文模型与气候预测数据，构建“预测-响应-预警”全链条，实现全国多空间单元时段径流量及极端丰枯概率月滚动预测；次季节至季节风能太阳能资源精细化预测子系统研发10km分辨率风光资源精细化预测技术，提供逐日至逐月滚动产品，建立多模式误差订正与集合加权机制，提升精度与行业服务能力；行业灾害风险预警能力提升与服务子系统针对农业、电力行业，构建极端灾害监测识别、分灾种风险评估、巨灾损失耦合模型，实现定量评估与定制化预警报告自动生成，100%集成至“天鉴”平台；气候综合业务协同支撑平台建设统一气候专题数据基座，开发标准化气象基础与业务应用组件，发展AI智能分析能力，构建柔性化插件服务体系，支撑国省协同与快速定制。</w:t>
      </w:r>
    </w:p>
    <w:p>
      <w:pPr>
        <w:pStyle w:val="ListParagraph"/>
        <w:keepNext/>
        <w:keepLines/>
        <w:numPr>
          <w:ilvl w:val="1"/>
          <w:numId w:val="5"/>
        </w:numPr>
        <w:spacing w:before="260" w:after="260" w:line="416" w:lineRule="auto"/>
        <w:ind w:firstLineChars="0"/>
        <w:outlineLvl w:val="2"/>
        <w:rPr>
          <w:b/>
          <w:bCs/>
          <w:vanish/>
          <w:sz w:val="32"/>
          <w:szCs w:val="32"/>
        </w:rPr>
      </w:pPr>
    </w:p>
    <w:p>
      <w:pPr>
        <w:pStyle w:val="Heading3"/>
        <w:numPr>
          <w:ilvl w:val="2"/>
          <w:numId w:val="5"/>
        </w:numPr>
      </w:pPr>
      <w:r>
        <w:t>基于多模式的全球多尺度智能网格预测子系统</w:t>
      </w:r>
    </w:p>
    <w:p>
      <w:pPr>
        <w:ind w:firstLine="420"/>
      </w:pPr>
      <w:r>
        <w:t>集成“风顺”AI模型，研发全球次季节-季节尺度多模式集合预测技术，生成基本气候要素智能网格产品；开发AI概率预测方案，产出极端高温/湿热浪日数强度预测及EFI指数产品；完善ENSO等关键气候现象预测，建立预测-检验闭环系统。系统包含次季节智能网格预测组件、月季年智能网格和气候模态预测组件、全球智能网格预测检验组件3个核心组件，支撑多尺度气候预测业务开展。</w:t>
      </w:r>
    </w:p>
    <w:p>
      <w:pPr>
        <w:pStyle w:val="Heading3"/>
        <w:numPr>
          <w:ilvl w:val="2"/>
          <w:numId w:val="5"/>
        </w:numPr>
      </w:pPr>
      <w:r>
        <w:t>次季节重要过程预测与检验子系统</w:t>
      </w:r>
    </w:p>
    <w:p>
      <w:pPr>
        <w:ind w:firstLine="420"/>
      </w:pPr>
      <w:r>
        <w:t>该子系统聚焦次季节（15-60天）强降水、高温及强降温三类关键天气过程的预测与检验业务，基于国家气象信息中心25公里降水再分析数据构建强降水过程历史数据集，依托智能网格0-60天预测数据，经误差订正后通过客观动态识别算法，生成全国及分省尺度的强降水过程频次、时段、范围及强度预测产品；同步研发次季节高温过程预测技术，制作发布高温过程预测产品；针对强降温过程，构建涵盖气温数据预处理、过程次数/时段/强度/范围识别及对应检验评分、综合评分的全链条功能模块。系统全面实现国省两级指导产品下发、可视化展示、省级订正产品上传的交互流程，并基于业务规定建立历史与实时预测检验机制，完成强降水、高温预测-检验闭环管理及强降温过程全流程业务化运行，支撑次季节重要过程预测的标准化与自动化。</w:t>
      </w:r>
    </w:p>
    <w:p>
      <w:pPr>
        <w:pStyle w:val="Heading3"/>
        <w:numPr>
          <w:ilvl w:val="2"/>
          <w:numId w:val="5"/>
        </w:numPr>
      </w:pPr>
      <w:r>
        <w:t>极端气候事件预测子系统</w:t>
      </w:r>
    </w:p>
    <w:p>
      <w:pPr>
        <w:ind w:firstLine="420"/>
      </w:pPr>
      <w:r>
        <w:t>研发人工智能与多模式相结合的概率预测方案，形成CMME-S2S各个模式和多模式集合原始输出的概率预测产品及AI订正集合概率预测产品；研发次季节全球极端事件预测方案，形成EFI指数预测、极端高温日数、干热浪日数、湿热浪日数等多种极端事件预测产品；基于高分辨率区域气候模式，研发多方案耦合动力降尺度方法，建立次季节精细化极端事件预测系统，形成中国区域气温、降水、极端气温、极端降水以及环流等多要素高分辨率预测产品，基于动力降尺度预测进一步研发高分辨率概率预报以及AI订正产品。通过自动化流程（前处理-计算-后处理-展示），形成标准化、可持续更新的多套集合预测产品体系，支撑气象、应急、农业、能源等领域的防灾减灾与适应性决策。系统包含人工智能与多模式相结合概率预测组件、次季节全球极端事件预测组件、多方案耦合动力降尺度预测组件3个核心组件。</w:t>
      </w:r>
    </w:p>
    <w:p>
      <w:pPr>
        <w:pStyle w:val="Heading3"/>
        <w:numPr>
          <w:ilvl w:val="2"/>
          <w:numId w:val="5"/>
        </w:numPr>
      </w:pPr>
      <w:r>
        <w:t>春季北方沙尘预测子系统</w:t>
      </w:r>
    </w:p>
    <w:p>
      <w:pPr>
        <w:ind w:firstLine="420"/>
      </w:pPr>
      <w:r>
        <w:t>将沙尘预测及分析关键信息进行统一整合，并构成多来源数据提取-分类关键信息预处理-关键预测信息定量分析及预测模型-沙尘关键信息精细化监测-沙尘预测评分机制的整体工作链条，细化为多源数据提取模块、观测/再分析资料预处理模块、模式信息预处理模块、沙尘高影响信息监测模块、沙尘预报因子筛选与提取模块、月尺度沙尘影响预测模块、春季沙尘实况监测模块、沙尘预报客观评分模块，为沙尘预测业务发展需求提供支撑作用。</w:t>
      </w:r>
    </w:p>
    <w:p>
      <w:pPr>
        <w:pStyle w:val="Heading3"/>
        <w:numPr>
          <w:ilvl w:val="2"/>
          <w:numId w:val="5"/>
        </w:numPr>
      </w:pPr>
      <w:r>
        <w:t>气候变化与极端事件预估子系统</w:t>
      </w:r>
    </w:p>
    <w:p>
      <w:pPr>
        <w:ind w:firstLine="420"/>
      </w:pPr>
      <w:r>
        <w:t>旨在构建一个国家级、业务化的气候变化预估业务服务平台。其核心功能是系统性地集成多源气候模式与观测数据，通过偏差校正、统计降尺度及多源融合等关键技术，制备高时空分辨率、高质量的气候数据集。重点发展对极端高温、极端降水等极端事件的定量诊断、演变规律分析及未来情景下的风险评估能力，并融合社会经济等信息，形成对高温热浪、暴雨洪涝等关键风险的定量化、空间化综合评估。最终，平台将支撑面向政府决策与行业适应需求的定制化气候信息服务产品生成，为应对气候变化提供从科学数据到决策依据的全链条业务支撑。</w:t>
      </w:r>
    </w:p>
    <w:p>
      <w:pPr>
        <w:pStyle w:val="Heading3"/>
        <w:numPr>
          <w:ilvl w:val="2"/>
          <w:numId w:val="5"/>
        </w:numPr>
      </w:pPr>
      <w:r>
        <w:t>次季节-季节极端水文事件风险预警子系统</w:t>
      </w:r>
    </w:p>
    <w:p>
      <w:pPr>
        <w:ind w:firstLine="420"/>
      </w:pPr>
      <w:r>
        <w:t>系统汇聚来自中国气象局的陆面同化数据、次季节气候预测模式数据、季节气候预测模式数据、DEM、土地利用、土壤类型等多源异构数据，应用覆盖全国的分布式水文模型，构建“气候预测—水文响应—风险预警”全链条动态应对体系，实现覆盖全国范围的次季节-季节的1-30天、11-40天、21-50天、1-3个月、2-4个月、3-4个月、4-6个月、5-7个月的25km网格—水库—水文站—1级流域分区—2级流域分区—3级流域分区的多时空尺度的时段累计径流量、径流异常程度、极端丰水概率、极端枯水概率的月滚动更新预测，为流域和地方防洪抗旱、水库调度、农业防灾、电力调度、河道航运提供科学支撑。</w:t>
      </w:r>
    </w:p>
    <w:p>
      <w:pPr>
        <w:pStyle w:val="Heading3"/>
        <w:numPr>
          <w:ilvl w:val="2"/>
          <w:numId w:val="5"/>
        </w:numPr>
      </w:pPr>
      <w:r>
        <w:t>次季节至季节风能太阳能资源精细化预测子系统</w:t>
      </w:r>
    </w:p>
    <w:p>
      <w:pPr>
        <w:ind w:firstLine="420" w:firstLineChars="200"/>
      </w:pPr>
      <w:r>
        <w:t>本子系统通过系统性接入、融合与治理多源观测资料、多模式集合预报、高分辨率地理信息及场站元数据，构建覆盖“数据接入–质控标准化–多模式融合–人工智能订正–能源产品派生–检验服务”全流程的一体化预测引擎。旨在实现次季节至季节时间尺度上风能、太阳能资源的高精度、高分辨率网格化预测，并驱动风电/光伏功率推导及风险预警业务，为能源电力系统规划、调度与安全运行提供可靠的数据支撑。</w:t>
      </w:r>
    </w:p>
    <w:p>
      <w:pPr>
        <w:pStyle w:val="Heading3"/>
        <w:numPr>
          <w:ilvl w:val="2"/>
          <w:numId w:val="5"/>
        </w:numPr>
      </w:pPr>
      <w:r>
        <w:t>行业灾害风险预警能力提升与服务子系统</w:t>
      </w:r>
    </w:p>
    <w:p>
      <w:pPr>
        <w:ind w:firstLine="420"/>
      </w:pPr>
      <w:r>
        <w:t>围绕极端灾害对行业的影响，选取农业、电力两个行业，建立客观化定量化精细化气象灾害监测识别和风险评估模型，实现实时监测与预警服务，全面提升针对极端灾害的行业支撑服务能力。建成“数据-系统-模型-应用”一体化的行业灾害风险预警体系，实现农业、电力行业极端灾害实时监测、精准评估、动态预警。</w:t>
      </w:r>
    </w:p>
    <w:p>
      <w:pPr>
        <w:pStyle w:val="Heading3"/>
        <w:numPr>
          <w:ilvl w:val="2"/>
          <w:numId w:val="5"/>
        </w:numPr>
      </w:pPr>
      <w:r>
        <w:t>气候综合业务协同支撑平台</w:t>
      </w:r>
    </w:p>
    <w:p>
      <w:pPr>
        <w:ind w:firstLine="420" w:firstLineChars="200"/>
      </w:pPr>
      <w:r>
        <w:rPr>
          <w:rFonts w:hint="eastAsia"/>
        </w:rPr>
        <w:t>围绕“数据基座、组件共享、智能引擎、场景应用”四个维度，打造国省协同、智能敏捷的现代气候业务系统。</w:t>
      </w:r>
    </w:p>
    <w:p>
      <w:pPr>
        <w:ind w:firstLine="420" w:firstLineChars="200"/>
      </w:pPr>
      <w:r>
        <w:rPr>
          <w:rFonts w:hint="eastAsia"/>
        </w:rPr>
        <w:t>（1）构建气候专题数据基座：基于气象大数据云平台，构建统一、集成的气候专题数据基座，实现对气候监测、气候预测、气候风险与气候服务等多类别、多来源数据与产品的统一汇聚、组织与管理，通过标准化接口与服务支撑各类业务应用高效访问。</w:t>
      </w:r>
    </w:p>
    <w:p>
      <w:pPr>
        <w:ind w:firstLine="420" w:firstLineChars="200"/>
      </w:pPr>
      <w:r>
        <w:rPr>
          <w:rFonts w:hint="eastAsia"/>
        </w:rPr>
        <w:t>（2）建设标准化业务组件，实现共建共享：通过组件化开发模式，建设标准化、可复用、高可用的气象基础组件与业务应用组件，聚焦特色算法封装、通用产品加工流程和服务场景模块化设计，促进国家与省级气候中心在技术能力、业务模块和产品工具层面的高效协同共建与资源共享。</w:t>
      </w:r>
    </w:p>
    <w:p>
      <w:pPr>
        <w:ind w:firstLine="420" w:firstLineChars="200"/>
      </w:pPr>
      <w:r>
        <w:rPr>
          <w:rFonts w:hint="eastAsia"/>
        </w:rPr>
        <w:t>（3）发展AI气候智能分析能力：构建融合专业气候知识库、自然语言交互（智能问答）和智能体（Agents）的气候智能服务体系，实现对海量信息的深度挖掘、知识化关联与智能推理，为精准决策提供认知与计算支持。</w:t>
      </w:r>
    </w:p>
    <w:p>
      <w:pPr>
        <w:ind w:firstLine="420" w:firstLineChars="200"/>
      </w:pPr>
      <w:r>
        <w:rPr>
          <w:rFonts w:hint="eastAsia"/>
        </w:rPr>
        <w:t>（4）构建柔性化插件服务，支撑业务定制：基于组件化架构和可视化流程编排技术，允许用户根据具体需求，对业务流程、产品展现样式、系统交互界面以及行业服务场景进行全方位的自主配置与动态组合，快速响应差异化、个性化的业务需求。</w:t>
      </w:r>
    </w:p>
    <w:p>
      <w:pPr>
        <w:pStyle w:val="Heading2"/>
        <w:numPr>
          <w:ilvl w:val="1"/>
          <w:numId w:val="4"/>
        </w:numPr>
      </w:pPr>
      <w:r>
        <w:rPr>
          <w:rFonts w:hint="eastAsia"/>
        </w:rPr>
        <w:t>项目建设标准及规范</w:t>
      </w:r>
    </w:p>
    <w:p>
      <w:pPr>
        <w:ind w:firstLine="420" w:firstLineChars="200"/>
      </w:pPr>
      <w:r>
        <w:rPr>
          <w:rFonts w:hint="eastAsia"/>
        </w:rPr>
        <w:t>（1）《中华人民共和国气象法》</w:t>
      </w:r>
    </w:p>
    <w:p>
      <w:pPr>
        <w:ind w:firstLine="420" w:firstLineChars="200"/>
      </w:pPr>
      <w:r>
        <w:rPr>
          <w:rFonts w:hint="eastAsia"/>
        </w:rPr>
        <w:t>（2）《关于印发中国气象局主要职责的通知》（气办发〔2011〕28号文）</w:t>
      </w:r>
    </w:p>
    <w:p>
      <w:pPr>
        <w:ind w:firstLine="420" w:firstLineChars="200"/>
      </w:pPr>
      <w:r>
        <w:rPr>
          <w:rFonts w:hint="eastAsia"/>
        </w:rPr>
        <w:t>（3）《中国气象局应对气候变化发展规划（2021-2025年）》（气发〔2021〕134号）</w:t>
      </w:r>
    </w:p>
    <w:p>
      <w:pPr>
        <w:ind w:firstLine="420" w:firstLineChars="200"/>
      </w:pPr>
      <w:r>
        <w:rPr>
          <w:rFonts w:hint="eastAsia"/>
        </w:rPr>
        <w:t>（4）中国气象局《气象现代化发展纲要（2021—2035年）》（气发〔2015〕59号）</w:t>
      </w:r>
    </w:p>
    <w:p>
      <w:pPr>
        <w:ind w:firstLine="420" w:firstLineChars="200"/>
      </w:pPr>
      <w:r>
        <w:rPr>
          <w:rFonts w:hint="eastAsia"/>
        </w:rPr>
        <w:t>（5）《国务院关于印发气象高质量发展纲要（2022—2035年）的通知》（国发〔2022〕11号）</w:t>
      </w:r>
    </w:p>
    <w:p>
      <w:pPr>
        <w:ind w:firstLine="420" w:firstLineChars="200"/>
      </w:pPr>
      <w:r>
        <w:rPr>
          <w:rFonts w:hint="eastAsia"/>
        </w:rPr>
        <w:t>（6）《“十五五”全国气候业务高质量发展实施方案》中“打造一体化气候业务平台”。</w:t>
      </w:r>
    </w:p>
    <w:p>
      <w:pPr>
        <w:ind w:firstLine="420" w:firstLineChars="200"/>
      </w:pPr>
      <w:r>
        <w:rPr>
          <w:rFonts w:hint="eastAsia"/>
        </w:rPr>
        <w:t>（7）《统筹集约建设气象业务软件工作方案（2024—2027年）》中“开展地球系统大数据平台建设及气象业务软件集约整合”。</w:t>
      </w:r>
    </w:p>
    <w:p>
      <w:pPr>
        <w:ind w:firstLine="420" w:firstLineChars="200"/>
      </w:pPr>
      <w:r>
        <w:rPr>
          <w:rFonts w:hint="eastAsia"/>
        </w:rPr>
        <w:t>（8）《提升极端事件风险防范能力，保障气候适应型社会建设行动方案（2025-2030年）》中“提升极端天气气候事件无缝隙预报预警水平”。</w:t>
      </w:r>
    </w:p>
    <w:p>
      <w:pPr>
        <w:ind w:firstLine="420" w:firstLineChars="200"/>
      </w:pPr>
      <w:r>
        <w:rPr>
          <w:rFonts w:hint="eastAsia"/>
        </w:rPr>
        <w:t>（9）《中国气象局气候变化研究型业务体系建设工作方案（2025-2030年）》。</w:t>
      </w:r>
    </w:p>
    <w:p>
      <w:pPr>
        <w:ind w:firstLine="420" w:firstLineChars="200"/>
      </w:pPr>
      <w:r>
        <w:rPr>
          <w:rFonts w:hint="eastAsia"/>
        </w:rPr>
        <w:t>（10）中国气象局办公室关于印发《国家级气象业务软件统筹集约实施方案（2025—2027年）》（气办发〔2025〕4号）。</w:t>
      </w:r>
    </w:p>
    <w:p>
      <w:pPr>
        <w:ind w:firstLine="420" w:firstLineChars="200"/>
      </w:pPr>
      <w:r>
        <w:rPr>
          <w:rFonts w:hint="eastAsia"/>
        </w:rPr>
        <w:t>（11）《中国气象局 国家发展改革委关于统筹集约建设气象业务软件的指导意见》（气发〔2024〕8号）。</w:t>
      </w:r>
    </w:p>
    <w:p>
      <w:pPr>
        <w:ind w:firstLine="420" w:firstLineChars="200"/>
      </w:pPr>
      <w:r>
        <w:rPr>
          <w:rFonts w:hint="eastAsia"/>
        </w:rPr>
        <w:t>（12）《中国气象局关于气候极端事件风险应对业务能力提升项目可行性研究报告的批复》（气函〔2025〕229号）。</w:t>
      </w:r>
    </w:p>
    <w:p>
      <w:pPr>
        <w:pStyle w:val="Heading2"/>
        <w:numPr>
          <w:ilvl w:val="1"/>
          <w:numId w:val="4"/>
        </w:numPr>
      </w:pPr>
      <w:r>
        <w:rPr>
          <w:rFonts w:hint="eastAsia"/>
        </w:rPr>
        <w:t>详细技术要求</w:t>
      </w:r>
    </w:p>
    <w:p>
      <w:pPr>
        <w:pStyle w:val="ListParagraph"/>
        <w:keepNext/>
        <w:keepLines/>
        <w:numPr>
          <w:ilvl w:val="0"/>
          <w:numId w:val="6"/>
        </w:numPr>
        <w:spacing w:before="260" w:after="260" w:line="416" w:lineRule="auto"/>
        <w:ind w:firstLineChars="0"/>
        <w:outlineLvl w:val="2"/>
        <w:rPr>
          <w:b/>
          <w:bCs/>
          <w:vanish/>
          <w:sz w:val="32"/>
          <w:szCs w:val="32"/>
        </w:rPr>
      </w:pPr>
    </w:p>
    <w:p>
      <w:pPr>
        <w:pStyle w:val="ListParagraph"/>
        <w:keepNext/>
        <w:keepLines/>
        <w:numPr>
          <w:ilvl w:val="1"/>
          <w:numId w:val="6"/>
        </w:numPr>
        <w:spacing w:before="260" w:after="260" w:line="416" w:lineRule="auto"/>
        <w:ind w:firstLineChars="0"/>
        <w:outlineLvl w:val="2"/>
        <w:rPr>
          <w:b/>
          <w:bCs/>
          <w:vanish/>
          <w:sz w:val="32"/>
          <w:szCs w:val="32"/>
        </w:rPr>
      </w:pPr>
    </w:p>
    <w:p>
      <w:pPr>
        <w:pStyle w:val="ListParagraph"/>
        <w:keepNext/>
        <w:keepLines/>
        <w:numPr>
          <w:ilvl w:val="1"/>
          <w:numId w:val="6"/>
        </w:numPr>
        <w:spacing w:before="260" w:after="260" w:line="416" w:lineRule="auto"/>
        <w:ind w:firstLineChars="0"/>
        <w:outlineLvl w:val="2"/>
        <w:rPr>
          <w:b/>
          <w:bCs/>
          <w:vanish/>
          <w:sz w:val="32"/>
          <w:szCs w:val="32"/>
        </w:rPr>
      </w:pPr>
    </w:p>
    <w:p>
      <w:pPr>
        <w:pStyle w:val="ListParagraph"/>
        <w:keepNext/>
        <w:keepLines/>
        <w:numPr>
          <w:ilvl w:val="1"/>
          <w:numId w:val="6"/>
        </w:numPr>
        <w:spacing w:before="260" w:after="260" w:line="416" w:lineRule="auto"/>
        <w:ind w:firstLineChars="0"/>
        <w:outlineLvl w:val="2"/>
        <w:rPr>
          <w:b/>
          <w:bCs/>
          <w:vanish/>
          <w:sz w:val="32"/>
          <w:szCs w:val="32"/>
        </w:rPr>
      </w:pPr>
    </w:p>
    <w:p>
      <w:pPr>
        <w:pStyle w:val="ListParagraph"/>
        <w:keepNext/>
        <w:keepLines/>
        <w:numPr>
          <w:ilvl w:val="1"/>
          <w:numId w:val="6"/>
        </w:numPr>
        <w:spacing w:before="260" w:after="260" w:line="416" w:lineRule="auto"/>
        <w:ind w:firstLineChars="0"/>
        <w:outlineLvl w:val="2"/>
        <w:rPr>
          <w:b/>
          <w:bCs/>
          <w:vanish/>
          <w:sz w:val="32"/>
          <w:szCs w:val="32"/>
        </w:rPr>
      </w:pPr>
    </w:p>
    <w:p>
      <w:pPr>
        <w:pStyle w:val="Heading3"/>
        <w:numPr>
          <w:ilvl w:val="2"/>
          <w:numId w:val="6"/>
        </w:numPr>
      </w:pPr>
      <w:r>
        <w:rPr>
          <w:rFonts w:hint="eastAsia"/>
        </w:rPr>
        <w:t>功能要求</w:t>
      </w:r>
    </w:p>
    <w:p>
      <w:pPr>
        <w:pStyle w:val="ListParagraph"/>
        <w:keepNext/>
        <w:keepLines/>
        <w:numPr>
          <w:ilvl w:val="0"/>
          <w:numId w:val="7"/>
        </w:numPr>
        <w:spacing w:before="260" w:after="260" w:line="416" w:lineRule="auto"/>
        <w:ind w:firstLineChars="0"/>
        <w:outlineLvl w:val="1"/>
        <w:rPr>
          <w:rFonts w:asciiTheme="majorHAnsi" w:eastAsiaTheme="majorEastAsia" w:hAnsiTheme="majorHAnsi" w:cstheme="majorBidi"/>
          <w:b/>
          <w:bCs/>
          <w:vanish/>
          <w:sz w:val="32"/>
          <w:szCs w:val="32"/>
        </w:rPr>
      </w:pPr>
      <w:bookmarkStart w:id="61" w:name="_Toc23770"/>
    </w:p>
    <w:p>
      <w:pPr>
        <w:pStyle w:val="ListParagraph"/>
        <w:keepNext/>
        <w:keepLines/>
        <w:numPr>
          <w:ilvl w:val="1"/>
          <w:numId w:val="7"/>
        </w:numPr>
        <w:spacing w:before="260" w:after="260" w:line="416" w:lineRule="auto"/>
        <w:ind w:firstLineChars="0"/>
        <w:outlineLvl w:val="1"/>
        <w:rPr>
          <w:rFonts w:asciiTheme="majorHAnsi" w:eastAsiaTheme="majorEastAsia" w:hAnsiTheme="majorHAnsi" w:cstheme="majorBidi"/>
          <w:b/>
          <w:bCs/>
          <w:vanish/>
          <w:sz w:val="32"/>
          <w:szCs w:val="32"/>
        </w:rPr>
      </w:pPr>
    </w:p>
    <w:p>
      <w:pPr>
        <w:pStyle w:val="ListParagraph"/>
        <w:keepNext/>
        <w:keepLines/>
        <w:numPr>
          <w:ilvl w:val="1"/>
          <w:numId w:val="7"/>
        </w:numPr>
        <w:spacing w:before="260" w:after="260" w:line="416" w:lineRule="auto"/>
        <w:ind w:firstLineChars="0"/>
        <w:outlineLvl w:val="1"/>
        <w:rPr>
          <w:rFonts w:asciiTheme="majorHAnsi" w:eastAsiaTheme="majorEastAsia" w:hAnsiTheme="majorHAnsi" w:cstheme="majorBidi"/>
          <w:b/>
          <w:bCs/>
          <w:vanish/>
          <w:sz w:val="32"/>
          <w:szCs w:val="32"/>
        </w:rPr>
      </w:pPr>
    </w:p>
    <w:p>
      <w:pPr>
        <w:pStyle w:val="ListParagraph"/>
        <w:keepNext/>
        <w:keepLines/>
        <w:numPr>
          <w:ilvl w:val="1"/>
          <w:numId w:val="7"/>
        </w:numPr>
        <w:spacing w:before="260" w:after="260" w:line="416" w:lineRule="auto"/>
        <w:ind w:firstLineChars="0"/>
        <w:outlineLvl w:val="1"/>
        <w:rPr>
          <w:rFonts w:asciiTheme="majorHAnsi" w:eastAsiaTheme="majorEastAsia" w:hAnsiTheme="majorHAnsi" w:cstheme="majorBidi"/>
          <w:b/>
          <w:bCs/>
          <w:vanish/>
          <w:sz w:val="32"/>
          <w:szCs w:val="32"/>
        </w:rPr>
      </w:pPr>
    </w:p>
    <w:p>
      <w:pPr>
        <w:pStyle w:val="ListParagraph"/>
        <w:keepNext/>
        <w:keepLines/>
        <w:numPr>
          <w:ilvl w:val="1"/>
          <w:numId w:val="7"/>
        </w:numPr>
        <w:spacing w:before="260" w:after="260" w:line="416" w:lineRule="auto"/>
        <w:ind w:firstLineChars="0"/>
        <w:outlineLvl w:val="1"/>
        <w:rPr>
          <w:rFonts w:asciiTheme="majorHAnsi" w:eastAsiaTheme="majorEastAsia" w:hAnsiTheme="majorHAnsi" w:cstheme="majorBidi"/>
          <w:b/>
          <w:bCs/>
          <w:vanish/>
          <w:sz w:val="32"/>
          <w:szCs w:val="32"/>
        </w:rPr>
      </w:pPr>
    </w:p>
    <w:p>
      <w:pPr>
        <w:pStyle w:val="ListParagraph"/>
        <w:keepNext/>
        <w:keepLines/>
        <w:numPr>
          <w:ilvl w:val="2"/>
          <w:numId w:val="7"/>
        </w:numPr>
        <w:spacing w:before="260" w:after="260" w:line="416" w:lineRule="auto"/>
        <w:ind w:firstLineChars="0"/>
        <w:outlineLvl w:val="1"/>
        <w:rPr>
          <w:rFonts w:asciiTheme="majorHAnsi" w:eastAsiaTheme="majorEastAsia" w:hAnsiTheme="majorHAnsi" w:cstheme="majorBidi"/>
          <w:b/>
          <w:bCs/>
          <w:vanish/>
          <w:sz w:val="32"/>
          <w:szCs w:val="32"/>
        </w:rPr>
      </w:pPr>
    </w:p>
    <w:p>
      <w:pPr>
        <w:pStyle w:val="Heading4"/>
        <w:numPr>
          <w:ilvl w:val="3"/>
          <w:numId w:val="7"/>
        </w:numPr>
      </w:pPr>
      <w:r>
        <w:t>基于多模式的全球多尺度智能网格预测子系统</w:t>
      </w:r>
      <w:bookmarkEnd w:id="61"/>
    </w:p>
    <w:p>
      <w:pPr>
        <w:ind w:firstLine="420" w:firstLineChars="200"/>
      </w:pPr>
      <w:r>
        <w:t>集成“风顺”AI模型，研发全球次季节-季节尺度多模式集合预测技术，生成基本气候要素智能网格产品；开发AI概率预测方案，产出极端高温/湿热浪日数强度预测及EFI指数产品；完善ENSO等关键气候现象预测，建立预测-检验闭环系统。系统包含次季节智能网格预测组件、月季年智能网格和气候模态预测组件、全球智能网格预测检验组件3个核心组件，支撑多尺度气候预测业务开展。</w:t>
      </w:r>
    </w:p>
    <w:p>
      <w:pPr>
        <w:pStyle w:val="ListParagraph"/>
        <w:keepNext/>
        <w:keepLines/>
        <w:numPr>
          <w:ilvl w:val="0"/>
          <w:numId w:val="8"/>
        </w:numPr>
        <w:spacing w:before="280" w:after="290" w:line="376" w:lineRule="auto"/>
        <w:ind w:firstLineChars="0"/>
        <w:outlineLvl w:val="4"/>
        <w:rPr>
          <w:b/>
          <w:bCs/>
          <w:vanish/>
          <w:sz w:val="28"/>
          <w:szCs w:val="28"/>
        </w:rPr>
      </w:pPr>
    </w:p>
    <w:p>
      <w:pPr>
        <w:pStyle w:val="ListParagraph"/>
        <w:keepNext/>
        <w:keepLines/>
        <w:numPr>
          <w:ilvl w:val="1"/>
          <w:numId w:val="8"/>
        </w:numPr>
        <w:spacing w:before="280" w:after="290" w:line="376" w:lineRule="auto"/>
        <w:ind w:firstLineChars="0"/>
        <w:outlineLvl w:val="4"/>
        <w:rPr>
          <w:b/>
          <w:bCs/>
          <w:vanish/>
          <w:sz w:val="28"/>
          <w:szCs w:val="28"/>
        </w:rPr>
      </w:pPr>
    </w:p>
    <w:p>
      <w:pPr>
        <w:pStyle w:val="ListParagraph"/>
        <w:keepNext/>
        <w:keepLines/>
        <w:numPr>
          <w:ilvl w:val="1"/>
          <w:numId w:val="8"/>
        </w:numPr>
        <w:spacing w:before="280" w:after="290" w:line="376" w:lineRule="auto"/>
        <w:ind w:firstLineChars="0"/>
        <w:outlineLvl w:val="4"/>
        <w:rPr>
          <w:b/>
          <w:bCs/>
          <w:vanish/>
          <w:sz w:val="28"/>
          <w:szCs w:val="28"/>
        </w:rPr>
      </w:pPr>
    </w:p>
    <w:p>
      <w:pPr>
        <w:pStyle w:val="ListParagraph"/>
        <w:keepNext/>
        <w:keepLines/>
        <w:numPr>
          <w:ilvl w:val="1"/>
          <w:numId w:val="8"/>
        </w:numPr>
        <w:spacing w:before="280" w:after="290" w:line="376" w:lineRule="auto"/>
        <w:ind w:firstLineChars="0"/>
        <w:outlineLvl w:val="4"/>
        <w:rPr>
          <w:b/>
          <w:bCs/>
          <w:vanish/>
          <w:sz w:val="28"/>
          <w:szCs w:val="28"/>
        </w:rPr>
      </w:pPr>
    </w:p>
    <w:p>
      <w:pPr>
        <w:pStyle w:val="ListParagraph"/>
        <w:keepNext/>
        <w:keepLines/>
        <w:numPr>
          <w:ilvl w:val="1"/>
          <w:numId w:val="8"/>
        </w:numPr>
        <w:spacing w:before="280" w:after="290" w:line="376" w:lineRule="auto"/>
        <w:ind w:firstLineChars="0"/>
        <w:outlineLvl w:val="4"/>
        <w:rPr>
          <w:b/>
          <w:bCs/>
          <w:vanish/>
          <w:sz w:val="28"/>
          <w:szCs w:val="28"/>
        </w:rPr>
      </w:pPr>
    </w:p>
    <w:p>
      <w:pPr>
        <w:pStyle w:val="ListParagraph"/>
        <w:keepNext/>
        <w:keepLines/>
        <w:numPr>
          <w:ilvl w:val="2"/>
          <w:numId w:val="8"/>
        </w:numPr>
        <w:spacing w:before="280" w:after="290" w:line="376" w:lineRule="auto"/>
        <w:ind w:firstLineChars="0"/>
        <w:outlineLvl w:val="4"/>
        <w:rPr>
          <w:b/>
          <w:bCs/>
          <w:vanish/>
          <w:sz w:val="28"/>
          <w:szCs w:val="28"/>
        </w:rPr>
      </w:pPr>
    </w:p>
    <w:p>
      <w:pPr>
        <w:pStyle w:val="ListParagraph"/>
        <w:keepNext/>
        <w:keepLines/>
        <w:numPr>
          <w:ilvl w:val="3"/>
          <w:numId w:val="8"/>
        </w:numPr>
        <w:spacing w:before="280" w:after="290" w:line="376" w:lineRule="auto"/>
        <w:ind w:firstLineChars="0"/>
        <w:outlineLvl w:val="4"/>
        <w:rPr>
          <w:b/>
          <w:bCs/>
          <w:vanish/>
          <w:sz w:val="28"/>
          <w:szCs w:val="28"/>
        </w:rPr>
      </w:pPr>
    </w:p>
    <w:p>
      <w:pPr>
        <w:pStyle w:val="Heading5"/>
        <w:numPr>
          <w:ilvl w:val="4"/>
          <w:numId w:val="8"/>
        </w:numPr>
      </w:pPr>
      <w:r>
        <w:t>次季节智能网格预测模块</w:t>
      </w:r>
    </w:p>
    <w:p>
      <w:pPr>
        <w:ind w:firstLine="420" w:firstLineChars="200"/>
      </w:pPr>
      <w:r>
        <w:t>次季节智能网格预测组件包括次季节数据预处理</w:t>
      </w:r>
      <w:r>
        <w:rPr>
          <w:rFonts w:hint="eastAsia"/>
        </w:rPr>
        <w:t>功能</w:t>
      </w:r>
      <w:r>
        <w:t>、全球次季节气温误差订正</w:t>
      </w:r>
      <w:r>
        <w:rPr>
          <w:rFonts w:hint="eastAsia"/>
        </w:rPr>
        <w:t>功能</w:t>
      </w:r>
      <w:r>
        <w:t>、全球次季节降水误差订正</w:t>
      </w:r>
      <w:r>
        <w:rPr>
          <w:rFonts w:hint="eastAsia"/>
        </w:rPr>
        <w:t>功能</w:t>
      </w:r>
      <w:r>
        <w:t>、全球次季节气温多模式集合预测</w:t>
      </w:r>
      <w:r>
        <w:rPr>
          <w:rFonts w:hint="eastAsia"/>
        </w:rPr>
        <w:t>功能</w:t>
      </w:r>
      <w:r>
        <w:t>、全球次季节降水多模式集合预测</w:t>
      </w:r>
      <w:r>
        <w:rPr>
          <w:rFonts w:hint="eastAsia"/>
        </w:rPr>
        <w:t>功能</w:t>
      </w:r>
      <w:r>
        <w:t>、全球次季节气温智能降尺度</w:t>
      </w:r>
      <w:r>
        <w:rPr>
          <w:rFonts w:hint="eastAsia"/>
        </w:rPr>
        <w:t>功能</w:t>
      </w:r>
      <w:r>
        <w:t>、全球次季节降水智能降尺度</w:t>
      </w:r>
      <w:r>
        <w:rPr>
          <w:rFonts w:hint="eastAsia"/>
        </w:rPr>
        <w:t>功能</w:t>
      </w:r>
      <w:r>
        <w:t>和次季节产品生成</w:t>
      </w:r>
      <w:r>
        <w:rPr>
          <w:rFonts w:hint="eastAsia"/>
        </w:rPr>
        <w:t>功能</w:t>
      </w:r>
      <w:r>
        <w:t>等8个功能点。</w:t>
      </w:r>
    </w:p>
    <w:p>
      <w:pPr>
        <w:pStyle w:val="ListParagraph"/>
        <w:keepNext/>
        <w:keepLines/>
        <w:numPr>
          <w:ilvl w:val="0"/>
          <w:numId w:val="9"/>
        </w:numPr>
        <w:spacing w:before="240" w:after="64" w:line="320" w:lineRule="auto"/>
        <w:ind w:firstLineChars="0"/>
        <w:outlineLvl w:val="5"/>
        <w:rPr>
          <w:rFonts w:asciiTheme="majorHAnsi" w:eastAsiaTheme="majorEastAsia" w:hAnsiTheme="majorHAnsi" w:cstheme="majorBidi"/>
          <w:b/>
          <w:bCs/>
          <w:vanish/>
          <w:sz w:val="24"/>
          <w:szCs w:val="24"/>
        </w:rPr>
      </w:pPr>
    </w:p>
    <w:p>
      <w:pPr>
        <w:pStyle w:val="ListParagraph"/>
        <w:keepNext/>
        <w:keepLines/>
        <w:numPr>
          <w:ilvl w:val="1"/>
          <w:numId w:val="9"/>
        </w:numPr>
        <w:spacing w:before="240" w:after="64" w:line="320" w:lineRule="auto"/>
        <w:ind w:firstLineChars="0"/>
        <w:outlineLvl w:val="5"/>
        <w:rPr>
          <w:rFonts w:asciiTheme="majorHAnsi" w:eastAsiaTheme="majorEastAsia" w:hAnsiTheme="majorHAnsi" w:cstheme="majorBidi"/>
          <w:b/>
          <w:bCs/>
          <w:vanish/>
          <w:sz w:val="24"/>
          <w:szCs w:val="24"/>
        </w:rPr>
      </w:pPr>
    </w:p>
    <w:p>
      <w:pPr>
        <w:pStyle w:val="ListParagraph"/>
        <w:keepNext/>
        <w:keepLines/>
        <w:numPr>
          <w:ilvl w:val="1"/>
          <w:numId w:val="9"/>
        </w:numPr>
        <w:spacing w:before="240" w:after="64" w:line="320" w:lineRule="auto"/>
        <w:ind w:firstLineChars="0"/>
        <w:outlineLvl w:val="5"/>
        <w:rPr>
          <w:rFonts w:asciiTheme="majorHAnsi" w:eastAsiaTheme="majorEastAsia" w:hAnsiTheme="majorHAnsi" w:cstheme="majorBidi"/>
          <w:b/>
          <w:bCs/>
          <w:vanish/>
          <w:sz w:val="24"/>
          <w:szCs w:val="24"/>
        </w:rPr>
      </w:pPr>
    </w:p>
    <w:p>
      <w:pPr>
        <w:pStyle w:val="ListParagraph"/>
        <w:keepNext/>
        <w:keepLines/>
        <w:numPr>
          <w:ilvl w:val="1"/>
          <w:numId w:val="9"/>
        </w:numPr>
        <w:spacing w:before="240" w:after="64" w:line="320" w:lineRule="auto"/>
        <w:ind w:firstLineChars="0"/>
        <w:outlineLvl w:val="5"/>
        <w:rPr>
          <w:rFonts w:asciiTheme="majorHAnsi" w:eastAsiaTheme="majorEastAsia" w:hAnsiTheme="majorHAnsi" w:cstheme="majorBidi"/>
          <w:b/>
          <w:bCs/>
          <w:vanish/>
          <w:sz w:val="24"/>
          <w:szCs w:val="24"/>
        </w:rPr>
      </w:pPr>
    </w:p>
    <w:p>
      <w:pPr>
        <w:pStyle w:val="ListParagraph"/>
        <w:keepNext/>
        <w:keepLines/>
        <w:numPr>
          <w:ilvl w:val="1"/>
          <w:numId w:val="9"/>
        </w:numPr>
        <w:spacing w:before="240" w:after="64" w:line="320" w:lineRule="auto"/>
        <w:ind w:firstLineChars="0"/>
        <w:outlineLvl w:val="5"/>
        <w:rPr>
          <w:rFonts w:asciiTheme="majorHAnsi" w:eastAsiaTheme="majorEastAsia" w:hAnsiTheme="majorHAnsi" w:cstheme="majorBidi"/>
          <w:b/>
          <w:bCs/>
          <w:vanish/>
          <w:sz w:val="24"/>
          <w:szCs w:val="24"/>
        </w:rPr>
      </w:pPr>
    </w:p>
    <w:p>
      <w:pPr>
        <w:pStyle w:val="ListParagraph"/>
        <w:keepNext/>
        <w:keepLines/>
        <w:numPr>
          <w:ilvl w:val="2"/>
          <w:numId w:val="9"/>
        </w:numPr>
        <w:spacing w:before="240" w:after="64" w:line="320" w:lineRule="auto"/>
        <w:ind w:firstLineChars="0"/>
        <w:outlineLvl w:val="5"/>
        <w:rPr>
          <w:rFonts w:asciiTheme="majorHAnsi" w:eastAsiaTheme="majorEastAsia" w:hAnsiTheme="majorHAnsi" w:cstheme="majorBidi"/>
          <w:b/>
          <w:bCs/>
          <w:vanish/>
          <w:sz w:val="24"/>
          <w:szCs w:val="24"/>
        </w:rPr>
      </w:pPr>
    </w:p>
    <w:p>
      <w:pPr>
        <w:pStyle w:val="ListParagraph"/>
        <w:keepNext/>
        <w:keepLines/>
        <w:numPr>
          <w:ilvl w:val="3"/>
          <w:numId w:val="9"/>
        </w:numPr>
        <w:spacing w:before="240" w:after="64" w:line="320" w:lineRule="auto"/>
        <w:ind w:firstLineChars="0"/>
        <w:outlineLvl w:val="5"/>
        <w:rPr>
          <w:rFonts w:asciiTheme="majorHAnsi" w:eastAsiaTheme="majorEastAsia" w:hAnsiTheme="majorHAnsi" w:cstheme="majorBidi"/>
          <w:b/>
          <w:bCs/>
          <w:vanish/>
          <w:sz w:val="24"/>
          <w:szCs w:val="24"/>
        </w:rPr>
      </w:pPr>
    </w:p>
    <w:p>
      <w:pPr>
        <w:pStyle w:val="ListParagraph"/>
        <w:keepNext/>
        <w:keepLines/>
        <w:numPr>
          <w:ilvl w:val="4"/>
          <w:numId w:val="9"/>
        </w:numPr>
        <w:spacing w:before="240" w:after="64" w:line="320" w:lineRule="auto"/>
        <w:ind w:firstLineChars="0"/>
        <w:outlineLvl w:val="5"/>
        <w:rPr>
          <w:rFonts w:asciiTheme="majorHAnsi" w:eastAsiaTheme="majorEastAsia" w:hAnsiTheme="majorHAnsi" w:cstheme="majorBidi"/>
          <w:b/>
          <w:bCs/>
          <w:vanish/>
          <w:sz w:val="24"/>
          <w:szCs w:val="24"/>
        </w:rPr>
      </w:pPr>
    </w:p>
    <w:p>
      <w:pPr>
        <w:pStyle w:val="Heading6"/>
        <w:numPr>
          <w:ilvl w:val="5"/>
          <w:numId w:val="9"/>
        </w:numPr>
      </w:pPr>
      <w:r>
        <w:rPr>
          <w:rFonts w:hint="eastAsia"/>
        </w:rPr>
        <w:t>次季节数据预处理</w:t>
      </w:r>
    </w:p>
    <w:p>
      <w:pPr>
        <w:ind w:firstLine="420" w:firstLineChars="200"/>
      </w:pPr>
      <w:r>
        <w:rPr>
          <w:rFonts w:hint="eastAsia"/>
        </w:rPr>
        <w:t>接收并解析多元原始预报数据，进行格式标准化、质量控制和初步对齐，为后续订正环节做好准备。</w:t>
      </w:r>
    </w:p>
    <w:p>
      <w:pPr>
        <w:pStyle w:val="Heading6"/>
        <w:numPr>
          <w:ilvl w:val="5"/>
          <w:numId w:val="9"/>
        </w:numPr>
      </w:pPr>
      <w:r>
        <w:rPr>
          <w:rFonts w:hint="eastAsia"/>
        </w:rPr>
        <w:t>全球次季节气温误差订正</w:t>
      </w:r>
    </w:p>
    <w:p>
      <w:pPr>
        <w:ind w:firstLine="420" w:firstLineChars="200"/>
      </w:pPr>
      <w:r>
        <w:rPr>
          <w:rFonts w:hint="eastAsia"/>
        </w:rPr>
        <w:t>利用历史观测数据和模式回报数据，针对每个独立模式（包括“风顺”AI模型）的气温预测结果进行误差订正。</w:t>
      </w:r>
    </w:p>
    <w:p>
      <w:pPr>
        <w:pStyle w:val="Heading6"/>
        <w:numPr>
          <w:ilvl w:val="5"/>
          <w:numId w:val="9"/>
        </w:numPr>
      </w:pPr>
      <w:r>
        <w:rPr>
          <w:rFonts w:hint="eastAsia"/>
        </w:rPr>
        <w:t>全球次季节降水误差订正</w:t>
      </w:r>
    </w:p>
    <w:p>
      <w:pPr>
        <w:ind w:firstLine="420" w:firstLineChars="200"/>
      </w:pPr>
      <w:r>
        <w:rPr>
          <w:rFonts w:hint="eastAsia"/>
        </w:rPr>
        <w:t>利用历史观测数据和模式回报数据，针对每个独立模式（包括“风顺”AI模型）的降水预测结果进行误差订正。</w:t>
      </w:r>
    </w:p>
    <w:p>
      <w:pPr>
        <w:pStyle w:val="Heading6"/>
        <w:numPr>
          <w:ilvl w:val="5"/>
          <w:numId w:val="9"/>
        </w:numPr>
      </w:pPr>
      <w:r>
        <w:rPr>
          <w:rFonts w:hint="eastAsia"/>
        </w:rPr>
        <w:t>全球次季节气温多模式集合预测</w:t>
      </w:r>
    </w:p>
    <w:p>
      <w:pPr>
        <w:ind w:firstLine="420" w:firstLineChars="200"/>
      </w:pPr>
      <w:r>
        <w:rPr>
          <w:rFonts w:hint="eastAsia"/>
        </w:rPr>
        <w:t>针对订正过的气温预报结果，基于多个模式历史预报技巧，应用动态权重集成技术，生成全球多模式集合预报结果。</w:t>
      </w:r>
    </w:p>
    <w:p>
      <w:pPr>
        <w:pStyle w:val="Heading6"/>
        <w:numPr>
          <w:ilvl w:val="5"/>
          <w:numId w:val="9"/>
        </w:numPr>
      </w:pPr>
      <w:r>
        <w:rPr>
          <w:rFonts w:hint="eastAsia"/>
        </w:rPr>
        <w:t>全球次季节降水多模式集合预测</w:t>
      </w:r>
    </w:p>
    <w:p>
      <w:pPr>
        <w:ind w:firstLine="420" w:firstLineChars="200"/>
      </w:pPr>
      <w:r>
        <w:rPr>
          <w:rFonts w:hint="eastAsia"/>
        </w:rPr>
        <w:t>针对订正过的降水预报结果，基于个模式历史预报技巧，应用动态权重集成技术，生成全球多模式集合预报结果。</w:t>
      </w:r>
    </w:p>
    <w:p>
      <w:pPr>
        <w:pStyle w:val="Heading6"/>
        <w:numPr>
          <w:ilvl w:val="5"/>
          <w:numId w:val="9"/>
        </w:numPr>
      </w:pPr>
      <w:r>
        <w:rPr>
          <w:rFonts w:hint="eastAsia"/>
        </w:rPr>
        <w:t>全球次季节气温智能降尺度</w:t>
      </w:r>
    </w:p>
    <w:p>
      <w:pPr>
        <w:ind w:firstLine="420" w:firstLineChars="200"/>
      </w:pPr>
      <w:r>
        <w:rPr>
          <w:rFonts w:hint="eastAsia"/>
        </w:rPr>
        <w:t>利用残差特征蒸馏网络制作全球25公里次季节气温超分模型。</w:t>
      </w:r>
    </w:p>
    <w:p>
      <w:pPr>
        <w:pStyle w:val="Heading6"/>
        <w:numPr>
          <w:ilvl w:val="5"/>
          <w:numId w:val="9"/>
        </w:numPr>
      </w:pPr>
      <w:r>
        <w:rPr>
          <w:rFonts w:hint="eastAsia"/>
        </w:rPr>
        <w:t>全球次季节降水智能降尺度</w:t>
      </w:r>
    </w:p>
    <w:p>
      <w:pPr>
        <w:ind w:firstLine="420" w:firstLineChars="200"/>
      </w:pPr>
      <w:r>
        <w:rPr>
          <w:rFonts w:hint="eastAsia"/>
        </w:rPr>
        <w:t>利用残差特征蒸馏网络制作全球25公里次季节降水超分模型。</w:t>
      </w:r>
    </w:p>
    <w:p>
      <w:pPr>
        <w:pStyle w:val="Heading6"/>
        <w:numPr>
          <w:ilvl w:val="5"/>
          <w:numId w:val="9"/>
        </w:numPr>
      </w:pPr>
      <w:r>
        <w:rPr>
          <w:rFonts w:hint="eastAsia"/>
        </w:rPr>
        <w:t>次季节产品生成</w:t>
      </w:r>
    </w:p>
    <w:p>
      <w:pPr>
        <w:ind w:firstLine="420" w:firstLineChars="200"/>
      </w:pPr>
      <w:r>
        <w:rPr>
          <w:rFonts w:hint="eastAsia"/>
        </w:rPr>
        <w:t>生成未来15-60天/3-12候空间分辨率为25km的覆盖全球的气温、降水网格预报结果。</w:t>
      </w:r>
    </w:p>
    <w:p>
      <w:pPr>
        <w:pStyle w:val="Heading5"/>
        <w:numPr>
          <w:ilvl w:val="4"/>
          <w:numId w:val="8"/>
        </w:numPr>
      </w:pPr>
      <w:r>
        <w:t>月季年智能网格和气候模态预测模块</w:t>
      </w:r>
    </w:p>
    <w:p>
      <w:pPr>
        <w:ind w:firstLine="420" w:firstLineChars="200"/>
      </w:pPr>
      <w:r>
        <w:t>月季年网格和气候模态</w:t>
      </w:r>
      <w:r>
        <w:rPr>
          <w:rFonts w:hint="eastAsia"/>
        </w:rPr>
        <w:t>预测模块</w:t>
      </w:r>
      <w:r>
        <w:t>包括月季年数据获取和预处理</w:t>
      </w:r>
      <w:r>
        <w:rPr>
          <w:rFonts w:hint="eastAsia"/>
        </w:rPr>
        <w:t>功能</w:t>
      </w:r>
      <w:r>
        <w:t>、月季尺度误差订正</w:t>
      </w:r>
      <w:r>
        <w:rPr>
          <w:rFonts w:hint="eastAsia"/>
        </w:rPr>
        <w:t>功能</w:t>
      </w:r>
      <w:r>
        <w:t>、月季尺度多模式集合预测</w:t>
      </w:r>
      <w:r>
        <w:rPr>
          <w:rFonts w:hint="eastAsia"/>
        </w:rPr>
        <w:t>功能</w:t>
      </w:r>
      <w:r>
        <w:t>、月季产品生成</w:t>
      </w:r>
      <w:r>
        <w:rPr>
          <w:rFonts w:hint="eastAsia"/>
        </w:rPr>
        <w:t>功能</w:t>
      </w:r>
      <w:r>
        <w:t>、年际年代际产品生成</w:t>
      </w:r>
      <w:r>
        <w:rPr>
          <w:rFonts w:hint="eastAsia"/>
        </w:rPr>
        <w:t>功能</w:t>
      </w:r>
      <w:r>
        <w:t>、全球海洋主要海温模态月季预测</w:t>
      </w:r>
      <w:r>
        <w:rPr>
          <w:rFonts w:hint="eastAsia"/>
        </w:rPr>
        <w:t>功能</w:t>
      </w:r>
      <w:r>
        <w:t>、全球海洋主要海温指数年代际预测</w:t>
      </w:r>
      <w:r>
        <w:rPr>
          <w:rFonts w:hint="eastAsia"/>
        </w:rPr>
        <w:t>功能</w:t>
      </w:r>
      <w:r>
        <w:t>和中高纬重要环流模态预测</w:t>
      </w:r>
      <w:r>
        <w:rPr>
          <w:rFonts w:hint="eastAsia"/>
        </w:rPr>
        <w:t>功能</w:t>
      </w:r>
      <w:r>
        <w:t>等8个功能点。</w:t>
      </w:r>
    </w:p>
    <w:p>
      <w:pPr>
        <w:pStyle w:val="ListParagraph"/>
        <w:keepNext/>
        <w:keepLines/>
        <w:numPr>
          <w:ilvl w:val="0"/>
          <w:numId w:val="10"/>
        </w:numPr>
        <w:spacing w:before="240" w:after="64" w:line="320" w:lineRule="auto"/>
        <w:ind w:firstLineChars="0"/>
        <w:outlineLvl w:val="5"/>
        <w:rPr>
          <w:rFonts w:asciiTheme="majorHAnsi" w:eastAsiaTheme="majorEastAsia" w:hAnsiTheme="majorHAnsi" w:cstheme="majorBidi"/>
          <w:b/>
          <w:bCs/>
          <w:vanish/>
          <w:sz w:val="24"/>
          <w:szCs w:val="24"/>
        </w:rPr>
      </w:pPr>
    </w:p>
    <w:p>
      <w:pPr>
        <w:pStyle w:val="ListParagraph"/>
        <w:keepNext/>
        <w:keepLines/>
        <w:numPr>
          <w:ilvl w:val="1"/>
          <w:numId w:val="10"/>
        </w:numPr>
        <w:spacing w:before="240" w:after="64" w:line="320" w:lineRule="auto"/>
        <w:ind w:firstLineChars="0"/>
        <w:outlineLvl w:val="5"/>
        <w:rPr>
          <w:rFonts w:asciiTheme="majorHAnsi" w:eastAsiaTheme="majorEastAsia" w:hAnsiTheme="majorHAnsi" w:cstheme="majorBidi"/>
          <w:b/>
          <w:bCs/>
          <w:vanish/>
          <w:sz w:val="24"/>
          <w:szCs w:val="24"/>
        </w:rPr>
      </w:pPr>
    </w:p>
    <w:p>
      <w:pPr>
        <w:pStyle w:val="ListParagraph"/>
        <w:keepNext/>
        <w:keepLines/>
        <w:numPr>
          <w:ilvl w:val="1"/>
          <w:numId w:val="10"/>
        </w:numPr>
        <w:spacing w:before="240" w:after="64" w:line="320" w:lineRule="auto"/>
        <w:ind w:firstLineChars="0"/>
        <w:outlineLvl w:val="5"/>
        <w:rPr>
          <w:rFonts w:asciiTheme="majorHAnsi" w:eastAsiaTheme="majorEastAsia" w:hAnsiTheme="majorHAnsi" w:cstheme="majorBidi"/>
          <w:b/>
          <w:bCs/>
          <w:vanish/>
          <w:sz w:val="24"/>
          <w:szCs w:val="24"/>
        </w:rPr>
      </w:pPr>
    </w:p>
    <w:p>
      <w:pPr>
        <w:pStyle w:val="ListParagraph"/>
        <w:keepNext/>
        <w:keepLines/>
        <w:numPr>
          <w:ilvl w:val="1"/>
          <w:numId w:val="10"/>
        </w:numPr>
        <w:spacing w:before="240" w:after="64" w:line="320" w:lineRule="auto"/>
        <w:ind w:firstLineChars="0"/>
        <w:outlineLvl w:val="5"/>
        <w:rPr>
          <w:rFonts w:asciiTheme="majorHAnsi" w:eastAsiaTheme="majorEastAsia" w:hAnsiTheme="majorHAnsi" w:cstheme="majorBidi"/>
          <w:b/>
          <w:bCs/>
          <w:vanish/>
          <w:sz w:val="24"/>
          <w:szCs w:val="24"/>
        </w:rPr>
      </w:pPr>
    </w:p>
    <w:p>
      <w:pPr>
        <w:pStyle w:val="ListParagraph"/>
        <w:keepNext/>
        <w:keepLines/>
        <w:numPr>
          <w:ilvl w:val="1"/>
          <w:numId w:val="10"/>
        </w:numPr>
        <w:spacing w:before="240" w:after="64" w:line="320" w:lineRule="auto"/>
        <w:ind w:firstLineChars="0"/>
        <w:outlineLvl w:val="5"/>
        <w:rPr>
          <w:rFonts w:asciiTheme="majorHAnsi" w:eastAsiaTheme="majorEastAsia" w:hAnsiTheme="majorHAnsi" w:cstheme="majorBidi"/>
          <w:b/>
          <w:bCs/>
          <w:vanish/>
          <w:sz w:val="24"/>
          <w:szCs w:val="24"/>
        </w:rPr>
      </w:pPr>
    </w:p>
    <w:p>
      <w:pPr>
        <w:pStyle w:val="ListParagraph"/>
        <w:keepNext/>
        <w:keepLines/>
        <w:numPr>
          <w:ilvl w:val="2"/>
          <w:numId w:val="10"/>
        </w:numPr>
        <w:spacing w:before="240" w:after="64" w:line="320" w:lineRule="auto"/>
        <w:ind w:firstLineChars="0"/>
        <w:outlineLvl w:val="5"/>
        <w:rPr>
          <w:rFonts w:asciiTheme="majorHAnsi" w:eastAsiaTheme="majorEastAsia" w:hAnsiTheme="majorHAnsi" w:cstheme="majorBidi"/>
          <w:b/>
          <w:bCs/>
          <w:vanish/>
          <w:sz w:val="24"/>
          <w:szCs w:val="24"/>
        </w:rPr>
      </w:pPr>
    </w:p>
    <w:p>
      <w:pPr>
        <w:pStyle w:val="ListParagraph"/>
        <w:keepNext/>
        <w:keepLines/>
        <w:numPr>
          <w:ilvl w:val="3"/>
          <w:numId w:val="10"/>
        </w:numPr>
        <w:spacing w:before="240" w:after="64" w:line="320" w:lineRule="auto"/>
        <w:ind w:firstLineChars="0"/>
        <w:outlineLvl w:val="5"/>
        <w:rPr>
          <w:rFonts w:asciiTheme="majorHAnsi" w:eastAsiaTheme="majorEastAsia" w:hAnsiTheme="majorHAnsi" w:cstheme="majorBidi"/>
          <w:b/>
          <w:bCs/>
          <w:vanish/>
          <w:sz w:val="24"/>
          <w:szCs w:val="24"/>
        </w:rPr>
      </w:pPr>
    </w:p>
    <w:p>
      <w:pPr>
        <w:pStyle w:val="ListParagraph"/>
        <w:keepNext/>
        <w:keepLines/>
        <w:numPr>
          <w:ilvl w:val="4"/>
          <w:numId w:val="10"/>
        </w:numPr>
        <w:spacing w:before="240" w:after="64" w:line="320" w:lineRule="auto"/>
        <w:ind w:firstLineChars="0"/>
        <w:outlineLvl w:val="5"/>
        <w:rPr>
          <w:rFonts w:asciiTheme="majorHAnsi" w:eastAsiaTheme="majorEastAsia" w:hAnsiTheme="majorHAnsi" w:cstheme="majorBidi"/>
          <w:b/>
          <w:bCs/>
          <w:vanish/>
          <w:sz w:val="24"/>
          <w:szCs w:val="24"/>
        </w:rPr>
      </w:pPr>
    </w:p>
    <w:p>
      <w:pPr>
        <w:pStyle w:val="ListParagraph"/>
        <w:keepNext/>
        <w:keepLines/>
        <w:numPr>
          <w:ilvl w:val="4"/>
          <w:numId w:val="10"/>
        </w:numPr>
        <w:spacing w:before="240" w:after="64" w:line="320" w:lineRule="auto"/>
        <w:ind w:firstLineChars="0"/>
        <w:outlineLvl w:val="5"/>
        <w:rPr>
          <w:rFonts w:asciiTheme="majorHAnsi" w:eastAsiaTheme="majorEastAsia" w:hAnsiTheme="majorHAnsi" w:cstheme="majorBidi"/>
          <w:b/>
          <w:bCs/>
          <w:vanish/>
          <w:sz w:val="24"/>
          <w:szCs w:val="24"/>
        </w:rPr>
      </w:pPr>
    </w:p>
    <w:p>
      <w:pPr>
        <w:pStyle w:val="Heading6"/>
        <w:numPr>
          <w:ilvl w:val="5"/>
          <w:numId w:val="10"/>
        </w:numPr>
      </w:pPr>
      <w:r>
        <w:rPr>
          <w:rFonts w:hint="eastAsia"/>
        </w:rPr>
        <w:t>月季年数据获取和预处理</w:t>
      </w:r>
    </w:p>
    <w:p>
      <w:pPr>
        <w:ind w:firstLine="420" w:firstLineChars="200"/>
      </w:pPr>
      <w:r>
        <w:rPr>
          <w:rFonts w:hint="eastAsia"/>
        </w:rPr>
        <w:t>接入多模式月尺度和年尺度预测数据，进行格式标准化、质量控制和初步对齐，为后续订正环节做好准备。</w:t>
      </w:r>
    </w:p>
    <w:p>
      <w:pPr>
        <w:pStyle w:val="Heading6"/>
        <w:numPr>
          <w:ilvl w:val="5"/>
          <w:numId w:val="10"/>
        </w:numPr>
      </w:pPr>
      <w:r>
        <w:rPr>
          <w:rFonts w:hint="eastAsia"/>
        </w:rPr>
        <w:t>月季尺度误差订正</w:t>
      </w:r>
    </w:p>
    <w:p>
      <w:pPr>
        <w:ind w:firstLine="420" w:firstLineChars="200"/>
      </w:pPr>
      <w:r>
        <w:rPr>
          <w:rFonts w:hint="eastAsia"/>
        </w:rPr>
        <w:t>基于国内外多个全球季节尺度动力模式，采用累积概率密度映射技术对各模式气温、降水预报进行频率匹配处理，实现对各模式气温、降水预报系统偏差的订正。</w:t>
      </w:r>
    </w:p>
    <w:p>
      <w:pPr>
        <w:pStyle w:val="Heading6"/>
        <w:numPr>
          <w:ilvl w:val="5"/>
          <w:numId w:val="10"/>
        </w:numPr>
      </w:pPr>
      <w:r>
        <w:rPr>
          <w:rFonts w:hint="eastAsia"/>
        </w:rPr>
        <w:t>月季尺度多模式集合预测</w:t>
      </w:r>
    </w:p>
    <w:p>
      <w:pPr>
        <w:ind w:firstLine="420" w:firstLineChars="200"/>
      </w:pPr>
      <w:r>
        <w:rPr>
          <w:rFonts w:hint="eastAsia"/>
        </w:rPr>
        <w:t>根据各模式客观订正产品的历史预报技巧以及模式独立性，形成多模式的智能集成权重。</w:t>
      </w:r>
    </w:p>
    <w:p>
      <w:pPr>
        <w:pStyle w:val="Heading6"/>
        <w:numPr>
          <w:ilvl w:val="5"/>
          <w:numId w:val="10"/>
        </w:numPr>
      </w:pPr>
      <w:r>
        <w:rPr>
          <w:rFonts w:hint="eastAsia"/>
        </w:rPr>
        <w:t>月季产品生成</w:t>
      </w:r>
    </w:p>
    <w:p>
      <w:pPr>
        <w:ind w:firstLine="420" w:firstLineChars="200"/>
      </w:pPr>
      <w:r>
        <w:rPr>
          <w:rFonts w:hint="eastAsia"/>
        </w:rPr>
        <w:t>形成未来1-6个月及对应滚动季节的全球气温距平、降水距平百分率智能网格预报产品。</w:t>
      </w:r>
    </w:p>
    <w:p>
      <w:pPr>
        <w:pStyle w:val="Heading6"/>
        <w:numPr>
          <w:ilvl w:val="5"/>
          <w:numId w:val="10"/>
        </w:numPr>
      </w:pPr>
      <w:r>
        <w:rPr>
          <w:rFonts w:hint="eastAsia"/>
        </w:rPr>
        <w:t>年际年代际产品生成</w:t>
      </w:r>
    </w:p>
    <w:p>
      <w:pPr>
        <w:ind w:firstLine="420" w:firstLineChars="200"/>
      </w:pPr>
      <w:r>
        <w:rPr>
          <w:rFonts w:hint="eastAsia"/>
        </w:rPr>
        <w:t>形成未来1年、未来1-5年平均、以及未来6-10年平均的全球近地表气温、海平面气压、降水、全球海冰异常网格预测产品。</w:t>
      </w:r>
    </w:p>
    <w:p>
      <w:pPr>
        <w:pStyle w:val="Heading6"/>
        <w:numPr>
          <w:ilvl w:val="5"/>
          <w:numId w:val="10"/>
        </w:numPr>
      </w:pPr>
      <w:r>
        <w:rPr>
          <w:rFonts w:hint="eastAsia"/>
        </w:rPr>
        <w:t>全球海洋主要海温模态月季预测</w:t>
      </w:r>
    </w:p>
    <w:p>
      <w:pPr>
        <w:ind w:firstLine="420" w:firstLineChars="200"/>
      </w:pPr>
      <w:r>
        <w:rPr>
          <w:rFonts w:hint="eastAsia"/>
        </w:rPr>
        <w:t>基于再分析资料、统计模型和月季尺度多模式集合预测数据，实现对全球海洋主要海温模态的未来1-6个月的预测。</w:t>
      </w:r>
    </w:p>
    <w:p>
      <w:pPr>
        <w:pStyle w:val="Heading6"/>
        <w:numPr>
          <w:ilvl w:val="5"/>
          <w:numId w:val="10"/>
        </w:numPr>
      </w:pPr>
      <w:r>
        <w:rPr>
          <w:rFonts w:hint="eastAsia"/>
        </w:rPr>
        <w:t>全球海洋主要海温指数年代际预测</w:t>
      </w:r>
    </w:p>
    <w:p>
      <w:pPr>
        <w:ind w:firstLine="420" w:firstLineChars="200"/>
      </w:pPr>
      <w:r>
        <w:rPr>
          <w:rFonts w:hint="eastAsia"/>
        </w:rPr>
        <w:t>基于国内外主流的年代际尺度气候系统模式预测结果，实现对全球海温关键区指数未来1年、未来1-5年平均、以及未来6-10年平均的年代际预测。</w:t>
      </w:r>
    </w:p>
    <w:p>
      <w:pPr>
        <w:pStyle w:val="Heading6"/>
        <w:numPr>
          <w:ilvl w:val="5"/>
          <w:numId w:val="10"/>
        </w:numPr>
      </w:pPr>
      <w:r>
        <w:rPr>
          <w:rFonts w:hint="eastAsia"/>
        </w:rPr>
        <w:t>中高纬重要环流模态预测</w:t>
      </w:r>
    </w:p>
    <w:p>
      <w:pPr>
        <w:ind w:firstLine="420" w:firstLineChars="200"/>
      </w:pPr>
      <w:r>
        <w:rPr>
          <w:rFonts w:hint="eastAsia"/>
        </w:rPr>
        <w:t>通过集成实时高分辨率再分析资料、全国站点降水数据、次季节模式预测数据，基于位势高度场、气温场、降水场，研发强降水型东北冷涡等中高纬重要环流模态的监测产品和概率预报产品。</w:t>
      </w:r>
    </w:p>
    <w:p>
      <w:pPr>
        <w:pStyle w:val="Heading5"/>
        <w:numPr>
          <w:ilvl w:val="4"/>
          <w:numId w:val="8"/>
        </w:numPr>
      </w:pPr>
      <w:r>
        <w:t>全球智能网格预测检验模块</w:t>
      </w:r>
    </w:p>
    <w:p>
      <w:pPr>
        <w:ind w:firstLine="420" w:firstLineChars="200"/>
      </w:pPr>
      <w:r>
        <w:t>全球智能网格预测检验</w:t>
      </w:r>
      <w:r>
        <w:rPr>
          <w:rFonts w:hint="eastAsia"/>
        </w:rPr>
        <w:t>模块</w:t>
      </w:r>
      <w:r>
        <w:t>包括多源数据接入</w:t>
      </w:r>
      <w:r>
        <w:rPr>
          <w:rFonts w:hint="eastAsia"/>
        </w:rPr>
        <w:t>功能</w:t>
      </w:r>
      <w:r>
        <w:t>、次季节智能网格预测检验</w:t>
      </w:r>
      <w:r>
        <w:rPr>
          <w:rFonts w:hint="eastAsia"/>
        </w:rPr>
        <w:t>功能</w:t>
      </w:r>
      <w:r>
        <w:t>，月季尺度智能网格预测检验</w:t>
      </w:r>
      <w:r>
        <w:rPr>
          <w:rFonts w:hint="eastAsia"/>
        </w:rPr>
        <w:t>功能</w:t>
      </w:r>
      <w:r>
        <w:t>，年际尺度智能网格预测检验</w:t>
      </w:r>
      <w:r>
        <w:rPr>
          <w:rFonts w:hint="eastAsia"/>
        </w:rPr>
        <w:t>功能</w:t>
      </w:r>
      <w:r>
        <w:t>，气候模态预测检验</w:t>
      </w:r>
      <w:r>
        <w:rPr>
          <w:rFonts w:hint="eastAsia"/>
        </w:rPr>
        <w:t>功能</w:t>
      </w:r>
      <w:r>
        <w:t>等5个功能点。</w:t>
      </w:r>
    </w:p>
    <w:p>
      <w:pPr>
        <w:pStyle w:val="ListParagraph"/>
        <w:keepNext/>
        <w:keepLines/>
        <w:numPr>
          <w:ilvl w:val="4"/>
          <w:numId w:val="10"/>
        </w:numPr>
        <w:spacing w:before="240" w:after="64" w:line="320" w:lineRule="auto"/>
        <w:ind w:firstLineChars="0"/>
        <w:outlineLvl w:val="5"/>
        <w:rPr>
          <w:rFonts w:asciiTheme="majorHAnsi" w:eastAsiaTheme="majorEastAsia" w:hAnsiTheme="majorHAnsi" w:cstheme="majorBidi"/>
          <w:b/>
          <w:bCs/>
          <w:vanish/>
          <w:sz w:val="24"/>
          <w:szCs w:val="24"/>
        </w:rPr>
      </w:pPr>
    </w:p>
    <w:p>
      <w:pPr>
        <w:pStyle w:val="Heading6"/>
        <w:numPr>
          <w:ilvl w:val="5"/>
          <w:numId w:val="10"/>
        </w:numPr>
      </w:pPr>
      <w:r>
        <w:rPr>
          <w:rFonts w:hint="eastAsia"/>
        </w:rPr>
        <w:t>多源数据接入</w:t>
      </w:r>
    </w:p>
    <w:p>
      <w:pPr>
        <w:ind w:firstLine="420" w:firstLineChars="200"/>
      </w:pPr>
      <w:r>
        <w:rPr>
          <w:rFonts w:hint="eastAsia"/>
        </w:rPr>
        <w:t>资料自动化收集。具备自动接入全球次季节预测产品、月季年及气候模态预测产品和实况监测产品的能力。</w:t>
      </w:r>
    </w:p>
    <w:p>
      <w:pPr>
        <w:pStyle w:val="Heading6"/>
        <w:numPr>
          <w:ilvl w:val="5"/>
          <w:numId w:val="10"/>
        </w:numPr>
      </w:pPr>
      <w:r>
        <w:rPr>
          <w:rFonts w:hint="eastAsia"/>
        </w:rPr>
        <w:t>次季节智能网格预测检验</w:t>
      </w:r>
    </w:p>
    <w:p>
      <w:pPr>
        <w:ind w:firstLine="420" w:firstLineChars="200"/>
      </w:pPr>
      <w:r>
        <w:rPr>
          <w:rFonts w:hint="eastAsia"/>
        </w:rPr>
        <w:t>根据给定的次季节网格预测产品、实况资料和相应的TS检验、PC检验、IPS检验等方法提供检验评估，并给出算法执行情况。</w:t>
      </w:r>
    </w:p>
    <w:p>
      <w:pPr>
        <w:pStyle w:val="Heading6"/>
        <w:numPr>
          <w:ilvl w:val="5"/>
          <w:numId w:val="10"/>
        </w:numPr>
      </w:pPr>
      <w:r>
        <w:rPr>
          <w:rFonts w:hint="eastAsia"/>
        </w:rPr>
        <w:t>月季尺度智能网格预测检验</w:t>
      </w:r>
    </w:p>
    <w:p>
      <w:pPr>
        <w:ind w:firstLine="420" w:firstLineChars="200"/>
      </w:pPr>
      <w:r>
        <w:rPr>
          <w:rFonts w:hint="eastAsia"/>
        </w:rPr>
        <w:t>根据给定的月季网格预测产品、实况资料和TCC检验、ACC检验、MSSS检验、Ps评分等方法，提供历史的和实时检验评估，并给出算法执行情况。</w:t>
      </w:r>
    </w:p>
    <w:p>
      <w:pPr>
        <w:pStyle w:val="Heading6"/>
        <w:numPr>
          <w:ilvl w:val="5"/>
          <w:numId w:val="10"/>
        </w:numPr>
      </w:pPr>
      <w:r>
        <w:rPr>
          <w:rFonts w:hint="eastAsia"/>
        </w:rPr>
        <w:t>年际尺度智能网格预测检验</w:t>
      </w:r>
    </w:p>
    <w:p>
      <w:pPr>
        <w:ind w:firstLine="420" w:firstLineChars="200"/>
      </w:pPr>
      <w:r>
        <w:rPr>
          <w:rFonts w:hint="eastAsia"/>
        </w:rPr>
        <w:t>根据给定的年际网格预测产品、实况资料和TCC检验、ACC检验、Ps评分等方法提供历史的和实时检验评估，并给出算法执行情况。</w:t>
      </w:r>
    </w:p>
    <w:p>
      <w:pPr>
        <w:pStyle w:val="Heading6"/>
        <w:numPr>
          <w:ilvl w:val="5"/>
          <w:numId w:val="10"/>
        </w:numPr>
      </w:pPr>
      <w:r>
        <w:rPr>
          <w:rFonts w:hint="eastAsia"/>
        </w:rPr>
        <w:t>气候模态预测检验</w:t>
      </w:r>
    </w:p>
    <w:p>
      <w:pPr>
        <w:ind w:firstLine="420" w:firstLineChars="200"/>
      </w:pPr>
      <w:r>
        <w:rPr>
          <w:rFonts w:hint="eastAsia"/>
        </w:rPr>
        <w:t>根据给定的气候模态预测产品、实况资料和TCC检验、MSSS检验等方法提供检验评估，并给出算法执行情况。</w:t>
      </w:r>
    </w:p>
    <w:p>
      <w:pPr>
        <w:pStyle w:val="Heading4"/>
        <w:numPr>
          <w:ilvl w:val="3"/>
          <w:numId w:val="7"/>
        </w:numPr>
      </w:pPr>
      <w:bookmarkStart w:id="62" w:name="_Toc16950"/>
      <w:r>
        <w:rPr>
          <w:rFonts w:hint="eastAsia"/>
        </w:rPr>
        <w:t>次季节重要过程预测与检验子系统</w:t>
      </w:r>
      <w:bookmarkEnd w:id="62"/>
    </w:p>
    <w:p>
      <w:pPr>
        <w:ind w:firstLine="420" w:firstLineChars="200"/>
      </w:pPr>
      <w:r>
        <w:t>该子系统聚焦次季节（15-60天）强降水、高温及强降温三类关键天气过程的预测与检验业务，基于国家气象信息中心25公里降水再分析数据构建强降水过程历史数据集，依托智能网格0-60天预测数据，经误差订正后通过客观动态识别算法，生成全国及分省尺度的强降水过程频次、时段、范围及强度预测产品；同步研发次季节高温过程预测技术，制作发布高温过程预测产品；针对强降温过程，构建涵盖气温数据预处理、过程次数/时段/强度/范围识别及对应检验评分、综合评分的全链条功能模块。系统全面实现国省两级指导产品下发、可视化展示、省级订正产品上传的交互流程，并基于业务规定建立历史与实时预测检验机制，完成强降水、高温预测-检验闭环管理及强降温过程全流程业务化运行，支撑次季节重要过程预测的标准化与自动化。</w:t>
      </w:r>
    </w:p>
    <w:p>
      <w:pPr>
        <w:pStyle w:val="ListParagraph"/>
        <w:keepNext/>
        <w:keepLines/>
        <w:numPr>
          <w:ilvl w:val="0"/>
          <w:numId w:val="11"/>
        </w:numPr>
        <w:spacing w:before="280" w:after="290" w:line="376" w:lineRule="auto"/>
        <w:ind w:firstLineChars="0"/>
        <w:outlineLvl w:val="4"/>
        <w:rPr>
          <w:b/>
          <w:bCs/>
          <w:vanish/>
          <w:sz w:val="28"/>
          <w:szCs w:val="28"/>
        </w:rPr>
      </w:pPr>
    </w:p>
    <w:p>
      <w:pPr>
        <w:pStyle w:val="ListParagraph"/>
        <w:keepNext/>
        <w:keepLines/>
        <w:numPr>
          <w:ilvl w:val="1"/>
          <w:numId w:val="11"/>
        </w:numPr>
        <w:spacing w:before="280" w:after="290" w:line="376" w:lineRule="auto"/>
        <w:ind w:firstLineChars="0"/>
        <w:outlineLvl w:val="4"/>
        <w:rPr>
          <w:b/>
          <w:bCs/>
          <w:vanish/>
          <w:sz w:val="28"/>
          <w:szCs w:val="28"/>
        </w:rPr>
      </w:pPr>
    </w:p>
    <w:p>
      <w:pPr>
        <w:pStyle w:val="ListParagraph"/>
        <w:keepNext/>
        <w:keepLines/>
        <w:numPr>
          <w:ilvl w:val="1"/>
          <w:numId w:val="11"/>
        </w:numPr>
        <w:spacing w:before="280" w:after="290" w:line="376" w:lineRule="auto"/>
        <w:ind w:firstLineChars="0"/>
        <w:outlineLvl w:val="4"/>
        <w:rPr>
          <w:b/>
          <w:bCs/>
          <w:vanish/>
          <w:sz w:val="28"/>
          <w:szCs w:val="28"/>
        </w:rPr>
      </w:pPr>
    </w:p>
    <w:p>
      <w:pPr>
        <w:pStyle w:val="ListParagraph"/>
        <w:keepNext/>
        <w:keepLines/>
        <w:numPr>
          <w:ilvl w:val="1"/>
          <w:numId w:val="11"/>
        </w:numPr>
        <w:spacing w:before="280" w:after="290" w:line="376" w:lineRule="auto"/>
        <w:ind w:firstLineChars="0"/>
        <w:outlineLvl w:val="4"/>
        <w:rPr>
          <w:b/>
          <w:bCs/>
          <w:vanish/>
          <w:sz w:val="28"/>
          <w:szCs w:val="28"/>
        </w:rPr>
      </w:pPr>
    </w:p>
    <w:p>
      <w:pPr>
        <w:pStyle w:val="ListParagraph"/>
        <w:keepNext/>
        <w:keepLines/>
        <w:numPr>
          <w:ilvl w:val="1"/>
          <w:numId w:val="11"/>
        </w:numPr>
        <w:spacing w:before="280" w:after="290" w:line="376" w:lineRule="auto"/>
        <w:ind w:firstLineChars="0"/>
        <w:outlineLvl w:val="4"/>
        <w:rPr>
          <w:b/>
          <w:bCs/>
          <w:vanish/>
          <w:sz w:val="28"/>
          <w:szCs w:val="28"/>
        </w:rPr>
      </w:pPr>
    </w:p>
    <w:p>
      <w:pPr>
        <w:pStyle w:val="ListParagraph"/>
        <w:keepNext/>
        <w:keepLines/>
        <w:numPr>
          <w:ilvl w:val="2"/>
          <w:numId w:val="11"/>
        </w:numPr>
        <w:spacing w:before="280" w:after="290" w:line="376" w:lineRule="auto"/>
        <w:ind w:firstLineChars="0"/>
        <w:outlineLvl w:val="4"/>
        <w:rPr>
          <w:b/>
          <w:bCs/>
          <w:vanish/>
          <w:sz w:val="28"/>
          <w:szCs w:val="28"/>
        </w:rPr>
      </w:pPr>
    </w:p>
    <w:p>
      <w:pPr>
        <w:pStyle w:val="ListParagraph"/>
        <w:keepNext/>
        <w:keepLines/>
        <w:numPr>
          <w:ilvl w:val="3"/>
          <w:numId w:val="11"/>
        </w:numPr>
        <w:spacing w:before="280" w:after="290" w:line="376" w:lineRule="auto"/>
        <w:ind w:firstLineChars="0"/>
        <w:outlineLvl w:val="4"/>
        <w:rPr>
          <w:b/>
          <w:bCs/>
          <w:vanish/>
          <w:sz w:val="28"/>
          <w:szCs w:val="28"/>
        </w:rPr>
      </w:pPr>
    </w:p>
    <w:p>
      <w:pPr>
        <w:pStyle w:val="ListParagraph"/>
        <w:keepNext/>
        <w:keepLines/>
        <w:numPr>
          <w:ilvl w:val="3"/>
          <w:numId w:val="11"/>
        </w:numPr>
        <w:spacing w:before="280" w:after="290" w:line="376" w:lineRule="auto"/>
        <w:ind w:firstLineChars="0"/>
        <w:outlineLvl w:val="4"/>
        <w:rPr>
          <w:b/>
          <w:bCs/>
          <w:vanish/>
          <w:sz w:val="28"/>
          <w:szCs w:val="28"/>
        </w:rPr>
      </w:pPr>
    </w:p>
    <w:p>
      <w:pPr>
        <w:pStyle w:val="Heading5"/>
        <w:numPr>
          <w:ilvl w:val="4"/>
          <w:numId w:val="11"/>
        </w:numPr>
      </w:pPr>
      <w:r>
        <w:t>次季节强降水过程预测和检验</w:t>
      </w:r>
      <w:r>
        <w:rPr>
          <w:rFonts w:hint="eastAsia"/>
        </w:rPr>
        <w:t>模块</w:t>
      </w:r>
    </w:p>
    <w:p>
      <w:pPr>
        <w:ind w:firstLine="420" w:firstLineChars="200"/>
      </w:pPr>
      <w:r>
        <w:t>次季节强降水过程预测和检验</w:t>
      </w:r>
      <w:r>
        <w:rPr>
          <w:rFonts w:hint="eastAsia"/>
        </w:rPr>
        <w:t>模块包括强降水过程客观识别功能、强降水过程历史查询功能、国省两级强降水过程监测功能、智能网格数据订正处理功能、国省强降水过程预测功能、国省过程预测数据传输功能、预测数据交互订正功能、国省过程预测实时检验功能、历史预测评分查询统计功能等9个功能点。</w:t>
      </w:r>
    </w:p>
    <w:p>
      <w:pPr>
        <w:pStyle w:val="Heading6"/>
        <w:numPr>
          <w:ilvl w:val="5"/>
          <w:numId w:val="11"/>
        </w:numPr>
      </w:pPr>
      <w:r>
        <w:rPr>
          <w:rFonts w:hint="eastAsia"/>
        </w:rPr>
        <w:t>强降水过程客观识别</w:t>
      </w:r>
    </w:p>
    <w:p>
      <w:pPr>
        <w:ind w:firstLine="420" w:firstLineChars="200"/>
      </w:pPr>
      <w:r>
        <w:rPr>
          <w:rFonts w:hint="eastAsia"/>
        </w:rPr>
        <w:t>实现基于网格数据的强降水过程客观动态识别算法。利用气象信息中心中国陆面再分析降水数据，针对不同阈值，给出全国及分省强降水过程开始（结束）日期、持续日数、影响范围和强度的历史数据集。</w:t>
      </w:r>
    </w:p>
    <w:p>
      <w:pPr>
        <w:pStyle w:val="Heading6"/>
        <w:numPr>
          <w:ilvl w:val="5"/>
          <w:numId w:val="11"/>
        </w:numPr>
      </w:pPr>
      <w:r>
        <w:rPr>
          <w:rFonts w:hint="eastAsia"/>
        </w:rPr>
        <w:t>强降水过程历史查询</w:t>
      </w:r>
    </w:p>
    <w:p>
      <w:pPr>
        <w:ind w:firstLine="420" w:firstLineChars="200"/>
      </w:pPr>
      <w:r>
        <w:rPr>
          <w:rFonts w:hint="eastAsia"/>
        </w:rPr>
        <w:t>根据不同等级强降水过程阈值，实现全国及分省强降水过程历史数据的查询、统计和图形展示功能。</w:t>
      </w:r>
    </w:p>
    <w:p>
      <w:pPr>
        <w:pStyle w:val="Heading6"/>
        <w:numPr>
          <w:ilvl w:val="5"/>
          <w:numId w:val="11"/>
        </w:numPr>
      </w:pPr>
      <w:r>
        <w:rPr>
          <w:rFonts w:hint="eastAsia"/>
        </w:rPr>
        <w:t>国省两级强降水过程监测</w:t>
      </w:r>
    </w:p>
    <w:p>
      <w:pPr>
        <w:ind w:firstLine="420" w:firstLineChars="200"/>
      </w:pPr>
      <w:r>
        <w:rPr>
          <w:rFonts w:hint="eastAsia"/>
        </w:rPr>
        <w:t>基于降水再分析数据，实现全国及分省强降水过程的实时动态监测和图形展示功能。</w:t>
      </w:r>
    </w:p>
    <w:p>
      <w:pPr>
        <w:pStyle w:val="Heading6"/>
        <w:numPr>
          <w:ilvl w:val="5"/>
          <w:numId w:val="11"/>
        </w:numPr>
      </w:pPr>
      <w:r>
        <w:rPr>
          <w:rFonts w:hint="eastAsia"/>
        </w:rPr>
        <w:t>智能网格数据订正处理</w:t>
      </w:r>
    </w:p>
    <w:p>
      <w:pPr>
        <w:ind w:firstLine="420" w:firstLineChars="200"/>
      </w:pPr>
      <w:r>
        <w:rPr>
          <w:rFonts w:hint="eastAsia"/>
        </w:rPr>
        <w:t>利用基于物理约束的非参数概率映射订正算法，对未来60天智能网格预测数据进行订正，形成历史和实时订正预测数据。</w:t>
      </w:r>
    </w:p>
    <w:p>
      <w:pPr>
        <w:pStyle w:val="Heading6"/>
        <w:numPr>
          <w:ilvl w:val="5"/>
          <w:numId w:val="11"/>
        </w:numPr>
      </w:pPr>
      <w:r>
        <w:rPr>
          <w:rFonts w:hint="eastAsia"/>
        </w:rPr>
        <w:t>国省强降水过程预测</w:t>
      </w:r>
    </w:p>
    <w:p>
      <w:pPr>
        <w:ind w:firstLine="420" w:firstLineChars="200"/>
      </w:pPr>
      <w:r>
        <w:rPr>
          <w:rFonts w:hint="eastAsia"/>
        </w:rPr>
        <w:t>针对全国和各省（区、市），基于智能网格逐日预测数据和强降水过程客观识别算法，给出未来60天强降水过程预测产品，包括发生频次、每次过程的开始、结束日期和持续日数、覆盖范围和强度，实时动态展示，并且生成相应的网格预测数据。</w:t>
      </w:r>
    </w:p>
    <w:p>
      <w:pPr>
        <w:pStyle w:val="Heading6"/>
        <w:numPr>
          <w:ilvl w:val="5"/>
          <w:numId w:val="11"/>
        </w:numPr>
      </w:pPr>
      <w:r>
        <w:rPr>
          <w:rFonts w:hint="eastAsia"/>
        </w:rPr>
        <w:t>国省过程预测数据传输</w:t>
      </w:r>
    </w:p>
    <w:p>
      <w:pPr>
        <w:ind w:firstLine="420" w:firstLineChars="200"/>
      </w:pPr>
      <w:r>
        <w:rPr>
          <w:rFonts w:hint="eastAsia"/>
        </w:rPr>
        <w:t>实现国家级次季节强降水过程指导预测网格数据的下发，包括全国和分省数据两种，以及省级订正预测数据的上传功能。</w:t>
      </w:r>
    </w:p>
    <w:p>
      <w:pPr>
        <w:pStyle w:val="Heading6"/>
        <w:numPr>
          <w:ilvl w:val="5"/>
          <w:numId w:val="11"/>
        </w:numPr>
      </w:pPr>
      <w:r>
        <w:rPr>
          <w:rFonts w:hint="eastAsia"/>
        </w:rPr>
        <w:t>预测数据交互订正</w:t>
      </w:r>
    </w:p>
    <w:p>
      <w:pPr>
        <w:ind w:firstLine="420" w:firstLineChars="200"/>
      </w:pPr>
      <w:r>
        <w:rPr>
          <w:rFonts w:hint="eastAsia"/>
        </w:rPr>
        <w:t>实现国省两级强降水过程预测网格数据的读取、查询、可视化、交互订正、编辑和输出功能。</w:t>
      </w:r>
    </w:p>
    <w:p>
      <w:pPr>
        <w:pStyle w:val="Heading6"/>
        <w:numPr>
          <w:ilvl w:val="5"/>
          <w:numId w:val="11"/>
        </w:numPr>
      </w:pPr>
      <w:r>
        <w:rPr>
          <w:rFonts w:hint="eastAsia"/>
        </w:rPr>
        <w:t>国省过程预测实时检验</w:t>
      </w:r>
    </w:p>
    <w:p>
      <w:pPr>
        <w:ind w:firstLine="420" w:firstLineChars="200"/>
      </w:pPr>
      <w:r>
        <w:rPr>
          <w:rFonts w:hint="eastAsia"/>
        </w:rPr>
        <w:t>针对国省两级强降水过程指导预测和发布预测实时数据，按照预测检验评分业务规定，生成过程次数、时段、范围和强度单项以及综合预测评分。</w:t>
      </w:r>
    </w:p>
    <w:p>
      <w:pPr>
        <w:pStyle w:val="Heading6"/>
        <w:numPr>
          <w:ilvl w:val="5"/>
          <w:numId w:val="11"/>
        </w:numPr>
      </w:pPr>
      <w:r>
        <w:rPr>
          <w:rFonts w:hint="eastAsia"/>
        </w:rPr>
        <w:t>历史预测评分查询统计</w:t>
      </w:r>
    </w:p>
    <w:p>
      <w:pPr>
        <w:ind w:firstLine="420" w:firstLineChars="200"/>
      </w:pPr>
      <w:r>
        <w:rPr>
          <w:rFonts w:hint="eastAsia"/>
        </w:rPr>
        <w:t>针对基于智能网格的强降水过程历史预测数据，以及国省两级业务单位指导和发布预测历史数据进行评分，实现历史预测评分的查询和统计分析功能。</w:t>
      </w:r>
    </w:p>
    <w:p>
      <w:pPr>
        <w:pStyle w:val="Heading6"/>
        <w:numPr>
          <w:ilvl w:val="5"/>
          <w:numId w:val="11"/>
        </w:numPr>
      </w:pPr>
      <w:r>
        <w:t>国省预测产品交互编辑与生成</w:t>
      </w:r>
    </w:p>
    <w:p>
      <w:pPr>
        <w:ind w:firstLine="420" w:firstLineChars="200"/>
      </w:pPr>
      <w:r>
        <w:t>针对未来60天强降水过程预测产品，支持省级用户对国家级下发的指导落区进行可视化交互编辑。重点支持对暴雨、大暴雨等级别的过程中心强度、覆盖范围边界及影响时段进行拖拽修订；自动关联流域水系与地形特征，一键生成符合本省防汛需求的强降水过程网格数据、暴雨落区专题图及包含过程累计雨量、极端性分析的文字预测报告。</w:t>
      </w:r>
    </w:p>
    <w:p>
      <w:pPr>
        <w:pStyle w:val="Heading6"/>
        <w:numPr>
          <w:ilvl w:val="5"/>
          <w:numId w:val="11"/>
        </w:numPr>
      </w:pPr>
      <w:r>
        <w:t>省级订正产品上传与智能评分</w:t>
      </w:r>
    </w:p>
    <w:p>
      <w:pPr>
        <w:ind w:firstLine="420" w:firstLineChars="200"/>
      </w:pPr>
      <w:r>
        <w:t>提供省级强降水订正产品的标准化上传接口。系统自动解析上传的网格及矢量数据，开展过程频次、起止时间、影响范围及中心强度的四维检验。</w:t>
      </w:r>
    </w:p>
    <w:p>
      <w:pPr>
        <w:pStyle w:val="Heading5"/>
        <w:numPr>
          <w:ilvl w:val="4"/>
          <w:numId w:val="11"/>
        </w:numPr>
      </w:pPr>
      <w:r>
        <w:t>次季节高温过程预测和检验</w:t>
      </w:r>
      <w:r>
        <w:rPr>
          <w:rFonts w:hint="eastAsia"/>
        </w:rPr>
        <w:t>模块</w:t>
      </w:r>
    </w:p>
    <w:p>
      <w:pPr>
        <w:ind w:firstLine="420" w:firstLineChars="200"/>
      </w:pPr>
      <w:r>
        <w:t>次季节高温过程预测和检验</w:t>
      </w:r>
      <w:r>
        <w:rPr>
          <w:rFonts w:hint="eastAsia"/>
        </w:rPr>
        <w:t>模块包含高温过程预测识别功能、高温过程预测订正功能、高温热指数预测功能、过程预测智能输出功能、高温过程预测产品功能、高温过程时间检验功能、高温过程范围检验功能、高温过程强度功能检验、高温过程实时检验功能、高温过程检验统计功能等10个功能点。</w:t>
      </w:r>
    </w:p>
    <w:p>
      <w:pPr>
        <w:pStyle w:val="Heading6"/>
        <w:numPr>
          <w:ilvl w:val="5"/>
          <w:numId w:val="11"/>
        </w:numPr>
      </w:pPr>
      <w:r>
        <w:rPr>
          <w:rFonts w:hint="eastAsia"/>
        </w:rPr>
        <w:t>高温过程预测识别</w:t>
      </w:r>
    </w:p>
    <w:p>
      <w:pPr>
        <w:ind w:firstLine="420" w:firstLineChars="200"/>
      </w:pPr>
      <w:r>
        <w:rPr>
          <w:rFonts w:hint="eastAsia"/>
        </w:rPr>
        <w:t>监测识别我国、省级主要高温过程，基于模式数据识别未来60天重要高温过程。</w:t>
      </w:r>
    </w:p>
    <w:p>
      <w:pPr>
        <w:pStyle w:val="Heading6"/>
        <w:numPr>
          <w:ilvl w:val="5"/>
          <w:numId w:val="11"/>
        </w:numPr>
      </w:pPr>
      <w:r>
        <w:rPr>
          <w:rFonts w:hint="eastAsia"/>
        </w:rPr>
        <w:t>高温过程预测订正</w:t>
      </w:r>
    </w:p>
    <w:p>
      <w:pPr>
        <w:ind w:firstLine="420" w:firstLineChars="200"/>
      </w:pPr>
      <w:r>
        <w:rPr>
          <w:rFonts w:hint="eastAsia"/>
        </w:rPr>
        <w:t>对多个模式、智能网格数据等数据源的日最高气温进行统计和概率方法订正，提升高温过程次季节预测准确率。</w:t>
      </w:r>
    </w:p>
    <w:p>
      <w:pPr>
        <w:pStyle w:val="Heading6"/>
        <w:numPr>
          <w:ilvl w:val="5"/>
          <w:numId w:val="11"/>
        </w:numPr>
      </w:pPr>
      <w:r>
        <w:rPr>
          <w:rFonts w:hint="eastAsia"/>
        </w:rPr>
        <w:t>高温热指数预测</w:t>
      </w:r>
    </w:p>
    <w:p>
      <w:pPr>
        <w:ind w:firstLine="420" w:firstLineChars="200"/>
      </w:pPr>
      <w:r>
        <w:rPr>
          <w:rFonts w:hint="eastAsia"/>
        </w:rPr>
        <w:t>基于模式日最高气温和相对湿度预测，计算热指数并预测未来60天热指数、高温、湿度、干热、湿热分布。</w:t>
      </w:r>
    </w:p>
    <w:p>
      <w:pPr>
        <w:pStyle w:val="Heading6"/>
        <w:numPr>
          <w:ilvl w:val="5"/>
          <w:numId w:val="11"/>
        </w:numPr>
      </w:pPr>
      <w:r>
        <w:rPr>
          <w:rFonts w:hint="eastAsia"/>
        </w:rPr>
        <w:t>过程预测智能输出</w:t>
      </w:r>
    </w:p>
    <w:p>
      <w:pPr>
        <w:ind w:firstLine="420" w:firstLineChars="200"/>
      </w:pPr>
      <w:r>
        <w:rPr>
          <w:rFonts w:hint="eastAsia"/>
        </w:rPr>
        <w:t>基于高温预测数据，输出未来60天我国、省级主要高温过程的起止日期、持续时间、影响范围及主要区域、最大强度等文字产品。输出高温过程预测文字、网格数据和图形产品，下发省级。制作省级可编辑预测数据功能。输出北京地区夏季高温强度、极端最高气温、高温日数及高温过程次季节预测文字。</w:t>
      </w:r>
    </w:p>
    <w:p>
      <w:pPr>
        <w:pStyle w:val="Heading6"/>
        <w:numPr>
          <w:ilvl w:val="5"/>
          <w:numId w:val="11"/>
        </w:numPr>
      </w:pPr>
      <w:r>
        <w:rPr>
          <w:rFonts w:hint="eastAsia"/>
        </w:rPr>
        <w:t>高温过程预测产品</w:t>
      </w:r>
    </w:p>
    <w:p>
      <w:pPr>
        <w:ind w:firstLine="420" w:firstLineChars="200"/>
      </w:pPr>
      <w:r>
        <w:rPr>
          <w:rFonts w:hint="eastAsia"/>
        </w:rPr>
        <w:t>输出高温日数、高温累计强度和最大强度、高温影响面积和最大面积等客观图形产品。输出北京地区夏季高温强度、极端最高气温、高温日数及高温过程次季节预测图形产品。</w:t>
      </w:r>
    </w:p>
    <w:p>
      <w:pPr>
        <w:pStyle w:val="Heading6"/>
        <w:numPr>
          <w:ilvl w:val="5"/>
          <w:numId w:val="11"/>
        </w:numPr>
      </w:pPr>
      <w:r>
        <w:rPr>
          <w:rFonts w:hint="eastAsia"/>
        </w:rPr>
        <w:t>高温过程时间检验</w:t>
      </w:r>
    </w:p>
    <w:p>
      <w:pPr>
        <w:ind w:firstLine="420" w:firstLineChars="200"/>
      </w:pPr>
      <w:r>
        <w:rPr>
          <w:rFonts w:hint="eastAsia"/>
        </w:rPr>
        <w:t>对高温过程开始日期和结束日期相差天数、持续时间指标进行检验，计算评分。</w:t>
      </w:r>
    </w:p>
    <w:p>
      <w:pPr>
        <w:pStyle w:val="Heading6"/>
        <w:numPr>
          <w:ilvl w:val="5"/>
          <w:numId w:val="11"/>
        </w:numPr>
      </w:pPr>
      <w:r>
        <w:rPr>
          <w:rFonts w:hint="eastAsia"/>
        </w:rPr>
        <w:t>高温过程范围检验</w:t>
      </w:r>
    </w:p>
    <w:p>
      <w:pPr>
        <w:ind w:firstLine="420" w:firstLineChars="200"/>
      </w:pPr>
      <w:r>
        <w:rPr>
          <w:rFonts w:hint="eastAsia"/>
        </w:rPr>
        <w:t>对高温过程范围指标进行检验，计算评分。</w:t>
      </w:r>
    </w:p>
    <w:p>
      <w:pPr>
        <w:pStyle w:val="Heading6"/>
        <w:numPr>
          <w:ilvl w:val="5"/>
          <w:numId w:val="11"/>
        </w:numPr>
      </w:pPr>
      <w:r>
        <w:rPr>
          <w:rFonts w:hint="eastAsia"/>
        </w:rPr>
        <w:t>高温过程强度模块</w:t>
      </w:r>
    </w:p>
    <w:p>
      <w:pPr>
        <w:ind w:firstLine="420" w:firstLineChars="200"/>
      </w:pPr>
      <w:r>
        <w:rPr>
          <w:rFonts w:hint="eastAsia"/>
        </w:rPr>
        <w:t>对高温过程强度指标进行检验，计算评分。</w:t>
      </w:r>
    </w:p>
    <w:p>
      <w:pPr>
        <w:pStyle w:val="Heading6"/>
        <w:numPr>
          <w:ilvl w:val="5"/>
          <w:numId w:val="11"/>
        </w:numPr>
      </w:pPr>
      <w:r>
        <w:rPr>
          <w:rFonts w:hint="eastAsia"/>
        </w:rPr>
        <w:t>高温过程实时检验</w:t>
      </w:r>
    </w:p>
    <w:p>
      <w:pPr>
        <w:ind w:firstLine="420" w:firstLineChars="200"/>
      </w:pPr>
      <w:r>
        <w:rPr>
          <w:rFonts w:hint="eastAsia"/>
        </w:rPr>
        <w:t>研发上传和收集功能，收集国家级、省级高温预测数据，对逐日起报高温过程进行检验，逐日计算单项指标和综合评分，对省级和国家级进行评分。</w:t>
      </w:r>
    </w:p>
    <w:p>
      <w:pPr>
        <w:pStyle w:val="Heading6"/>
        <w:numPr>
          <w:ilvl w:val="5"/>
          <w:numId w:val="11"/>
        </w:numPr>
      </w:pPr>
      <w:r>
        <w:rPr>
          <w:rFonts w:hint="eastAsia"/>
        </w:rPr>
        <w:t>高温过程检验统计</w:t>
      </w:r>
    </w:p>
    <w:p>
      <w:pPr>
        <w:ind w:firstLine="420" w:firstLineChars="200"/>
      </w:pPr>
      <w:r>
        <w:rPr>
          <w:rFonts w:hint="eastAsia"/>
        </w:rPr>
        <w:t>对国家级、省级每个高温过程进行检验，计算不同超前时间单项指标和综合评分，对省级和国家级进行评分。</w:t>
      </w:r>
    </w:p>
    <w:p>
      <w:pPr>
        <w:pStyle w:val="Heading6"/>
        <w:numPr>
          <w:ilvl w:val="5"/>
          <w:numId w:val="11"/>
        </w:numPr>
      </w:pPr>
      <w:r>
        <w:t>国省预测产品交互编辑与生成</w:t>
      </w:r>
    </w:p>
    <w:p>
      <w:pPr>
        <w:ind w:firstLine="420" w:firstLineChars="200"/>
      </w:pPr>
      <w:r>
        <w:t>针对未来60天高温过程预测产品，支持省级用户对国家级指导产品进行精细化交互编辑。重点支持对高温过程起止日期的调整、37℃/40℃等高影响温度线的范围修订，以及热指数（Heat Index）分布区的微调；结合本省承灾体分布特征，自动生成高温过程持续日数预报图、极端最高气温预报图及面向能源、健康领域的决策服务文字材料。</w:t>
      </w:r>
    </w:p>
    <w:p>
      <w:pPr>
        <w:pStyle w:val="Heading6"/>
        <w:numPr>
          <w:ilvl w:val="5"/>
          <w:numId w:val="11"/>
        </w:numPr>
      </w:pPr>
      <w:r>
        <w:t>省级订正产品上传与智能评分</w:t>
      </w:r>
    </w:p>
    <w:p>
      <w:pPr>
        <w:ind w:firstLine="420" w:firstLineChars="200"/>
      </w:pPr>
      <w:r>
        <w:t>提供省级高温订正产品的上传通道。系统自动对比省级订正产品与国家级指导产品、实况数据，重点针对高温过程开始/结束日期偏差、影响范围覆盖率及极端最高气温误差进行量化检验。</w:t>
      </w:r>
    </w:p>
    <w:p>
      <w:pPr>
        <w:pStyle w:val="Heading5"/>
        <w:numPr>
          <w:ilvl w:val="4"/>
          <w:numId w:val="11"/>
        </w:numPr>
      </w:pPr>
      <w:r>
        <w:t>次季节强降温过程预测和检验</w:t>
      </w:r>
      <w:r>
        <w:rPr>
          <w:rFonts w:hint="eastAsia"/>
        </w:rPr>
        <w:t>模块</w:t>
      </w:r>
    </w:p>
    <w:p>
      <w:pPr>
        <w:ind w:firstLine="420" w:firstLineChars="200"/>
      </w:pPr>
      <w:r>
        <w:t>次季节强降温过程预测和检验</w:t>
      </w:r>
      <w:r>
        <w:rPr>
          <w:rFonts w:hint="eastAsia"/>
        </w:rPr>
        <w:t>模块包含次季节气温网格监测预测数据预处理功能、强降温过程次数识别功能、强降温过程时段识别功能、强降温过程强度识别功能、强降温过程范围识别功能、强降温过程次数检验评分功能、强降温过程时段检验评分功能、强降温过程强度检验评分功能、强降温过程范围检验评分功能、强降温过程综合评分功能等10个功能点。</w:t>
      </w:r>
    </w:p>
    <w:p>
      <w:pPr>
        <w:pStyle w:val="Heading6"/>
        <w:numPr>
          <w:ilvl w:val="5"/>
          <w:numId w:val="11"/>
        </w:numPr>
      </w:pPr>
      <w:r>
        <w:rPr>
          <w:rFonts w:hint="eastAsia"/>
        </w:rPr>
        <w:t>次季节气温网格监测预测数据预处理</w:t>
      </w:r>
    </w:p>
    <w:p>
      <w:pPr>
        <w:ind w:firstLine="420" w:firstLineChars="200"/>
      </w:pPr>
      <w:r>
        <w:t>提供多源数据（观测、数值模式和智能网格预测数据）的自动下载、接入和监控，完成NCEP向NOAA CORe再分析数据的切换，新增OIr卫星辐射数据的接入。实现数据缓存和断点续传。数据解码、格式标准化。时空匹配与重采样。对观测和模式数据进行极端值、一致性等质量控制。</w:t>
      </w:r>
    </w:p>
    <w:p>
      <w:pPr>
        <w:pStyle w:val="Heading6"/>
        <w:numPr>
          <w:ilvl w:val="5"/>
          <w:numId w:val="11"/>
        </w:numPr>
      </w:pPr>
      <w:r>
        <w:rPr>
          <w:rFonts w:hint="eastAsia"/>
        </w:rPr>
        <w:t>强降温过程次数识别</w:t>
      </w:r>
    </w:p>
    <w:p>
      <w:pPr>
        <w:ind w:firstLine="420" w:firstLineChars="200"/>
      </w:pPr>
      <w:r>
        <w:rPr>
          <w:rFonts w:hint="eastAsia"/>
        </w:rPr>
        <w:t>实现强降温过程次数识别算法以及次数预测产品的输出功能。</w:t>
      </w:r>
    </w:p>
    <w:p>
      <w:pPr>
        <w:pStyle w:val="Heading6"/>
        <w:numPr>
          <w:ilvl w:val="5"/>
          <w:numId w:val="11"/>
        </w:numPr>
      </w:pPr>
      <w:r>
        <w:rPr>
          <w:rFonts w:hint="eastAsia"/>
        </w:rPr>
        <w:t>强降温过程时段识别</w:t>
      </w:r>
    </w:p>
    <w:p>
      <w:pPr>
        <w:ind w:firstLine="420" w:firstLineChars="200"/>
      </w:pPr>
      <w:r>
        <w:rPr>
          <w:rFonts w:hint="eastAsia"/>
        </w:rPr>
        <w:t>实现强降温过程时段识别算法以及时段预测产品的输出功能。</w:t>
      </w:r>
    </w:p>
    <w:p>
      <w:pPr>
        <w:pStyle w:val="Heading6"/>
        <w:numPr>
          <w:ilvl w:val="5"/>
          <w:numId w:val="11"/>
        </w:numPr>
      </w:pPr>
      <w:r>
        <w:rPr>
          <w:rFonts w:hint="eastAsia"/>
        </w:rPr>
        <w:t>强降温过程强度识别</w:t>
      </w:r>
    </w:p>
    <w:p>
      <w:pPr>
        <w:ind w:firstLine="420" w:firstLineChars="200"/>
      </w:pPr>
      <w:r>
        <w:rPr>
          <w:rFonts w:hint="eastAsia"/>
        </w:rPr>
        <w:t>实现强降温过程强度识别算法以及强度预测产品的输出功能。</w:t>
      </w:r>
    </w:p>
    <w:p>
      <w:pPr>
        <w:pStyle w:val="Heading6"/>
        <w:numPr>
          <w:ilvl w:val="5"/>
          <w:numId w:val="11"/>
        </w:numPr>
      </w:pPr>
      <w:r>
        <w:rPr>
          <w:rFonts w:hint="eastAsia"/>
        </w:rPr>
        <w:t>强降温过程范围识别</w:t>
      </w:r>
    </w:p>
    <w:p>
      <w:pPr>
        <w:ind w:firstLine="420" w:firstLineChars="200"/>
      </w:pPr>
      <w:r>
        <w:rPr>
          <w:rFonts w:hint="eastAsia"/>
        </w:rPr>
        <w:t>实现强降温过程范围识别算法以及范围预测产品的输出功能。</w:t>
      </w:r>
    </w:p>
    <w:p>
      <w:pPr>
        <w:pStyle w:val="Heading6"/>
        <w:numPr>
          <w:ilvl w:val="5"/>
          <w:numId w:val="11"/>
        </w:numPr>
      </w:pPr>
      <w:r>
        <w:rPr>
          <w:rFonts w:hint="eastAsia"/>
        </w:rPr>
        <w:t>强降温过程次数检验评分</w:t>
      </w:r>
    </w:p>
    <w:p>
      <w:pPr>
        <w:ind w:firstLine="420" w:firstLineChars="200"/>
      </w:pPr>
      <w:r>
        <w:rPr>
          <w:rFonts w:hint="eastAsia"/>
        </w:rPr>
        <w:t>实现次数评分的阈值可调节功能，输出并存储各过程的次数单项评分结果。</w:t>
      </w:r>
    </w:p>
    <w:p>
      <w:pPr>
        <w:pStyle w:val="Heading6"/>
        <w:numPr>
          <w:ilvl w:val="5"/>
          <w:numId w:val="11"/>
        </w:numPr>
      </w:pPr>
      <w:r>
        <w:rPr>
          <w:rFonts w:hint="eastAsia"/>
        </w:rPr>
        <w:t>强降温过程时段检验评分</w:t>
      </w:r>
    </w:p>
    <w:p>
      <w:pPr>
        <w:ind w:firstLine="420" w:firstLineChars="200"/>
      </w:pPr>
      <w:r>
        <w:rPr>
          <w:rFonts w:hint="eastAsia"/>
        </w:rPr>
        <w:t>根据强降温过程的不同持续时间，能够自动调整评分过程中的预报与实况相差天数的阈值，输出并存储各过程的时段单项评分结果。</w:t>
      </w:r>
    </w:p>
    <w:p>
      <w:pPr>
        <w:pStyle w:val="Heading6"/>
        <w:numPr>
          <w:ilvl w:val="5"/>
          <w:numId w:val="11"/>
        </w:numPr>
      </w:pPr>
      <w:r>
        <w:rPr>
          <w:rFonts w:hint="eastAsia"/>
        </w:rPr>
        <w:t>强降温过程强度检验评分</w:t>
      </w:r>
    </w:p>
    <w:p>
      <w:pPr>
        <w:ind w:firstLine="420" w:firstLineChars="200"/>
      </w:pPr>
      <w:r>
        <w:rPr>
          <w:rFonts w:hint="eastAsia"/>
        </w:rPr>
        <w:t>实现强度评分的阈值可调节功能，输出并存储各过程的强度单项评分结果。</w:t>
      </w:r>
    </w:p>
    <w:p>
      <w:pPr>
        <w:pStyle w:val="Heading6"/>
        <w:numPr>
          <w:ilvl w:val="5"/>
          <w:numId w:val="11"/>
        </w:numPr>
      </w:pPr>
      <w:r>
        <w:rPr>
          <w:rFonts w:hint="eastAsia"/>
        </w:rPr>
        <w:t>强降温过程范围检验评分</w:t>
      </w:r>
    </w:p>
    <w:p>
      <w:pPr>
        <w:ind w:firstLine="420" w:firstLineChars="200"/>
      </w:pPr>
      <w:r>
        <w:rPr>
          <w:rFonts w:hint="eastAsia"/>
        </w:rPr>
        <w:t>实现强降温过程最大范围的判别功能，输出并存储各过程的范围单项评分结果。</w:t>
      </w:r>
    </w:p>
    <w:p>
      <w:pPr>
        <w:pStyle w:val="Heading6"/>
        <w:numPr>
          <w:ilvl w:val="5"/>
          <w:numId w:val="11"/>
        </w:numPr>
      </w:pPr>
      <w:r>
        <w:rPr>
          <w:rFonts w:hint="eastAsia"/>
        </w:rPr>
        <w:t>强降温过程综合评分</w:t>
      </w:r>
    </w:p>
    <w:p>
      <w:pPr>
        <w:ind w:firstLine="420" w:firstLineChars="200"/>
      </w:pPr>
      <w:r>
        <w:rPr>
          <w:rFonts w:hint="eastAsia"/>
        </w:rPr>
        <w:t>实现各单项评分的加权系数的可调节功能和加权后综合评分的计算。</w:t>
      </w:r>
    </w:p>
    <w:p>
      <w:pPr>
        <w:pStyle w:val="Heading6"/>
        <w:numPr>
          <w:ilvl w:val="5"/>
          <w:numId w:val="11"/>
        </w:numPr>
      </w:pPr>
      <w:r>
        <w:t>国省预测产品交互编辑与生成</w:t>
      </w:r>
    </w:p>
    <w:p>
      <w:pPr>
        <w:ind w:firstLine="420" w:firstLineChars="200"/>
      </w:pPr>
      <w:r>
        <w:t>针对未来60天强降温过程预测产品，支持省级用户对国家级指导产品进行交互式修订。重点支持对寒潮、强冷空气过程的降温幅度阈值调整、最低气温0℃/-10℃等关键等值线范围的划定，以及对过程持续日数的修正；结合地方防灾减灾需求，自动生成强降温过程幅度预报图、低温冻害风险预估图及农业防御建议文字产品。</w:t>
      </w:r>
    </w:p>
    <w:p>
      <w:pPr>
        <w:pStyle w:val="Heading6"/>
        <w:numPr>
          <w:ilvl w:val="5"/>
          <w:numId w:val="11"/>
        </w:numPr>
      </w:pPr>
      <w:r>
        <w:t>省级订正产品上传与智能评分</w:t>
      </w:r>
    </w:p>
    <w:p>
      <w:pPr>
        <w:ind w:firstLine="420" w:firstLineChars="200"/>
      </w:pPr>
      <w:r>
        <w:t>提供省级强降温订正产品的上传接口。系统基于预处理后的多源观测数据，对省级上传的产品进行全要素检验。重点评估过程次数吻合度、降温时段匹配度及极端低温范围准确率，支持根据过程持续时间自动调节检验阈值。</w:t>
      </w:r>
    </w:p>
    <w:p>
      <w:pPr>
        <w:pStyle w:val="Heading5"/>
        <w:numPr>
          <w:ilvl w:val="4"/>
          <w:numId w:val="11"/>
        </w:numPr>
      </w:pPr>
      <w:r>
        <w:rPr>
          <w:rFonts w:hint="eastAsia"/>
        </w:rPr>
        <w:t>海气关键指数监测模块</w:t>
      </w:r>
    </w:p>
    <w:p>
      <w:pPr>
        <w:ind w:firstLine="420" w:firstLineChars="200"/>
      </w:pPr>
      <w:r>
        <w:t>提供相对Nino3.4指数（RONI）及关键海温指数的自动采集、解析与动态监测。实现指数的实时计算、历史序列管理、距平分析及趋势可视化。支持指数产品与次季节强降水、高温过程的关联展示，为预报员研判海气相互作用及预测信号衰减提供定量化决策依据。</w:t>
      </w:r>
    </w:p>
    <w:p>
      <w:pPr>
        <w:pStyle w:val="Heading5"/>
        <w:numPr>
          <w:ilvl w:val="4"/>
          <w:numId w:val="11"/>
        </w:numPr>
      </w:pPr>
      <w:r>
        <w:rPr>
          <w:rFonts w:hint="eastAsia"/>
        </w:rPr>
        <w:t>北上台风指数监测与预测模块</w:t>
      </w:r>
    </w:p>
    <w:p>
      <w:pPr>
        <w:ind w:firstLine="420" w:firstLineChars="200"/>
      </w:pPr>
      <w:r>
        <w:t>本模块作为次季节关键环流监测与预测的专项扩展，聚焦于西北太平洋台风活动，特别是影响我国华东、华北及东北地区的“北上型”台风的实时监测、历史规律挖掘及次季节尺度预测。模块通过构建定量化的“北上台风指数”，打通从热带气旋活动到中高纬极端天气事件的预测链条，为强降水等灾害性天气的超前研判提供关键的环流背景依据。</w:t>
      </w:r>
    </w:p>
    <w:p>
      <w:pPr>
        <w:pStyle w:val="Heading5"/>
        <w:numPr>
          <w:ilvl w:val="4"/>
          <w:numId w:val="11"/>
        </w:numPr>
      </w:pPr>
      <w:r>
        <w:rPr>
          <w:rFonts w:hint="eastAsia"/>
        </w:rPr>
        <w:t>全球关键环流系统监测与诊断</w:t>
      </w:r>
    </w:p>
    <w:p>
      <w:pPr>
        <w:ind w:firstLine="420" w:firstLineChars="200"/>
      </w:pPr>
      <w:r>
        <w:t>聚焦于全球范围内对东亚及“一带一路”沿线气候具有重要影响的低频环流系统的实时监测与诊断。重点针对非洲季风系统、南亚高压、索马里越赤道气流及副热带高压等关键系统，基于高分辨率再分析资料和模式预测数据，开展多尺度动态监测、指数计算及异常特征分析，生成标准化的监测诊断产品，为研判全球气候异常成因及预测信号衰减提供定量化依据。</w:t>
      </w:r>
    </w:p>
    <w:p>
      <w:pPr>
        <w:pStyle w:val="Heading5"/>
        <w:numPr>
          <w:ilvl w:val="4"/>
          <w:numId w:val="11"/>
        </w:numPr>
      </w:pPr>
      <w:r>
        <w:rPr>
          <w:rFonts w:hint="eastAsia"/>
        </w:rPr>
        <w:t>年代际尺度预测模块</w:t>
      </w:r>
    </w:p>
    <w:p>
      <w:pPr>
        <w:ind w:firstLine="420" w:firstLineChars="200"/>
      </w:pPr>
      <w:r>
        <w:t>本模块基于模式产品，形成未来1年、未来2-5年平均、以及未来6-10年平均等全球地表气温、海表气温、海平面气压、降水、全球海冰异常网格预测产品和重要气候模态指数预测产品。</w:t>
      </w:r>
    </w:p>
    <w:p>
      <w:pPr>
        <w:pStyle w:val="Heading4"/>
        <w:numPr>
          <w:ilvl w:val="3"/>
          <w:numId w:val="7"/>
        </w:numPr>
      </w:pPr>
      <w:bookmarkStart w:id="63" w:name="_Toc15988"/>
      <w:r>
        <w:rPr>
          <w:rFonts w:hint="eastAsia"/>
        </w:rPr>
        <w:t>极端气候事件预测子系统</w:t>
      </w:r>
      <w:bookmarkEnd w:id="63"/>
    </w:p>
    <w:p>
      <w:pPr>
        <w:ind w:firstLine="420" w:firstLineChars="200"/>
      </w:pPr>
      <w:r>
        <w:t>研发人工智能与多模式相结合的概率预测方案，形成CMME-S2S各个模式和多模式集合原始输出的概率预测产品及AI订正集合概率预测产品；研发次季节全球极端事件预测方案，形成EFI指数预测、极端高温日数、干热浪日数、湿热浪日数等多种极端事件预测产品；基于高分辨率区域气候模式，研发多方案耦合动力降尺度方法，建立次季节精细化极端事件预测系统，形成中国区域气温、降水、极端气温、极端降水以及环流等多要素高分辨率预测产品，基于动力降尺度预测进一步研发高分辨率概率预报以及AI订正产品。通过自动化流程（前处理-计算-后处理-展示），形成标准化、可持续更新的多套集合预测产品体系，支撑气象、应急、农业、能源等领域的防灾减灾与适应性决策。系统包含人工智能与多模式相结合概率预测组件、次季节全球极端事件预测组件、多方案耦合动力降尺度预测组件3个核心组件。</w:t>
      </w:r>
    </w:p>
    <w:p>
      <w:pPr>
        <w:pStyle w:val="ListParagraph"/>
        <w:keepNext/>
        <w:keepLines/>
        <w:numPr>
          <w:ilvl w:val="3"/>
          <w:numId w:val="11"/>
        </w:numPr>
        <w:spacing w:before="280" w:after="290" w:line="376" w:lineRule="auto"/>
        <w:ind w:firstLineChars="0"/>
        <w:outlineLvl w:val="4"/>
        <w:rPr>
          <w:b/>
          <w:bCs/>
          <w:vanish/>
          <w:sz w:val="28"/>
          <w:szCs w:val="28"/>
        </w:rPr>
      </w:pPr>
    </w:p>
    <w:p>
      <w:pPr>
        <w:pStyle w:val="Heading5"/>
        <w:numPr>
          <w:ilvl w:val="4"/>
          <w:numId w:val="11"/>
        </w:numPr>
      </w:pPr>
      <w:r>
        <w:t>人工智能与多模式相结合概率预测</w:t>
      </w:r>
      <w:r>
        <w:rPr>
          <w:rFonts w:hint="eastAsia"/>
        </w:rPr>
        <w:t>组件</w:t>
      </w:r>
    </w:p>
    <w:p>
      <w:pPr>
        <w:ind w:firstLine="420" w:firstLineChars="200"/>
      </w:pPr>
      <w:r>
        <w:rPr>
          <w:rFonts w:hint="eastAsia"/>
        </w:rPr>
        <w:t>人</w:t>
      </w:r>
      <w:r>
        <w:t>工智能与多模式相结合全球概率预测</w:t>
      </w:r>
      <w:r>
        <w:rPr>
          <w:rFonts w:hint="eastAsia"/>
        </w:rPr>
        <w:t>模块</w:t>
      </w:r>
      <w:r>
        <w:t>包括全球多模式集合气温概率预测</w:t>
      </w:r>
      <w:r>
        <w:rPr>
          <w:rFonts w:hint="eastAsia"/>
        </w:rPr>
        <w:t>功能</w:t>
      </w:r>
      <w:r>
        <w:t>、全球多模式集合降水概率预测</w:t>
      </w:r>
      <w:r>
        <w:rPr>
          <w:rFonts w:hint="eastAsia"/>
        </w:rPr>
        <w:t>功能</w:t>
      </w:r>
      <w:r>
        <w:t>、AI订正集合全球气温概率预测</w:t>
      </w:r>
      <w:r>
        <w:rPr>
          <w:rFonts w:hint="eastAsia"/>
        </w:rPr>
        <w:t>功能</w:t>
      </w:r>
      <w:r>
        <w:t>、AI订正集合全球降水概率预测</w:t>
      </w:r>
      <w:r>
        <w:rPr>
          <w:rFonts w:hint="eastAsia"/>
        </w:rPr>
        <w:t>功能</w:t>
      </w:r>
      <w:r>
        <w:t>、全球概率预测历史检验</w:t>
      </w:r>
      <w:r>
        <w:rPr>
          <w:rFonts w:hint="eastAsia"/>
        </w:rPr>
        <w:t>功能</w:t>
      </w:r>
      <w:r>
        <w:t>、全球概率预测实时检验</w:t>
      </w:r>
      <w:r>
        <w:rPr>
          <w:rFonts w:hint="eastAsia"/>
        </w:rPr>
        <w:t>功能</w:t>
      </w:r>
      <w:r>
        <w:t>等6个</w:t>
      </w:r>
      <w:r>
        <w:rPr>
          <w:rFonts w:hint="eastAsia"/>
        </w:rPr>
        <w:t>模块</w:t>
      </w:r>
      <w:r>
        <w:t>。</w:t>
      </w:r>
    </w:p>
    <w:p>
      <w:pPr>
        <w:pStyle w:val="Heading6"/>
        <w:numPr>
          <w:ilvl w:val="5"/>
          <w:numId w:val="11"/>
        </w:numPr>
      </w:pPr>
      <w:r>
        <w:rPr>
          <w:rFonts w:hint="eastAsia"/>
        </w:rPr>
        <w:t>全球多模式集合气温概率预测模块</w:t>
      </w:r>
    </w:p>
    <w:p>
      <w:pPr>
        <w:ind w:firstLine="420" w:firstLineChars="200"/>
      </w:pPr>
      <w:r>
        <w:rPr>
          <w:rFonts w:hint="eastAsia"/>
        </w:rPr>
        <w:t>本模块以CMME-S2S多模式多成员的历史回报数据和实时预报数据为输入，其中多模式包括CMA-CPSv3、ECMWF、NCEP-CFSv2、Fgoals-f2等S2S尺度预测系统；首先基于各模式在历史回算期的逐日2米日平均气温（T2M）数据，按候、旬、月时间尺度分别计算全球格点上的气温三分位阈值（即33.3%和66.7%分位数），将气温分布划分为“偏低”、“正常”和“偏高”三个区间；随后，利用各模式当前发布的实时集合预报成员数据，统计每个格点上所有预报成员落在上述三个三分位区间的比例，从而生成对应时间尺度（候、旬、月）的全球气温三分位概率预测产品，输出为NetCDF格式的概率分布格点数据产品，包含三个类别各自的概率值，用于表征不同类别气温状态的可能性。</w:t>
      </w:r>
    </w:p>
    <w:p>
      <w:pPr>
        <w:pStyle w:val="Heading6"/>
        <w:numPr>
          <w:ilvl w:val="5"/>
          <w:numId w:val="11"/>
        </w:numPr>
      </w:pPr>
      <w:r>
        <w:rPr>
          <w:rFonts w:hint="eastAsia"/>
        </w:rPr>
        <w:t>全球多模式集合降水概率预测模块</w:t>
      </w:r>
    </w:p>
    <w:p>
      <w:pPr>
        <w:ind w:firstLine="420" w:firstLineChars="200"/>
      </w:pPr>
      <w:r>
        <w:rPr>
          <w:rFonts w:hint="eastAsia"/>
        </w:rPr>
        <w:t>本模块以CMME-S2S多模式多成员的历史回报数据和实时预报数据为输入，其中多模式包括CMA-CPSv3、ECMWF、NCEP-CFSv2、Fgoals-f2等S2S尺度预测系统；首先基于各模式在历史回算期的逐日累积降水数据，按候、旬、月时间尺度分别计算全球格点上的降水三分位阈值（即33.3%和66.7%分位数），将降水分布划分为“偏低”、“正常”和“偏高”三个区间；随后，利用各模式当前发布的实时集合预报成员数据，统计每个格点上所有预报成员落在上述三个三分位区间的比例，从而生成对应时间尺度（候、旬、月）的全球降水三分位概率预测产品，输出为NetCDF格式的概率分布格点数据产品，包含三个类别各自的概率值，用于表征不同类别降水状态的可能性。</w:t>
      </w:r>
    </w:p>
    <w:p>
      <w:pPr>
        <w:pStyle w:val="Heading6"/>
        <w:numPr>
          <w:ilvl w:val="5"/>
          <w:numId w:val="11"/>
        </w:numPr>
      </w:pPr>
      <w:r>
        <w:rPr>
          <w:rFonts w:hint="eastAsia"/>
        </w:rPr>
        <w:t xml:space="preserve"> AI订正集合全球气温概率预测模块</w:t>
      </w:r>
    </w:p>
    <w:p>
      <w:pPr>
        <w:ind w:firstLine="420" w:firstLineChars="200"/>
      </w:pPr>
      <w:r>
        <w:rPr>
          <w:rFonts w:hint="eastAsia"/>
        </w:rPr>
        <w:t>本模块以多个由数据驱动的次季节预测AI模型（如FuXi-S2S、FengShun1.5等）和ECMWF数值模式的原始周尺度全球2米气温预报场、环流场为输入，首先针对每个模型/模式分别构建基于深度学习算法（如SwinUNet架构）的误差订正网络：利用其层次化窗口注意力机制，有效捕捉气温场的空间非均匀偏差特征以及环流场对气温的影响，并结合历史同期观测/再分析（如ERA5再分析数据）进行训练，对各模型输出进行系统性偏差订正。随后，将所有订正后的预报场输入一个基于Transformer架构的多源融合模型，该模型通过动态学习不同模型在不同区域和时间下的权重，实现智能加权集合。最终，基于集合结果在历史回报样本中计算五分位阈值（20%、40%、60%、80%），统计实时预报成员落入“显著偏低”“偏低”“正常”“偏高”“显著偏高”五个区间的比例，生成周尺度全球气温五分位概率预测产品。</w:t>
      </w:r>
    </w:p>
    <w:p>
      <w:pPr>
        <w:pStyle w:val="Heading6"/>
        <w:numPr>
          <w:ilvl w:val="5"/>
          <w:numId w:val="11"/>
        </w:numPr>
      </w:pPr>
      <w:r>
        <w:rPr>
          <w:rFonts w:hint="eastAsia"/>
        </w:rPr>
        <w:t>AI订正集合全球降水概率预测模块</w:t>
      </w:r>
    </w:p>
    <w:p>
      <w:pPr>
        <w:ind w:firstLine="420" w:firstLineChars="200"/>
      </w:pPr>
      <w:r>
        <w:rPr>
          <w:rFonts w:hint="eastAsia"/>
        </w:rPr>
        <w:t>本模块以多个由数据驱动的次季节预测AI模型（如FuXi-S2S、FengShun1.5等）和ECMWF数值模式的原始周尺度全球降水预报场、环流场为输入，首先针对每个模型/模式分别构建基于深度学习算法（如SwinUNet架构）的误差订正网络：利用其层次化窗口注意力机制，有效捕捉降水的空间非均匀偏差特征以及环流场对降水的影响，并结合历史同期观测/再分析（如ERA5再分析数据）进行训练，对各模型输出进行系统性偏差订正。随后，将所有订正后的预报场输入一个基于Transformer架构的多源融合模型，该模型通过动态学习不同模型在不同区域和时间下的权重，实现智能加权集合。最终，基于集合结果在历史回报样本中计算五分位阈值（20%、40%、60%、80%），统计实时预报成员落入“显著偏低”“偏低”“正常”“偏高”“显著偏高”五个区间的比例，生成周尺度全球降水五分位概率预测产品。</w:t>
      </w:r>
    </w:p>
    <w:p>
      <w:pPr>
        <w:pStyle w:val="Heading6"/>
        <w:numPr>
          <w:ilvl w:val="5"/>
          <w:numId w:val="11"/>
        </w:numPr>
      </w:pPr>
      <w:r>
        <w:rPr>
          <w:rFonts w:hint="eastAsia"/>
        </w:rPr>
        <w:t>全球概率预测历史检验模块</w:t>
      </w:r>
    </w:p>
    <w:p>
      <w:pPr>
        <w:ind w:firstLine="420" w:firstLineChars="200"/>
      </w:pPr>
      <w:r>
        <w:rPr>
          <w:rFonts w:hint="eastAsia"/>
        </w:rPr>
        <w:t>本模块基于多模式集合气温与降水多年历史回报数据，以及经AI方法生成的订正后集合预测产品，构建系统性历史检验评估体系。针对两类概率预测产品：原始多模式集合（包括CMA-CPSv3、ECMWF、NCEP-CFSv2、Fgoals-f2等）与AI订正集合，分别计算其在候、旬、月及周尺度上的可靠性与预测技巧。主要采用相对作用特征曲线（ROC）评估不同阈值（如三分位、五分位）下“偏高”或“偏低”事件的判别能力，通过ROC曲线下面积量化整体分辨技巧；同时利用Ranked Probability Skill Score（RPSS）衡量概率预测相对于气候基准（如等概率参考）的综合改进程度，反映模型预测的准确性。评估结果按不同时间尺度进行统计分析，并生成相应图形产品或者NetCDF格式的全球格点化的历史回报检验数据产品，为概率预测产品的业务应用提供科学依据。</w:t>
      </w:r>
    </w:p>
    <w:p>
      <w:pPr>
        <w:pStyle w:val="Heading6"/>
        <w:numPr>
          <w:ilvl w:val="5"/>
          <w:numId w:val="11"/>
        </w:numPr>
      </w:pPr>
      <w:r>
        <w:rPr>
          <w:rFonts w:hint="eastAsia"/>
        </w:rPr>
        <w:t>全球概率预测实时检验模块</w:t>
      </w:r>
    </w:p>
    <w:p>
      <w:pPr>
        <w:ind w:firstLine="420" w:firstLineChars="200"/>
      </w:pPr>
      <w:r>
        <w:rPr>
          <w:rFonts w:hint="eastAsia"/>
        </w:rPr>
        <w:t>本模块基于多模式集合气温与降水实时预测数据，以及经AI方法生成的订正后集合预测产品，构建实时检验评估体系。针对两类概率预测产品：原始多模式集合（包括CMA-CPSv3、ECMWF、NCEP-CFSv2、Fgoals-f2等）与AI订正集合，分别计算其在候、旬、月及周尺度上的可靠性与预测技巧。主要采用相对作用特征曲线（ROC）评估不同阈值（如三分位、五分位）下“偏高”或“偏低”事件的判别能力，通过ROC曲线下面积量化整体分辨技巧；同时利用Ranked Probability Skill Score（RPSS）衡量概率预测相对于气候基准（如等概率参考）的综合改进程度，反映模型预测的准确性。评估结果按不同时间尺度进行统计分析，并生成相应图形产品或者NetCDF格式的全球格点化的实时预测检验数据产品。</w:t>
      </w:r>
    </w:p>
    <w:p>
      <w:pPr>
        <w:pStyle w:val="Heading5"/>
        <w:numPr>
          <w:ilvl w:val="4"/>
          <w:numId w:val="11"/>
        </w:numPr>
      </w:pPr>
      <w:r>
        <w:t>次季节全球极端事件预测</w:t>
      </w:r>
      <w:r>
        <w:rPr>
          <w:rFonts w:hint="eastAsia"/>
        </w:rPr>
        <w:t>组件</w:t>
      </w:r>
    </w:p>
    <w:p>
      <w:pPr>
        <w:ind w:firstLine="420" w:firstLineChars="200"/>
      </w:pPr>
      <w:r>
        <w:t>次季节全球极端事件预测</w:t>
      </w:r>
      <w:r>
        <w:rPr>
          <w:rFonts w:hint="eastAsia"/>
        </w:rPr>
        <w:t>模块</w:t>
      </w:r>
      <w:r>
        <w:t>包括极端事件预测误差订正</w:t>
      </w:r>
      <w:r>
        <w:rPr>
          <w:rFonts w:hint="eastAsia"/>
        </w:rPr>
        <w:t>功能</w:t>
      </w:r>
      <w:r>
        <w:t>、EFI指数预测</w:t>
      </w:r>
      <w:r>
        <w:rPr>
          <w:rFonts w:hint="eastAsia"/>
        </w:rPr>
        <w:t>功能</w:t>
      </w:r>
      <w:r>
        <w:t>、极端高温预测</w:t>
      </w:r>
      <w:r>
        <w:rPr>
          <w:rFonts w:hint="eastAsia"/>
        </w:rPr>
        <w:t>功能</w:t>
      </w:r>
      <w:r>
        <w:t>、干热浪预测</w:t>
      </w:r>
      <w:r>
        <w:rPr>
          <w:rFonts w:hint="eastAsia"/>
        </w:rPr>
        <w:t>功能</w:t>
      </w:r>
      <w:r>
        <w:t>、湿热浪预测</w:t>
      </w:r>
      <w:r>
        <w:rPr>
          <w:rFonts w:hint="eastAsia"/>
        </w:rPr>
        <w:t>功能</w:t>
      </w:r>
      <w:r>
        <w:t>、极端事件预测历史检验</w:t>
      </w:r>
      <w:r>
        <w:rPr>
          <w:rFonts w:hint="eastAsia"/>
        </w:rPr>
        <w:t>功能</w:t>
      </w:r>
      <w:r>
        <w:t>、极端事件预测实时检验</w:t>
      </w:r>
      <w:r>
        <w:rPr>
          <w:rFonts w:hint="eastAsia"/>
        </w:rPr>
        <w:t>功能</w:t>
      </w:r>
      <w:r>
        <w:t>等7个</w:t>
      </w:r>
      <w:r>
        <w:rPr>
          <w:rFonts w:hint="eastAsia"/>
        </w:rPr>
        <w:t>模块</w:t>
      </w:r>
      <w:r>
        <w:t>。</w:t>
      </w:r>
    </w:p>
    <w:p>
      <w:pPr>
        <w:pStyle w:val="Heading6"/>
        <w:numPr>
          <w:ilvl w:val="5"/>
          <w:numId w:val="11"/>
        </w:numPr>
      </w:pPr>
      <w:r>
        <w:rPr>
          <w:rFonts w:hint="eastAsia"/>
        </w:rPr>
        <w:t>极端事件预测误差订正模块</w:t>
      </w:r>
    </w:p>
    <w:p>
      <w:pPr>
        <w:ind w:firstLine="420" w:firstLineChars="200"/>
      </w:pPr>
      <w:r>
        <w:rPr>
          <w:rFonts w:hint="eastAsia"/>
        </w:rPr>
        <w:t>本模块以CRA40再分析数据、CMME-S2S多模式多成员的历史回报和实时预报数据为输入，其中多模式包括CMA-CPSv3、ECMWF、NCEP-CFSv2、Fgoals-f2等S2S尺度预测系统；首先基于各模式在历史回算期的逐日2米日平均气温（T2M）数据、日最高气温（Tmax）、相对湿度（RH），采用线性回归、概率映射等方法对再分析和模式数据进行预报偏差订正模型训练；然后，基于偏差订正模型对实时预报数据进行偏差订正，输出为NetCDF格式的各个变量的逐日网格数据产品，包括T2M、Tmax和RH。</w:t>
      </w:r>
    </w:p>
    <w:p>
      <w:pPr>
        <w:pStyle w:val="Heading6"/>
        <w:numPr>
          <w:ilvl w:val="5"/>
          <w:numId w:val="11"/>
        </w:numPr>
      </w:pPr>
      <w:r>
        <w:rPr>
          <w:rFonts w:hint="eastAsia"/>
        </w:rPr>
        <w:t>EFI指数预测模块</w:t>
      </w:r>
    </w:p>
    <w:p>
      <w:pPr>
        <w:ind w:firstLine="420" w:firstLineChars="200"/>
      </w:pPr>
      <w:r>
        <w:rPr>
          <w:rFonts w:hint="eastAsia"/>
        </w:rPr>
        <w:t>本模块以CMME-S2S多模式多成员的历史回报和实时预报数据为输入，其中多模式包括CMA-CPSv3、ECMWF、NCEP-CFSv2、Fgoals-f2等S2S尺度预测系统；首先基于各模式在历史回算期的逐日2米日平均气温（T2M）数据和降水数据（PREC），计算各变量在格点上的气候累积概率分布函数（CDF）；其次，基于实时预报数据计算CDF异常，并在此基础上计算得到逐日EFI指数；最后，基于逐日EFI指数，形成候、周、旬尺度全球气温、降水的EFI指数，输出为NetCDF格式的网格数据产品。</w:t>
      </w:r>
    </w:p>
    <w:p>
      <w:pPr>
        <w:pStyle w:val="Heading6"/>
        <w:numPr>
          <w:ilvl w:val="5"/>
          <w:numId w:val="11"/>
        </w:numPr>
      </w:pPr>
      <w:r>
        <w:rPr>
          <w:rFonts w:hint="eastAsia"/>
        </w:rPr>
        <w:t>极端高温预测模块</w:t>
      </w:r>
    </w:p>
    <w:p>
      <w:pPr>
        <w:ind w:firstLine="420" w:firstLineChars="200"/>
      </w:pPr>
      <w:r>
        <w:rPr>
          <w:rFonts w:hint="eastAsia"/>
        </w:rPr>
        <w:t>本模块以CMME-S2S多模式多成员的经误差订正后的数据为输入，其中多模式包括CMA-CPSv3、ECMWF、NCEP-CFSv2、Fgoals-f2等S2S尺度预测系统；首先基于各模式各个成员的逐日最高气温（Tmax），分别采用35℃相对阈值和95%百分位法，判断某格点气温是否属于高温，若为高温，则记为1，否则记为0，由此识别出某日的全球高温分布；然后，在候、周、旬尺度上统计各个格点的高温发生日数，形成候、周、旬尺度上的高温日数网格数据产品，输出为NetCDF格式。</w:t>
      </w:r>
    </w:p>
    <w:p>
      <w:pPr>
        <w:pStyle w:val="Heading6"/>
        <w:numPr>
          <w:ilvl w:val="5"/>
          <w:numId w:val="11"/>
        </w:numPr>
      </w:pPr>
      <w:r>
        <w:rPr>
          <w:rFonts w:hint="eastAsia"/>
        </w:rPr>
        <w:t>干热浪预测模块</w:t>
      </w:r>
    </w:p>
    <w:p>
      <w:pPr>
        <w:ind w:firstLine="420" w:firstLineChars="200"/>
      </w:pPr>
      <w:r>
        <w:rPr>
          <w:rFonts w:hint="eastAsia"/>
        </w:rPr>
        <w:t>本模块以CMME-S2S多模式多成员的经误差订正后的数据为输入，其中多模式包括CMA-CPSv3、ECMWF、NCEP-CFSv2、Fgoals-f2等S2S尺度预测系统；首先基于各模式各个成员的逐日最高气温（Tmax）和相对湿度（RH），若某格点气温高于35℃或超出90%百分位，同时相对湿度低于60%，则记为干热浪（用1表征），否则记为0，由此识别出某日的全球干热浪分布；然后，在候、周、旬尺度上统计各个格点的干热浪发生日数，形成候、周、旬尺度上的干热浪日数网格数据产品，输出为NetCDF格式。</w:t>
      </w:r>
    </w:p>
    <w:p>
      <w:pPr>
        <w:pStyle w:val="Heading6"/>
        <w:numPr>
          <w:ilvl w:val="5"/>
          <w:numId w:val="11"/>
        </w:numPr>
      </w:pPr>
      <w:r>
        <w:rPr>
          <w:rFonts w:hint="eastAsia"/>
        </w:rPr>
        <w:t>湿热浪预测模块</w:t>
      </w:r>
    </w:p>
    <w:p>
      <w:pPr>
        <w:ind w:firstLine="420" w:firstLineChars="200"/>
      </w:pPr>
      <w:r>
        <w:rPr>
          <w:rFonts w:hint="eastAsia"/>
        </w:rPr>
        <w:t>本模块以CMME-S2S多模式多成员的经误差订正后的数据为输入，其中多模式包括CMA-CPSv3、ECMWF、NCEP-CFSv2、Fgoals-f2等S2S尺度预测系统；首先基于各模式各个成员的逐日最高气温（Tmax）和相对湿度（RH），若某格点气温高于35℃或超出90%百分位，同时相对湿度&gt;60%，则记为湿热浪（用1表征），否则记为0，由此识别出某日的全球湿热浪分布；然后，在候、周、旬尺度上统计各个格点的湿热浪发生日数，形成候、周、旬尺度上的湿热浪日数网格数据产品，输出为NetCDF格式。</w:t>
      </w:r>
    </w:p>
    <w:p>
      <w:pPr>
        <w:pStyle w:val="Heading6"/>
        <w:numPr>
          <w:ilvl w:val="5"/>
          <w:numId w:val="11"/>
        </w:numPr>
      </w:pPr>
      <w:r>
        <w:rPr>
          <w:rFonts w:hint="eastAsia"/>
        </w:rPr>
        <w:t>极端事件预测历史检验模块</w:t>
      </w:r>
    </w:p>
    <w:p>
      <w:pPr>
        <w:ind w:firstLine="420" w:firstLineChars="200"/>
      </w:pPr>
      <w:r>
        <w:rPr>
          <w:rFonts w:hint="eastAsia"/>
        </w:rPr>
        <w:t>本模块以CRA40再分析数据、基于CMME-S2S多模式多成员形成的候、周、旬尺度上的EFI指数、高温日数、干热浪、湿热浪日数历史回报时期的预报产品为输入，其中多模式包括CMA-CPSv3、ECMWF、NCEP-CFSv2、Fgoals-f2等S2S尺度预测系统；首先基于CRA40再分析数据，分别计算得到历史回报时期观测中的候、周、旬尺度上的EFI指数、高温日数、干热浪、湿热浪日数；然后，基于观测和模式数据，计算以上极端事件的TCC、MSSS、TS、HR、FAR、ROC等历史检验评分，输出为NetCDF格式的网格数据产品，包括候、周和旬尺度上的EFI指数、高温日数、干热浪、湿热浪日数的历史检验数据产品。</w:t>
      </w:r>
    </w:p>
    <w:p>
      <w:pPr>
        <w:pStyle w:val="Heading6"/>
        <w:numPr>
          <w:ilvl w:val="5"/>
          <w:numId w:val="11"/>
        </w:numPr>
      </w:pPr>
      <w:r>
        <w:rPr>
          <w:rFonts w:hint="eastAsia"/>
        </w:rPr>
        <w:t>极端事件预测实时检验模块</w:t>
      </w:r>
    </w:p>
    <w:p>
      <w:pPr>
        <w:ind w:firstLine="420" w:firstLineChars="200"/>
      </w:pPr>
      <w:r>
        <w:rPr>
          <w:rFonts w:hint="eastAsia"/>
        </w:rPr>
        <w:t>本模块以CRA40再分析数据、基于CMME-S2S多模式多成员形成的候、周、旬尺度上的EFI指数、高温日数、干热浪、湿热浪日数实时预报产品为输入，其中多模式包括CMA-CPSv3、ECMWF、NCEP-CFSv2、Fgoals-f2等S2S尺度预测系统；首先基于CRA40再分析数据，分别计算得到实时预报时期观测中的候、周、旬尺度上的EFI指数、高温日数、干热浪、湿热浪日数；然后，基于观测和模式数据，计算以上极端事件的Ps、ACC、TS、HR、FAR、ROC等实时预报检验评分，输出为NetCDF格式的网格数据产品，包括候、周和旬尺度上的EFI指数、高温日数、干热浪、湿热浪日数的实时检验数据产品。</w:t>
      </w:r>
    </w:p>
    <w:p>
      <w:pPr>
        <w:pStyle w:val="Heading5"/>
        <w:numPr>
          <w:ilvl w:val="4"/>
          <w:numId w:val="11"/>
        </w:numPr>
      </w:pPr>
      <w:r>
        <w:t>多方案耦合动力降尺度预测</w:t>
      </w:r>
      <w:r>
        <w:rPr>
          <w:rFonts w:hint="eastAsia"/>
        </w:rPr>
        <w:t>组件</w:t>
      </w:r>
    </w:p>
    <w:p>
      <w:pPr>
        <w:ind w:firstLine="420" w:firstLineChars="200"/>
      </w:pPr>
      <w:r>
        <w:t>多方案耦合动力降尺度预测组件包括动力降尺度初值条件处理</w:t>
      </w:r>
      <w:r>
        <w:rPr>
          <w:rFonts w:hint="eastAsia"/>
        </w:rPr>
        <w:t>功能</w:t>
      </w:r>
      <w:r>
        <w:t>、动力降尺度边值条件处理</w:t>
      </w:r>
      <w:r>
        <w:rPr>
          <w:rFonts w:hint="eastAsia"/>
        </w:rPr>
        <w:t>功能</w:t>
      </w:r>
      <w:r>
        <w:t>、动力降尺度侧边界条件处理</w:t>
      </w:r>
      <w:r>
        <w:rPr>
          <w:rFonts w:hint="eastAsia"/>
        </w:rPr>
        <w:t>功能</w:t>
      </w:r>
      <w:r>
        <w:t>、动力降尺度预测两步法积分</w:t>
      </w:r>
      <w:r>
        <w:rPr>
          <w:rFonts w:hint="eastAsia"/>
        </w:rPr>
        <w:t>功能</w:t>
      </w:r>
      <w:r>
        <w:t>、动力降尺度预测三步法积分</w:t>
      </w:r>
      <w:r>
        <w:rPr>
          <w:rFonts w:hint="eastAsia"/>
        </w:rPr>
        <w:t>功能</w:t>
      </w:r>
      <w:r>
        <w:t>、动力降尺度预测海气耦合积分</w:t>
      </w:r>
      <w:r>
        <w:rPr>
          <w:rFonts w:hint="eastAsia"/>
        </w:rPr>
        <w:t>功能</w:t>
      </w:r>
      <w:r>
        <w:t>、动力降尺度后处理</w:t>
      </w:r>
      <w:r>
        <w:rPr>
          <w:rFonts w:hint="eastAsia"/>
        </w:rPr>
        <w:t>功能</w:t>
      </w:r>
      <w:r>
        <w:t>、动力降尺度多方案环流集合预测</w:t>
      </w:r>
      <w:r>
        <w:rPr>
          <w:rFonts w:hint="eastAsia"/>
        </w:rPr>
        <w:t>功能</w:t>
      </w:r>
      <w:r>
        <w:t>、动力降尺度降水AI订正</w:t>
      </w:r>
      <w:r>
        <w:rPr>
          <w:rFonts w:hint="eastAsia"/>
        </w:rPr>
        <w:t>功能</w:t>
      </w:r>
      <w:r>
        <w:t>、动力降尺度多方案气温集合预测</w:t>
      </w:r>
      <w:r>
        <w:rPr>
          <w:rFonts w:hint="eastAsia"/>
        </w:rPr>
        <w:t>功能</w:t>
      </w:r>
      <w:r>
        <w:t>、动力降尺度多方案降水集合预测</w:t>
      </w:r>
      <w:r>
        <w:rPr>
          <w:rFonts w:hint="eastAsia"/>
        </w:rPr>
        <w:t>功能</w:t>
      </w:r>
      <w:r>
        <w:t>、动力降尺度极端高温预测</w:t>
      </w:r>
      <w:r>
        <w:rPr>
          <w:rFonts w:hint="eastAsia"/>
        </w:rPr>
        <w:t>功能</w:t>
      </w:r>
      <w:r>
        <w:t>、动力降尺度极端降水预测</w:t>
      </w:r>
      <w:r>
        <w:rPr>
          <w:rFonts w:hint="eastAsia"/>
        </w:rPr>
        <w:t>功能</w:t>
      </w:r>
      <w:r>
        <w:t>、动力降尺度预测历史检验</w:t>
      </w:r>
      <w:r>
        <w:rPr>
          <w:rFonts w:hint="eastAsia"/>
        </w:rPr>
        <w:t>功能</w:t>
      </w:r>
      <w:r>
        <w:t>、动力降尺度预测实时检验</w:t>
      </w:r>
      <w:r>
        <w:rPr>
          <w:rFonts w:hint="eastAsia"/>
        </w:rPr>
        <w:t>功能</w:t>
      </w:r>
      <w:r>
        <w:t>等15个</w:t>
      </w:r>
      <w:r>
        <w:rPr>
          <w:rFonts w:hint="eastAsia"/>
        </w:rPr>
        <w:t>功能点</w:t>
      </w:r>
      <w:r>
        <w:t>。</w:t>
      </w:r>
    </w:p>
    <w:p>
      <w:pPr>
        <w:pStyle w:val="Heading6"/>
        <w:numPr>
          <w:ilvl w:val="5"/>
          <w:numId w:val="11"/>
        </w:numPr>
      </w:pPr>
      <w:r>
        <w:rPr>
          <w:rFonts w:hint="eastAsia"/>
        </w:rPr>
        <w:t>动力降尺度初值条件处理模块</w:t>
      </w:r>
    </w:p>
    <w:p>
      <w:pPr>
        <w:ind w:firstLine="420" w:firstLineChars="200"/>
      </w:pPr>
      <w:r>
        <w:rPr>
          <w:rFonts w:hint="eastAsia"/>
        </w:rPr>
        <w:t>本模块以全球模式输出后的数据为输入，三维气象场变量包括风场、大气温度、云微物理变量、三维气压场，二维地表和土壤变量包括海表温度、地表温度、土壤温度、土壤湿度、雪水当量、雪深、海冰，地表类型和地形变量包括陆地海洋网格、植被类型、土壤类型、地形高度、叶面积指数，通过CWRF自带的 WPS (WRF Preprocessing System) 和预处理程序进行水平插值到CWRF网格，并垂直插值到CWRF的sigma层上，最终输出CWRF可读的二进制输入文件。</w:t>
      </w:r>
    </w:p>
    <w:p>
      <w:pPr>
        <w:pStyle w:val="Heading6"/>
        <w:numPr>
          <w:ilvl w:val="5"/>
          <w:numId w:val="11"/>
        </w:numPr>
      </w:pPr>
      <w:r>
        <w:rPr>
          <w:rFonts w:hint="eastAsia"/>
        </w:rPr>
        <w:t>动力降尺度边值条件处理模块</w:t>
      </w:r>
    </w:p>
    <w:p>
      <w:pPr>
        <w:ind w:firstLine="420" w:firstLineChars="200"/>
      </w:pPr>
      <w:r>
        <w:rPr>
          <w:rFonts w:hint="eastAsia"/>
        </w:rPr>
        <w:t>本模块以全球模式输出后的数据为输入，包括海表温度、海冰，周期性更新的深层土壤温湿度、植被和地表状态，通过WPS和real.exe 等预处理程序进行水平和时间插值，最终输出CWRF可读的下边界条件文件。</w:t>
      </w:r>
    </w:p>
    <w:p>
      <w:pPr>
        <w:pStyle w:val="Heading6"/>
        <w:numPr>
          <w:ilvl w:val="5"/>
          <w:numId w:val="11"/>
        </w:numPr>
      </w:pPr>
      <w:r>
        <w:rPr>
          <w:rFonts w:hint="eastAsia"/>
        </w:rPr>
        <w:t>动力降尺度侧边界条件处理模块</w:t>
      </w:r>
    </w:p>
    <w:p>
      <w:pPr>
        <w:ind w:firstLine="420" w:firstLineChars="200"/>
      </w:pPr>
      <w:r>
        <w:rPr>
          <w:rFonts w:hint="eastAsia"/>
        </w:rPr>
        <w:t>本模块以全球模式输出后的数据为输入，三维大气变量包括三维风场、大气温度、湿度和三维气压场，通过WPS和real.exe 等预处理程序进行水平和时间插值，最终输出CWRF可读的下边界条件文件。</w:t>
      </w:r>
    </w:p>
    <w:p>
      <w:pPr>
        <w:pStyle w:val="Heading6"/>
        <w:numPr>
          <w:ilvl w:val="5"/>
          <w:numId w:val="11"/>
        </w:numPr>
      </w:pPr>
      <w:r>
        <w:rPr>
          <w:rFonts w:hint="eastAsia"/>
        </w:rPr>
        <w:t>动力降尺度预测两步法积分模块</w:t>
      </w:r>
    </w:p>
    <w:p>
      <w:pPr>
        <w:ind w:firstLine="420" w:firstLineChars="200"/>
      </w:pPr>
      <w:r>
        <w:rPr>
          <w:rFonts w:hint="eastAsia"/>
        </w:rPr>
        <w:t>本模块采用全球海气耦合的CMA-CPSv3模式进行预测得到大气环流预测结果提供大气三维场和地表场作为驱动场，使用上述大气环流结果以及高分辨率的地形、土地利用/植被类型、土壤类型等数据，使用 WRF预处理系统（WPS） 对上述数据进行处理和插值，将提取出的气象变量水平和垂直插值到CWRF网格上，驱动区域气候模式CWRF主模块进行动力降尺度计算，输出动力降尺度结果。</w:t>
      </w:r>
    </w:p>
    <w:p>
      <w:pPr>
        <w:pStyle w:val="Heading6"/>
        <w:numPr>
          <w:ilvl w:val="5"/>
          <w:numId w:val="11"/>
        </w:numPr>
      </w:pPr>
      <w:r>
        <w:rPr>
          <w:rFonts w:hint="eastAsia"/>
        </w:rPr>
        <w:t>动力降尺度预测三步法积分模块</w:t>
      </w:r>
    </w:p>
    <w:p>
      <w:pPr>
        <w:ind w:firstLine="420" w:firstLineChars="200"/>
      </w:pPr>
      <w:r>
        <w:rPr>
          <w:rFonts w:hint="eastAsia"/>
        </w:rPr>
        <w:t>本模块选取国际上预测水平较好的次季节耦合模式预测的海温，利用观测和预测的海温气候态进行统计订正，移除海温预测集的系统性偏差。插值至BCC_AGCM的T266空间网格。然后利用海温场驱动大气环流模式得到预测结果记为BCC_AGCM，最后使用该预测结果驱动区域模式CWRF，输出CWRF/TIER3预测结果。</w:t>
      </w:r>
    </w:p>
    <w:p>
      <w:pPr>
        <w:pStyle w:val="Heading6"/>
        <w:numPr>
          <w:ilvl w:val="5"/>
          <w:numId w:val="11"/>
        </w:numPr>
      </w:pPr>
      <w:r>
        <w:rPr>
          <w:rFonts w:hint="eastAsia"/>
        </w:rPr>
        <w:t>动力降尺度预测海气耦合积分模块</w:t>
      </w:r>
    </w:p>
    <w:p>
      <w:pPr>
        <w:ind w:firstLine="420" w:firstLineChars="200"/>
      </w:pPr>
      <w:r>
        <w:rPr>
          <w:rFonts w:hint="eastAsia"/>
        </w:rPr>
        <w:t>本模块为WRF+ROMS耦合控制系统，主要包括静态数据库、前处理模块和流程控制模块。静态数据库：中国区域的地形、土地利用、线性规划优化后的海洋水深文件及耦合器插值参数文件等。WRF+ROMS系统前处理模块：系统初始条件和边界条件生成模块。流程控制模块：总控WRF+ROMS回报及预测运行流程，通过文本配置文件 (config.ini) 即可实现WRF+ROMS系统的配置调度。</w:t>
      </w:r>
    </w:p>
    <w:p>
      <w:pPr>
        <w:pStyle w:val="Heading6"/>
        <w:numPr>
          <w:ilvl w:val="5"/>
          <w:numId w:val="11"/>
        </w:numPr>
      </w:pPr>
      <w:r>
        <w:rPr>
          <w:rFonts w:hint="eastAsia"/>
        </w:rPr>
        <w:t>动力降尺度后处理模块</w:t>
      </w:r>
    </w:p>
    <w:p>
      <w:pPr>
        <w:ind w:firstLine="420" w:firstLineChars="200"/>
      </w:pPr>
      <w:r>
        <w:rPr>
          <w:rFonts w:hint="eastAsia"/>
        </w:rPr>
        <w:t>本模块使用NCL、Python（xarray, wrf-python库）、R等工具读取CWRF输出的NetCDF文件，提取关心的变量（如2米气温、降水、10米风、辐射通量等）。输出时间平均（如月平均、季节平均）、空间分析、剖面图等结果。</w:t>
      </w:r>
    </w:p>
    <w:p>
      <w:pPr>
        <w:pStyle w:val="Heading6"/>
        <w:numPr>
          <w:ilvl w:val="5"/>
          <w:numId w:val="11"/>
        </w:numPr>
      </w:pPr>
      <w:r>
        <w:rPr>
          <w:rFonts w:hint="eastAsia"/>
        </w:rPr>
        <w:t>动力降尺度多方案环流集合预测模块</w:t>
      </w:r>
    </w:p>
    <w:p>
      <w:pPr>
        <w:ind w:firstLine="420" w:firstLineChars="200"/>
      </w:pPr>
      <w:r>
        <w:rPr>
          <w:rFonts w:hint="eastAsia"/>
        </w:rPr>
        <w:t>本模块为微物理、积云对流（对粗分辨率网格至关重要）、行星边界层、陆面过程、辐射等选择或配置最适合研究区域气候特征的不同方案动力降尺度结果。</w:t>
      </w:r>
    </w:p>
    <w:p>
      <w:pPr>
        <w:pStyle w:val="Heading6"/>
        <w:numPr>
          <w:ilvl w:val="5"/>
          <w:numId w:val="11"/>
        </w:numPr>
      </w:pPr>
      <w:r>
        <w:rPr>
          <w:rFonts w:hint="eastAsia"/>
        </w:rPr>
        <w:t>动力降尺度降水AI订正模块</w:t>
      </w:r>
    </w:p>
    <w:p>
      <w:pPr>
        <w:ind w:firstLine="420" w:firstLineChars="200"/>
      </w:pPr>
      <w:r>
        <w:rPr>
          <w:rFonts w:hint="eastAsia"/>
        </w:rPr>
        <w:t>UNET深度学习框架由卷积层、池化层、转置卷积层和跳过连接组成。本模块训练过程中设定初始学习率为0.01，并引入余弦退火调度策略动态调整学习率，以优化模型训练过程并增强其收敛稳定性。输入的变量为CWRF模式动力降尺度得到的降水量（pre），经筛选得到的4个气压层的风场、温度、位势高度、比湿环流变量（u850 u200 v850 q850 q700 z850 z500 t850 t500 t200）以及CWRF模式地形高度数据，共计12个通道数据，通过UNET网络下采样、上采样和跳跃连接过程，输出订正后的降水结果。</w:t>
      </w:r>
    </w:p>
    <w:p>
      <w:pPr>
        <w:pStyle w:val="Heading6"/>
        <w:numPr>
          <w:ilvl w:val="5"/>
          <w:numId w:val="11"/>
        </w:numPr>
      </w:pPr>
      <w:r>
        <w:rPr>
          <w:rFonts w:hint="eastAsia"/>
        </w:rPr>
        <w:t>动力降尺度多方案气温概率预测模块</w:t>
      </w:r>
    </w:p>
    <w:p>
      <w:pPr>
        <w:ind w:firstLine="420" w:firstLineChars="200"/>
      </w:pPr>
      <w:r>
        <w:rPr>
          <w:rFonts w:hint="eastAsia"/>
        </w:rPr>
        <w:t>本模块以区域模式动力降尺度多成员的历史回报数据和实时预报数据为输入；首先基于各物理过程方案结果在历史回算期的逐日2米日平均气温（T2M）数据，按候、旬、月时间尺度分别分别计算在区域格点上的气温三分位阈值（即33.3%和66.7%分位数），将气温分布划分为“偏低”、“正常”和“偏高”三个区间；随后，利用当前发布的实时集合预报成员数据，统计每个格点上所有预报成员落在上述三个三分位区间的比例，从而生成对应时间尺度（候、旬、月）的全球气温三分位概率预测产品，输出为NETCDF格式的概率分布网格数据产品，包含三个类别各自的概率值，用于表征不同类别气温异常状态的可能性。</w:t>
      </w:r>
    </w:p>
    <w:p>
      <w:pPr>
        <w:pStyle w:val="Heading6"/>
        <w:numPr>
          <w:ilvl w:val="5"/>
          <w:numId w:val="11"/>
        </w:numPr>
      </w:pPr>
      <w:r>
        <w:rPr>
          <w:rFonts w:hint="eastAsia"/>
        </w:rPr>
        <w:t>动力降尺度多方案降水概率预测模块</w:t>
      </w:r>
    </w:p>
    <w:p>
      <w:pPr>
        <w:ind w:firstLine="420" w:firstLineChars="200"/>
      </w:pPr>
      <w:r>
        <w:rPr>
          <w:rFonts w:hint="eastAsia"/>
        </w:rPr>
        <w:t>本模块以区域模式动力降尺度多成员的历史回报数据和实时预报数据为输入；首先基于各模式在历史回算期的逐日累积降水数据，按候、旬、月时间尺度分别计算在区域格点上的降水三分位阈值（即33.3%和66.7%分位数），将降水分布划分为“偏低”、“正常”和“偏高”三个区间；随后，利用各模式当前发布的实时集合预报成员数据，统计每个格点上所有预报成员落在上述三个三分位区间的比例，从而生成对应时间尺度（候、旬、月）的全球降水三分位概率预测产品，输出为NetCDF格式的概率分布格点数据产品，包含三个类别各自的概率值，用于表征不同类别降水状态的可能性。</w:t>
      </w:r>
    </w:p>
    <w:p>
      <w:pPr>
        <w:pStyle w:val="Heading6"/>
        <w:numPr>
          <w:ilvl w:val="5"/>
          <w:numId w:val="11"/>
        </w:numPr>
      </w:pPr>
      <w:r>
        <w:rPr>
          <w:rFonts w:hint="eastAsia"/>
        </w:rPr>
        <w:t>动力降尺度极端高温预测模块</w:t>
      </w:r>
    </w:p>
    <w:p>
      <w:pPr>
        <w:ind w:firstLine="420" w:firstLineChars="200"/>
      </w:pPr>
      <w:r>
        <w:rPr>
          <w:rFonts w:hint="eastAsia"/>
        </w:rPr>
        <w:t>本模块以动力降尺度预测数据为输入，首先基于各个成员的逐日最高气温（Tmax），分别采用35℃相对阈值和95%百分位法，判断某格点气温是否属于高温，若为高温，则记为1，否则记为0，由此识别出某日的高温分布；然后，在候、周、旬尺度上统计各个格点的高温发生日数，形成候、周、旬尺度上的高温日数网格数据产品，输出为NetCDF格式。</w:t>
      </w:r>
    </w:p>
    <w:p>
      <w:pPr>
        <w:pStyle w:val="Heading6"/>
        <w:numPr>
          <w:ilvl w:val="5"/>
          <w:numId w:val="11"/>
        </w:numPr>
      </w:pPr>
      <w:r>
        <w:rPr>
          <w:rFonts w:hint="eastAsia"/>
        </w:rPr>
        <w:t>动力降尺度极端降水预测模块</w:t>
      </w:r>
    </w:p>
    <w:p>
      <w:pPr>
        <w:ind w:firstLine="420" w:firstLineChars="200"/>
      </w:pPr>
      <w:r>
        <w:rPr>
          <w:rFonts w:hint="eastAsia"/>
        </w:rPr>
        <w:t>本模块以动力降尺度预测数据为输入，首先基于各个成员的逐日降水数据，分别采用日降水量 ≥ 50 mm（暴雨日）相对阈值和95%百分位法，判断某格点降水是否属于极端降水，若为极端降水，则记为1，否则记为0，由此识别出某日的极端降水分布；然后，在候、周、旬尺度上统计各个格点的极端降水发生日数，形成候、周、旬尺度上的极端降水日数网格数据产品，输出为NetCDF格式。</w:t>
      </w:r>
    </w:p>
    <w:p>
      <w:pPr>
        <w:pStyle w:val="Heading6"/>
        <w:numPr>
          <w:ilvl w:val="5"/>
          <w:numId w:val="11"/>
        </w:numPr>
      </w:pPr>
      <w:r>
        <w:rPr>
          <w:rFonts w:hint="eastAsia"/>
        </w:rPr>
        <w:t>动力降尺度预测历史检验模块</w:t>
      </w:r>
    </w:p>
    <w:p>
      <w:pPr>
        <w:ind w:firstLine="420" w:firstLineChars="200"/>
      </w:pPr>
      <w:r>
        <w:rPr>
          <w:rFonts w:hint="eastAsia"/>
        </w:rPr>
        <w:t>本模块以CRA40再分析数据、基于区域模式的候、周、旬尺度上的EFI指数、高温日数、干热浪、湿热浪日数历史回报时期的预报产品为输入；首先基于CRA40再分析数据，分别计算得到历史回报时期观测中的候、周、旬尺度上的EFI指数、高温日数、干热浪、湿热浪日数；然后，基于观测和模式数据，计算以上极端事件的TCC、MSSS、TS、HR、FAR、ROC等历史检验评分，输出为NetCDF格式的网格数据产品，包括候、周和旬尺度上的EFI指数、高温日数、干热浪、湿热浪日数的历史检验数据产品。</w:t>
      </w:r>
    </w:p>
    <w:p>
      <w:pPr>
        <w:pStyle w:val="Heading6"/>
        <w:numPr>
          <w:ilvl w:val="5"/>
          <w:numId w:val="11"/>
        </w:numPr>
      </w:pPr>
      <w:r>
        <w:rPr>
          <w:rFonts w:hint="eastAsia"/>
        </w:rPr>
        <w:t>动力降尺度预测实时检验模块</w:t>
      </w:r>
    </w:p>
    <w:p>
      <w:pPr>
        <w:ind w:firstLine="420" w:firstLineChars="200"/>
      </w:pPr>
      <w:r>
        <w:rPr>
          <w:rFonts w:hint="eastAsia"/>
        </w:rPr>
        <w:t>本模块以CRA40再分析数据、基于区域模式的候、周、旬尺度上的EFI指数、高温日数、干热浪、湿热浪日数实时预报产品为输入；首先基于CRA40再分析数据，分别计算得到实时预报时期观测中的候、周、旬尺度上的EFI指数、高温日数、干热浪、湿热浪日数；然后，基于观测和模式数据，计算以上极端事件的PS、ACC、TS、HR、FAR、ROC等实时预报检验评分，输出为NETCDF格式的网格数据产品，包括候、周和旬尺度上的EFI指数、高温日数、干热浪、湿热浪日数的实时检验数据产品。</w:t>
      </w:r>
    </w:p>
    <w:p>
      <w:pPr>
        <w:pStyle w:val="Heading4"/>
        <w:numPr>
          <w:ilvl w:val="3"/>
          <w:numId w:val="7"/>
        </w:numPr>
      </w:pPr>
      <w:bookmarkStart w:id="64" w:name="_Toc28020"/>
      <w:r>
        <w:rPr>
          <w:rFonts w:hint="eastAsia"/>
        </w:rPr>
        <w:t>春季北方沙尘预测子系统</w:t>
      </w:r>
      <w:bookmarkEnd w:id="64"/>
    </w:p>
    <w:p>
      <w:pPr>
        <w:ind w:firstLine="420" w:firstLineChars="200"/>
      </w:pPr>
      <w:r>
        <w:t>将沙尘预测及分析关键信息进行统一整合，并构成多来源数据提取-分类关键信息预处理-关键预测信息定量分析及预测模型-沙尘关键信息精细化监测-沙尘预测评分机制的整体工作链条，细化为多源数据提取模块、观测/再分析资料预处理模块、模式信息预处理模块、沙尘高影响信息监测模块、沙尘预报因子筛选与提取模块、月尺度沙尘影响预测模块、春季沙尘实况监测模块、沙尘预报客观评分模块，为沙尘预测业务发展需求提供支撑作用。</w:t>
      </w:r>
    </w:p>
    <w:p>
      <w:pPr>
        <w:pStyle w:val="ListParagraph"/>
        <w:keepNext/>
        <w:keepLines/>
        <w:numPr>
          <w:ilvl w:val="3"/>
          <w:numId w:val="11"/>
        </w:numPr>
        <w:spacing w:before="280" w:after="290" w:line="376" w:lineRule="auto"/>
        <w:ind w:firstLineChars="0"/>
        <w:outlineLvl w:val="4"/>
        <w:rPr>
          <w:b/>
          <w:bCs/>
          <w:vanish/>
          <w:sz w:val="28"/>
          <w:szCs w:val="28"/>
        </w:rPr>
      </w:pPr>
    </w:p>
    <w:p>
      <w:pPr>
        <w:pStyle w:val="Heading5"/>
        <w:numPr>
          <w:ilvl w:val="4"/>
          <w:numId w:val="11"/>
        </w:numPr>
      </w:pPr>
      <w:r>
        <w:t>多源数据提取模块</w:t>
      </w:r>
    </w:p>
    <w:p>
      <w:pPr>
        <w:ind w:firstLine="420" w:firstLineChars="200"/>
      </w:pPr>
      <w:r>
        <w:t>接入中国气象局模式预测数据、天擎大数据云平台数据、2400站场站监测数据等多源数据，由文件源提取所需变量、层次，并区分时空信息，进行分类原始数据存储，用于后续多个模块快速调用及历史反查。</w:t>
      </w:r>
    </w:p>
    <w:p>
      <w:pPr>
        <w:pStyle w:val="Heading5"/>
        <w:numPr>
          <w:ilvl w:val="4"/>
          <w:numId w:val="11"/>
        </w:numPr>
      </w:pPr>
      <w:r>
        <w:rPr>
          <w:rFonts w:hint="eastAsia"/>
        </w:rPr>
        <w:t>观测/再分析资料预处理模块</w:t>
      </w:r>
    </w:p>
    <w:p>
      <w:pPr>
        <w:ind w:firstLine="420" w:firstLineChars="200"/>
      </w:pPr>
      <w:r>
        <w:t>主要涵盖沙尘场站监测信息、沙尘过程纪要记录、CRA40及NCEP等国内外主要海洋、大气再分析资料，统一整合分辨率、数据格式及头文件代码，进行数据规整，根据站点信息、区域边界信息分别处理为影响监测模块及预报模型模块所需的距平场、区域平均值等形式。</w:t>
      </w:r>
    </w:p>
    <w:p>
      <w:pPr>
        <w:pStyle w:val="Heading5"/>
        <w:numPr>
          <w:ilvl w:val="4"/>
          <w:numId w:val="11"/>
        </w:numPr>
      </w:pPr>
      <w:r>
        <w:rPr>
          <w:rFonts w:hint="eastAsia"/>
        </w:rPr>
        <w:t>模式信息预处理模块</w:t>
      </w:r>
    </w:p>
    <w:p>
      <w:pPr>
        <w:ind w:firstLine="420" w:firstLineChars="200"/>
      </w:pPr>
      <w:r>
        <w:t>根据后续模块应用需求，对提取的CMACPSv3等模式原始数据进行预处理，包括分辨率对齐、数据格式统一、网格空间插值、集合平均预报、生成距平场等形式的预处理。</w:t>
      </w:r>
    </w:p>
    <w:p>
      <w:pPr>
        <w:pStyle w:val="Heading5"/>
        <w:numPr>
          <w:ilvl w:val="4"/>
          <w:numId w:val="11"/>
        </w:numPr>
      </w:pPr>
      <w:r>
        <w:rPr>
          <w:rFonts w:hint="eastAsia"/>
        </w:rPr>
        <w:t>沙尘高影响信息监测模块</w:t>
      </w:r>
    </w:p>
    <w:p>
      <w:pPr>
        <w:ind w:firstLine="420" w:firstLineChars="200"/>
      </w:pPr>
      <w:r>
        <w:t>建立天气高影响气象要素的多元监测历史/实时分析，包括关键环流配置、北方/区域/省等近地面风速、UV风分量等监测图形产品。</w:t>
      </w:r>
    </w:p>
    <w:p>
      <w:pPr>
        <w:pStyle w:val="Heading5"/>
        <w:numPr>
          <w:ilvl w:val="4"/>
          <w:numId w:val="11"/>
        </w:numPr>
      </w:pPr>
      <w:r>
        <w:rPr>
          <w:rFonts w:hint="eastAsia"/>
        </w:rPr>
        <w:t>沙尘预报因子筛选与提取模块</w:t>
      </w:r>
    </w:p>
    <w:p>
      <w:pPr>
        <w:ind w:firstLine="420" w:firstLineChars="200"/>
      </w:pPr>
      <w:r>
        <w:t>基于观测/再分析/模式未来月尺度预测结果，基于前期研发分析及进一步论证，识别筛选重要影响因子，形成月尺度预测所需的实时预报因子集，提供重要因子异常特征并为预测建模提供数据来源。</w:t>
      </w:r>
    </w:p>
    <w:p>
      <w:pPr>
        <w:pStyle w:val="Heading5"/>
        <w:numPr>
          <w:ilvl w:val="4"/>
          <w:numId w:val="11"/>
        </w:numPr>
      </w:pPr>
      <w:r>
        <w:rPr>
          <w:rFonts w:hint="eastAsia"/>
        </w:rPr>
        <w:t>月尺度沙尘影响预测模块</w:t>
      </w:r>
    </w:p>
    <w:p>
      <w:pPr>
        <w:ind w:firstLine="420" w:firstLineChars="200"/>
      </w:pPr>
      <w:r>
        <w:t>基于前兆信号及动力模式预测结果关键因子提取，通过机器学习算法，建立超前1个月的我国北方沙尘影响日数预测模型，固化模型算法形成稳定预测，产品于2、3、4月下旬固定时间生成，输出定量预测产品。</w:t>
      </w:r>
    </w:p>
    <w:p>
      <w:pPr>
        <w:pStyle w:val="Heading5"/>
        <w:numPr>
          <w:ilvl w:val="4"/>
          <w:numId w:val="11"/>
        </w:numPr>
      </w:pPr>
      <w:r>
        <w:rPr>
          <w:rFonts w:hint="eastAsia"/>
        </w:rPr>
        <w:t>春季沙尘实况监测模块</w:t>
      </w:r>
    </w:p>
    <w:p>
      <w:pPr>
        <w:ind w:firstLine="420" w:firstLineChars="200"/>
      </w:pPr>
      <w:r>
        <w:t>北方地区及五大沙尘重点关注区域、省份根代表性站点计算获取对应沙尘影响日数监测信息；更新沙尘过程频次，用于实况监测动态分析及客观评分基础数据来源。</w:t>
      </w:r>
    </w:p>
    <w:p>
      <w:pPr>
        <w:pStyle w:val="Heading5"/>
        <w:numPr>
          <w:ilvl w:val="4"/>
          <w:numId w:val="11"/>
        </w:numPr>
      </w:pPr>
      <w:r>
        <w:rPr>
          <w:rFonts w:hint="eastAsia"/>
        </w:rPr>
        <w:t>沙尘预报客观评分模块</w:t>
      </w:r>
    </w:p>
    <w:p>
      <w:pPr>
        <w:ind w:firstLine="420" w:firstLineChars="200"/>
      </w:pPr>
      <w:r>
        <w:t>根据春季及逐月发布的北方沙尘过程频次、重点区域沙尘日数预测结果，实现预报数据的上传接口，建立分区域及综合预测检验评估方案，实现月季尺度预测定量评分实时滚动更新。</w:t>
      </w:r>
    </w:p>
    <w:p>
      <w:pPr>
        <w:pStyle w:val="Heading5"/>
        <w:numPr>
          <w:ilvl w:val="4"/>
          <w:numId w:val="11"/>
        </w:numPr>
      </w:pPr>
      <w:r>
        <w:t>基于南信大模型的空气质量智能预测模块</w:t>
      </w:r>
    </w:p>
    <w:p>
      <w:pPr>
        <w:ind w:firstLine="420" w:firstLineChars="200"/>
      </w:pPr>
      <w:r>
        <w:t>模块通过标准化接口直接接入南京信息大学研发的空气质量智能预测模型的输出结果，兼容GRIB2、NetCDF等格式。功能上实现模型输出数据的自动解析、格式标准化与时空匹配，直接生成与现有沙尘预测产品在时空分辨率、发布频次上完全平行的一套空气质量预测产品。产品涵盖沙尘天气下PM10、PM2.5等关键污染物的浓度分布及演变趋势，输出标准化的网格数据、专题图形及决策摘要，并自动汇入子系统统一的产品库与发布流程，为业务人员提供多模型对比参考。</w:t>
      </w:r>
    </w:p>
    <w:p>
      <w:pPr>
        <w:pStyle w:val="Heading4"/>
        <w:numPr>
          <w:ilvl w:val="3"/>
          <w:numId w:val="7"/>
        </w:numPr>
      </w:pPr>
      <w:bookmarkStart w:id="65" w:name="_Toc15163"/>
      <w:r>
        <w:rPr>
          <w:rFonts w:hint="eastAsia"/>
        </w:rPr>
        <w:t>气候变化与极端事件预估子系统</w:t>
      </w:r>
      <w:bookmarkEnd w:id="65"/>
    </w:p>
    <w:p>
      <w:pPr>
        <w:ind w:firstLine="420" w:firstLineChars="200"/>
      </w:pPr>
      <w:r>
        <w:t>旨在构建一个国家级、业务化的气候变化预估业务服务平台。其核心功能是系统性地集成多源气候模式与观测数据，通过偏差校正、统计降尺度及多源融合等关键技术，制备高时空分辨率、高质量的气候数据集。重点发展对极端高温、极端降水等极端事件的定量诊断、演变规律分析及未来情景下的风险评估能力，并融合社会经济等信息，形成对高温热浪、暴雨洪涝等关键风险的定量化、空间化综合评估。最终，平台将支撑面向政府决策与行业适应需求的定制化气候信息服务产品生成，为应对气候变化提供从科学数据到决策依据的全链条业务支撑。</w:t>
      </w:r>
    </w:p>
    <w:p>
      <w:pPr>
        <w:pStyle w:val="ListParagraph"/>
        <w:keepNext/>
        <w:keepLines/>
        <w:numPr>
          <w:ilvl w:val="3"/>
          <w:numId w:val="11"/>
        </w:numPr>
        <w:spacing w:before="280" w:after="290" w:line="376" w:lineRule="auto"/>
        <w:ind w:firstLineChars="0"/>
        <w:outlineLvl w:val="4"/>
        <w:rPr>
          <w:rFonts w:hint="eastAsia"/>
          <w:b/>
          <w:bCs/>
          <w:vanish/>
          <w:sz w:val="28"/>
          <w:szCs w:val="28"/>
        </w:rPr>
      </w:pPr>
    </w:p>
    <w:p>
      <w:pPr>
        <w:pStyle w:val="Heading5"/>
        <w:numPr>
          <w:ilvl w:val="4"/>
          <w:numId w:val="11"/>
        </w:numPr>
      </w:pPr>
      <w:r>
        <w:rPr>
          <w:rFonts w:hint="eastAsia"/>
        </w:rPr>
        <w:t>中</w:t>
      </w:r>
      <w:r>
        <w:t>国区域气候变化预估数据集成模块</w:t>
      </w:r>
    </w:p>
    <w:p>
      <w:pPr>
        <w:ind w:firstLine="420" w:firstLineChars="200"/>
      </w:pPr>
      <w:r>
        <w:t>该模块是系统的数据入口与标准化基础，负责将外部多源异构数据转化为系统内部统一、规范的格式。其输入为来自不同来源的原始气候数据，主要包括中国格点化观测数据集、CMIP系列全球气候模式输出、区域气候模式动力降尺度产品及联合降尺度数据集。模块的核心处理功能是对这些数据进行自动化的接入、解析与标准化规整，具体包括数据格式转换、时空网格重采样至统一标准（如0.5°×0.5°），以及对变量名称和物理单位进行规范化。最终，模块输出一套时空基准严格对齐、数据结构一致、附带完整元数据的标准化高质量基础数据集，为后续所有处理与分析环节提供可靠的数据原料。</w:t>
      </w:r>
    </w:p>
    <w:p>
      <w:pPr>
        <w:pStyle w:val="Heading6"/>
        <w:numPr>
          <w:ilvl w:val="5"/>
          <w:numId w:val="11"/>
        </w:numPr>
      </w:pPr>
      <w:r>
        <w:rPr>
          <w:rFonts w:hint="eastAsia"/>
        </w:rPr>
        <w:t>多源数据接入与解析</w:t>
      </w:r>
    </w:p>
    <w:p>
      <w:pPr>
        <w:ind w:firstLine="420" w:firstLineChars="200"/>
      </w:pPr>
      <w:r>
        <w:rPr>
          <w:rFonts w:hint="eastAsia"/>
        </w:rPr>
        <w:t>（1）格点化观测数据接入</w:t>
      </w:r>
    </w:p>
    <w:p>
      <w:pPr>
        <w:ind w:firstLine="420" w:firstLineChars="200"/>
      </w:pPr>
      <w:r>
        <w:rPr>
          <w:rFonts w:hint="eastAsia"/>
        </w:rPr>
        <w:t>处理来自国家气候中心等权威机构的高质量中国格点化观测数据集（如CN05.1），数据格式通常为特定二进制或NetCDF。功能涵盖对输入数据文件的自动解析、关键气象要素的读取，并进行初步的质量校验（如范围检查、缺测值识别）。通过校验的历史观测数据将存入系统指定存储区，为后续的模式偏差评估提供基准。</w:t>
      </w:r>
    </w:p>
    <w:p>
      <w:pPr>
        <w:ind w:firstLine="420" w:firstLineChars="200"/>
      </w:pPr>
      <w:r>
        <w:rPr>
          <w:rFonts w:hint="eastAsia"/>
        </w:rPr>
        <w:t>（2）全球与区域模式数据接入</w:t>
      </w:r>
    </w:p>
    <w:p>
      <w:pPr>
        <w:ind w:firstLine="420" w:firstLineChars="200"/>
      </w:pPr>
      <w:r>
        <w:rPr>
          <w:rFonts w:hint="eastAsia"/>
        </w:rPr>
        <w:t>主要接入CMIP5/CMIP6等系列的全球气候模式原始输出、区域气候模式数据及动力-统计联合降尺度数据集，这些数据多为NetCDF或GRIB格式。通过建立自动化数据采集通道，解析复杂数据文件的内部结构，提取其时空维度、变量及元数据信息，形成包含完整元数据描述的数据对象，供后续处理。</w:t>
      </w:r>
    </w:p>
    <w:p>
      <w:pPr>
        <w:pStyle w:val="Heading6"/>
        <w:numPr>
          <w:ilvl w:val="5"/>
          <w:numId w:val="11"/>
        </w:numPr>
      </w:pPr>
      <w:r>
        <w:rPr>
          <w:rFonts w:hint="eastAsia"/>
        </w:rPr>
        <w:t>数据标准化与重构</w:t>
      </w:r>
    </w:p>
    <w:p>
      <w:pPr>
        <w:ind w:firstLine="420" w:firstLineChars="200"/>
      </w:pPr>
      <w:r>
        <w:rPr>
          <w:rFonts w:hint="eastAsia"/>
        </w:rPr>
        <w:t>（1）数据格式与网格标准化</w:t>
      </w:r>
    </w:p>
    <w:p>
      <w:pPr>
        <w:ind w:firstLine="420" w:firstLineChars="200"/>
      </w:pPr>
      <w:r>
        <w:rPr>
          <w:rFonts w:hint="eastAsia"/>
        </w:rPr>
        <w:t>针对已接入的多源观测与模式数据在空间网格和投影上的差异，将所有数据统一转换至标准数据格式（如NetCDF）。通过插值或重映射算法，将数据规整到一套预设的统一时空网格上（如0.5°×0.5°），最终输出时空基准对齐的标准化格点数据集，以提升不同来源数据间的空间可比性。</w:t>
      </w:r>
    </w:p>
    <w:p>
      <w:pPr>
        <w:ind w:firstLine="420" w:firstLineChars="200"/>
      </w:pPr>
      <w:r>
        <w:rPr>
          <w:rFonts w:hint="eastAsia"/>
        </w:rPr>
        <w:t>（2）数据变量与单位规整</w:t>
      </w:r>
    </w:p>
    <w:p>
      <w:pPr>
        <w:ind w:firstLine="420" w:firstLineChars="200"/>
      </w:pPr>
      <w:r>
        <w:rPr>
          <w:rFonts w:hint="eastAsia"/>
        </w:rPr>
        <w:t>在网格标准化的基础上，对数据中的气候变量名称进行语义对齐和标准化命名，同时将物理单位统一转换为国际单位制或业务约定单位。在此过程中生成规范、可追溯的元数据记录，最终输出变量定义清晰、单位一致且元数据完备的数据集，为深度分析奠定基础。</w:t>
      </w:r>
    </w:p>
    <w:p>
      <w:pPr>
        <w:pStyle w:val="Heading5"/>
        <w:numPr>
          <w:ilvl w:val="4"/>
          <w:numId w:val="11"/>
        </w:numPr>
      </w:pPr>
      <w:r>
        <w:t>中国区域气候变化预估数据处理模块</w:t>
      </w:r>
    </w:p>
    <w:p>
      <w:pPr>
        <w:ind w:firstLine="420" w:firstLineChars="200"/>
      </w:pPr>
      <w:r>
        <w:t>该模块在标准化数据基础上，执行核心的数据增值加工，旨在提升数据的质量与可用性。其输入为数据集成模块产出的标准化基础数据集。模块对气候模式数据进行系统性偏差的识别与定量评估，并应用统计校正算法进行偏差订正；通过统计降尺度方法提升数据的空间分辨率；进而采用最优集成技术，对观测、不同降尺度及校正后的数据进行智能融合，以降低不确定性。此外，模块还批量计算符合国际标准的极端气候指数。该模块的输出是一系列经过偏差控制、分辨率提升和融合优化的核心数据产品，包括偏差校正后数据集、统计降尺度数据集、多源融合最优数据集以及标准化的极端气候指数数据集，为深度诊断与风险评估奠定坚实的数据基础。</w:t>
      </w:r>
    </w:p>
    <w:p>
      <w:pPr>
        <w:pStyle w:val="Heading6"/>
        <w:numPr>
          <w:ilvl w:val="5"/>
          <w:numId w:val="11"/>
        </w:numPr>
      </w:pPr>
      <w:r>
        <w:rPr>
          <w:rFonts w:hint="eastAsia"/>
        </w:rPr>
        <w:t>数据质量控制与偏差校正</w:t>
      </w:r>
    </w:p>
    <w:p>
      <w:pPr>
        <w:ind w:firstLine="420" w:firstLineChars="200"/>
      </w:pPr>
      <w:r>
        <w:rPr>
          <w:rFonts w:hint="eastAsia"/>
        </w:rPr>
        <w:t>（1）系统性偏差识别与评估</w:t>
      </w:r>
    </w:p>
    <w:p>
      <w:pPr>
        <w:ind w:firstLine="420" w:firstLineChars="200"/>
      </w:pPr>
      <w:r>
        <w:rPr>
          <w:rFonts w:hint="eastAsia"/>
        </w:rPr>
        <w:t>通过应用统计方法，系统性地比较气候模式模拟数据与同期观测数据在均值、方差及极端值分布等方面的差异，从而量化模式的系统性偏差，产出详细的评估报告及量化指标，为后续校正提供依据。</w:t>
      </w:r>
    </w:p>
    <w:p>
      <w:pPr>
        <w:ind w:firstLine="420" w:firstLineChars="200"/>
      </w:pPr>
      <w:r>
        <w:rPr>
          <w:rFonts w:hint="eastAsia"/>
        </w:rPr>
        <w:t>（2）气候数据定量偏差校正</w:t>
      </w:r>
    </w:p>
    <w:p>
      <w:pPr>
        <w:ind w:firstLine="420" w:firstLineChars="200"/>
      </w:pPr>
      <w:r>
        <w:rPr>
          <w:rFonts w:hint="eastAsia"/>
        </w:rPr>
        <w:t>基于偏差评估的结论，选用适宜的统计校正方法对原始气候模式数据进行定量订正，有效减少数据中存在的系统性偏差，生成更接近真实气候态、可信度更高的数据产品。</w:t>
      </w:r>
    </w:p>
    <w:p>
      <w:pPr>
        <w:pStyle w:val="Heading6"/>
        <w:numPr>
          <w:ilvl w:val="5"/>
          <w:numId w:val="11"/>
        </w:numPr>
      </w:pPr>
      <w:r>
        <w:rPr>
          <w:rFonts w:hint="eastAsia"/>
        </w:rPr>
        <w:t>统计降尺度与数据融合</w:t>
      </w:r>
    </w:p>
    <w:p>
      <w:pPr>
        <w:ind w:firstLine="420" w:firstLineChars="200"/>
      </w:pPr>
      <w:r>
        <w:rPr>
          <w:rFonts w:hint="eastAsia"/>
        </w:rPr>
        <w:t>（1）统计降尺度</w:t>
      </w:r>
    </w:p>
    <w:p>
      <w:pPr>
        <w:ind w:firstLine="420" w:firstLineChars="200"/>
      </w:pPr>
      <w:r>
        <w:rPr>
          <w:rFonts w:hint="eastAsia"/>
        </w:rPr>
        <w:t>针对大尺度全球模式分辨率不足的问题，采用适宜的降尺度模型和技术，建立大尺度气候信息与局地要素的关系，从而将低分辨率数据转化为更高空间分辨率的气候要素时间序列，满足精细化分析的需求。</w:t>
      </w:r>
    </w:p>
    <w:p>
      <w:pPr>
        <w:ind w:firstLine="420" w:firstLineChars="200"/>
      </w:pPr>
      <w:r>
        <w:rPr>
          <w:rFonts w:hint="eastAsia"/>
        </w:rPr>
        <w:t>（2）多源数据融合与最优集成</w:t>
      </w:r>
    </w:p>
    <w:p>
      <w:pPr>
        <w:ind w:firstLine="420" w:firstLineChars="200"/>
      </w:pPr>
      <w:r>
        <w:rPr>
          <w:rFonts w:hint="eastAsia"/>
        </w:rPr>
        <w:t>综合利用观测数据、不同降尺度产品及校正后数据等多源信息，通过客观分析方法进行融合，旨在生成一套在空间上完整、物理上一致性更优的格点化集成数据产品。</w:t>
      </w:r>
    </w:p>
    <w:p>
      <w:pPr>
        <w:pStyle w:val="Heading6"/>
        <w:numPr>
          <w:ilvl w:val="5"/>
          <w:numId w:val="11"/>
        </w:numPr>
      </w:pPr>
      <w:r>
        <w:rPr>
          <w:rFonts w:hint="eastAsia"/>
        </w:rPr>
        <w:t>衍生变量与极端指数</w:t>
      </w:r>
    </w:p>
    <w:p>
      <w:pPr>
        <w:ind w:firstLine="420" w:firstLineChars="200"/>
      </w:pPr>
      <w:r>
        <w:rPr>
          <w:rFonts w:hint="eastAsia"/>
        </w:rPr>
        <w:t>（1）核心气候衍生变量计算</w:t>
      </w:r>
    </w:p>
    <w:p>
      <w:pPr>
        <w:ind w:firstLine="420" w:firstLineChars="200"/>
      </w:pPr>
      <w:r>
        <w:rPr>
          <w:rFonts w:hint="eastAsia"/>
        </w:rPr>
        <w:t>基于处理后的基本气象变量场（如温度、气压、湿度、风），依据物理公式和统计模型，计算如相对湿度、潜在蒸散量、热指数等一系列衍生气候变量，从而输出维度更丰富的数据集，支持更全面的影响分析。</w:t>
      </w:r>
    </w:p>
    <w:p>
      <w:pPr>
        <w:ind w:firstLine="420" w:firstLineChars="200"/>
      </w:pPr>
      <w:r>
        <w:rPr>
          <w:rFonts w:hint="eastAsia"/>
        </w:rPr>
        <w:t>（2）极端气候指数批量计算</w:t>
      </w:r>
    </w:p>
    <w:p>
      <w:pPr>
        <w:ind w:firstLine="420" w:firstLineChars="200"/>
      </w:pPr>
      <w:r>
        <w:rPr>
          <w:rFonts w:hint="eastAsia"/>
        </w:rPr>
        <w:t>根据世界气象组织（WMO）和ETCCDI的定义，对经过质量控制的日值气候变量时间序列进行并行化批量处理，计算极端气候指数（如TXx、TNn、R95p、CDD），产出标准化的极端气候指数数据集，作为风险评估的关键输入。</w:t>
      </w:r>
    </w:p>
    <w:p>
      <w:pPr>
        <w:pStyle w:val="Heading5"/>
        <w:numPr>
          <w:ilvl w:val="4"/>
          <w:numId w:val="11"/>
        </w:numPr>
      </w:pPr>
      <w:r>
        <w:t>中国区域气候变化预估数据分析模块</w:t>
      </w:r>
    </w:p>
    <w:p>
      <w:pPr>
        <w:ind w:firstLine="420" w:firstLineChars="200"/>
      </w:pPr>
      <w:r>
        <w:t>该模块是系统进行科学诊断与综合评估的核心，负责从加工后的数据中提取气候变化的信号与风险信息。其输入主要来自数据处理模块产出的各级高质量数据产品。模块的处理功能涵盖多维度、多层次的深度分析，包括对气温和降水长期变化趋势的统计诊断、不同温室气体排放情景的对比分析、对极端高温、极端低温、极端降水及干旱等各类极端事件未来演变特征的专项评估、以及对风能和太阳能资源潜力的预估。模块集成了基于“危险性-暴露度-脆弱性”框架的综合风险评估模型，能够对高温热浪和暴雨洪涝进行定量化、空间化的风险预估。模块的输出形式多样，包括揭示变化规律的统计图表、展现空间分布特征的专题地图以及定量化的风险区划图与评估报告，构成服务于决策的核心信息产品集合。</w:t>
      </w:r>
    </w:p>
    <w:p>
      <w:pPr>
        <w:pStyle w:val="Heading6"/>
        <w:numPr>
          <w:ilvl w:val="5"/>
          <w:numId w:val="11"/>
        </w:numPr>
      </w:pPr>
      <w:r>
        <w:rPr>
          <w:rFonts w:hint="eastAsia"/>
        </w:rPr>
        <w:t>中国区域气温变化预估</w:t>
      </w:r>
    </w:p>
    <w:p>
      <w:pPr>
        <w:ind w:firstLine="420" w:firstLineChars="200"/>
      </w:pPr>
      <w:r>
        <w:rPr>
          <w:rFonts w:hint="eastAsia"/>
        </w:rPr>
        <w:t>（1）气温长期趋势与空间格局分析</w:t>
      </w:r>
    </w:p>
    <w:p>
      <w:pPr>
        <w:ind w:firstLine="420" w:firstLineChars="200"/>
      </w:pPr>
      <w:r>
        <w:rPr>
          <w:rFonts w:hint="eastAsia"/>
        </w:rPr>
        <w:t>计算中国区域年、季平均气温的线性变化趋势，并进行统计显著性检验（如Mann-Kendall检验），分析其空间分布特征以识别增温关键区，产出相应的空间分布图及报告。</w:t>
      </w:r>
    </w:p>
    <w:p>
      <w:pPr>
        <w:ind w:firstLine="420" w:firstLineChars="200"/>
      </w:pPr>
      <w:r>
        <w:rPr>
          <w:rFonts w:hint="eastAsia"/>
        </w:rPr>
        <w:t>（2）不同情景下气温预估对比</w:t>
      </w:r>
    </w:p>
    <w:p>
      <w:pPr>
        <w:ind w:firstLine="420" w:firstLineChars="200"/>
      </w:pPr>
      <w:r>
        <w:rPr>
          <w:rFonts w:hint="eastAsia"/>
        </w:rPr>
        <w:t>对比分析不同排放情景（如RCP4.5/8.5，SSP2-4.5/5-8.5）下未来各时期中国区域气温变化的差异，计算多模式集合平均及不确定性范围，形成对比图表及评估结论。</w:t>
      </w:r>
    </w:p>
    <w:p>
      <w:pPr>
        <w:ind w:firstLine="420" w:firstLineChars="200"/>
      </w:pPr>
      <w:r>
        <w:rPr>
          <w:rFonts w:hint="eastAsia"/>
        </w:rPr>
        <w:t>（3）季节性与区域差异深化分析</w:t>
      </w:r>
    </w:p>
    <w:p>
      <w:pPr>
        <w:ind w:firstLine="420" w:firstLineChars="200"/>
      </w:pPr>
      <w:r>
        <w:rPr>
          <w:rFonts w:hint="eastAsia"/>
        </w:rPr>
        <w:t>深入分析气温变化的季节性特征，例如评估冬季增暖与夏季增暖的幅度差异；同时分析不同地理区域（如华北、青藏高原、东南沿海）气温变化特征，生成区域平均序列和空间异质性分析结果，产出季节性变化和区域差异特征专题报告。</w:t>
      </w:r>
    </w:p>
    <w:p>
      <w:pPr>
        <w:pStyle w:val="Heading6"/>
        <w:numPr>
          <w:ilvl w:val="5"/>
          <w:numId w:val="11"/>
        </w:numPr>
      </w:pPr>
      <w:r>
        <w:rPr>
          <w:rFonts w:hint="eastAsia"/>
        </w:rPr>
        <w:t>中国区域降水变化预估</w:t>
      </w:r>
    </w:p>
    <w:p>
      <w:pPr>
        <w:ind w:firstLine="420" w:firstLineChars="200"/>
      </w:pPr>
      <w:r>
        <w:rPr>
          <w:rFonts w:hint="eastAsia"/>
        </w:rPr>
        <w:t>（1）降水总量与强度变化分析</w:t>
      </w:r>
    </w:p>
    <w:p>
      <w:pPr>
        <w:ind w:firstLine="420" w:firstLineChars="200"/>
      </w:pPr>
      <w:r>
        <w:rPr>
          <w:rFonts w:hint="eastAsia"/>
        </w:rPr>
        <w:t>分析未来中国区域年、季降水总量的时空变化趋势，并评估降水强度的变化，生成全国降水变化百分率空间分布图及相关结论。</w:t>
      </w:r>
    </w:p>
    <w:p>
      <w:pPr>
        <w:ind w:firstLine="420" w:firstLineChars="200"/>
      </w:pPr>
      <w:r>
        <w:rPr>
          <w:rFonts w:hint="eastAsia"/>
        </w:rPr>
        <w:t>（2）降水日数与干湿格局演变分析</w:t>
      </w:r>
    </w:p>
    <w:p>
      <w:pPr>
        <w:ind w:firstLine="420" w:firstLineChars="200"/>
      </w:pPr>
      <w:r>
        <w:rPr>
          <w:rFonts w:hint="eastAsia"/>
        </w:rPr>
        <w:t>基于降水的日值序列数据，计算不同阈值下的降水日数变化，分析中国干湿区域的长期演变趋势，形成干湿格局演变分析报告及图表。</w:t>
      </w:r>
    </w:p>
    <w:p>
      <w:pPr>
        <w:ind w:firstLine="420" w:firstLineChars="200"/>
      </w:pPr>
      <w:r>
        <w:rPr>
          <w:rFonts w:hint="eastAsia"/>
        </w:rPr>
        <w:t>（3）降水变率与不确定性分析</w:t>
      </w:r>
    </w:p>
    <w:p>
      <w:pPr>
        <w:ind w:firstLine="420" w:firstLineChars="200"/>
      </w:pPr>
      <w:r>
        <w:rPr>
          <w:rFonts w:hint="eastAsia"/>
        </w:rPr>
        <w:t>评估未来降水年际和年代际变率的变化，并量化不同气候模式预估结果间的差异，产出降水变率及模式间不确定性分析产品。</w:t>
      </w:r>
    </w:p>
    <w:p>
      <w:pPr>
        <w:pStyle w:val="Heading6"/>
        <w:numPr>
          <w:ilvl w:val="5"/>
          <w:numId w:val="11"/>
        </w:numPr>
      </w:pPr>
      <w:r>
        <w:rPr>
          <w:rFonts w:hint="eastAsia"/>
        </w:rPr>
        <w:t>中国区域极端气温变化预估</w:t>
      </w:r>
    </w:p>
    <w:p>
      <w:pPr>
        <w:ind w:firstLine="420" w:firstLineChars="200"/>
      </w:pPr>
      <w:r>
        <w:rPr>
          <w:rFonts w:hint="eastAsia"/>
        </w:rPr>
        <w:t>（1）极端高温指数计算与评估</w:t>
      </w:r>
    </w:p>
    <w:p>
      <w:pPr>
        <w:ind w:firstLine="420" w:firstLineChars="200"/>
      </w:pPr>
      <w:r>
        <w:rPr>
          <w:rFonts w:hint="eastAsia"/>
        </w:rPr>
        <w:t>基于高温相关极端指数数据集，分析高温日数、暖昼日数、日最高气温极大值（TXx）等指数的频率、强度在未来可能的变化趋势，形成极端高温事件变化评估报告。</w:t>
      </w:r>
    </w:p>
    <w:p>
      <w:pPr>
        <w:ind w:firstLine="420" w:firstLineChars="200"/>
      </w:pPr>
      <w:r>
        <w:rPr>
          <w:rFonts w:hint="eastAsia"/>
        </w:rPr>
        <w:t>（2）极端低温指数计算与评估</w:t>
      </w:r>
    </w:p>
    <w:p>
      <w:pPr>
        <w:ind w:firstLine="420" w:firstLineChars="200"/>
      </w:pPr>
      <w:r>
        <w:rPr>
          <w:rFonts w:hint="eastAsia"/>
        </w:rPr>
        <w:t>分析冷夜日数、霜冻日数、最低气温极小值（TNn）等低温相关指数的变化趋势和空间特征，评估极端低温事件未来的演变。</w:t>
      </w:r>
    </w:p>
    <w:p>
      <w:pPr>
        <w:ind w:firstLine="420" w:firstLineChars="200"/>
      </w:pPr>
      <w:r>
        <w:rPr>
          <w:rFonts w:hint="eastAsia"/>
        </w:rPr>
        <w:t>（3）复合极端温度事件识别</w:t>
      </w:r>
    </w:p>
    <w:p>
      <w:pPr>
        <w:ind w:firstLine="420" w:firstLineChars="200"/>
      </w:pPr>
      <w:r>
        <w:rPr>
          <w:rFonts w:hint="eastAsia"/>
        </w:rPr>
        <w:t>定义并识别如高温高湿、持续低温等复合型极端温度事件，分析其发生频率、强度等的变化特征，产出相关事件清单及分析报告。</w:t>
      </w:r>
    </w:p>
    <w:p>
      <w:pPr>
        <w:pStyle w:val="Heading6"/>
        <w:numPr>
          <w:ilvl w:val="5"/>
          <w:numId w:val="11"/>
        </w:numPr>
      </w:pPr>
      <w:r>
        <w:rPr>
          <w:rFonts w:hint="eastAsia"/>
        </w:rPr>
        <w:t>中国区域极端降水变化预估</w:t>
      </w:r>
    </w:p>
    <w:p>
      <w:pPr>
        <w:ind w:firstLine="420" w:firstLineChars="200"/>
      </w:pPr>
      <w:r>
        <w:rPr>
          <w:rFonts w:hint="eastAsia"/>
        </w:rPr>
        <w:t>（1）强降水指数与暴雨日数分析</w:t>
      </w:r>
    </w:p>
    <w:p>
      <w:pPr>
        <w:ind w:firstLine="420" w:firstLineChars="200"/>
      </w:pPr>
      <w:r>
        <w:rPr>
          <w:rFonts w:hint="eastAsia"/>
        </w:rPr>
        <w:t>基于Rx1day、Rx5day、R95p等极端降水指数，分析未来极端降水事件的频率和强度变化，形成极端降水事件未来变化评估报告。</w:t>
      </w:r>
    </w:p>
    <w:p>
      <w:pPr>
        <w:ind w:firstLine="420" w:firstLineChars="200"/>
      </w:pPr>
      <w:r>
        <w:rPr>
          <w:rFonts w:hint="eastAsia"/>
        </w:rPr>
        <w:t>（2）干旱指数与持续干期分析</w:t>
      </w:r>
    </w:p>
    <w:p>
      <w:pPr>
        <w:ind w:firstLine="420" w:firstLineChars="200"/>
      </w:pPr>
      <w:r>
        <w:rPr>
          <w:rFonts w:hint="eastAsia"/>
        </w:rPr>
        <w:t>利用标准化降水指数（SPI）及持续干期（CDD）等数据，评估未来干旱风险的变化趋势及其空间分布，产出干旱风险评估产品。</w:t>
      </w:r>
    </w:p>
    <w:p>
      <w:pPr>
        <w:ind w:firstLine="420" w:firstLineChars="200"/>
      </w:pPr>
      <w:r>
        <w:rPr>
          <w:rFonts w:hint="eastAsia"/>
        </w:rPr>
        <w:t>（3）极端降水事件时空动态分析</w:t>
      </w:r>
    </w:p>
    <w:p>
      <w:pPr>
        <w:ind w:firstLine="420" w:firstLineChars="200"/>
      </w:pPr>
      <w:r>
        <w:rPr>
          <w:rFonts w:hint="eastAsia"/>
        </w:rPr>
        <w:t>针对精细化降水事件序列数据，分析极端降水事件的开始时间、持续时间及空间移动等演变特征，形成事件动态特征分析报告。</w:t>
      </w:r>
    </w:p>
    <w:p>
      <w:pPr>
        <w:pStyle w:val="Heading6"/>
        <w:numPr>
          <w:ilvl w:val="5"/>
          <w:numId w:val="11"/>
        </w:numPr>
      </w:pPr>
      <w:r>
        <w:rPr>
          <w:rFonts w:hint="eastAsia"/>
        </w:rPr>
        <w:t>中国区域风光资源的未来预估</w:t>
      </w:r>
    </w:p>
    <w:p>
      <w:pPr>
        <w:ind w:firstLine="420" w:firstLineChars="200"/>
      </w:pPr>
      <w:r>
        <w:rPr>
          <w:rFonts w:hint="eastAsia"/>
        </w:rPr>
        <w:t>（1）太阳能资源预估</w:t>
      </w:r>
    </w:p>
    <w:p>
      <w:pPr>
        <w:ind w:firstLine="420" w:firstLineChars="200"/>
      </w:pPr>
      <w:r>
        <w:rPr>
          <w:rFonts w:hint="eastAsia"/>
        </w:rPr>
        <w:t>基于未来地表辐射数据，计算总辐射量、日照时数等参数，评估中国太阳能资源的未来变化趋势及稳定性，输出太阳能资源潜力预估图表。</w:t>
      </w:r>
    </w:p>
    <w:p>
      <w:pPr>
        <w:ind w:firstLine="420" w:firstLineChars="200"/>
      </w:pPr>
      <w:r>
        <w:rPr>
          <w:rFonts w:hint="eastAsia"/>
        </w:rPr>
        <w:t>（2）风能资源预估</w:t>
      </w:r>
    </w:p>
    <w:p>
      <w:pPr>
        <w:ind w:firstLine="420" w:firstLineChars="200"/>
      </w:pPr>
      <w:r>
        <w:rPr>
          <w:rFonts w:hint="eastAsia"/>
        </w:rPr>
        <w:t>利用未来风速、风向预估数据，计算风功率密度、有效风速小时数等关键参数，评估中国风能资源潜力的未来变化，输出风能资源潜力预估图表。</w:t>
      </w:r>
    </w:p>
    <w:p>
      <w:pPr>
        <w:ind w:firstLine="420" w:firstLineChars="200"/>
      </w:pPr>
      <w:r>
        <w:rPr>
          <w:rFonts w:hint="eastAsia"/>
        </w:rPr>
        <w:t>（3）风光互补性与稳定性评估</w:t>
      </w:r>
    </w:p>
    <w:p>
      <w:pPr>
        <w:ind w:firstLine="420" w:firstLineChars="200"/>
      </w:pPr>
      <w:r>
        <w:rPr>
          <w:rFonts w:hint="eastAsia"/>
        </w:rPr>
        <w:t>结合同一区域的风能和太阳能资源时序数据，分析两者在时间上的互补特性，并评估联合发电出力的稳定性，产出风光互补性分析报告及图表。</w:t>
      </w:r>
    </w:p>
    <w:p>
      <w:pPr>
        <w:pStyle w:val="Heading6"/>
        <w:numPr>
          <w:ilvl w:val="5"/>
          <w:numId w:val="11"/>
        </w:numPr>
      </w:pPr>
      <w:r>
        <w:rPr>
          <w:rFonts w:hint="eastAsia"/>
        </w:rPr>
        <w:t>中国区域未来高温风险预估</w:t>
      </w:r>
    </w:p>
    <w:p>
      <w:pPr>
        <w:ind w:firstLine="420" w:firstLineChars="200"/>
      </w:pPr>
      <w:r>
        <w:rPr>
          <w:rFonts w:hint="eastAsia"/>
        </w:rPr>
        <w:t>（1）高温致灾因子危险性评估</w:t>
      </w:r>
    </w:p>
    <w:p>
      <w:pPr>
        <w:ind w:firstLine="420" w:firstLineChars="200"/>
      </w:pPr>
      <w:r>
        <w:rPr>
          <w:rFonts w:hint="eastAsia"/>
        </w:rPr>
        <w:t>基于未来气温预估结果，计算高温日数、热浪频率、强度等核心气象指标，分析其时空演变特征，并界定不同等级（如轻度、中度、重度）高温过程，生成未来高温危险性等级区划图。</w:t>
      </w:r>
    </w:p>
    <w:p>
      <w:pPr>
        <w:ind w:firstLine="420" w:firstLineChars="200"/>
      </w:pPr>
      <w:r>
        <w:rPr>
          <w:rFonts w:hint="eastAsia"/>
        </w:rPr>
        <w:t>（2）承灾体暴露度评估</w:t>
      </w:r>
    </w:p>
    <w:p>
      <w:pPr>
        <w:ind w:firstLine="420" w:firstLineChars="200"/>
      </w:pPr>
      <w:r>
        <w:rPr>
          <w:rFonts w:hint="eastAsia"/>
        </w:rPr>
        <w:t>结合上述危险性区划以及可获取的基础社会经济与地理数据，定量评估暴露在不同等级风险下的人口与资产规模，输出相应的量化评估结果。</w:t>
      </w:r>
    </w:p>
    <w:p>
      <w:pPr>
        <w:ind w:firstLine="420" w:firstLineChars="200"/>
      </w:pPr>
      <w:r>
        <w:rPr>
          <w:rFonts w:hint="eastAsia"/>
        </w:rPr>
        <w:t>（3）高温综合风险预估</w:t>
      </w:r>
    </w:p>
    <w:p>
      <w:pPr>
        <w:ind w:firstLine="420" w:firstLineChars="200"/>
      </w:pPr>
      <w:r>
        <w:rPr>
          <w:rFonts w:hint="eastAsia"/>
        </w:rPr>
        <w:t>集成高温危险性和承灾体暴露度数据，通过构建风险模型进行综合评估，生成高温热浪综合风险区划图及相应的评估报告。</w:t>
      </w:r>
    </w:p>
    <w:p>
      <w:pPr>
        <w:pStyle w:val="Heading6"/>
        <w:numPr>
          <w:ilvl w:val="5"/>
          <w:numId w:val="11"/>
        </w:numPr>
      </w:pPr>
      <w:r>
        <w:rPr>
          <w:rFonts w:hint="eastAsia"/>
        </w:rPr>
        <w:t>中国区域未来暴雨洪涝风险预估</w:t>
      </w:r>
    </w:p>
    <w:p>
      <w:pPr>
        <w:ind w:firstLine="420" w:firstLineChars="200"/>
      </w:pPr>
      <w:r>
        <w:rPr>
          <w:rFonts w:hint="eastAsia"/>
        </w:rPr>
        <w:t>（1）洪涝致灾因子危险性评估</w:t>
      </w:r>
    </w:p>
    <w:p>
      <w:pPr>
        <w:ind w:firstLine="420" w:firstLineChars="200"/>
      </w:pPr>
      <w:r>
        <w:rPr>
          <w:rFonts w:hint="eastAsia"/>
        </w:rPr>
        <w:t>综合利用极端降水预估数据及地形等信息，通过模型构建评估暴雨洪涝灾害的危险性等级，产出暴雨洪涝危险性等级空间分布图。</w:t>
      </w:r>
    </w:p>
    <w:p>
      <w:pPr>
        <w:ind w:firstLine="420" w:firstLineChars="200"/>
      </w:pPr>
      <w:r>
        <w:rPr>
          <w:rFonts w:hint="eastAsia"/>
        </w:rPr>
        <w:t>（2）承灾体暴露性与脆弱性评估</w:t>
      </w:r>
    </w:p>
    <w:p>
      <w:pPr>
        <w:ind w:firstLine="420" w:firstLineChars="200"/>
      </w:pPr>
      <w:r>
        <w:rPr>
          <w:rFonts w:hint="eastAsia"/>
        </w:rPr>
        <w:t>结合上述危险性区划以及可获取的基础社会经济与地理数据，定量评估暴露在不同等级风险下的人口与资产规模，并基于简化关系评估脆弱性，输出相应的量化评估结果。</w:t>
      </w:r>
    </w:p>
    <w:p>
      <w:pPr>
        <w:ind w:firstLine="420" w:firstLineChars="200"/>
      </w:pPr>
      <w:r>
        <w:rPr>
          <w:rFonts w:hint="eastAsia"/>
        </w:rPr>
        <w:t>（3）暴雨洪涝综合风险预估</w:t>
      </w:r>
    </w:p>
    <w:p>
      <w:pPr>
        <w:ind w:firstLine="420" w:firstLineChars="200"/>
      </w:pPr>
      <w:r>
        <w:rPr>
          <w:rFonts w:hint="eastAsia"/>
        </w:rPr>
        <w:t>集成致灾因子危险性、承灾体暴露度及脆弱性分析结果，构建综合风险指数，生成未来风险的空间分布与等级划分产品，最终输出综合风险区划图及风险评估报告。</w:t>
      </w:r>
    </w:p>
    <w:p>
      <w:pPr>
        <w:pStyle w:val="Heading5"/>
        <w:numPr>
          <w:ilvl w:val="4"/>
          <w:numId w:val="11"/>
        </w:numPr>
      </w:pPr>
      <w:r>
        <w:t>决策服务功能模块</w:t>
      </w:r>
    </w:p>
    <w:p>
      <w:pPr>
        <w:ind w:firstLine="420" w:firstLineChars="200"/>
      </w:pPr>
      <w:r>
        <w:t>该模块是系统价值实现的最终环节，负责将结构化的分析成果转化为面向用户的、易于理解和使用的决策知识产品。其输入主要为数据分析模块产出的各类图表、数据结论及风险评估结果。模块内部的处理机制依托于构建好的多行业报告模板库和关键结论知识库，通过智能引擎对输入的分析结果进行自动解读，并将其与从知识库中提取的权威表述、相关图表进行智能融合与编排。模块的输出是高度定制化的决策服务产品，可根据用户选定的行业、区域、情景等参数，一键生成结构完整、图文并茂的专业分析报告、决策摘要或简讯，并通过多种格式（PDF、Word等）进行发布与定向推送，直接支撑政府、行业及科研用户的决策制定与规划工作。</w:t>
      </w:r>
    </w:p>
    <w:p>
      <w:pPr>
        <w:pStyle w:val="Heading6"/>
        <w:numPr>
          <w:ilvl w:val="5"/>
          <w:numId w:val="11"/>
        </w:numPr>
      </w:pPr>
      <w:r>
        <w:rPr>
          <w:rFonts w:hint="eastAsia"/>
        </w:rPr>
        <w:t>报告模板与知识库管理</w:t>
      </w:r>
    </w:p>
    <w:p>
      <w:pPr>
        <w:ind w:firstLine="420" w:firstLineChars="200"/>
      </w:pPr>
      <w:r>
        <w:rPr>
          <w:rFonts w:hint="eastAsia"/>
        </w:rPr>
        <w:t>（1）多行业报告模板库</w:t>
      </w:r>
    </w:p>
    <w:p>
      <w:pPr>
        <w:ind w:firstLine="420" w:firstLineChars="200"/>
      </w:pPr>
      <w:r>
        <w:rPr>
          <w:rFonts w:hint="eastAsia"/>
        </w:rPr>
        <w:t>设计并管理一套面向不同行业（如农业、水利、能源、交通、健康、生态）和不同领域（如风险评估、规划制定）的专业报告模板，每个模板包含固定的分析框架、核心指标、结论章节和标准化描述语句库。</w:t>
      </w:r>
    </w:p>
    <w:p>
      <w:pPr>
        <w:ind w:firstLine="420" w:firstLineChars="200"/>
      </w:pPr>
      <w:r>
        <w:rPr>
          <w:rFonts w:hint="eastAsia"/>
        </w:rPr>
        <w:t>（2）关键结论知识库</w:t>
      </w:r>
    </w:p>
    <w:p>
      <w:pPr>
        <w:ind w:firstLine="420" w:firstLineChars="200"/>
      </w:pPr>
      <w:r>
        <w:rPr>
          <w:rFonts w:hint="eastAsia"/>
        </w:rPr>
        <w:t>整合领域专家的权威结论与历史报告精华，构建一个结构化的知识库，用于存储和管理针对特定气候现象或影响的结论性描述文本，为报告生成提供权威素材。</w:t>
      </w:r>
    </w:p>
    <w:p>
      <w:pPr>
        <w:pStyle w:val="Heading6"/>
        <w:numPr>
          <w:ilvl w:val="5"/>
          <w:numId w:val="11"/>
        </w:numPr>
      </w:pPr>
      <w:r>
        <w:rPr>
          <w:rFonts w:hint="eastAsia"/>
        </w:rPr>
        <w:t>智能报告内容生成</w:t>
      </w:r>
    </w:p>
    <w:p>
      <w:pPr>
        <w:ind w:firstLine="420" w:firstLineChars="200"/>
      </w:pPr>
      <w:r>
        <w:rPr>
          <w:rFonts w:hint="eastAsia"/>
        </w:rPr>
        <w:t>（1）数据分析结果自动解读</w:t>
      </w:r>
    </w:p>
    <w:p>
      <w:pPr>
        <w:ind w:firstLine="420" w:firstLineChars="200"/>
      </w:pPr>
      <w:r>
        <w:rPr>
          <w:rFonts w:hint="eastAsia"/>
        </w:rPr>
        <w:t>过内置智能引擎，将数据分析产出的结构化图表和量化结果（如趋势系数、风险等级）自动转换为自然语言描述片段，形成标准化的、可读的分析结论文本。</w:t>
      </w:r>
    </w:p>
    <w:p>
      <w:pPr>
        <w:ind w:firstLine="420" w:firstLineChars="200"/>
      </w:pPr>
      <w:r>
        <w:rPr>
          <w:rFonts w:hint="eastAsia"/>
        </w:rPr>
        <w:t>（2）多源内容融合与报告合成</w:t>
      </w:r>
    </w:p>
    <w:p>
      <w:pPr>
        <w:ind w:firstLine="420" w:firstLineChars="200"/>
      </w:pPr>
      <w:r>
        <w:rPr>
          <w:rFonts w:hint="eastAsia"/>
        </w:rPr>
        <w:t>根据选定的报告模板，自动将智能解读的结论、从知识库调用的权威洞察以及对应的数据图表进行智能整合、编排与格式化，最终合成结构完整、图文并茂的专业报告草稿（支持Word/PDF等格式）。</w:t>
      </w:r>
    </w:p>
    <w:p>
      <w:pPr>
        <w:ind w:firstLine="420" w:firstLineChars="200"/>
      </w:pPr>
      <w:r>
        <w:rPr>
          <w:rFonts w:hint="eastAsia"/>
        </w:rPr>
        <w:t>（3）报告摘要自动生成</w:t>
      </w:r>
    </w:p>
    <w:p>
      <w:pPr>
        <w:ind w:firstLine="420" w:firstLineChars="200"/>
      </w:pPr>
      <w:r>
        <w:rPr>
          <w:rFonts w:hint="eastAsia"/>
        </w:rPr>
        <w:t>利用文本摘要技术，对生成的完整报告全文进行自动提炼，提取核心结论、关键数据与行动建议，形成一份供决策者快速审阅的报告摘要。</w:t>
      </w:r>
    </w:p>
    <w:p>
      <w:pPr>
        <w:pStyle w:val="Heading6"/>
        <w:numPr>
          <w:ilvl w:val="5"/>
          <w:numId w:val="11"/>
        </w:numPr>
      </w:pPr>
      <w:r>
        <w:rPr>
          <w:rFonts w:hint="eastAsia"/>
        </w:rPr>
        <w:t>报告定制与产品分发</w:t>
      </w:r>
    </w:p>
    <w:p>
      <w:pPr>
        <w:ind w:firstLine="420" w:firstLineChars="200"/>
      </w:pPr>
      <w:r>
        <w:rPr>
          <w:rFonts w:hint="eastAsia"/>
        </w:rPr>
        <w:t>（1）行业定制化报告生成</w:t>
      </w:r>
    </w:p>
    <w:p>
      <w:pPr>
        <w:ind w:firstLine="420" w:firstLineChars="200"/>
      </w:pPr>
      <w:r>
        <w:rPr>
          <w:rFonts w:hint="eastAsia"/>
        </w:rPr>
        <w:t>用户可通过界面选定目标行业、关注区域、排放情景等参数，系统依据这些参数自动匹配模板库和知识库中的相关内容，驱动报告合成引擎，产出高度定制化的行业分析报告。</w:t>
      </w:r>
    </w:p>
    <w:p>
      <w:pPr>
        <w:ind w:firstLine="420" w:firstLineChars="200"/>
      </w:pPr>
      <w:r>
        <w:rPr>
          <w:rFonts w:hint="eastAsia"/>
        </w:rPr>
        <w:t>（2）报告审核与版本管理</w:t>
      </w:r>
    </w:p>
    <w:p>
      <w:pPr>
        <w:ind w:firstLine="420" w:firstLineChars="200"/>
      </w:pPr>
      <w:r>
        <w:rPr>
          <w:rFonts w:hint="eastAsia"/>
        </w:rPr>
        <w:t>支持专家对系统生成的报告草稿进行修改、批复，并对报告版本的创建、更新与发布进行全生命周期管理，保留完整的版本历史记录。</w:t>
      </w:r>
    </w:p>
    <w:p>
      <w:pPr>
        <w:pStyle w:val="Heading5"/>
        <w:numPr>
          <w:ilvl w:val="4"/>
          <w:numId w:val="11"/>
        </w:numPr>
      </w:pPr>
      <w:r>
        <w:t>气候变化舆情监测与智能响应模块</w:t>
      </w:r>
    </w:p>
    <w:p>
      <w:pPr>
        <w:ind w:firstLine="420" w:firstLineChars="200"/>
      </w:pPr>
      <w:r>
        <w:t>本模块通过接入合规的外网舆情数据源，实时监测国内外关于气候异常、极端天气影响及气候政策的舆论动态。利用AI大模型技术对舆情数据进行情感分析、热点聚类与趋势研判，自动识别潜在的风险点与公众关切，并为业务人员提供针对性的回应建议或决策参考，实现“预测-发布-反馈-优化”的业务闭环。</w:t>
      </w:r>
    </w:p>
    <w:p>
      <w:pPr>
        <w:pStyle w:val="Heading4"/>
        <w:numPr>
          <w:ilvl w:val="3"/>
          <w:numId w:val="11"/>
        </w:numPr>
      </w:pPr>
      <w:bookmarkStart w:id="66" w:name="_Toc12228"/>
      <w:r>
        <w:rPr>
          <w:rFonts w:hint="eastAsia"/>
        </w:rPr>
        <w:t>次季节-季节极端水文事件风险预警子系统</w:t>
      </w:r>
      <w:bookmarkEnd w:id="66"/>
    </w:p>
    <w:p>
      <w:pPr>
        <w:ind w:firstLine="420" w:firstLineChars="200"/>
      </w:pPr>
      <w:r>
        <w:t>系统汇聚来自中国气象局的陆面同化数据、次季节气候预测模式数据、季节气候预测模式数据、DEM、土地利用、土壤类型等多源异构数据，应用覆盖全国的分布式水文模型，构建“气候预测—水文响应—风险预警”全链条动态应对体系，实现覆盖全国范围的次季节-季节的1-30天、11-40天、21-50天、1-3个月、2-4个月、3-4个月、4-6个月、5-7个月的25km网格—水库—水文站—1级流域分区—2级流域分区—3级流域分区的多时空尺度的时段累计径流量、径流异常程度、极端丰水概率、极端枯水概率的月滚动更新预测，为流域和地方防洪抗旱、水库调度、农业防灾、电力调度、河道航运提供科学支撑。</w:t>
      </w:r>
    </w:p>
    <w:p>
      <w:pPr>
        <w:pStyle w:val="Heading5"/>
        <w:numPr>
          <w:ilvl w:val="4"/>
          <w:numId w:val="11"/>
        </w:numPr>
      </w:pPr>
      <w:r>
        <w:rPr>
          <w:rFonts w:hint="eastAsia"/>
        </w:rPr>
        <w:t>次季节气候预测数据后处理模块</w:t>
      </w:r>
    </w:p>
    <w:p>
      <w:pPr>
        <w:ind w:firstLine="420" w:firstLineChars="200"/>
      </w:pPr>
      <w:r>
        <w:t>基于次季节气候预测产品提供的未来1-60天多起报时次、多成员的日尺度原始预报场及历史回报数据，对逐日降水、最高气温、最低气温、平均气温、平均风速等要素进行空间插值至指定分辨率水文网格</w:t>
      </w:r>
      <w:r>
        <w:rPr>
          <w:rFonts w:hint="eastAsia"/>
        </w:rPr>
        <w:t>；</w:t>
      </w:r>
      <w:r>
        <w:t>将时空一致的逐日格点数据，批量转换为标准数据格式文件。</w:t>
      </w:r>
    </w:p>
    <w:p>
      <w:pPr>
        <w:pStyle w:val="Heading5"/>
        <w:numPr>
          <w:ilvl w:val="4"/>
          <w:numId w:val="11"/>
        </w:numPr>
      </w:pPr>
      <w:r>
        <w:rPr>
          <w:rFonts w:hint="eastAsia"/>
        </w:rPr>
        <w:t>季节气候预测数据后处理模块</w:t>
      </w:r>
    </w:p>
    <w:p>
      <w:pPr>
        <w:ind w:firstLine="420" w:firstLineChars="200"/>
      </w:pPr>
      <w:r>
        <w:t>以季节气候预测系统提供的未来1-7个月逐日降水、最高气温、最低气温、平均气温、平均风速的原始格点预报场及历史回报数据为输入数据，采用空间插值技术，将数据降尺度至水文模型所需的分辨率格网</w:t>
      </w:r>
      <w:r>
        <w:rPr>
          <w:rFonts w:hint="eastAsia"/>
        </w:rPr>
        <w:t>；</w:t>
      </w:r>
      <w:r>
        <w:t>将校正后的长时间序列逐日气象数据标准化处理，生成为标准数据格式文件。</w:t>
      </w:r>
    </w:p>
    <w:p>
      <w:pPr>
        <w:pStyle w:val="Heading5"/>
        <w:numPr>
          <w:ilvl w:val="4"/>
          <w:numId w:val="11"/>
        </w:numPr>
      </w:pPr>
      <w:r>
        <w:rPr>
          <w:rFonts w:hint="eastAsia"/>
        </w:rPr>
        <w:t>水文预测初始场构建模块</w:t>
      </w:r>
    </w:p>
    <w:p>
      <w:pPr>
        <w:ind w:firstLine="420" w:firstLineChars="200"/>
      </w:pPr>
      <w:r>
        <w:t>以陆面同化气候数据为核心，完成同化数据的实时获取，整合不同来源、不同分辨率的气候要素数据集，覆盖水文模拟所需的各类要素，对数据进行质控，通过异常值剔除、缺失值插补等方式，消除数据偏差与冗余，保障原始数据的准确性和可靠性，同时按数据统一标准对数据进行规范化转换，使其匹配水文模型的输入要求，最终形成水文预测初始场的构建。</w:t>
      </w:r>
    </w:p>
    <w:p>
      <w:pPr>
        <w:pStyle w:val="Heading5"/>
        <w:numPr>
          <w:ilvl w:val="4"/>
          <w:numId w:val="11"/>
        </w:numPr>
      </w:pPr>
      <w:r>
        <w:rPr>
          <w:rFonts w:hint="eastAsia"/>
        </w:rPr>
        <w:t>次季节径流模拟模块</w:t>
      </w:r>
    </w:p>
    <w:p>
      <w:pPr>
        <w:ind w:firstLine="420" w:firstLineChars="200"/>
      </w:pPr>
      <w:r>
        <w:t>拼接S2S尺度气候预测数据和回报后处理数据与陆面同化后处理数据，结合DEM、土地利用、土壤类型等多源异构数据，采用分布式水文模型，对径流进行实时模拟，并模拟生成未来1-60天的全国网格尺度逐日产流过程，对全国范围内网格的径流结果进行解析及统计。</w:t>
      </w:r>
    </w:p>
    <w:p>
      <w:pPr>
        <w:pStyle w:val="Heading5"/>
        <w:numPr>
          <w:ilvl w:val="4"/>
          <w:numId w:val="11"/>
        </w:numPr>
      </w:pPr>
      <w:r>
        <w:rPr>
          <w:rFonts w:hint="eastAsia"/>
        </w:rPr>
        <w:t>季节径流模拟模块</w:t>
      </w:r>
    </w:p>
    <w:p>
      <w:pPr>
        <w:ind w:firstLine="420" w:firstLineChars="200"/>
      </w:pPr>
      <w:r>
        <w:t>拼接季节气候预测数据和回报后处理数据与陆面同化后处理数据，结合DEM、土地利用、土壤类型等多源异构数据，采用分布式水文模型，对径流进行实时模拟，并模拟生成未来1-6个月的全国网格尺度逐日产流过程，对全国范围内网格的径流结果进行解析及统计。</w:t>
      </w:r>
    </w:p>
    <w:p>
      <w:pPr>
        <w:pStyle w:val="Heading5"/>
        <w:numPr>
          <w:ilvl w:val="4"/>
          <w:numId w:val="11"/>
        </w:numPr>
      </w:pPr>
      <w:r>
        <w:rPr>
          <w:rFonts w:hint="eastAsia"/>
        </w:rPr>
        <w:t>未来1-60天的次季节的典型水库、水文站径流模拟模块</w:t>
      </w:r>
    </w:p>
    <w:p>
      <w:pPr>
        <w:ind w:firstLine="420" w:firstLineChars="200"/>
      </w:pPr>
      <w:r>
        <w:t>基于次季节全国网格产流模拟结果，对S2S尺度集水区进行识别，采用水库、水文站汇流模型实现水库、水文站汇流结果的计算，并模拟生成未来1-60天的典型水库逐日产流过程，对水库和水文站径流结果进行解析及统计。</w:t>
      </w:r>
    </w:p>
    <w:p>
      <w:pPr>
        <w:pStyle w:val="Heading5"/>
        <w:numPr>
          <w:ilvl w:val="4"/>
          <w:numId w:val="11"/>
        </w:numPr>
      </w:pPr>
      <w:r>
        <w:rPr>
          <w:rFonts w:hint="eastAsia"/>
        </w:rPr>
        <w:t>未来1-60天1级、2级、3级流域水文分区的径流模拟模块</w:t>
      </w:r>
    </w:p>
    <w:p>
      <w:pPr>
        <w:ind w:firstLine="420" w:firstLineChars="200"/>
      </w:pPr>
      <w:r>
        <w:t>基于次季节全国网格产流模拟结果，对S2S尺度1级、3级流域分区分别进行识别，采用流域汇流模型实现流域分区的汇流结果计算，并模拟生成未来1-60天的的1级、2级、3级流域水文分区的逐日产流过程，对流域产流结果进行解析及统计。</w:t>
      </w:r>
    </w:p>
    <w:p>
      <w:pPr>
        <w:pStyle w:val="Heading5"/>
        <w:numPr>
          <w:ilvl w:val="4"/>
          <w:numId w:val="11"/>
        </w:numPr>
      </w:pPr>
      <w:r>
        <w:rPr>
          <w:rFonts w:hint="eastAsia"/>
        </w:rPr>
        <w:t>未来1-7个月的典型水库、水文站径流模拟模块</w:t>
      </w:r>
    </w:p>
    <w:p>
      <w:pPr>
        <w:ind w:firstLine="420" w:firstLineChars="200"/>
      </w:pPr>
      <w:r>
        <w:t>基于季节全国格网产流模拟结果，对季节尺度集水区进行识别，采用水库、水文站汇流模型实现水库、水文站汇流结果的计算，并模拟生成未来1-7个月的典型水库逐日产流过程，对水库和水文站径流结果进行解析及统计。</w:t>
      </w:r>
    </w:p>
    <w:p>
      <w:pPr>
        <w:pStyle w:val="Heading5"/>
        <w:numPr>
          <w:ilvl w:val="4"/>
          <w:numId w:val="11"/>
        </w:numPr>
      </w:pPr>
      <w:r>
        <w:rPr>
          <w:rFonts w:hint="eastAsia"/>
        </w:rPr>
        <w:t>未来1-7个月1级、2级、3级流域水文分区的径流模拟模块</w:t>
      </w:r>
    </w:p>
    <w:p>
      <w:pPr>
        <w:ind w:firstLine="420" w:firstLineChars="200"/>
      </w:pPr>
      <w:r>
        <w:t>基于季节全国网格产流模拟结果，对季节尺度流域分区进行识别，采用流域汇流模型模型实现流域分区的汇流结果计算，并模拟生成未来1-7个月的的1级、2级、3级流域水文分区的逐日产流过程，对流域产流结果进行解析及统计。</w:t>
      </w:r>
    </w:p>
    <w:p>
      <w:pPr>
        <w:pStyle w:val="Heading5"/>
        <w:numPr>
          <w:ilvl w:val="4"/>
          <w:numId w:val="11"/>
        </w:numPr>
      </w:pPr>
      <w:r>
        <w:rPr>
          <w:rFonts w:hint="eastAsia"/>
        </w:rPr>
        <w:t>次季节全国网格尺度的产流极端水文事件预测模块</w:t>
      </w:r>
    </w:p>
    <w:p>
      <w:pPr>
        <w:ind w:firstLine="420" w:firstLineChars="200"/>
      </w:pPr>
      <w:r>
        <w:t>基于次季节全国网格产流模拟结果，通过对原始数据进行标准化格式转换与预处理，并耦合网格尺度的极端水文事件预测模型，实时预测未来1-30天、11-40天、21-50天三个时段极端丰水或极端枯水危险性，包括S2S尺度极端枯水阈值及概率预测、极端丰水阈值及概率预测，通过危险性数据的计算和分析，实现次季节全国网格尺度的产流极端水文事件预测。</w:t>
      </w:r>
    </w:p>
    <w:p>
      <w:pPr>
        <w:pStyle w:val="Heading5"/>
        <w:numPr>
          <w:ilvl w:val="4"/>
          <w:numId w:val="11"/>
        </w:numPr>
      </w:pPr>
      <w:r>
        <w:rPr>
          <w:rFonts w:hint="eastAsia"/>
        </w:rPr>
        <w:t>次季节典型水库、水文站来水量极端水文事件预测模块</w:t>
      </w:r>
    </w:p>
    <w:p>
      <w:pPr>
        <w:ind w:firstLine="420" w:firstLineChars="200"/>
      </w:pPr>
      <w:r>
        <w:t>基于次季节典型水库、水文站径流模拟结果，通过标准化格式转换与预处理，应用典型水库、水文站极端水文事件预测模型，实时预测未来1-30天、11-40天、21-50天三个时段典型水库极端丰水或极端枯水风险，包括S2S尺度极端枯水阈值及概率预测、极端丰水阈值及概率预测，通过危险性数据的计算和分析，实现次季节典型水库、水文站来水量极端水文事件预测。</w:t>
      </w:r>
    </w:p>
    <w:p>
      <w:pPr>
        <w:pStyle w:val="Heading5"/>
        <w:numPr>
          <w:ilvl w:val="4"/>
          <w:numId w:val="11"/>
        </w:numPr>
      </w:pPr>
      <w:r>
        <w:rPr>
          <w:rFonts w:hint="eastAsia"/>
        </w:rPr>
        <w:t>次季节格点产水异常预测模块</w:t>
      </w:r>
    </w:p>
    <w:p>
      <w:pPr>
        <w:ind w:firstLine="420" w:firstLineChars="200"/>
      </w:pPr>
      <w:r>
        <w:t>基于次季节全国网格产流模拟结果，通过标准化格式转换与时空一致性预处理，构建包含S2S尺度格点累计产水量、多年平均产水量、产水量距平百分率、产水量三分位概率的标准化数据集，耦合水资源异常预测模型，实时预测未来1-30天、11-40天、21-50天三个时段全国格网水资源异常，输出异常数据。</w:t>
      </w:r>
    </w:p>
    <w:p>
      <w:pPr>
        <w:pStyle w:val="Heading5"/>
        <w:numPr>
          <w:ilvl w:val="4"/>
          <w:numId w:val="11"/>
        </w:numPr>
      </w:pPr>
      <w:r>
        <w:rPr>
          <w:rFonts w:hint="eastAsia"/>
        </w:rPr>
        <w:t>次季节水库、水文站产水异常预测模块</w:t>
      </w:r>
    </w:p>
    <w:p>
      <w:pPr>
        <w:ind w:firstLine="420" w:firstLineChars="200"/>
      </w:pPr>
      <w:r>
        <w:t>基于次季节水库、水文站径流模拟结果，通过标准化格式转换与数据一致性预处理，构建包含集水区累计产水量、多年平均产水量、产水量距平百分率及三分位概率的标准化数据集，耦合水资源异常预测模型，实时预测未来1-30天、11-40天、21-50天三个时段水库、水文站水资源异常，输出异常数据。</w:t>
      </w:r>
    </w:p>
    <w:p>
      <w:pPr>
        <w:pStyle w:val="Heading5"/>
        <w:numPr>
          <w:ilvl w:val="4"/>
          <w:numId w:val="11"/>
        </w:numPr>
      </w:pPr>
      <w:r>
        <w:rPr>
          <w:rFonts w:hint="eastAsia"/>
        </w:rPr>
        <w:t>次季节1级、2级、3级流域水文分区的来水异常预测模块</w:t>
      </w:r>
    </w:p>
    <w:p>
      <w:pPr>
        <w:ind w:firstLine="420" w:firstLineChars="200"/>
      </w:pPr>
      <w:r>
        <w:t>基于次季节格网径流模拟结果，通过标准化格式转换与数据一致性预处理，构建S2S尺度1级、2级、3级流域分区累计产水量、多年平均产水量、产水量距平百分率、产水量三分位概率标准化数据集，利用流域水资源异常预测模型，实时预测未来1-30天、11-40天、21-50天三个时段1级、2级、3级流域水资源异常，输出1级、2级、3级流域水文分区的来水异常数据。</w:t>
      </w:r>
    </w:p>
    <w:p>
      <w:pPr>
        <w:pStyle w:val="Heading5"/>
        <w:numPr>
          <w:ilvl w:val="4"/>
          <w:numId w:val="11"/>
        </w:numPr>
      </w:pPr>
      <w:r>
        <w:rPr>
          <w:rFonts w:hint="eastAsia"/>
        </w:rPr>
        <w:t>滚动季节格点径流异常预测模块</w:t>
      </w:r>
    </w:p>
    <w:p>
      <w:pPr>
        <w:ind w:firstLine="420" w:firstLineChars="200"/>
      </w:pPr>
      <w:r>
        <w:t>基于未来1-7个月内5个滚动季节的全国网格产水量模拟结果,，通过标准化格式转换与数据一致性预处理，构建滚动季节尺度格点累计产水量、多年平均产水量、产水量距平百分率、产水量三分位概率标准化数据集，利用产水异常预测模型，实时预测未来1-7个月滚动季节的全国产水异常，输出滚动季节格点径流异常数据。</w:t>
      </w:r>
    </w:p>
    <w:p>
      <w:pPr>
        <w:pStyle w:val="Heading5"/>
        <w:numPr>
          <w:ilvl w:val="4"/>
          <w:numId w:val="11"/>
        </w:numPr>
      </w:pPr>
      <w:r>
        <w:rPr>
          <w:rFonts w:hint="eastAsia"/>
        </w:rPr>
        <w:t>滚动季节典型水库、水文站来水异常预测模块</w:t>
      </w:r>
    </w:p>
    <w:p>
      <w:pPr>
        <w:ind w:firstLine="420" w:firstLineChars="200"/>
      </w:pPr>
      <w:r>
        <w:t>基于未来1-7个月内5个滚动季节的典型水库、水文站来水量模拟结果</w:t>
      </w:r>
      <w:r>
        <w:rPr>
          <w:rFonts w:hint="eastAsia"/>
        </w:rPr>
        <w:t>，</w:t>
      </w:r>
      <w:r>
        <w:t>通过标准化格式转换与数据一致性预处理，构建滚动季节尺度典型水库、水文站累计产水量、多年平均产水量、产水量距平百分率、产水量三分位概率标准化数据集，利用水库极端水文事件预测模型，实时预测未来1-7个月滚动季节的典型水库、水文站来水量异常，输出滚动季节典型水库、水文站来水异常数据。</w:t>
      </w:r>
    </w:p>
    <w:p>
      <w:pPr>
        <w:pStyle w:val="Heading5"/>
        <w:numPr>
          <w:ilvl w:val="4"/>
          <w:numId w:val="11"/>
        </w:numPr>
      </w:pPr>
      <w:r>
        <w:rPr>
          <w:rFonts w:hint="eastAsia"/>
        </w:rPr>
        <w:t>滚动季节典型1级、2级、3级流域水文分区来水异常预测模块</w:t>
      </w:r>
    </w:p>
    <w:p>
      <w:pPr>
        <w:ind w:firstLine="420" w:firstLineChars="200"/>
      </w:pPr>
      <w:r>
        <w:t>基于未来1-7个月内5个滚动季节的典型1级、2级、3级流域水文分区来水量模拟结果,，通过标准化格式转换与数据一致性预处理，构建滚动季节尺度典型1级、2级、3级流域水文分区累计产水量、多年平均产水量、产水量距平百分率、产水量三分位概率标准化数据集，利用典型分级流域极端水文事件预测模型，实时预测未来1-7个月滚动季节的典型1级、2级、3级流域水文分区来水量异常，输出滚动季节典型1级、2级、3级流域水文分区来水异常数据。</w:t>
      </w:r>
    </w:p>
    <w:p>
      <w:pPr>
        <w:pStyle w:val="Heading5"/>
        <w:numPr>
          <w:ilvl w:val="4"/>
          <w:numId w:val="11"/>
        </w:numPr>
      </w:pPr>
      <w:r>
        <w:rPr>
          <w:rFonts w:hint="eastAsia"/>
        </w:rPr>
        <w:t>次季节全国格点极端水文事件预测产品制作输出与发布模块</w:t>
      </w:r>
    </w:p>
    <w:p>
      <w:pPr>
        <w:ind w:firstLine="420" w:firstLineChars="200"/>
      </w:pPr>
      <w:r>
        <w:t>本模块以次季节模式预报网格数据与基础地理信息数据作为输入，通过标准化接口实现多源、多格式数据的自动接入与时空一致性校验。基于可灵活设定的极端事件阈值，对1-30天、11-40天、21-50天的格点预测结果进行同步判识与等级划分，采用高性能GIS渲染引擎，将分级结果与行政区划、水系等地理图层叠加，批量生成符合制图规范的空间分布图产品。整个过程由统一的监控日志组件进行追踪与记录，确保流程的稳定与可回溯。</w:t>
      </w:r>
    </w:p>
    <w:p>
      <w:pPr>
        <w:pStyle w:val="Heading5"/>
        <w:numPr>
          <w:ilvl w:val="4"/>
          <w:numId w:val="11"/>
        </w:numPr>
      </w:pPr>
      <w:r>
        <w:rPr>
          <w:rFonts w:hint="eastAsia"/>
        </w:rPr>
        <w:t>次季节典型水库、水文站极端水文事件预测产品制作输出与发布模块</w:t>
      </w:r>
    </w:p>
    <w:p>
      <w:pPr>
        <w:ind w:firstLine="420" w:firstLineChars="200"/>
      </w:pPr>
      <w:r>
        <w:t>次季节典型水库、水文站极端水文事件预测产品制作输出与发布模块以未来1-50天的次季节典型水库、水文站来水量预测数据作为输入数据，基于预设的极端阈值，对1-30天、11-40天、21-50天的来水量预测序列进行自动判识，生成极端事件等级，通过高性能GIS渲染引擎，将分级结果与底图图层叠加，生成符合制图规范的空间分布图产品，从所有站点提取预测信息，汇总生成结构化数据表格。</w:t>
      </w:r>
    </w:p>
    <w:p>
      <w:pPr>
        <w:pStyle w:val="Heading5"/>
        <w:numPr>
          <w:ilvl w:val="4"/>
          <w:numId w:val="11"/>
        </w:numPr>
      </w:pPr>
      <w:r>
        <w:rPr>
          <w:rFonts w:hint="eastAsia"/>
        </w:rPr>
        <w:t>次季节1级、2级、3级流域水文分区来水预测产品制作输出与发布模块</w:t>
      </w:r>
    </w:p>
    <w:p>
      <w:pPr>
        <w:ind w:firstLine="420" w:firstLineChars="200"/>
      </w:pPr>
      <w:r>
        <w:t>本模块以次季节模式输出的1级、2级、3级流域水文分区网格预测数据作为输入数据，通过统一数据接口接入。基于预设的极端阈值标准，对覆盖未来1-30天、11-40天、21-50天的流域分区预测结果进行统计与极端事件判识，同步计算出各分区在不同预见期的预测特征值。通过GIS空间渲染与统计图表引擎，自动生成展现各级流域空间分布特征的专题图，以及反映其时间演变趋势的统计图表。</w:t>
      </w:r>
    </w:p>
    <w:p>
      <w:pPr>
        <w:pStyle w:val="Heading5"/>
        <w:numPr>
          <w:ilvl w:val="4"/>
          <w:numId w:val="11"/>
        </w:numPr>
      </w:pPr>
      <w:r>
        <w:rPr>
          <w:rFonts w:hint="eastAsia"/>
        </w:rPr>
        <w:t>季节全国格点地表产水产品制作输出与发布模块</w:t>
      </w:r>
    </w:p>
    <w:p>
      <w:pPr>
        <w:ind w:firstLine="420" w:firstLineChars="200"/>
      </w:pPr>
      <w:r>
        <w:t>本模块基于滚动季节模式输出的全国格点地表产水预测数据，通过标准接口自动获取未来1-7个月内五个滚动时段（如未来第1-3月、2-4月等）的预测场。基于长序列历史气候态计算各网格点不同季节的产水气候均值，进而自动计算各滚动期的预测异常百分比或距平值，并依据预设阈值划分异常等级。通过高性能空间渲染引擎，将五个滚动期的异常格点数据分别与地理要素叠加，生成标准化的全国来水异常空间分布专题图。全过程由统一的监控日志系统保障其运行的稳定性与可追溯性。</w:t>
      </w:r>
    </w:p>
    <w:p>
      <w:pPr>
        <w:pStyle w:val="Heading5"/>
        <w:numPr>
          <w:ilvl w:val="4"/>
          <w:numId w:val="11"/>
        </w:numPr>
      </w:pPr>
      <w:r>
        <w:rPr>
          <w:rFonts w:hint="eastAsia"/>
        </w:rPr>
        <w:t>季节典型水库、水文站来水预测产品制作输出与发布模块</w:t>
      </w:r>
    </w:p>
    <w:p>
      <w:pPr>
        <w:ind w:firstLine="420" w:firstLineChars="200"/>
      </w:pPr>
      <w:r>
        <w:t>季节典型水库、水文站来水预测产品制作输出与发布模块基于滚动季节模式输出的典型水库、水文站格点或站点来水预测数据，通过标准化数据接口接入未来1-7个月内五个滚动季节的预测结果，并同步关联水库的名称、位置、设计库容等基础属性信息。基于各站点长序列历史气候数据计算季节性气候均值，计算各滚动季节的来水预测异常百分比或距平值，并依据预设的异常等级阈值进行判识与分类。调用图表渲染引擎，生成五个滚动季节来水异常演变趋势的折线图或柱状图，将站点的关键预测数据（如预测值、异常等级、气候均值）进行提取与汇总，生成结构化的预测结果总表。</w:t>
      </w:r>
    </w:p>
    <w:p>
      <w:pPr>
        <w:pStyle w:val="Heading5"/>
        <w:numPr>
          <w:ilvl w:val="4"/>
          <w:numId w:val="11"/>
        </w:numPr>
      </w:pPr>
      <w:r>
        <w:rPr>
          <w:rFonts w:hint="eastAsia"/>
        </w:rPr>
        <w:t>季节典型1级、2级、3级流域水文分区来水预测产品制作输出与发布模块</w:t>
      </w:r>
    </w:p>
    <w:p>
      <w:pPr>
        <w:ind w:firstLine="420" w:firstLineChars="200"/>
      </w:pPr>
      <w:r>
        <w:t>针对滚动季节模式输出的1级、2级、3级流域水文分区预测数据，通过标准数据接口自动获取未来1-7个月内五个连续滚动季节的网格预测场。基于各流域分区历史气候态，计算各滚动季节的面平均来水预测值及其相对于气候态的异常百分比或距平，并依据业务规则进行异常等级划分，生成不同层级流域空间异常格局的专题图。同时，收集汇总各级流域在五个滚动季节的预测结果，生成多层级的来水异常预测总表。</w:t>
      </w:r>
    </w:p>
    <w:p>
      <w:pPr>
        <w:pStyle w:val="Heading4"/>
        <w:numPr>
          <w:ilvl w:val="3"/>
          <w:numId w:val="11"/>
        </w:numPr>
      </w:pPr>
      <w:bookmarkStart w:id="67" w:name="_Toc11774"/>
      <w:r>
        <w:rPr>
          <w:rFonts w:hint="eastAsia"/>
        </w:rPr>
        <w:t>次季节至季节风能太阳能资源精细化预测子系统</w:t>
      </w:r>
      <w:bookmarkEnd w:id="67"/>
    </w:p>
    <w:p>
      <w:pPr>
        <w:ind w:firstLine="420" w:firstLineChars="200"/>
      </w:pPr>
      <w:r>
        <w:t>本子系统通过系统性接入、融合与治理多源观测资料、多模式集合预报、高分辨率地理信息及场站元数据，构建覆盖“数据接入–质控标准化–多模式融合–人工智能订正–能源产品派生–检验服务”全流程的一体化预测引擎。旨在实现次季节至季节时间尺度上风能、太阳能资源的高精度、高分辨率网格化预测，并驱动风电/光伏功率推导及风险预警业务，为能源电力系统规划、调度与安全运行提供可靠的数据支撑。</w:t>
      </w:r>
    </w:p>
    <w:p>
      <w:pPr>
        <w:pStyle w:val="Heading5"/>
        <w:numPr>
          <w:ilvl w:val="4"/>
          <w:numId w:val="11"/>
        </w:numPr>
      </w:pPr>
      <w:r>
        <w:rPr>
          <w:rFonts w:hint="eastAsia"/>
        </w:rPr>
        <w:t>多源观测接入与编目模块</w:t>
      </w:r>
    </w:p>
    <w:p>
      <w:pPr>
        <w:ind w:firstLine="420" w:firstLineChars="200"/>
      </w:pPr>
      <w:r>
        <w:t>该模块负责系统性接入、登记与管理来自地面、卫星及再分析产品的多源异构观测数据，构建统一、可追溯的观测数据资产目录。</w:t>
      </w:r>
    </w:p>
    <w:p>
      <w:pPr>
        <w:pStyle w:val="Heading6"/>
        <w:numPr>
          <w:ilvl w:val="5"/>
          <w:numId w:val="11"/>
        </w:numPr>
      </w:pPr>
      <w:r>
        <w:rPr>
          <w:rFonts w:hint="eastAsia"/>
        </w:rPr>
        <w:t>多源数据接入</w:t>
      </w:r>
    </w:p>
    <w:p>
      <w:pPr>
        <w:ind w:firstLine="420" w:firstLineChars="200"/>
      </w:pPr>
      <w:r>
        <w:rPr>
          <w:rFonts w:hint="eastAsia"/>
        </w:rPr>
        <w:t>对接国内外各类气象观测与再分析数据源，支持多种传输协议与数据格式，实现数据的自动、稳定接入。包括气象大数据平台引接、国际再分析数据引接、风云卫星产品引接及引接任务监控功能。</w:t>
      </w:r>
    </w:p>
    <w:p>
      <w:pPr>
        <w:ind w:firstLine="420" w:firstLineChars="200"/>
      </w:pPr>
      <w:r>
        <w:rPr>
          <w:rFonts w:hint="eastAsia"/>
        </w:rPr>
        <w:t>（1）气象大数据平台引接功能</w:t>
      </w:r>
    </w:p>
    <w:p>
      <w:pPr>
        <w:ind w:firstLine="420" w:firstLineChars="200"/>
      </w:pPr>
      <w:r>
        <w:rPr>
          <w:rFonts w:hint="eastAsia"/>
        </w:rPr>
        <w:t>对接国家级气象大数据云平台（如“天擎”），开发定时任务，按要素、区域、时效筛选并引接地面自动站观测、雷达产品等数据，完成数据的标准化解析与本地入库。</w:t>
      </w:r>
    </w:p>
    <w:p>
      <w:pPr>
        <w:ind w:firstLine="420" w:firstLineChars="200"/>
      </w:pPr>
      <w:r>
        <w:rPr>
          <w:rFonts w:hint="eastAsia"/>
        </w:rPr>
        <w:t>（2）国际再分析数据引接功能</w:t>
      </w:r>
    </w:p>
    <w:p>
      <w:pPr>
        <w:ind w:firstLine="420" w:firstLineChars="200"/>
      </w:pPr>
      <w:r>
        <w:rPr>
          <w:rFonts w:hint="eastAsia"/>
        </w:rPr>
        <w:t>配置标准化的数据接口，支持自动从ECMWF、NCEP等国际机构引接ERA、CRA、CLDAS等再分析产品数据，兼容GRIB、NetCDF等格式，并完成数据格式解析与质量初检。</w:t>
      </w:r>
    </w:p>
    <w:p>
      <w:pPr>
        <w:ind w:firstLine="420" w:firstLineChars="200"/>
      </w:pPr>
      <w:r>
        <w:rPr>
          <w:rFonts w:hint="eastAsia"/>
        </w:rPr>
        <w:t>（3）风云卫星产品引接功能</w:t>
      </w:r>
    </w:p>
    <w:p>
      <w:pPr>
        <w:ind w:firstLine="420" w:firstLineChars="200"/>
      </w:pPr>
      <w:r>
        <w:rPr>
          <w:rFonts w:hint="eastAsia"/>
        </w:rPr>
        <w:t>建立与风云卫星数据中心的专线连接或API接口，定时引接太阳辐射、云、气溶胶等卫星反演产品，并进行数据格式解析与空间投影转换预处理。</w:t>
      </w:r>
    </w:p>
    <w:p>
      <w:pPr>
        <w:ind w:firstLine="420" w:firstLineChars="200"/>
      </w:pPr>
      <w:r>
        <w:rPr>
          <w:rFonts w:hint="eastAsia"/>
        </w:rPr>
        <w:t>（4）引接任务监控功能</w:t>
      </w:r>
    </w:p>
    <w:p>
      <w:pPr>
        <w:ind w:firstLine="420" w:firstLineChars="200"/>
      </w:pPr>
      <w:r>
        <w:rPr>
          <w:rFonts w:hint="eastAsia"/>
        </w:rPr>
        <w:t>对所有数据接入任务进行统一调度与全流程监控，实时展示各数据源的连接状态、传输速率、数据延迟与任务成功率，对传输失败或数据异常触发多级告警。</w:t>
      </w:r>
    </w:p>
    <w:p>
      <w:pPr>
        <w:pStyle w:val="Heading6"/>
        <w:numPr>
          <w:ilvl w:val="5"/>
          <w:numId w:val="11"/>
        </w:numPr>
      </w:pPr>
      <w:r>
        <w:rPr>
          <w:rFonts w:hint="eastAsia"/>
        </w:rPr>
        <w:t>数据编目与版本管理</w:t>
      </w:r>
    </w:p>
    <w:p>
      <w:pPr>
        <w:ind w:firstLine="420" w:firstLineChars="200"/>
      </w:pPr>
      <w:r>
        <w:rPr>
          <w:rFonts w:hint="eastAsia"/>
        </w:rPr>
        <w:t>对成功接入的各类观测数据产品进行自动化元数据提取、标准化登记与版本化管理，形成可查询、可追溯的数据资产清单。</w:t>
      </w:r>
    </w:p>
    <w:p>
      <w:pPr>
        <w:ind w:firstLine="420" w:firstLineChars="200"/>
      </w:pPr>
      <w:r>
        <w:rPr>
          <w:rFonts w:hint="eastAsia"/>
        </w:rPr>
        <w:t>（1）元数据自动化提取与登记</w:t>
      </w:r>
    </w:p>
    <w:p>
      <w:pPr>
        <w:ind w:firstLine="420" w:firstLineChars="200"/>
      </w:pPr>
      <w:r>
        <w:rPr>
          <w:rFonts w:hint="eastAsia"/>
        </w:rPr>
        <w:t>自动解析数据文件，提取其数据源、要素、时空范围、分辨率、生成时间等核心元数据，并按照统一规范登记至数据资产目录，生成全局唯一的数据标识符。</w:t>
      </w:r>
    </w:p>
    <w:p>
      <w:pPr>
        <w:ind w:firstLine="420" w:firstLineChars="200"/>
      </w:pPr>
      <w:r>
        <w:rPr>
          <w:rFonts w:hint="eastAsia"/>
        </w:rPr>
        <w:t>（2）数据版本化与历史追溯</w:t>
      </w:r>
    </w:p>
    <w:p>
      <w:pPr>
        <w:ind w:firstLine="420" w:firstLineChars="200"/>
      </w:pPr>
      <w:r>
        <w:rPr>
          <w:rFonts w:hint="eastAsia"/>
        </w:rPr>
        <w:t>建立数据版本控制机制，对同一数据源的不同批次、不同处理版本的数据进行区分和关联存储。支持按时间、版本号查询历史数据，实现数据变化的完整追溯。</w:t>
      </w:r>
    </w:p>
    <w:p>
      <w:pPr>
        <w:ind w:firstLine="420" w:firstLineChars="200"/>
      </w:pPr>
      <w:r>
        <w:rPr>
          <w:rFonts w:hint="eastAsia"/>
        </w:rPr>
        <w:t>（3）数据到达监测与报告</w:t>
      </w:r>
    </w:p>
    <w:p>
      <w:pPr>
        <w:ind w:firstLine="420" w:firstLineChars="200"/>
      </w:pPr>
      <w:r>
        <w:rPr>
          <w:rFonts w:hint="eastAsia"/>
        </w:rPr>
        <w:t>实时监测各数据源的预期到达时间与实际到达情况，对数据延迟、缺失或版本异常进行标记和告警，并自动生成每日/每周的数据接入状态报告。</w:t>
      </w:r>
    </w:p>
    <w:p>
      <w:pPr>
        <w:pStyle w:val="Heading5"/>
        <w:numPr>
          <w:ilvl w:val="4"/>
          <w:numId w:val="11"/>
        </w:numPr>
      </w:pPr>
      <w:r>
        <w:rPr>
          <w:rFonts w:hint="eastAsia"/>
        </w:rPr>
        <w:t>模式预测接入与统一命名模块</w:t>
      </w:r>
    </w:p>
    <w:p>
      <w:pPr>
        <w:ind w:firstLine="420" w:firstLineChars="200"/>
      </w:pPr>
      <w:r>
        <w:t>该模块负责对接国内外主流次季节至季节预测模式，对模式数据及集合成员进行规范化接入、解析与统一命名，为后续多模式融合提供标准化的输入。</w:t>
      </w:r>
    </w:p>
    <w:p>
      <w:pPr>
        <w:pStyle w:val="Heading6"/>
        <w:numPr>
          <w:ilvl w:val="5"/>
          <w:numId w:val="11"/>
        </w:numPr>
      </w:pPr>
      <w:r>
        <w:rPr>
          <w:rFonts w:hint="eastAsia"/>
        </w:rPr>
        <w:t>多模式数据引接</w:t>
      </w:r>
    </w:p>
    <w:p>
      <w:pPr>
        <w:ind w:firstLine="420" w:firstLineChars="200"/>
      </w:pPr>
      <w:r>
        <w:rPr>
          <w:rFonts w:hint="eastAsia"/>
        </w:rPr>
        <w:t>支持从不同渠道接入CMA-CPSv3、ECMWF SEAS5、NCEP-CFSv2等核心业务模式（含所有集合成员）的预报数据。</w:t>
      </w:r>
    </w:p>
    <w:p>
      <w:pPr>
        <w:ind w:firstLine="420" w:firstLineChars="200"/>
      </w:pPr>
      <w:r>
        <w:rPr>
          <w:rFonts w:hint="eastAsia"/>
        </w:rPr>
        <w:t>（1）模式数据自动拉取与解析</w:t>
      </w:r>
    </w:p>
    <w:p>
      <w:pPr>
        <w:ind w:firstLine="420" w:firstLineChars="200"/>
      </w:pPr>
      <w:r>
        <w:rPr>
          <w:rFonts w:hint="eastAsia"/>
        </w:rPr>
        <w:t>配置定时任务，通过FTP、API或专线等方式自动获取各模式发布的GRIB2或NetCDF格式原始预报数据。开发统一的解析引擎，准确提取预报场、起报时间、预报时效、集合成员编号等关键信息。</w:t>
      </w:r>
    </w:p>
    <w:p>
      <w:pPr>
        <w:ind w:firstLine="420" w:firstLineChars="200"/>
      </w:pPr>
      <w:r>
        <w:rPr>
          <w:rFonts w:hint="eastAsia"/>
        </w:rPr>
        <w:t>（2）集合成员识别与管理</w:t>
      </w:r>
    </w:p>
    <w:p>
      <w:pPr>
        <w:ind w:firstLine="420" w:firstLineChars="200"/>
      </w:pPr>
      <w:r>
        <w:rPr>
          <w:rFonts w:hint="eastAsia"/>
        </w:rPr>
        <w:t>自动识别和区分模式输出中的控制预报和扰动预报（集合成员），为每个成员分配系统内部唯一标识，并管理其元数据（如扰动方法、权重等）。</w:t>
      </w:r>
    </w:p>
    <w:p>
      <w:pPr>
        <w:ind w:firstLine="420" w:firstLineChars="200"/>
      </w:pPr>
      <w:r>
        <w:rPr>
          <w:rFonts w:hint="eastAsia"/>
        </w:rPr>
        <w:t>（3）数据完整性校验</w:t>
      </w:r>
    </w:p>
    <w:p>
      <w:pPr>
        <w:ind w:firstLine="420" w:firstLineChars="200"/>
      </w:pPr>
      <w:r>
        <w:rPr>
          <w:rFonts w:hint="eastAsia"/>
        </w:rPr>
        <w:t>对接入的模式数据进行即时校验，检查其时空维度、要素字段、数据值的完整性与合理性，对缺失或异常数据文件进行记录与告警。</w:t>
      </w:r>
    </w:p>
    <w:p>
      <w:pPr>
        <w:pStyle w:val="Heading6"/>
        <w:numPr>
          <w:ilvl w:val="5"/>
          <w:numId w:val="11"/>
        </w:numPr>
      </w:pPr>
      <w:r>
        <w:rPr>
          <w:rFonts w:hint="eastAsia"/>
        </w:rPr>
        <w:t>统一命名与标准化</w:t>
      </w:r>
    </w:p>
    <w:p>
      <w:pPr>
        <w:ind w:firstLine="420" w:firstLineChars="200"/>
      </w:pPr>
      <w:r>
        <w:rPr>
          <w:rFonts w:hint="eastAsia"/>
        </w:rPr>
        <w:t>建立并实施一套覆盖模式、成员、时效的全局统一命名规范，消除数据歧义，确保系统内部数据标识的一致性。</w:t>
      </w:r>
    </w:p>
    <w:p>
      <w:pPr>
        <w:ind w:firstLine="420" w:firstLineChars="200"/>
      </w:pPr>
      <w:r>
        <w:rPr>
          <w:rFonts w:hint="eastAsia"/>
        </w:rPr>
        <w:t>（1）统一命名规范制定与实施</w:t>
      </w:r>
    </w:p>
    <w:p>
      <w:pPr>
        <w:ind w:firstLine="420" w:firstLineChars="200"/>
      </w:pPr>
      <w:r>
        <w:rPr>
          <w:rFonts w:hint="eastAsia"/>
        </w:rPr>
        <w:t>设计并强制执行一套包含“模式来源_起报时间_预报时效_集合成员ID_要素”等维度的命名规范，对所有接入的原始数据文件及解析后的数据对象进行重命名。</w:t>
      </w:r>
    </w:p>
    <w:p>
      <w:pPr>
        <w:ind w:firstLine="420" w:firstLineChars="200"/>
      </w:pPr>
      <w:r>
        <w:rPr>
          <w:rFonts w:hint="eastAsia"/>
        </w:rPr>
        <w:t>（2）元数据关联与索引构建</w:t>
      </w:r>
    </w:p>
    <w:p>
      <w:pPr>
        <w:ind w:firstLine="420" w:firstLineChars="200"/>
      </w:pPr>
      <w:r>
        <w:rPr>
          <w:rFonts w:hint="eastAsia"/>
        </w:rPr>
        <w:t>将标准化命名后的数据对象与其完整的元数据（原始来源、处理过程、物理单位等）进行强关联，并构建高效索引，支持根据模式、起报时间、区域等多种条件进行快速检索与调用。</w:t>
      </w:r>
    </w:p>
    <w:p>
      <w:pPr>
        <w:pStyle w:val="Heading5"/>
        <w:numPr>
          <w:ilvl w:val="4"/>
          <w:numId w:val="11"/>
        </w:numPr>
      </w:pPr>
      <w:r>
        <w:rPr>
          <w:rFonts w:hint="eastAsia"/>
        </w:rPr>
        <w:t>质量控制与异常检测模块</w:t>
      </w:r>
    </w:p>
    <w:p>
      <w:pPr>
        <w:ind w:firstLine="420" w:firstLineChars="200"/>
      </w:pPr>
      <w:r>
        <w:t>该模块对原始观测及预报数据进行自动化质量控制和异常检测，确保输入下游流程的数据可靠可用。</w:t>
      </w:r>
    </w:p>
    <w:p>
      <w:pPr>
        <w:pStyle w:val="Heading6"/>
        <w:numPr>
          <w:ilvl w:val="5"/>
          <w:numId w:val="11"/>
        </w:numPr>
      </w:pPr>
      <w:r>
        <w:rPr>
          <w:rFonts w:hint="eastAsia"/>
        </w:rPr>
        <w:t>数据质控处理</w:t>
      </w:r>
    </w:p>
    <w:p>
      <w:pPr>
        <w:ind w:firstLine="420" w:firstLineChars="200"/>
      </w:pPr>
      <w:r>
        <w:rPr>
          <w:rFonts w:hint="eastAsia"/>
        </w:rPr>
        <w:t>采用多种统计与物理方法对数据进行检验和修复。</w:t>
      </w:r>
    </w:p>
    <w:p>
      <w:pPr>
        <w:ind w:firstLine="420" w:firstLineChars="200"/>
      </w:pPr>
      <w:r>
        <w:rPr>
          <w:rFonts w:hint="eastAsia"/>
        </w:rPr>
        <w:t>（1）缺测检测与智能插补</w:t>
      </w:r>
    </w:p>
    <w:p>
      <w:pPr>
        <w:ind w:firstLine="420" w:firstLineChars="200"/>
      </w:pPr>
      <w:r>
        <w:rPr>
          <w:rFonts w:hint="eastAsia"/>
        </w:rPr>
        <w:t>识别数据中的缺失值（NaN），综合运用时间序列插值、空间克里金插值及基于再分析数据的背景场融合等方法进行智能插补。</w:t>
      </w:r>
    </w:p>
    <w:p>
      <w:pPr>
        <w:ind w:firstLine="420" w:firstLineChars="200"/>
      </w:pPr>
      <w:r>
        <w:rPr>
          <w:rFonts w:hint="eastAsia"/>
        </w:rPr>
        <w:t>（2）离群值检测与处理</w:t>
      </w:r>
    </w:p>
    <w:p>
      <w:pPr>
        <w:ind w:firstLine="420" w:firstLineChars="200"/>
      </w:pPr>
      <w:r>
        <w:rPr>
          <w:rFonts w:hint="eastAsia"/>
        </w:rPr>
        <w:t>利用箱线图、标准差阈值、时空一致性检查等方法自动检测离群异常值。对确认的异常值进行剔除、修正或标记，并记录处理日志。</w:t>
      </w:r>
    </w:p>
    <w:p>
      <w:pPr>
        <w:ind w:firstLine="420" w:firstLineChars="200"/>
      </w:pPr>
      <w:r>
        <w:rPr>
          <w:rFonts w:hint="eastAsia"/>
        </w:rPr>
        <w:t>（3）物理一致性校验</w:t>
      </w:r>
    </w:p>
    <w:p>
      <w:pPr>
        <w:ind w:firstLine="420" w:firstLineChars="200"/>
      </w:pPr>
      <w:r>
        <w:rPr>
          <w:rFonts w:hint="eastAsia"/>
        </w:rPr>
        <w:t>检查数据是否符合基本物理规律（如辐射值非负、风速合理范围、地形与风速的粗糙度关系等），对不合理的值进行标记。</w:t>
      </w:r>
    </w:p>
    <w:p>
      <w:pPr>
        <w:pStyle w:val="Heading6"/>
        <w:numPr>
          <w:ilvl w:val="5"/>
          <w:numId w:val="11"/>
        </w:numPr>
      </w:pPr>
      <w:r>
        <w:rPr>
          <w:rFonts w:hint="eastAsia"/>
        </w:rPr>
        <w:t>质控报告生成</w:t>
      </w:r>
    </w:p>
    <w:p>
      <w:pPr>
        <w:ind w:firstLine="420" w:firstLineChars="200"/>
      </w:pPr>
      <w:r>
        <w:rPr>
          <w:rFonts w:hint="eastAsia"/>
        </w:rPr>
        <w:t>自动生成详细的数据质量控制报告，为数据质量评估和问题溯源提供依据。</w:t>
      </w:r>
    </w:p>
    <w:p>
      <w:pPr>
        <w:ind w:firstLine="420" w:firstLineChars="200"/>
      </w:pPr>
      <w:r>
        <w:rPr>
          <w:rFonts w:hint="eastAsia"/>
        </w:rPr>
        <w:t>（1）质控标识附加</w:t>
      </w:r>
    </w:p>
    <w:p>
      <w:pPr>
        <w:ind w:firstLine="420" w:firstLineChars="200"/>
      </w:pPr>
      <w:r>
        <w:rPr>
          <w:rFonts w:hint="eastAsia"/>
        </w:rPr>
        <w:t>在数据流经质控流程后，自动为每个数据格点或站点附加质控标识码（如：0-正确，1-可疑，2-错误，3-插补等）。</w:t>
      </w:r>
    </w:p>
    <w:p>
      <w:pPr>
        <w:ind w:firstLine="420" w:firstLineChars="200"/>
      </w:pPr>
      <w:r>
        <w:rPr>
          <w:rFonts w:hint="eastAsia"/>
        </w:rPr>
        <w:t>（2）质控统计报告生成</w:t>
      </w:r>
    </w:p>
    <w:p>
      <w:pPr>
        <w:ind w:firstLine="420" w:firstLineChars="200"/>
      </w:pPr>
      <w:r>
        <w:rPr>
          <w:rFonts w:hint="eastAsia"/>
        </w:rPr>
        <w:t>定期（如每日、每周）生成质控报告，汇总展示各类数据源的缺测率、异常率、插补比例等统计信息，并以图表形式呈现问题数据的时空分布。</w:t>
      </w:r>
    </w:p>
    <w:p>
      <w:pPr>
        <w:pStyle w:val="Heading5"/>
        <w:numPr>
          <w:ilvl w:val="4"/>
          <w:numId w:val="11"/>
        </w:numPr>
      </w:pPr>
      <w:r>
        <w:rPr>
          <w:rFonts w:hint="eastAsia"/>
        </w:rPr>
        <w:t>统一网格与时间轴标准化模块</w:t>
      </w:r>
    </w:p>
    <w:p>
      <w:pPr>
        <w:ind w:firstLine="420" w:firstLineChars="200"/>
      </w:pPr>
      <w:r>
        <w:t>该模块将多源、多分辨率、多时空参考的数据统一转换至标准的空间网格和时间轴上，为数据融合与比较奠定基础。</w:t>
      </w:r>
    </w:p>
    <w:p>
      <w:pPr>
        <w:pStyle w:val="Heading6"/>
        <w:numPr>
          <w:ilvl w:val="5"/>
          <w:numId w:val="11"/>
        </w:numPr>
      </w:pPr>
      <w:r>
        <w:rPr>
          <w:rFonts w:hint="eastAsia"/>
        </w:rPr>
        <w:t>空间标准化</w:t>
      </w:r>
    </w:p>
    <w:p>
      <w:pPr>
        <w:ind w:firstLine="420" w:firstLineChars="200"/>
      </w:pPr>
      <w:r>
        <w:rPr>
          <w:rFonts w:hint="eastAsia"/>
        </w:rPr>
        <w:t>实现所有数据向统一空间框架的转换。</w:t>
      </w:r>
    </w:p>
    <w:p>
      <w:pPr>
        <w:ind w:firstLine="420" w:firstLineChars="200"/>
      </w:pPr>
      <w:r>
        <w:rPr>
          <w:rFonts w:hint="eastAsia"/>
        </w:rPr>
        <w:t>（1）空间网格重采样</w:t>
      </w:r>
    </w:p>
    <w:p>
      <w:pPr>
        <w:ind w:firstLine="420" w:firstLineChars="200"/>
      </w:pPr>
      <w:r>
        <w:rPr>
          <w:rFonts w:hint="eastAsia"/>
        </w:rPr>
        <w:t>将不同空间分辨率的观测和预报数据，通过双线性插值、保守插值等方法，统一重采样至10km×10km的标准经纬度网格。</w:t>
      </w:r>
    </w:p>
    <w:p>
      <w:pPr>
        <w:ind w:firstLine="420" w:firstLineChars="200"/>
      </w:pPr>
      <w:r>
        <w:rPr>
          <w:rFonts w:hint="eastAsia"/>
        </w:rPr>
        <w:t>（2）坐标系与投影统一</w:t>
      </w:r>
    </w:p>
    <w:p>
      <w:pPr>
        <w:ind w:firstLine="420" w:firstLineChars="200"/>
      </w:pPr>
      <w:r>
        <w:rPr>
          <w:rFonts w:hint="eastAsia"/>
        </w:rPr>
        <w:t>支持将数据从原始投影（如兰伯特、麦卡托）统一转换至WGS84经纬度坐标系，确保所有数据具有一致的空间参考。</w:t>
      </w:r>
    </w:p>
    <w:p>
      <w:pPr>
        <w:pStyle w:val="Heading6"/>
        <w:numPr>
          <w:ilvl w:val="5"/>
          <w:numId w:val="11"/>
        </w:numPr>
      </w:pPr>
      <w:r>
        <w:rPr>
          <w:rFonts w:hint="eastAsia"/>
        </w:rPr>
        <w:t>时间标准化</w:t>
      </w:r>
    </w:p>
    <w:p>
      <w:pPr>
        <w:ind w:firstLine="420" w:firstLineChars="200"/>
      </w:pPr>
      <w:r>
        <w:rPr>
          <w:rFonts w:hint="eastAsia"/>
        </w:rPr>
        <w:t>实现所有数据在时间维度上的对齐。</w:t>
      </w:r>
    </w:p>
    <w:p>
      <w:pPr>
        <w:ind w:firstLine="420" w:firstLineChars="200"/>
      </w:pPr>
      <w:r>
        <w:rPr>
          <w:rFonts w:hint="eastAsia"/>
        </w:rPr>
        <w:t>（1）预报时间轴对齐</w:t>
      </w:r>
    </w:p>
    <w:p>
      <w:pPr>
        <w:ind w:firstLine="420" w:firstLineChars="200"/>
      </w:pPr>
      <w:r>
        <w:rPr>
          <w:rFonts w:hint="eastAsia"/>
        </w:rPr>
        <w:t>统一“起报时间”、“预报时效（lead-time）”和“验证时间（Valid Time）”的定义和表达，将不同模式的预报数据对齐到标准的气候日（UTC 00时起报）和逐日/逐小时时间轴上。</w:t>
      </w:r>
    </w:p>
    <w:p>
      <w:pPr>
        <w:ind w:firstLine="420" w:firstLineChars="200"/>
      </w:pPr>
      <w:r>
        <w:rPr>
          <w:rFonts w:hint="eastAsia"/>
        </w:rPr>
        <w:t>（2）时间插值处理</w:t>
      </w:r>
    </w:p>
    <w:p>
      <w:pPr>
        <w:ind w:firstLine="420" w:firstLineChars="200"/>
      </w:pPr>
      <w:r>
        <w:rPr>
          <w:rFonts w:hint="eastAsia"/>
        </w:rPr>
        <w:t>对非标准时间频率的数据（如3小时、6小时）进行时间插值，生成标准时效（如逐日）的数据序列，满足产品生成的需求。</w:t>
      </w:r>
    </w:p>
    <w:p>
      <w:pPr>
        <w:pStyle w:val="Heading5"/>
        <w:numPr>
          <w:ilvl w:val="4"/>
          <w:numId w:val="11"/>
        </w:numPr>
      </w:pPr>
      <w:r>
        <w:rPr>
          <w:rFonts w:hint="eastAsia"/>
        </w:rPr>
        <w:t>地形与地表参数库模块</w:t>
      </w:r>
    </w:p>
    <w:p>
      <w:pPr>
        <w:ind w:firstLine="420" w:firstLineChars="200"/>
      </w:pPr>
      <w:r>
        <w:t>该模块负责构建和维护一套高分辨率、多要素的静态与半静态地理信息参数库，为风能和太阳能资源的物理派生与订正提供关键输入。</w:t>
      </w:r>
    </w:p>
    <w:p>
      <w:pPr>
        <w:pStyle w:val="Heading6"/>
        <w:numPr>
          <w:ilvl w:val="5"/>
          <w:numId w:val="11"/>
        </w:numPr>
      </w:pPr>
      <w:r>
        <w:rPr>
          <w:rFonts w:hint="eastAsia"/>
        </w:rPr>
        <w:t>静态参数管理</w:t>
      </w:r>
    </w:p>
    <w:p>
      <w:pPr>
        <w:ind w:firstLine="420" w:firstLineChars="200"/>
      </w:pPr>
      <w:r>
        <w:rPr>
          <w:rFonts w:hint="eastAsia"/>
        </w:rPr>
        <w:t>维护不随时间变化或变化极慢的地理参数。</w:t>
      </w:r>
    </w:p>
    <w:p>
      <w:pPr>
        <w:ind w:firstLine="420" w:firstLineChars="200"/>
      </w:pPr>
      <w:r>
        <w:rPr>
          <w:rFonts w:hint="eastAsia"/>
        </w:rPr>
        <w:t>（1）基础地形参数库</w:t>
      </w:r>
    </w:p>
    <w:p>
      <w:pPr>
        <w:ind w:firstLine="420" w:firstLineChars="200"/>
      </w:pPr>
      <w:r>
        <w:rPr>
          <w:rFonts w:hint="eastAsia"/>
        </w:rPr>
        <w:t>集成并维护10km分辨率的高程、坡度、坡向、地形粗糙度长度等数字化数据。</w:t>
      </w:r>
    </w:p>
    <w:p>
      <w:pPr>
        <w:ind w:firstLine="420" w:firstLineChars="200"/>
      </w:pPr>
      <w:r>
        <w:rPr>
          <w:rFonts w:hint="eastAsia"/>
        </w:rPr>
        <w:t>（2）土地利用与植被参数库</w:t>
      </w:r>
    </w:p>
    <w:p>
      <w:pPr>
        <w:ind w:firstLine="420" w:firstLineChars="200"/>
      </w:pPr>
      <w:r>
        <w:rPr>
          <w:rFonts w:hint="eastAsia"/>
        </w:rPr>
        <w:t>维护全球或区域尺度的土地利用类型、归一化植被指数（NDVI）气候态等数据，支持季节性更新。</w:t>
      </w:r>
    </w:p>
    <w:p>
      <w:pPr>
        <w:pStyle w:val="Heading6"/>
        <w:numPr>
          <w:ilvl w:val="5"/>
          <w:numId w:val="11"/>
        </w:numPr>
      </w:pPr>
      <w:r>
        <w:rPr>
          <w:rFonts w:hint="eastAsia"/>
        </w:rPr>
        <w:t>半静态参数与场站元数据管理</w:t>
      </w:r>
    </w:p>
    <w:p>
      <w:pPr>
        <w:ind w:firstLine="420" w:firstLineChars="200"/>
      </w:pPr>
      <w:r>
        <w:rPr>
          <w:rFonts w:hint="eastAsia"/>
        </w:rPr>
        <w:t>维护变化缓慢或需要定期更新的参数。</w:t>
      </w:r>
    </w:p>
    <w:p>
      <w:pPr>
        <w:ind w:firstLine="420" w:firstLineChars="200"/>
      </w:pPr>
      <w:r>
        <w:rPr>
          <w:rFonts w:hint="eastAsia"/>
        </w:rPr>
        <w:t>（1）新能源场站元数据库</w:t>
      </w:r>
    </w:p>
    <w:p>
      <w:pPr>
        <w:ind w:firstLine="420" w:firstLineChars="200"/>
      </w:pPr>
      <w:r>
        <w:rPr>
          <w:rFonts w:hint="eastAsia"/>
        </w:rPr>
        <w:t>建立风电机场和光伏电站的专题数据库，包含场站坐标、装机容量、轮毂高度、光伏板型号、逆变器参数、功率曲线等关键元数据，并提供编辑与更新接口。</w:t>
      </w:r>
    </w:p>
    <w:p>
      <w:pPr>
        <w:ind w:firstLine="420" w:firstLineChars="200"/>
      </w:pPr>
      <w:r>
        <w:rPr>
          <w:rFonts w:hint="eastAsia"/>
        </w:rPr>
        <w:t>（2）参数空间化服务</w:t>
      </w:r>
    </w:p>
    <w:p>
      <w:pPr>
        <w:ind w:firstLine="420" w:firstLineChars="200"/>
      </w:pPr>
      <w:r>
        <w:rPr>
          <w:rFonts w:hint="eastAsia"/>
        </w:rPr>
        <w:t>提供参数查询与调用接口，支持根据预报网格或指定区域，快速提取并返回对应格点的地形、地表及场站参数，供派生与订正模块实时调用。</w:t>
      </w:r>
    </w:p>
    <w:p>
      <w:pPr>
        <w:pStyle w:val="Heading5"/>
        <w:numPr>
          <w:ilvl w:val="4"/>
          <w:numId w:val="11"/>
        </w:numPr>
      </w:pPr>
      <w:r>
        <w:rPr>
          <w:rFonts w:hint="eastAsia"/>
        </w:rPr>
        <w:t>元数据治理与数据资产目录模块</w:t>
      </w:r>
    </w:p>
    <w:p>
      <w:pPr>
        <w:ind w:firstLine="420" w:firstLineChars="200"/>
      </w:pPr>
      <w:r>
        <w:t>该模块对系统内全链路数据资产进行元数据治理，构建可追溯、可审计的数据资产目录，满足规范化生产与管理需求。</w:t>
      </w:r>
    </w:p>
    <w:p>
      <w:pPr>
        <w:pStyle w:val="Heading6"/>
        <w:numPr>
          <w:ilvl w:val="5"/>
          <w:numId w:val="11"/>
        </w:numPr>
      </w:pPr>
      <w:r>
        <w:rPr>
          <w:rFonts w:hint="eastAsia"/>
        </w:rPr>
        <w:t>全链路数据血缘管理</w:t>
      </w:r>
    </w:p>
    <w:p>
      <w:pPr>
        <w:ind w:firstLine="420" w:firstLineChars="200"/>
      </w:pPr>
      <w:r>
        <w:rPr>
          <w:rFonts w:hint="eastAsia"/>
        </w:rPr>
        <w:t>追踪数据从源头到最终产品的完整加工历程。</w:t>
      </w:r>
    </w:p>
    <w:p>
      <w:pPr>
        <w:ind w:firstLine="420" w:firstLineChars="200"/>
      </w:pPr>
      <w:r>
        <w:rPr>
          <w:rFonts w:hint="eastAsia"/>
        </w:rPr>
        <w:t>（1）数据处理血缘图谱构建</w:t>
      </w:r>
    </w:p>
    <w:p>
      <w:pPr>
        <w:ind w:firstLine="420" w:firstLineChars="200"/>
      </w:pPr>
      <w:r>
        <w:rPr>
          <w:rFonts w:hint="eastAsia"/>
        </w:rPr>
        <w:t>自动记录每个数据产品所使用的原始数据源、经过的处理模块（质控、订正、融合等）及关键参数，形成可视化的数据处理血缘图谱。</w:t>
      </w:r>
    </w:p>
    <w:p>
      <w:pPr>
        <w:ind w:firstLine="420" w:firstLineChars="200"/>
      </w:pPr>
      <w:r>
        <w:rPr>
          <w:rFonts w:hint="eastAsia"/>
        </w:rPr>
        <w:t>（2）版本与变更审计</w:t>
      </w:r>
    </w:p>
    <w:p>
      <w:pPr>
        <w:ind w:firstLine="420" w:firstLineChars="200"/>
      </w:pPr>
      <w:r>
        <w:rPr>
          <w:rFonts w:hint="eastAsia"/>
        </w:rPr>
        <w:t>记录数据及其衍生品每次处理、更新的版本号、操作时间、操作人员及变更内容，实现全生命周期的可审计。</w:t>
      </w:r>
    </w:p>
    <w:p>
      <w:pPr>
        <w:pStyle w:val="Heading6"/>
        <w:numPr>
          <w:ilvl w:val="5"/>
          <w:numId w:val="11"/>
        </w:numPr>
      </w:pPr>
      <w:r>
        <w:rPr>
          <w:rFonts w:hint="eastAsia"/>
        </w:rPr>
        <w:t>数据资产目录服务</w:t>
      </w:r>
    </w:p>
    <w:p>
      <w:pPr>
        <w:ind w:firstLine="420" w:firstLineChars="200"/>
      </w:pPr>
      <w:r>
        <w:rPr>
          <w:rFonts w:hint="eastAsia"/>
        </w:rPr>
        <w:t>提供面向用户的数据资产检索与管理视图。</w:t>
      </w:r>
    </w:p>
    <w:p>
      <w:pPr>
        <w:ind w:firstLine="420" w:firstLineChars="200"/>
      </w:pPr>
      <w:r>
        <w:rPr>
          <w:rFonts w:hint="eastAsia"/>
        </w:rPr>
        <w:t>（1）结构化资产目录构建</w:t>
      </w:r>
    </w:p>
    <w:p>
      <w:pPr>
        <w:ind w:firstLine="420" w:firstLineChars="200"/>
      </w:pPr>
      <w:r>
        <w:rPr>
          <w:rFonts w:hint="eastAsia"/>
        </w:rPr>
        <w:t>基于元数据，构建涵盖观测、预报、中间产品、最终产品等所有数据资产的分类目录，支持按时间、区域、要素、数据源等多维度浏览。</w:t>
      </w:r>
    </w:p>
    <w:p>
      <w:pPr>
        <w:ind w:firstLine="420" w:firstLineChars="200"/>
      </w:pPr>
      <w:r>
        <w:rPr>
          <w:rFonts w:hint="eastAsia"/>
        </w:rPr>
        <w:t>（2）面向生产与验收的报告生成</w:t>
      </w:r>
    </w:p>
    <w:p>
      <w:pPr>
        <w:ind w:firstLine="420" w:firstLineChars="200"/>
      </w:pPr>
      <w:r>
        <w:rPr>
          <w:rFonts w:hint="eastAsia"/>
        </w:rPr>
        <w:t>自动生成符合业务规范和项目验收要求的数据资产清单报告、数据质量报告和生产流程合规性报告。</w:t>
      </w:r>
    </w:p>
    <w:p>
      <w:pPr>
        <w:pStyle w:val="Heading5"/>
        <w:numPr>
          <w:ilvl w:val="4"/>
          <w:numId w:val="11"/>
        </w:numPr>
      </w:pPr>
      <w:r>
        <w:rPr>
          <w:rFonts w:hint="eastAsia"/>
        </w:rPr>
        <w:t>统计偏差订正模块（QM/PDF）</w:t>
      </w:r>
    </w:p>
    <w:p>
      <w:pPr>
        <w:ind w:firstLine="420" w:firstLineChars="200"/>
      </w:pPr>
      <w:r>
        <w:t>该模块利用历史观测与预报数据，建立统计关系，对模式的系统性偏差进行订正。</w:t>
      </w:r>
    </w:p>
    <w:p>
      <w:pPr>
        <w:pStyle w:val="Heading6"/>
        <w:numPr>
          <w:ilvl w:val="5"/>
          <w:numId w:val="11"/>
        </w:numPr>
      </w:pPr>
      <w:r>
        <w:rPr>
          <w:rFonts w:hint="eastAsia"/>
        </w:rPr>
        <w:t>分位数映射订正</w:t>
      </w:r>
    </w:p>
    <w:p>
      <w:pPr>
        <w:ind w:firstLine="420" w:firstLineChars="200"/>
      </w:pPr>
      <w:r>
        <w:rPr>
          <w:rFonts w:hint="eastAsia"/>
        </w:rPr>
        <w:t>基于累积分布函数开展分位数映射订正。</w:t>
      </w:r>
    </w:p>
    <w:p>
      <w:pPr>
        <w:ind w:firstLine="420" w:firstLineChars="200"/>
      </w:pPr>
      <w:r>
        <w:rPr>
          <w:rFonts w:hint="eastAsia"/>
        </w:rPr>
        <w:t>（1）训练期数据配对与CDF计算</w:t>
      </w:r>
    </w:p>
    <w:p>
      <w:pPr>
        <w:ind w:firstLine="420" w:firstLineChars="200"/>
      </w:pPr>
      <w:r>
        <w:rPr>
          <w:rFonts w:hint="eastAsia"/>
        </w:rPr>
        <w:t>针对每个格点、不同季节和预报时效，将历史模式预报与对应观测进行配对，分别计算其累积分布函数。</w:t>
      </w:r>
    </w:p>
    <w:p>
      <w:pPr>
        <w:ind w:firstLine="420" w:firstLineChars="200"/>
      </w:pPr>
      <w:r>
        <w:rPr>
          <w:rFonts w:hint="eastAsia"/>
        </w:rPr>
        <w:t>（2）分位数映射函数建立与订正</w:t>
      </w:r>
    </w:p>
    <w:p>
      <w:pPr>
        <w:ind w:firstLine="420" w:firstLineChars="200"/>
      </w:pPr>
      <w:r>
        <w:rPr>
          <w:rFonts w:hint="eastAsia"/>
        </w:rPr>
        <w:t>建立从模式预报CDF到观测CDF的映射函数。对于实时预报，根据其预报值在模式CDF中的分位数，映射到观测CDF的对应分位数，得到订正值。</w:t>
      </w:r>
    </w:p>
    <w:p>
      <w:pPr>
        <w:ind w:firstLine="420" w:firstLineChars="200"/>
      </w:pPr>
      <w:r>
        <w:rPr>
          <w:rFonts w:hint="eastAsia"/>
        </w:rPr>
        <w:t>（3）区域化参数库生成</w:t>
      </w:r>
    </w:p>
    <w:p>
      <w:pPr>
        <w:ind w:firstLine="420" w:firstLineChars="200"/>
      </w:pPr>
      <w:r>
        <w:rPr>
          <w:rFonts w:hint="eastAsia"/>
        </w:rPr>
        <w:t>将计算得到的CDF函数或映射关系参数按区域、季节、要素分类存储，形成可动态调用的订正参数库。</w:t>
      </w:r>
    </w:p>
    <w:p>
      <w:pPr>
        <w:pStyle w:val="Heading6"/>
        <w:numPr>
          <w:ilvl w:val="5"/>
          <w:numId w:val="11"/>
        </w:numPr>
      </w:pPr>
      <w:r>
        <w:rPr>
          <w:rFonts w:hint="eastAsia"/>
        </w:rPr>
        <w:t>概率密度函数匹配订正</w:t>
      </w:r>
    </w:p>
    <w:p>
      <w:pPr>
        <w:ind w:firstLine="420" w:firstLineChars="200"/>
      </w:pPr>
      <w:r>
        <w:rPr>
          <w:rFonts w:hint="eastAsia"/>
        </w:rPr>
        <w:t>采用更灵活的PDF匹配方法进行订正。</w:t>
      </w:r>
    </w:p>
    <w:p>
      <w:pPr>
        <w:ind w:firstLine="420" w:firstLineChars="200"/>
      </w:pPr>
      <w:r>
        <w:rPr>
          <w:rFonts w:hint="eastAsia"/>
        </w:rPr>
        <w:t>（1）动态PDF估计与匹配</w:t>
      </w:r>
    </w:p>
    <w:p>
      <w:pPr>
        <w:ind w:firstLine="420" w:firstLineChars="200"/>
      </w:pPr>
      <w:r>
        <w:rPr>
          <w:rFonts w:hint="eastAsia"/>
        </w:rPr>
        <w:t>使用滑动训练期，动态估计预报和观测数据的概率密度函数，通过调整预报值的分布形态使其与观测分布匹配。</w:t>
      </w:r>
    </w:p>
    <w:p>
      <w:pPr>
        <w:ind w:firstLine="420" w:firstLineChars="200"/>
      </w:pPr>
      <w:r>
        <w:rPr>
          <w:rFonts w:hint="eastAsia"/>
        </w:rPr>
        <w:t>（2）订正结果输出与评估</w:t>
      </w:r>
    </w:p>
    <w:p>
      <w:pPr>
        <w:ind w:firstLine="420" w:firstLineChars="200"/>
      </w:pPr>
      <w:r>
        <w:rPr>
          <w:rFonts w:hint="eastAsia"/>
        </w:rPr>
        <w:t>输出经QM或PDF订正后的网格场，并与独立样本的观测进行对比，自动生成订正技巧评估报告。</w:t>
      </w:r>
    </w:p>
    <w:p>
      <w:pPr>
        <w:pStyle w:val="Heading5"/>
        <w:numPr>
          <w:ilvl w:val="4"/>
          <w:numId w:val="11"/>
        </w:numPr>
      </w:pPr>
      <w:r>
        <w:rPr>
          <w:rFonts w:hint="eastAsia"/>
        </w:rPr>
        <w:t>机器学习订正模块（LGBM/GBDT）</w:t>
      </w:r>
    </w:p>
    <w:p>
      <w:pPr>
        <w:ind w:firstLine="420" w:firstLineChars="200"/>
      </w:pPr>
      <w:r>
        <w:t>该模块融合多维度特征，利用机器学习算法建立非线性订正模型，进一步提升预报精度。</w:t>
      </w:r>
    </w:p>
    <w:p>
      <w:pPr>
        <w:pStyle w:val="Heading6"/>
        <w:numPr>
          <w:ilvl w:val="5"/>
          <w:numId w:val="11"/>
        </w:numPr>
      </w:pPr>
      <w:r>
        <w:rPr>
          <w:rFonts w:hint="eastAsia"/>
        </w:rPr>
        <w:t>特征工程与数据集构建</w:t>
      </w:r>
    </w:p>
    <w:p>
      <w:pPr>
        <w:ind w:firstLine="420" w:firstLineChars="200"/>
      </w:pPr>
      <w:r>
        <w:rPr>
          <w:rFonts w:hint="eastAsia"/>
        </w:rPr>
        <w:t>从多源数据中构造有效的预测因子。</w:t>
      </w:r>
    </w:p>
    <w:p>
      <w:pPr>
        <w:ind w:firstLine="420" w:firstLineChars="200"/>
      </w:pPr>
      <w:r>
        <w:rPr>
          <w:rFonts w:hint="eastAsia"/>
        </w:rPr>
        <w:t>（1）多维度特征提取</w:t>
      </w:r>
    </w:p>
    <w:p>
      <w:pPr>
        <w:ind w:firstLine="420" w:firstLineChars="200"/>
      </w:pPr>
      <w:r>
        <w:rPr>
          <w:rFonts w:hint="eastAsia"/>
        </w:rPr>
        <w:t>提取模式原始预报场、大尺度环流型指数、局地地形参数（高程、粗糙度）、下垫面类型、邻近格点空间特征等作为模型输入特征。</w:t>
      </w:r>
    </w:p>
    <w:p>
      <w:pPr>
        <w:ind w:firstLine="420" w:firstLineChars="200"/>
      </w:pPr>
      <w:r>
        <w:rPr>
          <w:rFonts w:hint="eastAsia"/>
        </w:rPr>
        <w:t>（2）训练-验证数据集构建</w:t>
      </w:r>
    </w:p>
    <w:p>
      <w:pPr>
        <w:ind w:firstLine="420" w:firstLineChars="200"/>
      </w:pPr>
      <w:r>
        <w:rPr>
          <w:rFonts w:hint="eastAsia"/>
        </w:rPr>
        <w:t>以历史观测为预测目标，将对应的多维度特征组织成结构化的表格数据集，并划分训练集、验证集和测试集。</w:t>
      </w:r>
    </w:p>
    <w:p>
      <w:pPr>
        <w:pStyle w:val="Heading6"/>
        <w:numPr>
          <w:ilvl w:val="5"/>
          <w:numId w:val="11"/>
        </w:numPr>
      </w:pPr>
      <w:r>
        <w:rPr>
          <w:rFonts w:hint="eastAsia"/>
        </w:rPr>
        <w:t>机器学习模型训练与应用</w:t>
      </w:r>
    </w:p>
    <w:p>
      <w:pPr>
        <w:ind w:firstLine="420" w:firstLineChars="200"/>
      </w:pPr>
      <w:r>
        <w:rPr>
          <w:rFonts w:hint="eastAsia"/>
        </w:rPr>
        <w:t>利用集成学习算法进行模型训练和实时订正。</w:t>
      </w:r>
    </w:p>
    <w:p>
      <w:pPr>
        <w:ind w:firstLine="420" w:firstLineChars="200"/>
      </w:pPr>
      <w:r>
        <w:rPr>
          <w:rFonts w:hint="eastAsia"/>
        </w:rPr>
        <w:t>（1）LGBM/GBDT模型训练与优化</w:t>
      </w:r>
    </w:p>
    <w:p>
      <w:pPr>
        <w:ind w:firstLine="420" w:firstLineChars="200"/>
      </w:pPr>
      <w:r>
        <w:rPr>
          <w:rFonts w:hint="eastAsia"/>
        </w:rPr>
        <w:t>使用LightGBM或梯度提升树算法训练订正模型，通过交叉验证和超参数调优获取最优模型。</w:t>
      </w:r>
    </w:p>
    <w:p>
      <w:pPr>
        <w:ind w:firstLine="420" w:firstLineChars="200"/>
      </w:pPr>
      <w:r>
        <w:rPr>
          <w:rFonts w:hint="eastAsia"/>
        </w:rPr>
        <w:t>（2）实时预报订正与结果输出</w:t>
      </w:r>
    </w:p>
    <w:p>
      <w:pPr>
        <w:ind w:firstLine="420" w:firstLineChars="200"/>
      </w:pPr>
      <w:r>
        <w:rPr>
          <w:rFonts w:hint="eastAsia"/>
        </w:rPr>
        <w:t>将实时模式预报及其关联特征输入训练好的模型，得到机器学习订正结果，并输出为标准网格产品。</w:t>
      </w:r>
    </w:p>
    <w:p>
      <w:pPr>
        <w:ind w:firstLine="420" w:firstLineChars="200"/>
      </w:pPr>
      <w:r>
        <w:rPr>
          <w:rFonts w:hint="eastAsia"/>
        </w:rPr>
        <w:t>（3）特征重要性分析报告</w:t>
      </w:r>
    </w:p>
    <w:p>
      <w:pPr>
        <w:ind w:firstLine="420" w:firstLineChars="200"/>
      </w:pPr>
      <w:r>
        <w:rPr>
          <w:rFonts w:hint="eastAsia"/>
        </w:rPr>
        <w:t>模型训练后，自动分析并输出各输入特征的重要性排序报告，为理解模型决策和特征优化提供依据。</w:t>
      </w:r>
    </w:p>
    <w:p>
      <w:pPr>
        <w:pStyle w:val="Heading5"/>
        <w:numPr>
          <w:ilvl w:val="4"/>
          <w:numId w:val="11"/>
        </w:numPr>
      </w:pPr>
      <w:r>
        <w:rPr>
          <w:rFonts w:hint="eastAsia"/>
        </w:rPr>
        <w:t>多模式集合加权模块</w:t>
      </w:r>
    </w:p>
    <w:p>
      <w:pPr>
        <w:ind w:firstLine="420" w:firstLineChars="200"/>
      </w:pPr>
      <w:r>
        <w:t>该模块基于各成员历史表现，计算动态权重，实现多模式集合预报的智能融合，降低单一模式的不确定性。</w:t>
      </w:r>
    </w:p>
    <w:p>
      <w:pPr>
        <w:pStyle w:val="Heading6"/>
        <w:numPr>
          <w:ilvl w:val="5"/>
          <w:numId w:val="11"/>
        </w:numPr>
      </w:pPr>
      <w:r>
        <w:rPr>
          <w:rFonts w:hint="eastAsia"/>
        </w:rPr>
        <w:t>集合成员技巧评估</w:t>
      </w:r>
    </w:p>
    <w:p>
      <w:pPr>
        <w:ind w:firstLine="420" w:firstLineChars="200"/>
      </w:pPr>
      <w:r>
        <w:rPr>
          <w:rFonts w:hint="eastAsia"/>
        </w:rPr>
        <w:t>定量评估每个模式或成员的历史预报技巧。</w:t>
      </w:r>
    </w:p>
    <w:p>
      <w:pPr>
        <w:ind w:firstLine="420" w:firstLineChars="200"/>
      </w:pPr>
      <w:r>
        <w:rPr>
          <w:rFonts w:hint="eastAsia"/>
        </w:rPr>
        <w:t>（1）技巧分数计算</w:t>
      </w:r>
    </w:p>
    <w:p>
      <w:pPr>
        <w:ind w:firstLine="420" w:firstLineChars="200"/>
      </w:pPr>
      <w:r>
        <w:rPr>
          <w:rFonts w:hint="eastAsia"/>
        </w:rPr>
        <w:t>针对不同要素和预报时效，批量计算各成员相对于气候态或简单基准预报的技巧分数，如时间相关系数、均方根误差技巧评分、连续概率技巧评分等。</w:t>
      </w:r>
    </w:p>
    <w:p>
      <w:pPr>
        <w:ind w:firstLine="420" w:firstLineChars="200"/>
      </w:pPr>
      <w:r>
        <w:rPr>
          <w:rFonts w:hint="eastAsia"/>
        </w:rPr>
        <w:t>（2）权重计算策略</w:t>
      </w:r>
    </w:p>
    <w:p>
      <w:pPr>
        <w:ind w:firstLine="420" w:firstLineChars="200"/>
      </w:pPr>
      <w:r>
        <w:rPr>
          <w:rFonts w:hint="eastAsia"/>
        </w:rPr>
        <w:t>基于技巧分数，采用逆误差方差加权、基于排名概率评分的最优权重分配等方法，计算各成员的动态权重。权重可随季节、区域和起报时间变化。</w:t>
      </w:r>
    </w:p>
    <w:p>
      <w:pPr>
        <w:pStyle w:val="Heading6"/>
        <w:numPr>
          <w:ilvl w:val="5"/>
          <w:numId w:val="11"/>
        </w:numPr>
      </w:pPr>
      <w:r>
        <w:rPr>
          <w:rFonts w:hint="eastAsia"/>
        </w:rPr>
        <w:t>集合融合与产品生成</w:t>
      </w:r>
    </w:p>
    <w:p>
      <w:pPr>
        <w:ind w:firstLine="420" w:firstLineChars="200"/>
      </w:pPr>
      <w:r>
        <w:rPr>
          <w:rFonts w:hint="eastAsia"/>
        </w:rPr>
        <w:t>应用权重进行多模式融合，并量化集合不确定性。</w:t>
      </w:r>
    </w:p>
    <w:p>
      <w:pPr>
        <w:ind w:firstLine="420" w:firstLineChars="200"/>
      </w:pPr>
      <w:r>
        <w:rPr>
          <w:rFonts w:hint="eastAsia"/>
        </w:rPr>
        <w:t>（1）加权平均与BMA融合</w:t>
      </w:r>
    </w:p>
    <w:p>
      <w:pPr>
        <w:ind w:firstLine="420" w:firstLineChars="200"/>
      </w:pPr>
      <w:r>
        <w:rPr>
          <w:rFonts w:hint="eastAsia"/>
        </w:rPr>
        <w:t>采用计算出的权重进行简单的加权平均融合，或应用更复杂的贝叶斯模型平均方法，生成最终的集合平均预报和概率分布。</w:t>
      </w:r>
    </w:p>
    <w:p>
      <w:pPr>
        <w:ind w:firstLine="420" w:firstLineChars="200"/>
      </w:pPr>
      <w:r>
        <w:rPr>
          <w:rFonts w:hint="eastAsia"/>
        </w:rPr>
        <w:t>（2）集合产品输出</w:t>
      </w:r>
    </w:p>
    <w:p>
      <w:pPr>
        <w:ind w:firstLine="420" w:firstLineChars="200"/>
      </w:pPr>
      <w:r>
        <w:rPr>
          <w:rFonts w:hint="eastAsia"/>
        </w:rPr>
        <w:t>输出集合平均场、集合离散度（不确定性）、以及不同分位数（如10%， 50%， 90%）的预报产品。</w:t>
      </w:r>
    </w:p>
    <w:p>
      <w:pPr>
        <w:pStyle w:val="Heading5"/>
        <w:numPr>
          <w:ilvl w:val="4"/>
          <w:numId w:val="11"/>
        </w:numPr>
      </w:pPr>
      <w:r>
        <w:t>基于AI的中国风光资源客观化预测</w:t>
      </w:r>
    </w:p>
    <w:p>
      <w:pPr>
        <w:ind w:firstLine="420" w:firstLineChars="200"/>
      </w:pPr>
      <w:r>
        <w:t>依托深度学习框架，构建面向中国区域的风光资源客观化预测模型。该模块以多源模式预报场（环流场、海温场）、下垫面参数及历史再分析数据为输入，利用Transformer或U-Net等深度学习架构，挖掘大尺度环流与局地风光资源之间的非线性映射关系。实现未来1-60天全国10km分辨率风速、太阳辐射量的直接客观预测，有效克服传统动力降尺度在复杂地形区的偏差问题。</w:t>
      </w:r>
    </w:p>
    <w:p>
      <w:pPr>
        <w:pStyle w:val="Heading5"/>
        <w:numPr>
          <w:ilvl w:val="4"/>
          <w:numId w:val="11"/>
        </w:numPr>
      </w:pPr>
      <w:r>
        <w:rPr>
          <w:rFonts w:hint="eastAsia"/>
        </w:rPr>
        <w:t>AI降尺度模块（U-Net/Transformer）</w:t>
      </w:r>
    </w:p>
    <w:p>
      <w:pPr>
        <w:ind w:firstLine="420" w:firstLineChars="200"/>
      </w:pPr>
      <w:r>
        <w:t>该模块利用深度学习技术，将融合后的集合平均场（相对低分辨率）降尺度至高分辨率（10km）格点，捕捉局地细节。</w:t>
      </w:r>
    </w:p>
    <w:p>
      <w:pPr>
        <w:pStyle w:val="Heading6"/>
        <w:numPr>
          <w:ilvl w:val="5"/>
          <w:numId w:val="11"/>
        </w:numPr>
      </w:pPr>
      <w:r>
        <w:rPr>
          <w:rFonts w:hint="eastAsia"/>
        </w:rPr>
        <w:t>深度学习模型构建与训练</w:t>
      </w:r>
    </w:p>
    <w:p>
      <w:pPr>
        <w:ind w:firstLine="420" w:firstLineChars="200"/>
      </w:pPr>
      <w:r>
        <w:rPr>
          <w:rFonts w:hint="eastAsia"/>
        </w:rPr>
        <w:t>以高分辨率再分析数据为“真值”训练降尺度模型。</w:t>
      </w:r>
    </w:p>
    <w:p>
      <w:pPr>
        <w:ind w:firstLine="420" w:firstLineChars="200"/>
      </w:pPr>
      <w:r>
        <w:rPr>
          <w:rFonts w:hint="eastAsia"/>
        </w:rPr>
        <w:t>（1）“教师-学生”数据对准备</w:t>
      </w:r>
    </w:p>
    <w:p>
      <w:pPr>
        <w:ind w:firstLine="420" w:firstLineChars="200"/>
      </w:pPr>
      <w:r>
        <w:rPr>
          <w:rFonts w:hint="eastAsia"/>
        </w:rPr>
        <w:t>将低分辨率模式预报场（输入）与同期高分辨率再分析场（如CERES辐射、ERAS风场，或CLDAS分析场）作为“教师”数据（目标输出），构成训练数据对。</w:t>
      </w:r>
    </w:p>
    <w:p>
      <w:pPr>
        <w:ind w:firstLine="420" w:firstLineChars="200"/>
      </w:pPr>
      <w:r>
        <w:rPr>
          <w:rFonts w:hint="eastAsia"/>
        </w:rPr>
        <w:t>（2）U-Net/Transformer模型训练</w:t>
      </w:r>
    </w:p>
    <w:p>
      <w:pPr>
        <w:ind w:firstLine="420" w:firstLineChars="200"/>
      </w:pPr>
      <w:r>
        <w:rPr>
          <w:rFonts w:hint="eastAsia"/>
        </w:rPr>
        <w:t>构建基于U-Net或Transformer架构的深度学习模型进行训练，学习从大尺度环流信息到局地精细气象要素的映射关系。</w:t>
      </w:r>
    </w:p>
    <w:p>
      <w:pPr>
        <w:pStyle w:val="Heading6"/>
        <w:numPr>
          <w:ilvl w:val="5"/>
          <w:numId w:val="11"/>
        </w:numPr>
      </w:pPr>
      <w:r>
        <w:rPr>
          <w:rFonts w:hint="eastAsia"/>
        </w:rPr>
        <w:t>业务化降尺度应用</w:t>
      </w:r>
    </w:p>
    <w:p>
      <w:pPr>
        <w:ind w:firstLine="420" w:firstLineChars="200"/>
      </w:pPr>
      <w:r>
        <w:rPr>
          <w:rFonts w:hint="eastAsia"/>
        </w:rPr>
        <w:t>将训练好的模型应用于实时业务预报。</w:t>
      </w:r>
    </w:p>
    <w:p>
      <w:pPr>
        <w:ind w:firstLine="420" w:firstLineChars="200"/>
      </w:pPr>
      <w:r>
        <w:rPr>
          <w:rFonts w:hint="eastAsia"/>
        </w:rPr>
        <w:t>（1）实时预报降尺度处理</w:t>
      </w:r>
    </w:p>
    <w:p>
      <w:pPr>
        <w:ind w:firstLine="420" w:firstLineChars="200"/>
      </w:pPr>
      <w:r>
        <w:rPr>
          <w:rFonts w:hint="eastAsia"/>
        </w:rPr>
        <w:t>将实时生成的集合平均预报场输入训练好的AI模型，直接输出10km分辨率的精细化风场和辐射场预报。</w:t>
      </w:r>
    </w:p>
    <w:p>
      <w:pPr>
        <w:ind w:firstLine="420" w:firstLineChars="200"/>
      </w:pPr>
      <w:r>
        <w:rPr>
          <w:rFonts w:hint="eastAsia"/>
        </w:rPr>
        <w:t>（2）降尺度结果验证与不确定性估计</w:t>
      </w:r>
    </w:p>
    <w:p>
      <w:pPr>
        <w:ind w:firstLine="420" w:firstLineChars="200"/>
      </w:pPr>
      <w:r>
        <w:rPr>
          <w:rFonts w:hint="eastAsia"/>
        </w:rPr>
        <w:t>将降尺度结果与独立的高分辨率观测进行对比验证。探索利用生成对抗网络或集合方法，为降尺度结果提供不确定性估计。</w:t>
      </w:r>
    </w:p>
    <w:p>
      <w:pPr>
        <w:pStyle w:val="Heading5"/>
        <w:numPr>
          <w:ilvl w:val="4"/>
          <w:numId w:val="11"/>
        </w:numPr>
      </w:pPr>
      <w:r>
        <w:rPr>
          <w:rFonts w:hint="eastAsia"/>
        </w:rPr>
        <w:t>风与辐射物理派生与校正模块</w:t>
      </w:r>
    </w:p>
    <w:p>
      <w:pPr>
        <w:ind w:firstLine="420" w:firstLineChars="200"/>
      </w:pPr>
      <w:r>
        <w:t>该模块基于气象学原理，将标准气象要素转化为能源行业所需的专业参数。</w:t>
      </w:r>
    </w:p>
    <w:p>
      <w:pPr>
        <w:pStyle w:val="Heading6"/>
        <w:numPr>
          <w:ilvl w:val="5"/>
          <w:numId w:val="11"/>
        </w:numPr>
      </w:pPr>
      <w:r>
        <w:rPr>
          <w:rFonts w:hint="eastAsia"/>
        </w:rPr>
        <w:t>风能参数派生</w:t>
      </w:r>
    </w:p>
    <w:p>
      <w:pPr>
        <w:ind w:firstLine="420" w:firstLineChars="200"/>
      </w:pPr>
      <w:r>
        <w:rPr>
          <w:rFonts w:hint="eastAsia"/>
        </w:rPr>
        <w:t>将标准高度风速转换为风机轮毂高度风速及相关湍流参数。</w:t>
      </w:r>
    </w:p>
    <w:p>
      <w:pPr>
        <w:ind w:firstLine="420" w:firstLineChars="200"/>
      </w:pPr>
      <w:r>
        <w:rPr>
          <w:rFonts w:hint="eastAsia"/>
        </w:rPr>
        <w:t>（1）风速垂直外推</w:t>
      </w:r>
    </w:p>
    <w:p>
      <w:pPr>
        <w:ind w:firstLine="420" w:firstLineChars="200"/>
      </w:pPr>
      <w:r>
        <w:rPr>
          <w:rFonts w:hint="eastAsia"/>
        </w:rPr>
        <w:t>采用对数风廓线律或幂律公式，利用地表粗糙度等参数，将10m风速换算至100m、150m等风机轮毂高度风速。</w:t>
      </w:r>
    </w:p>
    <w:p>
      <w:pPr>
        <w:ind w:firstLine="420" w:firstLineChars="200"/>
      </w:pPr>
      <w:r>
        <w:rPr>
          <w:rFonts w:hint="eastAsia"/>
        </w:rPr>
        <w:t>（2）风切变与湍流强度计算</w:t>
      </w:r>
    </w:p>
    <w:p>
      <w:pPr>
        <w:ind w:firstLine="420" w:firstLineChars="200"/>
      </w:pPr>
      <w:r>
        <w:rPr>
          <w:rFonts w:hint="eastAsia"/>
        </w:rPr>
        <w:t>根据不同高度层的风速计算风切变指数。基于风速脉动参数化方案或模式输出，估算湍流强度。</w:t>
      </w:r>
    </w:p>
    <w:p>
      <w:pPr>
        <w:pStyle w:val="Heading6"/>
        <w:numPr>
          <w:ilvl w:val="5"/>
          <w:numId w:val="11"/>
        </w:numPr>
      </w:pPr>
      <w:r>
        <w:rPr>
          <w:rFonts w:hint="eastAsia"/>
        </w:rPr>
        <w:t>太阳能参数派生与校正</w:t>
      </w:r>
    </w:p>
    <w:p>
      <w:pPr>
        <w:ind w:firstLine="420" w:firstLineChars="200"/>
      </w:pPr>
      <w:r>
        <w:rPr>
          <w:rFonts w:hint="eastAsia"/>
        </w:rPr>
        <w:t>计算不同种类的太阳辐射并校正大气衰减影响。</w:t>
      </w:r>
    </w:p>
    <w:p>
      <w:pPr>
        <w:ind w:firstLine="420" w:firstLineChars="200"/>
      </w:pPr>
      <w:r>
        <w:rPr>
          <w:rFonts w:hint="eastAsia"/>
        </w:rPr>
        <w:t>（1）太阳辐射分量推导</w:t>
      </w:r>
    </w:p>
    <w:p>
      <w:pPr>
        <w:ind w:firstLine="420" w:firstLineChars="200"/>
      </w:pPr>
      <w:r>
        <w:rPr>
          <w:rFonts w:hint="eastAsia"/>
        </w:rPr>
        <w:t>基于模式输出的短波辐射、云量、水汽等，利用物理模型（如INC模型）或经验公式，分解计算总水平辐射、直接法向辐射和散射辐射。</w:t>
      </w:r>
    </w:p>
    <w:p>
      <w:pPr>
        <w:ind w:firstLine="420" w:firstLineChars="200"/>
      </w:pPr>
      <w:r>
        <w:rPr>
          <w:rFonts w:hint="eastAsia"/>
        </w:rPr>
        <w:t>（2）云与气溶胶影响精细化校正</w:t>
      </w:r>
    </w:p>
    <w:p>
      <w:pPr>
        <w:ind w:firstLine="420" w:firstLineChars="200"/>
      </w:pPr>
      <w:r>
        <w:rPr>
          <w:rFonts w:hint="eastAsia"/>
        </w:rPr>
        <w:t>引入高分辨率的气溶胶光学厚度和云微观物理参数，对辐射传输过程进行更精细的校正，提升复杂天气下辐射预报精度。</w:t>
      </w:r>
    </w:p>
    <w:p>
      <w:pPr>
        <w:pStyle w:val="Heading5"/>
        <w:numPr>
          <w:ilvl w:val="4"/>
          <w:numId w:val="11"/>
        </w:numPr>
      </w:pPr>
      <w:r>
        <w:rPr>
          <w:rFonts w:hint="eastAsia"/>
        </w:rPr>
        <w:t>情景自适应与阈值自校准模块</w:t>
      </w:r>
    </w:p>
    <w:p>
      <w:pPr>
        <w:ind w:firstLine="420" w:firstLineChars="200"/>
      </w:pPr>
      <w:r>
        <w:t>该模块引入大尺度气候信号，使系统能够根据当前和预期的气候背景自适应调整预报策略和预警阈值。</w:t>
      </w:r>
    </w:p>
    <w:p>
      <w:pPr>
        <w:pStyle w:val="Heading6"/>
        <w:numPr>
          <w:ilvl w:val="5"/>
          <w:numId w:val="11"/>
        </w:numPr>
      </w:pPr>
      <w:r>
        <w:rPr>
          <w:rFonts w:hint="eastAsia"/>
        </w:rPr>
        <w:t>外强迫因子融合</w:t>
      </w:r>
    </w:p>
    <w:p>
      <w:pPr>
        <w:ind w:firstLine="420" w:firstLineChars="200"/>
      </w:pPr>
      <w:r>
        <w:rPr>
          <w:rFonts w:hint="eastAsia"/>
        </w:rPr>
        <w:t>实时接入并分析大尺度气候指数。</w:t>
      </w:r>
    </w:p>
    <w:p>
      <w:pPr>
        <w:ind w:firstLine="420" w:firstLineChars="200"/>
      </w:pPr>
      <w:r>
        <w:rPr>
          <w:rFonts w:hint="eastAsia"/>
        </w:rPr>
        <w:t>（1）气候指数接入与诊断</w:t>
      </w:r>
    </w:p>
    <w:p>
      <w:pPr>
        <w:ind w:firstLine="420" w:firstLineChars="200"/>
      </w:pPr>
      <w:r>
        <w:rPr>
          <w:rFonts w:hint="eastAsia"/>
        </w:rPr>
        <w:t>实时接入ENSO（Nino3.4指数）、MJO、北极涛动、季节内振荡等关键气候指数的监测和预测信息。</w:t>
      </w:r>
    </w:p>
    <w:p>
      <w:pPr>
        <w:ind w:firstLine="420" w:firstLineChars="200"/>
      </w:pPr>
      <w:r>
        <w:rPr>
          <w:rFonts w:hint="eastAsia"/>
        </w:rPr>
        <w:t>（2）影响关系配置与触发</w:t>
      </w:r>
    </w:p>
    <w:p>
      <w:pPr>
        <w:ind w:firstLine="420" w:firstLineChars="200"/>
      </w:pPr>
      <w:r>
        <w:rPr>
          <w:rFonts w:hint="eastAsia"/>
        </w:rPr>
        <w:t>根据预设的专家知识库（如“强El Nino年冬季，东亚风能资源偏强概率大”），配置气候指数与区域风/光资源异常间的关联规则。当指数达到阈值时，触发系统自适应调整。</w:t>
      </w:r>
    </w:p>
    <w:p>
      <w:pPr>
        <w:pStyle w:val="Heading6"/>
        <w:numPr>
          <w:ilvl w:val="5"/>
          <w:numId w:val="11"/>
        </w:numPr>
      </w:pPr>
      <w:r>
        <w:rPr>
          <w:rFonts w:hint="eastAsia"/>
        </w:rPr>
        <w:t>系统参数自适应调整</w:t>
      </w:r>
    </w:p>
    <w:p>
      <w:pPr>
        <w:ind w:firstLine="420" w:firstLineChars="200"/>
      </w:pPr>
      <w:r>
        <w:rPr>
          <w:rFonts w:hint="eastAsia"/>
        </w:rPr>
        <w:t>根据气候情景动态优化系统内部参数。</w:t>
      </w:r>
    </w:p>
    <w:p>
      <w:pPr>
        <w:ind w:firstLine="420" w:firstLineChars="200"/>
      </w:pPr>
      <w:r>
        <w:rPr>
          <w:rFonts w:hint="eastAsia"/>
        </w:rPr>
        <w:t>（1）集合权重动态调制</w:t>
      </w:r>
    </w:p>
    <w:p>
      <w:pPr>
        <w:ind w:firstLine="420" w:firstLineChars="200"/>
      </w:pPr>
      <w:r>
        <w:rPr>
          <w:rFonts w:hint="eastAsia"/>
        </w:rPr>
        <w:t>基于当前气候相位，动态调整5.4.7.9 多模式集合加权模块中不同模式的权重。例如，在某种ENSO位相下，提高对该位相预报技巧更优模式的权重。</w:t>
      </w:r>
    </w:p>
    <w:p>
      <w:pPr>
        <w:ind w:firstLine="420" w:firstLineChars="200"/>
      </w:pPr>
      <w:r>
        <w:rPr>
          <w:rFonts w:hint="eastAsia"/>
        </w:rPr>
        <w:t>（2）预警阈值滚动校准</w:t>
      </w:r>
    </w:p>
    <w:p>
      <w:pPr>
        <w:ind w:firstLine="420" w:firstLineChars="200"/>
      </w:pPr>
      <w:r>
        <w:rPr>
          <w:rFonts w:hint="eastAsia"/>
        </w:rPr>
        <w:t>根据气候指数和近期观测，动态调整“低出力事件”、“极端大风”等业务预警阈值的判别标准，使其更具气候适应性。</w:t>
      </w:r>
    </w:p>
    <w:p>
      <w:pPr>
        <w:pStyle w:val="Heading5"/>
        <w:numPr>
          <w:ilvl w:val="4"/>
          <w:numId w:val="11"/>
        </w:numPr>
      </w:pPr>
      <w:r>
        <w:rPr>
          <w:rFonts w:hint="eastAsia"/>
        </w:rPr>
        <w:t>逐日产品生成与目录模块（1–30天）</w:t>
      </w:r>
    </w:p>
    <w:p>
      <w:pPr>
        <w:ind w:firstLine="420" w:firstLineChars="200"/>
      </w:pPr>
      <w:r>
        <w:t>该模块负责将前序流程生成的精细化网格预报，加工、包装成面向业务的逐日预报产品，并进行规范化管理和发布。</w:t>
      </w:r>
    </w:p>
    <w:p>
      <w:pPr>
        <w:pStyle w:val="Heading6"/>
        <w:numPr>
          <w:ilvl w:val="5"/>
          <w:numId w:val="11"/>
        </w:numPr>
      </w:pPr>
      <w:r>
        <w:rPr>
          <w:rFonts w:hint="eastAsia"/>
        </w:rPr>
        <w:t>网格与站点产品生成</w:t>
      </w:r>
    </w:p>
    <w:p>
      <w:pPr>
        <w:ind w:firstLine="420" w:firstLineChars="200"/>
      </w:pPr>
      <w:r>
        <w:rPr>
          <w:rFonts w:hint="eastAsia"/>
        </w:rPr>
        <w:t>生产不同空间形式的产品。</w:t>
      </w:r>
    </w:p>
    <w:p>
      <w:pPr>
        <w:ind w:firstLine="420" w:firstLineChars="200"/>
      </w:pPr>
      <w:r>
        <w:rPr>
          <w:rFonts w:hint="eastAsia"/>
        </w:rPr>
        <w:t>（1）网格产品标准化输出</w:t>
      </w:r>
    </w:p>
    <w:p>
      <w:pPr>
        <w:ind w:firstLine="420" w:firstLineChars="200"/>
      </w:pPr>
      <w:r>
        <w:rPr>
          <w:rFonts w:hint="eastAsia"/>
        </w:rPr>
        <w:t>按日循环，自动生成未来1-30天，10km分辨率的网格产品，包括：100m/10m风速、风向、辐射三分量、风功率密度、光伏发电潜力指数等。</w:t>
      </w:r>
    </w:p>
    <w:p>
      <w:pPr>
        <w:ind w:firstLine="420" w:firstLineChars="200"/>
      </w:pPr>
      <w:r>
        <w:rPr>
          <w:rFonts w:hint="eastAsia"/>
        </w:rPr>
        <w:t>（2）站点产品提取与生成</w:t>
      </w:r>
    </w:p>
    <w:p>
      <w:pPr>
        <w:ind w:firstLine="420" w:firstLineChars="200"/>
      </w:pPr>
      <w:r>
        <w:rPr>
          <w:rFonts w:hint="eastAsia"/>
        </w:rPr>
        <w:t>根据新能源场站元数据库中的坐标，从网格产品中双线性插值提取各场站未来1-30天的逐日预报序列，生成站点预报产品文件。</w:t>
      </w:r>
    </w:p>
    <w:p>
      <w:pPr>
        <w:pStyle w:val="Heading6"/>
        <w:numPr>
          <w:ilvl w:val="5"/>
          <w:numId w:val="11"/>
        </w:numPr>
      </w:pPr>
      <w:r>
        <w:rPr>
          <w:rFonts w:hint="eastAsia"/>
        </w:rPr>
        <w:t>产品目录与版本管理</w:t>
      </w:r>
    </w:p>
    <w:p>
      <w:pPr>
        <w:ind w:firstLine="420" w:firstLineChars="200"/>
      </w:pPr>
      <w:r>
        <w:rPr>
          <w:rFonts w:hint="eastAsia"/>
        </w:rPr>
        <w:t>对海量产品进行有序组织。</w:t>
      </w:r>
    </w:p>
    <w:p>
      <w:pPr>
        <w:ind w:firstLine="420" w:firstLineChars="200"/>
      </w:pPr>
      <w:r>
        <w:rPr>
          <w:rFonts w:hint="eastAsia"/>
        </w:rPr>
        <w:t>（1）自动化产品编目</w:t>
      </w:r>
    </w:p>
    <w:p>
      <w:pPr>
        <w:ind w:firstLine="420" w:firstLineChars="200"/>
      </w:pPr>
      <w:r>
        <w:rPr>
          <w:rFonts w:hint="eastAsia"/>
        </w:rPr>
        <w:t>产品生成后，自动提取其起报时间、预报时效、要素、区域等元信息，在产品目录数据库中登记，形成结构化的产品清单。</w:t>
      </w:r>
    </w:p>
    <w:p>
      <w:pPr>
        <w:ind w:firstLine="420" w:firstLineChars="200"/>
      </w:pPr>
      <w:r>
        <w:rPr>
          <w:rFonts w:hint="eastAsia"/>
        </w:rPr>
        <w:t>（2）产品版本控制与发布</w:t>
      </w:r>
    </w:p>
    <w:p>
      <w:pPr>
        <w:ind w:firstLine="420" w:firstLineChars="200"/>
      </w:pPr>
      <w:r>
        <w:rPr>
          <w:rFonts w:hint="eastAsia"/>
        </w:rPr>
        <w:t>对每次运行产生的产品集进行版本标记。通过5.4.7.18 接口与数据服务模块，将指定版本的产品对外发布，并提供产品更新通知。</w:t>
      </w:r>
    </w:p>
    <w:p>
      <w:pPr>
        <w:pStyle w:val="Heading5"/>
        <w:numPr>
          <w:ilvl w:val="4"/>
          <w:numId w:val="11"/>
        </w:numPr>
      </w:pPr>
      <w:r>
        <w:rPr>
          <w:rFonts w:hint="eastAsia"/>
        </w:rPr>
        <w:t>逐月产品生成与展望模块（1–5个月）</w:t>
      </w:r>
    </w:p>
    <w:p>
      <w:pPr>
        <w:ind w:firstLine="420" w:firstLineChars="200"/>
      </w:pPr>
      <w:r>
        <w:t>该模块聚焦月尺度，制作服务于能源中长期规划的概率展望与异常产品。</w:t>
      </w:r>
    </w:p>
    <w:p>
      <w:pPr>
        <w:pStyle w:val="Heading6"/>
        <w:numPr>
          <w:ilvl w:val="5"/>
          <w:numId w:val="11"/>
        </w:numPr>
      </w:pPr>
      <w:r>
        <w:rPr>
          <w:rFonts w:hint="eastAsia"/>
        </w:rPr>
        <w:t>月尺度展望产品制作</w:t>
      </w:r>
    </w:p>
    <w:p>
      <w:pPr>
        <w:ind w:firstLine="420" w:firstLineChars="200"/>
      </w:pPr>
      <w:r>
        <w:rPr>
          <w:rFonts w:hint="eastAsia"/>
        </w:rPr>
        <w:t>基于次季节至季节预报制作月平均产品。</w:t>
      </w:r>
    </w:p>
    <w:p>
      <w:pPr>
        <w:ind w:firstLine="420" w:firstLineChars="200"/>
      </w:pPr>
      <w:r>
        <w:rPr>
          <w:rFonts w:hint="eastAsia"/>
        </w:rPr>
        <w:t>（1）月平均与距平产品计算</w:t>
      </w:r>
    </w:p>
    <w:p>
      <w:pPr>
        <w:ind w:firstLine="420" w:firstLineChars="200"/>
      </w:pPr>
      <w:r>
        <w:rPr>
          <w:rFonts w:hint="eastAsia"/>
        </w:rPr>
        <w:t>对未来1-5个月的逐月平均风速、辐射总量进行预报，并计算其相对于气候平均态的距平百分比。</w:t>
      </w:r>
    </w:p>
    <w:p>
      <w:pPr>
        <w:ind w:firstLine="420" w:firstLineChars="200"/>
      </w:pPr>
      <w:r>
        <w:rPr>
          <w:rFonts w:hint="eastAsia"/>
        </w:rPr>
        <w:t>（2）概率预报产品生成</w:t>
      </w:r>
    </w:p>
    <w:p>
      <w:pPr>
        <w:ind w:firstLine="420" w:firstLineChars="200"/>
      </w:pPr>
      <w:r>
        <w:rPr>
          <w:rFonts w:hint="eastAsia"/>
        </w:rPr>
        <w:t>利用集合预报信息，生成“月平均风速偏高/偏低的概率”、“月总辐射偏多/偏少的概率”等概率型产品。</w:t>
      </w:r>
    </w:p>
    <w:p>
      <w:pPr>
        <w:pStyle w:val="Heading6"/>
        <w:numPr>
          <w:ilvl w:val="5"/>
          <w:numId w:val="11"/>
        </w:numPr>
      </w:pPr>
      <w:r>
        <w:rPr>
          <w:rFonts w:hint="eastAsia"/>
        </w:rPr>
        <w:t>中长期能源支持报告</w:t>
      </w:r>
    </w:p>
    <w:p>
      <w:pPr>
        <w:ind w:firstLine="420" w:firstLineChars="200"/>
      </w:pPr>
      <w:r>
        <w:rPr>
          <w:rFonts w:hint="eastAsia"/>
        </w:rPr>
        <w:t>将气象预报转化为能源语言。</w:t>
      </w:r>
    </w:p>
    <w:p>
      <w:pPr>
        <w:ind w:firstLine="420" w:firstLineChars="200"/>
      </w:pPr>
      <w:r>
        <w:rPr>
          <w:rFonts w:hint="eastAsia"/>
        </w:rPr>
        <w:t>（1）资源趋势分析报告</w:t>
      </w:r>
    </w:p>
    <w:p>
      <w:pPr>
        <w:ind w:firstLine="420" w:firstLineChars="200"/>
      </w:pPr>
      <w:r>
        <w:rPr>
          <w:rFonts w:hint="eastAsia"/>
        </w:rPr>
        <w:t>自动生成面向能源企业的月度资源展望报告，图文并茂地展示未来数月风能太阳能资源的时空变化趋势及不确定性。</w:t>
      </w:r>
    </w:p>
    <w:p>
      <w:pPr>
        <w:ind w:firstLine="420" w:firstLineChars="200"/>
      </w:pPr>
      <w:r>
        <w:rPr>
          <w:rFonts w:hint="eastAsia"/>
        </w:rPr>
        <w:t>（2）产品可视化封装</w:t>
      </w:r>
    </w:p>
    <w:p>
      <w:pPr>
        <w:ind w:firstLine="420" w:firstLineChars="200"/>
      </w:pPr>
      <w:r>
        <w:rPr>
          <w:rFonts w:hint="eastAsia"/>
        </w:rPr>
        <w:t>制作适合嵌入能源企业业务系统的标准化月尺度产品图表（如距平分布图、概率饼图）和数据接口。</w:t>
      </w:r>
    </w:p>
    <w:p>
      <w:pPr>
        <w:pStyle w:val="Heading5"/>
        <w:numPr>
          <w:ilvl w:val="4"/>
          <w:numId w:val="11"/>
        </w:numPr>
      </w:pPr>
      <w:r>
        <w:rPr>
          <w:rFonts w:hint="eastAsia"/>
        </w:rPr>
        <w:t>风电/光伏功率推导模块</w:t>
      </w:r>
    </w:p>
    <w:p>
      <w:pPr>
        <w:ind w:firstLine="420" w:firstLineChars="200"/>
      </w:pPr>
      <w:r>
        <w:t>该模块将气象资源预报直接转换为场站及区域的发电功率预测，是连接气象与电力业务的核心环节。</w:t>
      </w:r>
    </w:p>
    <w:p>
      <w:pPr>
        <w:pStyle w:val="Heading6"/>
        <w:numPr>
          <w:ilvl w:val="5"/>
          <w:numId w:val="11"/>
        </w:numPr>
      </w:pPr>
      <w:r>
        <w:rPr>
          <w:rFonts w:hint="eastAsia"/>
        </w:rPr>
        <w:t>场站级功率预测</w:t>
      </w:r>
    </w:p>
    <w:p>
      <w:pPr>
        <w:ind w:firstLine="420" w:firstLineChars="200"/>
      </w:pPr>
      <w:r>
        <w:rPr>
          <w:rFonts w:hint="eastAsia"/>
        </w:rPr>
        <w:t>为单个风电场或光伏电站预测发电功率。</w:t>
      </w:r>
    </w:p>
    <w:p>
      <w:pPr>
        <w:ind w:firstLine="420" w:firstLineChars="200"/>
      </w:pPr>
      <w:r>
        <w:rPr>
          <w:rFonts w:hint="eastAsia"/>
        </w:rPr>
        <w:t>（1）风电功率曲线建模与预测</w:t>
      </w:r>
    </w:p>
    <w:p>
      <w:pPr>
        <w:ind w:firstLine="420" w:firstLineChars="200"/>
      </w:pPr>
      <w:r>
        <w:rPr>
          <w:rFonts w:hint="eastAsia"/>
        </w:rPr>
        <w:t>读取风电场元数据中的功率曲线，将预报的轮毂高度风速输入，考虑空气密度修正，计算理论发电功率。进一步结合场内损耗、限电等因素进行修正。</w:t>
      </w:r>
    </w:p>
    <w:p>
      <w:pPr>
        <w:ind w:firstLine="420" w:firstLineChars="200"/>
      </w:pPr>
      <w:r>
        <w:rPr>
          <w:rFonts w:hint="eastAsia"/>
        </w:rPr>
        <w:t>（2）光伏发电性能模拟与预测</w:t>
      </w:r>
    </w:p>
    <w:p>
      <w:pPr>
        <w:ind w:firstLine="420" w:firstLineChars="200"/>
      </w:pPr>
      <w:r>
        <w:rPr>
          <w:rFonts w:hint="eastAsia"/>
        </w:rPr>
        <w:t>基于预报的辐射、温度，利用光伏组件物理模型或经验性能比模型，计算光伏电站的发电功率，并考虑逆变器效率、灰尘损失等。</w:t>
      </w:r>
    </w:p>
    <w:p>
      <w:pPr>
        <w:pStyle w:val="Heading6"/>
        <w:numPr>
          <w:ilvl w:val="5"/>
          <w:numId w:val="11"/>
        </w:numPr>
      </w:pPr>
      <w:r>
        <w:rPr>
          <w:rFonts w:hint="eastAsia"/>
        </w:rPr>
        <w:t>区域聚合与可发电量评估</w:t>
      </w:r>
    </w:p>
    <w:p>
      <w:pPr>
        <w:ind w:firstLine="420" w:firstLineChars="200"/>
      </w:pPr>
      <w:r>
        <w:rPr>
          <w:rFonts w:hint="eastAsia"/>
        </w:rPr>
        <w:t>从更大尺度评估发电潜力。</w:t>
      </w:r>
    </w:p>
    <w:p>
      <w:pPr>
        <w:ind w:firstLine="420" w:firstLineChars="200"/>
      </w:pPr>
      <w:r>
        <w:rPr>
          <w:rFonts w:hint="eastAsia"/>
        </w:rPr>
        <w:t>（1）区域功率聚合</w:t>
      </w:r>
    </w:p>
    <w:p>
      <w:pPr>
        <w:ind w:firstLine="420" w:firstLineChars="200"/>
      </w:pPr>
      <w:r>
        <w:rPr>
          <w:rFonts w:hint="eastAsia"/>
        </w:rPr>
        <w:t>对某个行政区划、电网调度区域内的所有场站预报功率进行聚合，得到区域总发电功率预测曲线。</w:t>
      </w:r>
    </w:p>
    <w:p>
      <w:pPr>
        <w:ind w:firstLine="420" w:firstLineChars="200"/>
      </w:pPr>
      <w:r>
        <w:rPr>
          <w:rFonts w:hint="eastAsia"/>
        </w:rPr>
        <w:t>（2）可发电小时数估算</w:t>
      </w:r>
    </w:p>
    <w:p>
      <w:pPr>
        <w:ind w:firstLine="420" w:firstLineChars="200"/>
      </w:pPr>
      <w:r>
        <w:rPr>
          <w:rFonts w:hint="eastAsia"/>
        </w:rPr>
        <w:t>统计预测时段内（如未来一周、一月）场站或区域发电功率大于某个阈值（如额定功率的5%）的小时数，评估可发电潜力。</w:t>
      </w:r>
    </w:p>
    <w:p>
      <w:pPr>
        <w:pStyle w:val="Heading5"/>
        <w:numPr>
          <w:ilvl w:val="4"/>
          <w:numId w:val="11"/>
        </w:numPr>
      </w:pPr>
      <w:r>
        <w:rPr>
          <w:rFonts w:hint="eastAsia"/>
        </w:rPr>
        <w:t>低出力与极端事件风险模块</w:t>
      </w:r>
    </w:p>
    <w:p>
      <w:pPr>
        <w:ind w:firstLine="420" w:firstLineChars="200"/>
      </w:pPr>
      <w:r>
        <w:t>该模块识别对电网运行有高风险的气象事件，并提供风险预警。</w:t>
      </w:r>
    </w:p>
    <w:p>
      <w:pPr>
        <w:pStyle w:val="Heading6"/>
        <w:numPr>
          <w:ilvl w:val="5"/>
          <w:numId w:val="11"/>
        </w:numPr>
      </w:pPr>
      <w:r>
        <w:rPr>
          <w:rFonts w:hint="eastAsia"/>
        </w:rPr>
        <w:t>低出力事件识别与诊断</w:t>
      </w:r>
    </w:p>
    <w:p>
      <w:pPr>
        <w:ind w:firstLine="420" w:firstLineChars="200"/>
      </w:pPr>
      <w:r>
        <w:rPr>
          <w:rFonts w:hint="eastAsia"/>
        </w:rPr>
        <w:t>识别“无风无光”的复合型低发电事件。</w:t>
      </w:r>
    </w:p>
    <w:p>
      <w:pPr>
        <w:ind w:firstLine="420" w:firstLineChars="200"/>
      </w:pPr>
      <w:r>
        <w:rPr>
          <w:rFonts w:hint="eastAsia"/>
        </w:rPr>
        <w:t>（1）时空事件检测算法</w:t>
      </w:r>
    </w:p>
    <w:p>
      <w:pPr>
        <w:ind w:firstLine="420" w:firstLineChars="200"/>
      </w:pPr>
      <w:r>
        <w:rPr>
          <w:rFonts w:hint="eastAsia"/>
        </w:rPr>
        <w:t>基于风电和光伏功率预报，定义低出力阈值（如低于装机容量的10%），利用时空聚类算法，识别出在时间和空间上连续成片的低出力事件。</w:t>
      </w:r>
    </w:p>
    <w:p>
      <w:pPr>
        <w:ind w:firstLine="420" w:firstLineChars="200"/>
      </w:pPr>
      <w:r>
        <w:rPr>
          <w:rFonts w:hint="eastAsia"/>
        </w:rPr>
        <w:t>（2）事件特征提取与清单生成</w:t>
      </w:r>
    </w:p>
    <w:p>
      <w:pPr>
        <w:ind w:firstLine="420" w:firstLineChars="200"/>
      </w:pPr>
      <w:r>
        <w:rPr>
          <w:rFonts w:hint="eastAsia"/>
        </w:rPr>
        <w:t>提取每个低出力事件的开始时间、持续时间、影响空间范围、最低出力水平等特征，生成结构化的事件清单。</w:t>
      </w:r>
    </w:p>
    <w:p>
      <w:pPr>
        <w:pStyle w:val="Heading6"/>
        <w:numPr>
          <w:ilvl w:val="5"/>
          <w:numId w:val="11"/>
        </w:numPr>
      </w:pPr>
      <w:r>
        <w:rPr>
          <w:rFonts w:hint="eastAsia"/>
        </w:rPr>
        <w:t>极端事件风险制图</w:t>
      </w:r>
    </w:p>
    <w:p>
      <w:pPr>
        <w:ind w:firstLine="420" w:firstLineChars="200"/>
      </w:pPr>
      <w:r>
        <w:rPr>
          <w:rFonts w:hint="eastAsia"/>
        </w:rPr>
        <w:t>评估极端气象事件对新能源发电的冲击风险。</w:t>
      </w:r>
    </w:p>
    <w:p>
      <w:pPr>
        <w:ind w:firstLine="420" w:firstLineChars="200"/>
      </w:pPr>
      <w:r>
        <w:rPr>
          <w:rFonts w:hint="eastAsia"/>
        </w:rPr>
        <w:t>（1）极端大风/低温风险</w:t>
      </w:r>
    </w:p>
    <w:p>
      <w:pPr>
        <w:ind w:firstLine="420" w:firstLineChars="200"/>
      </w:pPr>
      <w:r>
        <w:rPr>
          <w:rFonts w:hint="eastAsia"/>
        </w:rPr>
        <w:t>识别预报中可能超过风机切出风速或对光伏板造成覆冰损伤的极端天气格点。</w:t>
      </w:r>
    </w:p>
    <w:p>
      <w:pPr>
        <w:ind w:firstLine="420" w:firstLineChars="200"/>
      </w:pPr>
      <w:r>
        <w:rPr>
          <w:rFonts w:hint="eastAsia"/>
        </w:rPr>
        <w:t>（2）风险产品输出</w:t>
      </w:r>
    </w:p>
    <w:p>
      <w:pPr>
        <w:ind w:firstLine="420" w:firstLineChars="200"/>
      </w:pPr>
      <w:r>
        <w:rPr>
          <w:rFonts w:hint="eastAsia"/>
        </w:rPr>
        <w:t>输出未来1-30天的低出力事件风险时空分布图（格点产品）和受极端事件威胁的场站清单，为电网调度和应急响应提供提前量。</w:t>
      </w:r>
    </w:p>
    <w:p>
      <w:pPr>
        <w:pStyle w:val="Heading5"/>
        <w:numPr>
          <w:ilvl w:val="4"/>
          <w:numId w:val="11"/>
        </w:numPr>
      </w:pPr>
      <w:r>
        <w:rPr>
          <w:rFonts w:hint="eastAsia"/>
        </w:rPr>
        <w:t>实时检验与评分模块</w:t>
      </w:r>
    </w:p>
    <w:p>
      <w:pPr>
        <w:ind w:firstLine="420" w:firstLineChars="200"/>
      </w:pPr>
      <w:r>
        <w:t>该模块对系统输出的所有预报产品进行自动化、定量化的检验评估，持续监控预报性能。</w:t>
      </w:r>
    </w:p>
    <w:p>
      <w:pPr>
        <w:pStyle w:val="Heading6"/>
        <w:numPr>
          <w:ilvl w:val="5"/>
          <w:numId w:val="11"/>
        </w:numPr>
      </w:pPr>
      <w:r>
        <w:rPr>
          <w:rFonts w:hint="eastAsia"/>
        </w:rPr>
        <w:t>多维度自动化检验</w:t>
      </w:r>
    </w:p>
    <w:p>
      <w:pPr>
        <w:ind w:firstLine="420" w:firstLineChars="200"/>
      </w:pPr>
      <w:r>
        <w:rPr>
          <w:rFonts w:hint="eastAsia"/>
        </w:rPr>
        <w:t>针对不同产品类型设计检验方案。</w:t>
      </w:r>
    </w:p>
    <w:p>
      <w:pPr>
        <w:ind w:firstLine="420" w:firstLineChars="200"/>
      </w:pPr>
      <w:r>
        <w:rPr>
          <w:rFonts w:hint="eastAsia"/>
        </w:rPr>
        <w:t>（1）确定性预报检验</w:t>
      </w:r>
    </w:p>
    <w:p>
      <w:pPr>
        <w:ind w:firstLine="420" w:firstLineChars="200"/>
      </w:pPr>
      <w:r>
        <w:rPr>
          <w:rFonts w:hint="eastAsia"/>
        </w:rPr>
        <w:t>针对集合平均预报，自动计算并入库针对站点和网格的均方根误差、平均绝对误差、时间相关系数等指标。</w:t>
      </w:r>
    </w:p>
    <w:p>
      <w:pPr>
        <w:ind w:firstLine="420" w:firstLineChars="200"/>
      </w:pPr>
      <w:r>
        <w:rPr>
          <w:rFonts w:hint="eastAsia"/>
        </w:rPr>
        <w:t>（2）概率预报与集合预报检验</w:t>
      </w:r>
    </w:p>
    <w:p>
      <w:pPr>
        <w:ind w:firstLine="420" w:firstLineChars="200"/>
      </w:pPr>
      <w:r>
        <w:rPr>
          <w:rFonts w:hint="eastAsia"/>
        </w:rPr>
        <w:t>针对集合和概率产品，自动计算连续概率技巧评分、Brier评分、Brier技巧评分、可靠性图表、ROC曲线面积等。</w:t>
      </w:r>
    </w:p>
    <w:p>
      <w:pPr>
        <w:ind w:firstLine="420" w:firstLineChars="200"/>
      </w:pPr>
      <w:r>
        <w:rPr>
          <w:rFonts w:hint="eastAsia"/>
        </w:rPr>
        <w:t>（3）分层统计检验</w:t>
      </w:r>
    </w:p>
    <w:p>
      <w:pPr>
        <w:ind w:firstLine="420" w:firstLineChars="200"/>
      </w:pPr>
      <w:r>
        <w:rPr>
          <w:rFonts w:hint="eastAsia"/>
        </w:rPr>
        <w:t>支持按全国、七大区域、重点省区、重点能源基地等不同空间层级进行分层统计检验，评估区域性能差异。</w:t>
      </w:r>
    </w:p>
    <w:p>
      <w:pPr>
        <w:pStyle w:val="Heading6"/>
        <w:numPr>
          <w:ilvl w:val="5"/>
          <w:numId w:val="11"/>
        </w:numPr>
      </w:pPr>
      <w:r>
        <w:rPr>
          <w:rFonts w:hint="eastAsia"/>
        </w:rPr>
        <w:t>检验结果管理与分析</w:t>
      </w:r>
    </w:p>
    <w:p>
      <w:pPr>
        <w:ind w:firstLine="420" w:firstLineChars="200"/>
      </w:pPr>
      <w:r>
        <w:rPr>
          <w:rFonts w:hint="eastAsia"/>
        </w:rPr>
        <w:t>对海量检验结果进行管理和深度分析。</w:t>
      </w:r>
    </w:p>
    <w:p>
      <w:pPr>
        <w:ind w:firstLine="420" w:firstLineChars="200"/>
      </w:pPr>
      <w:r>
        <w:rPr>
          <w:rFonts w:hint="eastAsia"/>
        </w:rPr>
        <w:t>（1）检验结果结构化入库</w:t>
      </w:r>
    </w:p>
    <w:p>
      <w:pPr>
        <w:ind w:firstLine="420" w:firstLineChars="200"/>
      </w:pPr>
      <w:r>
        <w:rPr>
          <w:rFonts w:hint="eastAsia"/>
        </w:rPr>
        <w:t>所有检验指标结果均带有时效、区域、起报时间、要素等标签，存入时间序列数据库，便于长期追踪。</w:t>
      </w:r>
    </w:p>
    <w:p>
      <w:pPr>
        <w:ind w:firstLine="420" w:firstLineChars="200"/>
      </w:pPr>
      <w:r>
        <w:rPr>
          <w:rFonts w:hint="eastAsia"/>
        </w:rPr>
        <w:t>（2）预报性能趋势报告</w:t>
      </w:r>
    </w:p>
    <w:p>
      <w:pPr>
        <w:ind w:firstLine="420" w:firstLineChars="200"/>
      </w:pPr>
      <w:r>
        <w:rPr>
          <w:rFonts w:hint="eastAsia"/>
        </w:rPr>
        <w:t>定期（如月度、季度）生成预报性能分析报告，展示各项评分随时间的变化趋势，并与历史同期或基准方法进行对比。</w:t>
      </w:r>
    </w:p>
    <w:p>
      <w:pPr>
        <w:pStyle w:val="Heading5"/>
        <w:numPr>
          <w:ilvl w:val="4"/>
          <w:numId w:val="11"/>
        </w:numPr>
      </w:pPr>
      <w:r>
        <w:rPr>
          <w:rFonts w:hint="eastAsia"/>
        </w:rPr>
        <w:t>评分仪表盘与可视化模块</w:t>
      </w:r>
    </w:p>
    <w:p>
      <w:pPr>
        <w:ind w:firstLine="420" w:firstLineChars="200"/>
      </w:pPr>
      <w:r>
        <w:t>该模块以交互式图形界面的方式，直观展示预报产品、检验结果和极端事件复盘信息。</w:t>
      </w:r>
    </w:p>
    <w:p>
      <w:pPr>
        <w:pStyle w:val="Heading6"/>
        <w:numPr>
          <w:ilvl w:val="5"/>
          <w:numId w:val="11"/>
        </w:numPr>
      </w:pPr>
      <w:r>
        <w:rPr>
          <w:rFonts w:hint="eastAsia"/>
        </w:rPr>
        <w:t>多维数据交互可视化</w:t>
      </w:r>
    </w:p>
    <w:p>
      <w:pPr>
        <w:ind w:firstLine="420" w:firstLineChars="200"/>
      </w:pPr>
      <w:r>
        <w:rPr>
          <w:rFonts w:hint="eastAsia"/>
        </w:rPr>
        <w:t>提供丰富的可视化图表。</w:t>
      </w:r>
    </w:p>
    <w:p>
      <w:pPr>
        <w:ind w:firstLine="420" w:firstLineChars="200"/>
      </w:pPr>
      <w:r>
        <w:rPr>
          <w:rFonts w:hint="eastAsia"/>
        </w:rPr>
        <w:t>（1）空间分布热力图</w:t>
      </w:r>
    </w:p>
    <w:p>
      <w:pPr>
        <w:ind w:firstLine="420" w:firstLineChars="200"/>
      </w:pPr>
      <w:r>
        <w:rPr>
          <w:rFonts w:hint="eastAsia"/>
        </w:rPr>
        <w:t>在地图上动态渲染风速、辐射、预报技巧评分等要素的空间分布，支持图层叠加和时空滑动。</w:t>
      </w:r>
    </w:p>
    <w:p>
      <w:pPr>
        <w:ind w:firstLine="420" w:firstLineChars="200"/>
      </w:pPr>
      <w:r>
        <w:rPr>
          <w:rFonts w:hint="eastAsia"/>
        </w:rPr>
        <w:t>（2）时间序列对比工具</w:t>
      </w:r>
    </w:p>
    <w:p>
      <w:pPr>
        <w:ind w:firstLine="420" w:firstLineChars="200"/>
      </w:pPr>
      <w:r>
        <w:rPr>
          <w:rFonts w:hint="eastAsia"/>
        </w:rPr>
        <w:t>提供站点或区域平均预报与实况的时序对比曲线图，支持概率预报以“概率带”形式展示。</w:t>
      </w:r>
    </w:p>
    <w:p>
      <w:pPr>
        <w:ind w:firstLine="420" w:firstLineChars="200"/>
      </w:pPr>
      <w:r>
        <w:rPr>
          <w:rFonts w:hint="eastAsia"/>
        </w:rPr>
        <w:t>（3）集合预报离散度展示</w:t>
      </w:r>
    </w:p>
    <w:p>
      <w:pPr>
        <w:ind w:firstLine="420" w:firstLineChars="200"/>
      </w:pPr>
      <w:r>
        <w:rPr>
          <w:rFonts w:hint="eastAsia"/>
        </w:rPr>
        <w:t>以箱线图或分位数填充图的形式，展示集合预报成员的范围，直观表达预报不确定性。</w:t>
      </w:r>
    </w:p>
    <w:p>
      <w:pPr>
        <w:pStyle w:val="Heading6"/>
        <w:numPr>
          <w:ilvl w:val="5"/>
          <w:numId w:val="11"/>
        </w:numPr>
      </w:pPr>
      <w:r>
        <w:rPr>
          <w:rFonts w:hint="eastAsia"/>
        </w:rPr>
        <w:t>极端事件交互复盘</w:t>
      </w:r>
    </w:p>
    <w:p>
      <w:pPr>
        <w:ind w:firstLine="420" w:firstLineChars="200"/>
      </w:pPr>
      <w:r>
        <w:rPr>
          <w:rFonts w:hint="eastAsia"/>
        </w:rPr>
        <w:t>对历史事件进行深度可视化分析。</w:t>
      </w:r>
    </w:p>
    <w:p>
      <w:pPr>
        <w:ind w:firstLine="420" w:firstLineChars="200"/>
      </w:pPr>
      <w:r>
        <w:rPr>
          <w:rFonts w:hint="eastAsia"/>
        </w:rPr>
        <w:t>（1）事件过程动态回放</w:t>
      </w:r>
    </w:p>
    <w:p>
      <w:pPr>
        <w:ind w:firstLine="420" w:firstLineChars="200"/>
      </w:pPr>
      <w:r>
        <w:rPr>
          <w:rFonts w:hint="eastAsia"/>
        </w:rPr>
        <w:t>对已发生的低出力或极端事件，提供从预报到实况的时空动画回放功能，直观对比预报与实况的演变。</w:t>
      </w:r>
    </w:p>
    <w:p>
      <w:pPr>
        <w:ind w:firstLine="420" w:firstLineChars="200"/>
      </w:pPr>
      <w:r>
        <w:rPr>
          <w:rFonts w:hint="eastAsia"/>
        </w:rPr>
        <w:t>（2）个例检验深度分析</w:t>
      </w:r>
    </w:p>
    <w:p>
      <w:pPr>
        <w:ind w:firstLine="420" w:firstLineChars="200"/>
      </w:pPr>
      <w:r>
        <w:rPr>
          <w:rFonts w:hint="eastAsia"/>
        </w:rPr>
        <w:t>在复盘模式下，可一键调取该事件对应时段、区域的详细检验评分和诊断报告。</w:t>
      </w:r>
    </w:p>
    <w:p>
      <w:pPr>
        <w:pStyle w:val="Heading5"/>
        <w:numPr>
          <w:ilvl w:val="4"/>
          <w:numId w:val="11"/>
        </w:numPr>
      </w:pPr>
      <w:r>
        <w:rPr>
          <w:rFonts w:hint="eastAsia"/>
        </w:rPr>
        <w:t>接口与数据服务模块</w:t>
      </w:r>
    </w:p>
    <w:p>
      <w:pPr>
        <w:ind w:firstLine="420" w:firstLineChars="200"/>
      </w:pPr>
      <w:r>
        <w:t>该模块作为系统对外的统一服务门户，为电网、能源企业等用户提供规范、安全、高效的数据访问能力。</w:t>
      </w:r>
    </w:p>
    <w:p>
      <w:pPr>
        <w:pStyle w:val="Heading6"/>
        <w:numPr>
          <w:ilvl w:val="5"/>
          <w:numId w:val="11"/>
        </w:numPr>
      </w:pPr>
      <w:r>
        <w:rPr>
          <w:rFonts w:hint="eastAsia"/>
        </w:rPr>
        <w:t>统一数据服务接口</w:t>
      </w:r>
    </w:p>
    <w:p>
      <w:pPr>
        <w:ind w:firstLine="420" w:firstLineChars="200"/>
      </w:pPr>
      <w:r>
        <w:rPr>
          <w:rFonts w:hint="eastAsia"/>
        </w:rPr>
        <w:t>提供多样化的数据获取方式。</w:t>
      </w:r>
    </w:p>
    <w:p>
      <w:pPr>
        <w:ind w:firstLine="420" w:firstLineChars="200"/>
      </w:pPr>
      <w:r>
        <w:rPr>
          <w:rFonts w:hint="eastAsia"/>
        </w:rPr>
        <w:t>（1）RESTful API 服务</w:t>
      </w:r>
    </w:p>
    <w:p>
      <w:pPr>
        <w:ind w:firstLine="420" w:firstLineChars="200"/>
      </w:pPr>
      <w:r>
        <w:rPr>
          <w:rFonts w:hint="eastAsia"/>
        </w:rPr>
        <w:t>提供标准的HTTP/HTTPS API接口，支持用户按产品类型、时间、区域等条件查询和下载网格或站点预报产品、概率产品、检验结果等。</w:t>
      </w:r>
    </w:p>
    <w:p>
      <w:pPr>
        <w:ind w:firstLine="420" w:firstLineChars="200"/>
      </w:pPr>
      <w:r>
        <w:rPr>
          <w:rFonts w:hint="eastAsia"/>
        </w:rPr>
        <w:t>（2）数据订阅与推送服务</w:t>
      </w:r>
    </w:p>
    <w:p>
      <w:pPr>
        <w:ind w:firstLine="420" w:firstLineChars="200"/>
      </w:pPr>
      <w:r>
        <w:rPr>
          <w:rFonts w:hint="eastAsia"/>
        </w:rPr>
        <w:t>支持用户订阅特定的产品（如“某风电场未来7天风速预报”）。当新产品生成时，系统通过消息队列或文件服务（如SFTP）主动推送给用户。</w:t>
      </w:r>
    </w:p>
    <w:p>
      <w:pPr>
        <w:pStyle w:val="Heading6"/>
        <w:numPr>
          <w:ilvl w:val="5"/>
          <w:numId w:val="11"/>
        </w:numPr>
      </w:pPr>
      <w:r>
        <w:rPr>
          <w:rFonts w:hint="eastAsia"/>
        </w:rPr>
        <w:t>服务管理与安全控制</w:t>
      </w:r>
    </w:p>
    <w:p>
      <w:pPr>
        <w:ind w:firstLine="420" w:firstLineChars="200"/>
      </w:pPr>
      <w:r>
        <w:rPr>
          <w:rFonts w:hint="eastAsia"/>
        </w:rPr>
        <w:t>保障服务的安全与可控。</w:t>
      </w:r>
    </w:p>
    <w:p>
      <w:pPr>
        <w:ind w:firstLine="420" w:firstLineChars="200"/>
      </w:pPr>
      <w:r>
        <w:rPr>
          <w:rFonts w:hint="eastAsia"/>
        </w:rPr>
        <w:t>（1）用户认证与权限管理</w:t>
      </w:r>
    </w:p>
    <w:p>
      <w:pPr>
        <w:ind w:firstLine="420" w:firstLineChars="200"/>
      </w:pPr>
      <w:r>
        <w:rPr>
          <w:rFonts w:hint="eastAsia"/>
        </w:rPr>
        <w:t>集成OAuth2.0、API Key等认证机制。实现细粒度的权限控制，不同用户可访问的产品范围、区域范围和接口权限可配置。</w:t>
      </w:r>
    </w:p>
    <w:p>
      <w:pPr>
        <w:ind w:firstLine="420" w:firstLineChars="200"/>
      </w:pPr>
      <w:r>
        <w:rPr>
          <w:rFonts w:hint="eastAsia"/>
        </w:rPr>
        <w:t>（2）服务审计与用量统计</w:t>
      </w:r>
    </w:p>
    <w:p>
      <w:pPr>
        <w:ind w:firstLine="420" w:firstLineChars="200"/>
      </w:pPr>
      <w:r>
        <w:rPr>
          <w:rFonts w:hint="eastAsia"/>
        </w:rPr>
        <w:t>记录所有API调用日志，包括用户、时间、请求参数、数据量等，用于安全审计和服务用量分析。</w:t>
      </w:r>
    </w:p>
    <w:p>
      <w:pPr>
        <w:pStyle w:val="Heading5"/>
        <w:numPr>
          <w:ilvl w:val="4"/>
          <w:numId w:val="11"/>
        </w:numPr>
      </w:pPr>
      <w:r>
        <w:rPr>
          <w:rFonts w:hint="eastAsia"/>
        </w:rPr>
        <w:t>生产调度与运行监控模块</w:t>
      </w:r>
    </w:p>
    <w:p>
      <w:pPr>
        <w:ind w:firstLine="420" w:firstLineChars="200"/>
      </w:pPr>
      <w:r>
        <w:t>该模块是系统的“中枢神经”，负责自动化作业流程的调度、系统资源的监控以及运行状态的保障。</w:t>
      </w:r>
    </w:p>
    <w:p>
      <w:pPr>
        <w:pStyle w:val="Heading6"/>
        <w:numPr>
          <w:ilvl w:val="5"/>
          <w:numId w:val="11"/>
        </w:numPr>
      </w:pPr>
      <w:r>
        <w:rPr>
          <w:rFonts w:hint="eastAsia"/>
        </w:rPr>
        <w:t>智能化作业调度</w:t>
      </w:r>
    </w:p>
    <w:p>
      <w:pPr>
        <w:ind w:firstLine="420" w:firstLineChars="200"/>
      </w:pPr>
      <w:r>
        <w:rPr>
          <w:rFonts w:hint="eastAsia"/>
        </w:rPr>
        <w:t>以有向无环图形式编排复杂的预报流程。</w:t>
      </w:r>
    </w:p>
    <w:p>
      <w:pPr>
        <w:ind w:firstLine="420" w:firstLineChars="200"/>
      </w:pPr>
      <w:r>
        <w:rPr>
          <w:rFonts w:hint="eastAsia"/>
        </w:rPr>
        <w:t>（1）DAG工作流编排与调度</w:t>
      </w:r>
    </w:p>
    <w:p>
      <w:pPr>
        <w:ind w:firstLine="420" w:firstLineChars="200"/>
      </w:pPr>
      <w:r>
        <w:rPr>
          <w:rFonts w:hint="eastAsia"/>
        </w:rPr>
        <w:t>将数据接入、质控、融合、订正、产品生成、检验等任务编排成依赖关系明确的DAG。调度器根据依赖和数据就绪情况自动触发任务执行。</w:t>
      </w:r>
    </w:p>
    <w:p>
      <w:pPr>
        <w:ind w:firstLine="420" w:firstLineChars="200"/>
      </w:pPr>
      <w:r>
        <w:rPr>
          <w:rFonts w:hint="eastAsia"/>
        </w:rPr>
        <w:t>（2）弹性资源管理与容错</w:t>
      </w:r>
    </w:p>
    <w:p>
      <w:pPr>
        <w:ind w:firstLine="420" w:firstLineChars="200"/>
      </w:pPr>
      <w:r>
        <w:rPr>
          <w:rFonts w:hint="eastAsia"/>
        </w:rPr>
        <w:t>任务调度与计算资源（CPU/GPU/内存）管理联动，根据任务队列负载动态申请和释放云资源。任务失败时自动重试，并具备断点续跑能力。</w:t>
      </w:r>
    </w:p>
    <w:p>
      <w:pPr>
        <w:pStyle w:val="Heading6"/>
        <w:numPr>
          <w:ilvl w:val="5"/>
          <w:numId w:val="11"/>
        </w:numPr>
      </w:pPr>
      <w:r>
        <w:rPr>
          <w:rFonts w:hint="eastAsia"/>
        </w:rPr>
        <w:t>全链路运行监控</w:t>
      </w:r>
    </w:p>
    <w:p>
      <w:pPr>
        <w:ind w:firstLine="420" w:firstLineChars="200"/>
      </w:pPr>
      <w:r>
        <w:rPr>
          <w:rFonts w:hint="eastAsia"/>
        </w:rPr>
        <w:t>对系统各个组件的运行状态进行全方位监控。</w:t>
      </w:r>
    </w:p>
    <w:p>
      <w:pPr>
        <w:ind w:firstLine="420" w:firstLineChars="200"/>
      </w:pPr>
      <w:r>
        <w:rPr>
          <w:rFonts w:hint="eastAsia"/>
        </w:rPr>
        <w:t>（1）实时运行状态看板</w:t>
      </w:r>
    </w:p>
    <w:p>
      <w:pPr>
        <w:ind w:firstLine="420" w:firstLineChars="200"/>
      </w:pPr>
      <w:r>
        <w:rPr>
          <w:rFonts w:hint="eastAsia"/>
        </w:rPr>
        <w:t>提供可视化仪表盘，实时展示作业流执行进度、各模块处理耗时、数据流延迟、服务器资源使用率等关键指标。</w:t>
      </w:r>
    </w:p>
    <w:p>
      <w:pPr>
        <w:ind w:firstLine="420" w:firstLineChars="200"/>
      </w:pPr>
      <w:r>
        <w:rPr>
          <w:rFonts w:hint="eastAsia"/>
        </w:rPr>
        <w:t>（2）智能告警与自愈</w:t>
      </w:r>
    </w:p>
    <w:p>
      <w:pPr>
        <w:ind w:firstLine="420" w:firstLineChars="200"/>
      </w:pPr>
      <w:r>
        <w:rPr>
          <w:rFonts w:hint="eastAsia"/>
        </w:rPr>
        <w:t>对作业失败、数据延迟超限、服务接口异常、资源过载等设置多级告警（邮件、短信、钉钉）。对常见故障（如进程僵死）设计自动恢复脚本。</w:t>
      </w:r>
    </w:p>
    <w:p>
      <w:pPr>
        <w:ind w:firstLine="420" w:firstLineChars="200"/>
      </w:pPr>
      <w:r>
        <w:rPr>
          <w:rFonts w:hint="eastAsia"/>
        </w:rPr>
        <w:t>（3）运行报告生成</w:t>
      </w:r>
    </w:p>
    <w:p>
      <w:pPr>
        <w:ind w:firstLine="420" w:firstLineChars="200"/>
      </w:pPr>
      <w:r>
        <w:rPr>
          <w:rFonts w:hint="eastAsia"/>
        </w:rPr>
        <w:t>自动生成系统运行日报、月报，汇总SLO（服务水平目标）达成情况（如产品按时生成率、接口可用性）、资源消耗情况、故障统计等，为运维决策提供支持。</w:t>
      </w:r>
    </w:p>
    <w:p>
      <w:pPr>
        <w:pStyle w:val="Heading4"/>
        <w:numPr>
          <w:ilvl w:val="3"/>
          <w:numId w:val="11"/>
        </w:numPr>
      </w:pPr>
      <w:bookmarkStart w:id="68" w:name="_Toc32643"/>
      <w:r>
        <w:rPr>
          <w:rFonts w:hint="eastAsia"/>
        </w:rPr>
        <w:t>行业灾害风险预警能力提升与服务子系统</w:t>
      </w:r>
      <w:bookmarkEnd w:id="68"/>
    </w:p>
    <w:p>
      <w:pPr>
        <w:ind w:firstLine="420" w:firstLineChars="200"/>
      </w:pPr>
      <w:r>
        <w:t>围绕极端灾害对行业的影响，选取农业、电力两个行业，建立客观化定量化精细化气象灾害监测识别和风险评估模型，实现实时监测与预警服务，全面提升针对极端灾害的行业支撑服务能力。建成“数据-系统-模型-应用”一体化的行业灾害风险预警体系，实现农业、电力行业极端灾害实时监测、精准评估、动态预警。</w:t>
      </w:r>
    </w:p>
    <w:p>
      <w:pPr>
        <w:pStyle w:val="Heading5"/>
        <w:numPr>
          <w:ilvl w:val="4"/>
          <w:numId w:val="11"/>
        </w:numPr>
      </w:pPr>
      <w:r>
        <w:rPr>
          <w:rFonts w:hint="eastAsia"/>
        </w:rPr>
        <w:t>极端灾害监测识别模块</w:t>
      </w:r>
    </w:p>
    <w:p>
      <w:pPr>
        <w:ind w:firstLine="420" w:firstLineChars="200"/>
      </w:pPr>
      <w:r>
        <w:t>依托国家气候中心客观化气象灾害监测识别技术，融合大数据与AI算法，构建农业、电力配送行业极端灾害实时监测识别系统，实现灾害“早发现、早识别、早定位”。</w:t>
      </w:r>
    </w:p>
    <w:p>
      <w:pPr>
        <w:pStyle w:val="Heading6"/>
        <w:numPr>
          <w:ilvl w:val="5"/>
          <w:numId w:val="11"/>
        </w:numPr>
      </w:pPr>
      <w:r>
        <w:rPr>
          <w:rFonts w:hint="eastAsia"/>
        </w:rPr>
        <w:t>AI驱动的灾害识别算法研发</w:t>
      </w:r>
    </w:p>
    <w:p>
      <w:pPr>
        <w:ind w:firstLine="420" w:firstLineChars="200"/>
      </w:pPr>
      <w:r>
        <w:rPr>
          <w:rFonts w:hint="eastAsia"/>
        </w:rPr>
        <w:t>基于气象历史监测数据、气候模式数据、历史灾害数据，采用卷积神经网络模型等深度学习模型，针对小麦、玉米等农作物及输电线路、电站等电力配送设施，建立农业、电力灾害事件监测识别模型。实现农业、电力灾害事件的自动化分析。</w:t>
      </w:r>
    </w:p>
    <w:p>
      <w:pPr>
        <w:pStyle w:val="Heading6"/>
        <w:numPr>
          <w:ilvl w:val="5"/>
          <w:numId w:val="11"/>
        </w:numPr>
      </w:pPr>
      <w:r>
        <w:rPr>
          <w:rFonts w:hint="eastAsia"/>
        </w:rPr>
        <w:t>极端气象要素识别</w:t>
      </w:r>
    </w:p>
    <w:p>
      <w:pPr>
        <w:ind w:firstLine="420" w:firstLineChars="200"/>
      </w:pPr>
      <w:r>
        <w:rPr>
          <w:rFonts w:hint="eastAsia"/>
        </w:rPr>
        <w:t>基于实时监测数据，结合灾害识别算法，自动识别农业、电力的各类气象灾害极端气象事件，输出灾害区域、等级与面积等信息。</w:t>
      </w:r>
    </w:p>
    <w:p>
      <w:pPr>
        <w:pStyle w:val="Heading6"/>
        <w:numPr>
          <w:ilvl w:val="5"/>
          <w:numId w:val="11"/>
        </w:numPr>
      </w:pPr>
      <w:r>
        <w:rPr>
          <w:rFonts w:hint="eastAsia"/>
        </w:rPr>
        <w:t>极端事件预估</w:t>
      </w:r>
    </w:p>
    <w:p>
      <w:pPr>
        <w:ind w:firstLine="420" w:firstLineChars="200"/>
      </w:pPr>
      <w:r>
        <w:rPr>
          <w:rFonts w:hint="eastAsia"/>
        </w:rPr>
        <w:t>基于气候模式数据，结合灾害识别算法，自动识别未来1-60天的农业、电力的各类气象灾害极端气象事件，输出灾害区域、等级与面积等信息。</w:t>
      </w:r>
    </w:p>
    <w:p>
      <w:pPr>
        <w:pStyle w:val="Heading6"/>
        <w:numPr>
          <w:ilvl w:val="5"/>
          <w:numId w:val="11"/>
        </w:numPr>
      </w:pPr>
      <w:r>
        <w:rPr>
          <w:rFonts w:hint="eastAsia"/>
        </w:rPr>
        <w:t>灾害事件空间分布</w:t>
      </w:r>
    </w:p>
    <w:p>
      <w:pPr>
        <w:ind w:firstLine="420" w:firstLineChars="200"/>
      </w:pPr>
      <w:r>
        <w:rPr>
          <w:rFonts w:hint="eastAsia"/>
        </w:rPr>
        <w:t>基于气候模式数据，结合灾害识别算法确定的灾害事件信息，自动识别极端气象灾害事件的致灾因子、空间分布等数据信息，输出专题图产品，支持评估报告等产品制作。</w:t>
      </w:r>
    </w:p>
    <w:p>
      <w:pPr>
        <w:pStyle w:val="Heading6"/>
        <w:numPr>
          <w:ilvl w:val="5"/>
          <w:numId w:val="11"/>
        </w:numPr>
      </w:pPr>
      <w:r>
        <w:rPr>
          <w:rFonts w:hint="eastAsia"/>
        </w:rPr>
        <w:t>灾害特征提取</w:t>
      </w:r>
    </w:p>
    <w:p>
      <w:pPr>
        <w:ind w:firstLine="420" w:firstLineChars="200"/>
      </w:pPr>
      <w:r>
        <w:rPr>
          <w:rFonts w:hint="eastAsia"/>
        </w:rPr>
        <w:t>基于极端气象要素、极端事件、灾害事件空间分布等数据，构建灾害特征提取算法，自动化提取各灾害时间、范围、强度等关键信息并展示分析。</w:t>
      </w:r>
    </w:p>
    <w:p>
      <w:pPr>
        <w:pStyle w:val="Heading6"/>
        <w:numPr>
          <w:ilvl w:val="5"/>
          <w:numId w:val="11"/>
        </w:numPr>
      </w:pPr>
      <w:r>
        <w:rPr>
          <w:rFonts w:hint="eastAsia"/>
        </w:rPr>
        <w:t>相似事件分析</w:t>
      </w:r>
    </w:p>
    <w:p>
      <w:pPr>
        <w:ind w:firstLine="420" w:firstLineChars="200"/>
      </w:pPr>
      <w:r>
        <w:rPr>
          <w:rFonts w:hint="eastAsia"/>
        </w:rPr>
        <w:t>基于历史灾害监测事件库，通过相似事件对比分析算法，输出历史灾害相似事件清单和对应数据，支持根据空间和时间条件检索历史灾害事件。</w:t>
      </w:r>
    </w:p>
    <w:p>
      <w:pPr>
        <w:pStyle w:val="Heading6"/>
        <w:numPr>
          <w:ilvl w:val="5"/>
          <w:numId w:val="11"/>
        </w:numPr>
      </w:pPr>
      <w:r>
        <w:rPr>
          <w:rFonts w:hint="eastAsia"/>
        </w:rPr>
        <w:t>过程灾情关联</w:t>
      </w:r>
    </w:p>
    <w:p>
      <w:pPr>
        <w:ind w:firstLine="420" w:firstLineChars="200"/>
      </w:pPr>
      <w:r>
        <w:rPr>
          <w:rFonts w:hint="eastAsia"/>
        </w:rPr>
        <w:t>基于气象灾情历史分析库，实现过程灾情与事件的关联分析，支持查询灾害损失等信息。</w:t>
      </w:r>
    </w:p>
    <w:p>
      <w:pPr>
        <w:pStyle w:val="Heading6"/>
        <w:numPr>
          <w:ilvl w:val="5"/>
          <w:numId w:val="11"/>
        </w:numPr>
      </w:pPr>
      <w:r>
        <w:rPr>
          <w:rFonts w:hint="eastAsia"/>
        </w:rPr>
        <w:t>灾害事件影响分析</w:t>
      </w:r>
    </w:p>
    <w:p>
      <w:pPr>
        <w:ind w:firstLine="420" w:firstLineChars="200"/>
      </w:pPr>
      <w:r>
        <w:rPr>
          <w:rFonts w:hint="eastAsia"/>
        </w:rPr>
        <w:t>利用WebGIS技术，基于国家气候中心气象灾害风险管理系统开发可视化监测界面，展示全国/区域灾害事件时间、空间、强度、致灾因子等信息，实现灾害事件对农业和电力等不同类型承灾体的影响评估分析。</w:t>
      </w:r>
    </w:p>
    <w:p>
      <w:pPr>
        <w:pStyle w:val="Heading5"/>
        <w:numPr>
          <w:ilvl w:val="4"/>
          <w:numId w:val="11"/>
        </w:numPr>
      </w:pPr>
      <w:r>
        <w:rPr>
          <w:rFonts w:hint="eastAsia"/>
        </w:rPr>
        <w:t>行业影响评估模块</w:t>
      </w:r>
    </w:p>
    <w:p>
      <w:pPr>
        <w:ind w:firstLine="420" w:firstLineChars="200"/>
      </w:pPr>
      <w:r>
        <w:rPr>
          <w:rFonts w:hint="eastAsia"/>
        </w:rPr>
        <w:t>在国家气候中心客观化灾害风险预估技术基础上，构建分行业、分灾种、分时效的影响评估系统，实现农业、电力配送灾害风险的定量化、精细化评估与动态预警。</w:t>
      </w:r>
    </w:p>
    <w:p>
      <w:pPr>
        <w:ind w:firstLine="420" w:firstLineChars="200"/>
      </w:pPr>
      <w:r>
        <w:rPr>
          <w:rFonts w:hint="eastAsia"/>
        </w:rPr>
        <w:t>针对小麦、玉米，在国家气候中心客观化灾害风险预估技术基础上，引入“生育期敏感度系数”、“地块脆弱性指数”，构建“气象条件-作物生长-产量损失”关联模型。开发干旱、暴雨、低温冻害等单一灾种评估模型，以及“干旱+高温”“暴雨+内涝”等复合灾害评估模型，量化多灾种叠加效应。</w:t>
      </w:r>
    </w:p>
    <w:p>
      <w:pPr>
        <w:ind w:firstLine="420" w:firstLineChars="200"/>
      </w:pPr>
      <w:r>
        <w:rPr>
          <w:rFonts w:hint="eastAsia"/>
        </w:rPr>
        <w:t>结合电力线路抗风等级、覆冰承载力等参数，电力配送风险预警模型。整合负荷数据与电网拓扑结构，评估灾害对区域供电可靠性的影响。</w:t>
      </w:r>
    </w:p>
    <w:p>
      <w:pPr>
        <w:ind w:firstLine="420" w:firstLineChars="200"/>
      </w:pPr>
      <w:r>
        <w:rPr>
          <w:rFonts w:hint="eastAsia"/>
        </w:rPr>
        <w:t>自动生成包含灾害类型、影响区域、风险等级、预估损失、应对建议的标准化预警文本与图形产品；未来延伸期、月尺度风险预警，满足不同行业决策需求。</w:t>
      </w:r>
    </w:p>
    <w:p>
      <w:pPr>
        <w:pStyle w:val="Heading6"/>
        <w:numPr>
          <w:ilvl w:val="5"/>
          <w:numId w:val="11"/>
        </w:numPr>
      </w:pPr>
      <w:r>
        <w:rPr>
          <w:rFonts w:hint="eastAsia"/>
        </w:rPr>
        <w:t>农业干旱风险评估模型模块</w:t>
      </w:r>
    </w:p>
    <w:p>
      <w:pPr>
        <w:ind w:firstLine="420" w:firstLineChars="200"/>
      </w:pPr>
      <w:r>
        <w:rPr>
          <w:rFonts w:hint="eastAsia"/>
        </w:rPr>
        <w:t>针对小麦、玉米等农作物，结合气象灾害、农作物分布等数据，建立干旱风险评估模型，实现干旱对农业影响风险评估。</w:t>
      </w:r>
    </w:p>
    <w:p>
      <w:pPr>
        <w:pStyle w:val="Heading6"/>
        <w:numPr>
          <w:ilvl w:val="5"/>
          <w:numId w:val="11"/>
        </w:numPr>
      </w:pPr>
      <w:r>
        <w:rPr>
          <w:rFonts w:hint="eastAsia"/>
        </w:rPr>
        <w:t>农业低温风险评估模型模块</w:t>
      </w:r>
    </w:p>
    <w:p>
      <w:pPr>
        <w:ind w:firstLine="420" w:firstLineChars="200"/>
      </w:pPr>
      <w:r>
        <w:rPr>
          <w:rFonts w:hint="eastAsia"/>
        </w:rPr>
        <w:t>针对小麦、玉米等农作物，结合气象灾害、农作物分布等数据，建立低温雨雪冰冻风险评估模型，实现低温雨雪冰冻对农作物周期影响分析。</w:t>
      </w:r>
    </w:p>
    <w:p>
      <w:pPr>
        <w:pStyle w:val="Heading6"/>
        <w:numPr>
          <w:ilvl w:val="5"/>
          <w:numId w:val="11"/>
        </w:numPr>
      </w:pPr>
      <w:r>
        <w:rPr>
          <w:rFonts w:hint="eastAsia"/>
        </w:rPr>
        <w:t>农业暴雨风险评估模型模块</w:t>
      </w:r>
    </w:p>
    <w:p>
      <w:pPr>
        <w:ind w:firstLine="420" w:firstLineChars="200"/>
      </w:pPr>
      <w:r>
        <w:rPr>
          <w:rFonts w:hint="eastAsia"/>
        </w:rPr>
        <w:t>建立农业暴雨风险评估模型，结合气象灾害、农作物分布等数据，实现暴雨洪涝等对农作物影响评估分析。</w:t>
      </w:r>
    </w:p>
    <w:p>
      <w:pPr>
        <w:pStyle w:val="Heading6"/>
        <w:numPr>
          <w:ilvl w:val="5"/>
          <w:numId w:val="11"/>
        </w:numPr>
      </w:pPr>
      <w:r>
        <w:rPr>
          <w:rFonts w:hint="eastAsia"/>
        </w:rPr>
        <w:t>电力高温风险评估模型模块</w:t>
      </w:r>
    </w:p>
    <w:p>
      <w:pPr>
        <w:ind w:firstLine="420" w:firstLineChars="200"/>
      </w:pPr>
      <w:r>
        <w:rPr>
          <w:rFonts w:hint="eastAsia"/>
        </w:rPr>
        <w:t>建立电力行业高温风险评估模型，结合电力设施分布等数据，实现高温对电力运输影响评估。</w:t>
      </w:r>
    </w:p>
    <w:p>
      <w:pPr>
        <w:pStyle w:val="Heading6"/>
        <w:numPr>
          <w:ilvl w:val="5"/>
          <w:numId w:val="11"/>
        </w:numPr>
      </w:pPr>
      <w:r>
        <w:rPr>
          <w:rFonts w:hint="eastAsia"/>
        </w:rPr>
        <w:t>电力低温风险评估模型模块</w:t>
      </w:r>
    </w:p>
    <w:p>
      <w:pPr>
        <w:ind w:firstLine="420" w:firstLineChars="200"/>
      </w:pPr>
      <w:r>
        <w:rPr>
          <w:rFonts w:hint="eastAsia"/>
        </w:rPr>
        <w:t>建立电力行业低温风险评估模型，结合电力设施分布等数据，实现低温雨雪冰冻对电力运输影响评估。</w:t>
      </w:r>
    </w:p>
    <w:p>
      <w:pPr>
        <w:pStyle w:val="Heading6"/>
        <w:numPr>
          <w:ilvl w:val="5"/>
          <w:numId w:val="11"/>
        </w:numPr>
      </w:pPr>
      <w:r>
        <w:rPr>
          <w:rFonts w:hint="eastAsia"/>
        </w:rPr>
        <w:t>电力暴雨风险评估模型模块</w:t>
      </w:r>
    </w:p>
    <w:p>
      <w:pPr>
        <w:ind w:firstLine="420" w:firstLineChars="200"/>
      </w:pPr>
      <w:r>
        <w:rPr>
          <w:rFonts w:hint="eastAsia"/>
        </w:rPr>
        <w:t>建立电力暴雨风险评估模型，结合电力设施分布等数据，实现暴雨洪涝对电力运输影响评估。</w:t>
      </w:r>
    </w:p>
    <w:p>
      <w:pPr>
        <w:pStyle w:val="Heading6"/>
        <w:numPr>
          <w:ilvl w:val="5"/>
          <w:numId w:val="11"/>
        </w:numPr>
      </w:pPr>
      <w:r>
        <w:rPr>
          <w:rFonts w:hint="eastAsia"/>
        </w:rPr>
        <w:t>风险普查数据接入模块</w:t>
      </w:r>
    </w:p>
    <w:p>
      <w:pPr>
        <w:ind w:firstLine="420" w:firstLineChars="200"/>
      </w:pPr>
      <w:r>
        <w:rPr>
          <w:rFonts w:hint="eastAsia"/>
        </w:rPr>
        <w:t>针对单灾种气象要素风险评估产品，开发风险普查数据接入功能，实现在线数据的自动化接入和入库存储，支撑评估分析应用。</w:t>
      </w:r>
    </w:p>
    <w:p>
      <w:pPr>
        <w:pStyle w:val="Heading6"/>
        <w:numPr>
          <w:ilvl w:val="5"/>
          <w:numId w:val="11"/>
        </w:numPr>
      </w:pPr>
      <w:r>
        <w:rPr>
          <w:rFonts w:hint="eastAsia"/>
        </w:rPr>
        <w:t>复合灾害评估模块</w:t>
      </w:r>
    </w:p>
    <w:p>
      <w:pPr>
        <w:ind w:firstLine="420" w:firstLineChars="200"/>
      </w:pPr>
      <w:r>
        <w:rPr>
          <w:rFonts w:hint="eastAsia"/>
        </w:rPr>
        <w:t>基于气象监测、气候模式、单灾种灾害评估数据，引入复合灾害因子，修正单一灾种模型，形成复合灾害评估模型，实现多灾害叠加风险评估。</w:t>
      </w:r>
    </w:p>
    <w:p>
      <w:pPr>
        <w:pStyle w:val="Heading6"/>
        <w:numPr>
          <w:ilvl w:val="5"/>
          <w:numId w:val="11"/>
        </w:numPr>
      </w:pPr>
      <w:r>
        <w:rPr>
          <w:rFonts w:hint="eastAsia"/>
        </w:rPr>
        <w:t>标准化预警产品生成功能开发</w:t>
      </w:r>
    </w:p>
    <w:p>
      <w:pPr>
        <w:ind w:firstLine="420" w:firstLineChars="200"/>
      </w:pPr>
      <w:r>
        <w:rPr>
          <w:rFonts w:hint="eastAsia"/>
        </w:rPr>
        <w:t>结合灾害风险监测、预估、预警结果，开发预警文本自动生成、预警图形绘制、产品格式标准化处理等功能，实现标准化预警产品自动生成。</w:t>
      </w:r>
    </w:p>
    <w:p>
      <w:pPr>
        <w:pStyle w:val="Heading6"/>
        <w:numPr>
          <w:ilvl w:val="5"/>
          <w:numId w:val="11"/>
        </w:numPr>
      </w:pPr>
      <w:r>
        <w:rPr>
          <w:rFonts w:hint="eastAsia"/>
        </w:rPr>
        <w:t>延伸期预警功能实现</w:t>
      </w:r>
    </w:p>
    <w:p>
      <w:pPr>
        <w:ind w:firstLine="420" w:firstLineChars="200"/>
      </w:pPr>
      <w:r>
        <w:rPr>
          <w:rFonts w:hint="eastAsia"/>
        </w:rPr>
        <w:t>基于延伸期预报模式和灾害风险预估算法，进行未来延伸期灾害趋势预测逻辑编写，开发延伸期风险等级判定算法，实现延伸期灾害风险预警。</w:t>
      </w:r>
    </w:p>
    <w:p>
      <w:pPr>
        <w:pStyle w:val="Heading6"/>
        <w:numPr>
          <w:ilvl w:val="5"/>
          <w:numId w:val="11"/>
        </w:numPr>
      </w:pPr>
      <w:r>
        <w:rPr>
          <w:rFonts w:hint="eastAsia"/>
        </w:rPr>
        <w:t>月尺度预警功能实现</w:t>
      </w:r>
    </w:p>
    <w:p>
      <w:pPr>
        <w:ind w:firstLine="420" w:firstLineChars="200"/>
      </w:pPr>
      <w:r>
        <w:rPr>
          <w:rFonts w:hint="eastAsia"/>
        </w:rPr>
        <w:t>基于月度预报模式和灾害风险预估算法，开发月尺度灾害数据统计算法、月尺度风险评估算法，实现月度灾害风险预警和预警结果输出。</w:t>
      </w:r>
    </w:p>
    <w:p>
      <w:pPr>
        <w:pStyle w:val="Heading6"/>
        <w:numPr>
          <w:ilvl w:val="5"/>
          <w:numId w:val="11"/>
        </w:numPr>
      </w:pPr>
      <w:r>
        <w:rPr>
          <w:rFonts w:hint="eastAsia"/>
        </w:rPr>
        <w:t>产品分发与存储功能开发</w:t>
      </w:r>
    </w:p>
    <w:p>
      <w:pPr>
        <w:ind w:firstLine="420" w:firstLineChars="200"/>
      </w:pPr>
      <w:r>
        <w:rPr>
          <w:rFonts w:hint="eastAsia"/>
        </w:rPr>
        <w:t>基于行业气象灾害风险预警产品，开发预警产品自动分发接口、产品历史库存储入库功能，实现预警产品的对外数据和自动存档。</w:t>
      </w:r>
    </w:p>
    <w:p>
      <w:pPr>
        <w:pStyle w:val="Heading6"/>
        <w:numPr>
          <w:ilvl w:val="5"/>
          <w:numId w:val="11"/>
        </w:numPr>
      </w:pPr>
      <w:r>
        <w:rPr>
          <w:rFonts w:hint="eastAsia"/>
        </w:rPr>
        <w:t>用户需求适配功能开发</w:t>
      </w:r>
    </w:p>
    <w:p>
      <w:pPr>
        <w:ind w:firstLine="420" w:firstLineChars="200"/>
      </w:pPr>
      <w:r>
        <w:rPr>
          <w:rFonts w:hint="eastAsia"/>
        </w:rPr>
        <w:t>面向系统中的各类行业风险预警算法，实现农业/电力行业差异化需求对接、预警参数自定义等功能开发，支撑未来业务动态调整和算法优化需求。</w:t>
      </w:r>
    </w:p>
    <w:p>
      <w:pPr>
        <w:pStyle w:val="Heading6"/>
        <w:numPr>
          <w:ilvl w:val="5"/>
          <w:numId w:val="11"/>
        </w:numPr>
      </w:pPr>
      <w:r>
        <w:rPr>
          <w:rFonts w:hint="eastAsia"/>
        </w:rPr>
        <w:t>产品校验与更新功能开发</w:t>
      </w:r>
    </w:p>
    <w:p>
      <w:pPr>
        <w:ind w:firstLine="420" w:firstLineChars="200"/>
      </w:pPr>
      <w:r>
        <w:rPr>
          <w:rFonts w:hint="eastAsia"/>
        </w:rPr>
        <w:t>针对各类风险预警产品，开发预警结果准确性校验算法，形成产品动态更新逻辑，实现预警结果的高效校验并结合校验结果实现预警产品动态更新。</w:t>
      </w:r>
    </w:p>
    <w:p>
      <w:pPr>
        <w:pStyle w:val="Heading5"/>
        <w:numPr>
          <w:ilvl w:val="4"/>
          <w:numId w:val="11"/>
        </w:numPr>
      </w:pPr>
      <w:r>
        <w:rPr>
          <w:rFonts w:hint="eastAsia"/>
        </w:rPr>
        <w:t>巨灾与损失评估模型模块</w:t>
      </w:r>
    </w:p>
    <w:p>
      <w:pPr>
        <w:ind w:firstLine="420" w:firstLineChars="200"/>
      </w:pPr>
      <w:r>
        <w:t>针对小麦、玉米，构建“巨灾强度-作物受灾面积-产量损失-经济损失”耦合模型，引入作物抗灾性参数（如品种耐旱性、抗倒伏性）与区域农业经济参数（如单位面积产值、生产成本），计算不同巨灾情景下损失的概率分布，输出损失超越概率曲线，并利用历史巨灾损失数据对模型进行校验。</w:t>
      </w:r>
    </w:p>
    <w:p>
      <w:pPr>
        <w:pStyle w:val="Heading6"/>
        <w:numPr>
          <w:ilvl w:val="5"/>
          <w:numId w:val="11"/>
        </w:numPr>
      </w:pPr>
      <w:r>
        <w:rPr>
          <w:rFonts w:hint="eastAsia"/>
        </w:rPr>
        <w:t>作物损失耦合模型构建</w:t>
      </w:r>
    </w:p>
    <w:p>
      <w:pPr>
        <w:ind w:firstLine="420" w:firstLineChars="200"/>
      </w:pPr>
      <w:r>
        <w:rPr>
          <w:rFonts w:hint="eastAsia"/>
        </w:rPr>
        <w:t>基于气象监测、气候模式等数据，构建作物损失耦合模型，完成“巨灾强度-受灾面积”关联算法开发、“受灾面积-产量损失”计算逻辑编写、“产量损失-经济损失”映射模型开发，实现作物损失的综合评估。</w:t>
      </w:r>
    </w:p>
    <w:p>
      <w:pPr>
        <w:pStyle w:val="Heading6"/>
        <w:numPr>
          <w:ilvl w:val="5"/>
          <w:numId w:val="11"/>
        </w:numPr>
      </w:pPr>
      <w:r>
        <w:rPr>
          <w:rFonts w:hint="eastAsia"/>
        </w:rPr>
        <w:t>抗灾性与经济参数整合</w:t>
      </w:r>
    </w:p>
    <w:p>
      <w:pPr>
        <w:ind w:firstLine="420" w:firstLineChars="200"/>
      </w:pPr>
      <w:r>
        <w:rPr>
          <w:rFonts w:hint="eastAsia"/>
        </w:rPr>
        <w:t>面向作物抗灾性和经济参数数据，实现作物品种耐旱性/抗倒伏性参数导入、区域单位面积产值/生产成本数据对接、参数动态调整功能开发，支撑作物损失分析。</w:t>
      </w:r>
    </w:p>
    <w:p>
      <w:pPr>
        <w:pStyle w:val="Heading6"/>
        <w:numPr>
          <w:ilvl w:val="5"/>
          <w:numId w:val="11"/>
        </w:numPr>
      </w:pPr>
      <w:r>
        <w:rPr>
          <w:rFonts w:hint="eastAsia"/>
        </w:rPr>
        <w:t>损失概率与曲线输出功能开发</w:t>
      </w:r>
    </w:p>
    <w:p>
      <w:pPr>
        <w:ind w:firstLine="420" w:firstLineChars="200"/>
      </w:pPr>
      <w:r>
        <w:rPr>
          <w:rFonts w:hint="eastAsia"/>
        </w:rPr>
        <w:t>基于系统评估作物损失数据和真实监测的作物损失数据，实现不同情景损失概率计算算法编写、损失超越概率曲线绘制功能开发、曲线精度校验逻辑开发。</w:t>
      </w:r>
    </w:p>
    <w:p>
      <w:pPr>
        <w:pStyle w:val="Heading6"/>
        <w:numPr>
          <w:ilvl w:val="5"/>
          <w:numId w:val="11"/>
        </w:numPr>
      </w:pPr>
      <w:r>
        <w:rPr>
          <w:rFonts w:hint="eastAsia"/>
        </w:rPr>
        <w:t>模型校验功能实现</w:t>
      </w:r>
    </w:p>
    <w:p>
      <w:pPr>
        <w:ind w:firstLine="420" w:firstLineChars="200"/>
      </w:pPr>
      <w:r>
        <w:rPr>
          <w:rFonts w:hint="eastAsia"/>
        </w:rPr>
        <w:t>完成历史巨灾损失数据导入，构建模型校验算法，结合模型计算结果与历史数据比对实现模型的校验，开发校验报告生成功能，实现模型校验结果的呈现。</w:t>
      </w:r>
    </w:p>
    <w:p>
      <w:pPr>
        <w:pStyle w:val="Heading6"/>
        <w:numPr>
          <w:ilvl w:val="5"/>
          <w:numId w:val="11"/>
        </w:numPr>
      </w:pPr>
      <w:r>
        <w:rPr>
          <w:rFonts w:hint="eastAsia"/>
        </w:rPr>
        <w:t>损失空间分布展示功能</w:t>
      </w:r>
    </w:p>
    <w:p>
      <w:pPr>
        <w:ind w:firstLine="420" w:firstLineChars="200"/>
      </w:pPr>
      <w:r>
        <w:rPr>
          <w:rFonts w:hint="eastAsia"/>
        </w:rPr>
        <w:t>基于损失数据，结合地理位置信息，实现巨灾损失空间渲染模块、区域损失对比展示功能开发，支撑巨灾损失空间的实时查看。</w:t>
      </w:r>
    </w:p>
    <w:p>
      <w:pPr>
        <w:pStyle w:val="Heading6"/>
        <w:numPr>
          <w:ilvl w:val="5"/>
          <w:numId w:val="11"/>
        </w:numPr>
      </w:pPr>
      <w:r>
        <w:rPr>
          <w:rFonts w:hint="eastAsia"/>
        </w:rPr>
        <w:t>参数敏感性分析功能</w:t>
      </w:r>
    </w:p>
    <w:p>
      <w:pPr>
        <w:ind w:firstLine="420" w:firstLineChars="200"/>
      </w:pPr>
      <w:r>
        <w:rPr>
          <w:rFonts w:hint="eastAsia"/>
        </w:rPr>
        <w:t>基于模型运行数据结果，实现模型关键参数筛选算法开发、参数变动影响模拟功能开发，支撑模型参数敏感性分析。</w:t>
      </w:r>
    </w:p>
    <w:p>
      <w:pPr>
        <w:pStyle w:val="Heading6"/>
        <w:numPr>
          <w:ilvl w:val="5"/>
          <w:numId w:val="11"/>
        </w:numPr>
      </w:pPr>
      <w:r>
        <w:rPr>
          <w:rFonts w:hint="eastAsia"/>
        </w:rPr>
        <w:t>损失可视化与分析工具</w:t>
      </w:r>
    </w:p>
    <w:p>
      <w:pPr>
        <w:ind w:firstLine="420" w:firstLineChars="200"/>
      </w:pPr>
      <w:r>
        <w:rPr>
          <w:rFonts w:hint="eastAsia"/>
        </w:rPr>
        <w:t>基于国家气候中心气象灾害风险管理系统，展示巨灾损失的空间分布，支持对模型参数进行敏感性分析，识别关键影响因子。生成巨灾损失评估报告。</w:t>
      </w:r>
    </w:p>
    <w:p>
      <w:pPr>
        <w:pStyle w:val="Heading5"/>
        <w:numPr>
          <w:ilvl w:val="4"/>
          <w:numId w:val="11"/>
        </w:numPr>
      </w:pPr>
      <w:r>
        <w:rPr>
          <w:rFonts w:hint="eastAsia"/>
        </w:rPr>
        <w:t>推广应用模块</w:t>
      </w:r>
    </w:p>
    <w:p>
      <w:pPr>
        <w:ind w:firstLine="420" w:firstLineChars="200"/>
      </w:pPr>
      <w:r>
        <w:t>开发小麦、玉米、电力配送分灾种预警报告模板，包含实况、趋势、风险等级、影响评估及应对建议；支持重大灾害事件触发时，自动调用模板生成标准化报告，实现业务化快速响应。</w:t>
      </w:r>
    </w:p>
    <w:p>
      <w:pPr>
        <w:pStyle w:val="Heading6"/>
        <w:numPr>
          <w:ilvl w:val="5"/>
          <w:numId w:val="11"/>
        </w:numPr>
      </w:pPr>
      <w:r>
        <w:rPr>
          <w:rFonts w:hint="eastAsia"/>
        </w:rPr>
        <w:t>小麦灾害模板</w:t>
      </w:r>
    </w:p>
    <w:p>
      <w:pPr>
        <w:ind w:firstLine="420" w:firstLineChars="200"/>
      </w:pPr>
      <w:r>
        <w:rPr>
          <w:rFonts w:hint="eastAsia"/>
        </w:rPr>
        <w:t>基于小麦灾害实况、小麦灾害趋势、小麦灾害风险等级、小麦灾害影响评估、小麦灾害应对建议等数据，形成小麦灾害分析模板，支持小麦重大灾害事件产品自动生成。</w:t>
      </w:r>
    </w:p>
    <w:p>
      <w:pPr>
        <w:pStyle w:val="Heading6"/>
        <w:numPr>
          <w:ilvl w:val="5"/>
          <w:numId w:val="11"/>
        </w:numPr>
      </w:pPr>
      <w:r>
        <w:rPr>
          <w:rFonts w:hint="eastAsia"/>
        </w:rPr>
        <w:t>玉米灾害模板</w:t>
      </w:r>
    </w:p>
    <w:p>
      <w:pPr>
        <w:ind w:firstLine="420" w:firstLineChars="200"/>
      </w:pPr>
      <w:r>
        <w:rPr>
          <w:rFonts w:hint="eastAsia"/>
        </w:rPr>
        <w:t>基于玉米灾害实况、玉米灾害趋势、玉米灾害风险等级、玉米灾害影响评估、玉米灾害应对建议等数据，形成玉米灾害分析模板，支持玉米重大灾害事件产品自动生成。</w:t>
      </w:r>
    </w:p>
    <w:p>
      <w:pPr>
        <w:pStyle w:val="Heading6"/>
        <w:numPr>
          <w:ilvl w:val="5"/>
          <w:numId w:val="11"/>
        </w:numPr>
      </w:pPr>
      <w:r>
        <w:rPr>
          <w:rFonts w:hint="eastAsia"/>
        </w:rPr>
        <w:t>电力配送分灾种预警报告模板</w:t>
      </w:r>
    </w:p>
    <w:p>
      <w:pPr>
        <w:ind w:firstLine="420" w:firstLineChars="200"/>
      </w:pPr>
      <w:r>
        <w:rPr>
          <w:rFonts w:hint="eastAsia"/>
        </w:rPr>
        <w:t>基于电力配送灾害实况、电力配送灾害趋势、电力配送灾害风险等级、电力配送灾害影响评估、电力配送灾害应对建议等数据，形成电力配送灾害分析模板，支持电力配送重大灾害事件产品自动生成。</w:t>
      </w:r>
    </w:p>
    <w:p>
      <w:pPr>
        <w:pStyle w:val="Heading6"/>
        <w:numPr>
          <w:ilvl w:val="5"/>
          <w:numId w:val="11"/>
        </w:numPr>
      </w:pPr>
      <w:r>
        <w:rPr>
          <w:rFonts w:hint="eastAsia"/>
        </w:rPr>
        <w:t>重大灾害事件自动生成功能</w:t>
      </w:r>
    </w:p>
    <w:p>
      <w:pPr>
        <w:ind w:firstLine="420" w:firstLineChars="200"/>
      </w:pPr>
      <w:r>
        <w:rPr>
          <w:rFonts w:hint="eastAsia"/>
        </w:rPr>
        <w:t>基于实时气象监测和模式预测数据，开发实现灾害事件触发条件设定功能，支持调整灾害识别的相关指标、要素等信息，结合动态数据和相关报告的标准化模板，实现报告模板自动调用与实时在线生成。</w:t>
      </w:r>
    </w:p>
    <w:p>
      <w:pPr>
        <w:pStyle w:val="Heading4"/>
        <w:numPr>
          <w:ilvl w:val="3"/>
          <w:numId w:val="11"/>
        </w:numPr>
      </w:pPr>
      <w:bookmarkStart w:id="69" w:name="_Toc18249"/>
      <w:r>
        <w:rPr>
          <w:rFonts w:hint="eastAsia"/>
        </w:rPr>
        <w:t>气候综合业务协同支撑平台</w:t>
      </w:r>
      <w:bookmarkEnd w:id="69"/>
    </w:p>
    <w:p>
      <w:pPr>
        <w:ind w:firstLine="420" w:firstLineChars="200"/>
      </w:pPr>
      <w:r>
        <w:rPr>
          <w:rFonts w:hint="eastAsia"/>
        </w:rPr>
        <w:t>围绕“数据基座、组件共享、智能引擎、场景应用”四个维度，打造国省协同、智能敏捷的现代气候业务系统。</w:t>
      </w:r>
    </w:p>
    <w:p>
      <w:pPr>
        <w:ind w:firstLine="420" w:firstLineChars="200"/>
      </w:pPr>
      <w:r>
        <w:rPr>
          <w:rFonts w:hint="eastAsia"/>
        </w:rPr>
        <w:t>（1）构建气候专题数据基座：基于气象大数据云平台，构建统一、集成的气候专题数据基座，实现对气候监测、气候预测、气候风险与气候服务等多类别、多来源数据与产品的统一汇聚、组织与管理，通过标准化接口与服务支撑各类业务应用高效访问。</w:t>
      </w:r>
    </w:p>
    <w:p>
      <w:pPr>
        <w:ind w:firstLine="420" w:firstLineChars="200"/>
      </w:pPr>
      <w:r>
        <w:rPr>
          <w:rFonts w:hint="eastAsia"/>
        </w:rPr>
        <w:t>（2）建设标准化业务组件，实现共建共享：通过组件化开发模式，建设标准化、可复用、高可用的气象基础组件与业务应用组件，聚焦特色算法封装、通用产品加工流程和服务场景模块化设计，促进国家与省级气候中心在技术能力、业务模块和产品工具层面的高效协同共建与资源共享。</w:t>
      </w:r>
    </w:p>
    <w:p>
      <w:pPr>
        <w:ind w:firstLine="420" w:firstLineChars="200"/>
      </w:pPr>
      <w:r>
        <w:rPr>
          <w:rFonts w:hint="eastAsia"/>
        </w:rPr>
        <w:t>（3）发展AI气候智能分析能力：构建融合专业气候知识库、自然语言交互（智能问答）和智能体（Agents）的气候智能服务体系，实现对海量信息的深度挖掘、知识化关联与智能推理，为精准决策提供认知与计算支持。</w:t>
      </w:r>
    </w:p>
    <w:p>
      <w:pPr>
        <w:ind w:firstLine="420" w:firstLineChars="200"/>
      </w:pPr>
      <w:r>
        <w:rPr>
          <w:rFonts w:hint="eastAsia"/>
        </w:rPr>
        <w:t>（4）构建柔性化插件服务，支撑业务定制：基于组件化架构和可视化流程编排技术，允许用户根据具体需求，对业务流程、产品展现样式、系统交互界面以及行业服务场景进行全方位的自主配置与动态组合，快速响应差异化、个性化的业务需求。</w:t>
      </w:r>
    </w:p>
    <w:p>
      <w:pPr>
        <w:pStyle w:val="Heading5"/>
        <w:numPr>
          <w:ilvl w:val="4"/>
          <w:numId w:val="11"/>
        </w:numPr>
      </w:pPr>
      <w:r>
        <w:rPr>
          <w:rFonts w:hint="eastAsia"/>
        </w:rPr>
        <w:t>一体化气候专题数据基座</w:t>
      </w:r>
    </w:p>
    <w:p>
      <w:pPr>
        <w:ind w:firstLine="420" w:firstLineChars="200"/>
      </w:pPr>
      <w:r>
        <w:t>基于天擎专题库技术构建气候监测产品库、气候预测产品库、检验评估产品库、气象灾害风险库、气候服务产品库、历史个例库，并基于产品特征发布标准化数据服务接口，实现一体化气候专题产品的统一管理、动态更新与高效应用。</w:t>
      </w:r>
    </w:p>
    <w:p>
      <w:pPr>
        <w:pStyle w:val="Heading6"/>
        <w:numPr>
          <w:ilvl w:val="5"/>
          <w:numId w:val="11"/>
        </w:numPr>
      </w:pPr>
      <w:r>
        <w:rPr>
          <w:rFonts w:hint="eastAsia"/>
        </w:rPr>
        <w:t>气候监测产品库</w:t>
      </w:r>
    </w:p>
    <w:p>
      <w:pPr>
        <w:ind w:firstLine="420" w:firstLineChars="200"/>
      </w:pPr>
      <w:r>
        <w:rPr>
          <w:rFonts w:hint="eastAsia"/>
        </w:rPr>
        <w:t>（1）气候监测产品专题库构建功能</w:t>
      </w:r>
    </w:p>
    <w:p>
      <w:pPr>
        <w:ind w:firstLine="420" w:firstLineChars="200"/>
      </w:pPr>
      <w:r>
        <w:rPr>
          <w:rFonts w:hint="eastAsia"/>
        </w:rPr>
        <w:t>基于要素监测、季风监测、环流监测等多类原始数据与图形产品，采用元数据注册与分类存储管理策略，构建并输出了一个遵循统一规范、便于检索和管理的气候监测产品专题库。</w:t>
      </w:r>
    </w:p>
    <w:p>
      <w:pPr>
        <w:ind w:firstLine="420" w:firstLineChars="200"/>
      </w:pPr>
      <w:r>
        <w:rPr>
          <w:rFonts w:hint="eastAsia"/>
        </w:rPr>
        <w:t>（2）气候监测产品加工功能</w:t>
      </w:r>
    </w:p>
    <w:p>
      <w:pPr>
        <w:ind w:firstLine="420" w:firstLineChars="200"/>
      </w:pPr>
      <w:r>
        <w:rPr>
          <w:rFonts w:hint="eastAsia"/>
        </w:rPr>
        <w:t>基于气象大数据云平台的加工流水线与原始数据，采用定时触发与自动化处理流程，持续加工生成标准化的要素、季风、环流等监测数据及图形产品，并输出至专题库，确保产品的及时更新与统一存储。</w:t>
      </w:r>
    </w:p>
    <w:p>
      <w:pPr>
        <w:ind w:firstLine="420" w:firstLineChars="200"/>
      </w:pPr>
      <w:r>
        <w:rPr>
          <w:rFonts w:hint="eastAsia"/>
        </w:rPr>
        <w:t>（3）气候监测产品专题接口服务功能</w:t>
      </w:r>
    </w:p>
    <w:p>
      <w:pPr>
        <w:ind w:firstLine="420" w:firstLineChars="200"/>
      </w:pPr>
      <w:r>
        <w:rPr>
          <w:rFonts w:hint="eastAsia"/>
        </w:rPr>
        <w:t>基于气候监测产品专题库中的数据及业务端的定制化需求，采用标准化接口封装技术与多维度聚合、复杂统计分析等算法，输出标准数据服务与支持自定义计算的众创服务接口，以满足精细化、场景化的数据应用需求。</w:t>
      </w:r>
    </w:p>
    <w:p>
      <w:pPr>
        <w:pStyle w:val="Heading6"/>
        <w:numPr>
          <w:ilvl w:val="5"/>
          <w:numId w:val="11"/>
        </w:numPr>
      </w:pPr>
      <w:r>
        <w:rPr>
          <w:rFonts w:hint="eastAsia"/>
        </w:rPr>
        <w:t>气候预测产品库</w:t>
      </w:r>
    </w:p>
    <w:p>
      <w:pPr>
        <w:ind w:firstLine="420" w:firstLineChars="200"/>
      </w:pPr>
      <w:r>
        <w:rPr>
          <w:rFonts w:hint="eastAsia"/>
        </w:rPr>
        <w:t>（1）气候预测产品专题库构建功能</w:t>
      </w:r>
    </w:p>
    <w:p>
      <w:pPr>
        <w:ind w:firstLine="420" w:firstLineChars="200"/>
      </w:pPr>
      <w:r>
        <w:rPr>
          <w:rFonts w:hint="eastAsia"/>
        </w:rPr>
        <w:t>基于次季节、月、季、年等不同时间尺度的原始气候预测数据与图形产品，采用元数据注册与分级存储管理策略，构建并输出了一个符合统一平台规范、分类清晰的气候预测产品专题库。</w:t>
      </w:r>
    </w:p>
    <w:p>
      <w:pPr>
        <w:ind w:firstLine="420" w:firstLineChars="200"/>
      </w:pPr>
      <w:r>
        <w:rPr>
          <w:rFonts w:hint="eastAsia"/>
        </w:rPr>
        <w:t>（2）气候预测产品加工功能</w:t>
      </w:r>
    </w:p>
    <w:p>
      <w:pPr>
        <w:ind w:firstLine="420" w:firstLineChars="200"/>
      </w:pPr>
      <w:r>
        <w:rPr>
          <w:rFonts w:hint="eastAsia"/>
        </w:rPr>
        <w:t>基于气象大数据云平台的加工流水线与待处理的预测数据，采用定时调度与自动化加工流程，持续生成不同时间尺度的标准化气候预测数据及图形化产品，并输出至专题库，确保产品的及时更新与集中管理。</w:t>
      </w:r>
    </w:p>
    <w:p>
      <w:pPr>
        <w:ind w:firstLine="420" w:firstLineChars="200"/>
      </w:pPr>
      <w:r>
        <w:rPr>
          <w:rFonts w:hint="eastAsia"/>
        </w:rPr>
        <w:t>（3）气候预测产品专题接口服务功能</w:t>
      </w:r>
    </w:p>
    <w:p>
      <w:pPr>
        <w:ind w:firstLine="420" w:firstLineChars="200"/>
      </w:pPr>
      <w:r>
        <w:rPr>
          <w:rFonts w:hint="eastAsia"/>
        </w:rPr>
        <w:t>基于气候预测产品专题库中的数据及业务端的应用需求，采用标准化服务封装技术与复杂统计分析、自定义计算等算法，输出标准数据服务与灵活的众创服务接口，以满足针对气候预测产品的精细化与场景化数据应用需求。</w:t>
      </w:r>
    </w:p>
    <w:p>
      <w:pPr>
        <w:pStyle w:val="Heading6"/>
        <w:numPr>
          <w:ilvl w:val="5"/>
          <w:numId w:val="11"/>
        </w:numPr>
      </w:pPr>
      <w:r>
        <w:rPr>
          <w:rFonts w:hint="eastAsia"/>
        </w:rPr>
        <w:t>检验评估产品库</w:t>
      </w:r>
    </w:p>
    <w:p>
      <w:pPr>
        <w:ind w:firstLine="420" w:firstLineChars="200"/>
      </w:pPr>
      <w:r>
        <w:rPr>
          <w:rFonts w:hint="eastAsia"/>
        </w:rPr>
        <w:t>（1）检验评估产品专题库构建功能</w:t>
      </w:r>
    </w:p>
    <w:p>
      <w:pPr>
        <w:ind w:firstLine="420" w:firstLineChars="200"/>
      </w:pPr>
      <w:r>
        <w:rPr>
          <w:rFonts w:hint="eastAsia"/>
        </w:rPr>
        <w:t>基于主客观预测检验、指数检验及气候事件预测检验等原始数据与图形产品，采用元数据注册与分类存储管理策略，构建并输出了一个符合统一平台规范、分类有序的检验评估产品专题库。</w:t>
      </w:r>
    </w:p>
    <w:p>
      <w:pPr>
        <w:ind w:firstLine="420" w:firstLineChars="200"/>
      </w:pPr>
      <w:r>
        <w:rPr>
          <w:rFonts w:hint="eastAsia"/>
        </w:rPr>
        <w:t>（2）检验评估产品加工功能</w:t>
      </w:r>
    </w:p>
    <w:p>
      <w:pPr>
        <w:ind w:firstLine="420" w:firstLineChars="200"/>
      </w:pPr>
      <w:r>
        <w:rPr>
          <w:rFonts w:hint="eastAsia"/>
        </w:rPr>
        <w:t>基于气象大数据云平台的加工流水线与待处理的检验评估数据，采用定时调度与自动化加工流程，持续生成各类检验评估的标准化数据及图形化产品，并输出至专题库，确保产品的及时更新与统一管理。</w:t>
      </w:r>
    </w:p>
    <w:p>
      <w:pPr>
        <w:ind w:firstLine="420" w:firstLineChars="200"/>
      </w:pPr>
      <w:r>
        <w:rPr>
          <w:rFonts w:hint="eastAsia"/>
        </w:rPr>
        <w:t>（3）检验评估产品专题接口服务功能</w:t>
      </w:r>
    </w:p>
    <w:p>
      <w:pPr>
        <w:ind w:firstLine="420" w:firstLineChars="200"/>
      </w:pPr>
      <w:r>
        <w:rPr>
          <w:rFonts w:hint="eastAsia"/>
        </w:rPr>
        <w:t>基于检验评估产品专题库中的数据及业务分析需求，采用标准化服务封装技术与复杂统计分析、自定义计算等算法，输出标准数据服务与灵活的分析服务接口，以满足对检验评估产品的深度分析与应用需求。</w:t>
      </w:r>
    </w:p>
    <w:p>
      <w:pPr>
        <w:pStyle w:val="Heading6"/>
        <w:numPr>
          <w:ilvl w:val="5"/>
          <w:numId w:val="11"/>
        </w:numPr>
      </w:pPr>
      <w:r>
        <w:rPr>
          <w:rFonts w:hint="eastAsia"/>
        </w:rPr>
        <w:t>气象灾害风险库</w:t>
      </w:r>
    </w:p>
    <w:p>
      <w:pPr>
        <w:ind w:firstLine="420" w:firstLineChars="200"/>
      </w:pPr>
      <w:r>
        <w:rPr>
          <w:rFonts w:hint="eastAsia"/>
        </w:rPr>
        <w:t>（1）气象灾害风险专题库构建功能</w:t>
      </w:r>
    </w:p>
    <w:p>
      <w:pPr>
        <w:ind w:firstLine="420" w:firstLineChars="200"/>
      </w:pPr>
      <w:r>
        <w:rPr>
          <w:rFonts w:hint="eastAsia"/>
        </w:rPr>
        <w:t>基于气象灾害实时监测、综合影响评估与风险预评估等原始数据与图形产品，采用元数据注册与分类存储管理策略，构建并输出了一个符合统一平台规范、分类清晰的气象灾害风险专题库。</w:t>
      </w:r>
    </w:p>
    <w:p>
      <w:pPr>
        <w:ind w:firstLine="420" w:firstLineChars="200"/>
      </w:pPr>
      <w:r>
        <w:rPr>
          <w:rFonts w:hint="eastAsia"/>
        </w:rPr>
        <w:t>（2）气象灾害风险专题接口服务功能</w:t>
      </w:r>
    </w:p>
    <w:p>
      <w:pPr>
        <w:ind w:firstLine="420" w:firstLineChars="200"/>
      </w:pPr>
      <w:r>
        <w:rPr>
          <w:rFonts w:hint="eastAsia"/>
        </w:rPr>
        <w:t>基于气象灾害风险专题库中的数据，采用标准化服务封装技术，输出标准化的数据服务接口，以满足对灾害风险产品的查询与应用需求。</w:t>
      </w:r>
    </w:p>
    <w:p>
      <w:pPr>
        <w:pStyle w:val="Heading6"/>
        <w:numPr>
          <w:ilvl w:val="5"/>
          <w:numId w:val="11"/>
        </w:numPr>
      </w:pPr>
      <w:r>
        <w:rPr>
          <w:rFonts w:hint="eastAsia"/>
        </w:rPr>
        <w:t>气候服务产品库</w:t>
      </w:r>
    </w:p>
    <w:p>
      <w:pPr>
        <w:ind w:firstLine="420" w:firstLineChars="200"/>
      </w:pPr>
      <w:r>
        <w:rPr>
          <w:rFonts w:hint="eastAsia"/>
        </w:rPr>
        <w:t>（1）气候服务产品专题库构建功能</w:t>
      </w:r>
    </w:p>
    <w:p>
      <w:pPr>
        <w:ind w:firstLine="420" w:firstLineChars="200"/>
      </w:pPr>
      <w:r>
        <w:rPr>
          <w:rFonts w:hint="eastAsia"/>
        </w:rPr>
        <w:t>基于水利、新能源、农业、电力等各行业的气候服务原始产品，采用元数据注册与分类存储管理策略，构建并输出了一个符合统一平台规范、按行业分类管理的气候服务产品专题库。</w:t>
      </w:r>
    </w:p>
    <w:p>
      <w:pPr>
        <w:ind w:firstLine="420" w:firstLineChars="200"/>
      </w:pPr>
      <w:r>
        <w:rPr>
          <w:rFonts w:hint="eastAsia"/>
        </w:rPr>
        <w:t>（2）气候服务产品专题接口服务功能</w:t>
      </w:r>
    </w:p>
    <w:p>
      <w:pPr>
        <w:ind w:firstLine="420" w:firstLineChars="200"/>
      </w:pPr>
      <w:r>
        <w:rPr>
          <w:rFonts w:hint="eastAsia"/>
        </w:rPr>
        <w:t>基于气候服务产品专题库中的数据，采用标准化服务封装技术，输出标准化的数据服务接口，以满足各行业对气候服务产品的便捷访问与应用需求。</w:t>
      </w:r>
    </w:p>
    <w:p>
      <w:pPr>
        <w:pStyle w:val="Heading6"/>
        <w:numPr>
          <w:ilvl w:val="5"/>
          <w:numId w:val="11"/>
        </w:numPr>
      </w:pPr>
      <w:r>
        <w:rPr>
          <w:rFonts w:hint="eastAsia"/>
        </w:rPr>
        <w:t>历史个例库</w:t>
      </w:r>
    </w:p>
    <w:p>
      <w:pPr>
        <w:ind w:firstLine="420" w:firstLineChars="200"/>
      </w:pPr>
      <w:r>
        <w:rPr>
          <w:rFonts w:hint="eastAsia"/>
        </w:rPr>
        <w:t>（1）历史个例专题库构建功能</w:t>
      </w:r>
    </w:p>
    <w:p>
      <w:pPr>
        <w:ind w:firstLine="420" w:firstLineChars="200"/>
      </w:pPr>
      <w:r>
        <w:rPr>
          <w:rFonts w:hint="eastAsia"/>
        </w:rPr>
        <w:t>基于历史个例相关的原始数据，采用元数据注册与分类存储管理策略，构建并输出了一个符合统一平台规范、分类管理的历史个例专题库。</w:t>
      </w:r>
    </w:p>
    <w:p>
      <w:pPr>
        <w:ind w:firstLine="420" w:firstLineChars="200"/>
      </w:pPr>
      <w:r>
        <w:rPr>
          <w:rFonts w:hint="eastAsia"/>
        </w:rPr>
        <w:t>（2）历史个例归档功能</w:t>
      </w:r>
    </w:p>
    <w:p>
      <w:pPr>
        <w:ind w:firstLine="420" w:firstLineChars="200"/>
      </w:pPr>
      <w:r>
        <w:rPr>
          <w:rFonts w:hint="eastAsia"/>
        </w:rPr>
        <w:t>基于历史典型气候事件个例及其相关的多源监测数据、预测产品、评估报告等资料，采用标准化处理与自动归档流程，将规范化的个例数据集输出并存储至专题库中。</w:t>
      </w:r>
    </w:p>
    <w:p>
      <w:pPr>
        <w:ind w:firstLine="420" w:firstLineChars="200"/>
      </w:pPr>
      <w:r>
        <w:rPr>
          <w:rFonts w:hint="eastAsia"/>
        </w:rPr>
        <w:t>（3）历史个例专题接口服务功能</w:t>
      </w:r>
    </w:p>
    <w:p>
      <w:pPr>
        <w:ind w:firstLine="420" w:firstLineChars="200"/>
      </w:pPr>
      <w:r>
        <w:rPr>
          <w:rFonts w:hint="eastAsia"/>
        </w:rPr>
        <w:t>基于历史个例专题库中的归档数据及业务研究需求，采用标准化服务封装技术与复杂统计分析、自定义计算等算法，输出标准数据服务与灵活的分析服务接口，以满足对历史个例数据的深度挖掘与研究应用需求。</w:t>
      </w:r>
    </w:p>
    <w:p>
      <w:pPr>
        <w:pStyle w:val="Heading6"/>
        <w:numPr>
          <w:ilvl w:val="5"/>
          <w:numId w:val="11"/>
        </w:numPr>
      </w:pPr>
      <w:r>
        <w:t>数据源注册与管理</w:t>
      </w:r>
    </w:p>
    <w:p>
      <w:pPr>
        <w:ind w:firstLine="420" w:firstLineChars="200"/>
      </w:pPr>
      <w:r>
        <w:rPr>
          <w:rFonts w:hint="eastAsia"/>
        </w:rPr>
        <w:t>（1）多源数据源注册功能</w:t>
      </w:r>
    </w:p>
    <w:p>
      <w:pPr>
        <w:ind w:firstLine="420" w:firstLineChars="200"/>
      </w:pPr>
      <w:r>
        <w:rPr>
          <w:rFonts w:hint="eastAsia"/>
        </w:rPr>
        <w:t>支持注册气象观测、生态观测、模式预报、地理信息及专题产品等多种数据源类型。完善管理数据源的标识符、接口地址、格式、更新频率、时空范围及分辨率等元数据。</w:t>
      </w:r>
    </w:p>
    <w:p>
      <w:pPr>
        <w:ind w:firstLine="420" w:firstLineChars="200"/>
      </w:pPr>
      <w:r>
        <w:rPr>
          <w:rFonts w:hint="eastAsia"/>
        </w:rPr>
        <w:t>（2）数据源可用性监控功能</w:t>
      </w:r>
    </w:p>
    <w:p>
      <w:pPr>
        <w:ind w:firstLine="420" w:firstLineChars="200"/>
      </w:pPr>
      <w:r>
        <w:rPr>
          <w:rFonts w:hint="eastAsia"/>
        </w:rPr>
        <w:t>实施数据源可用性实时监控，自动检测服务连通性，异常时主动告警，保障数据供给的稳定性与可靠性。</w:t>
      </w:r>
    </w:p>
    <w:p>
      <w:pPr>
        <w:pStyle w:val="Heading6"/>
        <w:numPr>
          <w:ilvl w:val="5"/>
          <w:numId w:val="11"/>
        </w:numPr>
      </w:pPr>
      <w:r>
        <w:t>数据治理与质控服务</w:t>
      </w:r>
    </w:p>
    <w:p>
      <w:pPr>
        <w:ind w:firstLine="420" w:firstLineChars="200"/>
      </w:pPr>
      <w:r>
        <w:rPr>
          <w:rFonts w:hint="eastAsia"/>
        </w:rPr>
        <w:t>（1）多源数据接入与预处理</w:t>
      </w:r>
    </w:p>
    <w:p>
      <w:pPr>
        <w:ind w:firstLine="420" w:firstLineChars="200"/>
      </w:pPr>
      <w:r>
        <w:rPr>
          <w:rFonts w:hint="eastAsia"/>
        </w:rPr>
        <w:t>支持NetCDF、GRIB、HDF5、Micaps等多源数据格式的自动识别与解析。基于地球系统大数据平台统一网关，将多源数据转换为标准数据模型。提供数据格式校验、异常检测、时空一致性检查等自动化治理能力。</w:t>
      </w:r>
    </w:p>
    <w:p>
      <w:pPr>
        <w:ind w:firstLine="420" w:firstLineChars="200"/>
      </w:pPr>
      <w:r>
        <w:rPr>
          <w:rFonts w:hint="eastAsia"/>
        </w:rPr>
        <w:t>（2）全流程数据质量控制</w:t>
      </w:r>
    </w:p>
    <w:p>
      <w:pPr>
        <w:ind w:firstLine="420" w:firstLineChars="200"/>
      </w:pPr>
      <w:r>
        <w:rPr>
          <w:rFonts w:hint="eastAsia"/>
        </w:rPr>
        <w:t>构建严格的数据质控体系，依据气候学范围进行气候极值检查以剔除异常值；开展时空一致性检查，验证数据在时间序列与空间分布上的连续性及合理性；执行内部一致性检查，验证温度露点、风速风向等要素间的物理逻辑关系。为每份数据添加质控标识（正确/可疑/错误），支持自定义规则。</w:t>
      </w:r>
    </w:p>
    <w:p>
      <w:pPr>
        <w:ind w:firstLine="420" w:firstLineChars="200"/>
      </w:pPr>
      <w:r>
        <w:rPr>
          <w:rFonts w:hint="eastAsia"/>
        </w:rPr>
        <w:t>（3）高性能数据处理与存储</w:t>
      </w:r>
    </w:p>
    <w:p>
      <w:pPr>
        <w:ind w:firstLine="420" w:firstLineChars="200"/>
      </w:pPr>
      <w:r>
        <w:rPr>
          <w:rFonts w:hint="eastAsia"/>
        </w:rPr>
        <w:t>基于“天擎”构建PB级生态气象专题数据资源池，支持长序列历史数据与实时数据的统一汇聚与调度。研发可插拔、支持分布式并行的格点算子体系。支持卫星数据解码、定标及COG TIFF渲染文件生成。基于Zarr V3格式实现多源数据分块压缩与数算一体处理。</w:t>
      </w:r>
    </w:p>
    <w:p>
      <w:pPr>
        <w:pStyle w:val="Heading6"/>
        <w:numPr>
          <w:ilvl w:val="5"/>
          <w:numId w:val="11"/>
        </w:numPr>
      </w:pPr>
      <w:r>
        <w:t>数据血缘与资产管理</w:t>
      </w:r>
    </w:p>
    <w:p>
      <w:pPr>
        <w:ind w:firstLine="420" w:firstLineChars="200"/>
      </w:pPr>
      <w:r>
        <w:rPr>
          <w:rFonts w:hint="eastAsia"/>
        </w:rPr>
        <w:t>（1）数据血缘全生命周期追溯</w:t>
      </w:r>
    </w:p>
    <w:p>
      <w:pPr>
        <w:ind w:firstLine="420" w:firstLineChars="200"/>
      </w:pPr>
      <w:r>
        <w:rPr>
          <w:rFonts w:hint="eastAsia"/>
        </w:rPr>
        <w:t>记录从采集到产品的全加工链路，支持质量回溯与影响分析。提供数据产品多版本共存与历史版本回滚机制。</w:t>
      </w:r>
    </w:p>
    <w:p>
      <w:pPr>
        <w:ind w:firstLine="420" w:firstLineChars="200"/>
      </w:pPr>
      <w:r>
        <w:rPr>
          <w:rFonts w:hint="eastAsia"/>
        </w:rPr>
        <w:t>（2）数据服务接口优化</w:t>
      </w:r>
    </w:p>
    <w:p>
      <w:pPr>
        <w:ind w:firstLine="420" w:firstLineChars="200"/>
      </w:pPr>
      <w:r>
        <w:rPr>
          <w:rFonts w:hint="eastAsia"/>
        </w:rPr>
        <w:t>深度集成“天擎”数据服务能力，通过标准API支持按时间、空间、要素查询。支持NetCDF、GRIB、HDF、Shapefile等主流格式的解析与元数据提取。通过内存缓存与本地索引优化频繁访问数据的加载速度，支持数据预取策略。</w:t>
      </w:r>
    </w:p>
    <w:p>
      <w:pPr>
        <w:ind w:firstLine="420" w:firstLineChars="200"/>
      </w:pPr>
      <w:r>
        <w:rPr>
          <w:rFonts w:hint="eastAsia"/>
        </w:rPr>
        <w:t>（3）空间分析服务</w:t>
      </w:r>
    </w:p>
    <w:p>
      <w:pPr>
        <w:ind w:firstLine="420" w:firstLineChars="200"/>
      </w:pPr>
      <w:r>
        <w:rPr>
          <w:rFonts w:hint="eastAsia"/>
        </w:rPr>
        <w:t>提供专业的空间分析算法服务，支持矢量/栅格图层的相交、合并、擦除等布尔运算叠加分析。支持以点、线、面为中心生成缓冲区多边形。支持栅格代数运算、函数变换（如坡度、坡向计算）及几何量算。</w:t>
      </w:r>
    </w:p>
    <w:p>
      <w:pPr>
        <w:pStyle w:val="Heading5"/>
        <w:numPr>
          <w:ilvl w:val="4"/>
          <w:numId w:val="11"/>
        </w:numPr>
      </w:pPr>
      <w:r>
        <w:rPr>
          <w:rFonts w:hint="eastAsia"/>
        </w:rPr>
        <w:t>集约化组件共享平台</w:t>
      </w:r>
    </w:p>
    <w:p>
      <w:pPr>
        <w:ind w:firstLine="420" w:firstLineChars="200"/>
      </w:pPr>
      <w:r>
        <w:t>基于天擎专题库技术，构建涵盖气候监测、气候预测、检验评估、气象灾害风险、气候服务及历史个例等专业库，并通过发布标准化数据服务接口，实现气候专题产品的统一管理、动态更新和高效应用。为支撑业务运行，设计三类核心组件：标准化气象基础组件（涵盖数据处理分析、图表制作、多维展示与流程管理，强调灵活复用）、高可用业务应用组件（覆盖气候监测、预测、诊断、检验及产品制作等典型业务场景，注重功能完整与高性能）、特色气候业务应用组件（聚焦气候变化评估、第三极气候监测、灾害风险管理及卫星遥感应用等定制化需求），共同构成集约共享、层次分明的气候业务技术支撑体系。</w:t>
      </w:r>
    </w:p>
    <w:p>
      <w:pPr>
        <w:pStyle w:val="Heading6"/>
        <w:numPr>
          <w:ilvl w:val="5"/>
          <w:numId w:val="11"/>
        </w:numPr>
      </w:pPr>
      <w:r>
        <w:rPr>
          <w:rFonts w:hint="eastAsia"/>
        </w:rPr>
        <w:t>标准化气象基础组件</w:t>
      </w:r>
    </w:p>
    <w:p>
      <w:pPr>
        <w:ind w:firstLine="420" w:firstLineChars="200"/>
      </w:pPr>
      <w:r>
        <w:rPr>
          <w:rFonts w:hint="eastAsia"/>
        </w:rPr>
        <w:t>（1）数据处理与挖掘分析类组件功能</w:t>
      </w:r>
    </w:p>
    <w:p>
      <w:pPr>
        <w:ind w:firstLine="420" w:firstLineChars="200"/>
      </w:pPr>
      <w:r>
        <w:rPr>
          <w:rFonts w:hint="eastAsia"/>
        </w:rPr>
        <w:t>基于各类业务数据及分析需求，采用标准化、组件化的设计与开发规范，构建了统计分析、数据插值、智能推荐等一系列算法模型组件，为上层应用输出通用的数据处理与智能分析能力。</w:t>
      </w:r>
      <w:r>
        <w:t>集成反距离权重（IDW）、克里金、ANUSPLIN、Cressman及样条函数等多种空间插值算法，支持站点到格点及格点到站点的双向插值。集成统计降尺度与动力降尺度接口。内置高效算法引擎，支持均值、方差、标准差、极值、分位数及累积和等基本统计量的快速计算。</w:t>
      </w:r>
    </w:p>
    <w:p>
      <w:pPr>
        <w:ind w:firstLine="420" w:firstLineChars="200"/>
      </w:pPr>
      <w:r>
        <w:rPr>
          <w:rFonts w:hint="eastAsia"/>
        </w:rPr>
        <w:t>（2）图表制作类组件功能</w:t>
      </w:r>
    </w:p>
    <w:p>
      <w:pPr>
        <w:ind w:firstLine="420" w:firstLineChars="200"/>
      </w:pPr>
      <w:r>
        <w:rPr>
          <w:rFonts w:hint="eastAsia"/>
        </w:rPr>
        <w:t>基于业务产品制作需求，采用标准化、组件化的设计与开发规范，研发涵盖专业绘图、专题制作与通用图表等功能的可视化组件，为各类气候业务产品输出高效、灵活的图形化生成能力。</w:t>
      </w:r>
      <w:r>
        <w:t>集成二维数据渲染服务，基于Marching Squares算法提供等值线/面生成，采用Runge-Kutta方法生成流线。支持风矢图、风羽图及动态流线图渲染，支持调节粒子密度与速度。</w:t>
      </w:r>
    </w:p>
    <w:p>
      <w:pPr>
        <w:ind w:firstLine="420" w:firstLineChars="200"/>
      </w:pPr>
      <w:r>
        <w:rPr>
          <w:rFonts w:hint="eastAsia"/>
        </w:rPr>
        <w:t>（3）数据多维展示类组件功能</w:t>
      </w:r>
    </w:p>
    <w:p>
      <w:pPr>
        <w:ind w:firstLine="420" w:firstLineChars="200"/>
      </w:pPr>
      <w:r>
        <w:rPr>
          <w:rFonts w:hint="eastAsia"/>
        </w:rPr>
        <w:t>基于多维气候数据及产品展示需求，采用标准化、组件化的设计与开发规范，研发二维与三维数据可视化组件，为业务分析与应用输出更直观、更全面的数据呈现与交互体验。</w:t>
      </w:r>
      <w:r>
        <w:t>集成专业垂直廓线可视化工具，支持单站及多站廓线叠加对比。支持不同高度层次的数据对比绘图，揭示垂直演变特征。</w:t>
      </w:r>
    </w:p>
    <w:p>
      <w:pPr>
        <w:ind w:firstLine="420" w:firstLineChars="200"/>
      </w:pPr>
      <w:r>
        <w:rPr>
          <w:rFonts w:hint="eastAsia"/>
        </w:rPr>
        <w:t>（4）流程管理类组件功能</w:t>
      </w:r>
    </w:p>
    <w:p>
      <w:pPr>
        <w:ind w:firstLine="420" w:firstLineChars="200"/>
      </w:pPr>
      <w:r>
        <w:rPr>
          <w:rFonts w:hint="eastAsia"/>
        </w:rPr>
        <w:t>基于标准化业务流程管理需求，采用组件化设计开发规范，研发产品分发、后台管理及预报制作流程等管理组件，为业务运行输出规范化、可配置的流程控制与协作支撑能力。</w:t>
      </w:r>
      <w:r>
        <w:t>集成可视化工作流建模画布，支持“拖拽-连接-配置”构建复杂分析流程。支持工作流模板保存、版本回溯及事件驱动触发。</w:t>
      </w:r>
    </w:p>
    <w:p>
      <w:pPr>
        <w:pStyle w:val="Heading6"/>
        <w:numPr>
          <w:ilvl w:val="5"/>
          <w:numId w:val="11"/>
        </w:numPr>
      </w:pPr>
      <w:r>
        <w:rPr>
          <w:rFonts w:hint="eastAsia"/>
        </w:rPr>
        <w:t>高可用业务应用组件</w:t>
      </w:r>
    </w:p>
    <w:p>
      <w:pPr>
        <w:ind w:firstLine="420" w:firstLineChars="200"/>
      </w:pPr>
      <w:r>
        <w:rPr>
          <w:rFonts w:hint="eastAsia"/>
        </w:rPr>
        <w:t>（1）气候监测类组件功能</w:t>
      </w:r>
    </w:p>
    <w:p>
      <w:pPr>
        <w:ind w:firstLine="420" w:firstLineChars="200"/>
      </w:pPr>
      <w:r>
        <w:rPr>
          <w:rFonts w:hint="eastAsia"/>
        </w:rPr>
        <w:t>基于气候监测业务需求，采用组件化设计开发规范，研发针对要素、季风、圈层、气候事件及海洋等监测指标计算与分析组件，为实时气候监测业务输出标准化的数据处理与产品生成能力。</w:t>
      </w:r>
      <w:r>
        <w:t>集成基于阈值的过滤显示分析功能，支持对超过或低于阈值的数据进行高亮渲染，便于快速识别极端天气气候事件。</w:t>
      </w:r>
    </w:p>
    <w:p>
      <w:pPr>
        <w:ind w:firstLine="420" w:firstLineChars="200"/>
      </w:pPr>
      <w:r>
        <w:rPr>
          <w:rFonts w:hint="eastAsia"/>
        </w:rPr>
        <w:t>（2）气候预测类组件功能</w:t>
      </w:r>
    </w:p>
    <w:p>
      <w:pPr>
        <w:ind w:firstLine="420" w:firstLineChars="200"/>
      </w:pPr>
      <w:r>
        <w:rPr>
          <w:rFonts w:hint="eastAsia"/>
        </w:rPr>
        <w:t>基于气候预测业务需求，采用组件化设计开发规范，研发涵盖模式预测、指数预测、事件与灾害预测等分析与制作组件，为不同时间尺度的气候预测业务输出专业化的算法支持。</w:t>
      </w:r>
      <w:r>
        <w:t>集成时序变化分析工具，支持多类型时序图表绘制与多序列对比，内置线性/非线性趋势线拟合算法，可计算倾向率。</w:t>
      </w:r>
    </w:p>
    <w:p>
      <w:pPr>
        <w:ind w:firstLine="420" w:firstLineChars="200"/>
      </w:pPr>
      <w:r>
        <w:rPr>
          <w:rFonts w:hint="eastAsia"/>
        </w:rPr>
        <w:t>（3）气候诊断类组件功能</w:t>
      </w:r>
    </w:p>
    <w:p>
      <w:pPr>
        <w:ind w:firstLine="420" w:firstLineChars="200"/>
      </w:pPr>
      <w:r>
        <w:rPr>
          <w:rFonts w:hint="eastAsia"/>
        </w:rPr>
        <w:t>基于气候诊断分析需求，采用组件化设计开发规范，研发合成分析、相关分析、EOF分解、小波分析等统计诊断组件，为气候规律研究输出强大的数据挖掘与分析工具。</w:t>
      </w:r>
    </w:p>
    <w:p>
      <w:pPr>
        <w:ind w:firstLine="420" w:firstLineChars="200"/>
      </w:pPr>
      <w:r>
        <w:rPr>
          <w:rFonts w:hint="eastAsia"/>
        </w:rPr>
        <w:t>（4）综合检验类组件功能</w:t>
      </w:r>
    </w:p>
    <w:p>
      <w:pPr>
        <w:ind w:firstLine="420" w:firstLineChars="200"/>
      </w:pPr>
      <w:r>
        <w:rPr>
          <w:rFonts w:hint="eastAsia"/>
        </w:rPr>
        <w:t>基于预测效果评估需求，采用组件化设计开发规范，研发覆盖主观预测、客观模式、指数及气候事件预测等多维度的检验评估组件，为预测业务的质量控制与技巧评估输出标准化的检验算法与指标。</w:t>
      </w:r>
    </w:p>
    <w:p>
      <w:pPr>
        <w:ind w:firstLine="420" w:firstLineChars="200"/>
      </w:pPr>
      <w:r>
        <w:rPr>
          <w:rFonts w:hint="eastAsia"/>
        </w:rPr>
        <w:t>（5）预测产品制作类组件功能</w:t>
      </w:r>
    </w:p>
    <w:p>
      <w:pPr>
        <w:ind w:firstLine="420" w:firstLineChars="200"/>
      </w:pPr>
      <w:r>
        <w:rPr>
          <w:rFonts w:hint="eastAsia"/>
        </w:rPr>
        <w:t>基于预报产品制作业务，采用组件化设计开发规范，研发针对要素预报与灾害预报的专业化产品加工与制作组件，为预报业务的产品输出提供标准化的封装与生成工具。</w:t>
      </w:r>
      <w:r>
        <w:t>集成智能专题图制作能力，根据数据类型智能推荐色标方案，自动提取元数据生成图例与标题。支持批量生成与自动归档。</w:t>
      </w:r>
    </w:p>
    <w:p>
      <w:pPr>
        <w:pStyle w:val="Heading6"/>
        <w:numPr>
          <w:ilvl w:val="5"/>
          <w:numId w:val="11"/>
        </w:numPr>
      </w:pPr>
      <w:r>
        <w:rPr>
          <w:rFonts w:hint="eastAsia"/>
        </w:rPr>
        <w:t>特色气候业务应用组件</w:t>
      </w:r>
    </w:p>
    <w:p>
      <w:pPr>
        <w:ind w:firstLine="420" w:firstLineChars="200"/>
      </w:pPr>
      <w:r>
        <w:rPr>
          <w:rFonts w:hint="eastAsia"/>
        </w:rPr>
        <w:t>（1）气候变化监测与生态影响评估类组件功能</w:t>
      </w:r>
    </w:p>
    <w:p>
      <w:pPr>
        <w:ind w:firstLine="420" w:firstLineChars="200"/>
      </w:pPr>
      <w:r>
        <w:rPr>
          <w:rFonts w:hint="eastAsia"/>
        </w:rPr>
        <w:t>基于气候变化与生态评估的交叉研究需求，采用组件化设计开发规范，研发极端事件监测、生态要素气候预测等专业组件，为气候变化的影响评估业务输出关键的分析方法与模型支撑。</w:t>
      </w:r>
    </w:p>
    <w:p>
      <w:pPr>
        <w:ind w:firstLine="420" w:firstLineChars="200"/>
      </w:pPr>
      <w:r>
        <w:rPr>
          <w:rFonts w:hint="eastAsia"/>
        </w:rPr>
        <w:t>（2）第三极地区气候监测与预估类组件功能</w:t>
      </w:r>
    </w:p>
    <w:p>
      <w:pPr>
        <w:ind w:firstLine="420" w:firstLineChars="200"/>
      </w:pPr>
      <w:r>
        <w:rPr>
          <w:rFonts w:hint="eastAsia"/>
        </w:rPr>
        <w:t>基于第三极地区特殊需求，采用组件化设计开发规范，研发积雪、冻土、冰川等关键要素的监测与预估组件，为该区域的专项气候业务输出定制化的数据处理与分析能力。</w:t>
      </w:r>
    </w:p>
    <w:p>
      <w:pPr>
        <w:ind w:firstLine="420" w:firstLineChars="200"/>
      </w:pPr>
      <w:r>
        <w:rPr>
          <w:rFonts w:hint="eastAsia"/>
        </w:rPr>
        <w:t>（3）气象灾害风险管理类组件功能</w:t>
      </w:r>
    </w:p>
    <w:p>
      <w:pPr>
        <w:ind w:firstLine="420" w:firstLineChars="200"/>
      </w:pPr>
      <w:r>
        <w:rPr>
          <w:rFonts w:hint="eastAsia"/>
        </w:rPr>
        <w:t>基于灾害风险管理业务链条，采用组件化设计开发规范，研发灾害识别、影响评估、过程监测与风险评估等模型组件，为灾害风险的全流程管理输出核心的算法与模型工具。</w:t>
      </w:r>
    </w:p>
    <w:p>
      <w:pPr>
        <w:ind w:firstLine="420" w:firstLineChars="200"/>
      </w:pPr>
      <w:r>
        <w:rPr>
          <w:rFonts w:hint="eastAsia"/>
        </w:rPr>
        <w:t>（4）卫星遥感气候应用类组件功能</w:t>
      </w:r>
    </w:p>
    <w:p>
      <w:pPr>
        <w:ind w:firstLine="420" w:firstLineChars="200"/>
      </w:pPr>
      <w:r>
        <w:rPr>
          <w:rFonts w:hint="eastAsia"/>
        </w:rPr>
        <w:t>基于卫星遥感数据的气候应用需求，采用组件化设计开发规范，研发气候要素遥感反演与气候变化影响评估等专业组件，为拓展气候监测数据源与评估手段输出重要的技术方法。</w:t>
      </w:r>
    </w:p>
    <w:p>
      <w:pPr>
        <w:pStyle w:val="Heading6"/>
        <w:numPr>
          <w:ilvl w:val="5"/>
          <w:numId w:val="11"/>
        </w:numPr>
      </w:pPr>
      <w:r>
        <w:t>组件全生命周期管理</w:t>
      </w:r>
    </w:p>
    <w:p>
      <w:pPr>
        <w:ind w:firstLine="420" w:firstLineChars="200"/>
      </w:pPr>
      <w:r>
        <w:rPr>
          <w:rFonts w:hint="eastAsia"/>
        </w:rPr>
        <w:t>（1）组件注册与元数据管理</w:t>
      </w:r>
    </w:p>
    <w:p>
      <w:pPr>
        <w:ind w:firstLine="420" w:firstLineChars="200"/>
      </w:pPr>
      <w:r>
        <w:rPr>
          <w:rFonts w:hint="eastAsia"/>
        </w:rPr>
        <w:t>支持业务组件的模块化开发、标准化注册与统一纳管。提供组件元数据维护、多维度分类（监测、预测、评估、算法、数据、UI等）及关键词管理。</w:t>
      </w:r>
    </w:p>
    <w:p>
      <w:pPr>
        <w:ind w:firstLine="420" w:firstLineChars="200"/>
      </w:pPr>
      <w:r>
        <w:rPr>
          <w:rFonts w:hint="eastAsia"/>
        </w:rPr>
        <w:t>（2）版本管理与发布</w:t>
      </w:r>
    </w:p>
    <w:p>
      <w:pPr>
        <w:ind w:firstLine="420" w:firstLineChars="200"/>
      </w:pPr>
      <w:r>
        <w:rPr>
          <w:rFonts w:hint="eastAsia"/>
        </w:rPr>
        <w:t>强制执行语义化版本规则。提供组件版本的发布、快速回滚功能，支持版本差异对比。实现版本全生命周期管理，可标记版本状态（开发中、已发布、已废弃）。支持将准入审核通过的组件发布至国家级仓库，供全国气象部门共享。</w:t>
      </w:r>
    </w:p>
    <w:p>
      <w:pPr>
        <w:ind w:firstLine="420" w:firstLineChars="200"/>
      </w:pPr>
      <w:r>
        <w:rPr>
          <w:rFonts w:hint="eastAsia"/>
        </w:rPr>
        <w:t>（3）组件运行监控与门户</w:t>
      </w:r>
    </w:p>
    <w:p>
      <w:pPr>
        <w:ind w:firstLine="420" w:firstLineChars="200"/>
      </w:pPr>
      <w:r>
        <w:rPr>
          <w:rFonts w:hint="eastAsia"/>
        </w:rPr>
        <w:t>提供组件运行时状态采集与可视化运维功能，异常时自动告警。集成调用链追踪与集中日志中心。构建组件市场门户，支持多维度检索、详情展示及多语言调用示例下载，打造一站式组件发现与获取平台。</w:t>
      </w:r>
    </w:p>
    <w:p>
      <w:pPr>
        <w:pStyle w:val="Heading5"/>
        <w:numPr>
          <w:ilvl w:val="4"/>
          <w:numId w:val="11"/>
        </w:numPr>
      </w:pPr>
      <w:r>
        <w:rPr>
          <w:rFonts w:hint="eastAsia"/>
        </w:rPr>
        <w:t>智能化分析决策系统</w:t>
      </w:r>
    </w:p>
    <w:p>
      <w:pPr>
        <w:ind w:firstLine="420" w:firstLineChars="200"/>
      </w:pPr>
      <w:r>
        <w:t>基于天擎专题库技术，构建涵盖气候监测、预测、检验评估、风险、服务及历史个例的专业产品库，并通过标准化数据服务接口，实现气候专题产品的统一管理与高效应用。为支撑智能化业务发展，同步建设三大核心能力：专业气候知识库整合多源权威数据，构建结构化知识图谱，提供全球-区域-本地三级知识体系；气候知识智能问答深度融合专业知识库与气候专用NLP模型，实现精准、可解释的业务咨询；气候智能体依托大模型与知识图谱，具备自主任务规划与闭环执行能力，支撑从数据查询到自动化决策的全流程智能服务。</w:t>
      </w:r>
    </w:p>
    <w:p>
      <w:pPr>
        <w:pStyle w:val="Heading6"/>
        <w:numPr>
          <w:ilvl w:val="5"/>
          <w:numId w:val="11"/>
        </w:numPr>
      </w:pPr>
      <w:r>
        <w:rPr>
          <w:rFonts w:hint="eastAsia"/>
        </w:rPr>
        <w:t>专业气候知识库</w:t>
      </w:r>
    </w:p>
    <w:p>
      <w:pPr>
        <w:ind w:firstLine="420" w:firstLineChars="200"/>
      </w:pPr>
      <w:r>
        <w:rPr>
          <w:rFonts w:hint="eastAsia"/>
        </w:rPr>
        <w:t>（1）数据采集与知识处理功能</w:t>
      </w:r>
    </w:p>
    <w:p>
      <w:pPr>
        <w:ind w:firstLine="420" w:firstLineChars="200"/>
      </w:pPr>
      <w:r>
        <w:rPr>
          <w:rFonts w:hint="eastAsia"/>
        </w:rPr>
        <w:t>基于CMIP6、CORDEX等权威气候模式数据源及全球关键气候变量，采用标准化采集流水线与质量控制流程，实现多源数据的自动化汇聚与清洗，为知识库构建输出高质量、标准化的原始数据。</w:t>
      </w:r>
    </w:p>
    <w:p>
      <w:pPr>
        <w:ind w:firstLine="420" w:firstLineChars="200"/>
      </w:pPr>
      <w:r>
        <w:rPr>
          <w:rFonts w:hint="eastAsia"/>
        </w:rPr>
        <w:t>（2）多模态知识整合功能</w:t>
      </w:r>
    </w:p>
    <w:p>
      <w:pPr>
        <w:ind w:firstLine="420" w:firstLineChars="200"/>
      </w:pPr>
      <w:r>
        <w:rPr>
          <w:rFonts w:hint="eastAsia"/>
        </w:rPr>
        <w:t>基于模式数据、观测资料、灾害案例、预测产品等多模态异构数据，采用时空编码与语义对齐技术，构建跨模态关联的“气候因子-影响链”语义网络，为气候推理与应用输出深度融合、逻辑关联的集成知识体系。</w:t>
      </w:r>
    </w:p>
    <w:p>
      <w:pPr>
        <w:ind w:firstLine="420" w:firstLineChars="200"/>
      </w:pPr>
      <w:r>
        <w:rPr>
          <w:rFonts w:hint="eastAsia"/>
        </w:rPr>
        <w:t>（3）知识存储与表示功能</w:t>
      </w:r>
    </w:p>
    <w:p>
      <w:pPr>
        <w:ind w:firstLine="420" w:firstLineChars="200"/>
      </w:pPr>
      <w:r>
        <w:rPr>
          <w:rFonts w:hint="eastAsia"/>
        </w:rPr>
        <w:t>基于结构化关系与非结构化文档等多类型知识，采用“知识图谱+向量数据库”的双引擎混合存储架构，结合动态更新机制，实现气候知识的体系化存储、语义化表示与时效性维护，为上层应用输出高效、灵活的知识组织与检索基础。</w:t>
      </w:r>
    </w:p>
    <w:p>
      <w:pPr>
        <w:ind w:firstLine="420" w:firstLineChars="200"/>
      </w:pPr>
      <w:r>
        <w:rPr>
          <w:rFonts w:hint="eastAsia"/>
        </w:rPr>
        <w:t>（4）知识检索服务</w:t>
      </w:r>
    </w:p>
    <w:p>
      <w:pPr>
        <w:ind w:firstLine="420" w:firstLineChars="200"/>
      </w:pPr>
      <w:r>
        <w:rPr>
          <w:rFonts w:hint="eastAsia"/>
        </w:rPr>
        <w:t>基于用户提交的自然语言、关键词或图像等多样化查询请求，采用意图识别、实体提取及多模态特征匹配等技术，融合结构化与向量化检索路径，并通过重排序优化结果，最终输出精准、相关、排序合理的候选知识集合。</w:t>
      </w:r>
    </w:p>
    <w:p>
      <w:pPr>
        <w:pStyle w:val="Heading6"/>
        <w:numPr>
          <w:ilvl w:val="5"/>
          <w:numId w:val="11"/>
        </w:numPr>
      </w:pPr>
      <w:r>
        <w:rPr>
          <w:rFonts w:hint="eastAsia"/>
        </w:rPr>
        <w:t>气候知识智能问答</w:t>
      </w:r>
    </w:p>
    <w:p>
      <w:pPr>
        <w:ind w:firstLine="420" w:firstLineChars="200"/>
      </w:pPr>
      <w:r>
        <w:rPr>
          <w:rFonts w:hint="eastAsia"/>
        </w:rPr>
        <w:t>（1）问句解析与知识检索功能</w:t>
      </w:r>
    </w:p>
    <w:p>
      <w:pPr>
        <w:ind w:firstLine="420" w:firstLineChars="200"/>
      </w:pPr>
      <w:r>
        <w:rPr>
          <w:rFonts w:hint="eastAsia"/>
        </w:rPr>
        <w:t>基于用户的自然语言提问，采用意图识别、实体提取与领域分类技术解析查询意图，并智能构造结构化或向量化检索请求，通过调用知识库接口获取并预处理候选知识，为答案生成环节输出经过筛选与优化的精准检索结果。</w:t>
      </w:r>
    </w:p>
    <w:p>
      <w:pPr>
        <w:ind w:firstLine="420" w:firstLineChars="200"/>
      </w:pPr>
      <w:r>
        <w:rPr>
          <w:rFonts w:hint="eastAsia"/>
        </w:rPr>
        <w:t>（2）答案生成功能</w:t>
      </w:r>
    </w:p>
    <w:p>
      <w:pPr>
        <w:ind w:firstLine="420" w:firstLineChars="200"/>
      </w:pPr>
      <w:r>
        <w:rPr>
          <w:rFonts w:hint="eastAsia"/>
        </w:rPr>
        <w:t>基于用户问题与检索模块提供的候选知识，采用大语言模型（LLM）进行专业化内容整合与推理，结合多轮对话管理确保连贯性，并经过精细化后处理，最终输出格式规范、语义准确、可读性强的自然语言答案。</w:t>
      </w:r>
    </w:p>
    <w:p>
      <w:pPr>
        <w:ind w:firstLine="420" w:firstLineChars="200"/>
      </w:pPr>
      <w:r>
        <w:rPr>
          <w:rFonts w:hint="eastAsia"/>
        </w:rPr>
        <w:t>（3）多模态问答功能</w:t>
      </w:r>
    </w:p>
    <w:p>
      <w:pPr>
        <w:ind w:firstLine="420" w:firstLineChars="200"/>
      </w:pPr>
      <w:r>
        <w:rPr>
          <w:rFonts w:hint="eastAsia"/>
        </w:rPr>
        <w:t>基于用户上传的气候图像与伴随的文本提问，采用图像识别技术提取结构化描述，并与文本问题进行语义对齐与上下文重构，利用大语言模型（LLM）进行多模态推理与答案生成，最终输出图文语义深度绑定的专业化解答。</w:t>
      </w:r>
    </w:p>
    <w:p>
      <w:pPr>
        <w:pStyle w:val="Heading6"/>
        <w:numPr>
          <w:ilvl w:val="5"/>
          <w:numId w:val="11"/>
        </w:numPr>
      </w:pPr>
      <w:r>
        <w:rPr>
          <w:rFonts w:hint="eastAsia"/>
        </w:rPr>
        <w:t>气候智能体</w:t>
      </w:r>
    </w:p>
    <w:p>
      <w:pPr>
        <w:ind w:firstLine="420" w:firstLineChars="200"/>
      </w:pPr>
      <w:r>
        <w:rPr>
          <w:rFonts w:hint="eastAsia"/>
        </w:rPr>
        <w:t>（1）任务规划与工作流编排功能</w:t>
      </w:r>
    </w:p>
    <w:p>
      <w:pPr>
        <w:ind w:firstLine="420" w:firstLineChars="200"/>
      </w:pPr>
      <w:r>
        <w:rPr>
          <w:rFonts w:hint="eastAsia"/>
        </w:rPr>
        <w:t>基于用户提出的复杂气候业务问题，采用分层任务拆解技术与内置业务模板库，进行智能解析与规划，自动生成符合业务规范、可动态调整并嵌入校验机制的标准分析工作流，为自动化业务执行输出清晰、可靠的任务蓝图。</w:t>
      </w:r>
    </w:p>
    <w:p>
      <w:pPr>
        <w:ind w:firstLine="420" w:firstLineChars="200"/>
      </w:pPr>
      <w:r>
        <w:rPr>
          <w:rFonts w:hint="eastAsia"/>
        </w:rPr>
        <w:t>（2）工具库调用功能</w:t>
      </w:r>
    </w:p>
    <w:p>
      <w:pPr>
        <w:ind w:firstLine="420" w:firstLineChars="200"/>
      </w:pPr>
      <w:r>
        <w:rPr>
          <w:rFonts w:hint="eastAsia"/>
        </w:rPr>
        <w:t>基于国家级气候业务的复杂分析需求，集成CMIP6模式数据调用、极端气候指数计算、专报生成等核心业务专用工具链，通过提供标准化的接口进行调用。工具库严格遵循业务权限管理规则，并对关键模块（如极端事件归因算法）采用黑盒封装，确保计算过程的规范性和结果与人工研判的一致性。基于用户任务或智能解析出的分析目标（例如“分析IOD指数与中国降水异常的关联”），系统支持对工具链进行智能组合与调度（如“调取IOD指数→关联中国降水距平→生成诊断图”），从而输出标准、可靠且可复用的自动化气候分析流程与结果产品。</w:t>
      </w:r>
    </w:p>
    <w:p>
      <w:pPr>
        <w:ind w:firstLine="420" w:firstLineChars="200"/>
      </w:pPr>
      <w:r>
        <w:rPr>
          <w:rFonts w:hint="eastAsia"/>
        </w:rPr>
        <w:t>（3）交互管理功能</w:t>
      </w:r>
    </w:p>
    <w:p>
      <w:pPr>
        <w:ind w:firstLine="420" w:firstLineChars="200"/>
      </w:pPr>
      <w:r>
        <w:rPr>
          <w:rFonts w:hint="eastAsia"/>
        </w:rPr>
        <w:t>该功能基于决策者、科研人员等不同角色的差异化服务需求与交互历史，采用角色感知的摘要生成、分析链路定制以及长程上下文管理技术，构建了多级智能交互机制。系统输出差异化的服务内容：面向决策场景自动压缩技术细节生成高度凝练的执行摘要；为满足科研需求则保留并提供完整的分析过程与数据链路。同时，交互全程输出连贯的对话体验，可支持超过20轮次的深度追问与上下文关联应答。</w:t>
      </w:r>
    </w:p>
    <w:p>
      <w:pPr>
        <w:pStyle w:val="Heading6"/>
        <w:numPr>
          <w:ilvl w:val="5"/>
          <w:numId w:val="11"/>
        </w:numPr>
      </w:pPr>
      <w:r>
        <w:t>AI决策材料辅助生成</w:t>
      </w:r>
    </w:p>
    <w:p>
      <w:pPr>
        <w:ind w:firstLine="420" w:firstLineChars="200"/>
      </w:pPr>
      <w:r>
        <w:t>基于大语言模型（LLM）技术，构建“数据洞察-智能撰稿-人工精修”的一站式决策材料生产流水线。模块通过标准化接口接收来自数据分析、舆情监测及其他业务子系统的结构化数据，依托气候专业知识库进行检索增强生成（RAG），自动起草各类决策报告、服务材料及科普文案。</w:t>
      </w:r>
    </w:p>
    <w:p>
      <w:pPr>
        <w:pStyle w:val="Heading6"/>
        <w:numPr>
          <w:ilvl w:val="5"/>
          <w:numId w:val="11"/>
        </w:numPr>
      </w:pPr>
      <w:r>
        <w:t>智能分析与生成组件</w:t>
      </w:r>
    </w:p>
    <w:p>
      <w:pPr>
        <w:ind w:firstLine="420" w:firstLineChars="200"/>
      </w:pPr>
      <w:r>
        <w:rPr>
          <w:rFonts w:hint="eastAsia"/>
        </w:rPr>
        <w:t>（1）自然语言处理</w:t>
      </w:r>
    </w:p>
    <w:p>
      <w:pPr>
        <w:ind w:firstLine="420" w:firstLineChars="200"/>
      </w:pPr>
      <w:r>
        <w:rPr>
          <w:rFonts w:hint="eastAsia"/>
        </w:rPr>
        <w:t>集成优化的气象分词与关键词提取工具，自动识别文本中的地名、时间及气象要素。支持文本分类及自动摘要生成。构建语义库与向量知识库，支持语义检索与RAG增强生成。</w:t>
      </w:r>
    </w:p>
    <w:p>
      <w:pPr>
        <w:ind w:firstLine="420" w:firstLineChars="200"/>
      </w:pPr>
      <w:r>
        <w:rPr>
          <w:rFonts w:hint="eastAsia"/>
        </w:rPr>
        <w:t>（2）机器学习训练</w:t>
      </w:r>
    </w:p>
    <w:p>
      <w:pPr>
        <w:ind w:firstLine="420" w:firstLineChars="200"/>
      </w:pPr>
      <w:r>
        <w:rPr>
          <w:rFonts w:hint="eastAsia"/>
        </w:rPr>
        <w:t>基于历史产品库，训练模板匹配模型以学习图表与文本的关联关系，实现新图表的自动配文。</w:t>
      </w:r>
    </w:p>
    <w:p>
      <w:pPr>
        <w:ind w:firstLine="420" w:firstLineChars="200"/>
      </w:pPr>
      <w:r>
        <w:rPr>
          <w:rFonts w:hint="eastAsia"/>
        </w:rPr>
        <w:t>（3）智能报告生成</w:t>
      </w:r>
    </w:p>
    <w:p>
      <w:pPr>
        <w:ind w:firstLine="420" w:firstLineChars="200"/>
      </w:pPr>
      <w:r>
        <w:rPr>
          <w:rFonts w:hint="eastAsia"/>
        </w:rPr>
        <w:t>支持Word、PPT模板的上传与标签定义，实现数据、图表、表格的一体化联动填充。基于解译结果自动触发分析，智能关联全时序气象服务信息，自动生成监测、预报、评估、风险等文本产品。</w:t>
      </w:r>
    </w:p>
    <w:p>
      <w:pPr>
        <w:pStyle w:val="Heading5"/>
        <w:numPr>
          <w:ilvl w:val="4"/>
          <w:numId w:val="11"/>
        </w:numPr>
      </w:pPr>
      <w:r>
        <w:rPr>
          <w:rFonts w:hint="eastAsia"/>
        </w:rPr>
        <w:t>柔性化多场景应用平台</w:t>
      </w:r>
    </w:p>
    <w:p>
      <w:pPr>
        <w:ind w:firstLine="420" w:firstLineChars="200"/>
      </w:pPr>
      <w:r>
        <w:t>柔性化多场景应用平台包含业务流程管理控件、产品样式管理控件、页面管理控件、服务场景定制控件等4个功能点。</w:t>
      </w:r>
    </w:p>
    <w:p>
      <w:pPr>
        <w:pStyle w:val="Heading6"/>
        <w:numPr>
          <w:ilvl w:val="5"/>
          <w:numId w:val="11"/>
        </w:numPr>
      </w:pPr>
      <w:r>
        <w:rPr>
          <w:rFonts w:hint="eastAsia"/>
        </w:rPr>
        <w:t>业务流程管理控件</w:t>
      </w:r>
    </w:p>
    <w:p>
      <w:pPr>
        <w:ind w:firstLine="420" w:firstLineChars="200"/>
      </w:pPr>
      <w:r>
        <w:rPr>
          <w:rFonts w:hint="eastAsia"/>
        </w:rPr>
        <w:t>（1）可视化流程设计功能</w:t>
      </w:r>
    </w:p>
    <w:p>
      <w:pPr>
        <w:ind w:firstLine="420" w:firstLineChars="200"/>
      </w:pPr>
      <w:r>
        <w:rPr>
          <w:rFonts w:hint="eastAsia"/>
        </w:rPr>
        <w:t>基于气候核心业务任务，提供图形化拖拽界面，允许用户对监测、预测、检验等环节进行可视化组装与编排，最终输出符合业务逻辑的可执行流程定义。</w:t>
      </w:r>
    </w:p>
    <w:p>
      <w:pPr>
        <w:ind w:firstLine="420" w:firstLineChars="200"/>
      </w:pPr>
      <w:r>
        <w:rPr>
          <w:rFonts w:hint="eastAsia"/>
        </w:rPr>
        <w:t>（2）规则逻辑配置功能</w:t>
      </w:r>
    </w:p>
    <w:p>
      <w:pPr>
        <w:ind w:firstLine="420" w:firstLineChars="200"/>
      </w:pPr>
      <w:r>
        <w:rPr>
          <w:rFonts w:hint="eastAsia"/>
        </w:rPr>
        <w:t>基于已设计的业务流程，提供对每个节点的数据输入、算法调用、加工逻辑及触发条件进行可视化配置的能力，最终输出一套包含完整执行规则与驱动条件的自动化流程配置方案。</w:t>
      </w:r>
    </w:p>
    <w:p>
      <w:pPr>
        <w:ind w:firstLine="420" w:firstLineChars="200"/>
      </w:pPr>
      <w:r>
        <w:rPr>
          <w:rFonts w:hint="eastAsia"/>
        </w:rPr>
        <w:t>（3）流程执行引擎功能</w:t>
      </w:r>
    </w:p>
    <w:p>
      <w:pPr>
        <w:ind w:firstLine="420" w:firstLineChars="200"/>
      </w:pPr>
      <w:r>
        <w:rPr>
          <w:rFonts w:hint="eastAsia"/>
        </w:rPr>
        <w:t>基于配置好的流程规则与触发条件，自动驱动流程按序执行，协调跨区域、跨岗位的业务协作，最终输出流程执行的结果产品与状态报告，实现业务生产的标准化与自动化。</w:t>
      </w:r>
    </w:p>
    <w:p>
      <w:pPr>
        <w:pStyle w:val="Heading6"/>
        <w:numPr>
          <w:ilvl w:val="5"/>
          <w:numId w:val="11"/>
        </w:numPr>
      </w:pPr>
      <w:r>
        <w:rPr>
          <w:rFonts w:hint="eastAsia"/>
        </w:rPr>
        <w:t>产品样式管理控件</w:t>
      </w:r>
    </w:p>
    <w:p>
      <w:pPr>
        <w:ind w:firstLine="420" w:firstLineChars="200"/>
      </w:pPr>
      <w:r>
        <w:rPr>
          <w:rFonts w:hint="eastAsia"/>
        </w:rPr>
        <w:t>（1）可视化样式设计功能</w:t>
      </w:r>
    </w:p>
    <w:p>
      <w:pPr>
        <w:ind w:firstLine="420" w:firstLineChars="200"/>
      </w:pPr>
      <w:r>
        <w:rPr>
          <w:rFonts w:hint="eastAsia"/>
        </w:rPr>
        <w:t>基于标准化的产品模板库，提供可视化的设计工具，允许业务人员灵活定制产品的版式、色彩与标识等视觉元素，最终输出可复用的专业产品样式模板。</w:t>
      </w:r>
      <w:r>
        <w:t>支持自定义色标文件、颜色插值及分段设置；可配置等值线的线宽、颜色及虚线样式；支持自定义站点符号及上传SVG/PNG图标。</w:t>
      </w:r>
    </w:p>
    <w:p>
      <w:pPr>
        <w:ind w:firstLine="420" w:firstLineChars="200"/>
      </w:pPr>
      <w:r>
        <w:rPr>
          <w:rFonts w:hint="eastAsia"/>
        </w:rPr>
        <w:t>（2）数据动态绑定引擎功能</w:t>
      </w:r>
    </w:p>
    <w:p>
      <w:pPr>
        <w:ind w:firstLine="420" w:firstLineChars="200"/>
      </w:pPr>
      <w:r>
        <w:rPr>
          <w:rFonts w:hint="eastAsia"/>
        </w:rPr>
        <w:t>基于设计好的产品样式模板，定义模板与底层数据源之间的关联规则，实现数据变化驱动内容的自动更新与渲染，最终输出一套数据与表现分离的、可动态生成内容的绑定关系配置。</w:t>
      </w:r>
      <w:r>
        <w:t>支持输出文件自动命名规则的定义功能，实现产出物的规范化存储。</w:t>
      </w:r>
      <w:r>
        <w:rPr>
          <w:rFonts w:hint="eastAsia"/>
        </w:rPr>
        <w:t>（3）多样化产品生成功能</w:t>
      </w:r>
    </w:p>
    <w:p>
      <w:pPr>
        <w:ind w:firstLine="420" w:firstLineChars="200"/>
      </w:pPr>
      <w:r>
        <w:rPr>
          <w:rFonts w:hint="eastAsia"/>
        </w:rPr>
        <w:t>基于绑定好数据的样式模板，提供“一键式”生成能力，将数据自动注入模板，快速合成并输出符合业务规范的图片、文档、表格等多种格式的最终产品文件。</w:t>
      </w:r>
      <w:r>
        <w:t>支持设置PNG、JPG、SVG、PDF等多种图形格式及其分辨率与尺寸；支持配置NetCDF、GRIB、CSV、Shapefile等数据输出格式及压缩选项。</w:t>
      </w:r>
    </w:p>
    <w:p>
      <w:pPr>
        <w:pStyle w:val="Heading6"/>
        <w:numPr>
          <w:ilvl w:val="5"/>
          <w:numId w:val="11"/>
        </w:numPr>
      </w:pPr>
      <w:r>
        <w:rPr>
          <w:rFonts w:hint="eastAsia"/>
        </w:rPr>
        <w:t>页面管理控件</w:t>
      </w:r>
    </w:p>
    <w:p>
      <w:pPr>
        <w:ind w:firstLine="420" w:firstLineChars="200"/>
      </w:pPr>
      <w:r>
        <w:rPr>
          <w:rFonts w:hint="eastAsia"/>
        </w:rPr>
        <w:t>（1）页面模板管理功能</w:t>
      </w:r>
    </w:p>
    <w:p>
      <w:pPr>
        <w:ind w:firstLine="420" w:firstLineChars="200"/>
      </w:pPr>
      <w:r>
        <w:rPr>
          <w:rFonts w:hint="eastAsia"/>
        </w:rPr>
        <w:t>基于不同岗位与业务场景的规范要求，预置标准化的界面模板库，支持管理员进行模板的集中管理，为用户快速初始化工作环境输出可直接应用的页面框架。</w:t>
      </w:r>
    </w:p>
    <w:p>
      <w:pPr>
        <w:ind w:firstLine="420" w:firstLineChars="200"/>
      </w:pPr>
      <w:r>
        <w:rPr>
          <w:rFonts w:hint="eastAsia"/>
        </w:rPr>
        <w:t>（2）个性化页面定制功能</w:t>
      </w:r>
    </w:p>
    <w:p>
      <w:pPr>
        <w:ind w:firstLine="420" w:firstLineChars="200"/>
      </w:pPr>
      <w:r>
        <w:rPr>
          <w:rFonts w:hint="eastAsia"/>
        </w:rPr>
        <w:t>基于用户个人工作习惯与特定任务需求，提供图形化的界面编辑能力，允许用户通过拖拽组件自由布局，最终输出并保存个性化的专属工作台配置，实现工作界面的灵活适配。</w:t>
      </w:r>
    </w:p>
    <w:p>
      <w:pPr>
        <w:pStyle w:val="Heading6"/>
        <w:numPr>
          <w:ilvl w:val="5"/>
          <w:numId w:val="11"/>
        </w:numPr>
      </w:pPr>
      <w:r>
        <w:rPr>
          <w:rFonts w:hint="eastAsia"/>
        </w:rPr>
        <w:t>服务场景定制控件</w:t>
      </w:r>
    </w:p>
    <w:p>
      <w:pPr>
        <w:ind w:firstLine="420" w:firstLineChars="200"/>
      </w:pPr>
      <w:r>
        <w:rPr>
          <w:rFonts w:hint="eastAsia"/>
        </w:rPr>
        <w:t>（1）气候业务场景构建功能</w:t>
      </w:r>
    </w:p>
    <w:p>
      <w:pPr>
        <w:ind w:firstLine="420" w:firstLineChars="200"/>
      </w:pPr>
      <w:r>
        <w:rPr>
          <w:rFonts w:hint="eastAsia"/>
        </w:rPr>
        <w:t>面向多尺度预测、极端事件预测等典型气候业务，通过灵活调用产品样式与页面管理等控件，集成模块化服务组件，构建定制化的专题分析应用场景，最终输出满足深度业务分析需求的集成化解决方案。</w:t>
      </w:r>
    </w:p>
    <w:p>
      <w:pPr>
        <w:ind w:firstLine="420" w:firstLineChars="200"/>
      </w:pPr>
      <w:r>
        <w:rPr>
          <w:rFonts w:hint="eastAsia"/>
        </w:rPr>
        <w:t>（2）行业服务场景构建功能</w:t>
      </w:r>
    </w:p>
    <w:p>
      <w:pPr>
        <w:ind w:firstLine="420" w:firstLineChars="200"/>
      </w:pPr>
      <w:r>
        <w:rPr>
          <w:rFonts w:hint="eastAsia"/>
        </w:rPr>
        <w:t>面向水利、新能源等重点行业，基于其特定业务逻辑与服务需求，通过可配置的策略框架与模块化组件，实现气候产品与行业系统的精准适配与深度嵌入，最终输出场景化、定制化的行业气候服务能力。</w:t>
      </w:r>
    </w:p>
    <w:p>
      <w:pPr>
        <w:pStyle w:val="Heading5"/>
        <w:numPr>
          <w:ilvl w:val="4"/>
          <w:numId w:val="11"/>
        </w:numPr>
      </w:pPr>
      <w:r>
        <w:t>平台运行支撑体系</w:t>
      </w:r>
    </w:p>
    <w:p>
      <w:pPr>
        <w:pStyle w:val="Heading6"/>
        <w:numPr>
          <w:ilvl w:val="5"/>
          <w:numId w:val="11"/>
        </w:numPr>
      </w:pPr>
      <w:r>
        <w:rPr>
          <w:rFonts w:hint="eastAsia"/>
        </w:rPr>
        <w:t>技术底座与配置管理</w:t>
      </w:r>
    </w:p>
    <w:p>
      <w:pPr>
        <w:ind w:firstLine="420" w:firstLineChars="200"/>
      </w:pPr>
      <w:r>
        <w:rPr>
          <w:rFonts w:hint="eastAsia"/>
        </w:rPr>
        <w:t>基于Spring Cloud/Kubernetes构建微服务技术底座，提供服务自动注册、发现及负载均衡能力。通过配置中心实现多环境配置的统管与动态刷新。提供统一API网关，支持动态路由与限流。实现系统参数的统一管理，维护色标库与气象符号库的导入、导出、预览及编辑。</w:t>
      </w:r>
    </w:p>
    <w:p>
      <w:pPr>
        <w:pStyle w:val="Heading6"/>
        <w:numPr>
          <w:ilvl w:val="5"/>
          <w:numId w:val="11"/>
        </w:numPr>
      </w:pPr>
      <w:r>
        <w:rPr>
          <w:rFonts w:hint="eastAsia"/>
        </w:rPr>
        <w:t>运行监控与日志</w:t>
      </w:r>
    </w:p>
    <w:p>
      <w:pPr>
        <w:ind w:firstLine="420" w:firstLineChars="200"/>
      </w:pPr>
      <w:r>
        <w:rPr>
          <w:rFonts w:hint="eastAsia"/>
        </w:rPr>
        <w:t>集成Fluentd/Logstash实现多服务日志的集中采集与索引。基于Prometheus + Grafana实现核心指标的监控展示。集成SkyWalking/Jaeger实现全链路调用链分析。构建全流程日志与异常防护体系，具备前后端异常统一捕获机制。</w:t>
      </w:r>
    </w:p>
    <w:p>
      <w:pPr>
        <w:pStyle w:val="Heading6"/>
        <w:numPr>
          <w:ilvl w:val="5"/>
          <w:numId w:val="11"/>
        </w:numPr>
      </w:pPr>
      <w:r>
        <w:rPr>
          <w:rFonts w:hint="eastAsia"/>
        </w:rPr>
        <w:t>任务调度与数据访问</w:t>
      </w:r>
    </w:p>
    <w:p>
      <w:pPr>
        <w:ind w:firstLine="420" w:firstLineChars="200"/>
      </w:pPr>
      <w:r>
        <w:rPr>
          <w:rFonts w:hint="eastAsia"/>
        </w:rPr>
        <w:t>基于Quartz/XXL-JOB构建分布式任务调度中心，支持Cron表达式、任务依赖及失败重试。封装通用数据访问对象（DAO），支持多元数据库。基于Redis构建分布式缓存体系。集成Kafka/RocketMQ消息队列，实现系统间异步解耦。</w:t>
      </w:r>
    </w:p>
    <w:p>
      <w:pPr>
        <w:pStyle w:val="Heading6"/>
        <w:numPr>
          <w:ilvl w:val="5"/>
          <w:numId w:val="11"/>
        </w:numPr>
      </w:pPr>
      <w:r>
        <w:rPr>
          <w:rFonts w:hint="eastAsia"/>
        </w:rPr>
        <w:t>安全风控与运营</w:t>
      </w:r>
    </w:p>
    <w:p>
      <w:pPr>
        <w:ind w:firstLine="420" w:firstLineChars="200"/>
        <w:rPr>
          <w:rFonts w:hint="eastAsia"/>
        </w:rPr>
      </w:pPr>
      <w:r>
        <w:rPr>
          <w:rFonts w:hint="eastAsia"/>
        </w:rPr>
        <w:t>集成CAS/OAuth2/SAML2等协议，实现统一身份认证与单点登录（SSO）。对接统一身份认证体系，实现用户角色与权限的精细化管理。封装数据服务、AI能力及组件调用的标准化API，提供注册、密钥管理与限流配置。</w:t>
      </w:r>
    </w:p>
    <w:p>
      <w:pPr>
        <w:pStyle w:val="Heading6"/>
        <w:numPr>
          <w:ilvl w:val="5"/>
          <w:numId w:val="11"/>
        </w:numPr>
        <w:ind w:left="181" w:leftChars="86"/>
      </w:pPr>
      <w:r>
        <w:t>证书认证与安全准入</w:t>
      </w:r>
    </w:p>
    <w:p>
      <w:pPr>
        <w:ind w:left="181" w:firstLine="420" w:leftChars="86" w:firstLineChars="200"/>
      </w:pPr>
      <w:r>
        <w:t>基于国密SM2/SM3/SM4算法与PKI体系，对接气象局CA数字证书认证中心，实现客户端证书双向SSL/TLS握手验证。支持证书链校验、CRL/OCSP在线状态查询及证书吊销检测。通过解析证书中的序列号、颁发者、主题DN等信息，自动映射至内部用户账号体系，完成无密码单点登录。提供证书登录入口、证书更新提醒、未授权证书阻断及审计日志记录，满足气象行业高安全等级的身份认证要求。</w:t>
      </w:r>
    </w:p>
    <w:p>
      <w:pPr>
        <w:pStyle w:val="Heading6"/>
        <w:numPr>
          <w:ilvl w:val="5"/>
          <w:numId w:val="11"/>
        </w:numPr>
        <w:ind w:left="181" w:leftChars="86"/>
      </w:pPr>
      <w:r>
        <w:t>多语言国际化与中英切换</w:t>
      </w:r>
    </w:p>
    <w:p>
      <w:pPr>
        <w:ind w:firstLine="420" w:firstLineChars="200"/>
        <w:rPr>
          <w:rFonts w:hint="eastAsia"/>
        </w:rPr>
        <w:sectPr>
          <w:pgSz w:w="11906" w:h="16838"/>
          <w:pgMar w:top="1440" w:right="1800" w:bottom="1440" w:left="1800" w:header="851" w:footer="992" w:gutter="0"/>
          <w:cols w:num="1" w:space="425"/>
          <w:docGrid w:type="lines" w:linePitch="312" w:charSpace="0"/>
        </w:sectPr>
      </w:pPr>
      <w:r>
        <w:t>基于i18n国际化框架，实现前端UI组件的语言包动态加载与即时切换。后端统一管理多语言资源文件，覆盖菜单导航、操作提示、表单标签、报表表头及异常信息等全部文本元素。支持根据浏览器语言首选项自动匹配，也允许用户在系统内手动选择中文或英文，并将语言偏好持久化至用户配置。同步适配日期格式、数字千分位、货币符号及时区显示规则，确保气象业务系统在国内外协作场景下的无障碍使用。</w:t>
      </w:r>
    </w:p>
    <w:p>
      <w:pPr>
        <w:pStyle w:val="Heading3"/>
        <w:numPr>
          <w:ilvl w:val="2"/>
          <w:numId w:val="6"/>
        </w:numPr>
      </w:pPr>
      <w:r>
        <w:rPr>
          <w:rFonts w:hint="eastAsia"/>
        </w:rPr>
        <w:t>关键指标要求</w:t>
      </w:r>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46"/>
        <w:gridCol w:w="1417"/>
        <w:gridCol w:w="1701"/>
        <w:gridCol w:w="4332"/>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846" w:type="dxa"/>
            <w:shd w:val="clear" w:color="auto" w:fill="E7E6E6" w:themeFill="background2"/>
          </w:tcPr>
          <w:p>
            <w:pPr>
              <w:jc w:val="center"/>
              <w:rPr>
                <w:rFonts w:ascii="黑体" w:eastAsia="黑体" w:hAnsi="黑体" w:hint="eastAsia"/>
                <w:b/>
                <w:bCs/>
                <w:szCs w:val="21"/>
              </w:rPr>
            </w:pPr>
            <w:r>
              <w:rPr>
                <w:rFonts w:ascii="黑体" w:eastAsia="黑体" w:hAnsi="黑体" w:hint="eastAsia"/>
                <w:b/>
                <w:bCs/>
                <w:szCs w:val="21"/>
              </w:rPr>
              <w:t>序号</w:t>
            </w:r>
          </w:p>
        </w:tc>
        <w:tc>
          <w:tcPr>
            <w:tcW w:w="1417" w:type="dxa"/>
            <w:shd w:val="clear" w:color="auto" w:fill="E7E6E6" w:themeFill="background2"/>
          </w:tcPr>
          <w:p>
            <w:pPr>
              <w:jc w:val="center"/>
              <w:rPr>
                <w:rFonts w:ascii="黑体" w:eastAsia="黑体" w:hAnsi="黑体" w:hint="eastAsia"/>
                <w:b/>
                <w:bCs/>
                <w:szCs w:val="21"/>
              </w:rPr>
            </w:pPr>
            <w:r>
              <w:rPr>
                <w:rFonts w:ascii="黑体" w:eastAsia="黑体" w:hAnsi="黑体" w:hint="eastAsia"/>
                <w:b/>
                <w:bCs/>
                <w:szCs w:val="21"/>
              </w:rPr>
              <w:t>关键指标项</w:t>
            </w:r>
          </w:p>
        </w:tc>
        <w:tc>
          <w:tcPr>
            <w:tcW w:w="1701" w:type="dxa"/>
            <w:shd w:val="clear" w:color="auto" w:fill="E7E6E6" w:themeFill="background2"/>
          </w:tcPr>
          <w:p>
            <w:pPr>
              <w:jc w:val="center"/>
              <w:rPr>
                <w:rFonts w:ascii="黑体" w:eastAsia="黑体" w:hAnsi="黑体" w:hint="eastAsia"/>
                <w:b/>
                <w:bCs/>
                <w:szCs w:val="21"/>
              </w:rPr>
            </w:pPr>
            <w:r>
              <w:rPr>
                <w:rFonts w:ascii="黑体" w:eastAsia="黑体" w:hAnsi="黑体" w:hint="eastAsia"/>
                <w:b/>
                <w:bCs/>
                <w:szCs w:val="21"/>
              </w:rPr>
              <w:t>子系统名称</w:t>
            </w:r>
          </w:p>
        </w:tc>
        <w:tc>
          <w:tcPr>
            <w:tcW w:w="4332" w:type="dxa"/>
            <w:shd w:val="clear" w:color="auto" w:fill="E7E6E6" w:themeFill="background2"/>
          </w:tcPr>
          <w:p>
            <w:pPr>
              <w:jc w:val="center"/>
              <w:rPr>
                <w:rFonts w:ascii="黑体" w:eastAsia="黑体" w:hAnsi="黑体" w:hint="eastAsia"/>
                <w:b/>
                <w:bCs/>
                <w:szCs w:val="21"/>
              </w:rPr>
            </w:pPr>
            <w:r>
              <w:rPr>
                <w:rFonts w:ascii="黑体" w:eastAsia="黑体" w:hAnsi="黑体" w:hint="eastAsia"/>
                <w:b/>
                <w:bCs/>
                <w:szCs w:val="21"/>
              </w:rPr>
              <w:t>指标描述</w:t>
            </w:r>
          </w:p>
        </w:tc>
      </w:tr>
      <w:tr>
        <w:tblPrEx>
          <w:tblW w:w="0" w:type="auto"/>
          <w:tblInd w:w="0" w:type="dxa"/>
          <w:tblCellMar>
            <w:top w:w="0" w:type="dxa"/>
            <w:left w:w="108" w:type="dxa"/>
            <w:bottom w:w="0" w:type="dxa"/>
            <w:right w:w="108" w:type="dxa"/>
          </w:tblCellMar>
        </w:tblPrEx>
        <w:tc>
          <w:tcPr>
            <w:tcW w:w="846" w:type="dxa"/>
            <w:vAlign w:val="center"/>
          </w:tcPr>
          <w:p>
            <w:pPr>
              <w:jc w:val="center"/>
              <w:rPr>
                <w:rFonts w:ascii="Calibri" w:hAnsi="Calibri"/>
                <w:szCs w:val="21"/>
              </w:rPr>
            </w:pPr>
            <w:r>
              <w:rPr>
                <w:rFonts w:ascii="Calibri" w:hAnsi="Calibri" w:hint="eastAsia"/>
                <w:szCs w:val="21"/>
              </w:rPr>
              <w:t>1</w:t>
            </w:r>
          </w:p>
        </w:tc>
        <w:tc>
          <w:tcPr>
            <w:tcW w:w="1417" w:type="dxa"/>
            <w:vAlign w:val="center"/>
          </w:tcPr>
          <w:p>
            <w:pPr>
              <w:jc w:val="center"/>
              <w:rPr>
                <w:rFonts w:ascii="Calibri" w:hAnsi="Calibri"/>
                <w:szCs w:val="21"/>
              </w:rPr>
            </w:pPr>
            <w:r>
              <w:rPr>
                <w:rFonts w:ascii="Calibri" w:hAnsi="Calibri" w:hint="eastAsia"/>
                <w:szCs w:val="21"/>
              </w:rPr>
              <w:t>＃</w:t>
            </w:r>
          </w:p>
        </w:tc>
        <w:tc>
          <w:tcPr>
            <w:tcW w:w="1701" w:type="dxa"/>
            <w:vAlign w:val="center"/>
          </w:tcPr>
          <w:p>
            <w:pPr>
              <w:jc w:val="left"/>
              <w:rPr>
                <w:rFonts w:ascii="Calibri" w:hAnsi="Calibri"/>
                <w:szCs w:val="21"/>
              </w:rPr>
            </w:pPr>
            <w:r>
              <w:rPr>
                <w:rFonts w:ascii="Calibri" w:hAnsi="Calibri"/>
                <w:szCs w:val="21"/>
              </w:rPr>
              <w:t>基于多模式的全球多尺度智能网格预测子系统</w:t>
            </w:r>
          </w:p>
        </w:tc>
        <w:tc>
          <w:tcPr>
            <w:tcW w:w="4332" w:type="dxa"/>
            <w:vAlign w:val="center"/>
          </w:tcPr>
          <w:p>
            <w:pPr>
              <w:jc w:val="left"/>
              <w:rPr>
                <w:rFonts w:ascii="Calibri" w:hAnsi="Calibri"/>
                <w:b/>
                <w:bCs/>
                <w:szCs w:val="21"/>
              </w:rPr>
            </w:pPr>
            <w:r>
              <w:rPr>
                <w:rFonts w:ascii="Calibri" w:hAnsi="Calibri"/>
                <w:b/>
                <w:bCs/>
                <w:szCs w:val="21"/>
              </w:rPr>
              <w:t>全球智能网格预测检验模块</w:t>
            </w:r>
          </w:p>
          <w:p>
            <w:pPr>
              <w:jc w:val="left"/>
              <w:rPr>
                <w:rFonts w:ascii="Calibri" w:hAnsi="Calibri"/>
                <w:szCs w:val="21"/>
              </w:rPr>
            </w:pPr>
            <w:r>
              <w:rPr>
                <w:rFonts w:ascii="Calibri" w:hAnsi="Calibri"/>
                <w:szCs w:val="21"/>
              </w:rPr>
              <w:t>全球智能网格预测检验模块包括多源数据接入功能、次季节智能网格预测检验功能，月季尺度智能网格预测检验功能，年际尺度智能网格预测检验功能，气候模态预测检验功能等5个功能点。</w:t>
            </w:r>
          </w:p>
        </w:tc>
      </w:tr>
      <w:tr>
        <w:tblPrEx>
          <w:tblW w:w="0" w:type="auto"/>
          <w:tblInd w:w="0" w:type="dxa"/>
          <w:tblCellMar>
            <w:top w:w="0" w:type="dxa"/>
            <w:left w:w="108" w:type="dxa"/>
            <w:bottom w:w="0" w:type="dxa"/>
            <w:right w:w="108" w:type="dxa"/>
          </w:tblCellMar>
        </w:tblPrEx>
        <w:tc>
          <w:tcPr>
            <w:tcW w:w="846" w:type="dxa"/>
            <w:vAlign w:val="center"/>
          </w:tcPr>
          <w:p>
            <w:pPr>
              <w:jc w:val="center"/>
              <w:rPr>
                <w:rFonts w:ascii="Calibri" w:hAnsi="Calibri"/>
                <w:szCs w:val="21"/>
              </w:rPr>
            </w:pPr>
            <w:r>
              <w:rPr>
                <w:rFonts w:ascii="Calibri" w:hAnsi="Calibri" w:hint="eastAsia"/>
                <w:szCs w:val="21"/>
              </w:rPr>
              <w:t>2</w:t>
            </w:r>
          </w:p>
        </w:tc>
        <w:tc>
          <w:tcPr>
            <w:tcW w:w="1417" w:type="dxa"/>
            <w:vAlign w:val="center"/>
          </w:tcPr>
          <w:p>
            <w:pPr>
              <w:jc w:val="center"/>
              <w:rPr>
                <w:rFonts w:ascii="Calibri" w:hAnsi="Calibri"/>
                <w:szCs w:val="21"/>
              </w:rPr>
            </w:pPr>
            <w:r>
              <w:rPr>
                <w:rFonts w:ascii="Calibri" w:hAnsi="Calibri" w:hint="eastAsia"/>
                <w:szCs w:val="21"/>
              </w:rPr>
              <w:t>＃</w:t>
            </w:r>
          </w:p>
        </w:tc>
        <w:tc>
          <w:tcPr>
            <w:tcW w:w="1701" w:type="dxa"/>
            <w:vAlign w:val="center"/>
          </w:tcPr>
          <w:p>
            <w:pPr>
              <w:jc w:val="left"/>
              <w:rPr>
                <w:rFonts w:ascii="Calibri" w:hAnsi="Calibri"/>
                <w:szCs w:val="21"/>
              </w:rPr>
            </w:pPr>
            <w:r>
              <w:rPr>
                <w:rFonts w:ascii="Calibri" w:hAnsi="Calibri"/>
                <w:szCs w:val="21"/>
              </w:rPr>
              <w:t>次季节重要过程预测与检验子系统</w:t>
            </w:r>
          </w:p>
        </w:tc>
        <w:tc>
          <w:tcPr>
            <w:tcW w:w="4332" w:type="dxa"/>
            <w:vAlign w:val="center"/>
          </w:tcPr>
          <w:p>
            <w:pPr>
              <w:jc w:val="left"/>
              <w:rPr>
                <w:rFonts w:ascii="Calibri" w:hAnsi="Calibri"/>
                <w:b/>
                <w:bCs/>
                <w:szCs w:val="21"/>
              </w:rPr>
            </w:pPr>
            <w:r>
              <w:rPr>
                <w:rFonts w:ascii="Calibri" w:hAnsi="Calibri"/>
                <w:b/>
                <w:bCs/>
                <w:szCs w:val="21"/>
              </w:rPr>
              <w:t>次季节强降水过程预测和检验模块</w:t>
            </w:r>
          </w:p>
          <w:p>
            <w:pPr>
              <w:jc w:val="left"/>
              <w:rPr>
                <w:rFonts w:ascii="Calibri" w:hAnsi="Calibri"/>
                <w:szCs w:val="21"/>
              </w:rPr>
            </w:pPr>
            <w:r>
              <w:rPr>
                <w:rFonts w:ascii="Calibri" w:hAnsi="Calibri"/>
                <w:szCs w:val="21"/>
              </w:rPr>
              <w:t>次季节强降水过程预测和检验模块包括强降水过程客观识别功能、强降水过程历史查询功能、国省两级强降水过程监测功能、智能网格数据订正处理功能、国省强降水过程预测功能、国省过程预测数据传输功能、预测数据交互订正功能、国省过程预测实时检验功能、历史预测评分查询统计功能等9个功能点。</w:t>
            </w:r>
          </w:p>
        </w:tc>
      </w:tr>
      <w:tr>
        <w:tblPrEx>
          <w:tblW w:w="0" w:type="auto"/>
          <w:tblInd w:w="0" w:type="dxa"/>
          <w:tblCellMar>
            <w:top w:w="0" w:type="dxa"/>
            <w:left w:w="108" w:type="dxa"/>
            <w:bottom w:w="0" w:type="dxa"/>
            <w:right w:w="108" w:type="dxa"/>
          </w:tblCellMar>
        </w:tblPrEx>
        <w:tc>
          <w:tcPr>
            <w:tcW w:w="846" w:type="dxa"/>
            <w:vAlign w:val="center"/>
          </w:tcPr>
          <w:p>
            <w:pPr>
              <w:jc w:val="center"/>
              <w:rPr>
                <w:rFonts w:ascii="Calibri" w:hAnsi="Calibri"/>
                <w:szCs w:val="21"/>
              </w:rPr>
            </w:pPr>
            <w:r>
              <w:rPr>
                <w:rFonts w:ascii="Calibri" w:hAnsi="Calibri" w:hint="eastAsia"/>
                <w:szCs w:val="21"/>
              </w:rPr>
              <w:t>3</w:t>
            </w:r>
          </w:p>
        </w:tc>
        <w:tc>
          <w:tcPr>
            <w:tcW w:w="1417" w:type="dxa"/>
            <w:vAlign w:val="center"/>
          </w:tcPr>
          <w:p>
            <w:pPr>
              <w:jc w:val="center"/>
              <w:rPr>
                <w:rFonts w:ascii="Calibri" w:hAnsi="Calibri"/>
                <w:szCs w:val="21"/>
              </w:rPr>
            </w:pPr>
            <w:r>
              <w:rPr>
                <w:rFonts w:ascii="Calibri" w:hAnsi="Calibri" w:hint="eastAsia"/>
                <w:szCs w:val="21"/>
              </w:rPr>
              <w:t>＃</w:t>
            </w:r>
          </w:p>
        </w:tc>
        <w:tc>
          <w:tcPr>
            <w:tcW w:w="1701" w:type="dxa"/>
            <w:vAlign w:val="center"/>
          </w:tcPr>
          <w:p>
            <w:pPr>
              <w:jc w:val="left"/>
              <w:rPr>
                <w:rFonts w:ascii="Calibri" w:hAnsi="Calibri"/>
                <w:szCs w:val="21"/>
              </w:rPr>
            </w:pPr>
            <w:r>
              <w:rPr>
                <w:rFonts w:ascii="Calibri" w:hAnsi="Calibri"/>
                <w:szCs w:val="21"/>
              </w:rPr>
              <w:t>极端气候事件预测子系统</w:t>
            </w:r>
          </w:p>
        </w:tc>
        <w:tc>
          <w:tcPr>
            <w:tcW w:w="4332" w:type="dxa"/>
            <w:vAlign w:val="center"/>
          </w:tcPr>
          <w:p>
            <w:pPr>
              <w:jc w:val="left"/>
              <w:rPr>
                <w:rFonts w:ascii="Calibri" w:hAnsi="Calibri"/>
                <w:b/>
                <w:bCs/>
                <w:szCs w:val="21"/>
              </w:rPr>
            </w:pPr>
            <w:r>
              <w:rPr>
                <w:rFonts w:ascii="Calibri" w:hAnsi="Calibri" w:hint="eastAsia"/>
                <w:b/>
                <w:bCs/>
                <w:szCs w:val="21"/>
              </w:rPr>
              <w:t>次季节全球极端事件预测模块</w:t>
            </w:r>
          </w:p>
          <w:p>
            <w:pPr>
              <w:jc w:val="left"/>
              <w:rPr>
                <w:rFonts w:ascii="Calibri" w:hAnsi="Calibri"/>
                <w:szCs w:val="21"/>
              </w:rPr>
            </w:pPr>
            <w:r>
              <w:rPr>
                <w:rFonts w:ascii="Calibri" w:hAnsi="Calibri" w:hint="eastAsia"/>
                <w:szCs w:val="21"/>
              </w:rPr>
              <w:t>次季节全球极端事件预测模块包括极端事件预测误差订正功能、EFI指数预测功能、极端高温预测功能、干热浪预测功能、湿热浪预测功能、极端事件预测历史检验功能、极端事件预测实时检验功能等7个功能点。</w:t>
            </w:r>
          </w:p>
        </w:tc>
      </w:tr>
      <w:tr>
        <w:tblPrEx>
          <w:tblW w:w="0" w:type="auto"/>
          <w:tblInd w:w="0" w:type="dxa"/>
          <w:tblCellMar>
            <w:top w:w="0" w:type="dxa"/>
            <w:left w:w="108" w:type="dxa"/>
            <w:bottom w:w="0" w:type="dxa"/>
            <w:right w:w="108" w:type="dxa"/>
          </w:tblCellMar>
        </w:tblPrEx>
        <w:tc>
          <w:tcPr>
            <w:tcW w:w="846" w:type="dxa"/>
            <w:vAlign w:val="center"/>
          </w:tcPr>
          <w:p>
            <w:pPr>
              <w:jc w:val="center"/>
              <w:rPr>
                <w:rFonts w:ascii="Calibri" w:hAnsi="Calibri"/>
                <w:szCs w:val="21"/>
              </w:rPr>
            </w:pPr>
            <w:r>
              <w:rPr>
                <w:rFonts w:ascii="Calibri" w:hAnsi="Calibri" w:hint="eastAsia"/>
                <w:szCs w:val="21"/>
              </w:rPr>
              <w:t>4</w:t>
            </w:r>
          </w:p>
        </w:tc>
        <w:tc>
          <w:tcPr>
            <w:tcW w:w="1417" w:type="dxa"/>
            <w:vAlign w:val="center"/>
          </w:tcPr>
          <w:p>
            <w:pPr>
              <w:jc w:val="center"/>
              <w:rPr>
                <w:rFonts w:ascii="Calibri" w:hAnsi="Calibri"/>
                <w:szCs w:val="21"/>
              </w:rPr>
            </w:pPr>
            <w:r>
              <w:rPr>
                <w:rFonts w:ascii="Calibri" w:hAnsi="Calibri" w:hint="eastAsia"/>
                <w:szCs w:val="21"/>
              </w:rPr>
              <w:t>＃</w:t>
            </w:r>
          </w:p>
        </w:tc>
        <w:tc>
          <w:tcPr>
            <w:tcW w:w="1701" w:type="dxa"/>
            <w:vAlign w:val="center"/>
          </w:tcPr>
          <w:p>
            <w:pPr>
              <w:jc w:val="left"/>
              <w:rPr>
                <w:rFonts w:ascii="Calibri" w:hAnsi="Calibri"/>
                <w:szCs w:val="21"/>
              </w:rPr>
            </w:pPr>
            <w:r>
              <w:rPr>
                <w:rFonts w:ascii="Calibri" w:hAnsi="Calibri" w:hint="eastAsia"/>
                <w:szCs w:val="21"/>
              </w:rPr>
              <w:t>春季北方沙尘预测子系统</w:t>
            </w:r>
          </w:p>
        </w:tc>
        <w:tc>
          <w:tcPr>
            <w:tcW w:w="4332" w:type="dxa"/>
            <w:vAlign w:val="center"/>
          </w:tcPr>
          <w:p>
            <w:pPr>
              <w:jc w:val="left"/>
              <w:rPr>
                <w:rFonts w:ascii="Calibri" w:hAnsi="Calibri"/>
                <w:b/>
                <w:bCs/>
                <w:szCs w:val="21"/>
              </w:rPr>
            </w:pPr>
            <w:r>
              <w:rPr>
                <w:rFonts w:ascii="Calibri" w:hAnsi="Calibri" w:hint="eastAsia"/>
                <w:b/>
                <w:bCs/>
                <w:szCs w:val="21"/>
              </w:rPr>
              <w:t>模式信息预处理模块</w:t>
            </w:r>
          </w:p>
          <w:p>
            <w:pPr>
              <w:jc w:val="left"/>
              <w:rPr>
                <w:rFonts w:ascii="Calibri" w:hAnsi="Calibri"/>
                <w:szCs w:val="21"/>
              </w:rPr>
            </w:pPr>
            <w:r>
              <w:rPr>
                <w:rFonts w:ascii="Calibri" w:hAnsi="Calibri"/>
                <w:szCs w:val="21"/>
              </w:rPr>
              <w:t>根据后续模块应用需求，对提取的CMACPSv3等模式原始数据进行预处理，包括分辨率对齐、数据格式统一、网格空间插值、集合平均预报、生成距平场等形式的预处理。</w:t>
            </w:r>
          </w:p>
        </w:tc>
      </w:tr>
      <w:tr>
        <w:tblPrEx>
          <w:tblW w:w="0" w:type="auto"/>
          <w:tblInd w:w="0" w:type="dxa"/>
          <w:tblCellMar>
            <w:top w:w="0" w:type="dxa"/>
            <w:left w:w="108" w:type="dxa"/>
            <w:bottom w:w="0" w:type="dxa"/>
            <w:right w:w="108" w:type="dxa"/>
          </w:tblCellMar>
        </w:tblPrEx>
        <w:tc>
          <w:tcPr>
            <w:tcW w:w="846" w:type="dxa"/>
            <w:vAlign w:val="center"/>
          </w:tcPr>
          <w:p>
            <w:pPr>
              <w:jc w:val="center"/>
              <w:rPr>
                <w:rFonts w:ascii="Calibri" w:hAnsi="Calibri"/>
                <w:szCs w:val="21"/>
              </w:rPr>
            </w:pPr>
            <w:r>
              <w:rPr>
                <w:rFonts w:ascii="Calibri" w:hAnsi="Calibri" w:hint="eastAsia"/>
                <w:szCs w:val="21"/>
              </w:rPr>
              <w:t>5</w:t>
            </w:r>
          </w:p>
        </w:tc>
        <w:tc>
          <w:tcPr>
            <w:tcW w:w="1417" w:type="dxa"/>
            <w:vAlign w:val="center"/>
          </w:tcPr>
          <w:p>
            <w:pPr>
              <w:jc w:val="center"/>
              <w:rPr>
                <w:rFonts w:ascii="Calibri" w:hAnsi="Calibri"/>
                <w:szCs w:val="21"/>
              </w:rPr>
            </w:pPr>
            <w:r>
              <w:rPr>
                <w:rFonts w:ascii="Calibri" w:hAnsi="Calibri" w:hint="eastAsia"/>
                <w:szCs w:val="21"/>
              </w:rPr>
              <w:t>＃</w:t>
            </w:r>
          </w:p>
        </w:tc>
        <w:tc>
          <w:tcPr>
            <w:tcW w:w="1701" w:type="dxa"/>
            <w:vAlign w:val="center"/>
          </w:tcPr>
          <w:p>
            <w:pPr>
              <w:jc w:val="left"/>
              <w:rPr>
                <w:rFonts w:ascii="Calibri" w:hAnsi="Calibri"/>
                <w:szCs w:val="21"/>
              </w:rPr>
            </w:pPr>
            <w:r>
              <w:rPr>
                <w:rFonts w:ascii="Calibri" w:hAnsi="Calibri" w:hint="eastAsia"/>
                <w:szCs w:val="21"/>
              </w:rPr>
              <w:t>春季北方沙尘预测子系统</w:t>
            </w:r>
          </w:p>
        </w:tc>
        <w:tc>
          <w:tcPr>
            <w:tcW w:w="4332" w:type="dxa"/>
            <w:vAlign w:val="center"/>
          </w:tcPr>
          <w:p>
            <w:pPr>
              <w:jc w:val="left"/>
              <w:rPr>
                <w:rFonts w:ascii="Calibri" w:hAnsi="Calibri"/>
                <w:b/>
                <w:bCs/>
                <w:szCs w:val="21"/>
              </w:rPr>
            </w:pPr>
            <w:r>
              <w:rPr>
                <w:rFonts w:ascii="Calibri" w:hAnsi="Calibri"/>
                <w:b/>
                <w:bCs/>
                <w:szCs w:val="21"/>
              </w:rPr>
              <w:t>春季沙尘实况监测模块</w:t>
            </w:r>
          </w:p>
          <w:p>
            <w:pPr>
              <w:jc w:val="left"/>
              <w:rPr>
                <w:rFonts w:ascii="Calibri" w:hAnsi="Calibri"/>
                <w:b/>
                <w:bCs/>
                <w:szCs w:val="21"/>
              </w:rPr>
            </w:pPr>
            <w:r>
              <w:rPr>
                <w:rFonts w:ascii="Calibri" w:hAnsi="Calibri"/>
                <w:szCs w:val="21"/>
              </w:rPr>
              <w:t>北方地区及五大沙尘重点关注区域、省份根代表性站点计算获取对应沙尘影响日数监测信息；更新沙尘过程频次，用于实况监测动态分析及客观评分基础数据来源。</w:t>
            </w:r>
          </w:p>
        </w:tc>
      </w:tr>
      <w:tr>
        <w:tblPrEx>
          <w:tblW w:w="0" w:type="auto"/>
          <w:tblInd w:w="0" w:type="dxa"/>
          <w:tblCellMar>
            <w:top w:w="0" w:type="dxa"/>
            <w:left w:w="108" w:type="dxa"/>
            <w:bottom w:w="0" w:type="dxa"/>
            <w:right w:w="108" w:type="dxa"/>
          </w:tblCellMar>
        </w:tblPrEx>
        <w:tc>
          <w:tcPr>
            <w:tcW w:w="846" w:type="dxa"/>
            <w:vAlign w:val="center"/>
          </w:tcPr>
          <w:p>
            <w:pPr>
              <w:jc w:val="center"/>
              <w:rPr>
                <w:rFonts w:ascii="Calibri" w:hAnsi="Calibri"/>
                <w:szCs w:val="21"/>
              </w:rPr>
            </w:pPr>
            <w:r>
              <w:rPr>
                <w:rFonts w:ascii="Calibri" w:hAnsi="Calibri" w:hint="eastAsia"/>
                <w:szCs w:val="21"/>
              </w:rPr>
              <w:t>6</w:t>
            </w:r>
          </w:p>
        </w:tc>
        <w:tc>
          <w:tcPr>
            <w:tcW w:w="1417" w:type="dxa"/>
            <w:vAlign w:val="center"/>
          </w:tcPr>
          <w:p>
            <w:pPr>
              <w:jc w:val="center"/>
              <w:rPr>
                <w:rFonts w:ascii="Calibri" w:hAnsi="Calibri"/>
                <w:szCs w:val="21"/>
              </w:rPr>
            </w:pPr>
            <w:r>
              <w:rPr>
                <w:rFonts w:ascii="Calibri" w:hAnsi="Calibri" w:hint="eastAsia"/>
                <w:szCs w:val="21"/>
              </w:rPr>
              <w:t>＃</w:t>
            </w:r>
          </w:p>
        </w:tc>
        <w:tc>
          <w:tcPr>
            <w:tcW w:w="1701" w:type="dxa"/>
            <w:vAlign w:val="center"/>
          </w:tcPr>
          <w:p>
            <w:pPr>
              <w:jc w:val="left"/>
              <w:rPr>
                <w:rFonts w:ascii="Calibri" w:hAnsi="Calibri"/>
                <w:szCs w:val="21"/>
              </w:rPr>
            </w:pPr>
            <w:r>
              <w:rPr>
                <w:rFonts w:ascii="Calibri" w:hAnsi="Calibri"/>
                <w:szCs w:val="21"/>
              </w:rPr>
              <w:t>气候变化与极端事件预估子系统</w:t>
            </w:r>
          </w:p>
        </w:tc>
        <w:tc>
          <w:tcPr>
            <w:tcW w:w="4332" w:type="dxa"/>
            <w:vAlign w:val="center"/>
          </w:tcPr>
          <w:p>
            <w:pPr>
              <w:jc w:val="left"/>
              <w:rPr>
                <w:rFonts w:ascii="Calibri" w:hAnsi="Calibri"/>
                <w:b/>
                <w:bCs/>
                <w:szCs w:val="21"/>
              </w:rPr>
            </w:pPr>
            <w:r>
              <w:rPr>
                <w:rFonts w:ascii="Calibri" w:hAnsi="Calibri" w:hint="eastAsia"/>
                <w:b/>
                <w:bCs/>
                <w:szCs w:val="21"/>
              </w:rPr>
              <w:t>中</w:t>
            </w:r>
            <w:r>
              <w:rPr>
                <w:rFonts w:ascii="Calibri" w:hAnsi="Calibri"/>
                <w:b/>
                <w:bCs/>
                <w:szCs w:val="21"/>
              </w:rPr>
              <w:t>国区域气候变化预估数据集成模块</w:t>
            </w:r>
          </w:p>
          <w:p>
            <w:pPr>
              <w:jc w:val="left"/>
              <w:rPr>
                <w:rFonts w:ascii="Calibri" w:hAnsi="Calibri"/>
                <w:szCs w:val="21"/>
              </w:rPr>
            </w:pPr>
            <w:r>
              <w:rPr>
                <w:rFonts w:ascii="Calibri" w:hAnsi="Calibri"/>
                <w:szCs w:val="21"/>
              </w:rPr>
              <w:t>该模块是系统的数据入口与标准化基础，负责将外部多源异构数据转化为系统内部统一、规范的格式。其输入为来自不同来源的原始气候数据，主要包括中国格点化观测数据集、CMIP系列全球气候模式输出、区域气候模式动力降尺度产品及联合降尺度数据集。模块的核心处理功能是对这些数据进行自动化的接入、解析与标准化规整，具体包括数据格式转换、时空网格重采样至统一标准（如0.5°×0.5°），以及对变量名称和物理单位进行规范化。最终，模块输出一套时空基准严格对齐、数据结构一致、附带完整元数据的标准化高质量基础数据集，为后续所有处理与分析环节提供可靠的数据原料。</w:t>
            </w:r>
          </w:p>
        </w:tc>
      </w:tr>
      <w:tr>
        <w:tblPrEx>
          <w:tblW w:w="0" w:type="auto"/>
          <w:tblInd w:w="0" w:type="dxa"/>
          <w:tblCellMar>
            <w:top w:w="0" w:type="dxa"/>
            <w:left w:w="108" w:type="dxa"/>
            <w:bottom w:w="0" w:type="dxa"/>
            <w:right w:w="108" w:type="dxa"/>
          </w:tblCellMar>
        </w:tblPrEx>
        <w:tc>
          <w:tcPr>
            <w:tcW w:w="846" w:type="dxa"/>
            <w:vAlign w:val="center"/>
          </w:tcPr>
          <w:p>
            <w:pPr>
              <w:jc w:val="center"/>
              <w:rPr>
                <w:rFonts w:ascii="Calibri" w:hAnsi="Calibri"/>
                <w:szCs w:val="21"/>
              </w:rPr>
            </w:pPr>
            <w:r>
              <w:rPr>
                <w:rFonts w:ascii="Calibri" w:hAnsi="Calibri" w:hint="eastAsia"/>
                <w:szCs w:val="21"/>
              </w:rPr>
              <w:t>7</w:t>
            </w:r>
          </w:p>
        </w:tc>
        <w:tc>
          <w:tcPr>
            <w:tcW w:w="1417" w:type="dxa"/>
            <w:vAlign w:val="center"/>
          </w:tcPr>
          <w:p>
            <w:pPr>
              <w:jc w:val="center"/>
              <w:rPr>
                <w:rFonts w:ascii="Calibri" w:hAnsi="Calibri"/>
                <w:szCs w:val="21"/>
              </w:rPr>
            </w:pPr>
            <w:r>
              <w:rPr>
                <w:rFonts w:ascii="Calibri" w:hAnsi="Calibri" w:hint="eastAsia"/>
                <w:szCs w:val="21"/>
              </w:rPr>
              <w:t>＃</w:t>
            </w:r>
          </w:p>
        </w:tc>
        <w:tc>
          <w:tcPr>
            <w:tcW w:w="1701" w:type="dxa"/>
            <w:vAlign w:val="center"/>
          </w:tcPr>
          <w:p>
            <w:pPr>
              <w:jc w:val="left"/>
              <w:rPr>
                <w:rFonts w:ascii="Calibri" w:hAnsi="Calibri"/>
                <w:szCs w:val="21"/>
              </w:rPr>
            </w:pPr>
            <w:r>
              <w:rPr>
                <w:rFonts w:ascii="Calibri" w:hAnsi="Calibri"/>
                <w:szCs w:val="21"/>
              </w:rPr>
              <w:t>气候变化与极端事件预估子系统</w:t>
            </w:r>
          </w:p>
        </w:tc>
        <w:tc>
          <w:tcPr>
            <w:tcW w:w="4332" w:type="dxa"/>
            <w:vAlign w:val="center"/>
          </w:tcPr>
          <w:p>
            <w:pPr>
              <w:jc w:val="left"/>
              <w:rPr>
                <w:rFonts w:ascii="Calibri" w:hAnsi="Calibri"/>
                <w:b/>
                <w:bCs/>
                <w:szCs w:val="21"/>
              </w:rPr>
            </w:pPr>
            <w:r>
              <w:rPr>
                <w:rFonts w:ascii="Calibri" w:hAnsi="Calibri"/>
                <w:b/>
                <w:bCs/>
                <w:szCs w:val="21"/>
              </w:rPr>
              <w:t>决策服务功能模块</w:t>
            </w:r>
          </w:p>
          <w:p>
            <w:pPr>
              <w:jc w:val="left"/>
              <w:rPr>
                <w:rFonts w:ascii="Calibri" w:hAnsi="Calibri"/>
                <w:b/>
                <w:bCs/>
                <w:szCs w:val="21"/>
              </w:rPr>
            </w:pPr>
            <w:r>
              <w:rPr>
                <w:rFonts w:ascii="Calibri" w:hAnsi="Calibri"/>
                <w:szCs w:val="21"/>
              </w:rPr>
              <w:t>该模块是系统价值实现的最终环节，负责将结构化的分析成果转化为面向用户的、易于理解和使用的决策知识产品。其输入主要为数据分析模块产出的各类图表、数据结论及风险评估结果。模块内部的处理机制依托于构建好的多行业报告模板库和关键结论知识库，通过智能引擎对输入的分析结果进行自动解读，并将其与从知识库中提取的权威表述、相关图表进行智能融合与编排。模块的输出是高度定制化的决策服务产品，可根据用户选定的行业、区域、情景等参数，一键生成结构完整、图文并茂的专业分析报告、决策摘要或简讯，并通过多种格式（PDF、Word等）进行发布与定向推送，直接支撑政府、行业及科研用户的决策制定与规划工作。</w:t>
            </w:r>
          </w:p>
        </w:tc>
      </w:tr>
      <w:tr>
        <w:tblPrEx>
          <w:tblW w:w="0" w:type="auto"/>
          <w:tblInd w:w="0" w:type="dxa"/>
          <w:tblCellMar>
            <w:top w:w="0" w:type="dxa"/>
            <w:left w:w="108" w:type="dxa"/>
            <w:bottom w:w="0" w:type="dxa"/>
            <w:right w:w="108" w:type="dxa"/>
          </w:tblCellMar>
        </w:tblPrEx>
        <w:tc>
          <w:tcPr>
            <w:tcW w:w="846" w:type="dxa"/>
            <w:vAlign w:val="center"/>
          </w:tcPr>
          <w:p>
            <w:pPr>
              <w:jc w:val="center"/>
              <w:rPr>
                <w:rFonts w:ascii="Calibri" w:hAnsi="Calibri"/>
                <w:szCs w:val="21"/>
              </w:rPr>
            </w:pPr>
            <w:r>
              <w:rPr>
                <w:rFonts w:ascii="Calibri" w:hAnsi="Calibri" w:hint="eastAsia"/>
                <w:szCs w:val="21"/>
              </w:rPr>
              <w:t>8</w:t>
            </w:r>
          </w:p>
        </w:tc>
        <w:tc>
          <w:tcPr>
            <w:tcW w:w="1417" w:type="dxa"/>
            <w:vAlign w:val="center"/>
          </w:tcPr>
          <w:p>
            <w:pPr>
              <w:jc w:val="center"/>
              <w:rPr>
                <w:rFonts w:ascii="Calibri" w:hAnsi="Calibri"/>
                <w:szCs w:val="21"/>
              </w:rPr>
            </w:pPr>
            <w:r>
              <w:rPr>
                <w:rFonts w:ascii="Calibri" w:hAnsi="Calibri" w:hint="eastAsia"/>
                <w:szCs w:val="21"/>
              </w:rPr>
              <w:t>＃</w:t>
            </w:r>
          </w:p>
        </w:tc>
        <w:tc>
          <w:tcPr>
            <w:tcW w:w="1701" w:type="dxa"/>
            <w:vAlign w:val="center"/>
          </w:tcPr>
          <w:p>
            <w:pPr>
              <w:jc w:val="left"/>
              <w:rPr>
                <w:rFonts w:ascii="Calibri" w:hAnsi="Calibri"/>
                <w:szCs w:val="21"/>
              </w:rPr>
            </w:pPr>
            <w:r>
              <w:rPr>
                <w:rFonts w:ascii="Calibri" w:hAnsi="Calibri"/>
                <w:szCs w:val="21"/>
              </w:rPr>
              <w:t>行业灾害风险预警能力提升与服务子系统</w:t>
            </w:r>
          </w:p>
        </w:tc>
        <w:tc>
          <w:tcPr>
            <w:tcW w:w="4332" w:type="dxa"/>
            <w:vAlign w:val="center"/>
          </w:tcPr>
          <w:p>
            <w:pPr>
              <w:jc w:val="left"/>
              <w:rPr>
                <w:rFonts w:ascii="Calibri" w:hAnsi="Calibri"/>
                <w:b/>
                <w:bCs/>
                <w:szCs w:val="21"/>
              </w:rPr>
            </w:pPr>
            <w:r>
              <w:rPr>
                <w:rFonts w:ascii="Calibri" w:hAnsi="Calibri"/>
                <w:b/>
                <w:bCs/>
                <w:szCs w:val="21"/>
              </w:rPr>
              <w:t>极端灾害监测识别模块</w:t>
            </w:r>
          </w:p>
          <w:p>
            <w:pPr>
              <w:jc w:val="left"/>
              <w:rPr>
                <w:rFonts w:ascii="Calibri" w:hAnsi="Calibri"/>
                <w:szCs w:val="21"/>
              </w:rPr>
            </w:pPr>
            <w:r>
              <w:rPr>
                <w:rFonts w:ascii="Calibri" w:hAnsi="Calibri"/>
                <w:szCs w:val="21"/>
              </w:rPr>
              <w:t>依托国家气候中心客观化气象灾害监测识别技术，融合大数据与AI算法，构建农业、电力配送行业极端灾害实时监测识别系统，实现灾害“早发现、早识别、早定位”。</w:t>
            </w:r>
          </w:p>
        </w:tc>
      </w:tr>
      <w:tr>
        <w:tblPrEx>
          <w:tblW w:w="0" w:type="auto"/>
          <w:tblInd w:w="0" w:type="dxa"/>
          <w:tblCellMar>
            <w:top w:w="0" w:type="dxa"/>
            <w:left w:w="108" w:type="dxa"/>
            <w:bottom w:w="0" w:type="dxa"/>
            <w:right w:w="108" w:type="dxa"/>
          </w:tblCellMar>
        </w:tblPrEx>
        <w:tc>
          <w:tcPr>
            <w:tcW w:w="846" w:type="dxa"/>
            <w:vAlign w:val="center"/>
          </w:tcPr>
          <w:p>
            <w:pPr>
              <w:jc w:val="center"/>
              <w:rPr>
                <w:rFonts w:ascii="Calibri" w:hAnsi="Calibri"/>
                <w:szCs w:val="21"/>
              </w:rPr>
            </w:pPr>
            <w:r>
              <w:rPr>
                <w:rFonts w:ascii="Calibri" w:hAnsi="Calibri" w:hint="eastAsia"/>
                <w:szCs w:val="21"/>
              </w:rPr>
              <w:t>9</w:t>
            </w:r>
          </w:p>
        </w:tc>
        <w:tc>
          <w:tcPr>
            <w:tcW w:w="1417" w:type="dxa"/>
            <w:vAlign w:val="center"/>
          </w:tcPr>
          <w:p>
            <w:pPr>
              <w:jc w:val="center"/>
              <w:rPr>
                <w:rFonts w:ascii="Calibri" w:hAnsi="Calibri"/>
                <w:szCs w:val="21"/>
              </w:rPr>
            </w:pPr>
            <w:r>
              <w:rPr>
                <w:rFonts w:ascii="Calibri" w:hAnsi="Calibri" w:hint="eastAsia"/>
                <w:szCs w:val="21"/>
              </w:rPr>
              <w:t>＃</w:t>
            </w:r>
          </w:p>
        </w:tc>
        <w:tc>
          <w:tcPr>
            <w:tcW w:w="1701" w:type="dxa"/>
            <w:vAlign w:val="center"/>
          </w:tcPr>
          <w:p>
            <w:pPr>
              <w:jc w:val="left"/>
              <w:rPr>
                <w:rFonts w:ascii="Calibri" w:hAnsi="Calibri"/>
                <w:szCs w:val="21"/>
              </w:rPr>
            </w:pPr>
            <w:r>
              <w:rPr>
                <w:rFonts w:ascii="Calibri" w:hAnsi="Calibri"/>
                <w:szCs w:val="21"/>
              </w:rPr>
              <w:t>综合业务协同支撑平台和基础设施建设分系统</w:t>
            </w:r>
          </w:p>
        </w:tc>
        <w:tc>
          <w:tcPr>
            <w:tcW w:w="4332" w:type="dxa"/>
            <w:vAlign w:val="center"/>
          </w:tcPr>
          <w:p>
            <w:pPr>
              <w:jc w:val="left"/>
              <w:rPr>
                <w:rFonts w:ascii="Calibri" w:hAnsi="Calibri"/>
                <w:b/>
                <w:bCs/>
                <w:szCs w:val="21"/>
              </w:rPr>
            </w:pPr>
            <w:r>
              <w:rPr>
                <w:rFonts w:ascii="Calibri" w:hAnsi="Calibri"/>
                <w:b/>
                <w:bCs/>
                <w:szCs w:val="21"/>
              </w:rPr>
              <w:t>一体化气候专题数据基座</w:t>
            </w:r>
          </w:p>
          <w:p>
            <w:pPr>
              <w:jc w:val="left"/>
              <w:rPr>
                <w:rFonts w:ascii="Calibri" w:hAnsi="Calibri"/>
                <w:szCs w:val="21"/>
              </w:rPr>
            </w:pPr>
            <w:r>
              <w:rPr>
                <w:rFonts w:ascii="Calibri" w:hAnsi="Calibri"/>
                <w:szCs w:val="21"/>
              </w:rPr>
              <w:t>基于天擎专题库技术构建气候监测产品库、气候预测产品库、检验评估产品库、气象灾害风险库、气候服务产品库、历史个例库，并基于产品特征发布标准化数据服务接口，实现一体化气候专题产品的统一管理、动态更新与高效应用。</w:t>
            </w:r>
          </w:p>
        </w:tc>
      </w:tr>
      <w:tr>
        <w:tblPrEx>
          <w:tblW w:w="0" w:type="auto"/>
          <w:tblInd w:w="0" w:type="dxa"/>
          <w:tblCellMar>
            <w:top w:w="0" w:type="dxa"/>
            <w:left w:w="108" w:type="dxa"/>
            <w:bottom w:w="0" w:type="dxa"/>
            <w:right w:w="108" w:type="dxa"/>
          </w:tblCellMar>
        </w:tblPrEx>
        <w:tc>
          <w:tcPr>
            <w:tcW w:w="846" w:type="dxa"/>
            <w:vAlign w:val="center"/>
          </w:tcPr>
          <w:p>
            <w:pPr>
              <w:jc w:val="center"/>
              <w:rPr>
                <w:rFonts w:ascii="Calibri" w:hAnsi="Calibri"/>
                <w:szCs w:val="21"/>
              </w:rPr>
            </w:pPr>
            <w:r>
              <w:rPr>
                <w:rFonts w:ascii="Calibri" w:hAnsi="Calibri" w:hint="eastAsia"/>
                <w:szCs w:val="21"/>
              </w:rPr>
              <w:t>10</w:t>
            </w:r>
          </w:p>
        </w:tc>
        <w:tc>
          <w:tcPr>
            <w:tcW w:w="1417" w:type="dxa"/>
            <w:vAlign w:val="center"/>
          </w:tcPr>
          <w:p>
            <w:pPr>
              <w:jc w:val="center"/>
              <w:rPr>
                <w:rFonts w:ascii="Calibri" w:hAnsi="Calibri"/>
                <w:szCs w:val="21"/>
              </w:rPr>
            </w:pPr>
            <w:r>
              <w:rPr>
                <w:rFonts w:ascii="Calibri" w:hAnsi="Calibri" w:hint="eastAsia"/>
                <w:szCs w:val="21"/>
              </w:rPr>
              <w:t>＃</w:t>
            </w:r>
          </w:p>
        </w:tc>
        <w:tc>
          <w:tcPr>
            <w:tcW w:w="1701" w:type="dxa"/>
            <w:vAlign w:val="center"/>
          </w:tcPr>
          <w:p>
            <w:pPr>
              <w:jc w:val="left"/>
              <w:rPr>
                <w:rFonts w:ascii="Calibri" w:hAnsi="Calibri"/>
                <w:szCs w:val="21"/>
              </w:rPr>
            </w:pPr>
            <w:r>
              <w:rPr>
                <w:rFonts w:ascii="Calibri" w:hAnsi="Calibri"/>
                <w:szCs w:val="21"/>
              </w:rPr>
              <w:t>综合业务协同支撑平台和基础设施建设分系统</w:t>
            </w:r>
          </w:p>
        </w:tc>
        <w:tc>
          <w:tcPr>
            <w:tcW w:w="4332" w:type="dxa"/>
            <w:vAlign w:val="center"/>
          </w:tcPr>
          <w:p>
            <w:pPr>
              <w:jc w:val="left"/>
              <w:rPr>
                <w:rFonts w:ascii="Calibri" w:hAnsi="Calibri"/>
                <w:b/>
                <w:bCs/>
                <w:szCs w:val="21"/>
              </w:rPr>
            </w:pPr>
            <w:r>
              <w:rPr>
                <w:rFonts w:ascii="Calibri" w:hAnsi="Calibri"/>
                <w:b/>
                <w:bCs/>
                <w:szCs w:val="21"/>
              </w:rPr>
              <w:t>集约化组件共享平台</w:t>
            </w:r>
          </w:p>
          <w:p>
            <w:pPr>
              <w:jc w:val="left"/>
              <w:rPr>
                <w:rFonts w:ascii="Calibri" w:hAnsi="Calibri"/>
                <w:b/>
                <w:bCs/>
                <w:szCs w:val="21"/>
              </w:rPr>
            </w:pPr>
            <w:r>
              <w:rPr>
                <w:rFonts w:ascii="Calibri" w:hAnsi="Calibri"/>
                <w:szCs w:val="21"/>
              </w:rPr>
              <w:t>基于天擎专题库技术，构建涵盖气候监测、气候预测、检验评估、气象灾害风险、气候服务及历史个例等专业库，并通过发布标准化数据服务接口，实现气候专题产品的统一管理、动态更新和高效应用。为支撑业务运行，设计三类核心组件：标准化气象基础组件（涵盖数据处理分析、图表制作、多维展示与流程管理，强调灵活复用）、高可用业务应用组件（覆盖气候监测、预测、诊断、检验及产品制作等典型业务场景，注重功能完整与高性能）、特色气候业务应用组件（聚焦气候变化评估、第三极气候监测、灾害风险管理及卫星遥感应用等定制化需求），共同构成集约共享、层次分明的气候业务技术支撑体系。</w:t>
            </w:r>
          </w:p>
        </w:tc>
      </w:tr>
    </w:tbl>
    <w:p>
      <w:pPr>
        <w:rPr>
          <w:rFonts w:hint="eastAsia"/>
        </w:rPr>
      </w:pPr>
    </w:p>
    <w:p>
      <w:pPr>
        <w:pStyle w:val="Heading3"/>
        <w:numPr>
          <w:ilvl w:val="2"/>
          <w:numId w:val="6"/>
        </w:numPr>
      </w:pPr>
      <w:r>
        <w:rPr>
          <w:rFonts w:hint="eastAsia"/>
        </w:rPr>
        <w:t>非功能要求</w:t>
      </w:r>
    </w:p>
    <w:p>
      <w:pPr>
        <w:pStyle w:val="ListParagraph"/>
        <w:keepNext/>
        <w:keepLines/>
        <w:numPr>
          <w:ilvl w:val="0"/>
          <w:numId w:val="12"/>
        </w:numPr>
        <w:spacing w:before="280" w:after="290" w:line="376" w:lineRule="auto"/>
        <w:ind w:firstLineChars="0"/>
        <w:outlineLvl w:val="3"/>
        <w:rPr>
          <w:rFonts w:ascii="Times New Roman" w:eastAsia="宋体" w:hAnsi="Times New Roman" w:cstheme="majorBidi" w:hint="eastAsia"/>
          <w:b/>
          <w:bCs/>
          <w:vanish/>
          <w:sz w:val="28"/>
          <w:szCs w:val="28"/>
        </w:rPr>
      </w:pPr>
      <w:bookmarkStart w:id="70" w:name="_Toc7667"/>
    </w:p>
    <w:p>
      <w:pPr>
        <w:pStyle w:val="ListParagraph"/>
        <w:keepNext/>
        <w:keepLines/>
        <w:numPr>
          <w:ilvl w:val="1"/>
          <w:numId w:val="12"/>
        </w:numPr>
        <w:spacing w:before="280" w:after="290" w:line="376" w:lineRule="auto"/>
        <w:ind w:firstLineChars="0"/>
        <w:outlineLvl w:val="3"/>
        <w:rPr>
          <w:rFonts w:ascii="Times New Roman" w:eastAsia="宋体" w:hAnsi="Times New Roman" w:cstheme="majorBidi" w:hint="eastAsia"/>
          <w:b/>
          <w:bCs/>
          <w:vanish/>
          <w:sz w:val="28"/>
          <w:szCs w:val="28"/>
        </w:rPr>
      </w:pPr>
    </w:p>
    <w:p>
      <w:pPr>
        <w:pStyle w:val="ListParagraph"/>
        <w:keepNext/>
        <w:keepLines/>
        <w:numPr>
          <w:ilvl w:val="1"/>
          <w:numId w:val="12"/>
        </w:numPr>
        <w:spacing w:before="280" w:after="290" w:line="376" w:lineRule="auto"/>
        <w:ind w:firstLineChars="0"/>
        <w:outlineLvl w:val="3"/>
        <w:rPr>
          <w:rFonts w:ascii="Times New Roman" w:eastAsia="宋体" w:hAnsi="Times New Roman" w:cstheme="majorBidi" w:hint="eastAsia"/>
          <w:b/>
          <w:bCs/>
          <w:vanish/>
          <w:sz w:val="28"/>
          <w:szCs w:val="28"/>
        </w:rPr>
      </w:pPr>
    </w:p>
    <w:p>
      <w:pPr>
        <w:pStyle w:val="ListParagraph"/>
        <w:keepNext/>
        <w:keepLines/>
        <w:numPr>
          <w:ilvl w:val="1"/>
          <w:numId w:val="12"/>
        </w:numPr>
        <w:spacing w:before="280" w:after="290" w:line="376" w:lineRule="auto"/>
        <w:ind w:firstLineChars="0"/>
        <w:outlineLvl w:val="3"/>
        <w:rPr>
          <w:rFonts w:ascii="Times New Roman" w:eastAsia="宋体" w:hAnsi="Times New Roman" w:cstheme="majorBidi" w:hint="eastAsia"/>
          <w:b/>
          <w:bCs/>
          <w:vanish/>
          <w:sz w:val="28"/>
          <w:szCs w:val="28"/>
        </w:rPr>
      </w:pPr>
    </w:p>
    <w:p>
      <w:pPr>
        <w:pStyle w:val="ListParagraph"/>
        <w:keepNext/>
        <w:keepLines/>
        <w:numPr>
          <w:ilvl w:val="1"/>
          <w:numId w:val="12"/>
        </w:numPr>
        <w:spacing w:before="280" w:after="290" w:line="376" w:lineRule="auto"/>
        <w:ind w:firstLineChars="0"/>
        <w:outlineLvl w:val="3"/>
        <w:rPr>
          <w:rFonts w:ascii="Times New Roman" w:eastAsia="宋体" w:hAnsi="Times New Roman" w:cstheme="majorBidi" w:hint="eastAsia"/>
          <w:b/>
          <w:bCs/>
          <w:vanish/>
          <w:sz w:val="28"/>
          <w:szCs w:val="28"/>
        </w:rPr>
      </w:pPr>
    </w:p>
    <w:p>
      <w:pPr>
        <w:pStyle w:val="ListParagraph"/>
        <w:keepNext/>
        <w:keepLines/>
        <w:numPr>
          <w:ilvl w:val="2"/>
          <w:numId w:val="12"/>
        </w:numPr>
        <w:spacing w:before="280" w:after="290" w:line="376" w:lineRule="auto"/>
        <w:ind w:firstLineChars="0"/>
        <w:outlineLvl w:val="3"/>
        <w:rPr>
          <w:rFonts w:ascii="Times New Roman" w:eastAsia="宋体" w:hAnsi="Times New Roman" w:cstheme="majorBidi" w:hint="eastAsia"/>
          <w:b/>
          <w:bCs/>
          <w:vanish/>
          <w:sz w:val="28"/>
          <w:szCs w:val="28"/>
        </w:rPr>
      </w:pPr>
    </w:p>
    <w:p>
      <w:pPr>
        <w:pStyle w:val="ListParagraph"/>
        <w:keepNext/>
        <w:keepLines/>
        <w:numPr>
          <w:ilvl w:val="2"/>
          <w:numId w:val="12"/>
        </w:numPr>
        <w:spacing w:before="280" w:after="290" w:line="376" w:lineRule="auto"/>
        <w:ind w:firstLineChars="0"/>
        <w:outlineLvl w:val="3"/>
        <w:rPr>
          <w:rFonts w:ascii="Times New Roman" w:eastAsia="宋体" w:hAnsi="Times New Roman" w:cstheme="majorBidi" w:hint="eastAsia"/>
          <w:b/>
          <w:bCs/>
          <w:vanish/>
          <w:sz w:val="28"/>
          <w:szCs w:val="28"/>
        </w:rPr>
      </w:pPr>
    </w:p>
    <w:p>
      <w:pPr>
        <w:pStyle w:val="ListParagraph"/>
        <w:keepNext/>
        <w:keepLines/>
        <w:numPr>
          <w:ilvl w:val="2"/>
          <w:numId w:val="12"/>
        </w:numPr>
        <w:spacing w:before="280" w:after="290" w:line="376" w:lineRule="auto"/>
        <w:ind w:firstLineChars="0"/>
        <w:outlineLvl w:val="3"/>
        <w:rPr>
          <w:rFonts w:ascii="Times New Roman" w:eastAsia="宋体" w:hAnsi="Times New Roman" w:cstheme="majorBidi" w:hint="eastAsia"/>
          <w:b/>
          <w:bCs/>
          <w:vanish/>
          <w:sz w:val="28"/>
          <w:szCs w:val="28"/>
        </w:rPr>
      </w:pPr>
    </w:p>
    <w:p>
      <w:pPr>
        <w:pStyle w:val="Heading4"/>
        <w:numPr>
          <w:ilvl w:val="3"/>
          <w:numId w:val="12"/>
        </w:numPr>
      </w:pPr>
      <w:r>
        <w:rPr>
          <w:rFonts w:hint="eastAsia"/>
        </w:rPr>
        <w:t>总体性能目标</w:t>
      </w:r>
      <w:bookmarkEnd w:id="70"/>
    </w:p>
    <w:p>
      <w:pPr>
        <w:ind w:firstLine="420" w:firstLineChars="200"/>
      </w:pPr>
      <w:r>
        <w:t>本项目需构建高性能气候业务算力平台，确保在规定时限内完成海量数据处理与复杂模型运算。</w:t>
      </w:r>
    </w:p>
    <w:p>
      <w:pPr>
        <w:ind w:firstLine="420" w:firstLineChars="200"/>
      </w:pPr>
      <w:r>
        <w:rPr>
          <w:rFonts w:hint="eastAsia"/>
        </w:rPr>
        <w:t>1.</w:t>
      </w:r>
      <w:r>
        <w:t>作业时效：实现全流程自动化作业，从基础数据下载、模型构建至最终产品生成的端到端时延严格控制在10分钟以内；日作业成功率不低于99%。</w:t>
      </w:r>
    </w:p>
    <w:p>
      <w:pPr>
        <w:ind w:firstLine="420" w:firstLineChars="200"/>
      </w:pPr>
      <w:r>
        <w:rPr>
          <w:rFonts w:hint="eastAsia"/>
        </w:rPr>
        <w:t>2.</w:t>
      </w:r>
      <w:r>
        <w:t>并发能力：系统需支撑每秒不低于1000个有效请求的气象基础组件处理能力；数据应用服务接口并发数不低于100次/秒，支持100名用户同时在线操作，并在典型业务高峰期稳定承载50个以上并发数据请求与产品生成任务。</w:t>
      </w:r>
    </w:p>
    <w:p>
      <w:pPr>
        <w:ind w:firstLine="420" w:firstLineChars="200"/>
      </w:pPr>
      <w:r>
        <w:rPr>
          <w:rFonts w:hint="eastAsia"/>
        </w:rPr>
        <w:t>3.响应速度：</w:t>
      </w:r>
    </w:p>
    <w:p>
      <w:pPr>
        <w:ind w:firstLine="420" w:firstLineChars="200"/>
      </w:pPr>
      <w:r>
        <w:rPr>
          <w:rFonts w:hint="eastAsia"/>
        </w:rPr>
        <w:t>服务接口平均响应时间不超过2秒。</w:t>
      </w:r>
    </w:p>
    <w:p>
      <w:pPr>
        <w:ind w:firstLine="420" w:firstLineChars="200"/>
      </w:pPr>
      <w:r>
        <w:rPr>
          <w:rFonts w:hint="eastAsia"/>
        </w:rPr>
        <w:t>网页端及可视化仪表盘页面加载时间分别不超过2秒和3秒。</w:t>
      </w:r>
    </w:p>
    <w:p>
      <w:pPr>
        <w:ind w:firstLine="420" w:firstLineChars="200"/>
      </w:pPr>
      <w:r>
        <w:rPr>
          <w:rFonts w:hint="eastAsia"/>
        </w:rPr>
        <w:t>普通应用查询响应时间不超过800毫秒，复杂业务流程响应时间不超过1.5秒。</w:t>
      </w:r>
    </w:p>
    <w:p>
      <w:pPr>
        <w:ind w:firstLine="420" w:firstLineChars="200"/>
      </w:pPr>
      <w:r>
        <w:rPr>
          <w:rFonts w:hint="eastAsia"/>
        </w:rPr>
        <w:t>系统交互响应时间不超过3秒，模型运行与报告生成端到端延迟均不超过30秒。</w:t>
      </w:r>
    </w:p>
    <w:p>
      <w:pPr>
        <w:ind w:firstLine="420" w:firstLineChars="200"/>
      </w:pPr>
      <w:r>
        <w:rPr>
          <w:rFonts w:hint="eastAsia"/>
        </w:rPr>
        <w:t>知识检索响应时间小于1.5秒，结构化查询响应时间不超过5秒。</w:t>
      </w:r>
    </w:p>
    <w:p>
      <w:pPr>
        <w:pStyle w:val="Heading4"/>
        <w:numPr>
          <w:ilvl w:val="3"/>
          <w:numId w:val="12"/>
        </w:numPr>
      </w:pPr>
      <w:bookmarkStart w:id="71" w:name="_Toc27043"/>
      <w:r>
        <w:t>系统稳定性与高可用要求</w:t>
      </w:r>
      <w:bookmarkEnd w:id="71"/>
    </w:p>
    <w:p>
      <w:pPr>
        <w:ind w:firstLine="420" w:firstLineChars="200"/>
      </w:pPr>
      <w:r>
        <w:t>确保业务连续性与数据安全，系统需具备极高的容错与恢复能力。</w:t>
      </w:r>
    </w:p>
    <w:p>
      <w:pPr>
        <w:ind w:firstLine="420" w:firstLineChars="200"/>
      </w:pPr>
      <w:r>
        <w:rPr>
          <w:rFonts w:hint="eastAsia"/>
        </w:rPr>
        <w:t>1.可用性指标：核心业务系统年可用性不低于99.9%；行业灾害风险预警子系统年可用性不低于95%。</w:t>
      </w:r>
    </w:p>
    <w:p>
      <w:pPr>
        <w:ind w:firstLine="420" w:firstLineChars="200"/>
      </w:pPr>
      <w:r>
        <w:rPr>
          <w:rFonts w:hint="eastAsia"/>
        </w:rPr>
        <w:t>2.故障恢复：核心服务发生故障后须在5分钟内自动恢复；关键高可用业务系统须在30分钟内恢复运行状态。计划内维护窗口外，无故障运行时间不低于8000小时/年。</w:t>
      </w:r>
    </w:p>
    <w:p>
      <w:pPr>
        <w:ind w:firstLine="420" w:firstLineChars="200"/>
      </w:pPr>
      <w:r>
        <w:rPr>
          <w:rFonts w:hint="eastAsia"/>
        </w:rPr>
        <w:t>3.可靠性：整体系统事务失败率严格控制在0.5%以内，数据服务业务成功率不低于99.9%。</w:t>
      </w:r>
    </w:p>
    <w:p>
      <w:pPr>
        <w:pStyle w:val="Heading4"/>
        <w:numPr>
          <w:ilvl w:val="3"/>
          <w:numId w:val="12"/>
        </w:numPr>
      </w:pPr>
      <w:bookmarkStart w:id="72" w:name="_Toc23245"/>
      <w:r>
        <w:t>预测精度与产品产出标准</w:t>
      </w:r>
      <w:bookmarkEnd w:id="72"/>
    </w:p>
    <w:p>
      <w:pPr>
        <w:ind w:firstLine="420" w:firstLineChars="200"/>
      </w:pPr>
      <w:r>
        <w:t>系统输出产品须满足既定精度要求，并按规范频次发布。</w:t>
      </w:r>
    </w:p>
    <w:p>
      <w:pPr>
        <w:ind w:firstLine="420" w:firstLineChars="200"/>
      </w:pPr>
      <w:r>
        <w:rPr>
          <w:rFonts w:hint="eastAsia"/>
        </w:rPr>
        <w:t>1.精度要求：</w:t>
      </w:r>
    </w:p>
    <w:p>
      <w:pPr>
        <w:ind w:firstLine="420" w:firstLineChars="200"/>
      </w:pPr>
      <w:r>
        <w:rPr>
          <w:rFonts w:hint="eastAsia"/>
        </w:rPr>
        <w:t>次季节重要过程预测综合评分较CMA-CPSv3模式原始输出提升2%。</w:t>
      </w:r>
    </w:p>
    <w:p>
      <w:pPr>
        <w:ind w:firstLine="420" w:firstLineChars="200"/>
      </w:pPr>
      <w:r>
        <w:rPr>
          <w:rFonts w:hint="eastAsia"/>
        </w:rPr>
        <w:t>风能及太阳能资源网格化预测产品时间相关系数：次季节尺度第1至第4周不低于0.6，季节尺度第1至第3个月不低于0.5。</w:t>
      </w:r>
    </w:p>
    <w:p>
      <w:pPr>
        <w:ind w:firstLine="420" w:firstLineChars="200"/>
      </w:pPr>
      <w:r>
        <w:rPr>
          <w:rFonts w:hint="eastAsia"/>
        </w:rPr>
        <w:t>风电及光伏功率推导误差较现有业务基准降低10%。</w:t>
      </w:r>
    </w:p>
    <w:p>
      <w:pPr>
        <w:ind w:firstLine="420" w:firstLineChars="200"/>
      </w:pPr>
      <w:r>
        <w:rPr>
          <w:rFonts w:hint="eastAsia"/>
        </w:rPr>
        <w:t>气候知识智能问答核心业务问题F1值不低于0.87。</w:t>
      </w:r>
    </w:p>
    <w:p>
      <w:pPr>
        <w:ind w:firstLine="420" w:firstLineChars="200"/>
      </w:pPr>
      <w:r>
        <w:rPr>
          <w:rFonts w:hint="eastAsia"/>
        </w:rPr>
        <w:t>2.更新频次：</w:t>
      </w:r>
    </w:p>
    <w:p>
      <w:pPr>
        <w:ind w:firstLine="420" w:firstLineChars="200"/>
      </w:pPr>
      <w:r>
        <w:rPr>
          <w:rFonts w:hint="eastAsia"/>
        </w:rPr>
        <w:t>次季节重要过程预测与检验产品逐日更新。</w:t>
      </w:r>
    </w:p>
    <w:p>
      <w:pPr>
        <w:ind w:firstLine="420" w:firstLineChars="200"/>
      </w:pPr>
      <w:r>
        <w:rPr>
          <w:rFonts w:hint="eastAsia"/>
        </w:rPr>
        <w:t>全球气温及降水三分位概率预测每月1日、6日、11日、16日、21日、26日起报。</w:t>
      </w:r>
    </w:p>
    <w:p>
      <w:pPr>
        <w:ind w:firstLine="420" w:firstLineChars="200"/>
      </w:pPr>
      <w:r>
        <w:rPr>
          <w:rFonts w:hint="eastAsia"/>
        </w:rPr>
        <w:t>AI订正集合概率预测每周四起报。</w:t>
      </w:r>
    </w:p>
    <w:p>
      <w:pPr>
        <w:ind w:firstLine="420" w:firstLineChars="200"/>
      </w:pPr>
      <w:r>
        <w:rPr>
          <w:rFonts w:hint="eastAsia"/>
        </w:rPr>
        <w:t>动力降尺度产品全年滚动一周两次起报。</w:t>
      </w:r>
    </w:p>
    <w:p>
      <w:pPr>
        <w:pStyle w:val="Heading4"/>
        <w:numPr>
          <w:ilvl w:val="3"/>
          <w:numId w:val="12"/>
        </w:numPr>
      </w:pPr>
      <w:bookmarkStart w:id="73" w:name="_Toc26701"/>
      <w:r>
        <w:t>数据安全与合规性</w:t>
      </w:r>
      <w:bookmarkEnd w:id="73"/>
    </w:p>
    <w:p>
      <w:pPr>
        <w:ind w:firstLine="420" w:firstLineChars="200"/>
      </w:pPr>
      <w:r>
        <w:t>构建全方位的安全防护体系，保障数据与系统安全。</w:t>
      </w:r>
    </w:p>
    <w:p>
      <w:pPr>
        <w:ind w:firstLine="420" w:firstLineChars="200"/>
      </w:pPr>
      <w:r>
        <w:rPr>
          <w:rFonts w:hint="eastAsia"/>
        </w:rPr>
        <w:t>1.数据防护：严格执行数据传输与存储加密机制，敏感数据需加密传输与存储。</w:t>
      </w:r>
    </w:p>
    <w:p>
      <w:pPr>
        <w:ind w:firstLine="420" w:firstLineChars="200"/>
      </w:pPr>
      <w:r>
        <w:rPr>
          <w:rFonts w:hint="eastAsia"/>
        </w:rPr>
        <w:t>2.审计追溯：操作日志全留存且不可篡改，支持对任意数据操作行为进行溯源。</w:t>
      </w:r>
    </w:p>
    <w:p>
      <w:pPr>
        <w:ind w:firstLine="420" w:firstLineChars="200"/>
      </w:pPr>
      <w:r>
        <w:rPr>
          <w:rFonts w:hint="eastAsia"/>
        </w:rPr>
        <w:t>3.合规标准：网络安全设计符合网络安全等级保护2.0国家标准，系统安全严格遵循天擎平台整体安全框架与规范。</w:t>
      </w:r>
    </w:p>
    <w:p>
      <w:pPr>
        <w:ind w:firstLine="420" w:firstLineChars="200"/>
      </w:pPr>
      <w:r>
        <w:rPr>
          <w:rFonts w:hint="eastAsia"/>
        </w:rPr>
        <w:t>4.访问控制：实施基于角色的基础访问控制策略。</w:t>
      </w:r>
    </w:p>
    <w:p>
      <w:pPr>
        <w:pStyle w:val="Heading4"/>
        <w:numPr>
          <w:ilvl w:val="3"/>
          <w:numId w:val="12"/>
        </w:numPr>
      </w:pPr>
      <w:bookmarkStart w:id="74" w:name="_Toc17351"/>
      <w:r>
        <w:t>技术兼容与扩展能力</w:t>
      </w:r>
      <w:bookmarkEnd w:id="74"/>
    </w:p>
    <w:p>
      <w:pPr>
        <w:ind w:firstLine="420" w:firstLineChars="200"/>
      </w:pPr>
      <w:r>
        <w:rPr>
          <w:rFonts w:hint="eastAsia"/>
        </w:rPr>
        <w:t>系统架构需具备良好的开放性与前瞻性，适应未来业务发展。</w:t>
      </w:r>
    </w:p>
    <w:p>
      <w:pPr>
        <w:ind w:firstLine="420" w:firstLineChars="200"/>
      </w:pPr>
      <w:r>
        <w:rPr>
          <w:rFonts w:hint="eastAsia"/>
        </w:rPr>
        <w:t>1.兼容环境：兼容分布式关系型数据库及分布式文件系统，支持Docker容器化部署。</w:t>
      </w:r>
    </w:p>
    <w:p>
      <w:pPr>
        <w:ind w:firstLine="420" w:firstLineChars="200"/>
      </w:pPr>
      <w:r>
        <w:rPr>
          <w:rFonts w:hint="eastAsia"/>
        </w:rPr>
        <w:t>2.扩展接口：提供标准数据接口与开发工具包，支持第三方模式或算法以插件形式快速接入。</w:t>
      </w:r>
    </w:p>
    <w:p>
      <w:pPr>
        <w:ind w:firstLine="420" w:firstLineChars="200"/>
      </w:pPr>
      <w:r>
        <w:rPr>
          <w:rFonts w:hint="eastAsia"/>
        </w:rPr>
        <w:t>3.算法解耦：关键算法模块（如AI订正、集合加权）需支持参数化配置与独立升级，系统各模块间保持松耦合。</w:t>
      </w:r>
    </w:p>
    <w:p>
      <w:pPr>
        <w:pStyle w:val="Heading4"/>
        <w:numPr>
          <w:ilvl w:val="3"/>
          <w:numId w:val="12"/>
        </w:numPr>
      </w:pPr>
      <w:bookmarkStart w:id="75" w:name="_Toc28830"/>
      <w:r>
        <w:t>运维保障与可维护性</w:t>
      </w:r>
      <w:bookmarkEnd w:id="75"/>
    </w:p>
    <w:p>
      <w:pPr>
        <w:ind w:firstLine="420" w:firstLineChars="200"/>
      </w:pPr>
      <w:r>
        <w:t>建立完善的运维管理体系，降低系统维护复杂度。</w:t>
      </w:r>
    </w:p>
    <w:p>
      <w:pPr>
        <w:ind w:firstLine="420" w:firstLineChars="200"/>
      </w:pPr>
      <w:r>
        <w:rPr>
          <w:rFonts w:hint="eastAsia"/>
        </w:rPr>
        <w:t>1.升级维护：支持在线无缝升级及离线补丁包升级，无需对软件架构进行大幅调整。</w:t>
      </w:r>
    </w:p>
    <w:p>
      <w:pPr>
        <w:ind w:firstLine="420" w:firstLineChars="200"/>
      </w:pPr>
      <w:r>
        <w:rPr>
          <w:rFonts w:hint="eastAsia"/>
        </w:rPr>
        <w:t>2.监控预警：对作业状态、资源使用、接口性能、数据流健康度等200项以上指标进行实时监控与预警，支持日志集中分析与智能诊断。</w:t>
      </w:r>
    </w:p>
    <w:p>
      <w:pPr>
        <w:ind w:firstLine="420" w:firstLineChars="200"/>
      </w:pPr>
      <w:r>
        <w:rPr>
          <w:rFonts w:hint="eastAsia"/>
        </w:rPr>
        <w:t>3.可视化管理：提供简明业务管理界面，用于监控数据处理流水线状态；服务产品样式与业务界面动态加载时间不超过1秒，行业场景构建响应时间不超过2秒。</w:t>
      </w:r>
    </w:p>
    <w:p>
      <w:pPr>
        <w:pStyle w:val="Heading4"/>
        <w:numPr>
          <w:ilvl w:val="3"/>
          <w:numId w:val="12"/>
        </w:numPr>
      </w:pPr>
      <w:bookmarkStart w:id="76" w:name="_Toc2746"/>
      <w:r>
        <w:t>数据质量管控</w:t>
      </w:r>
      <w:bookmarkEnd w:id="76"/>
    </w:p>
    <w:p>
      <w:pPr>
        <w:ind w:firstLine="420" w:firstLineChars="200"/>
      </w:pPr>
      <w:r>
        <w:t>建立全生命周期的数据质量控制流程，确保产品科学规范。</w:t>
      </w:r>
    </w:p>
    <w:p>
      <w:pPr>
        <w:ind w:firstLine="420" w:firstLineChars="200"/>
      </w:pPr>
      <w:r>
        <w:rPr>
          <w:rFonts w:hint="eastAsia"/>
        </w:rPr>
        <w:t>1.算法校验：集成领域内广泛验证的成熟算法作为偏差校正基础，设计清晰的算法版本与参数管理机制，确保处理过程可追溯、可复现。</w:t>
      </w:r>
    </w:p>
    <w:p>
      <w:pPr>
        <w:ind w:firstLine="420" w:firstLineChars="200"/>
      </w:pPr>
      <w:r>
        <w:rPr>
          <w:rFonts w:hint="eastAsia"/>
        </w:rPr>
        <w:t>2.检验评估：建立关键产品统计检验流程，对校正前后数据对比及极端指数进行持续监控与评估。</w:t>
      </w:r>
    </w:p>
    <w:p>
      <w:pPr>
        <w:ind w:firstLine="420" w:firstLineChars="200"/>
      </w:pPr>
      <w:r>
        <w:rPr>
          <w:rFonts w:hint="eastAsia"/>
        </w:rPr>
        <w:t>3.标准化：产品分辨率基于可靠源数据与稳定降尺度或插值算法，预报产品、数据接口、元数据描述需统一标准化，确保与上级预警中心、下级能源企业及电力调度系统间的数据互通。</w:t>
      </w:r>
    </w:p>
    <w:p>
      <w:pPr>
        <w:pStyle w:val="Heading4"/>
        <w:numPr>
          <w:ilvl w:val="3"/>
          <w:numId w:val="12"/>
        </w:numPr>
      </w:pPr>
      <w:bookmarkStart w:id="77" w:name="_Toc32561"/>
      <w:r>
        <w:t>资源保障与算力支撑</w:t>
      </w:r>
      <w:bookmarkEnd w:id="77"/>
    </w:p>
    <w:p>
      <w:pPr>
        <w:ind w:firstLine="420" w:firstLineChars="200"/>
      </w:pPr>
      <w:r>
        <w:t>依托天擎平台，合理配置计算与存储资源，满足业务峰值需求。</w:t>
      </w:r>
    </w:p>
    <w:p>
      <w:pPr>
        <w:ind w:firstLine="420" w:firstLineChars="200"/>
      </w:pPr>
      <w:r>
        <w:rPr>
          <w:rFonts w:hint="eastAsia"/>
        </w:rPr>
        <w:t>1.资源配额：总数据管理容量不低于1PB，支持3年以上历史网格预报数据在线存储与快速检索。</w:t>
      </w:r>
    </w:p>
    <w:p>
      <w:pPr>
        <w:ind w:firstLine="420" w:firstLineChars="200"/>
      </w:pPr>
      <w:r>
        <w:rPr>
          <w:rFonts w:hint="eastAsia"/>
        </w:rPr>
        <w:t>2.算力调度：支持分布式并行计算，依据负载动态调度CPU及GPU资源，集群资源综合利用率不低于70%。</w:t>
      </w:r>
    </w:p>
    <w:p>
      <w:pPr>
        <w:ind w:firstLine="420" w:firstLineChars="200"/>
      </w:pPr>
      <w:r>
        <w:rPr>
          <w:rFonts w:hint="eastAsia"/>
        </w:rPr>
        <w:t>3.专项算力：气候智能体并行推演需支持2个情景组合，计算时间不超过3分钟（硬件环境：NVIDIA RTX 4090显卡及24GB显存，CUDA版本11.7）</w:t>
      </w:r>
    </w:p>
    <w:p>
      <w:pPr>
        <w:pStyle w:val="Heading4"/>
        <w:numPr>
          <w:ilvl w:val="3"/>
          <w:numId w:val="12"/>
        </w:numPr>
      </w:pPr>
      <w:bookmarkStart w:id="78" w:name="_Toc11098"/>
      <w:r>
        <w:rPr>
          <w:rFonts w:hint="eastAsia"/>
        </w:rPr>
        <w:t>集约化与国产化</w:t>
      </w:r>
      <w:bookmarkEnd w:id="78"/>
    </w:p>
    <w:p>
      <w:pPr>
        <w:ind w:firstLine="420" w:firstLineChars="200"/>
        <w:rPr>
          <w:rFonts w:hint="eastAsia"/>
        </w:rPr>
      </w:pPr>
      <w:r>
        <w:rPr>
          <w:rFonts w:hint="eastAsia"/>
        </w:rPr>
        <w:t>依托中国气象局地球系统大数据平台（天擎）的硬件环境、数据资源、算力设施与监控体系，采用“云+端”业务模式，实现资源整合与流程再造。</w:t>
      </w:r>
    </w:p>
    <w:p>
      <w:pPr>
        <w:ind w:firstLine="420" w:firstLineChars="200"/>
        <w:rPr>
          <w:rFonts w:hint="eastAsia"/>
        </w:rPr>
      </w:pPr>
      <w:r>
        <w:rPr>
          <w:rFonts w:hint="eastAsia"/>
        </w:rPr>
        <w:t>基础硬件环境完全依托于国家级“天擎”系统、气象局本地计算资源以及政务云统一提供。所有服务器、计算、存储及网络设备均纳入云平台的统一管理与调度，实现硬件资源的池化、弹性扩展与高效利用。平台所需的各类中间件软件（数据库、消息服务、GIS服务等）直接复用“天擎”和政务云已提供的成熟组件，避免重复建设，确保技术栈的统一性与可靠性。</w:t>
      </w:r>
    </w:p>
    <w:p>
      <w:pPr>
        <w:ind w:firstLine="420" w:firstLineChars="200"/>
        <w:rPr>
          <w:rFonts w:hint="eastAsia"/>
        </w:rPr>
      </w:pPr>
      <w:r>
        <w:rPr>
          <w:rFonts w:hint="eastAsia"/>
        </w:rPr>
        <w:t>加强业务软件国产化建设，实现以风云卫星遥感、</w:t>
      </w:r>
      <w:r>
        <w:rPr>
          <w:rFonts w:hint="eastAsia"/>
        </w:rPr>
        <w:t>国家分析实况、国产再分析、气候模式等资料为代表的国产数据业务应用替换，全面适配国产软硬件产品，同时保证数据处理与业务应用效率的全面提升。</w:t>
      </w:r>
    </w:p>
    <w:p>
      <w:pPr>
        <w:ind w:firstLine="420" w:firstLineChars="200"/>
        <w:rPr>
          <w:rFonts w:hint="eastAsia"/>
        </w:rPr>
        <w:sectPr>
          <w:pgSz w:w="11906" w:h="16838"/>
          <w:pgMar w:top="1440" w:right="1800" w:bottom="1440" w:left="1800" w:header="851" w:footer="992" w:gutter="0"/>
          <w:cols w:num="1" w:space="425"/>
          <w:docGrid w:type="lines" w:linePitch="312" w:charSpace="0"/>
        </w:sectPr>
      </w:pPr>
    </w:p>
    <w:p>
      <w:pPr>
        <w:pStyle w:val="Heading2"/>
        <w:numPr>
          <w:ilvl w:val="1"/>
          <w:numId w:val="4"/>
        </w:numPr>
      </w:pPr>
      <w:r>
        <w:rPr>
          <w:rFonts w:hint="eastAsia"/>
        </w:rPr>
        <w:t>技术团队要求</w:t>
      </w:r>
    </w:p>
    <w:p>
      <w:pPr>
        <w:ind w:firstLine="420" w:firstLineChars="200"/>
        <w:rPr>
          <w:rFonts w:hint="eastAsia"/>
        </w:rPr>
      </w:pPr>
      <w:r>
        <w:rPr>
          <w:rFonts w:hint="eastAsia"/>
        </w:rPr>
        <w:t>由于项目规模较大，专业性和技术性强，供应商应具有一定的专业技术资质资格和业绩条件，有能力完成项目的建设并保证后续的运行维护和系统升级服务。</w:t>
      </w:r>
    </w:p>
    <w:p>
      <w:pPr>
        <w:ind w:firstLine="420" w:firstLineChars="200"/>
        <w:rPr>
          <w:rFonts w:hint="eastAsia"/>
        </w:rPr>
      </w:pPr>
      <w:r>
        <w:rPr>
          <w:rFonts w:hint="eastAsia"/>
        </w:rPr>
        <w:t>由于本项目建设内容复杂且建设周期相对较长，需要有一定实力的团队驻场服务并在建设期专职负责本项目建设，因此需要一定的技术团队实力，项目经理和团队人员都需要具有一定的经验和技术能力。</w:t>
      </w:r>
    </w:p>
    <w:p>
      <w:pPr>
        <w:ind w:firstLine="420" w:firstLineChars="200"/>
        <w:rPr>
          <w:rFonts w:hint="eastAsia"/>
        </w:rPr>
      </w:pPr>
      <w:r>
        <w:rPr>
          <w:rFonts w:hint="eastAsia"/>
        </w:rPr>
        <w:t>投标人必须成立合理的组织机构，建立健全保障设计、开发工作顺利实施的各项管理制度和质量保证体系，安排好足够的高素质人才参加本项目工作。</w:t>
      </w:r>
    </w:p>
    <w:p>
      <w:pPr>
        <w:ind w:firstLine="420" w:firstLineChars="200"/>
        <w:rPr>
          <w:rFonts w:hint="eastAsia"/>
        </w:rPr>
      </w:pPr>
      <w:r>
        <w:rPr>
          <w:rFonts w:hint="eastAsia"/>
        </w:rPr>
        <w:t>在组织机构中应明确各岗位的职责、任职资格及成果，确保项目顺利实施，应分别配备有项目经理、技术负责人承担本项目工作。</w:t>
      </w:r>
    </w:p>
    <w:p>
      <w:pPr>
        <w:ind w:firstLine="420" w:firstLineChars="200"/>
        <w:rPr>
          <w:rFonts w:hint="eastAsia"/>
        </w:rPr>
      </w:pPr>
      <w:r>
        <w:rPr>
          <w:rFonts w:hint="eastAsia"/>
        </w:rPr>
        <w:t>投标人应确保服务于本项目的核心技术人员及主要开发人员稳定，提供不少于2</w:t>
      </w:r>
      <w:r>
        <w:rPr>
          <w:rFonts w:hint="eastAsia"/>
          <w:lang w:val="en-US" w:eastAsia="zh-CN"/>
        </w:rPr>
        <w:t>0</w:t>
      </w:r>
      <w:r>
        <w:rPr>
          <w:rFonts w:hint="eastAsia"/>
        </w:rPr>
        <w:t>人的实施团队，其中软件开发人员不少于</w:t>
      </w:r>
      <w:r>
        <w:rPr>
          <w:rFonts w:hint="eastAsia"/>
          <w:lang w:val="en-US" w:eastAsia="zh-CN"/>
        </w:rPr>
        <w:t>15</w:t>
      </w:r>
      <w:r>
        <w:rPr>
          <w:rFonts w:hint="eastAsia"/>
        </w:rPr>
        <w:t>名，并提供上述团队的重大活动（任务）驻场服务，软件项目终验前，驻场开发团队不少于</w:t>
      </w:r>
      <w:r>
        <w:rPr>
          <w:rFonts w:hint="eastAsia"/>
          <w:lang w:val="en-US" w:eastAsia="zh-CN"/>
        </w:rPr>
        <w:t>15</w:t>
      </w:r>
      <w:r>
        <w:rPr>
          <w:rFonts w:hint="eastAsia"/>
        </w:rPr>
        <w:t xml:space="preserve">人。 </w:t>
      </w:r>
    </w:p>
    <w:p>
      <w:pPr>
        <w:pStyle w:val="Heading2"/>
        <w:numPr>
          <w:ilvl w:val="1"/>
          <w:numId w:val="4"/>
        </w:numPr>
      </w:pPr>
      <w:r>
        <w:rPr>
          <w:rFonts w:hint="eastAsia"/>
        </w:rPr>
        <w:t>布局与部署要求</w:t>
      </w:r>
    </w:p>
    <w:p>
      <w:pPr>
        <w:ind w:firstLine="420"/>
        <w:rPr>
          <w:rFonts w:hint="eastAsia"/>
        </w:rPr>
      </w:pPr>
      <w:r>
        <w:t xml:space="preserve">本项目遵循“集约化建设、云原生架构、分层协同”的总体原则。各子系统优先依托国家气候中心气候业务核心平台及气象大数据云平台“天擎”进行部署，充分利用现有高性能计算（HPC）、智算资源及容器化编排能力，避免重复建设，保障全流程自动化与业务化稳定运行。 </w:t>
      </w:r>
    </w:p>
    <w:p>
      <w:pPr>
        <w:pStyle w:val="Heading2"/>
        <w:numPr>
          <w:ilvl w:val="1"/>
          <w:numId w:val="4"/>
        </w:numPr>
      </w:pPr>
      <w:r>
        <w:rPr>
          <w:rFonts w:hint="eastAsia"/>
        </w:rPr>
        <w:t>安全保密要求</w:t>
      </w:r>
    </w:p>
    <w:p>
      <w:pPr>
        <w:ind w:firstLine="420"/>
        <w:rPr>
          <w:rFonts w:hint="eastAsia"/>
        </w:rPr>
      </w:pPr>
      <w:r>
        <w:rPr>
          <w:rFonts w:hint="eastAsia"/>
        </w:rPr>
        <w:t>1、安全保密基本要求</w:t>
      </w:r>
    </w:p>
    <w:p>
      <w:pPr>
        <w:ind w:firstLine="420"/>
        <w:rPr>
          <w:rFonts w:hint="eastAsia"/>
        </w:rPr>
      </w:pPr>
      <w:r>
        <w:rPr>
          <w:rFonts w:hint="eastAsia"/>
        </w:rPr>
        <w:t>实施方必须对项目技术文件以及由甲方提供的所有内部材料、技术文档和信息予以保密。</w:t>
      </w:r>
    </w:p>
    <w:p>
      <w:pPr>
        <w:ind w:firstLine="420"/>
        <w:rPr>
          <w:rFonts w:hint="eastAsia"/>
        </w:rPr>
      </w:pPr>
      <w:r>
        <w:rPr>
          <w:rFonts w:hint="eastAsia"/>
        </w:rPr>
        <w:t>实施方必须对项目开发和运行维护期间的任何资料予以保密，包括并不限于数据，用户访问记录和操作日志等。</w:t>
      </w:r>
    </w:p>
    <w:p>
      <w:pPr>
        <w:ind w:firstLine="420"/>
        <w:rPr>
          <w:rFonts w:hint="eastAsia"/>
        </w:rPr>
      </w:pPr>
      <w:r>
        <w:rPr>
          <w:rFonts w:hint="eastAsia"/>
        </w:rPr>
        <w:t>实施方必须遵守与甲方签订的保密协议，未经甲方书面许可，投标人不得以任何形式向第三方透露本项目标书以及本项目的任何内容。</w:t>
      </w:r>
    </w:p>
    <w:p>
      <w:pPr>
        <w:ind w:firstLine="420"/>
        <w:rPr>
          <w:rFonts w:hint="eastAsia"/>
        </w:rPr>
      </w:pPr>
      <w:r>
        <w:rPr>
          <w:rFonts w:hint="eastAsia"/>
        </w:rPr>
        <w:t>2、实施和维护过程涉密管理要求</w:t>
      </w:r>
    </w:p>
    <w:p>
      <w:pPr>
        <w:ind w:firstLine="420"/>
      </w:pPr>
      <w:r>
        <w:rPr>
          <w:rFonts w:hint="eastAsia"/>
        </w:rPr>
        <w:t>本项目平台在开发、调测、运行过程中存在接触保密信息环境，有接触敏感信息与资料风险。实施方及相关人员需履行安全备案，建立安全保密制度，并需按安全保密管理规程操作实施。</w:t>
      </w:r>
    </w:p>
    <w:p>
      <w:pPr>
        <w:ind w:firstLine="420"/>
      </w:pPr>
      <w:r>
        <w:t xml:space="preserve">最终提交的系统要满足信息系统安全二级保护的基本要求，重点在身份鉴别、访问控制、安全审计、软件容错、数据安全性和保密性等方面，并配合用户完成第三方安全等保评测机构针对所交付系统的评审。  </w:t>
      </w:r>
    </w:p>
    <w:p>
      <w:pPr>
        <w:ind w:firstLine="420"/>
        <w:rPr>
          <w:rFonts w:hint="eastAsia"/>
        </w:rPr>
      </w:pPr>
    </w:p>
    <w:p>
      <w:pPr>
        <w:pStyle w:val="Heading2"/>
        <w:numPr>
          <w:ilvl w:val="1"/>
          <w:numId w:val="4"/>
        </w:numPr>
      </w:pPr>
      <w:r>
        <w:rPr>
          <w:rFonts w:hint="eastAsia"/>
        </w:rPr>
        <w:t>软件交付物要求</w:t>
      </w:r>
    </w:p>
    <w:p>
      <w:pPr>
        <w:pStyle w:val="Heading3"/>
        <w:rPr>
          <w:rFonts w:hint="eastAsia"/>
        </w:rPr>
      </w:pPr>
      <w:r>
        <w:rPr>
          <w:rFonts w:hint="eastAsia"/>
        </w:rPr>
        <w:t>1.交付文档</w:t>
      </w:r>
    </w:p>
    <w:tbl>
      <w:tblPr>
        <w:tblStyle w:val="TableGrid"/>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031"/>
        <w:gridCol w:w="1871"/>
        <w:gridCol w:w="3179"/>
        <w:gridCol w:w="2438"/>
      </w:tblGrid>
      <w:tr>
        <w:tblPrEx>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blHeader/>
          <w:jc w:val="center"/>
        </w:trPr>
        <w:tc>
          <w:tcPr>
            <w:tcW w:w="605" w:type="pct"/>
            <w:shd w:val="clear" w:color="auto" w:fill="E7E6E6" w:themeFill="background2"/>
          </w:tcPr>
          <w:p>
            <w:pPr>
              <w:pStyle w:val="ListParagraph"/>
              <w:ind w:firstLine="0" w:firstLineChars="0"/>
              <w:jc w:val="center"/>
              <w:rPr>
                <w:b/>
                <w:bCs/>
                <w:szCs w:val="21"/>
              </w:rPr>
            </w:pPr>
            <w:r>
              <w:rPr>
                <w:rFonts w:hint="eastAsia"/>
                <w:b/>
                <w:bCs/>
                <w:szCs w:val="21"/>
              </w:rPr>
              <w:t>序号</w:t>
            </w:r>
          </w:p>
        </w:tc>
        <w:tc>
          <w:tcPr>
            <w:tcW w:w="1098" w:type="pct"/>
            <w:shd w:val="clear" w:color="auto" w:fill="E7E6E6" w:themeFill="background2"/>
          </w:tcPr>
          <w:p>
            <w:pPr>
              <w:pStyle w:val="ListParagraph"/>
              <w:ind w:firstLine="0" w:firstLineChars="0"/>
              <w:jc w:val="center"/>
              <w:rPr>
                <w:b/>
                <w:bCs/>
                <w:szCs w:val="21"/>
              </w:rPr>
            </w:pPr>
            <w:r>
              <w:rPr>
                <w:rFonts w:hint="eastAsia"/>
                <w:b/>
                <w:bCs/>
                <w:szCs w:val="21"/>
              </w:rPr>
              <w:t>阶段任务</w:t>
            </w:r>
          </w:p>
        </w:tc>
        <w:tc>
          <w:tcPr>
            <w:tcW w:w="1866" w:type="pct"/>
            <w:shd w:val="clear" w:color="auto" w:fill="E7E6E6" w:themeFill="background2"/>
          </w:tcPr>
          <w:p>
            <w:pPr>
              <w:pStyle w:val="ListParagraph"/>
              <w:ind w:firstLine="0" w:firstLineChars="0"/>
              <w:jc w:val="center"/>
              <w:rPr>
                <w:b/>
                <w:bCs/>
                <w:szCs w:val="21"/>
              </w:rPr>
            </w:pPr>
            <w:r>
              <w:rPr>
                <w:rFonts w:hint="eastAsia"/>
                <w:b/>
                <w:bCs/>
                <w:szCs w:val="21"/>
              </w:rPr>
              <w:t>工作内容</w:t>
            </w:r>
          </w:p>
        </w:tc>
        <w:tc>
          <w:tcPr>
            <w:tcW w:w="1431" w:type="pct"/>
            <w:shd w:val="clear" w:color="auto" w:fill="E7E6E6" w:themeFill="background2"/>
          </w:tcPr>
          <w:p>
            <w:pPr>
              <w:pStyle w:val="ListParagraph"/>
              <w:ind w:firstLine="0" w:firstLineChars="0"/>
              <w:jc w:val="center"/>
              <w:rPr>
                <w:b/>
                <w:bCs/>
                <w:szCs w:val="21"/>
              </w:rPr>
            </w:pPr>
            <w:r>
              <w:rPr>
                <w:rFonts w:hint="eastAsia"/>
                <w:b/>
                <w:bCs/>
                <w:szCs w:val="21"/>
              </w:rPr>
              <w:t>交付物</w:t>
            </w:r>
          </w:p>
        </w:tc>
      </w:tr>
      <w:tr>
        <w:tblPrEx>
          <w:tblW w:w="4998" w:type="pct"/>
          <w:jc w:val="center"/>
          <w:tblCellMar>
            <w:top w:w="0" w:type="dxa"/>
            <w:left w:w="108" w:type="dxa"/>
            <w:bottom w:w="0" w:type="dxa"/>
            <w:right w:w="108" w:type="dxa"/>
          </w:tblCellMar>
        </w:tblPrEx>
        <w:trPr>
          <w:jc w:val="center"/>
        </w:trPr>
        <w:tc>
          <w:tcPr>
            <w:tcW w:w="605" w:type="pct"/>
            <w:vAlign w:val="center"/>
          </w:tcPr>
          <w:p>
            <w:pPr>
              <w:pStyle w:val="ListParagraph"/>
              <w:ind w:firstLine="0" w:firstLineChars="0"/>
              <w:jc w:val="center"/>
              <w:rPr>
                <w:szCs w:val="21"/>
              </w:rPr>
            </w:pPr>
            <w:r>
              <w:rPr>
                <w:rFonts w:hint="eastAsia"/>
                <w:szCs w:val="21"/>
              </w:rPr>
              <w:t>1</w:t>
            </w:r>
          </w:p>
        </w:tc>
        <w:tc>
          <w:tcPr>
            <w:tcW w:w="1098" w:type="pct"/>
            <w:vAlign w:val="center"/>
          </w:tcPr>
          <w:p>
            <w:pPr>
              <w:pStyle w:val="ListParagraph"/>
              <w:ind w:firstLine="0" w:firstLineChars="0"/>
              <w:jc w:val="center"/>
              <w:rPr>
                <w:szCs w:val="21"/>
              </w:rPr>
            </w:pPr>
            <w:r>
              <w:rPr>
                <w:szCs w:val="21"/>
              </w:rPr>
              <w:t>开发规划</w:t>
            </w:r>
          </w:p>
        </w:tc>
        <w:tc>
          <w:tcPr>
            <w:tcW w:w="1866" w:type="pct"/>
            <w:vAlign w:val="center"/>
          </w:tcPr>
          <w:p>
            <w:pPr>
              <w:pStyle w:val="ListParagraph"/>
              <w:ind w:firstLine="0" w:firstLineChars="0"/>
              <w:jc w:val="left"/>
              <w:rPr>
                <w:szCs w:val="21"/>
              </w:rPr>
            </w:pPr>
            <w:r>
              <w:rPr>
                <w:szCs w:val="21"/>
              </w:rPr>
              <w:t>根据业务需求和目标，对系统的功能模块、技术架构、开发周期、资源分配、风险控制等进行统筹设计和安排。</w:t>
            </w:r>
          </w:p>
        </w:tc>
        <w:tc>
          <w:tcPr>
            <w:tcW w:w="1431" w:type="pct"/>
            <w:vAlign w:val="center"/>
          </w:tcPr>
          <w:p>
            <w:pPr>
              <w:pStyle w:val="ListParagraph"/>
              <w:ind w:firstLine="0" w:firstLineChars="0"/>
              <w:jc w:val="left"/>
              <w:rPr>
                <w:szCs w:val="21"/>
              </w:rPr>
            </w:pPr>
          </w:p>
        </w:tc>
      </w:tr>
      <w:tr>
        <w:tblPrEx>
          <w:tblW w:w="4998" w:type="pct"/>
          <w:jc w:val="center"/>
          <w:tblCellMar>
            <w:top w:w="0" w:type="dxa"/>
            <w:left w:w="108" w:type="dxa"/>
            <w:bottom w:w="0" w:type="dxa"/>
            <w:right w:w="108" w:type="dxa"/>
          </w:tblCellMar>
        </w:tblPrEx>
        <w:trPr>
          <w:jc w:val="center"/>
        </w:trPr>
        <w:tc>
          <w:tcPr>
            <w:tcW w:w="605" w:type="pct"/>
            <w:vAlign w:val="center"/>
          </w:tcPr>
          <w:p>
            <w:pPr>
              <w:pStyle w:val="ListParagraph"/>
              <w:ind w:firstLine="0" w:firstLineChars="0"/>
              <w:jc w:val="center"/>
              <w:rPr>
                <w:szCs w:val="21"/>
              </w:rPr>
            </w:pPr>
            <w:r>
              <w:rPr>
                <w:rFonts w:hint="eastAsia"/>
                <w:szCs w:val="21"/>
              </w:rPr>
              <w:t>2</w:t>
            </w:r>
          </w:p>
        </w:tc>
        <w:tc>
          <w:tcPr>
            <w:tcW w:w="1098" w:type="pct"/>
            <w:vAlign w:val="center"/>
          </w:tcPr>
          <w:p>
            <w:pPr>
              <w:pStyle w:val="ListParagraph"/>
              <w:ind w:firstLine="0" w:firstLineChars="0"/>
              <w:jc w:val="center"/>
              <w:rPr>
                <w:szCs w:val="21"/>
              </w:rPr>
            </w:pPr>
            <w:r>
              <w:rPr>
                <w:szCs w:val="21"/>
              </w:rPr>
              <w:t>需求分析</w:t>
            </w:r>
          </w:p>
        </w:tc>
        <w:tc>
          <w:tcPr>
            <w:tcW w:w="1866" w:type="pct"/>
            <w:vAlign w:val="center"/>
          </w:tcPr>
          <w:p>
            <w:pPr>
              <w:pStyle w:val="ListParagraph"/>
              <w:ind w:firstLine="0" w:firstLineChars="0"/>
              <w:jc w:val="left"/>
              <w:rPr>
                <w:szCs w:val="21"/>
              </w:rPr>
            </w:pPr>
            <w:r>
              <w:rPr>
                <w:szCs w:val="21"/>
              </w:rPr>
              <w:t>提交软件需求阶段应提交的各类文档，通过评审。需求分析包括所有软件功能的分析。</w:t>
            </w:r>
          </w:p>
        </w:tc>
        <w:tc>
          <w:tcPr>
            <w:tcW w:w="1431" w:type="pct"/>
            <w:vAlign w:val="center"/>
          </w:tcPr>
          <w:p>
            <w:pPr>
              <w:pStyle w:val="ListParagraph"/>
              <w:ind w:firstLine="0" w:firstLineChars="0"/>
              <w:jc w:val="left"/>
              <w:rPr>
                <w:szCs w:val="21"/>
              </w:rPr>
            </w:pPr>
            <w:r>
              <w:rPr>
                <w:rFonts w:hint="eastAsia"/>
                <w:szCs w:val="21"/>
              </w:rPr>
              <w:t>《用户需求说明书》、《</w:t>
            </w:r>
            <w:r>
              <w:rPr>
                <w:szCs w:val="21"/>
              </w:rPr>
              <w:t>软件需求规格说明书</w:t>
            </w:r>
            <w:r>
              <w:rPr>
                <w:rFonts w:hint="eastAsia"/>
                <w:szCs w:val="21"/>
              </w:rPr>
              <w:t>》</w:t>
            </w:r>
          </w:p>
        </w:tc>
      </w:tr>
      <w:tr>
        <w:tblPrEx>
          <w:tblW w:w="4998" w:type="pct"/>
          <w:jc w:val="center"/>
          <w:tblCellMar>
            <w:top w:w="0" w:type="dxa"/>
            <w:left w:w="108" w:type="dxa"/>
            <w:bottom w:w="0" w:type="dxa"/>
            <w:right w:w="108" w:type="dxa"/>
          </w:tblCellMar>
        </w:tblPrEx>
        <w:trPr>
          <w:jc w:val="center"/>
        </w:trPr>
        <w:tc>
          <w:tcPr>
            <w:tcW w:w="605" w:type="pct"/>
            <w:vAlign w:val="center"/>
          </w:tcPr>
          <w:p>
            <w:pPr>
              <w:pStyle w:val="ListParagraph"/>
              <w:ind w:firstLine="0" w:firstLineChars="0"/>
              <w:jc w:val="center"/>
              <w:rPr>
                <w:szCs w:val="21"/>
              </w:rPr>
            </w:pPr>
            <w:r>
              <w:rPr>
                <w:rFonts w:hint="eastAsia"/>
                <w:szCs w:val="21"/>
              </w:rPr>
              <w:t>3</w:t>
            </w:r>
          </w:p>
        </w:tc>
        <w:tc>
          <w:tcPr>
            <w:tcW w:w="1098" w:type="pct"/>
            <w:vAlign w:val="center"/>
          </w:tcPr>
          <w:p>
            <w:pPr>
              <w:pStyle w:val="ListParagraph"/>
              <w:ind w:firstLine="0" w:firstLineChars="0"/>
              <w:jc w:val="center"/>
              <w:rPr>
                <w:szCs w:val="21"/>
              </w:rPr>
            </w:pPr>
            <w:r>
              <w:rPr>
                <w:rFonts w:hint="eastAsia"/>
                <w:szCs w:val="21"/>
              </w:rPr>
              <w:t>体系结构</w:t>
            </w:r>
            <w:r>
              <w:rPr>
                <w:szCs w:val="21"/>
              </w:rPr>
              <w:t>设计</w:t>
            </w:r>
          </w:p>
        </w:tc>
        <w:tc>
          <w:tcPr>
            <w:tcW w:w="1866" w:type="pct"/>
            <w:vAlign w:val="center"/>
          </w:tcPr>
          <w:p>
            <w:pPr>
              <w:pStyle w:val="ListParagraph"/>
              <w:ind w:firstLine="0" w:firstLineChars="0"/>
              <w:jc w:val="left"/>
              <w:rPr>
                <w:szCs w:val="21"/>
              </w:rPr>
            </w:pPr>
            <w:r>
              <w:rPr>
                <w:szCs w:val="21"/>
              </w:rPr>
              <w:t>提交</w:t>
            </w:r>
            <w:r>
              <w:rPr>
                <w:rFonts w:hint="eastAsia"/>
                <w:szCs w:val="21"/>
              </w:rPr>
              <w:t>体系结构</w:t>
            </w:r>
            <w:r>
              <w:rPr>
                <w:szCs w:val="21"/>
              </w:rPr>
              <w:t>设计阶段应提交的各类文档，通过评审。</w:t>
            </w:r>
          </w:p>
        </w:tc>
        <w:tc>
          <w:tcPr>
            <w:tcW w:w="1431" w:type="pct"/>
            <w:vAlign w:val="center"/>
          </w:tcPr>
          <w:p>
            <w:pPr>
              <w:pStyle w:val="ListParagraph"/>
              <w:ind w:firstLine="0" w:firstLineChars="0"/>
              <w:jc w:val="left"/>
              <w:rPr>
                <w:szCs w:val="21"/>
              </w:rPr>
            </w:pPr>
            <w:r>
              <w:rPr>
                <w:rFonts w:hint="eastAsia"/>
                <w:szCs w:val="21"/>
              </w:rPr>
              <w:t>《体系</w:t>
            </w:r>
            <w:r>
              <w:rPr>
                <w:szCs w:val="21"/>
              </w:rPr>
              <w:t>设计说明书</w:t>
            </w:r>
            <w:r>
              <w:rPr>
                <w:rFonts w:hint="eastAsia"/>
                <w:szCs w:val="21"/>
              </w:rPr>
              <w:t>》</w:t>
            </w:r>
          </w:p>
        </w:tc>
      </w:tr>
      <w:tr>
        <w:tblPrEx>
          <w:tblW w:w="4998" w:type="pct"/>
          <w:jc w:val="center"/>
          <w:tblCellMar>
            <w:top w:w="0" w:type="dxa"/>
            <w:left w:w="108" w:type="dxa"/>
            <w:bottom w:w="0" w:type="dxa"/>
            <w:right w:w="108" w:type="dxa"/>
          </w:tblCellMar>
        </w:tblPrEx>
        <w:trPr>
          <w:jc w:val="center"/>
        </w:trPr>
        <w:tc>
          <w:tcPr>
            <w:tcW w:w="605" w:type="pct"/>
            <w:vAlign w:val="center"/>
          </w:tcPr>
          <w:p>
            <w:pPr>
              <w:pStyle w:val="ListParagraph"/>
              <w:ind w:firstLine="0" w:firstLineChars="0"/>
              <w:jc w:val="center"/>
              <w:rPr>
                <w:szCs w:val="21"/>
              </w:rPr>
            </w:pPr>
            <w:r>
              <w:rPr>
                <w:rFonts w:hint="eastAsia"/>
                <w:szCs w:val="21"/>
              </w:rPr>
              <w:t>4</w:t>
            </w:r>
          </w:p>
        </w:tc>
        <w:tc>
          <w:tcPr>
            <w:tcW w:w="1098" w:type="pct"/>
            <w:vAlign w:val="center"/>
          </w:tcPr>
          <w:p>
            <w:pPr>
              <w:pStyle w:val="ListParagraph"/>
              <w:ind w:firstLine="0" w:firstLineChars="0"/>
              <w:jc w:val="center"/>
              <w:rPr>
                <w:szCs w:val="21"/>
              </w:rPr>
            </w:pPr>
            <w:r>
              <w:rPr>
                <w:szCs w:val="21"/>
              </w:rPr>
              <w:t>详细设计</w:t>
            </w:r>
          </w:p>
        </w:tc>
        <w:tc>
          <w:tcPr>
            <w:tcW w:w="1866" w:type="pct"/>
            <w:vAlign w:val="center"/>
          </w:tcPr>
          <w:p>
            <w:pPr>
              <w:pStyle w:val="ListParagraph"/>
              <w:ind w:firstLine="0" w:firstLineChars="0"/>
              <w:jc w:val="left"/>
              <w:rPr>
                <w:szCs w:val="21"/>
              </w:rPr>
            </w:pPr>
            <w:r>
              <w:rPr>
                <w:szCs w:val="21"/>
              </w:rPr>
              <w:t>提交软件详细设计阶段应提交的各类文档，通过评审。</w:t>
            </w:r>
          </w:p>
        </w:tc>
        <w:tc>
          <w:tcPr>
            <w:tcW w:w="1431" w:type="pct"/>
            <w:vAlign w:val="center"/>
          </w:tcPr>
          <w:p>
            <w:pPr>
              <w:pStyle w:val="ListParagraph"/>
              <w:ind w:firstLine="0" w:firstLineChars="0"/>
              <w:jc w:val="left"/>
              <w:rPr>
                <w:szCs w:val="21"/>
              </w:rPr>
            </w:pPr>
            <w:r>
              <w:rPr>
                <w:rFonts w:hint="eastAsia"/>
                <w:szCs w:val="21"/>
              </w:rPr>
              <w:t>《</w:t>
            </w:r>
            <w:r>
              <w:rPr>
                <w:szCs w:val="21"/>
              </w:rPr>
              <w:t>详细设计</w:t>
            </w:r>
            <w:r>
              <w:rPr>
                <w:rFonts w:hint="eastAsia"/>
                <w:szCs w:val="21"/>
              </w:rPr>
              <w:t>说明书》</w:t>
            </w:r>
          </w:p>
        </w:tc>
      </w:tr>
      <w:tr>
        <w:tblPrEx>
          <w:tblW w:w="4998" w:type="pct"/>
          <w:jc w:val="center"/>
          <w:tblCellMar>
            <w:top w:w="0" w:type="dxa"/>
            <w:left w:w="108" w:type="dxa"/>
            <w:bottom w:w="0" w:type="dxa"/>
            <w:right w:w="108" w:type="dxa"/>
          </w:tblCellMar>
        </w:tblPrEx>
        <w:trPr>
          <w:jc w:val="center"/>
        </w:trPr>
        <w:tc>
          <w:tcPr>
            <w:tcW w:w="605" w:type="pct"/>
            <w:vAlign w:val="center"/>
          </w:tcPr>
          <w:p>
            <w:pPr>
              <w:pStyle w:val="ListParagraph"/>
              <w:ind w:firstLine="0" w:firstLineChars="0"/>
              <w:jc w:val="center"/>
              <w:rPr>
                <w:szCs w:val="21"/>
              </w:rPr>
            </w:pPr>
            <w:r>
              <w:rPr>
                <w:rFonts w:hint="eastAsia"/>
                <w:szCs w:val="21"/>
              </w:rPr>
              <w:t>5</w:t>
            </w:r>
          </w:p>
        </w:tc>
        <w:tc>
          <w:tcPr>
            <w:tcW w:w="1098" w:type="pct"/>
            <w:vAlign w:val="center"/>
          </w:tcPr>
          <w:p>
            <w:pPr>
              <w:pStyle w:val="ListParagraph"/>
              <w:ind w:firstLine="0" w:firstLineChars="0"/>
              <w:jc w:val="center"/>
              <w:rPr>
                <w:szCs w:val="21"/>
              </w:rPr>
            </w:pPr>
            <w:r>
              <w:rPr>
                <w:szCs w:val="21"/>
              </w:rPr>
              <w:t>编码和调试</w:t>
            </w:r>
          </w:p>
        </w:tc>
        <w:tc>
          <w:tcPr>
            <w:tcW w:w="1866" w:type="pct"/>
            <w:vAlign w:val="center"/>
          </w:tcPr>
          <w:p>
            <w:pPr>
              <w:pStyle w:val="ListParagraph"/>
              <w:ind w:firstLine="0" w:firstLineChars="0"/>
              <w:jc w:val="left"/>
              <w:rPr>
                <w:szCs w:val="21"/>
              </w:rPr>
            </w:pPr>
            <w:r>
              <w:rPr>
                <w:szCs w:val="21"/>
              </w:rPr>
              <w:t>完成程序编码、调试和单元测试，提交系统阶段测试版本。</w:t>
            </w:r>
          </w:p>
        </w:tc>
        <w:tc>
          <w:tcPr>
            <w:tcW w:w="1431" w:type="pct"/>
            <w:vAlign w:val="center"/>
          </w:tcPr>
          <w:p>
            <w:pPr>
              <w:pStyle w:val="ListParagraph"/>
              <w:ind w:firstLine="0" w:firstLineChars="0"/>
              <w:jc w:val="left"/>
              <w:rPr>
                <w:szCs w:val="21"/>
              </w:rPr>
            </w:pPr>
          </w:p>
        </w:tc>
      </w:tr>
      <w:tr>
        <w:tblPrEx>
          <w:tblW w:w="4998" w:type="pct"/>
          <w:jc w:val="center"/>
          <w:tblCellMar>
            <w:top w:w="0" w:type="dxa"/>
            <w:left w:w="108" w:type="dxa"/>
            <w:bottom w:w="0" w:type="dxa"/>
            <w:right w:w="108" w:type="dxa"/>
          </w:tblCellMar>
        </w:tblPrEx>
        <w:trPr>
          <w:jc w:val="center"/>
        </w:trPr>
        <w:tc>
          <w:tcPr>
            <w:tcW w:w="605" w:type="pct"/>
            <w:vAlign w:val="center"/>
          </w:tcPr>
          <w:p>
            <w:pPr>
              <w:pStyle w:val="ListParagraph"/>
              <w:ind w:firstLine="0" w:firstLineChars="0"/>
              <w:jc w:val="center"/>
              <w:rPr>
                <w:szCs w:val="21"/>
              </w:rPr>
            </w:pPr>
            <w:r>
              <w:rPr>
                <w:rFonts w:hint="eastAsia"/>
                <w:szCs w:val="21"/>
              </w:rPr>
              <w:t>6</w:t>
            </w:r>
          </w:p>
        </w:tc>
        <w:tc>
          <w:tcPr>
            <w:tcW w:w="1098" w:type="pct"/>
            <w:vAlign w:val="center"/>
          </w:tcPr>
          <w:p>
            <w:pPr>
              <w:pStyle w:val="ListParagraph"/>
              <w:ind w:firstLine="0" w:firstLineChars="0"/>
              <w:jc w:val="center"/>
              <w:rPr>
                <w:szCs w:val="21"/>
              </w:rPr>
            </w:pPr>
            <w:r>
              <w:rPr>
                <w:szCs w:val="21"/>
              </w:rPr>
              <w:t>集成测试</w:t>
            </w:r>
          </w:p>
        </w:tc>
        <w:tc>
          <w:tcPr>
            <w:tcW w:w="1866" w:type="pct"/>
            <w:vAlign w:val="center"/>
          </w:tcPr>
          <w:p>
            <w:pPr>
              <w:pStyle w:val="ListParagraph"/>
              <w:ind w:firstLine="0" w:firstLineChars="0"/>
              <w:jc w:val="left"/>
              <w:rPr>
                <w:szCs w:val="21"/>
              </w:rPr>
            </w:pPr>
            <w:r>
              <w:rPr>
                <w:szCs w:val="21"/>
              </w:rPr>
              <w:t>完成系统功能应用集成、测试方案、测试报告。</w:t>
            </w:r>
          </w:p>
        </w:tc>
        <w:tc>
          <w:tcPr>
            <w:tcW w:w="1431" w:type="pct"/>
            <w:vAlign w:val="center"/>
          </w:tcPr>
          <w:p>
            <w:pPr>
              <w:pStyle w:val="ListParagraph"/>
              <w:ind w:firstLine="0" w:firstLineChars="0"/>
              <w:jc w:val="left"/>
              <w:rPr>
                <w:szCs w:val="21"/>
              </w:rPr>
            </w:pPr>
            <w:r>
              <w:rPr>
                <w:rFonts w:hint="eastAsia"/>
                <w:szCs w:val="21"/>
              </w:rPr>
              <w:t>《</w:t>
            </w:r>
            <w:r>
              <w:rPr>
                <w:szCs w:val="21"/>
              </w:rPr>
              <w:t>软件测试方案</w:t>
            </w:r>
            <w:r>
              <w:rPr>
                <w:rFonts w:hint="eastAsia"/>
                <w:szCs w:val="21"/>
              </w:rPr>
              <w:t>》</w:t>
            </w:r>
            <w:r>
              <w:rPr>
                <w:szCs w:val="21"/>
              </w:rPr>
              <w:t>、</w:t>
            </w:r>
            <w:r>
              <w:rPr>
                <w:rFonts w:hint="eastAsia"/>
                <w:szCs w:val="21"/>
              </w:rPr>
              <w:t>《</w:t>
            </w:r>
            <w:r>
              <w:rPr>
                <w:szCs w:val="21"/>
              </w:rPr>
              <w:t>软件测试报告</w:t>
            </w:r>
            <w:r>
              <w:rPr>
                <w:rFonts w:hint="eastAsia"/>
                <w:szCs w:val="21"/>
              </w:rPr>
              <w:t>》</w:t>
            </w:r>
          </w:p>
        </w:tc>
      </w:tr>
      <w:tr>
        <w:tblPrEx>
          <w:tblW w:w="4998" w:type="pct"/>
          <w:jc w:val="center"/>
          <w:tblCellMar>
            <w:top w:w="0" w:type="dxa"/>
            <w:left w:w="108" w:type="dxa"/>
            <w:bottom w:w="0" w:type="dxa"/>
            <w:right w:w="108" w:type="dxa"/>
          </w:tblCellMar>
        </w:tblPrEx>
        <w:trPr>
          <w:jc w:val="center"/>
        </w:trPr>
        <w:tc>
          <w:tcPr>
            <w:tcW w:w="605" w:type="pct"/>
            <w:vAlign w:val="center"/>
          </w:tcPr>
          <w:p>
            <w:pPr>
              <w:pStyle w:val="ListParagraph"/>
              <w:ind w:firstLine="0" w:firstLineChars="0"/>
              <w:jc w:val="center"/>
              <w:rPr>
                <w:szCs w:val="21"/>
              </w:rPr>
            </w:pPr>
            <w:r>
              <w:rPr>
                <w:rFonts w:hint="eastAsia"/>
                <w:szCs w:val="21"/>
              </w:rPr>
              <w:t>7</w:t>
            </w:r>
          </w:p>
        </w:tc>
        <w:tc>
          <w:tcPr>
            <w:tcW w:w="1098" w:type="pct"/>
            <w:vAlign w:val="center"/>
          </w:tcPr>
          <w:p>
            <w:pPr>
              <w:pStyle w:val="ListParagraph"/>
              <w:ind w:firstLine="0" w:firstLineChars="0"/>
              <w:jc w:val="center"/>
              <w:rPr>
                <w:szCs w:val="21"/>
              </w:rPr>
            </w:pPr>
            <w:r>
              <w:rPr>
                <w:szCs w:val="21"/>
              </w:rPr>
              <w:t>项目初验与试运行</w:t>
            </w:r>
          </w:p>
        </w:tc>
        <w:tc>
          <w:tcPr>
            <w:tcW w:w="1866" w:type="pct"/>
            <w:vAlign w:val="center"/>
          </w:tcPr>
          <w:p>
            <w:pPr>
              <w:pStyle w:val="ListParagraph"/>
              <w:ind w:firstLine="0" w:firstLineChars="0"/>
              <w:jc w:val="left"/>
              <w:rPr>
                <w:szCs w:val="21"/>
              </w:rPr>
            </w:pPr>
            <w:r>
              <w:rPr>
                <w:szCs w:val="21"/>
              </w:rPr>
              <w:t>通过软件初验评审，提交系统试运行版本，进入试运行。</w:t>
            </w:r>
          </w:p>
        </w:tc>
        <w:tc>
          <w:tcPr>
            <w:tcW w:w="1431" w:type="pct"/>
            <w:vAlign w:val="center"/>
          </w:tcPr>
          <w:p>
            <w:pPr>
              <w:pStyle w:val="ListParagraph"/>
              <w:ind w:firstLine="0" w:firstLineChars="0"/>
              <w:jc w:val="left"/>
              <w:rPr>
                <w:szCs w:val="21"/>
              </w:rPr>
            </w:pPr>
            <w:r>
              <w:rPr>
                <w:szCs w:val="21"/>
              </w:rPr>
              <w:t>《故障报告处理表》</w:t>
            </w:r>
          </w:p>
        </w:tc>
      </w:tr>
      <w:tr>
        <w:tblPrEx>
          <w:tblW w:w="4998" w:type="pct"/>
          <w:jc w:val="center"/>
          <w:tblCellMar>
            <w:top w:w="0" w:type="dxa"/>
            <w:left w:w="108" w:type="dxa"/>
            <w:bottom w:w="0" w:type="dxa"/>
            <w:right w:w="108" w:type="dxa"/>
          </w:tblCellMar>
        </w:tblPrEx>
        <w:trPr>
          <w:jc w:val="center"/>
        </w:trPr>
        <w:tc>
          <w:tcPr>
            <w:tcW w:w="605" w:type="pct"/>
            <w:vAlign w:val="center"/>
          </w:tcPr>
          <w:p>
            <w:pPr>
              <w:pStyle w:val="ListParagraph"/>
              <w:ind w:firstLine="0" w:firstLineChars="0"/>
              <w:jc w:val="center"/>
              <w:rPr>
                <w:rFonts w:hint="eastAsia"/>
                <w:szCs w:val="21"/>
              </w:rPr>
            </w:pPr>
            <w:r>
              <w:rPr>
                <w:rFonts w:hint="eastAsia"/>
                <w:szCs w:val="21"/>
              </w:rPr>
              <w:t>8</w:t>
            </w:r>
          </w:p>
        </w:tc>
        <w:tc>
          <w:tcPr>
            <w:tcW w:w="1098" w:type="pct"/>
            <w:vAlign w:val="center"/>
          </w:tcPr>
          <w:p>
            <w:pPr>
              <w:pStyle w:val="ListParagraph"/>
              <w:ind w:firstLine="0" w:firstLineChars="0"/>
              <w:jc w:val="center"/>
              <w:rPr>
                <w:szCs w:val="21"/>
              </w:rPr>
            </w:pPr>
            <w:r>
              <w:rPr>
                <w:szCs w:val="21"/>
              </w:rPr>
              <w:t>项目终验</w:t>
            </w:r>
          </w:p>
        </w:tc>
        <w:tc>
          <w:tcPr>
            <w:tcW w:w="1866" w:type="pct"/>
            <w:vAlign w:val="center"/>
          </w:tcPr>
          <w:p>
            <w:pPr>
              <w:pStyle w:val="ListParagraph"/>
              <w:ind w:firstLine="0" w:firstLineChars="0"/>
              <w:jc w:val="left"/>
              <w:rPr>
                <w:szCs w:val="21"/>
              </w:rPr>
            </w:pPr>
            <w:r>
              <w:rPr>
                <w:szCs w:val="21"/>
              </w:rPr>
              <w:t>试运行通过后，提交合同规定材料，对系统进行参数调优，系统正式上线运行</w:t>
            </w:r>
          </w:p>
        </w:tc>
        <w:tc>
          <w:tcPr>
            <w:tcW w:w="1431" w:type="pct"/>
            <w:vAlign w:val="center"/>
          </w:tcPr>
          <w:p>
            <w:pPr>
              <w:pStyle w:val="ListParagraph"/>
              <w:ind w:firstLine="0" w:firstLineChars="0"/>
              <w:jc w:val="left"/>
              <w:rPr>
                <w:rFonts w:hint="eastAsia"/>
                <w:szCs w:val="21"/>
              </w:rPr>
            </w:pPr>
            <w:r>
              <w:rPr>
                <w:szCs w:val="21"/>
              </w:rPr>
              <w:t>《项目开发总结报告》</w:t>
            </w:r>
            <w:r>
              <w:rPr>
                <w:rFonts w:hint="eastAsia"/>
                <w:szCs w:val="21"/>
              </w:rPr>
              <w:t>、</w:t>
            </w:r>
            <w:r>
              <w:rPr>
                <w:szCs w:val="21"/>
              </w:rPr>
              <w:t>《用户验收报告单》</w:t>
            </w:r>
          </w:p>
        </w:tc>
      </w:tr>
      <w:tr>
        <w:tblPrEx>
          <w:tblW w:w="4998" w:type="pct"/>
          <w:jc w:val="center"/>
          <w:tblCellMar>
            <w:top w:w="0" w:type="dxa"/>
            <w:left w:w="108" w:type="dxa"/>
            <w:bottom w:w="0" w:type="dxa"/>
            <w:right w:w="108" w:type="dxa"/>
          </w:tblCellMar>
        </w:tblPrEx>
        <w:trPr>
          <w:jc w:val="center"/>
        </w:trPr>
        <w:tc>
          <w:tcPr>
            <w:tcW w:w="605" w:type="pct"/>
            <w:vAlign w:val="center"/>
          </w:tcPr>
          <w:p>
            <w:pPr>
              <w:pStyle w:val="ListParagraph"/>
              <w:ind w:firstLine="0" w:firstLineChars="0"/>
              <w:jc w:val="center"/>
              <w:rPr>
                <w:szCs w:val="21"/>
              </w:rPr>
            </w:pPr>
            <w:r>
              <w:rPr>
                <w:rFonts w:hint="eastAsia"/>
                <w:szCs w:val="21"/>
              </w:rPr>
              <w:t>9</w:t>
            </w:r>
          </w:p>
        </w:tc>
        <w:tc>
          <w:tcPr>
            <w:tcW w:w="1098" w:type="pct"/>
            <w:vAlign w:val="center"/>
          </w:tcPr>
          <w:p>
            <w:pPr>
              <w:pStyle w:val="ListParagraph"/>
              <w:ind w:firstLine="0" w:firstLineChars="0"/>
              <w:jc w:val="center"/>
              <w:rPr>
                <w:szCs w:val="21"/>
              </w:rPr>
            </w:pPr>
            <w:r>
              <w:rPr>
                <w:szCs w:val="21"/>
              </w:rPr>
              <w:t>售后运维服务</w:t>
            </w:r>
          </w:p>
        </w:tc>
        <w:tc>
          <w:tcPr>
            <w:tcW w:w="3297" w:type="pct"/>
            <w:gridSpan w:val="2"/>
            <w:vAlign w:val="center"/>
          </w:tcPr>
          <w:p>
            <w:pPr>
              <w:pStyle w:val="ListParagraph"/>
              <w:ind w:firstLine="0" w:firstLineChars="0"/>
              <w:jc w:val="center"/>
              <w:rPr>
                <w:szCs w:val="21"/>
              </w:rPr>
            </w:pPr>
            <w:r>
              <w:rPr>
                <w:szCs w:val="21"/>
              </w:rPr>
              <w:t>合同验收完成后提供</w:t>
            </w:r>
            <w:r>
              <w:rPr>
                <w:rFonts w:hint="eastAsia"/>
                <w:szCs w:val="21"/>
              </w:rPr>
              <w:t>不少于1</w:t>
            </w:r>
            <w:r>
              <w:rPr>
                <w:szCs w:val="21"/>
              </w:rPr>
              <w:t xml:space="preserve"> 年质保。</w:t>
            </w:r>
          </w:p>
        </w:tc>
      </w:tr>
    </w:tbl>
    <w:p>
      <w:pPr>
        <w:pStyle w:val="Heading3"/>
        <w:rPr>
          <w:rFonts w:hint="eastAsia"/>
        </w:rPr>
      </w:pPr>
      <w:r>
        <w:rPr>
          <w:rFonts w:hint="eastAsia"/>
        </w:rPr>
        <w:t>2.培训</w:t>
      </w:r>
    </w:p>
    <w:p>
      <w:pPr>
        <w:ind w:firstLine="420"/>
      </w:pPr>
      <w:r>
        <w:t>本项目建设过程中及建成运行中，需要进行多方面、大范围、深层次的技术培训工作。投标人需提供针对本项目的详细培训方案，对甲方的技术人员进行现场培训和集中培训，并应在进行培训之前向甲方提交一份详细的培训计划。培训的时间和地点由甲方共同确认。相关培训费用由投标人承担。投标人需要提供培训时相关的培训资料，如 PPT、产品资料等，均需要中文版本。确保每一位软件系统使用人员能够独立、熟练地完成操作，保证系统用户能够独立处理软件系统故障和进行简单的功能调整。确保培训次数不少于3次，每次培训时间不少于2天，培训总人次不少于100人次。</w:t>
      </w:r>
    </w:p>
    <w:p>
      <w:pPr>
        <w:pStyle w:val="Heading3"/>
        <w:rPr>
          <w:rFonts w:hint="eastAsia"/>
        </w:rPr>
      </w:pPr>
      <w:r>
        <w:rPr>
          <w:rFonts w:hint="eastAsia"/>
        </w:rPr>
        <w:t>3.软件系统变更承诺</w:t>
      </w:r>
    </w:p>
    <w:p>
      <w:pPr>
        <w:ind w:firstLine="420" w:firstLineChars="200"/>
        <w:sectPr>
          <w:pgSz w:w="11906" w:h="16838"/>
          <w:pgMar w:top="1440" w:right="1800" w:bottom="1440" w:left="1800" w:header="851" w:footer="992" w:gutter="0"/>
          <w:cols w:num="1" w:space="425"/>
          <w:docGrid w:type="lines" w:linePitch="312" w:charSpace="0"/>
        </w:sectPr>
      </w:pPr>
      <w:r>
        <w:t>系统开发及维保阶段，甲方拥有</w:t>
      </w:r>
      <w:r>
        <w:rPr>
          <w:rFonts w:hint="eastAsia"/>
        </w:rPr>
        <w:t>10</w:t>
      </w:r>
      <w:r>
        <w:t>%的软件需求增加及变更权利。</w:t>
      </w:r>
    </w:p>
    <w:p>
      <w:pPr>
        <w:pStyle w:val="Heading2"/>
        <w:numPr>
          <w:ilvl w:val="1"/>
          <w:numId w:val="4"/>
        </w:numPr>
      </w:pPr>
      <w:r>
        <w:rPr>
          <w:rFonts w:hint="eastAsia"/>
        </w:rPr>
        <w:t>知识产权要求</w:t>
      </w:r>
    </w:p>
    <w:p>
      <w:pPr>
        <w:ind w:firstLine="420"/>
        <w:rPr>
          <w:rFonts w:hint="eastAsia"/>
        </w:rPr>
      </w:pPr>
      <w:r>
        <w:rPr>
          <w:rFonts w:hint="eastAsia"/>
        </w:rPr>
        <w:t>1.</w:t>
      </w:r>
      <w:r>
        <w:rPr>
          <w:rFonts w:hint="eastAsia"/>
        </w:rPr>
        <w:tab/>
      </w:r>
      <w:r>
        <w:rPr>
          <w:rFonts w:hint="eastAsia"/>
        </w:rPr>
        <w:t xml:space="preserve">投标人应保证，甲方在中华人民共和国使用该开发成果的任何一部分时，免受第三方提出的侵犯其知识产权的索赔或诉讼。如果第三方提出侵权指控，投标人应承担由此而引起的一切法律责任和费用。 </w:t>
      </w:r>
    </w:p>
    <w:p>
      <w:pPr>
        <w:ind w:firstLine="420"/>
        <w:rPr>
          <w:rFonts w:hint="eastAsia"/>
        </w:rPr>
      </w:pPr>
      <w:r>
        <w:rPr>
          <w:rFonts w:hint="eastAsia"/>
        </w:rPr>
        <w:t>2.</w:t>
      </w:r>
      <w:r>
        <w:rPr>
          <w:rFonts w:hint="eastAsia"/>
        </w:rPr>
        <w:tab/>
      </w:r>
      <w:r>
        <w:rPr>
          <w:rFonts w:hint="eastAsia"/>
        </w:rPr>
        <w:t xml:space="preserve">如果甲方在使用该开发成果的任何一部分时被任何第三方诉称侵犯了该第三方知识产权或任何其它权利，甲方应立即通知投标人。投标人应负责处理这一指控并应以各自的名义自负费用向起诉方提出抗辩。由此可能产生的一切法律责任和经济责任均由投标人、承担。甲方将尽可能地对投标人、抗辩给予协助，由此发生的费用由投标人承担。 </w:t>
      </w:r>
    </w:p>
    <w:p>
      <w:pPr>
        <w:ind w:firstLine="420"/>
        <w:rPr>
          <w:rFonts w:hint="eastAsia"/>
        </w:rPr>
      </w:pPr>
      <w:r>
        <w:rPr>
          <w:rFonts w:hint="eastAsia"/>
        </w:rPr>
        <w:t>3.</w:t>
      </w:r>
      <w:r>
        <w:rPr>
          <w:rFonts w:hint="eastAsia"/>
        </w:rPr>
        <w:tab/>
      </w:r>
      <w:r>
        <w:rPr>
          <w:rFonts w:hint="eastAsia"/>
        </w:rPr>
        <w:t xml:space="preserve">如果甲方发现任何第三方在甲方被许可的范围内非法使用甲方获得的知识产权，甲方应通知投标人。投标人应在收到甲方通知后 14 日内采取适当行动以制止非法使用行为；否则，如果甲方要求，投标人应授权甲方根据中国法律规定对该第三方提起诉讼，并给甲方尽可能的协助。甲方应负担诉讼中发生的全部费用，并有权获得判决给付的全部赔偿。 </w:t>
      </w:r>
    </w:p>
    <w:p>
      <w:pPr>
        <w:ind w:firstLine="420"/>
        <w:rPr>
          <w:rFonts w:hint="eastAsia"/>
        </w:rPr>
      </w:pPr>
      <w:r>
        <w:rPr>
          <w:rFonts w:hint="eastAsia"/>
        </w:rPr>
        <w:t>4.</w:t>
      </w:r>
      <w:r>
        <w:rPr>
          <w:rFonts w:hint="eastAsia"/>
        </w:rPr>
        <w:tab/>
      </w:r>
      <w:r>
        <w:rPr>
          <w:rFonts w:hint="eastAsia"/>
        </w:rPr>
        <w:t xml:space="preserve">本项目实施完成新产生的所有技术成果（包括但不限于软件、源代码、技术资料及数字化成果）的所有知识产权（包括但不限于软件著作权、专利权、商标权、专有技术等权利）的所有权、使用权、转让权以及收益等一切权利归甲方享有，本项目实施完成的发明创造的专利申请权、非专利技术的使用权、转让权归甲方享有，投标人未经授权不得留存或提供他用，投标人有责任对本项目相关知识产权进行保护，并及时通报知识产权权属变化等情况。 </w:t>
      </w:r>
    </w:p>
    <w:p>
      <w:pPr>
        <w:ind w:firstLine="420"/>
        <w:rPr>
          <w:rFonts w:hint="eastAsia"/>
        </w:rPr>
      </w:pPr>
      <w:r>
        <w:rPr>
          <w:rFonts w:hint="eastAsia"/>
        </w:rPr>
        <w:t>5.</w:t>
      </w:r>
      <w:r>
        <w:rPr>
          <w:rFonts w:hint="eastAsia"/>
        </w:rPr>
        <w:tab/>
      </w:r>
      <w:r>
        <w:rPr>
          <w:rFonts w:hint="eastAsia"/>
        </w:rPr>
        <w:t xml:space="preserve">项目中由甲方提供或改进算法和方法的成果和产权归甲方所有，投标人未经甲方同意不得转移或使用。 </w:t>
      </w:r>
    </w:p>
    <w:p>
      <w:pPr>
        <w:ind w:firstLine="420"/>
        <w:rPr>
          <w:rFonts w:hint="eastAsia"/>
        </w:rPr>
      </w:pPr>
      <w:r>
        <w:rPr>
          <w:rFonts w:hint="eastAsia"/>
        </w:rPr>
        <w:t>6.</w:t>
      </w:r>
      <w:r>
        <w:rPr>
          <w:rFonts w:hint="eastAsia"/>
        </w:rPr>
        <w:tab/>
      </w:r>
      <w:r>
        <w:rPr>
          <w:rFonts w:hint="eastAsia"/>
        </w:rPr>
        <w:t xml:space="preserve">项目的学术成果归甲方所有，多方合作发表学术论文，投标人不能单独发表学术论文，提交发明专利技术交底书不少于3项，软件著作权不少于3项且受托方持续提供服务至取得专利授权。发表论文不少于3篇，论文应至少发表至中文核心期刊及以上等级专业刊物。 </w:t>
      </w:r>
    </w:p>
    <w:p>
      <w:pPr>
        <w:pStyle w:val="Heading2"/>
        <w:numPr>
          <w:ilvl w:val="1"/>
          <w:numId w:val="4"/>
        </w:numPr>
      </w:pPr>
      <w:r>
        <w:rPr>
          <w:rFonts w:hint="eastAsia"/>
        </w:rPr>
        <w:t>实施进度要求</w:t>
      </w:r>
    </w:p>
    <w:p>
      <w:pPr>
        <w:ind w:firstLine="420" w:firstLineChars="200"/>
      </w:pPr>
      <w:r>
        <w:rPr>
          <w:rFonts w:hint="eastAsia"/>
        </w:rPr>
        <w:t xml:space="preserve">本工程项目施工期 12 个月，以自然月为计量进度单位。项目自合同签订时间（T0）起，实施进度计划安排如下： </w:t>
      </w:r>
    </w:p>
    <w:p>
      <w:pPr>
        <w:ind w:firstLine="420" w:firstLineChars="200"/>
      </w:pPr>
      <w:r>
        <w:rPr>
          <w:rFonts w:hint="eastAsia"/>
        </w:rPr>
        <w:t>T0+1月，</w:t>
      </w:r>
      <w:r>
        <w:t>估计和制定管理项目的计划</w:t>
      </w:r>
      <w:r>
        <w:rPr>
          <w:rFonts w:hint="eastAsia"/>
        </w:rPr>
        <w:t>，为</w:t>
      </w:r>
      <w:r>
        <w:t>开发过程和过程管理做好必要的准备</w:t>
      </w:r>
      <w:r>
        <w:rPr>
          <w:rFonts w:hint="eastAsia"/>
        </w:rPr>
        <w:t>；</w:t>
      </w:r>
    </w:p>
    <w:p>
      <w:pPr>
        <w:ind w:firstLine="420" w:firstLineChars="200"/>
        <w:rPr>
          <w:rFonts w:hint="eastAsia"/>
        </w:rPr>
      </w:pPr>
      <w:r>
        <w:rPr>
          <w:rFonts w:hint="eastAsia"/>
        </w:rPr>
        <w:t>T0+2月，</w:t>
      </w:r>
      <w:r>
        <w:t>根据批准的可行性研究报告或初步设计、软件开发计划等，详细调研用户需求，并对用户需求进行分析，转变为软件需求</w:t>
      </w:r>
      <w:r>
        <w:rPr>
          <w:rFonts w:hint="eastAsia"/>
        </w:rPr>
        <w:t>，提交《</w:t>
      </w:r>
      <w:r>
        <w:t>用户需求说明书</w:t>
      </w:r>
      <w:r>
        <w:rPr>
          <w:rFonts w:hint="eastAsia"/>
        </w:rPr>
        <w:t>》</w:t>
      </w:r>
      <w:r>
        <w:t>、</w:t>
      </w:r>
      <w:r>
        <w:rPr>
          <w:rFonts w:hint="eastAsia"/>
        </w:rPr>
        <w:t>《</w:t>
      </w:r>
      <w:r>
        <w:t>软件需求规格说明书</w:t>
      </w:r>
      <w:r>
        <w:rPr>
          <w:rFonts w:hint="eastAsia"/>
        </w:rPr>
        <w:t>》；</w:t>
      </w:r>
    </w:p>
    <w:p>
      <w:pPr>
        <w:ind w:firstLine="420" w:firstLineChars="200"/>
      </w:pPr>
      <w:r>
        <w:rPr>
          <w:rFonts w:hint="eastAsia"/>
        </w:rPr>
        <w:t>T0+3月，</w:t>
      </w:r>
      <w:r>
        <w:t>把需求分析得到的软件需求转变为体系结构</w:t>
      </w:r>
      <w:r>
        <w:rPr>
          <w:rFonts w:hint="eastAsia"/>
        </w:rPr>
        <w:t>，提交《</w:t>
      </w:r>
      <w:r>
        <w:t>体系设计说明书</w:t>
      </w:r>
      <w:r>
        <w:rPr>
          <w:rFonts w:hint="eastAsia"/>
        </w:rPr>
        <w:t>》；</w:t>
      </w:r>
    </w:p>
    <w:p>
      <w:pPr>
        <w:ind w:firstLine="420" w:firstLineChars="200"/>
      </w:pPr>
      <w:r>
        <w:rPr>
          <w:rFonts w:hint="eastAsia"/>
        </w:rPr>
        <w:t>T0+4月，</w:t>
      </w:r>
      <w:r>
        <w:t>为体系设计阶段确定的每个软件部件进行逻辑设计，</w:t>
      </w:r>
      <w:r>
        <w:rPr>
          <w:rFonts w:hint="eastAsia"/>
        </w:rPr>
        <w:t>提交《</w:t>
      </w:r>
      <w:r>
        <w:rPr>
          <w:szCs w:val="21"/>
        </w:rPr>
        <w:t>详细设计</w:t>
      </w:r>
      <w:r>
        <w:rPr>
          <w:rFonts w:hint="eastAsia"/>
          <w:szCs w:val="21"/>
        </w:rPr>
        <w:t>说明书》</w:t>
      </w:r>
      <w:r>
        <w:rPr>
          <w:rFonts w:hint="eastAsia"/>
        </w:rPr>
        <w:t>；</w:t>
      </w:r>
    </w:p>
    <w:p>
      <w:pPr>
        <w:ind w:firstLine="420" w:firstLineChars="200"/>
      </w:pPr>
      <w:r>
        <w:rPr>
          <w:rFonts w:hint="eastAsia"/>
        </w:rPr>
        <w:t>T0+10月，</w:t>
      </w:r>
      <w:r>
        <w:t>根据详细设计用编程语言和合适的编码规范产生源代码、可执行代码和数据库</w:t>
      </w:r>
      <w:r>
        <w:rPr>
          <w:rFonts w:hint="eastAsia"/>
        </w:rPr>
        <w:t>；</w:t>
      </w:r>
    </w:p>
    <w:p>
      <w:pPr>
        <w:ind w:firstLine="420" w:firstLineChars="200"/>
      </w:pPr>
      <w:r>
        <w:rPr>
          <w:rFonts w:hint="eastAsia"/>
        </w:rPr>
        <w:t>T0+11月，</w:t>
      </w:r>
      <w:r>
        <w:t>根据《用户需求说明书》、《体系设计说明书》、《详细设计说明书》等文档，编写和执行测试用例、进行缺陷跟踪和测试分析</w:t>
      </w:r>
      <w:r>
        <w:rPr>
          <w:rFonts w:hint="eastAsia"/>
        </w:rPr>
        <w:t>，提交</w:t>
      </w:r>
      <w:r>
        <w:rPr>
          <w:rFonts w:hint="eastAsia"/>
          <w:szCs w:val="21"/>
        </w:rPr>
        <w:t>《</w:t>
      </w:r>
      <w:r>
        <w:rPr>
          <w:szCs w:val="21"/>
        </w:rPr>
        <w:t>软件测试方案</w:t>
      </w:r>
      <w:r>
        <w:rPr>
          <w:rFonts w:hint="eastAsia"/>
          <w:szCs w:val="21"/>
        </w:rPr>
        <w:t>》</w:t>
      </w:r>
      <w:r>
        <w:rPr>
          <w:szCs w:val="21"/>
        </w:rPr>
        <w:t>、</w:t>
      </w:r>
      <w:r>
        <w:rPr>
          <w:rFonts w:hint="eastAsia"/>
        </w:rPr>
        <w:t>《软件</w:t>
      </w:r>
      <w:r>
        <w:t>测试报告</w:t>
      </w:r>
      <w:r>
        <w:rPr>
          <w:rFonts w:hint="eastAsia"/>
        </w:rPr>
        <w:t>》、；</w:t>
      </w:r>
    </w:p>
    <w:p>
      <w:pPr>
        <w:ind w:firstLine="420" w:firstLineChars="200"/>
        <w:rPr>
          <w:rFonts w:hint="eastAsia"/>
        </w:rPr>
      </w:pPr>
      <w:r>
        <w:rPr>
          <w:rFonts w:hint="eastAsia"/>
        </w:rPr>
        <w:t>T0+12月，</w:t>
      </w:r>
      <w:r>
        <w:t>现场安装调试，确认软件产品能够在用户使用环境中正常运行</w:t>
      </w:r>
      <w:r>
        <w:rPr>
          <w:rFonts w:hint="eastAsia"/>
        </w:rPr>
        <w:t>，</w:t>
      </w:r>
      <w:r>
        <w:t>针对发现的问题及时给出处理措施，跟踪问题直至解决</w:t>
      </w:r>
      <w:r>
        <w:rPr>
          <w:rFonts w:hint="eastAsia"/>
        </w:rPr>
        <w:t>，提交</w:t>
      </w:r>
      <w:r>
        <w:rPr>
          <w:szCs w:val="21"/>
        </w:rPr>
        <w:t>《故障报告处理表》</w:t>
      </w:r>
      <w:r>
        <w:rPr>
          <w:rFonts w:hint="eastAsia"/>
          <w:szCs w:val="21"/>
        </w:rPr>
        <w:t>、</w:t>
      </w:r>
      <w:r>
        <w:t>《项目开发总结报告》</w:t>
      </w:r>
      <w:r>
        <w:rPr>
          <w:rFonts w:hint="eastAsia"/>
        </w:rPr>
        <w:t>、</w:t>
      </w:r>
      <w:r>
        <w:rPr>
          <w:szCs w:val="21"/>
        </w:rPr>
        <w:t>《用户验收报告单》</w:t>
      </w:r>
      <w:r>
        <w:t>，并依据合同约定将待交付的所有内容打包交付。</w:t>
      </w:r>
    </w:p>
    <w:p>
      <w:pPr>
        <w:pStyle w:val="Heading2"/>
        <w:numPr>
          <w:ilvl w:val="1"/>
          <w:numId w:val="4"/>
        </w:numPr>
      </w:pPr>
      <w:r>
        <w:rPr>
          <w:rFonts w:hint="eastAsia"/>
        </w:rPr>
        <w:t>项目验收要求</w:t>
      </w:r>
    </w:p>
    <w:p>
      <w:pPr>
        <w:pStyle w:val="ListParagraph"/>
        <w:keepNext/>
        <w:keepLines/>
        <w:numPr>
          <w:ilvl w:val="1"/>
          <w:numId w:val="12"/>
        </w:numPr>
        <w:spacing w:before="260" w:after="260" w:line="416" w:lineRule="auto"/>
        <w:ind w:firstLineChars="0"/>
        <w:outlineLvl w:val="2"/>
        <w:rPr>
          <w:rFonts w:hint="eastAsia"/>
          <w:b/>
          <w:bCs/>
          <w:vanish/>
          <w:sz w:val="32"/>
          <w:szCs w:val="32"/>
        </w:rPr>
      </w:pPr>
      <w:bookmarkStart w:id="79" w:name="_Toc10533"/>
    </w:p>
    <w:p>
      <w:pPr>
        <w:pStyle w:val="ListParagraph"/>
        <w:keepNext/>
        <w:keepLines/>
        <w:numPr>
          <w:ilvl w:val="1"/>
          <w:numId w:val="12"/>
        </w:numPr>
        <w:spacing w:before="260" w:after="260" w:line="416" w:lineRule="auto"/>
        <w:ind w:firstLineChars="0"/>
        <w:outlineLvl w:val="2"/>
        <w:rPr>
          <w:rFonts w:hint="eastAsia"/>
          <w:b/>
          <w:bCs/>
          <w:vanish/>
          <w:sz w:val="32"/>
          <w:szCs w:val="32"/>
        </w:rPr>
      </w:pPr>
    </w:p>
    <w:p>
      <w:pPr>
        <w:pStyle w:val="ListParagraph"/>
        <w:keepNext/>
        <w:keepLines/>
        <w:numPr>
          <w:ilvl w:val="1"/>
          <w:numId w:val="12"/>
        </w:numPr>
        <w:spacing w:before="260" w:after="260" w:line="416" w:lineRule="auto"/>
        <w:ind w:firstLineChars="0"/>
        <w:outlineLvl w:val="2"/>
        <w:rPr>
          <w:rFonts w:hint="eastAsia"/>
          <w:b/>
          <w:bCs/>
          <w:vanish/>
          <w:sz w:val="32"/>
          <w:szCs w:val="32"/>
        </w:rPr>
      </w:pPr>
    </w:p>
    <w:p>
      <w:pPr>
        <w:pStyle w:val="ListParagraph"/>
        <w:keepNext/>
        <w:keepLines/>
        <w:numPr>
          <w:ilvl w:val="1"/>
          <w:numId w:val="12"/>
        </w:numPr>
        <w:spacing w:before="260" w:after="260" w:line="416" w:lineRule="auto"/>
        <w:ind w:firstLineChars="0"/>
        <w:outlineLvl w:val="2"/>
        <w:rPr>
          <w:rFonts w:hint="eastAsia"/>
          <w:b/>
          <w:bCs/>
          <w:vanish/>
          <w:sz w:val="32"/>
          <w:szCs w:val="32"/>
        </w:rPr>
      </w:pPr>
    </w:p>
    <w:p>
      <w:pPr>
        <w:pStyle w:val="ListParagraph"/>
        <w:keepNext/>
        <w:keepLines/>
        <w:numPr>
          <w:ilvl w:val="1"/>
          <w:numId w:val="12"/>
        </w:numPr>
        <w:spacing w:before="260" w:after="260" w:line="416" w:lineRule="auto"/>
        <w:ind w:firstLineChars="0"/>
        <w:outlineLvl w:val="2"/>
        <w:rPr>
          <w:rFonts w:hint="eastAsia"/>
          <w:b/>
          <w:bCs/>
          <w:vanish/>
          <w:sz w:val="32"/>
          <w:szCs w:val="32"/>
        </w:rPr>
      </w:pPr>
    </w:p>
    <w:p>
      <w:pPr>
        <w:pStyle w:val="ListParagraph"/>
        <w:keepNext/>
        <w:keepLines/>
        <w:numPr>
          <w:ilvl w:val="1"/>
          <w:numId w:val="12"/>
        </w:numPr>
        <w:spacing w:before="260" w:after="260" w:line="416" w:lineRule="auto"/>
        <w:ind w:firstLineChars="0"/>
        <w:outlineLvl w:val="2"/>
        <w:rPr>
          <w:rFonts w:hint="eastAsia"/>
          <w:b/>
          <w:bCs/>
          <w:vanish/>
          <w:sz w:val="32"/>
          <w:szCs w:val="32"/>
        </w:rPr>
      </w:pPr>
    </w:p>
    <w:p>
      <w:pPr>
        <w:pStyle w:val="ListParagraph"/>
        <w:keepNext/>
        <w:keepLines/>
        <w:numPr>
          <w:ilvl w:val="1"/>
          <w:numId w:val="12"/>
        </w:numPr>
        <w:spacing w:before="260" w:after="260" w:line="416" w:lineRule="auto"/>
        <w:ind w:firstLineChars="0"/>
        <w:outlineLvl w:val="2"/>
        <w:rPr>
          <w:rFonts w:hint="eastAsia"/>
          <w:b/>
          <w:bCs/>
          <w:vanish/>
          <w:sz w:val="32"/>
          <w:szCs w:val="32"/>
        </w:rPr>
      </w:pPr>
    </w:p>
    <w:p>
      <w:pPr>
        <w:pStyle w:val="Heading3"/>
        <w:numPr>
          <w:ilvl w:val="2"/>
          <w:numId w:val="12"/>
        </w:numPr>
      </w:pPr>
      <w:r>
        <w:rPr>
          <w:rFonts w:hint="eastAsia"/>
        </w:rPr>
        <w:t>项目初验</w:t>
      </w:r>
      <w:bookmarkEnd w:id="79"/>
    </w:p>
    <w:p>
      <w:pPr>
        <w:ind w:firstLine="420" w:firstLineChars="200"/>
      </w:pPr>
      <w:r>
        <w:rPr>
          <w:rFonts w:hint="eastAsia"/>
        </w:rPr>
        <w:t>投标人执行完成全部合同义务，需进行部署测试并由投标人委托具备相应检测资质的第三方出具测试报告，及时向采购方提供完整的初步验收资料和项目整体初验申请。甲方在收到投标人验收申请 10 个工作日内开始组织项目整体初验。初验文档应包括但不限于本项目相关的合同、调研材料、总体设计方案、集成方案、项目过程文档、安装调试记录等。项目验收流程清楚，并有详细的验收方案、测试方案等。</w:t>
      </w:r>
    </w:p>
    <w:p>
      <w:pPr>
        <w:pStyle w:val="Heading3"/>
        <w:numPr>
          <w:ilvl w:val="2"/>
          <w:numId w:val="12"/>
        </w:numPr>
      </w:pPr>
      <w:bookmarkStart w:id="80" w:name="_Toc13808"/>
      <w:r>
        <w:rPr>
          <w:rFonts w:hint="eastAsia"/>
        </w:rPr>
        <w:t>试运行</w:t>
      </w:r>
      <w:bookmarkEnd w:id="80"/>
      <w:r>
        <w:rPr>
          <w:rFonts w:hint="eastAsia"/>
        </w:rPr>
        <w:t xml:space="preserve"> </w:t>
      </w:r>
    </w:p>
    <w:p>
      <w:pPr>
        <w:ind w:firstLine="420" w:firstLineChars="200"/>
      </w:pPr>
      <w:r>
        <w:rPr>
          <w:rFonts w:hint="eastAsia"/>
        </w:rPr>
        <w:t xml:space="preserve">项目整体初验合格并通过等级保护测评和商用密码应用安全性评估后，进入为期1个月的整体试运行期。整体试运行期内，投标人进行故障处理和应急保障工作，服务标准不低于售后服务期技术支持的要求。投标人提交整体试运行报告，由业主方对其进行确认。系统连续稳定运行1个月以上，提出验收申请，同时提交项目验收材料。验收申请文件内容包括：项目启动时间；上线、试运行时间；项目实施、培训情况；试运行情况；应用效益及效果分析等。申请项目竣工验收需同时提交项目验收工作报告、试运行报告、项目实施过程文档和测试大纲。 </w:t>
      </w:r>
    </w:p>
    <w:p>
      <w:pPr>
        <w:pStyle w:val="Heading3"/>
        <w:numPr>
          <w:ilvl w:val="2"/>
          <w:numId w:val="12"/>
        </w:numPr>
      </w:pPr>
      <w:bookmarkStart w:id="81" w:name="_Toc10718"/>
      <w:r>
        <w:rPr>
          <w:rFonts w:hint="eastAsia"/>
        </w:rPr>
        <w:t>项目终验</w:t>
      </w:r>
      <w:bookmarkEnd w:id="81"/>
      <w:r>
        <w:rPr>
          <w:rFonts w:hint="eastAsia"/>
        </w:rPr>
        <w:t xml:space="preserve"> </w:t>
      </w:r>
    </w:p>
    <w:p>
      <w:pPr>
        <w:ind w:firstLine="420" w:firstLineChars="200"/>
      </w:pPr>
      <w:r>
        <w:rPr>
          <w:rFonts w:hint="eastAsia"/>
        </w:rPr>
        <w:t xml:space="preserve">项目建设软件通过1个月试运行并整改完善后，达到终验条件。投标人向招标人提供完整的终验资料、试运行报告、用户培训报告、用户使用报告和整体终验申请、项目总结。在收到投标人终验材料和验收申请，由招标人确认是否具备终验条件，经确认若具备条件，则开始组织项目终验。终验文档包括但不限于初验中的全部文档、试运行记录及报告、初验报告、终验报告等。 </w:t>
      </w:r>
    </w:p>
    <w:p>
      <w:pPr>
        <w:ind w:firstLine="420" w:firstLineChars="200"/>
      </w:pPr>
      <w:r>
        <w:rPr>
          <w:rFonts w:hint="eastAsia"/>
        </w:rPr>
        <w:t xml:space="preserve">验收评审采用会议方式进行。评审组成员由甲方选定的专家组成，形成验收评审结论。项目竣工验收后，项目组应对项目全过程的文件材料进行整理，提交甲方备案，案卷质量应符合国家相关规定，相应的电子文件应一并移交归档。 </w:t>
      </w:r>
    </w:p>
    <w:p>
      <w:pPr>
        <w:pStyle w:val="Heading3"/>
        <w:numPr>
          <w:ilvl w:val="2"/>
          <w:numId w:val="12"/>
        </w:numPr>
      </w:pPr>
      <w:bookmarkStart w:id="82" w:name="_Toc26196"/>
      <w:r>
        <w:rPr>
          <w:rFonts w:hint="eastAsia"/>
        </w:rPr>
        <w:t>其他配合工作</w:t>
      </w:r>
      <w:bookmarkEnd w:id="82"/>
      <w:r>
        <w:rPr>
          <w:rFonts w:hint="eastAsia"/>
        </w:rPr>
        <w:t xml:space="preserve"> </w:t>
      </w:r>
    </w:p>
    <w:p>
      <w:pPr>
        <w:ind w:firstLine="420"/>
        <w:rPr>
          <w:rFonts w:hint="eastAsia"/>
        </w:rPr>
      </w:pPr>
      <w:r>
        <w:rPr>
          <w:rFonts w:hint="eastAsia"/>
        </w:rPr>
        <w:t xml:space="preserve">投标人在项目终验之后提供完整的项目过程材料，并配合甲方完成项目验收及其它需要配合的工作。 </w:t>
      </w:r>
    </w:p>
    <w:p>
      <w:pPr>
        <w:pStyle w:val="Heading2"/>
        <w:numPr>
          <w:ilvl w:val="1"/>
          <w:numId w:val="4"/>
        </w:numPr>
      </w:pPr>
      <w:r>
        <w:rPr>
          <w:rFonts w:hint="eastAsia"/>
        </w:rPr>
        <w:t>售后服务要求</w:t>
      </w:r>
    </w:p>
    <w:p>
      <w:pPr>
        <w:ind w:firstLine="420" w:firstLineChars="200"/>
        <w:rPr>
          <w:rFonts w:hint="eastAsia"/>
        </w:rPr>
      </w:pPr>
      <w:r>
        <w:rPr>
          <w:rFonts w:hint="eastAsia"/>
        </w:rPr>
        <w:t>本合同约定售后服务质保期不少于1 年。</w:t>
      </w:r>
    </w:p>
    <w:p>
      <w:pPr>
        <w:ind w:firstLine="420" w:firstLineChars="200"/>
        <w:rPr>
          <w:rFonts w:hint="eastAsia"/>
        </w:rPr>
      </w:pPr>
      <w:r>
        <w:rPr>
          <w:rFonts w:hint="eastAsia"/>
        </w:rPr>
        <w:t>在质保期内软件系统发生异常情况，在接到甲方的通知后，投标人技术人员应提供 7*24 小时的服务响应，随时进行电话应答；10 分钟内响应，30分钟完成远程技术支持。需要现场解决的问题，投标人技术人员须在 2 小时内到达现场。质量保修期后，投标人仍应根据合同要求向招标人提供技术服务，以合理价格提供软件功能改进技术服务。</w:t>
      </w:r>
    </w:p>
    <w:p>
      <w:pPr>
        <w:ind w:firstLine="420" w:firstLineChars="200"/>
      </w:pPr>
      <w:r>
        <w:rPr>
          <w:rFonts w:hint="eastAsia"/>
        </w:rPr>
        <w:t>投标人必须承诺提供长期的咨询和技术支持服务，提供重大任务（活动）期间的驻场服务保障。</w:t>
      </w:r>
    </w:p>
    <w:p/>
    <w:p w:rsidR="00A77B3E"/>
    <w:p>
      <w:pPr>
        <w:spacing w:before="156" w:beforeLines="50" w:line="360" w:lineRule="auto"/>
        <w:jc w:val="center"/>
        <w:outlineLvl w:val="1"/>
        <w:rPr>
          <w:rFonts w:ascii="宋体" w:hAnsi="宋体" w:hint="eastAsia"/>
          <w:b/>
          <w:sz w:val="30"/>
          <w:szCs w:val="30"/>
        </w:rPr>
        <w:sectPr>
          <w:pgSz w:w="11906" w:h="16838"/>
          <w:pgMar w:top="1440" w:right="1800" w:bottom="1440" w:left="1800" w:header="851" w:footer="992" w:gutter="0"/>
          <w:cols w:num="1" w:space="425"/>
          <w:docGrid w:type="lines" w:linePitch="312" w:charSpace="0"/>
        </w:sectPr>
      </w:pPr>
      <w:bookmarkEnd w:id="60"/>
    </w:p>
    <w:p>
      <w:pPr>
        <w:spacing w:before="156" w:beforeLines="50" w:line="360" w:lineRule="auto"/>
        <w:jc w:val="center"/>
        <w:outlineLvl w:val="1"/>
        <w:rPr>
          <w:rFonts w:ascii="宋体" w:hAnsi="宋体"/>
          <w:b/>
          <w:sz w:val="30"/>
          <w:szCs w:val="30"/>
          <w:highlight w:val="none"/>
        </w:rPr>
      </w:pPr>
      <w:bookmarkStart w:id="83"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66"/>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66"/>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66"/>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83"/>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ind w:right="-210" w:rightChars="-100"/>
      </w:pPr>
      <w:bookmarkStart w:id="84" w:name="采购公告合同部分_ZBGGHT"/>
      <w:r>
        <w:rPr>
          <w:rFonts w:hint="eastAsia"/>
        </w:rPr>
        <w:t xml:space="preserve">附件4 </w:t>
      </w:r>
    </w:p>
    <w:p>
      <w:pPr>
        <w:ind w:right="-210" w:rightChars="-100"/>
        <w:rPr>
          <w:rFonts w:hint="eastAsia"/>
        </w:rPr>
      </w:pPr>
    </w:p>
    <w:p>
      <w:pPr>
        <w:ind w:right="-210" w:rightChars="-100"/>
        <w:rPr>
          <w:rFonts w:hint="eastAsia"/>
        </w:rPr>
      </w:pPr>
      <w:r>
        <w:rPr>
          <w:rFonts w:hint="eastAsia"/>
        </w:rPr>
        <w:t>合同编号：</w:t>
      </w:r>
    </w:p>
    <w:p>
      <w:pPr>
        <w:spacing w:line="360" w:lineRule="auto"/>
        <w:ind w:right="640"/>
        <w:jc w:val="left"/>
        <w:rPr>
          <w:rFonts w:ascii="黑体" w:eastAsia="黑体" w:hint="eastAsia"/>
          <w:color w:val="000000"/>
          <w:sz w:val="32"/>
          <w:szCs w:val="32"/>
        </w:rPr>
      </w:pPr>
      <w:r>
        <w:rPr>
          <w:rFonts w:ascii="黑体" w:eastAsia="黑体" w:hint="eastAsia"/>
          <w:color w:val="000000"/>
          <w:sz w:val="32"/>
          <w:szCs w:val="32"/>
        </w:rPr>
        <w:t xml:space="preserve">                              </w:t>
      </w:r>
    </w:p>
    <w:p>
      <w:pPr>
        <w:spacing w:line="360" w:lineRule="auto"/>
        <w:jc w:val="center"/>
        <w:rPr>
          <w:rFonts w:eastAsia="黑体" w:hint="eastAsia"/>
          <w:b/>
          <w:color w:val="000000"/>
          <w:sz w:val="52"/>
        </w:rPr>
      </w:pPr>
    </w:p>
    <w:p>
      <w:pPr>
        <w:spacing w:line="360" w:lineRule="auto"/>
        <w:jc w:val="center"/>
        <w:rPr>
          <w:rFonts w:eastAsia="黑体" w:hint="eastAsia"/>
          <w:b/>
          <w:color w:val="000000"/>
          <w:sz w:val="52"/>
        </w:rPr>
      </w:pPr>
    </w:p>
    <w:p>
      <w:pPr>
        <w:spacing w:line="360" w:lineRule="auto"/>
        <w:jc w:val="center"/>
        <w:rPr>
          <w:rFonts w:ascii="宋体" w:hAnsi="宋体" w:hint="eastAsia"/>
          <w:b/>
          <w:color w:val="000000"/>
          <w:sz w:val="72"/>
          <w:szCs w:val="72"/>
          <w:u w:val="single" w:color="FF0000"/>
        </w:rPr>
      </w:pPr>
      <w:r>
        <w:rPr>
          <w:rFonts w:ascii="宋体" w:hAnsi="宋体" w:hint="eastAsia"/>
          <w:b/>
          <w:color w:val="000000"/>
          <w:sz w:val="72"/>
          <w:szCs w:val="72"/>
        </w:rPr>
        <w:t>合 同 协 议 书</w:t>
      </w:r>
    </w:p>
    <w:p>
      <w:pPr>
        <w:spacing w:line="360" w:lineRule="auto"/>
        <w:jc w:val="center"/>
        <w:rPr>
          <w:rFonts w:ascii="宋体" w:hAnsi="宋体" w:hint="eastAsia"/>
          <w:b/>
          <w:color w:val="000000"/>
          <w:sz w:val="52"/>
        </w:rPr>
      </w:pPr>
    </w:p>
    <w:p>
      <w:pPr>
        <w:spacing w:line="360" w:lineRule="auto"/>
        <w:jc w:val="center"/>
        <w:rPr>
          <w:rFonts w:ascii="宋体" w:hAnsi="宋体" w:hint="eastAsia"/>
          <w:b/>
          <w:color w:val="000000"/>
          <w:sz w:val="52"/>
        </w:rPr>
      </w:pPr>
    </w:p>
    <w:p>
      <w:pPr>
        <w:spacing w:line="360" w:lineRule="auto"/>
        <w:jc w:val="center"/>
        <w:rPr>
          <w:rFonts w:ascii="宋体" w:hAnsi="宋体" w:hint="eastAsia"/>
          <w:b/>
          <w:color w:val="000000"/>
          <w:sz w:val="52"/>
        </w:rPr>
      </w:pPr>
    </w:p>
    <w:p>
      <w:pPr>
        <w:spacing w:line="360" w:lineRule="auto"/>
        <w:rPr>
          <w:rFonts w:ascii="宋体" w:hAnsi="宋体" w:hint="eastAsia"/>
          <w:b/>
          <w:color w:val="000000"/>
          <w:sz w:val="52"/>
        </w:rPr>
      </w:pPr>
    </w:p>
    <w:p>
      <w:pPr>
        <w:spacing w:line="360" w:lineRule="auto"/>
        <w:rPr>
          <w:rFonts w:ascii="宋体" w:hAnsi="宋体" w:hint="eastAsia"/>
          <w:b/>
          <w:color w:val="000000"/>
          <w:sz w:val="52"/>
        </w:rPr>
      </w:pPr>
    </w:p>
    <w:p>
      <w:pPr>
        <w:autoSpaceDE w:val="0"/>
        <w:autoSpaceDN w:val="0"/>
        <w:adjustRightInd w:val="0"/>
        <w:ind w:left="2716" w:hanging="1456" w:leftChars="600" w:hangingChars="455"/>
        <w:jc w:val="left"/>
        <w:rPr>
          <w:rFonts w:ascii="宋体" w:hAnsi="宋体"/>
          <w:color w:val="000000"/>
          <w:sz w:val="32"/>
          <w:szCs w:val="32"/>
        </w:rPr>
      </w:pPr>
      <w:r>
        <w:rPr>
          <w:rFonts w:ascii="宋体" w:hAnsi="宋体" w:cs="宋体"/>
          <w:color w:val="000000"/>
          <w:kern w:val="0"/>
          <w:sz w:val="32"/>
          <w:szCs w:val="32"/>
        </w:rPr>
        <w:t>项目名称</w:t>
      </w:r>
      <w:r>
        <w:rPr>
          <w:rFonts w:ascii="宋体" w:hAnsi="宋体" w:cs="宋体" w:hint="eastAsia"/>
          <w:color w:val="000000"/>
          <w:kern w:val="0"/>
          <w:sz w:val="32"/>
          <w:szCs w:val="32"/>
        </w:rPr>
        <w:t>：</w:t>
      </w:r>
      <w:r>
        <w:rPr>
          <w:rFonts w:ascii="宋体" w:hAnsi="宋体" w:hint="eastAsia"/>
          <w:bCs/>
          <w:color w:val="000000"/>
          <w:sz w:val="32"/>
          <w:szCs w:val="32"/>
          <w:u w:val="single"/>
        </w:rPr>
        <w:t xml:space="preserve"> </w:t>
      </w:r>
      <w:r>
        <w:rPr>
          <w:rFonts w:ascii="仿宋" w:eastAsia="宋体" w:hAnsi="仿宋" w:cs="黑体" w:hint="eastAsia"/>
          <w:color w:val="000000"/>
          <w:kern w:val="0"/>
          <w:sz w:val="32"/>
          <w:szCs w:val="32"/>
          <w:u w:val="single"/>
          <w:lang w:val="en-US" w:eastAsia="zh-CN" w:bidi="ar-SA"/>
        </w:rPr>
        <w:t xml:space="preserve">气候极端事件风险应对业务能力提升软件项目 </w:t>
      </w:r>
      <w:r>
        <w:rPr>
          <w:rFonts w:ascii="宋体" w:hAnsi="宋体" w:hint="eastAsia"/>
          <w:color w:val="000000"/>
          <w:sz w:val="32"/>
          <w:szCs w:val="32"/>
          <w:u w:val="single"/>
        </w:rPr>
        <w:t xml:space="preserve">                    </w:t>
      </w:r>
      <w:r>
        <w:rPr>
          <w:rFonts w:ascii="宋体" w:hAnsi="宋体"/>
          <w:color w:val="000000"/>
          <w:sz w:val="32"/>
          <w:szCs w:val="32"/>
          <w:u w:val="single"/>
        </w:rPr>
        <w:t xml:space="preserve"> </w:t>
      </w:r>
      <w:r>
        <w:rPr>
          <w:rFonts w:ascii="宋体" w:hAnsi="宋体"/>
          <w:color w:val="000000"/>
          <w:sz w:val="32"/>
          <w:szCs w:val="32"/>
        </w:rPr>
        <w:t xml:space="preserve">                    </w:t>
      </w:r>
    </w:p>
    <w:p>
      <w:pPr>
        <w:pStyle w:val="Default"/>
        <w:ind w:firstLine="1258" w:firstLineChars="393"/>
        <w:rPr>
          <w:rFonts w:ascii="宋体" w:hAnsi="宋体"/>
          <w:sz w:val="32"/>
          <w:szCs w:val="32"/>
        </w:rPr>
      </w:pPr>
      <w:r>
        <w:rPr>
          <w:rFonts w:ascii="宋体" w:hAnsi="宋体" w:hint="eastAsia"/>
          <w:sz w:val="32"/>
          <w:szCs w:val="32"/>
        </w:rPr>
        <w:t>委托方</w:t>
      </w:r>
      <w:r>
        <w:rPr>
          <w:rFonts w:ascii="宋体" w:hAnsi="宋体"/>
          <w:sz w:val="32"/>
          <w:szCs w:val="32"/>
        </w:rPr>
        <w:t>（甲方）：</w:t>
      </w:r>
      <w:r>
        <w:rPr>
          <w:rFonts w:cs="黑体"/>
          <w:sz w:val="32"/>
          <w:szCs w:val="32"/>
          <w:u w:val="single"/>
        </w:rPr>
        <w:t>国家</w:t>
      </w:r>
      <w:r>
        <w:rPr>
          <w:rFonts w:cs="黑体" w:hint="eastAsia"/>
          <w:sz w:val="32"/>
          <w:szCs w:val="32"/>
          <w:u w:val="single"/>
        </w:rPr>
        <w:t>气候</w:t>
      </w:r>
      <w:r>
        <w:rPr>
          <w:rFonts w:cs="黑体"/>
          <w:sz w:val="32"/>
          <w:szCs w:val="32"/>
          <w:u w:val="single"/>
        </w:rPr>
        <w:t>中心</w:t>
      </w:r>
      <w:r>
        <w:rPr>
          <w:rFonts w:cs="黑体" w:hint="eastAsia"/>
          <w:sz w:val="32"/>
          <w:szCs w:val="32"/>
          <w:u w:val="single"/>
        </w:rPr>
        <w:t xml:space="preserve"> </w:t>
      </w:r>
      <w:r>
        <w:rPr>
          <w:rFonts w:cs="黑体"/>
          <w:sz w:val="32"/>
          <w:szCs w:val="32"/>
          <w:u w:val="single"/>
        </w:rPr>
        <w:t xml:space="preserve">    </w:t>
      </w:r>
    </w:p>
    <w:p>
      <w:pPr>
        <w:spacing w:line="360" w:lineRule="auto"/>
        <w:ind w:left="1260" w:leftChars="600"/>
        <w:rPr>
          <w:rFonts w:ascii="宋体" w:hAnsi="宋体"/>
          <w:color w:val="000000"/>
          <w:sz w:val="32"/>
          <w:szCs w:val="32"/>
          <w:u w:val="single"/>
        </w:rPr>
      </w:pPr>
      <w:r>
        <w:rPr>
          <w:rFonts w:ascii="宋体" w:hAnsi="宋体" w:cs="宋体" w:hint="eastAsia"/>
          <w:color w:val="000000"/>
          <w:kern w:val="0"/>
          <w:sz w:val="32"/>
          <w:szCs w:val="32"/>
        </w:rPr>
        <w:t>受托方</w:t>
      </w:r>
      <w:r>
        <w:rPr>
          <w:rFonts w:ascii="宋体" w:hAnsi="宋体" w:cs="宋体"/>
          <w:color w:val="000000"/>
          <w:kern w:val="0"/>
          <w:sz w:val="32"/>
          <w:szCs w:val="32"/>
        </w:rPr>
        <w:t>（乙方）：</w:t>
      </w:r>
      <w:r>
        <w:rPr>
          <w:rFonts w:ascii="宋体" w:hAnsi="宋体" w:hint="eastAsia"/>
          <w:bCs/>
          <w:color w:val="000000"/>
          <w:sz w:val="32"/>
          <w:szCs w:val="32"/>
          <w:u w:val="single"/>
        </w:rPr>
        <w:t xml:space="preserve"> </w:t>
      </w:r>
      <w:r>
        <w:rPr>
          <w:rFonts w:ascii="宋体" w:hAnsi="宋体" w:hint="eastAsia"/>
          <w:color w:val="000000"/>
          <w:sz w:val="32"/>
          <w:szCs w:val="32"/>
          <w:u w:val="single"/>
        </w:rPr>
        <w:t xml:space="preserve"> 中标方         </w:t>
      </w:r>
    </w:p>
    <w:p>
      <w:pPr>
        <w:spacing w:line="360" w:lineRule="auto"/>
        <w:ind w:left="1260" w:leftChars="600"/>
        <w:rPr>
          <w:rFonts w:ascii="宋体" w:hAnsi="宋体"/>
          <w:b/>
          <w:color w:val="000000"/>
          <w:sz w:val="32"/>
          <w:szCs w:val="32"/>
          <w:u w:val="single"/>
        </w:rPr>
      </w:pPr>
      <w:r>
        <w:rPr>
          <w:rFonts w:ascii="宋体" w:hAnsi="宋体" w:hint="eastAsia"/>
          <w:color w:val="000000"/>
          <w:sz w:val="32"/>
          <w:szCs w:val="32"/>
        </w:rPr>
        <w:t>签约日期：</w:t>
      </w:r>
      <w:r>
        <w:rPr>
          <w:rFonts w:ascii="宋体" w:hAnsi="宋体" w:hint="eastAsia"/>
          <w:b/>
          <w:color w:val="000000"/>
          <w:sz w:val="32"/>
          <w:szCs w:val="32"/>
          <w:u w:val="single"/>
        </w:rPr>
        <w:t xml:space="preserve"> </w:t>
      </w:r>
      <w:r>
        <w:rPr>
          <w:rFonts w:ascii="宋体" w:hAnsi="宋体"/>
          <w:b/>
          <w:color w:val="000000"/>
          <w:sz w:val="32"/>
          <w:szCs w:val="32"/>
          <w:u w:val="single"/>
        </w:rPr>
        <w:t xml:space="preserve">                      </w:t>
      </w:r>
    </w:p>
    <w:p>
      <w:pPr>
        <w:spacing w:line="360" w:lineRule="auto"/>
        <w:ind w:left="1260" w:leftChars="600"/>
        <w:rPr>
          <w:rFonts w:ascii="宋体" w:hAnsi="宋体" w:hint="eastAsia"/>
          <w:b/>
          <w:color w:val="000000"/>
          <w:sz w:val="32"/>
          <w:szCs w:val="32"/>
          <w:u w:val="single"/>
        </w:rPr>
      </w:pPr>
      <w:r>
        <w:rPr>
          <w:rFonts w:ascii="宋体" w:hAnsi="宋体" w:hint="eastAsia"/>
          <w:color w:val="000000"/>
          <w:sz w:val="32"/>
          <w:szCs w:val="32"/>
        </w:rPr>
        <w:t>签订地点：</w:t>
      </w:r>
      <w:r>
        <w:rPr>
          <w:rFonts w:ascii="宋体" w:hAnsi="宋体" w:hint="eastAsia"/>
          <w:b/>
          <w:color w:val="000000"/>
          <w:sz w:val="32"/>
          <w:szCs w:val="32"/>
          <w:u w:val="single"/>
        </w:rPr>
        <w:t xml:space="preserve"> </w:t>
      </w:r>
      <w:r>
        <w:rPr>
          <w:rFonts w:ascii="宋体" w:hAnsi="宋体"/>
          <w:b/>
          <w:color w:val="000000"/>
          <w:sz w:val="32"/>
          <w:szCs w:val="32"/>
          <w:u w:val="single"/>
        </w:rPr>
        <w:t xml:space="preserve">                      </w:t>
      </w:r>
      <w:r>
        <w:rPr>
          <w:rFonts w:ascii="宋体" w:hAnsi="宋体" w:hint="eastAsia"/>
          <w:color w:val="000000"/>
          <w:sz w:val="32"/>
          <w:szCs w:val="32"/>
        </w:rPr>
        <w:t xml:space="preserve">               </w:t>
      </w:r>
      <w:r>
        <w:rPr>
          <w:rFonts w:ascii="宋体" w:hAnsi="宋体"/>
          <w:color w:val="000000"/>
          <w:sz w:val="32"/>
          <w:szCs w:val="32"/>
        </w:rPr>
        <w:t xml:space="preserve">                            </w:t>
      </w:r>
      <w:r>
        <w:rPr>
          <w:rFonts w:ascii="宋体" w:hAnsi="宋体" w:hint="eastAsia"/>
          <w:color w:val="000000"/>
          <w:sz w:val="32"/>
          <w:szCs w:val="32"/>
        </w:rPr>
        <w:t xml:space="preserve">        </w:t>
      </w:r>
      <w:r>
        <w:rPr>
          <w:rFonts w:ascii="宋体" w:hAnsi="宋体"/>
          <w:color w:val="000000"/>
          <w:sz w:val="32"/>
          <w:szCs w:val="32"/>
        </w:rPr>
        <w:t xml:space="preserve">      </w:t>
      </w:r>
    </w:p>
    <w:p>
      <w:pPr>
        <w:spacing w:line="360" w:lineRule="auto"/>
        <w:ind w:left="1260" w:leftChars="600"/>
        <w:rPr>
          <w:rFonts w:ascii="宋体" w:hAnsi="宋体" w:hint="eastAsia"/>
          <w:color w:val="000000"/>
          <w:sz w:val="32"/>
          <w:szCs w:val="32"/>
        </w:rPr>
      </w:pPr>
      <w:r>
        <w:rPr>
          <w:rFonts w:ascii="宋体" w:hAnsi="宋体" w:hint="eastAsia"/>
          <w:color w:val="000000"/>
          <w:sz w:val="32"/>
          <w:szCs w:val="32"/>
        </w:rPr>
        <w:t>有效期限：</w:t>
      </w:r>
      <w:r>
        <w:rPr>
          <w:rFonts w:ascii="宋体" w:hAnsi="宋体" w:hint="eastAsia"/>
          <w:color w:val="000000"/>
          <w:sz w:val="32"/>
          <w:szCs w:val="32"/>
          <w:u w:val="single"/>
        </w:rPr>
        <w:t xml:space="preserve"> </w:t>
      </w:r>
      <w:r>
        <w:rPr>
          <w:rFonts w:ascii="宋体" w:hAnsi="宋体"/>
          <w:color w:val="000000"/>
          <w:sz w:val="32"/>
          <w:szCs w:val="32"/>
          <w:u w:val="single"/>
        </w:rPr>
        <w:t xml:space="preserve">                      </w:t>
      </w:r>
    </w:p>
    <w:p>
      <w:pPr>
        <w:spacing w:line="360" w:lineRule="auto"/>
        <w:jc w:val="center"/>
        <w:rPr>
          <w:rFonts w:eastAsia="黑体" w:hint="eastAsia"/>
          <w:b/>
          <w:color w:val="000000"/>
          <w:sz w:val="52"/>
        </w:rPr>
      </w:pPr>
    </w:p>
    <w:p>
      <w:pPr>
        <w:spacing w:line="360" w:lineRule="auto"/>
        <w:jc w:val="center"/>
        <w:rPr>
          <w:rFonts w:eastAsia="黑体" w:hint="eastAsia"/>
          <w:b/>
          <w:color w:val="000000"/>
          <w:sz w:val="52"/>
        </w:rPr>
      </w:pPr>
    </w:p>
    <w:p>
      <w:pPr>
        <w:spacing w:line="360" w:lineRule="auto"/>
        <w:jc w:val="center"/>
        <w:rPr>
          <w:color w:val="000000"/>
          <w:sz w:val="28"/>
        </w:rPr>
        <w:sectPr>
          <w:footerReference w:type="even" r:id="rId8"/>
          <w:footerReference w:type="default" r:id="rId9"/>
          <w:footerReference w:type="first" r:id="rId10"/>
          <w:pgSz w:w="11906" w:h="16838"/>
          <w:pgMar w:top="1440" w:right="1021" w:bottom="1440" w:left="1418" w:header="851" w:footer="992" w:gutter="0"/>
          <w:pgNumType w:start="0"/>
          <w:cols w:space="708"/>
          <w:titlePg/>
          <w:docGrid w:type="lines" w:linePitch="312"/>
        </w:sectPr>
      </w:pPr>
      <w:bookmarkStart w:id="85" w:name="_Hlk450145418"/>
    </w:p>
    <w:p>
      <w:pPr>
        <w:spacing w:line="360" w:lineRule="auto"/>
        <w:jc w:val="center"/>
        <w:rPr>
          <w:rFonts w:hint="eastAsia"/>
          <w:b/>
          <w:color w:val="000000"/>
          <w:sz w:val="32"/>
          <w:szCs w:val="32"/>
        </w:rPr>
      </w:pPr>
      <w:r>
        <w:rPr>
          <w:rFonts w:hint="eastAsia"/>
          <w:b/>
          <w:color w:val="000000"/>
          <w:sz w:val="32"/>
          <w:szCs w:val="32"/>
        </w:rPr>
        <w:t>合同格式</w:t>
      </w:r>
    </w:p>
    <w:p>
      <w:pPr>
        <w:spacing w:line="360" w:lineRule="auto"/>
        <w:jc w:val="center"/>
        <w:rPr>
          <w:rFonts w:hint="eastAsia"/>
          <w:b/>
          <w:color w:val="000000"/>
        </w:rPr>
      </w:pPr>
    </w:p>
    <w:p>
      <w:pPr>
        <w:autoSpaceDE w:val="0"/>
        <w:autoSpaceDN w:val="0"/>
        <w:adjustRightInd w:val="0"/>
        <w:spacing w:line="360" w:lineRule="auto"/>
        <w:ind w:firstLine="540" w:firstLineChars="225"/>
        <w:jc w:val="left"/>
        <w:rPr>
          <w:rFonts w:ascii="宋体" w:hAnsi="宋体" w:cs="宋体" w:hint="eastAsia"/>
          <w:color w:val="000000"/>
          <w:kern w:val="0"/>
        </w:rPr>
      </w:pPr>
      <w:r>
        <w:rPr>
          <w:rFonts w:cs="黑体"/>
          <w:b/>
          <w:color w:val="000000"/>
          <w:kern w:val="0"/>
          <w:sz w:val="24"/>
          <w:szCs w:val="24"/>
          <w:u w:val="single"/>
        </w:rPr>
        <w:t>国家</w:t>
      </w:r>
      <w:r>
        <w:rPr>
          <w:rFonts w:cs="黑体" w:hint="eastAsia"/>
          <w:b/>
          <w:color w:val="000000"/>
          <w:kern w:val="0"/>
          <w:sz w:val="24"/>
          <w:szCs w:val="24"/>
          <w:u w:val="single"/>
        </w:rPr>
        <w:t>气候</w:t>
      </w:r>
      <w:r>
        <w:rPr>
          <w:rFonts w:cs="黑体"/>
          <w:b/>
          <w:color w:val="000000"/>
          <w:kern w:val="0"/>
          <w:sz w:val="24"/>
          <w:szCs w:val="24"/>
          <w:u w:val="single"/>
        </w:rPr>
        <w:t>中心</w:t>
      </w:r>
      <w:r>
        <w:rPr>
          <w:rFonts w:ascii="宋体" w:hAnsi="宋体" w:cs="宋体"/>
          <w:color w:val="000000"/>
          <w:kern w:val="0"/>
          <w:sz w:val="24"/>
          <w:szCs w:val="24"/>
        </w:rPr>
        <w:t>_(以下简称“甲方”)和</w:t>
      </w:r>
      <w:r>
        <w:rPr>
          <w:rFonts w:ascii="宋体" w:hAnsi="宋体" w:cs="宋体" w:hint="eastAsia"/>
          <w:b/>
          <w:color w:val="000000"/>
          <w:kern w:val="0"/>
          <w:sz w:val="24"/>
          <w:szCs w:val="24"/>
          <w:u w:val="single"/>
        </w:rPr>
        <w:t>中标方</w:t>
      </w:r>
      <w:r>
        <w:rPr>
          <w:rFonts w:ascii="宋体" w:hAnsi="宋体" w:cs="宋体"/>
          <w:color w:val="000000"/>
          <w:kern w:val="0"/>
          <w:sz w:val="24"/>
          <w:szCs w:val="24"/>
        </w:rPr>
        <w:t>(以下简称“乙方”)同意按下述条款和条件签署</w:t>
      </w:r>
      <w:r>
        <w:rPr>
          <w:rFonts w:ascii="宋体" w:hAnsi="宋体" w:cs="宋体" w:hint="eastAsia"/>
          <w:b/>
          <w:color w:val="000000"/>
          <w:kern w:val="0"/>
          <w:sz w:val="24"/>
          <w:szCs w:val="24"/>
          <w:u w:val="single"/>
        </w:rPr>
        <w:t>关于气候极端事件风险应对业务能力提升软件项目</w:t>
      </w:r>
      <w:r>
        <w:rPr>
          <w:rFonts w:ascii="宋体" w:hAnsi="宋体" w:cs="宋体"/>
          <w:b/>
          <w:color w:val="000000"/>
          <w:kern w:val="0"/>
          <w:sz w:val="24"/>
          <w:szCs w:val="24"/>
          <w:u w:val="single"/>
        </w:rPr>
        <w:t>采购合同</w:t>
      </w:r>
      <w:r>
        <w:rPr>
          <w:rFonts w:ascii="宋体" w:hAnsi="宋体" w:cs="宋体"/>
          <w:color w:val="000000"/>
          <w:kern w:val="0"/>
          <w:sz w:val="24"/>
          <w:szCs w:val="24"/>
        </w:rPr>
        <w:t>(以下简称“合同”)：</w:t>
      </w:r>
    </w:p>
    <w:p>
      <w:pPr>
        <w:autoSpaceDE w:val="0"/>
        <w:autoSpaceDN w:val="0"/>
        <w:adjustRightInd w:val="0"/>
        <w:spacing w:line="360" w:lineRule="auto"/>
        <w:ind w:firstLine="472" w:firstLineChars="225"/>
        <w:jc w:val="left"/>
        <w:rPr>
          <w:rFonts w:ascii="宋体" w:hAnsi="宋体" w:cs="宋体" w:hint="eastAsia"/>
          <w:color w:val="000000"/>
          <w:kern w:val="0"/>
        </w:rPr>
      </w:pPr>
    </w:p>
    <w:p>
      <w:pPr>
        <w:pStyle w:val="Default"/>
        <w:spacing w:line="360" w:lineRule="auto"/>
        <w:rPr>
          <w:rFonts w:ascii="宋体" w:hAnsi="宋体" w:cs="Times New Roman"/>
          <w:b/>
        </w:rPr>
      </w:pPr>
      <w:r>
        <w:rPr>
          <w:rFonts w:ascii="宋体" w:hAnsi="宋体" w:cs="Times New Roman"/>
          <w:b/>
        </w:rPr>
        <w:t>一、合同文件</w:t>
      </w:r>
    </w:p>
    <w:p>
      <w:pPr>
        <w:pStyle w:val="Default"/>
        <w:spacing w:line="360" w:lineRule="auto"/>
        <w:rPr>
          <w:rFonts w:ascii="宋体" w:hAnsi="宋体" w:cs="Times New Roman"/>
        </w:rPr>
      </w:pPr>
      <w:r>
        <w:rPr>
          <w:rFonts w:ascii="宋体" w:hAnsi="宋体" w:cs="Times New Roman"/>
        </w:rPr>
        <w:t>本合同所附下列文件是构成本合同不可分割的部分</w:t>
      </w:r>
      <w:r>
        <w:rPr>
          <w:rFonts w:ascii="宋体" w:hAnsi="宋体" w:cs="Times New Roman" w:hint="eastAsia"/>
        </w:rPr>
        <w:t>，若各文件之间存在含糊不清或互相冲突之处，优先顺序应按下列文件顺序解释：</w:t>
      </w:r>
    </w:p>
    <w:p>
      <w:pPr>
        <w:numPr>
          <w:ilvl w:val="0"/>
          <w:numId w:val="69"/>
        </w:numPr>
        <w:snapToGrid w:val="0"/>
        <w:spacing w:line="360" w:lineRule="auto"/>
        <w:rPr>
          <w:rFonts w:ascii="宋体" w:hAnsi="宋体" w:hint="eastAsia"/>
          <w:szCs w:val="21"/>
        </w:rPr>
      </w:pPr>
      <w:r>
        <w:rPr>
          <w:rFonts w:ascii="宋体" w:hAnsi="宋体" w:hint="eastAsia"/>
          <w:szCs w:val="21"/>
        </w:rPr>
        <w:t>中标通知书</w:t>
      </w:r>
    </w:p>
    <w:p>
      <w:pPr>
        <w:numPr>
          <w:ilvl w:val="0"/>
          <w:numId w:val="69"/>
        </w:numPr>
        <w:snapToGrid w:val="0"/>
        <w:spacing w:line="360" w:lineRule="auto"/>
        <w:rPr>
          <w:rFonts w:ascii="宋体" w:hAnsi="宋体" w:hint="eastAsia"/>
          <w:szCs w:val="21"/>
        </w:rPr>
      </w:pPr>
      <w:r>
        <w:rPr>
          <w:rFonts w:ascii="宋体" w:hAnsi="宋体" w:hint="eastAsia"/>
          <w:szCs w:val="21"/>
        </w:rPr>
        <w:t>开标一览表及投标分项报价表</w:t>
      </w:r>
    </w:p>
    <w:p>
      <w:pPr>
        <w:numPr>
          <w:ilvl w:val="0"/>
          <w:numId w:val="69"/>
        </w:numPr>
        <w:snapToGrid w:val="0"/>
        <w:spacing w:line="360" w:lineRule="auto"/>
        <w:rPr>
          <w:rFonts w:ascii="宋体" w:hAnsi="宋体" w:hint="eastAsia"/>
          <w:szCs w:val="21"/>
        </w:rPr>
      </w:pPr>
      <w:r>
        <w:rPr>
          <w:rFonts w:ascii="宋体" w:hAnsi="宋体" w:hint="eastAsia"/>
          <w:szCs w:val="21"/>
        </w:rPr>
        <w:t>商务和技术偏离表</w:t>
      </w:r>
    </w:p>
    <w:p>
      <w:pPr>
        <w:numPr>
          <w:ilvl w:val="0"/>
          <w:numId w:val="69"/>
        </w:numPr>
        <w:snapToGrid w:val="0"/>
        <w:spacing w:line="360" w:lineRule="auto"/>
        <w:rPr>
          <w:rFonts w:ascii="宋体" w:hAnsi="宋体" w:hint="eastAsia"/>
          <w:szCs w:val="21"/>
        </w:rPr>
      </w:pPr>
      <w:r>
        <w:rPr>
          <w:rFonts w:ascii="宋体" w:hAnsi="宋体" w:hint="eastAsia"/>
          <w:szCs w:val="21"/>
        </w:rPr>
        <w:t>合同条款专用部分</w:t>
      </w:r>
    </w:p>
    <w:p>
      <w:pPr>
        <w:numPr>
          <w:ilvl w:val="0"/>
          <w:numId w:val="69"/>
        </w:numPr>
        <w:snapToGrid w:val="0"/>
        <w:spacing w:line="360" w:lineRule="auto"/>
        <w:rPr>
          <w:rFonts w:ascii="宋体" w:hAnsi="宋体" w:hint="eastAsia"/>
          <w:szCs w:val="21"/>
        </w:rPr>
      </w:pPr>
      <w:r>
        <w:rPr>
          <w:rFonts w:ascii="宋体" w:hAnsi="宋体" w:hint="eastAsia"/>
          <w:szCs w:val="21"/>
        </w:rPr>
        <w:t>合同条款通用部分</w:t>
      </w:r>
    </w:p>
    <w:p>
      <w:pPr>
        <w:numPr>
          <w:ilvl w:val="0"/>
          <w:numId w:val="69"/>
        </w:numPr>
        <w:snapToGrid w:val="0"/>
        <w:spacing w:line="360" w:lineRule="auto"/>
        <w:rPr>
          <w:rFonts w:ascii="宋体" w:hAnsi="宋体" w:hint="eastAsia"/>
          <w:szCs w:val="21"/>
        </w:rPr>
      </w:pPr>
      <w:r>
        <w:rPr>
          <w:rFonts w:ascii="宋体" w:hAnsi="宋体" w:hint="eastAsia"/>
          <w:szCs w:val="21"/>
        </w:rPr>
        <w:t>采购需求</w:t>
      </w:r>
    </w:p>
    <w:p>
      <w:pPr>
        <w:numPr>
          <w:ilvl w:val="0"/>
          <w:numId w:val="69"/>
        </w:numPr>
        <w:snapToGrid w:val="0"/>
        <w:spacing w:line="360" w:lineRule="auto"/>
        <w:rPr>
          <w:rFonts w:ascii="宋体" w:hAnsi="宋体" w:hint="eastAsia"/>
          <w:szCs w:val="21"/>
        </w:rPr>
      </w:pPr>
      <w:r>
        <w:rPr>
          <w:rFonts w:ascii="宋体" w:hAnsi="宋体" w:hint="eastAsia"/>
          <w:szCs w:val="21"/>
        </w:rPr>
        <w:t>双方有关服务的洽商、变更等书面协议或文件</w:t>
      </w:r>
    </w:p>
    <w:p>
      <w:pPr>
        <w:numPr>
          <w:ilvl w:val="0"/>
          <w:numId w:val="69"/>
        </w:numPr>
        <w:snapToGrid w:val="0"/>
        <w:spacing w:line="360" w:lineRule="auto"/>
        <w:rPr>
          <w:rFonts w:ascii="宋体" w:hAnsi="宋体" w:hint="eastAsia"/>
          <w:szCs w:val="21"/>
        </w:rPr>
      </w:pPr>
      <w:r>
        <w:rPr>
          <w:rFonts w:ascii="宋体" w:hAnsi="宋体" w:hint="eastAsia"/>
          <w:szCs w:val="21"/>
        </w:rPr>
        <w:t>投标文件、招标文件</w:t>
      </w:r>
    </w:p>
    <w:p>
      <w:pPr>
        <w:numPr>
          <w:ilvl w:val="0"/>
          <w:numId w:val="69"/>
        </w:numPr>
        <w:snapToGrid w:val="0"/>
        <w:spacing w:line="360" w:lineRule="auto"/>
        <w:rPr>
          <w:rFonts w:ascii="宋体" w:hAnsi="宋体" w:hint="eastAsia"/>
          <w:szCs w:val="21"/>
        </w:rPr>
      </w:pPr>
      <w:r>
        <w:rPr>
          <w:rFonts w:ascii="宋体" w:hAnsi="宋体" w:hint="eastAsia"/>
          <w:szCs w:val="21"/>
        </w:rPr>
        <w:t>其他合同文本</w:t>
      </w:r>
    </w:p>
    <w:p>
      <w:pPr>
        <w:pStyle w:val="Default"/>
        <w:spacing w:line="360" w:lineRule="auto"/>
        <w:rPr>
          <w:rFonts w:ascii="宋体" w:hAnsi="宋体" w:cs="Times New Roman"/>
          <w:b/>
        </w:rPr>
      </w:pPr>
      <w:r>
        <w:rPr>
          <w:rFonts w:ascii="宋体" w:hAnsi="宋体" w:cs="Times New Roman"/>
          <w:b/>
        </w:rPr>
        <w:t>二、合同范围和条件</w:t>
      </w:r>
    </w:p>
    <w:p>
      <w:pPr>
        <w:pStyle w:val="Default"/>
        <w:spacing w:line="360" w:lineRule="auto"/>
        <w:ind w:firstLine="540" w:firstLineChars="225"/>
        <w:rPr>
          <w:rFonts w:ascii="宋体" w:hAnsi="宋体" w:cs="Times New Roman"/>
        </w:rPr>
      </w:pPr>
      <w:r>
        <w:rPr>
          <w:rFonts w:ascii="宋体" w:hAnsi="宋体" w:cs="Times New Roman"/>
        </w:rPr>
        <w:t>本合同的范围和条件应与上述合同文件的规定相一致。</w:t>
      </w:r>
    </w:p>
    <w:p>
      <w:pPr>
        <w:pStyle w:val="Default"/>
        <w:spacing w:line="360" w:lineRule="auto"/>
        <w:rPr>
          <w:rFonts w:ascii="宋体" w:hAnsi="宋体" w:cs="Times New Roman"/>
          <w:b/>
        </w:rPr>
      </w:pPr>
      <w:r>
        <w:rPr>
          <w:rFonts w:ascii="宋体" w:hAnsi="宋体" w:cs="Times New Roman"/>
          <w:b/>
        </w:rPr>
        <w:t>三、</w:t>
      </w:r>
      <w:r>
        <w:rPr>
          <w:rFonts w:ascii="宋体" w:hAnsi="宋体" w:cs="Times New Roman" w:hint="eastAsia"/>
          <w:b/>
        </w:rPr>
        <w:t>合同标的</w:t>
      </w:r>
    </w:p>
    <w:p>
      <w:pPr>
        <w:pStyle w:val="Default"/>
        <w:spacing w:line="360" w:lineRule="auto"/>
        <w:ind w:firstLine="540" w:firstLineChars="225"/>
        <w:rPr>
          <w:rFonts w:ascii="宋体" w:hAnsi="宋体" w:cs="Times New Roman"/>
        </w:rPr>
      </w:pPr>
      <w:r>
        <w:rPr>
          <w:rFonts w:ascii="宋体" w:hAnsi="宋体" w:cs="Times New Roman"/>
        </w:rPr>
        <w:t>本合同所提供的</w:t>
      </w:r>
      <w:r>
        <w:rPr>
          <w:rFonts w:ascii="宋体" w:hAnsi="宋体" w:cs="Times New Roman" w:hint="eastAsia"/>
        </w:rPr>
        <w:t>服务产品</w:t>
      </w:r>
      <w:r>
        <w:rPr>
          <w:rFonts w:ascii="宋体" w:hAnsi="宋体" w:cs="Times New Roman"/>
        </w:rPr>
        <w:t>详见合同</w:t>
      </w:r>
      <w:r>
        <w:rPr>
          <w:rFonts w:ascii="宋体" w:hAnsi="宋体" w:cs="Times New Roman" w:hint="eastAsia"/>
        </w:rPr>
        <w:t>服务</w:t>
      </w:r>
      <w:r>
        <w:rPr>
          <w:rFonts w:ascii="宋体" w:hAnsi="宋体" w:cs="Times New Roman"/>
        </w:rPr>
        <w:t>清单（同投标文件中</w:t>
      </w:r>
      <w:r>
        <w:rPr>
          <w:rFonts w:ascii="宋体" w:hAnsi="宋体" w:cs="Times New Roman" w:hint="eastAsia"/>
        </w:rPr>
        <w:t>服务产品</w:t>
      </w:r>
      <w:r>
        <w:rPr>
          <w:rFonts w:ascii="宋体" w:hAnsi="宋体" w:cs="Times New Roman"/>
        </w:rPr>
        <w:t>清单，下同）。</w:t>
      </w:r>
    </w:p>
    <w:p>
      <w:pPr>
        <w:pStyle w:val="Default"/>
        <w:spacing w:line="360" w:lineRule="auto"/>
        <w:rPr>
          <w:rFonts w:ascii="宋体" w:hAnsi="宋体" w:cs="Times New Roman"/>
          <w:b/>
        </w:rPr>
      </w:pPr>
      <w:r>
        <w:rPr>
          <w:rFonts w:ascii="宋体" w:hAnsi="宋体" w:cs="Times New Roman"/>
          <w:b/>
        </w:rPr>
        <w:t>四、合同金额</w:t>
      </w:r>
    </w:p>
    <w:p>
      <w:pPr>
        <w:pStyle w:val="Default"/>
        <w:spacing w:line="360" w:lineRule="auto"/>
        <w:ind w:firstLine="540" w:firstLineChars="225"/>
        <w:rPr>
          <w:rFonts w:ascii="宋体" w:hAnsi="宋体" w:cs="Times New Roman" w:hint="eastAsia"/>
          <w:b/>
          <w:strike/>
          <w:u w:val="single"/>
        </w:rPr>
      </w:pPr>
      <w:r>
        <w:rPr>
          <w:rFonts w:ascii="宋体" w:hAnsi="宋体" w:cs="Times New Roman"/>
        </w:rPr>
        <w:t>根据上述合同文件要求，合同的总金额为</w:t>
      </w:r>
      <w:r>
        <w:rPr>
          <w:rFonts w:ascii="宋体" w:hAnsi="宋体" w:cs="Times New Roman" w:hint="eastAsia"/>
        </w:rPr>
        <w:t>XX（人民币大写）。</w:t>
      </w:r>
    </w:p>
    <w:p>
      <w:pPr>
        <w:pStyle w:val="Default"/>
        <w:spacing w:line="360" w:lineRule="auto"/>
        <w:rPr>
          <w:rFonts w:ascii="宋体" w:hAnsi="宋体" w:cs="Times New Roman"/>
          <w:b/>
          <w:color w:val="FF0000"/>
        </w:rPr>
      </w:pPr>
      <w:r>
        <w:rPr>
          <w:rFonts w:ascii="宋体" w:hAnsi="宋体" w:cs="Times New Roman"/>
          <w:b/>
        </w:rPr>
        <w:t>五、付款</w:t>
      </w:r>
      <w:r>
        <w:rPr>
          <w:rFonts w:ascii="宋体" w:hAnsi="宋体" w:cs="Times New Roman"/>
          <w:b/>
          <w:color w:val="FF0000"/>
        </w:rPr>
        <w:t>方式（</w:t>
      </w:r>
      <w:r>
        <w:rPr>
          <w:rFonts w:ascii="宋体" w:hAnsi="宋体" w:cs="Times New Roman" w:hint="eastAsia"/>
          <w:b/>
          <w:color w:val="FF0000"/>
        </w:rPr>
        <w:t>补充比例）</w:t>
      </w:r>
    </w:p>
    <w:p>
      <w:pPr>
        <w:pStyle w:val="Default"/>
        <w:spacing w:line="360" w:lineRule="auto"/>
        <w:ind w:firstLine="540" w:firstLineChars="225"/>
        <w:rPr>
          <w:rFonts w:ascii="宋体" w:hAnsi="宋体" w:cs="Times New Roman"/>
          <w:color w:val="FF0000"/>
        </w:rPr>
      </w:pPr>
      <w:r>
        <w:rPr>
          <w:rFonts w:ascii="宋体" w:hAnsi="宋体" w:cs="Times New Roman"/>
          <w:color w:val="FF0000"/>
        </w:rPr>
        <w:t>本合同的付款方式详见</w:t>
      </w:r>
      <w:r>
        <w:rPr>
          <w:rFonts w:ascii="宋体" w:hAnsi="宋体" w:cs="Times New Roman"/>
          <w:b/>
          <w:color w:val="FF0000"/>
          <w:u w:val="single"/>
        </w:rPr>
        <w:t>合同条款通用部分</w:t>
      </w:r>
      <w:r>
        <w:rPr>
          <w:rFonts w:ascii="宋体" w:hAnsi="宋体" w:cs="Times New Roman"/>
          <w:color w:val="FF0000"/>
        </w:rPr>
        <w:t>及</w:t>
      </w:r>
      <w:r>
        <w:rPr>
          <w:rFonts w:ascii="宋体" w:hAnsi="宋体" w:cs="Times New Roman"/>
          <w:b/>
          <w:color w:val="FF0000"/>
          <w:u w:val="single"/>
        </w:rPr>
        <w:t>合同条款专用部分</w:t>
      </w:r>
      <w:r>
        <w:rPr>
          <w:rFonts w:ascii="宋体" w:hAnsi="宋体" w:cs="Times New Roman"/>
          <w:color w:val="FF0000"/>
        </w:rPr>
        <w:t>。</w:t>
      </w:r>
    </w:p>
    <w:p>
      <w:pPr>
        <w:pStyle w:val="Default"/>
        <w:spacing w:line="360" w:lineRule="auto"/>
        <w:rPr>
          <w:rFonts w:ascii="宋体" w:hAnsi="宋体" w:cs="Times New Roman"/>
          <w:b/>
        </w:rPr>
      </w:pPr>
      <w:r>
        <w:rPr>
          <w:rFonts w:ascii="宋体" w:hAnsi="宋体" w:cs="Times New Roman"/>
          <w:b/>
        </w:rPr>
        <w:t>六、交货时间和交货地点</w:t>
      </w:r>
    </w:p>
    <w:p>
      <w:pPr>
        <w:pStyle w:val="Default"/>
        <w:spacing w:line="360" w:lineRule="auto"/>
        <w:ind w:firstLine="540" w:firstLineChars="225"/>
        <w:rPr>
          <w:rFonts w:ascii="宋体" w:hAnsi="宋体" w:cs="Times New Roman"/>
        </w:rPr>
      </w:pPr>
      <w:r>
        <w:rPr>
          <w:rFonts w:ascii="宋体" w:hAnsi="宋体" w:cs="Times New Roman"/>
        </w:rPr>
        <w:t>本合同</w:t>
      </w:r>
      <w:r>
        <w:rPr>
          <w:rFonts w:ascii="宋体" w:hAnsi="宋体" w:cs="Times New Roman" w:hint="eastAsia"/>
        </w:rPr>
        <w:t>标的的</w:t>
      </w:r>
      <w:r>
        <w:rPr>
          <w:rFonts w:ascii="宋体" w:hAnsi="宋体" w:cs="Times New Roman"/>
        </w:rPr>
        <w:t>交付时间和交货地点详见</w:t>
      </w:r>
      <w:r>
        <w:rPr>
          <w:rFonts w:ascii="宋体" w:hAnsi="宋体" w:cs="Times New Roman"/>
          <w:b/>
          <w:u w:val="single"/>
        </w:rPr>
        <w:t>合同条款通用部分</w:t>
      </w:r>
      <w:r>
        <w:rPr>
          <w:rFonts w:ascii="宋体" w:hAnsi="宋体" w:cs="Times New Roman"/>
        </w:rPr>
        <w:t>及</w:t>
      </w:r>
      <w:r>
        <w:rPr>
          <w:rFonts w:ascii="宋体" w:hAnsi="宋体" w:cs="Times New Roman"/>
          <w:b/>
          <w:u w:val="single"/>
        </w:rPr>
        <w:t>合同条款专用部分</w:t>
      </w:r>
      <w:r>
        <w:rPr>
          <w:rFonts w:ascii="宋体" w:hAnsi="宋体" w:cs="Times New Roman"/>
        </w:rPr>
        <w:t>。</w:t>
      </w:r>
    </w:p>
    <w:p>
      <w:pPr>
        <w:pStyle w:val="Default"/>
        <w:spacing w:line="360" w:lineRule="auto"/>
        <w:rPr>
          <w:rFonts w:ascii="宋体" w:hAnsi="宋体" w:cs="Times New Roman"/>
          <w:b/>
        </w:rPr>
      </w:pPr>
      <w:r>
        <w:rPr>
          <w:rFonts w:ascii="宋体" w:hAnsi="宋体" w:cs="Times New Roman"/>
          <w:b/>
        </w:rPr>
        <w:t>七、合同生效</w:t>
      </w:r>
    </w:p>
    <w:p>
      <w:pPr>
        <w:spacing w:line="360" w:lineRule="auto"/>
        <w:ind w:firstLine="540" w:firstLineChars="225"/>
        <w:rPr>
          <w:rFonts w:ascii="宋体" w:hAnsi="宋体" w:hint="eastAsia"/>
          <w:b/>
          <w:color w:val="000000"/>
        </w:rPr>
      </w:pPr>
      <w:r>
        <w:rPr>
          <w:rFonts w:ascii="宋体" w:hAnsi="宋体"/>
          <w:color w:val="000000"/>
          <w:sz w:val="24"/>
          <w:szCs w:val="24"/>
          <w:highlight w:val="yellow"/>
        </w:rPr>
        <w:t>本合同经双方法定代表人或授权代表签字盖章，并在甲方收到乙方提交的履约保证金或履约保函后生效</w:t>
      </w:r>
      <w:r>
        <w:rPr>
          <w:rFonts w:ascii="宋体" w:hAnsi="宋体" w:hint="eastAsia"/>
          <w:color w:val="000000"/>
          <w:sz w:val="24"/>
          <w:szCs w:val="24"/>
          <w:highlight w:val="yellow"/>
        </w:rPr>
        <w:t>。</w:t>
      </w:r>
    </w:p>
    <w:p>
      <w:pPr>
        <w:spacing w:line="360" w:lineRule="auto"/>
        <w:ind w:left="420"/>
        <w:rPr>
          <w:rFonts w:hint="eastAsia"/>
          <w:color w:val="000000"/>
          <w:sz w:val="28"/>
        </w:rPr>
      </w:pPr>
    </w:p>
    <w:p>
      <w:pPr>
        <w:spacing w:line="360" w:lineRule="auto"/>
        <w:rPr>
          <w:rFonts w:ascii="宋体" w:hAnsi="宋体" w:hint="eastAsia"/>
          <w:color w:val="000000"/>
        </w:rPr>
      </w:pPr>
      <w:r>
        <w:rPr>
          <w:rFonts w:ascii="宋体" w:hAnsi="宋体" w:hint="eastAsia"/>
          <w:color w:val="000000"/>
          <w:sz w:val="24"/>
          <w:szCs w:val="24"/>
        </w:rPr>
        <w:t>甲方（盖章）</w:t>
      </w:r>
      <w:r>
        <w:rPr>
          <w:rFonts w:ascii="宋体" w:hAnsi="宋体" w:hint="eastAsia"/>
          <w:color w:val="000000"/>
          <w:sz w:val="24"/>
          <w:szCs w:val="24"/>
        </w:rPr>
        <w:tab/>
      </w:r>
      <w:r>
        <w:rPr>
          <w:rFonts w:ascii="宋体" w:hAnsi="宋体" w:hint="eastAsia"/>
          <w:color w:val="000000"/>
          <w:sz w:val="24"/>
          <w:szCs w:val="24"/>
        </w:rPr>
        <w:tab/>
      </w:r>
      <w:r>
        <w:rPr>
          <w:rFonts w:ascii="宋体" w:hAnsi="宋体" w:hint="eastAsia"/>
          <w:color w:val="000000"/>
          <w:sz w:val="24"/>
          <w:szCs w:val="24"/>
        </w:rPr>
        <w:tab/>
      </w:r>
      <w:r>
        <w:rPr>
          <w:rFonts w:ascii="宋体" w:hAnsi="宋体" w:hint="eastAsia"/>
          <w:color w:val="000000"/>
          <w:sz w:val="24"/>
          <w:szCs w:val="24"/>
        </w:rPr>
        <w:tab/>
      </w:r>
      <w:r>
        <w:rPr>
          <w:rFonts w:ascii="宋体" w:hAnsi="宋体" w:hint="eastAsia"/>
          <w:color w:val="000000"/>
          <w:sz w:val="24"/>
          <w:szCs w:val="24"/>
        </w:rPr>
        <w:tab/>
      </w:r>
      <w:r>
        <w:rPr>
          <w:rFonts w:ascii="宋体" w:hAnsi="宋体" w:hint="eastAsia"/>
          <w:color w:val="000000"/>
          <w:sz w:val="24"/>
          <w:szCs w:val="24"/>
        </w:rPr>
        <w:tab/>
      </w:r>
      <w:r>
        <w:rPr>
          <w:rFonts w:ascii="宋体" w:hAnsi="宋体" w:hint="eastAsia"/>
          <w:color w:val="000000"/>
          <w:sz w:val="24"/>
          <w:szCs w:val="24"/>
        </w:rPr>
        <w:tab/>
      </w:r>
      <w:r>
        <w:rPr>
          <w:rFonts w:ascii="宋体" w:hAnsi="宋体" w:hint="eastAsia"/>
          <w:color w:val="000000"/>
          <w:sz w:val="24"/>
          <w:szCs w:val="24"/>
        </w:rPr>
        <w:tab/>
      </w:r>
      <w:r>
        <w:rPr>
          <w:rFonts w:ascii="宋体" w:hAnsi="宋体" w:hint="eastAsia"/>
          <w:color w:val="000000"/>
          <w:sz w:val="24"/>
          <w:szCs w:val="24"/>
        </w:rPr>
        <w:t xml:space="preserve">    乙方（盖章）</w:t>
      </w:r>
    </w:p>
    <w:p>
      <w:pPr>
        <w:spacing w:line="360" w:lineRule="auto"/>
        <w:rPr>
          <w:rFonts w:ascii="宋体" w:hAnsi="宋体" w:hint="eastAsia"/>
          <w:color w:val="000000"/>
          <w:spacing w:val="-10"/>
          <w:u w:val="single"/>
        </w:rPr>
      </w:pPr>
      <w:r>
        <w:rPr>
          <w:rFonts w:cs="黑体"/>
          <w:b/>
          <w:color w:val="000000"/>
          <w:kern w:val="0"/>
          <w:sz w:val="24"/>
          <w:szCs w:val="24"/>
          <w:u w:val="single"/>
        </w:rPr>
        <w:t>国家</w:t>
      </w:r>
      <w:r>
        <w:rPr>
          <w:rFonts w:cs="黑体" w:hint="eastAsia"/>
          <w:b/>
          <w:color w:val="000000"/>
          <w:kern w:val="0"/>
          <w:sz w:val="24"/>
          <w:szCs w:val="24"/>
          <w:u w:val="single"/>
        </w:rPr>
        <w:t>气候</w:t>
      </w:r>
      <w:r>
        <w:rPr>
          <w:rFonts w:cs="黑体"/>
          <w:b/>
          <w:color w:val="000000"/>
          <w:kern w:val="0"/>
          <w:sz w:val="24"/>
          <w:szCs w:val="24"/>
          <w:u w:val="single"/>
        </w:rPr>
        <w:t>中心</w:t>
      </w:r>
      <w:r>
        <w:rPr>
          <w:rFonts w:ascii="宋体" w:hAnsi="宋体" w:hint="eastAsia"/>
          <w:color w:val="000000"/>
          <w:sz w:val="24"/>
          <w:szCs w:val="24"/>
        </w:rPr>
        <w:tab/>
      </w:r>
      <w:r>
        <w:rPr>
          <w:rFonts w:ascii="宋体" w:hAnsi="宋体" w:hint="eastAsia"/>
          <w:color w:val="000000"/>
          <w:sz w:val="24"/>
          <w:szCs w:val="24"/>
        </w:rPr>
        <w:t xml:space="preserve">                         </w:t>
      </w:r>
      <w:r>
        <w:rPr>
          <w:rFonts w:ascii="宋体" w:hAnsi="宋体"/>
          <w:color w:val="000000"/>
          <w:sz w:val="24"/>
          <w:szCs w:val="24"/>
        </w:rPr>
        <w:t xml:space="preserve">    </w:t>
      </w:r>
      <w:r>
        <w:rPr>
          <w:rFonts w:ascii="宋体" w:hAnsi="宋体" w:hint="eastAsia"/>
          <w:b/>
          <w:color w:val="000000"/>
          <w:spacing w:val="-10"/>
          <w:sz w:val="24"/>
          <w:szCs w:val="24"/>
          <w:u w:val="single"/>
        </w:rPr>
        <w:t>中标方</w:t>
      </w:r>
    </w:p>
    <w:p>
      <w:pPr>
        <w:spacing w:line="360" w:lineRule="auto"/>
        <w:rPr>
          <w:rFonts w:ascii="宋体" w:hAnsi="宋体" w:hint="eastAsia"/>
          <w:b/>
          <w:color w:val="000000"/>
          <w:u w:val="single"/>
        </w:rPr>
      </w:pPr>
      <w:r>
        <w:rPr>
          <w:rFonts w:ascii="宋体" w:hAnsi="宋体" w:hint="eastAsia"/>
          <w:color w:val="000000"/>
          <w:sz w:val="24"/>
          <w:szCs w:val="24"/>
        </w:rPr>
        <w:t>地点：</w:t>
      </w:r>
      <w:r>
        <w:rPr>
          <w:rFonts w:ascii="宋体" w:hAnsi="宋体" w:hint="eastAsia"/>
          <w:b/>
          <w:color w:val="000000"/>
          <w:sz w:val="24"/>
          <w:szCs w:val="24"/>
          <w:u w:val="single"/>
        </w:rPr>
        <w:t xml:space="preserve"> 北京市海淀区中关村南大街路46号 </w:t>
      </w:r>
      <w:r>
        <w:rPr>
          <w:rFonts w:ascii="宋体" w:hAnsi="宋体" w:hint="eastAsia"/>
          <w:color w:val="000000"/>
          <w:sz w:val="24"/>
          <w:szCs w:val="24"/>
        </w:rPr>
        <w:t xml:space="preserve">    地点：</w:t>
      </w:r>
      <w:r>
        <w:rPr>
          <w:rFonts w:ascii="宋体" w:hAnsi="宋体" w:hint="eastAsia"/>
          <w:b/>
          <w:color w:val="000000"/>
          <w:sz w:val="24"/>
          <w:szCs w:val="24"/>
          <w:u w:val="single"/>
        </w:rPr>
        <w:t xml:space="preserve"> </w:t>
      </w:r>
    </w:p>
    <w:p>
      <w:pPr>
        <w:spacing w:line="360" w:lineRule="auto"/>
        <w:rPr>
          <w:rFonts w:ascii="宋体" w:hAnsi="宋体" w:hint="eastAsia"/>
          <w:color w:val="000000"/>
          <w:u w:val="single"/>
        </w:rPr>
      </w:pPr>
      <w:r>
        <w:rPr>
          <w:rFonts w:ascii="宋体" w:hAnsi="宋体" w:hint="eastAsia"/>
          <w:color w:val="000000"/>
          <w:sz w:val="24"/>
          <w:szCs w:val="24"/>
        </w:rPr>
        <w:t>法定代表人或授权代表（签字）：</w:t>
      </w:r>
      <w:r>
        <w:rPr>
          <w:rFonts w:ascii="宋体" w:hAnsi="宋体"/>
          <w:color w:val="000000"/>
          <w:sz w:val="24"/>
          <w:szCs w:val="24"/>
        </w:rPr>
        <w:t xml:space="preserve">       </w:t>
      </w:r>
      <w:r>
        <w:rPr>
          <w:rFonts w:ascii="宋体" w:hAnsi="宋体" w:hint="eastAsia"/>
          <w:color w:val="000000"/>
          <w:sz w:val="24"/>
          <w:szCs w:val="24"/>
        </w:rPr>
        <w:t xml:space="preserve">       法定代表人或授权代表（签字）：</w:t>
      </w:r>
    </w:p>
    <w:p>
      <w:pPr>
        <w:spacing w:line="360" w:lineRule="auto"/>
        <w:rPr>
          <w:rFonts w:ascii="宋体" w:hAnsi="宋体" w:hint="eastAsia"/>
          <w:color w:val="000000"/>
          <w:u w:val="single"/>
        </w:rPr>
      </w:pPr>
    </w:p>
    <w:p>
      <w:pPr>
        <w:pStyle w:val="Default"/>
        <w:rPr>
          <w:rFonts w:ascii="宋体" w:hAnsi="宋体" w:cs="宋体"/>
          <w:szCs w:val="21"/>
        </w:rPr>
        <w:sectPr>
          <w:footerReference w:type="first" r:id="rId11"/>
          <w:pgSz w:w="11906" w:h="16838"/>
          <w:pgMar w:top="1440" w:right="1021" w:bottom="1440" w:left="1418" w:header="851" w:footer="992" w:gutter="0"/>
          <w:pgNumType w:start="1"/>
          <w:cols w:space="708"/>
          <w:titlePg/>
          <w:docGrid w:type="lines" w:linePitch="312"/>
        </w:sectPr>
      </w:pPr>
    </w:p>
    <w:p>
      <w:pPr>
        <w:pStyle w:val="Default"/>
        <w:jc w:val="center"/>
        <w:rPr>
          <w:rFonts w:hint="eastAsia"/>
          <w:b/>
          <w:sz w:val="32"/>
          <w:szCs w:val="32"/>
        </w:rPr>
      </w:pPr>
      <w:r>
        <w:rPr>
          <w:b/>
          <w:sz w:val="32"/>
          <w:szCs w:val="32"/>
        </w:rPr>
        <w:t>合同条款通用部分</w:t>
      </w:r>
    </w:p>
    <w:p>
      <w:pPr>
        <w:pStyle w:val="Default"/>
        <w:jc w:val="center"/>
        <w:rPr>
          <w:rFonts w:hint="eastAsia"/>
          <w:b/>
          <w:sz w:val="32"/>
          <w:szCs w:val="32"/>
        </w:rPr>
      </w:pPr>
    </w:p>
    <w:p>
      <w:pPr>
        <w:pStyle w:val="Default"/>
        <w:spacing w:line="360" w:lineRule="auto"/>
        <w:ind w:firstLine="540" w:firstLineChars="225"/>
        <w:rPr>
          <w:rFonts w:ascii="宋体" w:hAnsi="宋体"/>
        </w:rPr>
      </w:pPr>
      <w:r>
        <w:rPr>
          <w:rFonts w:ascii="宋体" w:hAnsi="宋体"/>
        </w:rPr>
        <w:t>甲方在本项目中所需货物和服务由中国气象局政府采购中心在境内进行公开招标，经评审委员会评定，确定乙方为中标人。甲乙双方根据《中华人民共和国政府采购法》、《中华人民共和国合同法》和《中华人民共和国招标投标法》等相关法律法规以及本项目招标文件的规定，经平等协商达成合同如下：</w:t>
      </w:r>
    </w:p>
    <w:p>
      <w:pPr>
        <w:pStyle w:val="Default"/>
        <w:spacing w:line="360" w:lineRule="auto"/>
        <w:ind w:firstLine="480" w:firstLineChars="200"/>
        <w:rPr>
          <w:rFonts w:ascii="宋体" w:hAnsi="宋体"/>
          <w:b/>
        </w:rPr>
      </w:pPr>
      <w:r>
        <w:rPr>
          <w:rFonts w:ascii="宋体" w:hAnsi="宋体"/>
          <w:b/>
        </w:rPr>
        <w:t>一、定义</w:t>
      </w:r>
    </w:p>
    <w:p>
      <w:pPr>
        <w:pStyle w:val="Default"/>
        <w:spacing w:line="360" w:lineRule="auto"/>
        <w:ind w:firstLine="540" w:firstLineChars="225"/>
        <w:rPr>
          <w:rFonts w:ascii="宋体" w:hAnsi="宋体"/>
        </w:rPr>
      </w:pPr>
      <w:r>
        <w:rPr>
          <w:rFonts w:ascii="宋体" w:hAnsi="宋体"/>
        </w:rPr>
        <w:t>除非另有特别解释或说明，在本合同及与本合同相关的，双方另行签署的其他文件（包括但不限于本合同的附件）中，下述词语均依如下定义进行解释：</w:t>
      </w:r>
    </w:p>
    <w:p>
      <w:pPr>
        <w:pStyle w:val="Default"/>
        <w:spacing w:line="360" w:lineRule="auto"/>
        <w:ind w:firstLine="472" w:firstLineChars="225"/>
        <w:rPr>
          <w:rFonts w:ascii="宋体" w:hAnsi="宋体" w:cs="Times New Roman" w:hint="eastAsia"/>
          <w:color w:val="auto"/>
          <w:kern w:val="2"/>
          <w:sz w:val="21"/>
          <w:szCs w:val="20"/>
        </w:rPr>
      </w:pPr>
      <w:r>
        <w:rPr>
          <w:rFonts w:ascii="宋体" w:hAnsi="宋体" w:cs="Times New Roman" w:hint="eastAsia"/>
          <w:color w:val="auto"/>
          <w:kern w:val="2"/>
          <w:sz w:val="21"/>
          <w:szCs w:val="20"/>
        </w:rPr>
        <w:t>1、</w:t>
      </w:r>
      <w:r>
        <w:rPr>
          <w:rFonts w:ascii="宋体" w:hAnsi="宋体" w:cs="Times New Roman" w:hint="eastAsia"/>
          <w:color w:val="auto"/>
          <w:kern w:val="2"/>
          <w:sz w:val="21"/>
          <w:szCs w:val="20"/>
        </w:rPr>
        <w:t>“</w:t>
      </w:r>
      <w:r>
        <w:rPr>
          <w:rFonts w:ascii="宋体" w:hAnsi="宋体" w:cs="Times New Roman" w:hint="eastAsia"/>
          <w:color w:val="auto"/>
          <w:kern w:val="2"/>
          <w:sz w:val="21"/>
          <w:szCs w:val="20"/>
        </w:rPr>
        <w:t>项目</w:t>
      </w:r>
      <w:r>
        <w:rPr>
          <w:rFonts w:ascii="宋体" w:hAnsi="宋体" w:cs="Times New Roman" w:hint="eastAsia"/>
          <w:color w:val="auto"/>
          <w:kern w:val="2"/>
          <w:sz w:val="21"/>
          <w:szCs w:val="20"/>
        </w:rPr>
        <w:t>”</w:t>
      </w:r>
      <w:r>
        <w:rPr>
          <w:rFonts w:ascii="宋体" w:hAnsi="宋体" w:cs="Times New Roman" w:hint="eastAsia"/>
          <w:color w:val="auto"/>
          <w:kern w:val="2"/>
          <w:sz w:val="21"/>
          <w:szCs w:val="20"/>
        </w:rPr>
        <w:t>详见合同条款专用部分。</w:t>
      </w:r>
    </w:p>
    <w:p>
      <w:pPr>
        <w:pStyle w:val="Default"/>
        <w:spacing w:line="360" w:lineRule="auto"/>
        <w:ind w:firstLine="472" w:firstLineChars="225"/>
        <w:rPr>
          <w:rFonts w:ascii="宋体" w:hAnsi="宋体" w:cs="Times New Roman" w:hint="eastAsia"/>
          <w:color w:val="auto"/>
          <w:kern w:val="2"/>
          <w:sz w:val="21"/>
          <w:szCs w:val="20"/>
        </w:rPr>
      </w:pPr>
      <w:r>
        <w:rPr>
          <w:rFonts w:ascii="宋体" w:hAnsi="宋体" w:cs="Times New Roman" w:hint="eastAsia"/>
          <w:color w:val="auto"/>
          <w:kern w:val="2"/>
          <w:sz w:val="21"/>
          <w:szCs w:val="20"/>
        </w:rPr>
        <w:t>2、</w:t>
      </w:r>
      <w:r>
        <w:rPr>
          <w:rFonts w:ascii="宋体" w:hAnsi="宋体" w:cs="Times New Roman" w:hint="eastAsia"/>
          <w:color w:val="auto"/>
          <w:kern w:val="2"/>
          <w:sz w:val="21"/>
          <w:szCs w:val="20"/>
        </w:rPr>
        <w:t>“</w:t>
      </w:r>
      <w:r>
        <w:rPr>
          <w:rFonts w:ascii="宋体" w:hAnsi="宋体" w:cs="Times New Roman" w:hint="eastAsia"/>
          <w:color w:val="auto"/>
          <w:kern w:val="2"/>
          <w:sz w:val="21"/>
          <w:szCs w:val="20"/>
        </w:rPr>
        <w:t>合同</w:t>
      </w:r>
      <w:r>
        <w:rPr>
          <w:rFonts w:ascii="宋体" w:hAnsi="宋体" w:cs="Times New Roman" w:hint="eastAsia"/>
          <w:color w:val="auto"/>
          <w:kern w:val="2"/>
          <w:sz w:val="21"/>
          <w:szCs w:val="20"/>
        </w:rPr>
        <w:t>”</w:t>
      </w:r>
      <w:r>
        <w:rPr>
          <w:rFonts w:ascii="宋体" w:hAnsi="宋体" w:cs="Times New Roman" w:hint="eastAsia"/>
          <w:color w:val="auto"/>
          <w:kern w:val="2"/>
          <w:sz w:val="21"/>
          <w:szCs w:val="20"/>
        </w:rPr>
        <w:t>指甲乙双方签署的，与本项目相关的协议、附件、附录和其他一切文件，还包括招标文件、投标文件中的相关内容及其有效补充文件。</w:t>
      </w:r>
    </w:p>
    <w:p>
      <w:pPr>
        <w:pStyle w:val="Default"/>
        <w:spacing w:line="360" w:lineRule="auto"/>
        <w:ind w:firstLine="472" w:firstLineChars="225"/>
        <w:rPr>
          <w:rFonts w:ascii="宋体" w:hAnsi="宋体" w:cs="Times New Roman" w:hint="eastAsia"/>
          <w:color w:val="auto"/>
          <w:kern w:val="2"/>
          <w:sz w:val="21"/>
          <w:szCs w:val="20"/>
        </w:rPr>
      </w:pPr>
      <w:r>
        <w:rPr>
          <w:rFonts w:ascii="宋体" w:hAnsi="宋体" w:cs="Times New Roman" w:hint="eastAsia"/>
          <w:color w:val="auto"/>
          <w:kern w:val="2"/>
          <w:sz w:val="21"/>
          <w:szCs w:val="20"/>
        </w:rPr>
        <w:t>3、</w:t>
      </w:r>
      <w:r>
        <w:rPr>
          <w:rFonts w:ascii="宋体" w:hAnsi="宋体" w:cs="Times New Roman" w:hint="eastAsia"/>
          <w:color w:val="auto"/>
          <w:kern w:val="2"/>
          <w:sz w:val="21"/>
          <w:szCs w:val="20"/>
        </w:rPr>
        <w:t>“</w:t>
      </w:r>
      <w:r>
        <w:rPr>
          <w:rFonts w:ascii="宋体" w:hAnsi="宋体" w:cs="Times New Roman" w:hint="eastAsia"/>
          <w:color w:val="auto"/>
          <w:kern w:val="2"/>
          <w:sz w:val="21"/>
          <w:szCs w:val="20"/>
        </w:rPr>
        <w:t>附件</w:t>
      </w:r>
      <w:r>
        <w:rPr>
          <w:rFonts w:ascii="宋体" w:hAnsi="宋体" w:cs="Times New Roman" w:hint="eastAsia"/>
          <w:color w:val="auto"/>
          <w:kern w:val="2"/>
          <w:sz w:val="21"/>
          <w:szCs w:val="20"/>
        </w:rPr>
        <w:t>”</w:t>
      </w:r>
      <w:r>
        <w:rPr>
          <w:rFonts w:ascii="宋体" w:hAnsi="宋体" w:cs="Times New Roman" w:hint="eastAsia"/>
          <w:color w:val="auto"/>
          <w:kern w:val="2"/>
          <w:sz w:val="21"/>
          <w:szCs w:val="20"/>
        </w:rPr>
        <w:t>是指与本合同的订立、履行有关的，经甲乙双方认可的，对本合同约定的内容进行细化、补充、修改、变更的文件、图纸、音像制品等资料。</w:t>
      </w:r>
    </w:p>
    <w:p>
      <w:pPr>
        <w:pStyle w:val="Default"/>
        <w:spacing w:line="360" w:lineRule="auto"/>
        <w:ind w:firstLine="472" w:firstLineChars="225"/>
        <w:rPr>
          <w:rFonts w:ascii="宋体" w:hAnsi="宋体" w:cs="Times New Roman" w:hint="eastAsia"/>
          <w:color w:val="auto"/>
          <w:kern w:val="2"/>
          <w:sz w:val="21"/>
          <w:szCs w:val="20"/>
        </w:rPr>
      </w:pPr>
      <w:r>
        <w:rPr>
          <w:rFonts w:ascii="宋体" w:hAnsi="宋体" w:cs="Times New Roman" w:hint="eastAsia"/>
          <w:color w:val="auto"/>
          <w:kern w:val="2"/>
          <w:sz w:val="21"/>
          <w:szCs w:val="20"/>
        </w:rPr>
        <w:t>4、</w:t>
      </w:r>
      <w:r>
        <w:rPr>
          <w:rFonts w:ascii="宋体" w:hAnsi="宋体" w:cs="Times New Roman" w:hint="eastAsia"/>
          <w:color w:val="auto"/>
          <w:kern w:val="2"/>
          <w:sz w:val="21"/>
          <w:szCs w:val="20"/>
        </w:rPr>
        <w:t>“</w:t>
      </w:r>
      <w:r>
        <w:rPr>
          <w:rFonts w:ascii="宋体" w:hAnsi="宋体" w:cs="Times New Roman" w:hint="eastAsia"/>
          <w:color w:val="auto"/>
          <w:kern w:val="2"/>
          <w:sz w:val="21"/>
          <w:szCs w:val="20"/>
        </w:rPr>
        <w:t>合同服务</w:t>
      </w:r>
      <w:r>
        <w:rPr>
          <w:rFonts w:ascii="宋体" w:hAnsi="宋体" w:cs="Times New Roman" w:hint="eastAsia"/>
          <w:color w:val="auto"/>
          <w:kern w:val="2"/>
          <w:sz w:val="21"/>
          <w:szCs w:val="20"/>
        </w:rPr>
        <w:t>”</w:t>
      </w:r>
      <w:r>
        <w:rPr>
          <w:rFonts w:ascii="宋体" w:hAnsi="宋体" w:cs="Times New Roman" w:hint="eastAsia"/>
          <w:color w:val="auto"/>
          <w:kern w:val="2"/>
          <w:sz w:val="21"/>
          <w:szCs w:val="20"/>
        </w:rPr>
        <w:t>指合同服务清单（同投标文件中分项报价表，下同）中所规定的服务内容、软件开发、设备和软件购置等内容。</w:t>
      </w:r>
    </w:p>
    <w:p>
      <w:pPr>
        <w:pStyle w:val="Default"/>
        <w:spacing w:line="360" w:lineRule="auto"/>
        <w:ind w:firstLine="472" w:firstLineChars="225"/>
        <w:rPr>
          <w:rFonts w:ascii="宋体" w:hAnsi="宋体" w:cs="Times New Roman" w:hint="eastAsia"/>
          <w:color w:val="auto"/>
          <w:kern w:val="2"/>
          <w:sz w:val="21"/>
          <w:szCs w:val="20"/>
        </w:rPr>
      </w:pPr>
      <w:r>
        <w:rPr>
          <w:rFonts w:ascii="宋体" w:hAnsi="宋体" w:cs="Times New Roman" w:hint="eastAsia"/>
          <w:color w:val="auto"/>
          <w:kern w:val="2"/>
          <w:sz w:val="21"/>
          <w:szCs w:val="20"/>
        </w:rPr>
        <w:t>5、</w:t>
      </w:r>
      <w:r>
        <w:rPr>
          <w:rFonts w:ascii="宋体" w:hAnsi="宋体" w:cs="Times New Roman" w:hint="eastAsia"/>
          <w:color w:val="auto"/>
          <w:kern w:val="2"/>
          <w:sz w:val="21"/>
          <w:szCs w:val="20"/>
        </w:rPr>
        <w:t>“</w:t>
      </w:r>
      <w:r>
        <w:rPr>
          <w:rFonts w:ascii="宋体" w:hAnsi="宋体" w:cs="Times New Roman" w:hint="eastAsia"/>
          <w:color w:val="auto"/>
          <w:kern w:val="2"/>
          <w:sz w:val="21"/>
          <w:szCs w:val="20"/>
        </w:rPr>
        <w:t>验收证书</w:t>
      </w:r>
      <w:r>
        <w:rPr>
          <w:rFonts w:ascii="宋体" w:hAnsi="宋体" w:cs="Times New Roman" w:hint="eastAsia"/>
          <w:color w:val="auto"/>
          <w:kern w:val="2"/>
          <w:sz w:val="21"/>
          <w:szCs w:val="20"/>
        </w:rPr>
        <w:t>”</w:t>
      </w:r>
      <w:r>
        <w:rPr>
          <w:rFonts w:ascii="宋体" w:hAnsi="宋体" w:cs="Times New Roman" w:hint="eastAsia"/>
          <w:color w:val="auto"/>
          <w:kern w:val="2"/>
          <w:sz w:val="21"/>
          <w:szCs w:val="20"/>
        </w:rPr>
        <w:t>指验收完成后由合同双方签署的最终验收确认书。</w:t>
      </w:r>
    </w:p>
    <w:p>
      <w:pPr>
        <w:pStyle w:val="Default"/>
        <w:spacing w:line="360" w:lineRule="auto"/>
        <w:ind w:firstLine="472" w:firstLineChars="225"/>
        <w:rPr>
          <w:rFonts w:ascii="宋体" w:hAnsi="宋体" w:cs="Times New Roman" w:hint="eastAsia"/>
          <w:color w:val="auto"/>
          <w:kern w:val="2"/>
          <w:sz w:val="21"/>
          <w:szCs w:val="20"/>
        </w:rPr>
      </w:pPr>
      <w:r>
        <w:rPr>
          <w:rFonts w:ascii="宋体" w:hAnsi="宋体" w:cs="Times New Roman" w:hint="eastAsia"/>
          <w:color w:val="auto"/>
          <w:kern w:val="2"/>
          <w:sz w:val="21"/>
          <w:szCs w:val="20"/>
        </w:rPr>
        <w:t>6、</w:t>
      </w:r>
      <w:r>
        <w:rPr>
          <w:rFonts w:ascii="宋体" w:hAnsi="宋体" w:cs="Times New Roman" w:hint="eastAsia"/>
          <w:color w:val="auto"/>
          <w:kern w:val="2"/>
          <w:sz w:val="21"/>
          <w:szCs w:val="20"/>
        </w:rPr>
        <w:t>“</w:t>
      </w:r>
      <w:r>
        <w:rPr>
          <w:rFonts w:ascii="宋体" w:hAnsi="宋体" w:cs="Times New Roman" w:hint="eastAsia"/>
          <w:color w:val="auto"/>
          <w:kern w:val="2"/>
          <w:sz w:val="21"/>
          <w:szCs w:val="20"/>
        </w:rPr>
        <w:t>保修期</w:t>
      </w:r>
      <w:r>
        <w:rPr>
          <w:rFonts w:ascii="宋体" w:hAnsi="宋体" w:cs="Times New Roman" w:hint="eastAsia"/>
          <w:color w:val="auto"/>
          <w:kern w:val="2"/>
          <w:sz w:val="21"/>
          <w:szCs w:val="20"/>
        </w:rPr>
        <w:t>”</w:t>
      </w:r>
      <w:r>
        <w:rPr>
          <w:rFonts w:ascii="宋体" w:hAnsi="宋体" w:cs="Times New Roman" w:hint="eastAsia"/>
          <w:color w:val="auto"/>
          <w:kern w:val="2"/>
          <w:sz w:val="21"/>
          <w:szCs w:val="20"/>
        </w:rPr>
        <w:t>指自验收证书甲方签署之日起，乙方免费对所提供给甲方服务内容进行技术支持、现场服务、升级服务等，并自担费用方式保证合同服务正常运行的时期。</w:t>
      </w:r>
    </w:p>
    <w:p>
      <w:pPr>
        <w:pStyle w:val="Default"/>
        <w:spacing w:line="360" w:lineRule="auto"/>
        <w:ind w:firstLine="472" w:firstLineChars="225"/>
        <w:rPr>
          <w:rFonts w:ascii="宋体" w:hAnsi="宋体" w:cs="Times New Roman" w:hint="eastAsia"/>
          <w:color w:val="auto"/>
          <w:kern w:val="2"/>
          <w:sz w:val="21"/>
          <w:szCs w:val="20"/>
        </w:rPr>
      </w:pPr>
      <w:r>
        <w:rPr>
          <w:rFonts w:ascii="宋体" w:hAnsi="宋体" w:cs="Times New Roman" w:hint="eastAsia"/>
          <w:color w:val="auto"/>
          <w:kern w:val="2"/>
          <w:sz w:val="21"/>
          <w:szCs w:val="20"/>
        </w:rPr>
        <w:t>7、</w:t>
      </w:r>
      <w:r>
        <w:rPr>
          <w:rFonts w:ascii="宋体" w:hAnsi="宋体" w:cs="Times New Roman" w:hint="eastAsia"/>
          <w:color w:val="auto"/>
          <w:kern w:val="2"/>
          <w:sz w:val="21"/>
          <w:szCs w:val="20"/>
        </w:rPr>
        <w:t>“</w:t>
      </w:r>
      <w:r>
        <w:rPr>
          <w:rFonts w:ascii="宋体" w:hAnsi="宋体" w:cs="Times New Roman" w:hint="eastAsia"/>
          <w:color w:val="auto"/>
          <w:kern w:val="2"/>
          <w:sz w:val="21"/>
          <w:szCs w:val="20"/>
        </w:rPr>
        <w:t>第三人</w:t>
      </w:r>
      <w:r>
        <w:rPr>
          <w:rFonts w:ascii="宋体" w:hAnsi="宋体" w:cs="Times New Roman" w:hint="eastAsia"/>
          <w:color w:val="auto"/>
          <w:kern w:val="2"/>
          <w:sz w:val="21"/>
          <w:szCs w:val="20"/>
        </w:rPr>
        <w:t>”</w:t>
      </w:r>
      <w:r>
        <w:rPr>
          <w:rFonts w:ascii="宋体" w:hAnsi="宋体" w:cs="Times New Roman" w:hint="eastAsia"/>
          <w:color w:val="auto"/>
          <w:kern w:val="2"/>
          <w:sz w:val="21"/>
          <w:szCs w:val="20"/>
        </w:rPr>
        <w:t>是指本合同双方以外的任何中国境内、外的自然人、法人或其他经济组织。</w:t>
      </w:r>
    </w:p>
    <w:p>
      <w:pPr>
        <w:pStyle w:val="Default"/>
        <w:spacing w:line="360" w:lineRule="auto"/>
        <w:ind w:firstLine="472" w:firstLineChars="225"/>
        <w:rPr>
          <w:rFonts w:ascii="宋体" w:hAnsi="宋体" w:cs="Times New Roman" w:hint="eastAsia"/>
          <w:color w:val="auto"/>
          <w:kern w:val="2"/>
          <w:sz w:val="21"/>
          <w:szCs w:val="20"/>
        </w:rPr>
      </w:pPr>
      <w:r>
        <w:rPr>
          <w:rFonts w:ascii="宋体" w:hAnsi="宋体" w:cs="Times New Roman" w:hint="eastAsia"/>
          <w:color w:val="auto"/>
          <w:kern w:val="2"/>
          <w:sz w:val="21"/>
          <w:szCs w:val="20"/>
        </w:rPr>
        <w:t>8、</w:t>
      </w:r>
      <w:r>
        <w:rPr>
          <w:rFonts w:ascii="宋体" w:hAnsi="宋体" w:cs="Times New Roman" w:hint="eastAsia"/>
          <w:color w:val="auto"/>
          <w:kern w:val="2"/>
          <w:sz w:val="21"/>
          <w:szCs w:val="20"/>
        </w:rPr>
        <w:t>“</w:t>
      </w:r>
      <w:r>
        <w:rPr>
          <w:rFonts w:ascii="宋体" w:hAnsi="宋体" w:cs="Times New Roman" w:hint="eastAsia"/>
          <w:color w:val="auto"/>
          <w:kern w:val="2"/>
          <w:sz w:val="21"/>
          <w:szCs w:val="20"/>
        </w:rPr>
        <w:t>法律、法规</w:t>
      </w:r>
      <w:r>
        <w:rPr>
          <w:rFonts w:ascii="宋体" w:hAnsi="宋体" w:cs="Times New Roman" w:hint="eastAsia"/>
          <w:color w:val="auto"/>
          <w:kern w:val="2"/>
          <w:sz w:val="21"/>
          <w:szCs w:val="20"/>
        </w:rPr>
        <w:t>”</w:t>
      </w:r>
      <w:r>
        <w:rPr>
          <w:rFonts w:ascii="宋体" w:hAnsi="宋体" w:cs="Times New Roman" w:hint="eastAsia"/>
          <w:color w:val="auto"/>
          <w:kern w:val="2"/>
          <w:sz w:val="21"/>
          <w:szCs w:val="20"/>
        </w:rPr>
        <w:t>是指由中国有关部门制定的法律、行政法规、地方性法规、规章及其他规范性文件以及经全国人民代表大会常务委员会批准的中国缔结、参加的国际条（公）约的有关规定。</w:t>
      </w:r>
    </w:p>
    <w:p>
      <w:pPr>
        <w:pStyle w:val="Default"/>
        <w:spacing w:line="360" w:lineRule="auto"/>
        <w:ind w:firstLine="472" w:firstLineChars="225"/>
        <w:rPr>
          <w:rFonts w:ascii="宋体" w:hAnsi="宋体" w:cs="Times New Roman" w:hint="eastAsia"/>
          <w:color w:val="auto"/>
          <w:kern w:val="2"/>
          <w:sz w:val="21"/>
          <w:szCs w:val="20"/>
        </w:rPr>
      </w:pPr>
      <w:r>
        <w:rPr>
          <w:rFonts w:ascii="宋体" w:hAnsi="宋体" w:cs="Times New Roman" w:hint="eastAsia"/>
          <w:color w:val="auto"/>
          <w:kern w:val="2"/>
          <w:sz w:val="21"/>
          <w:szCs w:val="20"/>
        </w:rPr>
        <w:t>9、</w:t>
      </w:r>
      <w:r>
        <w:rPr>
          <w:rFonts w:ascii="宋体" w:hAnsi="宋体" w:cs="Times New Roman" w:hint="eastAsia"/>
          <w:color w:val="auto"/>
          <w:kern w:val="2"/>
          <w:sz w:val="21"/>
          <w:szCs w:val="20"/>
        </w:rPr>
        <w:t>“</w:t>
      </w:r>
      <w:r>
        <w:rPr>
          <w:rFonts w:ascii="宋体" w:hAnsi="宋体" w:cs="Times New Roman" w:hint="eastAsia"/>
          <w:color w:val="auto"/>
          <w:kern w:val="2"/>
          <w:sz w:val="21"/>
          <w:szCs w:val="20"/>
        </w:rPr>
        <w:t>招标文件</w:t>
      </w:r>
      <w:r>
        <w:rPr>
          <w:rFonts w:ascii="宋体" w:hAnsi="宋体" w:cs="Times New Roman" w:hint="eastAsia"/>
          <w:color w:val="auto"/>
          <w:kern w:val="2"/>
          <w:sz w:val="21"/>
          <w:szCs w:val="20"/>
        </w:rPr>
        <w:t>”</w:t>
      </w:r>
      <w:r>
        <w:rPr>
          <w:rFonts w:ascii="宋体" w:hAnsi="宋体" w:cs="Times New Roman" w:hint="eastAsia"/>
          <w:color w:val="auto"/>
          <w:kern w:val="2"/>
          <w:sz w:val="21"/>
          <w:szCs w:val="20"/>
        </w:rPr>
        <w:t>指采购中心发布的本项目招标文件。</w:t>
      </w:r>
    </w:p>
    <w:p>
      <w:pPr>
        <w:pStyle w:val="Default"/>
        <w:spacing w:line="360" w:lineRule="auto"/>
        <w:ind w:firstLine="472" w:firstLineChars="225"/>
        <w:rPr>
          <w:rFonts w:ascii="宋体" w:hAnsi="宋体" w:cs="Times New Roman" w:hint="eastAsia"/>
          <w:color w:val="auto"/>
          <w:kern w:val="2"/>
          <w:sz w:val="21"/>
          <w:szCs w:val="20"/>
        </w:rPr>
      </w:pPr>
      <w:r>
        <w:rPr>
          <w:rFonts w:ascii="宋体" w:hAnsi="宋体" w:cs="Times New Roman" w:hint="eastAsia"/>
          <w:color w:val="auto"/>
          <w:kern w:val="2"/>
          <w:sz w:val="21"/>
          <w:szCs w:val="20"/>
        </w:rPr>
        <w:t>10、</w:t>
      </w:r>
      <w:r>
        <w:rPr>
          <w:rFonts w:ascii="宋体" w:hAnsi="宋体" w:cs="Times New Roman" w:hint="eastAsia"/>
          <w:color w:val="auto"/>
          <w:kern w:val="2"/>
          <w:sz w:val="21"/>
          <w:szCs w:val="20"/>
        </w:rPr>
        <w:t>“</w:t>
      </w:r>
      <w:r>
        <w:rPr>
          <w:rFonts w:ascii="宋体" w:hAnsi="宋体" w:cs="Times New Roman" w:hint="eastAsia"/>
          <w:color w:val="auto"/>
          <w:kern w:val="2"/>
          <w:sz w:val="21"/>
          <w:szCs w:val="20"/>
        </w:rPr>
        <w:t>投标文件</w:t>
      </w:r>
      <w:r>
        <w:rPr>
          <w:rFonts w:ascii="宋体" w:hAnsi="宋体" w:cs="Times New Roman" w:hint="eastAsia"/>
          <w:color w:val="auto"/>
          <w:kern w:val="2"/>
          <w:sz w:val="21"/>
          <w:szCs w:val="20"/>
        </w:rPr>
        <w:t>”</w:t>
      </w:r>
      <w:r>
        <w:rPr>
          <w:rFonts w:ascii="宋体" w:hAnsi="宋体" w:cs="Times New Roman" w:hint="eastAsia"/>
          <w:color w:val="auto"/>
          <w:kern w:val="2"/>
          <w:sz w:val="21"/>
          <w:szCs w:val="20"/>
        </w:rPr>
        <w:t>指乙方按照采购中心发布的本项目招标文件的要求编制和投递，并最终被采购中心接受的投标文件。</w:t>
      </w:r>
    </w:p>
    <w:p>
      <w:pPr>
        <w:pStyle w:val="Default"/>
        <w:ind w:firstLine="420" w:firstLineChars="200"/>
        <w:rPr>
          <w:rFonts w:ascii="宋体" w:hAnsi="宋体" w:cs="Times New Roman"/>
          <w:color w:val="auto"/>
          <w:kern w:val="2"/>
          <w:sz w:val="21"/>
          <w:szCs w:val="20"/>
        </w:rPr>
      </w:pPr>
      <w:r>
        <w:rPr>
          <w:rFonts w:ascii="宋体" w:hAnsi="宋体" w:cs="Times New Roman" w:hint="eastAsia"/>
          <w:color w:val="auto"/>
          <w:kern w:val="2"/>
          <w:sz w:val="21"/>
          <w:szCs w:val="20"/>
        </w:rPr>
        <w:t>11、</w:t>
      </w:r>
      <w:r>
        <w:rPr>
          <w:rFonts w:ascii="宋体" w:hAnsi="宋体" w:cs="Times New Roman" w:hint="eastAsia"/>
          <w:color w:val="auto"/>
          <w:kern w:val="2"/>
          <w:sz w:val="21"/>
          <w:szCs w:val="20"/>
        </w:rPr>
        <w:t>“</w:t>
      </w:r>
      <w:r>
        <w:rPr>
          <w:rFonts w:ascii="宋体" w:hAnsi="宋体" w:cs="Times New Roman" w:hint="eastAsia"/>
          <w:color w:val="auto"/>
          <w:kern w:val="2"/>
          <w:sz w:val="21"/>
          <w:szCs w:val="20"/>
        </w:rPr>
        <w:t>合同标的</w:t>
      </w:r>
      <w:r>
        <w:rPr>
          <w:rFonts w:ascii="宋体" w:hAnsi="宋体" w:cs="Times New Roman" w:hint="eastAsia"/>
          <w:color w:val="auto"/>
          <w:kern w:val="2"/>
          <w:sz w:val="21"/>
          <w:szCs w:val="20"/>
        </w:rPr>
        <w:t>”</w:t>
      </w:r>
      <w:r>
        <w:rPr>
          <w:rFonts w:ascii="宋体" w:hAnsi="宋体" w:cs="Times New Roman" w:hint="eastAsia"/>
          <w:color w:val="auto"/>
          <w:kern w:val="2"/>
          <w:sz w:val="21"/>
          <w:szCs w:val="20"/>
        </w:rPr>
        <w:t>甲方同意从乙方购买，乙方同意向甲方提供合同服务清单（同投标文件中分项报价表）中所列服务内容、软件开发、设备和软件购置等内容。</w:t>
      </w:r>
    </w:p>
    <w:p>
      <w:pPr>
        <w:pStyle w:val="Default"/>
        <w:ind w:firstLine="420" w:firstLineChars="200"/>
        <w:rPr>
          <w:rFonts w:ascii="宋体" w:hAnsi="宋体" w:cs="Times New Roman" w:hint="eastAsia"/>
          <w:color w:val="auto"/>
          <w:kern w:val="2"/>
          <w:sz w:val="21"/>
          <w:szCs w:val="20"/>
        </w:rPr>
      </w:pPr>
    </w:p>
    <w:p>
      <w:pPr>
        <w:pStyle w:val="Default"/>
        <w:rPr>
          <w:rFonts w:ascii="宋体" w:hAnsi="宋体" w:cs="宋体"/>
          <w:b/>
        </w:rPr>
      </w:pPr>
      <w:r>
        <w:rPr>
          <w:rFonts w:ascii="宋体" w:hAnsi="宋体"/>
        </w:rPr>
        <w:t xml:space="preserve">    </w:t>
      </w:r>
      <w:r>
        <w:rPr>
          <w:rFonts w:ascii="宋体" w:hAnsi="宋体" w:cs="宋体" w:hint="eastAsia"/>
          <w:b/>
        </w:rPr>
        <w:t>二、合同标的</w:t>
      </w:r>
    </w:p>
    <w:p>
      <w:pPr>
        <w:pStyle w:val="NormalIndent"/>
        <w:numPr>
          <w:ilvl w:val="6"/>
          <w:numId w:val="0"/>
        </w:numPr>
        <w:snapToGrid w:val="0"/>
        <w:spacing w:line="360" w:lineRule="auto"/>
        <w:ind w:firstLine="480" w:firstLineChars="200"/>
        <w:rPr>
          <w:rFonts w:hAnsi="宋体" w:hint="eastAsia"/>
          <w:szCs w:val="21"/>
        </w:rPr>
      </w:pPr>
      <w:r>
        <w:rPr>
          <w:rFonts w:hAnsi="宋体" w:hint="eastAsia"/>
          <w:szCs w:val="21"/>
        </w:rPr>
        <w:t>见</w:t>
      </w:r>
      <w:r>
        <w:rPr>
          <w:rFonts w:ascii="黑体" w:eastAsia="黑体" w:hAnsi="黑体" w:hint="eastAsia"/>
          <w:b/>
          <w:bCs/>
          <w:szCs w:val="21"/>
        </w:rPr>
        <w:t>合同条款专用部分</w:t>
      </w:r>
      <w:r>
        <w:rPr>
          <w:rFonts w:hAnsi="宋体" w:hint="eastAsia"/>
          <w:szCs w:val="21"/>
        </w:rPr>
        <w:t>。</w:t>
      </w:r>
    </w:p>
    <w:p>
      <w:pPr>
        <w:pStyle w:val="NormalIndent"/>
        <w:rPr>
          <w:rFonts w:hAnsi="宋体" w:cs="宋体"/>
          <w:b/>
          <w:color w:val="000000"/>
        </w:rPr>
      </w:pPr>
      <w:r>
        <w:rPr>
          <w:rFonts w:hAnsi="宋体" w:cs="宋体" w:hint="eastAsia"/>
          <w:b/>
          <w:color w:val="000000"/>
        </w:rPr>
        <w:t>三、合同价格</w:t>
      </w:r>
    </w:p>
    <w:p>
      <w:pPr>
        <w:autoSpaceDE w:val="0"/>
        <w:autoSpaceDN w:val="0"/>
        <w:adjustRightInd w:val="0"/>
        <w:spacing w:line="360" w:lineRule="auto"/>
        <w:ind w:firstLine="540" w:firstLineChars="225"/>
        <w:jc w:val="left"/>
        <w:rPr>
          <w:rFonts w:ascii="宋体" w:hAnsi="宋体" w:cs="宋体"/>
          <w:color w:val="000000"/>
          <w:kern w:val="0"/>
        </w:rPr>
      </w:pPr>
      <w:r>
        <w:rPr>
          <w:rFonts w:ascii="宋体" w:hAnsi="宋体" w:cs="宋体"/>
          <w:color w:val="000000"/>
          <w:kern w:val="0"/>
          <w:sz w:val="24"/>
          <w:szCs w:val="24"/>
        </w:rPr>
        <w:t>1</w:t>
      </w:r>
      <w:r>
        <w:rPr>
          <w:rFonts w:ascii="宋体" w:hAnsi="宋体" w:cs="宋体" w:hint="eastAsia"/>
          <w:color w:val="000000"/>
          <w:kern w:val="0"/>
          <w:sz w:val="24"/>
          <w:szCs w:val="24"/>
        </w:rPr>
        <w:t>、合同总金额详见</w:t>
      </w:r>
      <w:r>
        <w:rPr>
          <w:rFonts w:ascii="宋体" w:hAnsi="宋体" w:cs="黑体"/>
          <w:b/>
          <w:color w:val="000000"/>
          <w:kern w:val="0"/>
          <w:sz w:val="24"/>
          <w:szCs w:val="24"/>
          <w:u w:val="single"/>
        </w:rPr>
        <w:t>合同条款专用部分</w:t>
      </w:r>
      <w:r>
        <w:rPr>
          <w:rFonts w:ascii="宋体" w:hAnsi="宋体" w:cs="宋体" w:hint="eastAsia"/>
          <w:color w:val="000000"/>
          <w:kern w:val="0"/>
          <w:sz w:val="24"/>
          <w:szCs w:val="24"/>
        </w:rPr>
        <w:t>。</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2、本合同价格包括服务产品金额，是在项目交付前、交付时所发生或引起的本合同相关的全部成本、费用等，且为完税后价格。</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3、合同服务产品详细目录及价格见合同服务产品清单（同投标文件中服务产品清单）。</w:t>
      </w:r>
    </w:p>
    <w:p>
      <w:pPr>
        <w:autoSpaceDE w:val="0"/>
        <w:autoSpaceDN w:val="0"/>
        <w:adjustRightInd w:val="0"/>
        <w:spacing w:line="360" w:lineRule="auto"/>
        <w:ind w:firstLine="540" w:firstLineChars="225"/>
        <w:jc w:val="left"/>
        <w:rPr>
          <w:rFonts w:ascii="宋体" w:hAnsi="宋体" w:cs="宋体"/>
          <w:b/>
          <w:color w:val="000000"/>
          <w:kern w:val="0"/>
        </w:rPr>
      </w:pPr>
      <w:r>
        <w:rPr>
          <w:rFonts w:ascii="宋体" w:hAnsi="宋体" w:cs="宋体" w:hint="eastAsia"/>
          <w:b/>
          <w:color w:val="000000"/>
          <w:kern w:val="0"/>
          <w:sz w:val="24"/>
          <w:szCs w:val="24"/>
        </w:rPr>
        <w:t>四、支付和结算方式</w:t>
      </w:r>
    </w:p>
    <w:p>
      <w:pPr>
        <w:autoSpaceDE w:val="0"/>
        <w:autoSpaceDN w:val="0"/>
        <w:adjustRightInd w:val="0"/>
        <w:spacing w:line="360" w:lineRule="auto"/>
        <w:ind w:firstLine="540" w:firstLineChars="225"/>
        <w:jc w:val="left"/>
        <w:rPr>
          <w:rFonts w:ascii="宋体" w:hAnsi="宋体" w:cs="宋体"/>
          <w:color w:val="000000"/>
          <w:kern w:val="0"/>
        </w:rPr>
      </w:pPr>
      <w:r>
        <w:rPr>
          <w:rFonts w:ascii="宋体" w:hAnsi="宋体" w:cs="宋体"/>
          <w:color w:val="000000"/>
          <w:kern w:val="0"/>
          <w:sz w:val="24"/>
          <w:szCs w:val="24"/>
        </w:rPr>
        <w:t>1</w:t>
      </w:r>
      <w:r>
        <w:rPr>
          <w:rFonts w:ascii="宋体" w:hAnsi="宋体" w:cs="宋体" w:hint="eastAsia"/>
          <w:color w:val="000000"/>
          <w:kern w:val="0"/>
          <w:sz w:val="24"/>
          <w:szCs w:val="24"/>
        </w:rPr>
        <w:t>、双方因本合同发生的一切费用均以人民币结算及支付。</w:t>
      </w:r>
    </w:p>
    <w:p>
      <w:pPr>
        <w:autoSpaceDE w:val="0"/>
        <w:autoSpaceDN w:val="0"/>
        <w:adjustRightInd w:val="0"/>
        <w:spacing w:line="360" w:lineRule="auto"/>
        <w:ind w:firstLine="540" w:firstLineChars="225"/>
        <w:jc w:val="left"/>
        <w:rPr>
          <w:rFonts w:ascii="宋体" w:hAnsi="宋体" w:cs="宋体"/>
          <w:color w:val="000000"/>
          <w:kern w:val="0"/>
        </w:rPr>
      </w:pPr>
      <w:r>
        <w:rPr>
          <w:rFonts w:ascii="宋体" w:hAnsi="宋体" w:cs="宋体"/>
          <w:color w:val="000000"/>
          <w:kern w:val="0"/>
          <w:sz w:val="24"/>
          <w:szCs w:val="24"/>
        </w:rPr>
        <w:t>2</w:t>
      </w:r>
      <w:r>
        <w:rPr>
          <w:rFonts w:ascii="宋体" w:hAnsi="宋体" w:cs="宋体" w:hint="eastAsia"/>
          <w:color w:val="000000"/>
          <w:kern w:val="0"/>
          <w:sz w:val="24"/>
          <w:szCs w:val="24"/>
        </w:rPr>
        <w:t>、双方的帐户名称、开户银行及帐号以本合同提供的为准。</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color w:val="000000"/>
          <w:kern w:val="0"/>
          <w:sz w:val="24"/>
          <w:szCs w:val="24"/>
        </w:rPr>
        <w:t>3</w:t>
      </w:r>
      <w:r>
        <w:rPr>
          <w:rFonts w:ascii="宋体" w:hAnsi="宋体" w:cs="宋体" w:hint="eastAsia"/>
          <w:color w:val="000000"/>
          <w:kern w:val="0"/>
          <w:sz w:val="24"/>
          <w:szCs w:val="24"/>
        </w:rPr>
        <w:t>、付款方式：</w:t>
      </w:r>
    </w:p>
    <w:p>
      <w:pPr>
        <w:autoSpaceDE w:val="0"/>
        <w:autoSpaceDN w:val="0"/>
        <w:adjustRightInd w:val="0"/>
        <w:spacing w:line="360" w:lineRule="auto"/>
        <w:ind w:firstLine="540" w:firstLineChars="225"/>
        <w:jc w:val="left"/>
        <w:rPr>
          <w:rFonts w:ascii="宋体" w:hAnsi="宋体" w:cs="宋体"/>
          <w:color w:val="000000"/>
          <w:kern w:val="0"/>
        </w:rPr>
      </w:pPr>
      <w:r>
        <w:rPr>
          <w:rFonts w:ascii="宋体" w:hAnsi="宋体" w:cs="宋体" w:hint="eastAsia"/>
          <w:color w:val="000000"/>
          <w:kern w:val="0"/>
          <w:sz w:val="24"/>
          <w:szCs w:val="24"/>
        </w:rPr>
        <w:t>（</w:t>
      </w:r>
      <w:r>
        <w:rPr>
          <w:rFonts w:ascii="宋体" w:hAnsi="宋体"/>
          <w:color w:val="000000"/>
          <w:kern w:val="0"/>
          <w:sz w:val="24"/>
          <w:szCs w:val="24"/>
        </w:rPr>
        <w:t>1</w:t>
      </w:r>
      <w:r>
        <w:rPr>
          <w:rFonts w:ascii="宋体" w:hAnsi="宋体" w:cs="宋体" w:hint="eastAsia"/>
          <w:color w:val="000000"/>
          <w:kern w:val="0"/>
          <w:sz w:val="24"/>
          <w:szCs w:val="24"/>
        </w:rPr>
        <w:t>）</w:t>
      </w:r>
      <w:r>
        <w:rPr>
          <w:rFonts w:hAnsi="宋体" w:hint="eastAsia"/>
          <w:kern w:val="0"/>
          <w:sz w:val="24"/>
          <w:szCs w:val="24"/>
        </w:rPr>
        <w:t>合同生效后付款：双方签署合同后七个工作日内，甲方向乙方支付合同总金额的一定比例货款，支付比例、金额</w:t>
      </w:r>
      <w:r>
        <w:rPr>
          <w:rFonts w:hint="eastAsia"/>
          <w:sz w:val="24"/>
          <w:szCs w:val="24"/>
        </w:rPr>
        <w:t>见</w:t>
      </w:r>
      <w:r>
        <w:rPr>
          <w:rFonts w:ascii="宋体" w:hAnsi="宋体" w:cs="黑体" w:hint="eastAsia"/>
          <w:b/>
          <w:color w:val="000000"/>
          <w:kern w:val="0"/>
          <w:sz w:val="24"/>
          <w:szCs w:val="24"/>
          <w:u w:val="single"/>
        </w:rPr>
        <w:t>合同条款专用部分</w:t>
      </w:r>
      <w:r>
        <w:rPr>
          <w:rFonts w:ascii="宋体" w:hAnsi="宋体" w:cs="宋体" w:hint="eastAsia"/>
          <w:color w:val="000000"/>
          <w:kern w:val="0"/>
          <w:sz w:val="24"/>
          <w:szCs w:val="24"/>
        </w:rPr>
        <w:t>；</w:t>
      </w:r>
    </w:p>
    <w:p>
      <w:pPr>
        <w:autoSpaceDE w:val="0"/>
        <w:autoSpaceDN w:val="0"/>
        <w:adjustRightInd w:val="0"/>
        <w:spacing w:line="360" w:lineRule="auto"/>
        <w:ind w:firstLine="540" w:firstLineChars="225"/>
        <w:jc w:val="left"/>
        <w:rPr>
          <w:rFonts w:ascii="宋体" w:hAnsi="宋体" w:cs="宋体" w:hint="eastAsia"/>
          <w:kern w:val="0"/>
        </w:rPr>
      </w:pPr>
      <w:r>
        <w:rPr>
          <w:rFonts w:ascii="宋体" w:hAnsi="宋体" w:cs="宋体" w:hint="eastAsia"/>
          <w:kern w:val="0"/>
          <w:sz w:val="24"/>
          <w:szCs w:val="24"/>
        </w:rPr>
        <w:t xml:space="preserve">（2）签署验收报后付款：合同服务安装、调试到位、试运行完成，经甲方核对无误、检验合格，双方签署验收报告后7个工作日内，甲方向乙方支付合同总金额的一定比例货款，支付比例、金额见第九章合同条款专用部分； </w:t>
      </w:r>
    </w:p>
    <w:p>
      <w:pPr>
        <w:autoSpaceDE w:val="0"/>
        <w:autoSpaceDN w:val="0"/>
        <w:adjustRightInd w:val="0"/>
        <w:spacing w:line="360" w:lineRule="auto"/>
        <w:ind w:firstLine="540" w:firstLineChars="225"/>
        <w:jc w:val="left"/>
        <w:rPr>
          <w:rFonts w:ascii="宋体" w:hAnsi="宋体" w:cs="宋体"/>
          <w:kern w:val="0"/>
        </w:rPr>
      </w:pPr>
      <w:r>
        <w:rPr>
          <w:rFonts w:ascii="宋体" w:hAnsi="宋体" w:cs="宋体" w:hint="eastAsia"/>
          <w:kern w:val="0"/>
          <w:sz w:val="24"/>
          <w:szCs w:val="24"/>
        </w:rPr>
        <w:t>（3）保修期满后付款：合同服务的保修期（合同服务的保修期自全部服务验收合格，双方签署验收证书之日起算）期满后7个工作日内，甲方向乙方支付合同余款，支付比例、金额见第九章合同条款专用部分，作为本合同最终结款。</w:t>
      </w:r>
    </w:p>
    <w:p>
      <w:pPr>
        <w:autoSpaceDE w:val="0"/>
        <w:autoSpaceDN w:val="0"/>
        <w:adjustRightInd w:val="0"/>
        <w:spacing w:line="360" w:lineRule="auto"/>
        <w:ind w:firstLine="540" w:firstLineChars="225"/>
        <w:jc w:val="left"/>
        <w:rPr>
          <w:rFonts w:ascii="宋体" w:hAnsi="宋体" w:cs="宋体"/>
          <w:color w:val="000000"/>
          <w:kern w:val="0"/>
        </w:rPr>
      </w:pPr>
      <w:r>
        <w:rPr>
          <w:rFonts w:ascii="宋体" w:hAnsi="宋体" w:cs="宋体"/>
          <w:color w:val="000000"/>
          <w:kern w:val="0"/>
          <w:sz w:val="24"/>
          <w:szCs w:val="24"/>
        </w:rPr>
        <w:t>4</w:t>
      </w:r>
      <w:r>
        <w:rPr>
          <w:rFonts w:ascii="宋体" w:hAnsi="宋体" w:cs="宋体" w:hint="eastAsia"/>
          <w:color w:val="000000"/>
          <w:kern w:val="0"/>
          <w:sz w:val="24"/>
          <w:szCs w:val="24"/>
        </w:rPr>
        <w:t>、乙方在收到甲方每一笔付款的同时，应向甲方开具相应金额的商业发票。</w:t>
      </w:r>
    </w:p>
    <w:p>
      <w:pPr>
        <w:autoSpaceDE w:val="0"/>
        <w:autoSpaceDN w:val="0"/>
        <w:adjustRightInd w:val="0"/>
        <w:spacing w:line="360" w:lineRule="auto"/>
        <w:ind w:firstLine="540" w:firstLineChars="225"/>
        <w:jc w:val="left"/>
        <w:rPr>
          <w:rFonts w:ascii="宋体" w:hAnsi="宋体" w:cs="宋体"/>
          <w:color w:val="000000"/>
          <w:kern w:val="0"/>
        </w:rPr>
      </w:pPr>
      <w:r>
        <w:rPr>
          <w:rFonts w:ascii="宋体" w:hAnsi="宋体" w:cs="宋体"/>
          <w:color w:val="000000"/>
          <w:kern w:val="0"/>
          <w:sz w:val="24"/>
          <w:szCs w:val="24"/>
        </w:rPr>
        <w:t>5</w:t>
      </w:r>
      <w:r>
        <w:rPr>
          <w:rFonts w:ascii="宋体" w:hAnsi="宋体" w:cs="宋体" w:hint="eastAsia"/>
          <w:color w:val="000000"/>
          <w:kern w:val="0"/>
          <w:sz w:val="24"/>
          <w:szCs w:val="24"/>
        </w:rPr>
        <w:t>、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pPr>
        <w:autoSpaceDE w:val="0"/>
        <w:autoSpaceDN w:val="0"/>
        <w:adjustRightInd w:val="0"/>
        <w:spacing w:line="360" w:lineRule="auto"/>
        <w:ind w:firstLine="540" w:firstLineChars="225"/>
        <w:jc w:val="left"/>
        <w:rPr>
          <w:rFonts w:ascii="宋体" w:hAnsi="宋体" w:cs="宋体" w:hint="eastAsia"/>
          <w:b/>
          <w:color w:val="000000"/>
          <w:kern w:val="0"/>
        </w:rPr>
      </w:pPr>
      <w:r>
        <w:rPr>
          <w:rFonts w:ascii="宋体" w:hAnsi="宋体" w:cs="宋体" w:hint="eastAsia"/>
          <w:b/>
          <w:color w:val="000000"/>
          <w:kern w:val="0"/>
          <w:sz w:val="24"/>
          <w:szCs w:val="24"/>
        </w:rPr>
        <w:t>五、资料的使用</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2、没有甲方事先书面同意，除了履行本合同之外，乙方不应使用甲方提供的任何文件和资料。</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3、没有甲方事先书面同意，乙方不得泄露与本项目有关的任何资料、数据及其它信息。</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4、除了合同本身以外，甲方提供给乙方的任何文件是甲方的财产。如果甲方有要求，乙方在完成合同后应将这些文件(全部拷贝)还给甲方。</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甲方提供该乙方履行合同所需的资料清单见第九章合同条款专用部分。</w:t>
      </w:r>
    </w:p>
    <w:p>
      <w:pPr>
        <w:autoSpaceDE w:val="0"/>
        <w:autoSpaceDN w:val="0"/>
        <w:adjustRightInd w:val="0"/>
        <w:spacing w:line="360" w:lineRule="auto"/>
        <w:ind w:firstLine="540" w:firstLineChars="225"/>
        <w:jc w:val="left"/>
        <w:rPr>
          <w:rFonts w:ascii="宋体" w:hAnsi="宋体" w:cs="宋体" w:hint="eastAsia"/>
          <w:b/>
          <w:color w:val="000000"/>
          <w:kern w:val="0"/>
        </w:rPr>
      </w:pPr>
      <w:r>
        <w:rPr>
          <w:rFonts w:ascii="宋体" w:hAnsi="宋体" w:cs="宋体" w:hint="eastAsia"/>
          <w:b/>
          <w:color w:val="000000"/>
          <w:kern w:val="0"/>
          <w:sz w:val="24"/>
          <w:szCs w:val="24"/>
        </w:rPr>
        <w:t>六、知识产权</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1、在本协议生效日前业已存在的版权及其他知识产权应属于本协议生效前既拥有该等权利的一方。</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2、任何一方均不可凭借本协议取得另一方此前所已经拥有且根据本合同不应被合理的推论为其已经同意转移的版权、专利、商业秘密、商标或其他知识产权的所有权。</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3、符合法律规定及当事人约定的原则：任何相关事项均应当符合法律规定，及应当符合当事人约定。</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6、甲方将拥有其在本协议项下所从事的所有工作（包括各类纸质文档，电子文档及其他可交付物）中所包含的或与之相关的全部版权、专利、商业秘密、商标和其他知识产权以及所有权和其他权益。</w:t>
      </w:r>
    </w:p>
    <w:p>
      <w:pPr>
        <w:autoSpaceDE w:val="0"/>
        <w:autoSpaceDN w:val="0"/>
        <w:adjustRightInd w:val="0"/>
        <w:spacing w:line="360" w:lineRule="auto"/>
        <w:ind w:firstLine="540" w:firstLineChars="225"/>
        <w:jc w:val="left"/>
        <w:rPr>
          <w:rFonts w:ascii="宋体" w:hAnsi="宋体" w:cs="宋体" w:hint="eastAsia"/>
          <w:b/>
          <w:color w:val="000000"/>
          <w:kern w:val="0"/>
        </w:rPr>
      </w:pPr>
      <w:r>
        <w:rPr>
          <w:rFonts w:ascii="宋体" w:hAnsi="宋体" w:cs="宋体" w:hint="eastAsia"/>
          <w:b/>
          <w:color w:val="000000"/>
          <w:kern w:val="0"/>
          <w:sz w:val="24"/>
          <w:szCs w:val="24"/>
        </w:rPr>
        <w:t>七、进度要求</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见第九章合同条款专用部分。</w:t>
      </w:r>
    </w:p>
    <w:p>
      <w:pPr>
        <w:autoSpaceDE w:val="0"/>
        <w:autoSpaceDN w:val="0"/>
        <w:adjustRightInd w:val="0"/>
        <w:spacing w:line="360" w:lineRule="auto"/>
        <w:ind w:firstLine="540" w:firstLineChars="225"/>
        <w:jc w:val="left"/>
        <w:rPr>
          <w:rFonts w:ascii="宋体" w:hAnsi="宋体" w:cs="宋体" w:hint="eastAsia"/>
          <w:b/>
          <w:color w:val="000000"/>
          <w:kern w:val="0"/>
        </w:rPr>
      </w:pPr>
      <w:r>
        <w:rPr>
          <w:rFonts w:ascii="宋体" w:hAnsi="宋体" w:cs="宋体" w:hint="eastAsia"/>
          <w:b/>
          <w:color w:val="000000"/>
          <w:kern w:val="0"/>
          <w:sz w:val="24"/>
          <w:szCs w:val="24"/>
        </w:rPr>
        <w:t>八、技术服务和保修责任</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第九章合同条款专用部分。</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1、乙方对合同服务的质量保修期见第九章合同条款专用部分。乙方应保证所提供的产品、服务，符合合同规定的技术要求。如不符时，乙方应负全责并尽快处理解决，由此造成的损失和相关费用由乙方负责，甲方保留终止合同及索赔的权利。</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2、乙方应保证通过执行合同中全部方案后，可以取得本合同规定的结果，达到本合同规定的预期目标。对任何情况下出现问题的，应尽快提出解决方案。</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3、如果乙方提供的产品、服务和解决方案不符合甲方要求，或在规定的时间内没有弥补缺陷，甲方有权采取一切必要的补救措施，由此产生的费用全部由乙方负责。</w:t>
      </w:r>
    </w:p>
    <w:p>
      <w:pPr>
        <w:autoSpaceDE w:val="0"/>
        <w:autoSpaceDN w:val="0"/>
        <w:adjustRightInd w:val="0"/>
        <w:spacing w:line="360" w:lineRule="auto"/>
        <w:ind w:firstLine="540" w:firstLineChars="225"/>
        <w:jc w:val="left"/>
        <w:rPr>
          <w:rFonts w:ascii="宋体" w:hAnsi="宋体" w:cs="宋体" w:hint="eastAsia"/>
          <w:b/>
          <w:color w:val="000000"/>
          <w:kern w:val="0"/>
        </w:rPr>
      </w:pPr>
      <w:r>
        <w:rPr>
          <w:rFonts w:ascii="宋体" w:hAnsi="宋体" w:cs="宋体" w:hint="eastAsia"/>
          <w:b/>
          <w:color w:val="000000"/>
          <w:kern w:val="0"/>
          <w:sz w:val="24"/>
          <w:szCs w:val="24"/>
        </w:rPr>
        <w:t>九、履约保证金</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1、中标人应在收到中标通知书后规定时间内（具体时间见第九章合同条款专用部分）内，以信汇、电汇或履约保函形式向甲方提供履约保证金，保证金金额：见第九章合同条款专用部分。</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2、如果中标人没有按照上述规定执行，甲方将有充分理由取消该中标决定，并不予退还其投标保证金。在此情况下甲方可将合同授予排名第二的中标候选人，或重新招标。</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3、若本项目不允许分包或转包的，如果中标人在与甲方签定合同以后，将中标项目分包或转包给第三方，甲方将有充分理由终止合同，并不予退还其履约保证金。</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4、中标人的履约保证金将在合同约定事项完成并经甲方终验合格，履行完必要的审批手续后30日内退还中标人。</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5、如乙方未能完全履行合同规定的义务，甲方有权从履约保证金中得到补偿。</w:t>
      </w:r>
    </w:p>
    <w:p>
      <w:pPr>
        <w:autoSpaceDE w:val="0"/>
        <w:autoSpaceDN w:val="0"/>
        <w:adjustRightInd w:val="0"/>
        <w:spacing w:line="360" w:lineRule="auto"/>
        <w:ind w:firstLine="540" w:firstLineChars="225"/>
        <w:jc w:val="left"/>
        <w:rPr>
          <w:rFonts w:ascii="宋体" w:hAnsi="宋体" w:cs="宋体" w:hint="eastAsia"/>
          <w:b/>
          <w:color w:val="000000"/>
          <w:kern w:val="0"/>
        </w:rPr>
      </w:pPr>
      <w:r>
        <w:rPr>
          <w:rFonts w:ascii="宋体" w:hAnsi="宋体" w:cs="宋体" w:hint="eastAsia"/>
          <w:b/>
          <w:color w:val="000000"/>
          <w:kern w:val="0"/>
          <w:sz w:val="24"/>
          <w:szCs w:val="24"/>
        </w:rPr>
        <w:t>十、审计及检查</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如果采购人要求，中标人应允许采购人检查中标人与实施本合同有关的资金、帐户和记录，并由采购人指定的审计人员对其进行审计。</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b/>
          <w:color w:val="000000"/>
          <w:kern w:val="0"/>
          <w:sz w:val="24"/>
          <w:szCs w:val="24"/>
        </w:rPr>
        <w:t>十一、违约责任</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（1）在甲方同意延长的期限内交付服务产品并承担由此给甲方造成的直接损失及甲方因此产生的对第三方的责任。</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（2）甲方有权部分或全部解除合同并要求乙方赔偿由此造成的损失及甲方因此产生的对第三方的责任。此时甲方可采取必要的补救措施，相关费用由乙方承担。</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（3）上述情形下甲方为采取必要的补救措施或因防止损失扩大而支出的合理费用应由乙方承担。</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4、延期交货或延期付款的违约责任：如乙方延期交货或甲方延期付款，每逾期一天，违约方应按延期交付服务产品所折合的金额或延期付款金额的比例（详见第九章合同条款专用部分）向对方支付违约金，但该违约金累计不得超过合同总金额的一定比例（详见第九章合同条款专用部分）；上述逾期超过一定时间（详见第九章合同条款专用部分），守约方有权解除合同，并要求违约方赔偿由此造成的损失。</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 xml:space="preserve">5、其它违约责任 </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（1）如任何一方无故解除合同或有违反本合同规定的任何情形均属于违约行为，违约方应就每一单项违约向对方支付合同总金额一定比例的违约金，具体比例见第九章合同条款专用部分。</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（2）如乙方在合同规定的交付日期后10天内仍未能交付，则视为乙方不能交付，甲方有权解除合同，乙方若已经收取了甲方的定金则同时还应双倍返还已收取的定金。</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6、乙方违反规定，有下列行为之一的，甲方有权对因此造成的损失追究责任；构成犯罪的，由司法机关追究其刑事责任：</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1）擅自向第三方提供或者转让项目资料的；</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2）未经甲方许可使用项目资料的；</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3）项目完成后，乙方未经甲方许可保留项目资料的；</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4）对项目资料保管不当，造成数据全部或者部分丢失、被窃的。</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7、乙方在进行项目时违反有关保密规定的，依照《中华人民共和国保密法》等有关法律法规的规定处理。</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9、以上各项交付的违约金并不影响违约方履行合同的各项义务。</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pPr>
        <w:autoSpaceDE w:val="0"/>
        <w:autoSpaceDN w:val="0"/>
        <w:adjustRightInd w:val="0"/>
        <w:spacing w:line="360" w:lineRule="auto"/>
        <w:ind w:firstLine="540" w:firstLineChars="225"/>
        <w:jc w:val="left"/>
        <w:rPr>
          <w:rFonts w:ascii="宋体" w:hAnsi="宋体" w:cs="宋体" w:hint="eastAsia"/>
          <w:b/>
          <w:color w:val="000000"/>
          <w:kern w:val="0"/>
        </w:rPr>
      </w:pPr>
      <w:r>
        <w:rPr>
          <w:rFonts w:ascii="宋体" w:hAnsi="宋体" w:cs="宋体" w:hint="eastAsia"/>
          <w:b/>
          <w:color w:val="000000"/>
          <w:kern w:val="0"/>
          <w:sz w:val="24"/>
          <w:szCs w:val="24"/>
        </w:rPr>
        <w:t>十二、不可抗力</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1、不可抗力指下列事件：战争、动乱、瘟疫、严重火灾、洪水、地震、风暴或其他自然灾害，以及本合同各方不可预见、不可防止并不能避免或克服的一切其他因素及事件。</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4、合同各方应根据不可抗力对本合同履行的影响程度，协商确定是否终止本合同，或是继续履行本合同。</w:t>
      </w:r>
    </w:p>
    <w:p>
      <w:pPr>
        <w:autoSpaceDE w:val="0"/>
        <w:autoSpaceDN w:val="0"/>
        <w:adjustRightInd w:val="0"/>
        <w:spacing w:line="360" w:lineRule="auto"/>
        <w:ind w:firstLine="540" w:firstLineChars="225"/>
        <w:jc w:val="left"/>
        <w:rPr>
          <w:rFonts w:ascii="宋体" w:hAnsi="宋体" w:cs="宋体" w:hint="eastAsia"/>
          <w:b/>
          <w:color w:val="000000"/>
          <w:kern w:val="0"/>
        </w:rPr>
      </w:pPr>
      <w:r>
        <w:rPr>
          <w:rFonts w:ascii="宋体" w:hAnsi="宋体" w:cs="宋体" w:hint="eastAsia"/>
          <w:b/>
          <w:color w:val="000000"/>
          <w:kern w:val="0"/>
          <w:sz w:val="24"/>
          <w:szCs w:val="24"/>
        </w:rPr>
        <w:t>十三、联系方式</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2、合同双方发出的与本合同有关的通知或回复均应发至第九章合同条款专用部分中的通讯地址，付款或收款应使用第九章合同条款专用部分中的帐号，一方变更通讯地址或帐号，应自变更之日起三个工作日内，将变更后的地址通知对方。变更方不履行通知义务的，应对此造成的一切后果承担法律责任。</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3、上述发出通知、回复的费用由发出一方承担。</w:t>
      </w:r>
    </w:p>
    <w:p>
      <w:pPr>
        <w:autoSpaceDE w:val="0"/>
        <w:autoSpaceDN w:val="0"/>
        <w:adjustRightInd w:val="0"/>
        <w:spacing w:line="360" w:lineRule="auto"/>
        <w:ind w:firstLine="540" w:firstLineChars="225"/>
        <w:jc w:val="left"/>
        <w:rPr>
          <w:rFonts w:ascii="宋体" w:hAnsi="宋体" w:cs="宋体" w:hint="eastAsia"/>
          <w:b/>
          <w:color w:val="000000"/>
          <w:kern w:val="0"/>
        </w:rPr>
      </w:pPr>
      <w:r>
        <w:rPr>
          <w:rFonts w:ascii="宋体" w:hAnsi="宋体" w:cs="宋体" w:hint="eastAsia"/>
          <w:b/>
          <w:color w:val="000000"/>
          <w:kern w:val="0"/>
          <w:sz w:val="24"/>
          <w:szCs w:val="24"/>
        </w:rPr>
        <w:t>十四、保密条款</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1、任何一方对其获知的本合同及附件中其他各方的商业秘密和国家秘密负有保密义务。</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utoSpaceDE w:val="0"/>
        <w:autoSpaceDN w:val="0"/>
        <w:adjustRightInd w:val="0"/>
        <w:spacing w:line="360" w:lineRule="auto"/>
        <w:ind w:firstLine="540" w:firstLineChars="225"/>
        <w:jc w:val="left"/>
        <w:rPr>
          <w:rFonts w:ascii="宋体" w:hAnsi="宋体" w:cs="宋体" w:hint="eastAsia"/>
          <w:b/>
          <w:color w:val="000000"/>
          <w:kern w:val="0"/>
        </w:rPr>
      </w:pPr>
      <w:r>
        <w:rPr>
          <w:rFonts w:ascii="宋体" w:hAnsi="宋体" w:cs="宋体" w:hint="eastAsia"/>
          <w:b/>
          <w:color w:val="000000"/>
          <w:kern w:val="0"/>
          <w:sz w:val="24"/>
          <w:szCs w:val="24"/>
        </w:rPr>
        <w:t>十五、合同的解释和法律适用</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1、任何一方对本合同及其附件的解释均应遵循诚实信用原则,依照本合同签订时有效的中国法律、法规以及通常的理解进行。</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2、本合同标题仅供查阅方便，并非对本合同的诠释或解释；本合同中以日表述的时间期限均指自然日。</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3、对本合同的任何解释均应以书面作出。</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4、本合同及附件的订立、效力、解释、履行、争议的解决等适用本合同签订时有效的中华人民共和国法律、法规的有关规定。</w:t>
      </w:r>
    </w:p>
    <w:p>
      <w:pPr>
        <w:autoSpaceDE w:val="0"/>
        <w:autoSpaceDN w:val="0"/>
        <w:adjustRightInd w:val="0"/>
        <w:spacing w:line="360" w:lineRule="auto"/>
        <w:ind w:firstLine="540" w:firstLineChars="225"/>
        <w:jc w:val="left"/>
        <w:rPr>
          <w:rFonts w:ascii="宋体" w:hAnsi="宋体" w:cs="宋体" w:hint="eastAsia"/>
          <w:b/>
          <w:color w:val="000000"/>
          <w:kern w:val="0"/>
        </w:rPr>
      </w:pPr>
      <w:r>
        <w:rPr>
          <w:rFonts w:ascii="宋体" w:hAnsi="宋体" w:cs="宋体" w:hint="eastAsia"/>
          <w:b/>
          <w:color w:val="000000"/>
          <w:kern w:val="0"/>
          <w:sz w:val="24"/>
          <w:szCs w:val="24"/>
        </w:rPr>
        <w:t>十六、合同的终止</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1、本合同因下列原因而终止：</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（1）本合同正常履行完毕；</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（2）合同双方协议终止本合同的履行；</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（3）不可抗力事件导致本合同无法履行或履行不必要；</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（4）任何一方行使解除权，解除本合同。</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2、对本合同终止有过错的一方应赔偿另一方因合同终止而受到的损失。对合同终止双方均无过错的，则各自承担所受到的损失。</w:t>
      </w:r>
    </w:p>
    <w:p>
      <w:pPr>
        <w:autoSpaceDE w:val="0"/>
        <w:autoSpaceDN w:val="0"/>
        <w:adjustRightInd w:val="0"/>
        <w:spacing w:line="360" w:lineRule="auto"/>
        <w:ind w:firstLine="540" w:firstLineChars="225"/>
        <w:jc w:val="left"/>
        <w:rPr>
          <w:rFonts w:ascii="宋体" w:hAnsi="宋体" w:cs="宋体" w:hint="eastAsia"/>
          <w:b/>
          <w:color w:val="000000"/>
          <w:kern w:val="0"/>
        </w:rPr>
      </w:pPr>
      <w:r>
        <w:rPr>
          <w:rFonts w:ascii="宋体" w:hAnsi="宋体" w:cs="宋体" w:hint="eastAsia"/>
          <w:b/>
          <w:color w:val="000000"/>
          <w:kern w:val="0"/>
          <w:sz w:val="24"/>
          <w:szCs w:val="24"/>
        </w:rPr>
        <w:t>十七、法律适用</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1、本合同及附件的订立、效力、解释、履行、争议的解决等适用本合同签订时有效的中华人民共和国法律、法规的有关规定。</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2、在本合同履行期间，因中国法律、法规、政策的变化致使本合同的部分条款相冲突、无效或失去可强制执行效力时，双方同意将密切合作，尽快修改本合同中相冲突或无效或失去强制执行效力的有关条款。</w:t>
      </w:r>
    </w:p>
    <w:p>
      <w:pPr>
        <w:autoSpaceDE w:val="0"/>
        <w:autoSpaceDN w:val="0"/>
        <w:adjustRightInd w:val="0"/>
        <w:spacing w:line="360" w:lineRule="auto"/>
        <w:ind w:firstLine="540" w:firstLineChars="225"/>
        <w:jc w:val="left"/>
        <w:rPr>
          <w:rFonts w:ascii="宋体" w:hAnsi="宋体" w:cs="宋体" w:hint="eastAsia"/>
          <w:b/>
          <w:color w:val="000000"/>
          <w:kern w:val="0"/>
        </w:rPr>
      </w:pPr>
      <w:r>
        <w:rPr>
          <w:rFonts w:ascii="宋体" w:hAnsi="宋体" w:cs="宋体" w:hint="eastAsia"/>
          <w:b/>
          <w:color w:val="000000"/>
          <w:kern w:val="0"/>
          <w:sz w:val="24"/>
          <w:szCs w:val="24"/>
        </w:rPr>
        <w:t>十八、权利的保留</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autoSpaceDE w:val="0"/>
        <w:autoSpaceDN w:val="0"/>
        <w:adjustRightInd w:val="0"/>
        <w:spacing w:line="360" w:lineRule="auto"/>
        <w:ind w:firstLine="540" w:firstLineChars="225"/>
        <w:jc w:val="left"/>
        <w:rPr>
          <w:rFonts w:ascii="宋体" w:hAnsi="宋体" w:cs="宋体" w:hint="eastAsia"/>
          <w:b/>
          <w:color w:val="000000"/>
          <w:kern w:val="0"/>
        </w:rPr>
      </w:pPr>
      <w:r>
        <w:rPr>
          <w:rFonts w:ascii="宋体" w:hAnsi="宋体" w:cs="宋体" w:hint="eastAsia"/>
          <w:b/>
          <w:color w:val="000000"/>
          <w:kern w:val="0"/>
          <w:sz w:val="24"/>
          <w:szCs w:val="24"/>
        </w:rPr>
        <w:t>十九、争议的解决</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1、合同双方应通过友好协商解决因解释</w:t>
      </w:r>
      <w:r>
        <w:rPr>
          <w:rFonts w:ascii="宋体" w:hAnsi="宋体" w:cs="宋体" w:hint="eastAsia"/>
          <w:color w:val="000000"/>
          <w:kern w:val="0"/>
          <w:sz w:val="24"/>
          <w:szCs w:val="24"/>
        </w:rPr>
        <w:t>﹑</w:t>
      </w:r>
      <w:r>
        <w:rPr>
          <w:rFonts w:ascii="宋体" w:hAnsi="宋体" w:cs="宋体" w:hint="eastAsia"/>
          <w:color w:val="000000"/>
          <w:kern w:val="0"/>
          <w:sz w:val="24"/>
          <w:szCs w:val="24"/>
        </w:rPr>
        <w:t>执行本合同所发生的和本合同有关的一切争议。如果经协商不能达成协议，任何一方可向甲方所在地的人民法院提起诉讼。。</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2、本合同甲、乙双方一致认为，本合同仅属于甲、乙双方之间的协议，任何争议均只应当按照本合同的约定方式处理，任何情形下采购中心均不应当成为该等争议的当事人，无论该等诉讼均不得针对采购中心提起。</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3、在争议解决期间，除了诉讼进行过程中正在解决的部分问题外，合同其余部分应继续履行。</w:t>
      </w:r>
    </w:p>
    <w:p>
      <w:pPr>
        <w:autoSpaceDE w:val="0"/>
        <w:autoSpaceDN w:val="0"/>
        <w:adjustRightInd w:val="0"/>
        <w:spacing w:line="360" w:lineRule="auto"/>
        <w:ind w:firstLine="540" w:firstLineChars="225"/>
        <w:jc w:val="left"/>
        <w:rPr>
          <w:rFonts w:ascii="宋体" w:hAnsi="宋体" w:cs="宋体" w:hint="eastAsia"/>
          <w:b/>
          <w:color w:val="000000"/>
          <w:kern w:val="0"/>
        </w:rPr>
      </w:pPr>
      <w:r>
        <w:rPr>
          <w:rFonts w:ascii="宋体" w:hAnsi="宋体" w:cs="宋体" w:hint="eastAsia"/>
          <w:b/>
          <w:color w:val="000000"/>
          <w:kern w:val="0"/>
          <w:sz w:val="24"/>
          <w:szCs w:val="24"/>
        </w:rPr>
        <w:t>二十、合同的补充、修改和变更</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2、甲方收到乙方的上述回应后，应在3日内以书面方式通知乙方是否同意和接受乙方的上述回应。如果甲方接受乙方的上述回应，则双方另行对此修改签署予以确认，乙方则按修改后的约定履行本合同。</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4、如乙方提出项目的部分修改建议，乙方应同时详细阐明该变更对合同价格、项目交付日期、项目技术参数的影响和变化以及对合同条款的影响等。</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6、所有的修改应在双方签署书面的修改备忘录时生效。修改备忘录将变更或取代有关的技术文件中或先前的任何修改备忘录中所有不一致的条款。</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7、任何对合同条件的变更或修改均须双方签订书面的修改书。</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8、招投标文件及其全部条款、双方签订的补充协议以及修改或变更的条款与本合同具有同等法律效力。补充、修改或变更的协议的签署及生效方式与本合同的签署及生效方式相同。</w:t>
      </w:r>
    </w:p>
    <w:p>
      <w:pPr>
        <w:autoSpaceDE w:val="0"/>
        <w:autoSpaceDN w:val="0"/>
        <w:adjustRightInd w:val="0"/>
        <w:spacing w:line="360" w:lineRule="auto"/>
        <w:ind w:firstLine="540" w:firstLineChars="225"/>
        <w:jc w:val="left"/>
        <w:rPr>
          <w:rFonts w:ascii="宋体" w:hAnsi="宋体" w:cs="宋体" w:hint="eastAsia"/>
          <w:b/>
          <w:color w:val="000000"/>
          <w:kern w:val="0"/>
        </w:rPr>
      </w:pPr>
      <w:r>
        <w:rPr>
          <w:rFonts w:ascii="宋体" w:hAnsi="宋体" w:cs="宋体" w:hint="eastAsia"/>
          <w:b/>
          <w:color w:val="000000"/>
          <w:kern w:val="0"/>
          <w:sz w:val="24"/>
          <w:szCs w:val="24"/>
        </w:rPr>
        <w:t>二十一、合同的生效</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本合同经双方法定代表人（负责人）或授权代表签字并加盖单位公章后生效。</w:t>
      </w:r>
    </w:p>
    <w:p>
      <w:pPr>
        <w:autoSpaceDE w:val="0"/>
        <w:autoSpaceDN w:val="0"/>
        <w:adjustRightInd w:val="0"/>
        <w:spacing w:line="360" w:lineRule="auto"/>
        <w:ind w:firstLine="540" w:firstLineChars="225"/>
        <w:jc w:val="left"/>
        <w:rPr>
          <w:rFonts w:ascii="宋体" w:hAnsi="宋体" w:cs="宋体" w:hint="eastAsia"/>
          <w:b/>
          <w:color w:val="000000"/>
          <w:kern w:val="0"/>
        </w:rPr>
      </w:pPr>
      <w:r>
        <w:rPr>
          <w:rFonts w:ascii="宋体" w:hAnsi="宋体" w:cs="宋体" w:hint="eastAsia"/>
          <w:b/>
          <w:color w:val="000000"/>
          <w:kern w:val="0"/>
          <w:sz w:val="24"/>
          <w:szCs w:val="24"/>
        </w:rPr>
        <w:t>二十二、其它约定事项</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1、本合同中的附件均为本合同不可分割的部分，与本合同具有相同的法律效力。</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pPr>
        <w:autoSpaceDE w:val="0"/>
        <w:autoSpaceDN w:val="0"/>
        <w:adjustRightInd w:val="0"/>
        <w:spacing w:line="360" w:lineRule="auto"/>
        <w:ind w:firstLine="540" w:firstLineChars="225"/>
        <w:jc w:val="left"/>
        <w:rPr>
          <w:rFonts w:ascii="宋体" w:hAnsi="宋体" w:cs="宋体" w:hint="eastAsia"/>
          <w:color w:val="000000"/>
          <w:kern w:val="0"/>
        </w:rPr>
      </w:pPr>
      <w:r>
        <w:rPr>
          <w:rFonts w:ascii="宋体" w:hAnsi="宋体" w:cs="宋体" w:hint="eastAsia"/>
          <w:color w:val="000000"/>
          <w:kern w:val="0"/>
          <w:sz w:val="24"/>
          <w:szCs w:val="24"/>
        </w:rPr>
        <w:t>3、本合同正本一式两份，甲、乙双方各执一份，每份正本具有同等法律效力，副本报财政部备案。</w:t>
      </w:r>
    </w:p>
    <w:p>
      <w:pPr>
        <w:pStyle w:val="Default"/>
        <w:ind w:firstLine="480" w:firstLineChars="200"/>
        <w:rPr>
          <w:rFonts w:ascii="宋体" w:hAnsi="宋体" w:cs="宋体"/>
          <w:szCs w:val="21"/>
        </w:rPr>
        <w:sectPr>
          <w:headerReference w:type="default" r:id="rId12"/>
          <w:footerReference w:type="default" r:id="rId13"/>
          <w:headerReference w:type="first" r:id="rId14"/>
          <w:footerReference w:type="first" r:id="rId15"/>
          <w:pgSz w:w="11906" w:h="16838"/>
          <w:pgMar w:top="1440" w:right="1134" w:bottom="1440" w:left="1701" w:header="851" w:footer="992" w:gutter="0"/>
          <w:pgNumType w:start="0"/>
          <w:cols w:space="708"/>
          <w:titlePg/>
          <w:docGrid w:type="lines" w:linePitch="312"/>
        </w:sectPr>
      </w:pPr>
      <w:r>
        <w:rPr>
          <w:rFonts w:ascii="宋体" w:hAnsi="宋体" w:cs="宋体" w:hint="eastAsia"/>
        </w:rPr>
        <w:t>4、本合同涉及的招标文件和投标文件，正本由中国气象局政府采购中心保存。</w:t>
      </w:r>
    </w:p>
    <w:p>
      <w:pPr>
        <w:spacing w:line="360" w:lineRule="auto"/>
        <w:jc w:val="center"/>
        <w:rPr>
          <w:rFonts w:hint="eastAsia"/>
          <w:b/>
          <w:color w:val="000000"/>
          <w:sz w:val="32"/>
          <w:szCs w:val="32"/>
        </w:rPr>
      </w:pPr>
      <w:r>
        <w:rPr>
          <w:b/>
          <w:color w:val="000000"/>
          <w:sz w:val="32"/>
          <w:szCs w:val="32"/>
        </w:rPr>
        <w:t>合同条款专用部分</w:t>
      </w:r>
    </w:p>
    <w:p>
      <w:pPr>
        <w:adjustRightInd w:val="0"/>
        <w:snapToGrid w:val="0"/>
        <w:spacing w:line="360" w:lineRule="auto"/>
        <w:jc w:val="center"/>
        <w:rPr>
          <w:rFonts w:cs="宋体"/>
          <w:bCs/>
          <w:kern w:val="0"/>
          <w:sz w:val="28"/>
        </w:rPr>
      </w:pPr>
      <w:r>
        <w:rPr>
          <w:rFonts w:cs="宋体" w:hint="eastAsia"/>
          <w:bCs/>
          <w:kern w:val="0"/>
          <w:sz w:val="28"/>
          <w:highlight w:val="yellow"/>
        </w:rPr>
        <w:t>（本合同模板仅供参考，最终合同文本以双方签订为准）</w:t>
      </w:r>
    </w:p>
    <w:p>
      <w:pPr>
        <w:ind w:right="-210" w:rightChars="-100"/>
        <w:jc w:val="center"/>
        <w:rPr>
          <w:rFonts w:ascii="方正小标宋简体" w:eastAsia="方正小标宋简体" w:hAnsi="方正小标宋简体" w:cs="方正小标宋简体" w:hint="eastAsia"/>
          <w:bCs/>
          <w:sz w:val="44"/>
          <w:szCs w:val="44"/>
        </w:rPr>
      </w:pP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pPr>
        <w:ind w:right="-210" w:rightChars="-100"/>
      </w:pPr>
    </w:p>
    <w:p>
      <w:pPr>
        <w:ind w:right="-210" w:rightChars="-100"/>
        <w:rPr>
          <w:rFonts w:hint="eastAsia"/>
        </w:rPr>
      </w:pPr>
    </w:p>
    <w:p>
      <w:pPr>
        <w:jc w:val="center"/>
        <w:rPr>
          <w:rFonts w:hint="eastAsia"/>
          <w:b/>
          <w:sz w:val="28"/>
          <w:szCs w:val="28"/>
        </w:rPr>
      </w:pPr>
      <w:r>
        <w:rPr>
          <w:rFonts w:hint="eastAsia"/>
          <w:b/>
          <w:sz w:val="28"/>
          <w:szCs w:val="28"/>
        </w:rPr>
        <w:t>技术开发（委托）合同</w:t>
      </w:r>
    </w:p>
    <w:p>
      <w:pPr>
        <w:ind w:firstLine="1680" w:firstLineChars="800"/>
        <w:rPr>
          <w:rFonts w:hint="eastAsia"/>
        </w:rPr>
      </w:pPr>
    </w:p>
    <w:p>
      <w:pPr>
        <w:spacing w:line="480" w:lineRule="auto"/>
      </w:pPr>
      <w:r>
        <w:rPr>
          <w:rFonts w:hint="eastAsia"/>
        </w:rPr>
        <w:t xml:space="preserve">委托方（甲方）： </w:t>
      </w:r>
      <w:r>
        <w:rPr>
          <w:rFonts w:hint="eastAsia"/>
          <w:u w:val="single"/>
        </w:rPr>
        <w:t xml:space="preserve">       国家气候中心                                              </w:t>
      </w:r>
    </w:p>
    <w:p>
      <w:pPr>
        <w:spacing w:line="480" w:lineRule="auto"/>
        <w:ind w:firstLine="210" w:firstLineChars="100"/>
        <w:rPr>
          <w:rFonts w:hint="eastAsia"/>
        </w:rPr>
      </w:pPr>
      <w:r>
        <w:rPr>
          <w:rFonts w:hint="eastAsia"/>
        </w:rPr>
        <w:t>住  所  地：</w:t>
      </w:r>
      <w:r>
        <w:rPr>
          <w:rFonts w:hint="eastAsia"/>
          <w:u w:val="single"/>
        </w:rPr>
        <w:t xml:space="preserve">         北京市海淀区中关村南大街4</w:t>
      </w:r>
      <w:r>
        <w:rPr>
          <w:u w:val="single"/>
        </w:rPr>
        <w:t>6</w:t>
      </w:r>
      <w:r>
        <w:rPr>
          <w:rFonts w:hint="eastAsia"/>
          <w:u w:val="single"/>
        </w:rPr>
        <w:t xml:space="preserve">号                                          </w:t>
      </w:r>
      <w:r>
        <w:rPr>
          <w:u w:val="single"/>
        </w:rPr>
        <w:t xml:space="preserve">   </w:t>
      </w:r>
    </w:p>
    <w:p>
      <w:pPr>
        <w:spacing w:line="480" w:lineRule="auto"/>
        <w:ind w:firstLine="210" w:firstLineChars="100"/>
        <w:rPr>
          <w:u w:val="single"/>
        </w:rPr>
      </w:pPr>
      <w:r>
        <w:rPr>
          <w:rFonts w:hint="eastAsia"/>
        </w:rPr>
        <w:t>法定代表人：</w:t>
      </w:r>
      <w:r>
        <w:rPr>
          <w:rFonts w:hint="eastAsia"/>
          <w:u w:val="single"/>
        </w:rPr>
        <w:t xml:space="preserve">         巢清尘                                             </w:t>
      </w:r>
    </w:p>
    <w:p>
      <w:pPr>
        <w:spacing w:line="480" w:lineRule="auto"/>
        <w:ind w:firstLine="210" w:firstLineChars="100"/>
        <w:rPr>
          <w:u w:val="single"/>
        </w:rPr>
      </w:pPr>
      <w:r>
        <w:rPr>
          <w:rFonts w:hint="eastAsia"/>
        </w:rPr>
        <w:t>项目联系人：</w:t>
      </w:r>
      <w:r>
        <w:rPr>
          <w:rFonts w:hint="eastAsia"/>
          <w:u w:val="single"/>
        </w:rPr>
        <w:t xml:space="preserve">                                                      </w:t>
      </w:r>
    </w:p>
    <w:p>
      <w:pPr>
        <w:spacing w:line="480" w:lineRule="auto"/>
        <w:ind w:firstLine="210" w:firstLineChars="100"/>
        <w:rPr>
          <w:rFonts w:hint="eastAsia"/>
        </w:rPr>
      </w:pPr>
      <w:r>
        <w:rPr>
          <w:rFonts w:hint="eastAsia"/>
        </w:rPr>
        <w:t>联系方式：</w:t>
      </w:r>
      <w:r>
        <w:rPr>
          <w:rFonts w:hint="eastAsia"/>
          <w:u w:val="single"/>
        </w:rPr>
        <w:t xml:space="preserve">                                                      </w:t>
      </w:r>
      <w:r>
        <w:rPr>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北京市海淀区中关村南大街4</w:t>
      </w:r>
      <w:r>
        <w:rPr>
          <w:u w:val="single"/>
        </w:rPr>
        <w:t>6</w:t>
      </w:r>
      <w:r>
        <w:rPr>
          <w:rFonts w:hint="eastAsia"/>
          <w:u w:val="single"/>
        </w:rPr>
        <w:t xml:space="preserve">号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rFonts w:hint="eastAsia"/>
        </w:rPr>
      </w:pPr>
      <w:r>
        <w:rPr>
          <w:rFonts w:hint="eastAsia"/>
        </w:rPr>
        <w:t>电子信箱：</w:t>
      </w:r>
      <w:r>
        <w:rPr>
          <w:rFonts w:hint="eastAsia"/>
          <w:u w:val="single"/>
        </w:rPr>
        <w:t xml:space="preserve">                                                  </w:t>
      </w:r>
      <w:r>
        <w:rPr>
          <w:u w:val="single"/>
        </w:rPr>
        <w:t xml:space="preserve">      </w:t>
      </w:r>
    </w:p>
    <w:p>
      <w:pPr>
        <w:spacing w:line="480" w:lineRule="auto"/>
        <w:rPr>
          <w:u w:val="single"/>
        </w:rPr>
      </w:pPr>
      <w:r>
        <w:rPr>
          <w:rFonts w:hint="eastAsia"/>
        </w:rPr>
        <w:t>受托方（乙方）：</w:t>
      </w:r>
      <w:r>
        <w:rPr>
          <w:rFonts w:hint="eastAsia"/>
          <w:u w:val="single"/>
        </w:rPr>
        <w:t xml:space="preserve">         中标方                                         </w:t>
      </w:r>
      <w:r>
        <w:rPr>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r>
        <w:rPr>
          <w:rFonts w:hint="eastAsia"/>
        </w:rPr>
        <w:t xml:space="preserve"> </w:t>
      </w:r>
    </w:p>
    <w:p>
      <w:pPr>
        <w:spacing w:line="480" w:lineRule="auto"/>
        <w:ind w:firstLine="210" w:firstLineChars="100"/>
        <w:rPr>
          <w:u w:val="single"/>
        </w:rPr>
      </w:pPr>
      <w:r>
        <w:rPr>
          <w:rFonts w:hint="eastAsia"/>
        </w:rPr>
        <w:t>法定代表人：</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 xml:space="preserve">联系方式： </w:t>
      </w:r>
      <w:r>
        <w:rPr>
          <w:rFonts w:hint="eastAsia"/>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u w:val="single"/>
        </w:rPr>
      </w:pPr>
      <w:r>
        <w:rPr>
          <w:rFonts w:hint="eastAsia"/>
        </w:rPr>
        <w:t>电子信箱：</w:t>
      </w:r>
      <w:r>
        <w:rPr>
          <w:rFonts w:hint="eastAsia"/>
          <w:u w:val="single"/>
        </w:rPr>
        <w:t xml:space="preserve">                                                  </w:t>
      </w:r>
      <w:r>
        <w:rPr>
          <w:u w:val="single"/>
        </w:rPr>
        <w:t xml:space="preserve">      </w:t>
      </w:r>
    </w:p>
    <w:p>
      <w:pPr>
        <w:ind w:firstLine="420" w:firstLineChars="200"/>
        <w:jc w:val="left"/>
        <w:sectPr>
          <w:footerReference w:type="even" r:id="rId16"/>
          <w:footerReference w:type="default" r:id="rId17"/>
          <w:pgSz w:w="11906" w:h="16838"/>
          <w:pgMar w:top="1440" w:right="1800" w:bottom="1440" w:left="1800" w:header="851" w:footer="992" w:gutter="0"/>
          <w:cols w:space="708"/>
          <w:docGrid w:type="lines" w:linePitch="312"/>
        </w:sectPr>
      </w:pPr>
    </w:p>
    <w:p>
      <w:pPr>
        <w:jc w:val="center"/>
        <w:rPr>
          <w:rFonts w:ascii="黑体" w:eastAsia="黑体" w:hAnsi="黑体" w:cs="黑体" w:hint="eastAsia"/>
          <w:sz w:val="32"/>
          <w:szCs w:val="32"/>
        </w:rPr>
      </w:pPr>
    </w:p>
    <w:p>
      <w:pPr>
        <w:jc w:val="center"/>
        <w:rPr>
          <w:rFonts w:ascii="黑体" w:eastAsia="黑体" w:hAnsi="黑体" w:cs="黑体" w:hint="eastAsia"/>
          <w:sz w:val="32"/>
          <w:szCs w:val="32"/>
        </w:rPr>
      </w:pPr>
    </w:p>
    <w:p>
      <w:pPr>
        <w:jc w:val="center"/>
        <w:rPr>
          <w:rFonts w:ascii="黑体" w:eastAsia="黑体" w:hAnsi="黑体" w:cs="黑体" w:hint="eastAsia"/>
          <w:sz w:val="32"/>
          <w:szCs w:val="32"/>
        </w:rPr>
      </w:pPr>
    </w:p>
    <w:p>
      <w:pPr>
        <w:jc w:val="center"/>
        <w:rPr>
          <w:rFonts w:ascii="黑体" w:eastAsia="黑体" w:hAnsi="黑体" w:cs="黑体" w:hint="eastAsia"/>
          <w:sz w:val="32"/>
          <w:szCs w:val="32"/>
        </w:rPr>
      </w:pPr>
      <w:r>
        <w:rPr>
          <w:rFonts w:ascii="黑体" w:eastAsia="黑体" w:hAnsi="黑体" w:cs="黑体" w:hint="eastAsia"/>
          <w:sz w:val="32"/>
          <w:szCs w:val="32"/>
        </w:rPr>
        <w:t>使 用 说 明</w:t>
      </w:r>
    </w:p>
    <w:p>
      <w:pPr>
        <w:jc w:val="center"/>
        <w:rPr>
          <w:rFonts w:ascii="黑体" w:eastAsia="黑体" w:hAnsi="黑体" w:cs="黑体" w:hint="eastAsia"/>
          <w:sz w:val="32"/>
          <w:szCs w:val="32"/>
        </w:rPr>
      </w:pPr>
    </w:p>
    <w:p>
      <w:pPr>
        <w:numPr>
          <w:ilvl w:val="0"/>
          <w:numId w:val="14"/>
        </w:numPr>
        <w:tabs>
          <w:tab w:val="left" w:pos="312"/>
        </w:tabs>
        <w:ind w:left="900" w:firstLine="638" w:firstLineChars="228"/>
        <w:rPr>
          <w:rFonts w:cs="宋体" w:hint="eastAsia"/>
          <w:sz w:val="28"/>
          <w:szCs w:val="28"/>
        </w:rPr>
      </w:pPr>
      <w:r>
        <w:rPr>
          <w:rFonts w:cs="宋体" w:hint="eastAsia"/>
          <w:sz w:val="28"/>
          <w:szCs w:val="28"/>
        </w:rPr>
        <w:t>本合同标准文本适用于气象部门需要供应商定制开发的气象业务软件采购项目。</w:t>
      </w:r>
    </w:p>
    <w:p>
      <w:pPr>
        <w:numPr>
          <w:ilvl w:val="0"/>
          <w:numId w:val="14"/>
        </w:numPr>
        <w:tabs>
          <w:tab w:val="left" w:pos="312"/>
        </w:tabs>
        <w:ind w:left="900" w:firstLine="638" w:firstLineChars="228"/>
        <w:rPr>
          <w:rFonts w:cs="宋体" w:hint="eastAsia"/>
          <w:sz w:val="28"/>
          <w:szCs w:val="28"/>
        </w:rPr>
      </w:pPr>
      <w:r>
        <w:rPr>
          <w:rFonts w:cs="宋体" w:hint="eastAsia"/>
          <w:sz w:val="28"/>
          <w:szCs w:val="28"/>
        </w:rPr>
        <w:t>本合同标准文本为气象部门采购气象业务软件定制开发合同编制提供参考，可以结合采购项目具体情况，对文本作必要的调整修订后使用。</w:t>
      </w:r>
    </w:p>
    <w:p>
      <w:pPr>
        <w:numPr>
          <w:ilvl w:val="0"/>
          <w:numId w:val="14"/>
        </w:numPr>
        <w:tabs>
          <w:tab w:val="left" w:pos="312"/>
        </w:tabs>
        <w:ind w:left="900" w:firstLine="638" w:firstLineChars="228"/>
        <w:rPr>
          <w:rFonts w:cs="宋体" w:hint="eastAsia"/>
          <w:sz w:val="28"/>
          <w:szCs w:val="28"/>
        </w:rPr>
      </w:pPr>
      <w:r>
        <w:rPr>
          <w:rFonts w:cs="宋体" w:hint="eastAsia"/>
          <w:sz w:val="28"/>
          <w:szCs w:val="28"/>
        </w:rPr>
        <w:t>本合同标准文本各条款中，如涉及填写多家供应商、多种采购标的等信息的，可根据采购项目具体情况添加信息项。</w:t>
      </w:r>
    </w:p>
    <w:p>
      <w:pPr>
        <w:ind w:firstLine="420" w:firstLineChars="200"/>
        <w:rPr>
          <w:snapToGrid w:val="0"/>
        </w:rPr>
      </w:pPr>
      <w:r>
        <w:br w:type="page"/>
      </w:r>
      <w:r>
        <w:rPr>
          <w:rFonts w:hint="eastAsia"/>
          <w:snapToGrid w:val="0"/>
        </w:rPr>
        <w:t>根据《中华人民共和国政府采购法》《中华人民共和国民法典》以及法律法规和行业标准，甲方通过公开招标，选定乙方为</w:t>
      </w:r>
      <w:r>
        <w:rPr>
          <w:rFonts w:hint="eastAsia"/>
          <w:snapToGrid w:val="0"/>
          <w:u w:val="single"/>
        </w:rPr>
        <w:t xml:space="preserve"> </w:t>
      </w:r>
      <w:r>
        <w:rPr>
          <w:snapToGrid w:val="0"/>
          <w:u w:val="single"/>
        </w:rPr>
        <w:t xml:space="preserve">  </w:t>
      </w:r>
      <w:r>
        <w:rPr>
          <w:rFonts w:hint="eastAsia"/>
          <w:snapToGrid w:val="0"/>
          <w:u w:val="single"/>
        </w:rPr>
        <w:t>气候极端事件风险应对业务能力提升软件项目</w:t>
      </w:r>
      <w:r>
        <w:rPr>
          <w:snapToGrid w:val="0"/>
          <w:u w:val="single"/>
        </w:rPr>
        <w:t xml:space="preserve">      </w:t>
      </w:r>
      <w:r>
        <w:rPr>
          <w:rFonts w:hint="eastAsia"/>
          <w:snapToGrid w:val="0"/>
        </w:rPr>
        <w:t>项目的中标供应商。双方经过平等协商，在真实、充分地表达各自意愿的基础上，达成如下协议，并由双方共同恪守。</w:t>
      </w:r>
    </w:p>
    <w:p>
      <w:pPr>
        <w:pStyle w:val="Heading2"/>
        <w:numPr>
          <w:ilvl w:val="0"/>
          <w:numId w:val="15"/>
        </w:numPr>
        <w:spacing w:before="60" w:after="60" w:line="240" w:lineRule="auto"/>
        <w:ind w:hanging="420"/>
        <w:jc w:val="left"/>
      </w:pPr>
      <w:bookmarkStart w:id="86" w:name="_Toc150439537"/>
      <w:r>
        <w:rPr>
          <w:rFonts w:hint="eastAsia"/>
        </w:rPr>
        <w:t>项目内容及概况</w:t>
      </w:r>
      <w:bookmarkEnd w:id="86"/>
      <w:r>
        <w:rPr>
          <w:rFonts w:hint="eastAsia"/>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954"/>
        <w:gridCol w:w="746"/>
        <w:gridCol w:w="791"/>
        <w:gridCol w:w="1497"/>
        <w:gridCol w:w="1499"/>
        <w:gridCol w:w="149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1644" w:type="pct"/>
          </w:tcPr>
          <w:p>
            <w:pPr>
              <w:jc w:val="left"/>
            </w:pPr>
            <w:r>
              <w:rPr>
                <w:rFonts w:hint="eastAsia"/>
              </w:rPr>
              <w:t>名称</w:t>
            </w:r>
          </w:p>
        </w:tc>
        <w:tc>
          <w:tcPr>
            <w:tcW w:w="415" w:type="pct"/>
          </w:tcPr>
          <w:p>
            <w:pPr>
              <w:jc w:val="left"/>
            </w:pPr>
            <w:r>
              <w:rPr>
                <w:rFonts w:hint="eastAsia"/>
              </w:rPr>
              <w:t>数量</w:t>
            </w:r>
          </w:p>
        </w:tc>
        <w:tc>
          <w:tcPr>
            <w:tcW w:w="440" w:type="pct"/>
          </w:tcPr>
          <w:p>
            <w:pPr>
              <w:jc w:val="left"/>
            </w:pPr>
            <w:r>
              <w:rPr>
                <w:rFonts w:hint="eastAsia"/>
              </w:rPr>
              <w:t>单位</w:t>
            </w:r>
          </w:p>
        </w:tc>
        <w:tc>
          <w:tcPr>
            <w:tcW w:w="833" w:type="pct"/>
          </w:tcPr>
          <w:p>
            <w:pPr>
              <w:jc w:val="left"/>
            </w:pPr>
            <w:r>
              <w:rPr>
                <w:rFonts w:hint="eastAsia"/>
              </w:rPr>
              <w:t>单价（元）</w:t>
            </w:r>
          </w:p>
        </w:tc>
        <w:tc>
          <w:tcPr>
            <w:tcW w:w="834" w:type="pct"/>
          </w:tcPr>
          <w:p>
            <w:pPr>
              <w:jc w:val="left"/>
            </w:pPr>
            <w:r>
              <w:rPr>
                <w:rFonts w:hint="eastAsia"/>
              </w:rPr>
              <w:t>合计（元）</w:t>
            </w:r>
          </w:p>
        </w:tc>
        <w:tc>
          <w:tcPr>
            <w:tcW w:w="834" w:type="pct"/>
          </w:tcPr>
          <w:p>
            <w:pPr>
              <w:jc w:val="left"/>
            </w:pPr>
            <w:r>
              <w:rPr>
                <w:rFonts w:hint="eastAsia"/>
              </w:rPr>
              <w:t>备注</w:t>
            </w:r>
          </w:p>
        </w:tc>
      </w:tr>
      <w:tr>
        <w:tblPrEx>
          <w:tblW w:w="5000" w:type="pct"/>
          <w:tblCellMar>
            <w:top w:w="0" w:type="dxa"/>
            <w:left w:w="108" w:type="dxa"/>
            <w:bottom w:w="0" w:type="dxa"/>
            <w:right w:w="108" w:type="dxa"/>
          </w:tblCellMar>
          <w:tblLook w:val="0000"/>
        </w:tblPrEx>
        <w:tc>
          <w:tcPr>
            <w:tcW w:w="1644" w:type="pct"/>
          </w:tcPr>
          <w:p>
            <w:pPr>
              <w:jc w:val="left"/>
              <w:rPr>
                <w:rFonts w:hint="eastAsia"/>
              </w:rPr>
            </w:pPr>
            <w:r>
              <w:rPr>
                <w:rFonts w:hint="eastAsia"/>
              </w:rPr>
              <w:t>气候极端事件风险应对业务能力提升软件项目</w:t>
            </w:r>
          </w:p>
        </w:tc>
        <w:tc>
          <w:tcPr>
            <w:tcW w:w="415" w:type="pct"/>
          </w:tcPr>
          <w:p>
            <w:pPr>
              <w:jc w:val="left"/>
              <w:rPr>
                <w:rFonts w:eastAsia="宋体" w:hint="eastAsia"/>
              </w:rPr>
            </w:pPr>
            <w:r>
              <w:rPr>
                <w:rFonts w:hint="eastAsia"/>
                <w:lang w:val="en-US" w:eastAsia="zh-CN"/>
              </w:rPr>
              <w:t>1</w:t>
            </w:r>
          </w:p>
        </w:tc>
        <w:tc>
          <w:tcPr>
            <w:tcW w:w="440" w:type="pct"/>
          </w:tcPr>
          <w:p>
            <w:pPr>
              <w:jc w:val="left"/>
              <w:rPr>
                <w:rFonts w:eastAsia="宋体" w:hint="eastAsia"/>
              </w:rPr>
            </w:pPr>
            <w:r>
              <w:rPr>
                <w:rFonts w:hint="eastAsia"/>
                <w:lang w:val="en-US" w:eastAsia="zh-CN"/>
              </w:rPr>
              <w:t>套</w:t>
            </w:r>
          </w:p>
        </w:tc>
        <w:tc>
          <w:tcPr>
            <w:tcW w:w="833" w:type="pct"/>
          </w:tcPr>
          <w:p>
            <w:pPr>
              <w:jc w:val="left"/>
            </w:pPr>
          </w:p>
        </w:tc>
        <w:tc>
          <w:tcPr>
            <w:tcW w:w="834" w:type="pct"/>
          </w:tcPr>
          <w:p>
            <w:pPr>
              <w:jc w:val="left"/>
            </w:pPr>
          </w:p>
        </w:tc>
        <w:tc>
          <w:tcPr>
            <w:tcW w:w="834" w:type="pct"/>
          </w:tcPr>
          <w:p>
            <w:pPr>
              <w:jc w:val="left"/>
            </w:pPr>
          </w:p>
        </w:tc>
      </w:tr>
      <w:tr>
        <w:tblPrEx>
          <w:tblW w:w="5000" w:type="pct"/>
          <w:tblCellMar>
            <w:top w:w="0" w:type="dxa"/>
            <w:left w:w="108" w:type="dxa"/>
            <w:bottom w:w="0" w:type="dxa"/>
            <w:right w:w="108" w:type="dxa"/>
          </w:tblCellMar>
          <w:tblLook w:val="0000"/>
        </w:tblPrEx>
        <w:tc>
          <w:tcPr>
            <w:tcW w:w="1644" w:type="pct"/>
          </w:tcPr>
          <w:p>
            <w:pPr>
              <w:jc w:val="left"/>
            </w:pPr>
          </w:p>
        </w:tc>
        <w:tc>
          <w:tcPr>
            <w:tcW w:w="415" w:type="pct"/>
          </w:tcPr>
          <w:p>
            <w:pPr>
              <w:jc w:val="left"/>
            </w:pPr>
          </w:p>
        </w:tc>
        <w:tc>
          <w:tcPr>
            <w:tcW w:w="440" w:type="pct"/>
          </w:tcPr>
          <w:p>
            <w:pPr>
              <w:jc w:val="left"/>
            </w:pPr>
          </w:p>
        </w:tc>
        <w:tc>
          <w:tcPr>
            <w:tcW w:w="833" w:type="pct"/>
          </w:tcPr>
          <w:p>
            <w:pPr>
              <w:jc w:val="left"/>
            </w:pPr>
          </w:p>
        </w:tc>
        <w:tc>
          <w:tcPr>
            <w:tcW w:w="834" w:type="pct"/>
          </w:tcPr>
          <w:p>
            <w:pPr>
              <w:jc w:val="left"/>
            </w:pPr>
          </w:p>
        </w:tc>
        <w:tc>
          <w:tcPr>
            <w:tcW w:w="834" w:type="pct"/>
          </w:tcPr>
          <w:p>
            <w:pPr>
              <w:jc w:val="left"/>
            </w:pPr>
          </w:p>
        </w:tc>
      </w:tr>
      <w:tr>
        <w:tblPrEx>
          <w:tblW w:w="5000" w:type="pct"/>
          <w:tblCellMar>
            <w:top w:w="0" w:type="dxa"/>
            <w:left w:w="108" w:type="dxa"/>
            <w:bottom w:w="0" w:type="dxa"/>
            <w:right w:w="108" w:type="dxa"/>
          </w:tblCellMar>
          <w:tblLook w:val="0000"/>
        </w:tblPrEx>
        <w:tc>
          <w:tcPr>
            <w:tcW w:w="5000" w:type="pct"/>
            <w:gridSpan w:val="6"/>
          </w:tcPr>
          <w:p>
            <w:pPr>
              <w:jc w:val="left"/>
            </w:pPr>
            <w:r>
              <w:rPr>
                <w:spacing w:val="6"/>
              </w:rPr>
              <w:t>合计总价</w:t>
            </w:r>
            <w:r>
              <w:rPr>
                <w:rFonts w:hint="eastAsia"/>
                <w:spacing w:val="6"/>
              </w:rPr>
              <w:t>（人民币）</w:t>
            </w:r>
            <w:r>
              <w:rPr>
                <w:spacing w:val="6"/>
              </w:rPr>
              <w:t>：</w:t>
            </w:r>
            <w:r>
              <w:rPr>
                <w:rFonts w:hint="eastAsia"/>
                <w:spacing w:val="6"/>
              </w:rPr>
              <w:t>￥</w:t>
            </w:r>
            <w:r>
              <w:rPr>
                <w:spacing w:val="7"/>
              </w:rPr>
              <w:t xml:space="preserve">    </w:t>
            </w:r>
            <w:r>
              <w:rPr>
                <w:spacing w:val="6"/>
              </w:rPr>
              <w:t>元（大写</w:t>
            </w:r>
            <w:r>
              <w:t>：</w:t>
            </w:r>
            <w:r>
              <w:rPr>
                <w:spacing w:val="1"/>
              </w:rPr>
              <w:t xml:space="preserve">                                </w:t>
            </w:r>
            <w:r>
              <w:t>）</w:t>
            </w:r>
          </w:p>
        </w:tc>
      </w:tr>
    </w:tbl>
    <w:p>
      <w:pPr>
        <w:ind w:firstLine="420" w:firstLineChars="200"/>
        <w:jc w:val="left"/>
        <w:rPr>
          <w:u w:val="single"/>
        </w:rPr>
      </w:pPr>
      <w:r>
        <w:rPr>
          <w:rFonts w:hint="eastAsia"/>
        </w:rPr>
        <w:t>项目简要介绍：</w:t>
      </w:r>
      <w:r>
        <w:rPr>
          <w:rFonts w:hint="eastAsia"/>
          <w:u w:val="single"/>
        </w:rPr>
        <w:t xml:space="preserve"> </w:t>
      </w:r>
      <w:r>
        <w:rPr>
          <w:u w:val="single"/>
        </w:rPr>
        <w:t xml:space="preserve">                                                                   </w:t>
      </w:r>
    </w:p>
    <w:p>
      <w:pPr>
        <w:ind w:firstLine="420" w:firstLineChars="200"/>
        <w:jc w:val="left"/>
        <w:rPr>
          <w:rFonts w:hint="eastAsia"/>
        </w:rPr>
      </w:pPr>
      <w:r>
        <w:rPr>
          <w:rFonts w:hint="eastAsia"/>
        </w:rPr>
        <w:t>乙方承担的研究内容：</w:t>
      </w:r>
    </w:p>
    <w:p>
      <w:pPr>
        <w:ind w:firstLine="420" w:firstLineChars="200"/>
        <w:jc w:val="left"/>
        <w:rPr>
          <w:rFonts w:hint="eastAsia"/>
        </w:rPr>
      </w:pPr>
      <w:r>
        <w:rPr>
          <w:rFonts w:hint="eastAsia"/>
        </w:rPr>
        <w:t>XXXX（技术交底部分）。</w:t>
      </w:r>
    </w:p>
    <w:p>
      <w:pPr>
        <w:ind w:firstLine="420" w:firstLineChars="200"/>
        <w:jc w:val="left"/>
        <w:rPr>
          <w:rFonts w:hint="eastAsia"/>
        </w:rPr>
      </w:pPr>
    </w:p>
    <w:p>
      <w:pPr>
        <w:ind w:firstLine="420" w:firstLineChars="200"/>
        <w:jc w:val="left"/>
        <w:rPr>
          <w:rFonts w:hint="eastAsia"/>
        </w:rPr>
      </w:pPr>
      <w:r>
        <w:rPr>
          <w:rFonts w:hint="eastAsia"/>
        </w:rPr>
        <w:t>乙方主要研究人员</w:t>
      </w:r>
    </w:p>
    <w:p>
      <w:pPr>
        <w:ind w:firstLine="420" w:firstLineChars="200"/>
        <w:jc w:val="left"/>
        <w:rPr>
          <w:rFonts w:hint="eastAsia"/>
        </w:rPr>
      </w:pPr>
      <w:r>
        <w:rPr>
          <w:rFonts w:hint="eastAsia"/>
        </w:rPr>
        <w:t xml:space="preserve"> XXXX。</w:t>
      </w:r>
    </w:p>
    <w:p>
      <w:pPr>
        <w:ind w:firstLine="420" w:firstLineChars="200"/>
        <w:jc w:val="left"/>
        <w:rPr>
          <w:rFonts w:hint="eastAsia"/>
          <w:u w:val="single"/>
        </w:rPr>
      </w:pPr>
      <w:r>
        <w:rPr>
          <w:rFonts w:hint="eastAsia"/>
          <w:u w:val="single"/>
        </w:rPr>
        <w:t xml:space="preserve"> </w:t>
      </w:r>
      <w:r>
        <w:rPr>
          <w:u w:val="single"/>
        </w:rPr>
        <w:t xml:space="preserve">                                                                           </w:t>
      </w:r>
    </w:p>
    <w:p>
      <w:pPr>
        <w:pStyle w:val="Heading2"/>
        <w:numPr>
          <w:ilvl w:val="0"/>
          <w:numId w:val="15"/>
        </w:numPr>
        <w:spacing w:before="60" w:after="60" w:line="240" w:lineRule="auto"/>
        <w:ind w:hanging="420"/>
        <w:jc w:val="left"/>
        <w:rPr>
          <w:rFonts w:eastAsia="宋体" w:hint="eastAsia"/>
        </w:rPr>
      </w:pPr>
      <w:bookmarkStart w:id="87" w:name="_Toc150434283"/>
      <w:bookmarkStart w:id="88" w:name="_Toc150434187"/>
      <w:bookmarkStart w:id="89" w:name="_Toc150439539"/>
      <w:bookmarkStart w:id="90" w:name="_Toc150439540"/>
      <w:bookmarkEnd w:id="87"/>
      <w:bookmarkEnd w:id="88"/>
      <w:bookmarkEnd w:id="89"/>
      <w:r>
        <w:rPr>
          <w:rFonts w:eastAsia="宋体" w:hint="eastAsia"/>
        </w:rPr>
        <w:t>项目相关标准</w:t>
      </w:r>
      <w:bookmarkEnd w:id="90"/>
    </w:p>
    <w:p>
      <w:pPr>
        <w:numPr>
          <w:ilvl w:val="0"/>
          <w:numId w:val="16"/>
        </w:numPr>
        <w:ind w:left="0" w:firstLine="420" w:firstLineChars="200"/>
        <w:jc w:val="left"/>
      </w:pPr>
      <w:r>
        <w:rPr>
          <w:rFonts w:hint="eastAsia"/>
        </w:rPr>
        <w:t>技术标准</w:t>
      </w:r>
    </w:p>
    <w:p>
      <w:pPr>
        <w:numPr>
          <w:ilvl w:val="0"/>
          <w:numId w:val="17"/>
        </w:numPr>
        <w:ind w:left="0" w:firstLine="420" w:firstLineChars="200"/>
        <w:jc w:val="left"/>
      </w:pPr>
      <w:r>
        <w:rPr>
          <w:rFonts w:hint="eastAsia"/>
        </w:rPr>
        <w:t>国家政策文件</w:t>
      </w:r>
    </w:p>
    <w:p>
      <w:pPr>
        <w:numPr>
          <w:ilvl w:val="1"/>
          <w:numId w:val="16"/>
        </w:numPr>
        <w:ind w:left="0" w:firstLine="420" w:firstLineChars="200"/>
        <w:jc w:val="left"/>
        <w:rPr>
          <w:u w:val="single"/>
        </w:rPr>
      </w:pPr>
      <w:r>
        <w:rPr>
          <w:rFonts w:hint="eastAsia"/>
          <w:u w:val="single"/>
        </w:rPr>
        <w:t>《X</w:t>
      </w:r>
      <w:r>
        <w:rPr>
          <w:u w:val="single"/>
        </w:rPr>
        <w:t>XX</w:t>
      </w:r>
      <w:r>
        <w:rPr>
          <w:rFonts w:hint="eastAsia"/>
          <w:u w:val="single"/>
        </w:rPr>
        <w:t>功能规格需求书》</w:t>
      </w:r>
    </w:p>
    <w:p>
      <w:pPr>
        <w:numPr>
          <w:ilvl w:val="1"/>
          <w:numId w:val="16"/>
        </w:numPr>
        <w:ind w:left="0" w:firstLine="420" w:firstLineChars="200"/>
        <w:jc w:val="left"/>
        <w:rPr>
          <w:rFonts w:hint="eastAsia"/>
          <w:u w:val="single"/>
        </w:rPr>
      </w:pPr>
      <w:r>
        <w:rPr>
          <w:rFonts w:hint="eastAsia"/>
          <w:u w:val="single"/>
        </w:rPr>
        <w:t xml:space="preserve"> </w:t>
      </w:r>
      <w:r>
        <w:rPr>
          <w:u w:val="single"/>
        </w:rPr>
        <w:t xml:space="preserve">               </w:t>
      </w:r>
      <w:r>
        <w:rPr>
          <w:rFonts w:hint="eastAsia"/>
          <w:u w:val="single"/>
        </w:rPr>
        <w:t xml:space="preserve">     </w:t>
      </w:r>
    </w:p>
    <w:p>
      <w:pPr>
        <w:numPr>
          <w:ilvl w:val="0"/>
          <w:numId w:val="17"/>
        </w:numPr>
        <w:ind w:left="0" w:firstLine="420" w:firstLineChars="200"/>
        <w:jc w:val="left"/>
      </w:pPr>
      <w:r>
        <w:rPr>
          <w:rFonts w:hint="eastAsia"/>
        </w:rPr>
        <w:t>省厅政策文件</w:t>
      </w:r>
    </w:p>
    <w:p>
      <w:pPr>
        <w:numPr>
          <w:ilvl w:val="0"/>
          <w:numId w:val="18"/>
        </w:numPr>
        <w:ind w:left="0" w:firstLine="420" w:firstLineChars="200"/>
        <w:jc w:val="left"/>
        <w:rPr>
          <w:u w:val="single"/>
        </w:rPr>
      </w:pPr>
      <w:r>
        <w:rPr>
          <w:rFonts w:hint="eastAsia"/>
          <w:u w:val="single"/>
        </w:rPr>
        <w:t xml:space="preserve"> </w:t>
      </w:r>
      <w:r>
        <w:rPr>
          <w:u w:val="single"/>
        </w:rPr>
        <w:t xml:space="preserve">              </w:t>
      </w:r>
      <w:r>
        <w:rPr>
          <w:rFonts w:hint="eastAsia"/>
          <w:u w:val="single"/>
        </w:rPr>
        <w:t xml:space="preserve">     </w:t>
      </w:r>
    </w:p>
    <w:p>
      <w:pPr>
        <w:numPr>
          <w:ilvl w:val="0"/>
          <w:numId w:val="18"/>
        </w:numPr>
        <w:ind w:left="0" w:firstLine="420" w:firstLineChars="200"/>
        <w:jc w:val="left"/>
        <w:rPr>
          <w:rFonts w:hint="eastAsia"/>
          <w:u w:val="single"/>
        </w:rPr>
      </w:pPr>
      <w:r>
        <w:rPr>
          <w:rFonts w:hint="eastAsia"/>
          <w:u w:val="single"/>
        </w:rPr>
        <w:t xml:space="preserve"> </w:t>
      </w:r>
      <w:r>
        <w:rPr>
          <w:u w:val="single"/>
        </w:rPr>
        <w:t xml:space="preserve">              </w:t>
      </w:r>
      <w:r>
        <w:rPr>
          <w:rFonts w:hint="eastAsia"/>
          <w:u w:val="single"/>
        </w:rPr>
        <w:t xml:space="preserve">     </w:t>
      </w:r>
    </w:p>
    <w:p>
      <w:pPr>
        <w:numPr>
          <w:ilvl w:val="0"/>
          <w:numId w:val="17"/>
        </w:numPr>
        <w:ind w:left="0" w:firstLine="420" w:firstLineChars="200"/>
        <w:jc w:val="left"/>
      </w:pPr>
      <w:r>
        <w:rPr>
          <w:rFonts w:hint="eastAsia"/>
        </w:rPr>
        <w:t>地区政策文件</w:t>
      </w:r>
    </w:p>
    <w:p>
      <w:pPr>
        <w:numPr>
          <w:ilvl w:val="1"/>
          <w:numId w:val="17"/>
        </w:numPr>
        <w:ind w:left="0" w:firstLine="420" w:firstLineChars="200"/>
        <w:jc w:val="left"/>
      </w:pPr>
      <w:r>
        <w:rPr>
          <w:rFonts w:hint="eastAsia"/>
          <w:u w:val="single"/>
        </w:rPr>
        <w:t xml:space="preserve"> </w:t>
      </w:r>
      <w:r>
        <w:rPr>
          <w:u w:val="single"/>
        </w:rPr>
        <w:t xml:space="preserve">              </w:t>
      </w:r>
      <w:r>
        <w:rPr>
          <w:rFonts w:hint="eastAsia"/>
          <w:u w:val="single"/>
        </w:rPr>
        <w:t xml:space="preserve">     </w:t>
      </w:r>
    </w:p>
    <w:p>
      <w:pPr>
        <w:numPr>
          <w:ilvl w:val="1"/>
          <w:numId w:val="17"/>
        </w:numPr>
        <w:ind w:left="0" w:firstLine="420" w:firstLineChars="200"/>
        <w:jc w:val="left"/>
        <w:rPr>
          <w:rFonts w:hint="eastAsia"/>
        </w:rPr>
      </w:pPr>
      <w:r>
        <w:rPr>
          <w:rFonts w:hint="eastAsia"/>
          <w:u w:val="single"/>
        </w:rPr>
        <w:t xml:space="preserve"> </w:t>
      </w:r>
      <w:r>
        <w:rPr>
          <w:u w:val="single"/>
        </w:rPr>
        <w:t xml:space="preserve">              </w:t>
      </w:r>
      <w:r>
        <w:rPr>
          <w:rFonts w:hint="eastAsia"/>
          <w:u w:val="single"/>
        </w:rPr>
        <w:t xml:space="preserve">     </w:t>
      </w:r>
    </w:p>
    <w:p>
      <w:pPr>
        <w:numPr>
          <w:ilvl w:val="0"/>
          <w:numId w:val="16"/>
        </w:numPr>
        <w:ind w:left="0" w:firstLine="420" w:firstLineChars="200"/>
        <w:jc w:val="left"/>
      </w:pPr>
      <w:r>
        <w:rPr>
          <w:rFonts w:hint="eastAsia"/>
        </w:rPr>
        <w:t>标准规范</w:t>
      </w:r>
    </w:p>
    <w:p>
      <w:pPr>
        <w:numPr>
          <w:ilvl w:val="0"/>
          <w:numId w:val="19"/>
        </w:numPr>
        <w:ind w:left="0" w:firstLine="420" w:firstLineChars="200"/>
        <w:jc w:val="left"/>
        <w:rPr>
          <w:rFonts w:hint="eastAsia"/>
          <w:u w:val="single"/>
        </w:rPr>
      </w:pPr>
      <w:r>
        <w:rPr>
          <w:rFonts w:hint="eastAsia"/>
          <w:u w:val="single"/>
        </w:rPr>
        <w:t xml:space="preserve">                   </w:t>
      </w:r>
    </w:p>
    <w:p>
      <w:pPr>
        <w:numPr>
          <w:ilvl w:val="0"/>
          <w:numId w:val="19"/>
        </w:numPr>
        <w:ind w:left="0" w:firstLine="420" w:firstLineChars="200"/>
        <w:jc w:val="left"/>
        <w:rPr>
          <w:rFonts w:hint="eastAsia"/>
          <w:u w:val="single"/>
        </w:rPr>
      </w:pPr>
      <w:r>
        <w:rPr>
          <w:rFonts w:hint="eastAsia"/>
          <w:u w:val="single"/>
        </w:rPr>
        <w:t xml:space="preserve">                 </w:t>
      </w:r>
    </w:p>
    <w:p>
      <w:pPr>
        <w:numPr>
          <w:ilvl w:val="0"/>
          <w:numId w:val="16"/>
        </w:numPr>
        <w:ind w:left="0" w:firstLine="420" w:firstLineChars="200"/>
        <w:jc w:val="left"/>
      </w:pPr>
      <w:r>
        <w:rPr>
          <w:rFonts w:hint="eastAsia"/>
        </w:rPr>
        <w:t>国家法律法规</w:t>
      </w:r>
    </w:p>
    <w:p>
      <w:pPr>
        <w:numPr>
          <w:ilvl w:val="0"/>
          <w:numId w:val="20"/>
        </w:numPr>
        <w:ind w:left="0" w:firstLine="420" w:firstLineChars="200"/>
        <w:jc w:val="left"/>
        <w:rPr>
          <w:rFonts w:hint="eastAsia"/>
          <w:u w:val="single"/>
        </w:rPr>
      </w:pPr>
      <w:r>
        <w:rPr>
          <w:rFonts w:hint="eastAsia"/>
          <w:u w:val="single"/>
        </w:rPr>
        <w:t xml:space="preserve">《中华人民共和国政府采购法》            </w:t>
      </w:r>
    </w:p>
    <w:p>
      <w:pPr>
        <w:numPr>
          <w:ilvl w:val="0"/>
          <w:numId w:val="20"/>
        </w:numPr>
        <w:ind w:left="0" w:firstLine="420" w:firstLineChars="200"/>
        <w:jc w:val="left"/>
        <w:rPr>
          <w:rFonts w:hint="eastAsia"/>
          <w:u w:val="single"/>
        </w:rPr>
      </w:pPr>
      <w:r>
        <w:rPr>
          <w:rFonts w:hint="eastAsia"/>
          <w:u w:val="single"/>
        </w:rPr>
        <w:t xml:space="preserve">《中华人民共和国民法典》                </w:t>
      </w:r>
    </w:p>
    <w:p>
      <w:pPr>
        <w:numPr>
          <w:ilvl w:val="0"/>
          <w:numId w:val="20"/>
        </w:numPr>
        <w:ind w:left="0" w:firstLine="420" w:firstLineChars="200"/>
        <w:jc w:val="left"/>
        <w:rPr>
          <w:rFonts w:hint="eastAsia"/>
          <w:u w:val="single"/>
        </w:rPr>
      </w:pPr>
      <w:r>
        <w:rPr>
          <w:rFonts w:hint="eastAsia"/>
          <w:u w:val="single"/>
        </w:rPr>
        <w:t xml:space="preserve">                                        </w:t>
      </w:r>
    </w:p>
    <w:p>
      <w:pPr>
        <w:numPr>
          <w:ilvl w:val="0"/>
          <w:numId w:val="16"/>
        </w:numPr>
        <w:ind w:left="0" w:firstLine="420" w:firstLineChars="200"/>
        <w:jc w:val="left"/>
      </w:pPr>
      <w:r>
        <w:rPr>
          <w:rFonts w:hint="eastAsia"/>
        </w:rPr>
        <w:t>气象部门管理制度</w:t>
      </w:r>
    </w:p>
    <w:p>
      <w:pPr>
        <w:numPr>
          <w:ilvl w:val="0"/>
          <w:numId w:val="21"/>
        </w:numPr>
        <w:ind w:left="0" w:firstLine="420" w:firstLineChars="200"/>
        <w:jc w:val="left"/>
        <w:rPr>
          <w:u w:val="single"/>
        </w:rPr>
      </w:pPr>
      <w:r>
        <w:rPr>
          <w:rFonts w:hint="eastAsia"/>
          <w:u w:val="single"/>
        </w:rPr>
        <w:t xml:space="preserve">《气象业务软件外包风险监管办法（试行）》（气办发〔2023〕37号） </w:t>
      </w:r>
    </w:p>
    <w:p>
      <w:pPr>
        <w:numPr>
          <w:ilvl w:val="0"/>
          <w:numId w:val="21"/>
        </w:numPr>
        <w:ind w:left="0" w:firstLine="420" w:firstLineChars="200"/>
        <w:jc w:val="left"/>
        <w:rPr>
          <w:rFonts w:hint="eastAsia"/>
          <w:u w:val="single"/>
        </w:rPr>
      </w:pPr>
      <w:r>
        <w:rPr>
          <w:rFonts w:hint="eastAsia"/>
          <w:u w:val="single"/>
        </w:rPr>
        <w:t>《气象软件工程规范》（气办发〔2023〕38号）</w:t>
      </w:r>
      <w:r>
        <w:rPr>
          <w:u w:val="single"/>
        </w:rPr>
        <w:t xml:space="preserve">        </w:t>
      </w:r>
      <w:r>
        <w:rPr>
          <w:rFonts w:hint="eastAsia"/>
          <w:u w:val="single"/>
        </w:rPr>
        <w:t xml:space="preserve">            </w:t>
      </w:r>
    </w:p>
    <w:p>
      <w:pPr>
        <w:numPr>
          <w:ilvl w:val="0"/>
          <w:numId w:val="21"/>
        </w:numPr>
        <w:ind w:left="0" w:firstLine="420" w:firstLineChars="200"/>
        <w:jc w:val="left"/>
        <w:rPr>
          <w:rFonts w:hint="eastAsia"/>
          <w:u w:val="single"/>
        </w:rPr>
      </w:pPr>
      <w:r>
        <w:rPr>
          <w:rFonts w:hint="eastAsia"/>
          <w:u w:val="single"/>
        </w:rPr>
        <w:t xml:space="preserve">《关于统筹集约建设气象业务软件的指导意见》（气发〔2024〕8号） </w:t>
      </w:r>
    </w:p>
    <w:p>
      <w:pPr>
        <w:numPr>
          <w:ilvl w:val="0"/>
          <w:numId w:val="21"/>
        </w:numPr>
        <w:ind w:left="0" w:firstLine="420" w:firstLineChars="200"/>
        <w:jc w:val="left"/>
        <w:rPr>
          <w:rFonts w:hint="eastAsia"/>
          <w:u w:val="single"/>
        </w:rPr>
      </w:pPr>
      <w:r>
        <w:rPr>
          <w:rFonts w:hint="eastAsia"/>
          <w:u w:val="single"/>
        </w:rPr>
        <w:t>《气象业务软件组件化开发指南（</w:t>
      </w:r>
      <w:r>
        <w:rPr>
          <w:u w:val="single"/>
        </w:rPr>
        <w:t>2023版）》（气预函〔2023〕76号）</w:t>
      </w:r>
    </w:p>
    <w:p>
      <w:pPr>
        <w:numPr>
          <w:ilvl w:val="0"/>
          <w:numId w:val="21"/>
        </w:numPr>
        <w:ind w:left="0" w:firstLine="420" w:firstLineChars="200"/>
        <w:jc w:val="left"/>
        <w:rPr>
          <w:rFonts w:hint="eastAsia"/>
          <w:u w:val="single"/>
        </w:rPr>
      </w:pPr>
      <w:r>
        <w:rPr>
          <w:rFonts w:hint="eastAsia"/>
          <w:u w:val="single"/>
        </w:rPr>
        <w:t>《气象数据管理办法（试行）》（气发〔</w:t>
      </w:r>
      <w:r>
        <w:rPr>
          <w:u w:val="single"/>
        </w:rPr>
        <w:t xml:space="preserve">2020〕92号）        </w:t>
      </w:r>
      <w:r>
        <w:rPr>
          <w:rFonts w:hint="eastAsia"/>
          <w:u w:val="single"/>
        </w:rPr>
        <w:t xml:space="preserve">       </w:t>
      </w:r>
    </w:p>
    <w:p>
      <w:pPr>
        <w:numPr>
          <w:ilvl w:val="0"/>
          <w:numId w:val="21"/>
        </w:numPr>
        <w:ind w:left="0" w:firstLine="420" w:firstLineChars="200"/>
        <w:jc w:val="left"/>
        <w:rPr>
          <w:rFonts w:hint="eastAsia"/>
        </w:rPr>
      </w:pPr>
      <w:r>
        <w:rPr>
          <w:rFonts w:hint="eastAsia"/>
          <w:u w:val="single"/>
        </w:rPr>
        <w:t>《气象数据共享服务与安全管理办法（试行）》（气发〔</w:t>
      </w:r>
      <w:r>
        <w:rPr>
          <w:u w:val="single"/>
        </w:rPr>
        <w:t>2022〕59号）</w:t>
      </w:r>
      <w:r>
        <w:rPr>
          <w:rFonts w:hint="eastAsia"/>
          <w:u w:val="single"/>
        </w:rPr>
        <w:t xml:space="preserve"> </w:t>
      </w:r>
    </w:p>
    <w:p>
      <w:pPr>
        <w:numPr>
          <w:ilvl w:val="0"/>
          <w:numId w:val="21"/>
        </w:numPr>
        <w:ind w:left="0" w:firstLine="420" w:firstLineChars="200"/>
        <w:jc w:val="left"/>
        <w:rPr>
          <w:u w:val="single"/>
        </w:rPr>
      </w:pPr>
      <w:r>
        <w:rPr>
          <w:rFonts w:hint="eastAsia"/>
          <w:u w:val="single"/>
        </w:rPr>
        <w:t xml:space="preserve">《中国气象局网络安全管理办法（试行）》（气发〔2020〕41号）     </w:t>
      </w:r>
    </w:p>
    <w:p>
      <w:pPr>
        <w:numPr>
          <w:ilvl w:val="0"/>
          <w:numId w:val="21"/>
        </w:numPr>
        <w:ind w:left="0" w:firstLine="420" w:firstLineChars="200"/>
        <w:jc w:val="left"/>
        <w:rPr>
          <w:u w:val="single"/>
        </w:rPr>
      </w:pPr>
      <w:r>
        <w:rPr>
          <w:rFonts w:hint="eastAsia"/>
          <w:u w:val="single"/>
        </w:rPr>
        <w:t xml:space="preserve">                                                              </w:t>
      </w:r>
    </w:p>
    <w:p>
      <w:pPr>
        <w:ind w:firstLine="420" w:firstLineChars="200"/>
        <w:jc w:val="left"/>
        <w:rPr>
          <w:rFonts w:ascii="华文楷体" w:eastAsia="华文楷体" w:hAnsi="华文楷体" w:cs="华文楷体" w:hint="eastAsia"/>
        </w:rPr>
      </w:pPr>
      <w:r>
        <w:rPr>
          <w:rFonts w:ascii="华文楷体" w:eastAsia="华文楷体" w:hAnsi="华文楷体" w:cs="华文楷体" w:hint="eastAsia"/>
        </w:rPr>
        <w:t>注：上述气象部门管理制度应根据本合同签订时的实际情况进行更新和补充。</w:t>
      </w:r>
    </w:p>
    <w:p>
      <w:pPr>
        <w:pStyle w:val="Heading2"/>
        <w:numPr>
          <w:ilvl w:val="0"/>
          <w:numId w:val="15"/>
        </w:numPr>
        <w:spacing w:before="60" w:after="60" w:line="240" w:lineRule="auto"/>
        <w:ind w:hanging="420"/>
        <w:jc w:val="left"/>
        <w:rPr>
          <w:rFonts w:eastAsia="宋体" w:hint="eastAsia"/>
        </w:rPr>
      </w:pPr>
      <w:bookmarkStart w:id="91" w:name="_Toc150439541"/>
      <w:bookmarkStart w:id="92" w:name="_Toc150439542"/>
      <w:bookmarkEnd w:id="91"/>
      <w:r>
        <w:rPr>
          <w:rFonts w:eastAsia="宋体" w:hint="eastAsia"/>
        </w:rPr>
        <w:t>组成本合同的文件</w:t>
      </w:r>
      <w:bookmarkEnd w:id="92"/>
    </w:p>
    <w:p>
      <w:pPr>
        <w:numPr>
          <w:ilvl w:val="0"/>
          <w:numId w:val="22"/>
        </w:numPr>
        <w:ind w:left="0" w:firstLine="420" w:firstLineChars="200"/>
        <w:jc w:val="left"/>
        <w:rPr>
          <w:rFonts w:hint="eastAsia"/>
        </w:rPr>
      </w:pPr>
      <w:r>
        <w:rPr>
          <w:rFonts w:hint="eastAsia"/>
        </w:rPr>
        <w:t>本合同；</w:t>
      </w:r>
    </w:p>
    <w:p>
      <w:pPr>
        <w:numPr>
          <w:ilvl w:val="0"/>
          <w:numId w:val="22"/>
        </w:numPr>
        <w:ind w:left="0" w:firstLine="420" w:firstLineChars="200"/>
        <w:jc w:val="left"/>
      </w:pPr>
      <w:r>
        <w:rPr>
          <w:rFonts w:hint="eastAsia"/>
        </w:rPr>
        <w:t>中标通知书、招标文件、投标文件等；</w:t>
      </w:r>
    </w:p>
    <w:p>
      <w:pPr>
        <w:numPr>
          <w:ilvl w:val="0"/>
          <w:numId w:val="22"/>
        </w:numPr>
        <w:ind w:left="0" w:firstLine="420" w:firstLineChars="200"/>
        <w:jc w:val="left"/>
      </w:pPr>
      <w:r>
        <w:rPr>
          <w:rFonts w:hint="eastAsia"/>
        </w:rPr>
        <w:t>与履行本合同有关、经双方依法签字盖章确认后的下列技术文件：</w:t>
      </w:r>
    </w:p>
    <w:p>
      <w:pPr>
        <w:numPr>
          <w:ilvl w:val="0"/>
          <w:numId w:val="23"/>
        </w:numPr>
        <w:ind w:hanging="5"/>
        <w:jc w:val="left"/>
        <w:rPr>
          <w:rFonts w:hint="eastAsia"/>
        </w:rPr>
      </w:pPr>
      <w:r>
        <w:rPr>
          <w:rFonts w:hint="eastAsia"/>
        </w:rPr>
        <w:t>技术背景资料；</w:t>
      </w:r>
    </w:p>
    <w:p>
      <w:pPr>
        <w:numPr>
          <w:ilvl w:val="0"/>
          <w:numId w:val="23"/>
        </w:numPr>
        <w:ind w:hanging="5"/>
        <w:jc w:val="left"/>
        <w:rPr>
          <w:rFonts w:hint="eastAsia"/>
        </w:rPr>
      </w:pPr>
      <w:r>
        <w:rPr>
          <w:rFonts w:hint="eastAsia"/>
        </w:rPr>
        <w:t>可行性论证报告；</w:t>
      </w:r>
    </w:p>
    <w:p>
      <w:pPr>
        <w:numPr>
          <w:ilvl w:val="0"/>
          <w:numId w:val="23"/>
        </w:numPr>
        <w:ind w:hanging="5"/>
        <w:jc w:val="left"/>
        <w:rPr>
          <w:rFonts w:hint="eastAsia"/>
        </w:rPr>
      </w:pPr>
      <w:r>
        <w:rPr>
          <w:rFonts w:hint="eastAsia"/>
        </w:rPr>
        <w:t>技术评价报告；</w:t>
      </w:r>
    </w:p>
    <w:p>
      <w:pPr>
        <w:numPr>
          <w:ilvl w:val="0"/>
          <w:numId w:val="23"/>
        </w:numPr>
        <w:ind w:hanging="5"/>
        <w:jc w:val="left"/>
        <w:rPr>
          <w:rFonts w:hint="eastAsia"/>
        </w:rPr>
      </w:pPr>
      <w:r>
        <w:rPr>
          <w:rFonts w:hint="eastAsia"/>
        </w:rPr>
        <w:t>技术标准和规范；</w:t>
      </w:r>
    </w:p>
    <w:p>
      <w:pPr>
        <w:numPr>
          <w:ilvl w:val="0"/>
          <w:numId w:val="23"/>
        </w:numPr>
        <w:ind w:hanging="5"/>
        <w:jc w:val="left"/>
        <w:rPr>
          <w:rFonts w:hint="eastAsia"/>
        </w:rPr>
      </w:pPr>
      <w:r>
        <w:t>……</w:t>
      </w:r>
    </w:p>
    <w:p>
      <w:pPr>
        <w:numPr>
          <w:ilvl w:val="0"/>
          <w:numId w:val="22"/>
        </w:numPr>
        <w:ind w:left="0" w:firstLine="420" w:firstLineChars="200"/>
        <w:jc w:val="left"/>
      </w:pPr>
      <w:r>
        <w:rPr>
          <w:rFonts w:hint="eastAsia"/>
        </w:rPr>
        <w:t>安全保密承诺书（签字盖章）；</w:t>
      </w:r>
    </w:p>
    <w:p>
      <w:pPr>
        <w:numPr>
          <w:ilvl w:val="0"/>
          <w:numId w:val="22"/>
        </w:numPr>
        <w:ind w:left="0" w:firstLine="420" w:firstLineChars="200"/>
        <w:jc w:val="left"/>
      </w:pPr>
      <w:r>
        <w:rPr>
          <w:rFonts w:hint="eastAsia"/>
        </w:rPr>
        <w:t>乙方就该项目实施情况接受甲方监督检查的承诺书（签字盖章）；</w:t>
      </w:r>
    </w:p>
    <w:p>
      <w:pPr>
        <w:numPr>
          <w:ilvl w:val="0"/>
          <w:numId w:val="22"/>
        </w:numPr>
        <w:ind w:left="0" w:firstLine="420" w:firstLineChars="200"/>
        <w:jc w:val="left"/>
        <w:rPr>
          <w:rFonts w:hint="eastAsia"/>
        </w:rPr>
      </w:pPr>
      <w:r>
        <w:rPr>
          <w:rFonts w:hint="eastAsia"/>
        </w:rPr>
        <w:t>在执行本合同的过程中，所有经双方签署确认的文件（包括会议纪要、补充协议、往来信函）均为本合同的有效组成部分。</w:t>
      </w:r>
    </w:p>
    <w:p>
      <w:pPr>
        <w:pStyle w:val="Heading2"/>
        <w:numPr>
          <w:ilvl w:val="0"/>
          <w:numId w:val="15"/>
        </w:numPr>
        <w:spacing w:before="60" w:after="60" w:line="240" w:lineRule="auto"/>
        <w:ind w:hanging="420"/>
        <w:jc w:val="left"/>
        <w:rPr>
          <w:rFonts w:eastAsia="宋体" w:hint="eastAsia"/>
        </w:rPr>
      </w:pPr>
      <w:bookmarkStart w:id="93" w:name="_Toc150439545"/>
      <w:r>
        <w:rPr>
          <w:rFonts w:eastAsia="宋体" w:hint="eastAsia"/>
        </w:rPr>
        <w:t>合同履行地点、合同服务期</w:t>
      </w:r>
      <w:bookmarkEnd w:id="93"/>
    </w:p>
    <w:p>
      <w:pPr>
        <w:numPr>
          <w:ilvl w:val="0"/>
          <w:numId w:val="24"/>
        </w:numPr>
        <w:ind w:left="0" w:firstLine="420" w:firstLineChars="200"/>
        <w:jc w:val="left"/>
        <w:rPr>
          <w:rFonts w:hint="eastAsia"/>
        </w:rPr>
      </w:pPr>
      <w:r>
        <w:rPr>
          <w:rFonts w:hint="eastAsia"/>
        </w:rPr>
        <w:t>服务地点：依据服务内容及服务方式确定，实际要求在</w:t>
      </w:r>
      <w:r>
        <w:rPr>
          <w:rFonts w:hint="eastAsia"/>
          <w:u w:val="single"/>
        </w:rPr>
        <w:t xml:space="preserve">            </w:t>
      </w:r>
      <w:r>
        <w:rPr>
          <w:rFonts w:hint="eastAsia"/>
        </w:rPr>
        <w:t>进行。</w:t>
      </w:r>
    </w:p>
    <w:p>
      <w:pPr>
        <w:numPr>
          <w:ilvl w:val="0"/>
          <w:numId w:val="24"/>
        </w:numPr>
        <w:ind w:left="0" w:firstLine="420" w:firstLineChars="200"/>
        <w:jc w:val="left"/>
      </w:pPr>
      <w:r>
        <w:rPr>
          <w:rFonts w:hint="eastAsia"/>
        </w:rPr>
        <w:t>合同服务期：</w:t>
      </w:r>
      <w:r>
        <w:rPr>
          <w:rFonts w:hint="eastAsia"/>
          <w:u w:val="single"/>
        </w:rPr>
        <w:t xml:space="preserve"> </w:t>
      </w:r>
      <w:r>
        <w:rPr>
          <w:u w:val="single"/>
        </w:rPr>
        <w:t xml:space="preserve">            </w:t>
      </w:r>
      <w:r>
        <w:rPr>
          <w:rFonts w:hint="eastAsia"/>
        </w:rPr>
        <w:t>。</w:t>
      </w:r>
    </w:p>
    <w:p>
      <w:pPr>
        <w:pStyle w:val="Heading2"/>
        <w:numPr>
          <w:ilvl w:val="0"/>
          <w:numId w:val="15"/>
        </w:numPr>
        <w:spacing w:before="60" w:after="60" w:line="240" w:lineRule="auto"/>
        <w:ind w:hanging="420"/>
        <w:rPr>
          <w:rFonts w:eastAsia="宋体" w:hint="eastAsia"/>
        </w:rPr>
      </w:pPr>
      <w:bookmarkStart w:id="94" w:name="_Toc150439547"/>
      <w:r>
        <w:rPr>
          <w:rFonts w:eastAsia="宋体" w:hint="eastAsia"/>
        </w:rPr>
        <w:t>服务范围及内容</w:t>
      </w:r>
      <w:bookmarkEnd w:id="94"/>
    </w:p>
    <w:p>
      <w:pPr>
        <w:ind w:firstLine="420" w:firstLineChars="200"/>
      </w:pPr>
      <w:r>
        <w:rPr>
          <w:rFonts w:hint="eastAsia"/>
        </w:rPr>
        <w:t>本合同研究开发项目的要求如下：</w:t>
      </w:r>
    </w:p>
    <w:p>
      <w:pPr>
        <w:numPr>
          <w:ilvl w:val="0"/>
          <w:numId w:val="25"/>
        </w:numPr>
        <w:ind w:left="0" w:firstLine="420"/>
        <w:jc w:val="left"/>
      </w:pPr>
      <w:r>
        <w:rPr>
          <w:rFonts w:hint="eastAsia"/>
        </w:rPr>
        <w:t>服务范围：甲方委托乙方开发</w:t>
      </w:r>
      <w:r>
        <w:rPr>
          <w:rFonts w:hint="eastAsia"/>
          <w:u w:val="single"/>
        </w:rPr>
        <w:t xml:space="preserve"> </w:t>
      </w:r>
      <w:r>
        <w:rPr>
          <w:u w:val="single"/>
        </w:rPr>
        <w:t xml:space="preserve">    </w:t>
      </w:r>
      <w:r>
        <w:rPr>
          <w:rFonts w:hint="eastAsia"/>
        </w:rPr>
        <w:t>项目软件，该项目属于</w:t>
      </w:r>
      <w:r>
        <w:rPr>
          <w:rFonts w:hint="eastAsia"/>
          <w:u w:val="single"/>
        </w:rPr>
        <w:t xml:space="preserve"> </w:t>
      </w:r>
      <w:r>
        <w:rPr>
          <w:u w:val="single"/>
        </w:rPr>
        <w:t xml:space="preserve">    </w:t>
      </w:r>
      <w:r>
        <w:rPr>
          <w:rFonts w:hint="eastAsia"/>
        </w:rPr>
        <w:t>（公共服务、</w:t>
      </w:r>
      <w:r>
        <w:rPr>
          <w:rFonts w:ascii="仿宋_GB2312" w:hAnsi="等线" w:hint="eastAsia"/>
        </w:rPr>
        <w:t>预报预测、综合观测、信息网络等）气象业务领域的开发定制类软件，同时属于</w:t>
      </w:r>
      <w:r>
        <w:rPr>
          <w:rFonts w:ascii="仿宋_GB2312" w:hAnsi="等线" w:hint="eastAsia"/>
          <w:u w:val="single"/>
        </w:rPr>
        <w:t xml:space="preserve"> </w:t>
      </w:r>
      <w:r>
        <w:rPr>
          <w:rFonts w:ascii="仿宋_GB2312" w:hAnsi="等线"/>
          <w:u w:val="single"/>
        </w:rPr>
        <w:t xml:space="preserve">    </w:t>
      </w:r>
      <w:r>
        <w:rPr>
          <w:rFonts w:ascii="仿宋_GB2312" w:hAnsi="等线" w:hint="eastAsia"/>
        </w:rPr>
        <w:t>（重要外包、一般外包）项目。</w:t>
      </w:r>
    </w:p>
    <w:p>
      <w:pPr>
        <w:numPr>
          <w:ilvl w:val="0"/>
          <w:numId w:val="25"/>
        </w:numPr>
        <w:ind w:left="0" w:firstLine="420"/>
        <w:jc w:val="left"/>
      </w:pPr>
      <w:r>
        <w:rPr>
          <w:rFonts w:hint="eastAsia"/>
        </w:rPr>
        <w:t>技术目标：</w:t>
      </w:r>
      <w:r>
        <w:rPr>
          <w:rFonts w:hint="eastAsia"/>
          <w:u w:val="single"/>
        </w:rPr>
        <w:t xml:space="preserve"> </w:t>
      </w:r>
      <w:r>
        <w:rPr>
          <w:u w:val="single"/>
        </w:rPr>
        <w:t xml:space="preserve">                                                            </w:t>
      </w:r>
      <w:r>
        <w:rPr>
          <w:rFonts w:hint="eastAsia"/>
          <w:u w:val="single"/>
        </w:rPr>
        <w:t>；</w:t>
      </w:r>
    </w:p>
    <w:p>
      <w:pPr>
        <w:numPr>
          <w:ilvl w:val="0"/>
          <w:numId w:val="25"/>
        </w:numPr>
        <w:jc w:val="left"/>
      </w:pPr>
      <w:r>
        <w:rPr>
          <w:rFonts w:hint="eastAsia"/>
        </w:rPr>
        <w:t>技术内容：</w:t>
      </w:r>
      <w:r>
        <w:rPr>
          <w:rFonts w:hint="eastAsia"/>
          <w:u w:val="single"/>
        </w:rPr>
        <w:t xml:space="preserve"> </w:t>
      </w:r>
      <w:r>
        <w:rPr>
          <w:u w:val="single"/>
        </w:rPr>
        <w:t xml:space="preserve"> </w:t>
      </w:r>
      <w:r>
        <w:rPr>
          <w:rFonts w:hint="eastAsia"/>
          <w:u w:val="single"/>
        </w:rPr>
        <w:t>（以招标文件及双方签字确认的补充文件为准</w:t>
      </w:r>
      <w:r>
        <w:rPr>
          <w:u w:val="single"/>
        </w:rPr>
        <w:t xml:space="preserve"> </w:t>
      </w:r>
      <w:r>
        <w:rPr>
          <w:rFonts w:hint="eastAsia"/>
          <w:u w:val="single"/>
        </w:rPr>
        <w:t>）</w:t>
      </w:r>
      <w:r>
        <w:rPr>
          <w:u w:val="single"/>
        </w:rPr>
        <w:t xml:space="preserve">               </w:t>
      </w:r>
      <w:r>
        <w:rPr>
          <w:rFonts w:hint="eastAsia"/>
          <w:u w:val="single"/>
        </w:rPr>
        <w:t>；</w:t>
      </w:r>
    </w:p>
    <w:p>
      <w:pPr>
        <w:numPr>
          <w:ilvl w:val="0"/>
          <w:numId w:val="25"/>
        </w:numPr>
        <w:jc w:val="left"/>
      </w:pPr>
      <w:r>
        <w:rPr>
          <w:rFonts w:hint="eastAsia"/>
        </w:rPr>
        <w:t>技术方法和路线：</w:t>
      </w:r>
      <w:r>
        <w:rPr>
          <w:rFonts w:hint="eastAsia"/>
          <w:u w:val="single"/>
        </w:rPr>
        <w:t xml:space="preserve"> </w:t>
      </w:r>
      <w:r>
        <w:rPr>
          <w:u w:val="single"/>
        </w:rPr>
        <w:t xml:space="preserve">                                                      </w:t>
      </w:r>
      <w:r>
        <w:rPr>
          <w:rFonts w:hint="eastAsia"/>
          <w:u w:val="single"/>
        </w:rPr>
        <w:t>；</w:t>
      </w:r>
    </w:p>
    <w:p>
      <w:pPr>
        <w:numPr>
          <w:ilvl w:val="0"/>
          <w:numId w:val="25"/>
        </w:numPr>
        <w:jc w:val="left"/>
      </w:pPr>
      <w:r>
        <w:rPr>
          <w:rFonts w:hint="eastAsia"/>
        </w:rPr>
        <w:t>服务内容：</w:t>
      </w:r>
      <w:r>
        <w:rPr>
          <w:rFonts w:hint="eastAsia"/>
          <w:u w:val="single"/>
        </w:rPr>
        <w:t xml:space="preserve"> </w:t>
      </w:r>
      <w:r>
        <w:rPr>
          <w:u w:val="single"/>
        </w:rPr>
        <w:t xml:space="preserve">                                                           </w:t>
      </w:r>
      <w:r>
        <w:rPr>
          <w:rFonts w:hint="eastAsia"/>
          <w:u w:val="single"/>
        </w:rPr>
        <w:t>；</w:t>
      </w:r>
    </w:p>
    <w:p>
      <w:pPr>
        <w:numPr>
          <w:ilvl w:val="0"/>
          <w:numId w:val="25"/>
        </w:numPr>
        <w:jc w:val="left"/>
      </w:pPr>
      <w:r>
        <w:rPr>
          <w:rFonts w:hint="eastAsia"/>
        </w:rPr>
        <w:t>服务要求：</w:t>
      </w:r>
      <w:r>
        <w:rPr>
          <w:rFonts w:hint="eastAsia"/>
          <w:u w:val="single"/>
        </w:rPr>
        <w:t xml:space="preserve"> </w:t>
      </w:r>
      <w:r>
        <w:rPr>
          <w:u w:val="single"/>
        </w:rPr>
        <w:t xml:space="preserve">                                                            </w:t>
      </w:r>
      <w:r>
        <w:rPr>
          <w:rFonts w:hint="eastAsia"/>
          <w:u w:val="single"/>
        </w:rPr>
        <w:t>；</w:t>
      </w:r>
    </w:p>
    <w:p>
      <w:pPr>
        <w:numPr>
          <w:ilvl w:val="0"/>
          <w:numId w:val="25"/>
        </w:numPr>
      </w:pPr>
      <w:r>
        <w:rPr>
          <w:rFonts w:hint="eastAsia"/>
        </w:rPr>
        <w:t>进度安排：</w:t>
      </w:r>
    </w:p>
    <w:p>
      <w:pPr>
        <w:ind w:firstLine="420" w:firstLineChars="200"/>
        <w:rPr>
          <w:rFonts w:hint="eastAsia"/>
        </w:rPr>
      </w:pPr>
      <w:r>
        <w:rPr>
          <w:rFonts w:hint="eastAsia"/>
        </w:rPr>
        <w:t>乙方应按下列进度完成研究开发工作：</w:t>
      </w:r>
    </w:p>
    <w:p>
      <w:pPr>
        <w:numPr>
          <w:ilvl w:val="0"/>
          <w:numId w:val="26"/>
        </w:numPr>
        <w:ind w:left="0" w:firstLine="420" w:firstLineChars="200"/>
        <w:jc w:val="left"/>
      </w:pPr>
      <w:r>
        <w:rPr>
          <w:rFonts w:hint="eastAsia"/>
        </w:rPr>
        <w:t>软件开发周期为</w:t>
      </w:r>
      <w:r>
        <w:rPr>
          <w:highlight w:val="yellow"/>
          <w:u w:val="single"/>
        </w:rPr>
        <w:t xml:space="preserve"> </w:t>
      </w:r>
      <w:r>
        <w:rPr>
          <w:rFonts w:hint="eastAsia"/>
          <w:highlight w:val="yellow"/>
          <w:u w:val="single"/>
          <w:lang w:val="en-US" w:eastAsia="zh-CN"/>
        </w:rPr>
        <w:t>12</w:t>
      </w:r>
      <w:r>
        <w:rPr>
          <w:highlight w:val="yellow"/>
          <w:u w:val="single"/>
        </w:rPr>
        <w:t xml:space="preserve"> </w:t>
      </w:r>
      <w:r>
        <w:rPr>
          <w:rFonts w:hint="eastAsia"/>
        </w:rPr>
        <w:t>个月</w:t>
      </w:r>
      <w:r>
        <w:rPr>
          <w:rFonts w:hint="eastAsia"/>
        </w:rPr>
        <w:t>，自本合同生效之日起算</w:t>
      </w:r>
      <w:r>
        <w:rPr>
          <w:rFonts w:hint="eastAsia"/>
        </w:rPr>
        <w:t>,</w:t>
      </w:r>
      <w:r>
        <w:rPr>
          <w:rFonts w:hint="eastAsia"/>
          <w:u w:val="single"/>
        </w:rPr>
        <w:t xml:space="preserve"> </w:t>
      </w:r>
      <w:r>
        <w:rPr>
          <w:u w:val="single"/>
        </w:rPr>
        <w:t xml:space="preserve">   </w:t>
      </w:r>
      <w:r>
        <w:rPr>
          <w:rFonts w:hint="eastAsia"/>
        </w:rPr>
        <w:t>年</w:t>
      </w:r>
      <w:r>
        <w:rPr>
          <w:u w:val="single"/>
        </w:rPr>
        <w:t xml:space="preserve">   </w:t>
      </w:r>
      <w:r>
        <w:rPr>
          <w:rFonts w:hint="eastAsia"/>
        </w:rPr>
        <w:t>月</w:t>
      </w:r>
      <w:r>
        <w:rPr>
          <w:rFonts w:hint="eastAsia"/>
          <w:u w:val="single"/>
        </w:rPr>
        <w:t xml:space="preserve"> </w:t>
      </w:r>
      <w:r>
        <w:rPr>
          <w:u w:val="single"/>
        </w:rPr>
        <w:t xml:space="preserve">  </w:t>
      </w:r>
      <w:r>
        <w:rPr>
          <w:rFonts w:hint="eastAsia"/>
        </w:rPr>
        <w:t>日至</w:t>
      </w:r>
      <w:r>
        <w:rPr>
          <w:rFonts w:hint="eastAsia"/>
          <w:u w:val="single"/>
        </w:rPr>
        <w:t xml:space="preserve"> </w:t>
      </w:r>
      <w:r>
        <w:rPr>
          <w:u w:val="single"/>
        </w:rPr>
        <w:t xml:space="preserve">   </w:t>
      </w:r>
      <w:r>
        <w:rPr>
          <w:rFonts w:hint="eastAsia"/>
        </w:rPr>
        <w:t>年</w:t>
      </w:r>
      <w:r>
        <w:rPr>
          <w:u w:val="single"/>
        </w:rPr>
        <w:t xml:space="preserve">   </w:t>
      </w:r>
      <w:r>
        <w:rPr>
          <w:rFonts w:hint="eastAsia"/>
        </w:rPr>
        <w:t>月</w:t>
      </w:r>
      <w:r>
        <w:rPr>
          <w:rFonts w:hint="eastAsia"/>
          <w:u w:val="single"/>
        </w:rPr>
        <w:t xml:space="preserve"> </w:t>
      </w:r>
      <w:r>
        <w:rPr>
          <w:u w:val="single"/>
        </w:rPr>
        <w:t xml:space="preserve">  </w:t>
      </w:r>
      <w:r>
        <w:rPr>
          <w:rFonts w:hint="eastAsia"/>
        </w:rPr>
        <w:t>完成；</w:t>
      </w:r>
    </w:p>
    <w:p>
      <w:pPr>
        <w:numPr>
          <w:ilvl w:val="0"/>
          <w:numId w:val="26"/>
        </w:numPr>
        <w:ind w:left="0" w:firstLine="420" w:firstLineChars="200"/>
        <w:jc w:val="left"/>
      </w:pPr>
      <w:r>
        <w:rPr>
          <w:rFonts w:hint="eastAsia"/>
        </w:rPr>
        <w:t>项目详细进度表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654"/>
        <w:gridCol w:w="633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1477" w:type="pct"/>
            <w:vAlign w:val="center"/>
          </w:tcPr>
          <w:p>
            <w:pPr>
              <w:jc w:val="center"/>
              <w:rPr>
                <w:rFonts w:hint="eastAsia"/>
                <w:b/>
                <w:bCs/>
              </w:rPr>
            </w:pPr>
            <w:r>
              <w:rPr>
                <w:rFonts w:hint="eastAsia"/>
                <w:b/>
                <w:bCs/>
              </w:rPr>
              <w:t>项目执行阶段</w:t>
            </w:r>
          </w:p>
        </w:tc>
        <w:tc>
          <w:tcPr>
            <w:tcW w:w="3523" w:type="pct"/>
            <w:vAlign w:val="center"/>
          </w:tcPr>
          <w:p>
            <w:pPr>
              <w:jc w:val="center"/>
              <w:rPr>
                <w:rFonts w:hint="eastAsia"/>
                <w:b/>
                <w:bCs/>
              </w:rPr>
            </w:pPr>
            <w:r>
              <w:rPr>
                <w:rFonts w:hint="eastAsia"/>
                <w:b/>
                <w:bCs/>
              </w:rPr>
              <w:t>项目执行时间</w:t>
            </w:r>
          </w:p>
        </w:tc>
      </w:tr>
      <w:tr>
        <w:tblPrEx>
          <w:tblW w:w="5000" w:type="pct"/>
          <w:tblCellMar>
            <w:top w:w="0" w:type="dxa"/>
            <w:left w:w="108" w:type="dxa"/>
            <w:bottom w:w="0" w:type="dxa"/>
            <w:right w:w="108" w:type="dxa"/>
          </w:tblCellMar>
          <w:tblLook w:val="0000"/>
        </w:tblPrEx>
        <w:tc>
          <w:tcPr>
            <w:tcW w:w="1477" w:type="pct"/>
            <w:vAlign w:val="center"/>
          </w:tcPr>
          <w:p>
            <w:pPr>
              <w:jc w:val="center"/>
              <w:rPr>
                <w:rFonts w:hint="eastAsia"/>
              </w:rPr>
            </w:pPr>
            <w:r>
              <w:rPr>
                <w:rFonts w:hint="eastAsia"/>
              </w:rPr>
              <w:t>研究开发计划</w:t>
            </w:r>
          </w:p>
        </w:tc>
        <w:tc>
          <w:tcPr>
            <w:tcW w:w="3523" w:type="pct"/>
            <w:vAlign w:val="center"/>
          </w:tcPr>
          <w:p>
            <w:pPr>
              <w:jc w:val="center"/>
              <w:rPr>
                <w:rFonts w:hint="eastAsia"/>
              </w:rPr>
            </w:pPr>
            <w:r>
              <w:rPr>
                <w:rFonts w:hint="eastAsia"/>
              </w:rPr>
              <w:t>年</w:t>
            </w:r>
            <w:r>
              <w:t xml:space="preserve">      </w:t>
            </w:r>
            <w:r>
              <w:rPr>
                <w:rFonts w:hint="eastAsia"/>
              </w:rPr>
              <w:t xml:space="preserve">月 </w:t>
            </w:r>
            <w:r>
              <w:t xml:space="preserve">    </w:t>
            </w:r>
            <w:r>
              <w:rPr>
                <w:rFonts w:hint="eastAsia"/>
              </w:rPr>
              <w:t>日前完成</w:t>
            </w:r>
          </w:p>
        </w:tc>
      </w:tr>
      <w:tr>
        <w:tblPrEx>
          <w:tblW w:w="5000" w:type="pct"/>
          <w:tblCellMar>
            <w:top w:w="0" w:type="dxa"/>
            <w:left w:w="108" w:type="dxa"/>
            <w:bottom w:w="0" w:type="dxa"/>
            <w:right w:w="108" w:type="dxa"/>
          </w:tblCellMar>
          <w:tblLook w:val="0000"/>
        </w:tblPrEx>
        <w:tc>
          <w:tcPr>
            <w:tcW w:w="1477" w:type="pct"/>
            <w:vAlign w:val="center"/>
          </w:tcPr>
          <w:p>
            <w:pPr>
              <w:jc w:val="center"/>
              <w:rPr>
                <w:rFonts w:hint="eastAsia"/>
              </w:rPr>
            </w:pPr>
            <w:r>
              <w:rPr>
                <w:rFonts w:hint="eastAsia"/>
              </w:rPr>
              <w:t xml:space="preserve"> 初设方案</w:t>
            </w:r>
          </w:p>
        </w:tc>
        <w:tc>
          <w:tcPr>
            <w:tcW w:w="3523" w:type="pct"/>
          </w:tcPr>
          <w:p>
            <w:pPr>
              <w:jc w:val="center"/>
              <w:rPr>
                <w:rFonts w:hint="eastAsia"/>
              </w:rPr>
            </w:pPr>
            <w:r>
              <w:rPr>
                <w:rFonts w:hint="eastAsia"/>
              </w:rPr>
              <w:t>年</w:t>
            </w:r>
            <w:r>
              <w:t xml:space="preserve">      </w:t>
            </w:r>
            <w:r>
              <w:rPr>
                <w:rFonts w:hint="eastAsia"/>
              </w:rPr>
              <w:t xml:space="preserve">月 </w:t>
            </w:r>
            <w:r>
              <w:t xml:space="preserve">    </w:t>
            </w:r>
            <w:r>
              <w:rPr>
                <w:rFonts w:hint="eastAsia"/>
              </w:rPr>
              <w:t>日前完成</w:t>
            </w:r>
          </w:p>
        </w:tc>
      </w:tr>
      <w:tr>
        <w:tblPrEx>
          <w:tblW w:w="5000" w:type="pct"/>
          <w:tblCellMar>
            <w:top w:w="0" w:type="dxa"/>
            <w:left w:w="108" w:type="dxa"/>
            <w:bottom w:w="0" w:type="dxa"/>
            <w:right w:w="108" w:type="dxa"/>
          </w:tblCellMar>
          <w:tblLook w:val="0000"/>
        </w:tblPrEx>
        <w:tc>
          <w:tcPr>
            <w:tcW w:w="1477" w:type="pct"/>
            <w:vAlign w:val="center"/>
          </w:tcPr>
          <w:p>
            <w:pPr>
              <w:jc w:val="center"/>
              <w:rPr>
                <w:rFonts w:hint="eastAsia"/>
              </w:rPr>
            </w:pPr>
            <w:r>
              <w:rPr>
                <w:rFonts w:hint="eastAsia"/>
              </w:rPr>
              <w:t xml:space="preserve"> </w:t>
            </w:r>
          </w:p>
        </w:tc>
        <w:tc>
          <w:tcPr>
            <w:tcW w:w="3523" w:type="pct"/>
          </w:tcPr>
          <w:p>
            <w:pPr>
              <w:jc w:val="center"/>
              <w:rPr>
                <w:rFonts w:hint="eastAsia"/>
              </w:rPr>
            </w:pPr>
            <w:r>
              <w:rPr>
                <w:rFonts w:hint="eastAsia"/>
              </w:rPr>
              <w:t>年</w:t>
            </w:r>
            <w:r>
              <w:t xml:space="preserve">      </w:t>
            </w:r>
            <w:r>
              <w:rPr>
                <w:rFonts w:hint="eastAsia"/>
              </w:rPr>
              <w:t xml:space="preserve">月 </w:t>
            </w:r>
            <w:r>
              <w:t xml:space="preserve">    </w:t>
            </w:r>
            <w:r>
              <w:rPr>
                <w:rFonts w:hint="eastAsia"/>
              </w:rPr>
              <w:t>日前完成</w:t>
            </w:r>
          </w:p>
        </w:tc>
      </w:tr>
      <w:tr>
        <w:tblPrEx>
          <w:tblW w:w="5000" w:type="pct"/>
          <w:tblCellMar>
            <w:top w:w="0" w:type="dxa"/>
            <w:left w:w="108" w:type="dxa"/>
            <w:bottom w:w="0" w:type="dxa"/>
            <w:right w:w="108" w:type="dxa"/>
          </w:tblCellMar>
          <w:tblLook w:val="0000"/>
        </w:tblPrEx>
        <w:tc>
          <w:tcPr>
            <w:tcW w:w="1477" w:type="pct"/>
            <w:vAlign w:val="center"/>
          </w:tcPr>
          <w:p>
            <w:pPr>
              <w:jc w:val="center"/>
              <w:rPr>
                <w:rFonts w:hint="eastAsia"/>
              </w:rPr>
            </w:pPr>
            <w:r>
              <w:rPr>
                <w:rFonts w:hint="eastAsia"/>
              </w:rPr>
              <w:t xml:space="preserve"> </w:t>
            </w:r>
          </w:p>
        </w:tc>
        <w:tc>
          <w:tcPr>
            <w:tcW w:w="3523" w:type="pct"/>
          </w:tcPr>
          <w:p>
            <w:pPr>
              <w:jc w:val="center"/>
              <w:rPr>
                <w:rFonts w:hint="eastAsia"/>
              </w:rPr>
            </w:pPr>
            <w:r>
              <w:rPr>
                <w:rFonts w:hint="eastAsia"/>
              </w:rPr>
              <w:t>年</w:t>
            </w:r>
            <w:r>
              <w:t xml:space="preserve">      </w:t>
            </w:r>
            <w:r>
              <w:rPr>
                <w:rFonts w:hint="eastAsia"/>
              </w:rPr>
              <w:t xml:space="preserve">月 </w:t>
            </w:r>
            <w:r>
              <w:t xml:space="preserve">    </w:t>
            </w:r>
            <w:r>
              <w:rPr>
                <w:rFonts w:hint="eastAsia"/>
              </w:rPr>
              <w:t>日前完成</w:t>
            </w:r>
          </w:p>
        </w:tc>
      </w:tr>
      <w:tr>
        <w:tblPrEx>
          <w:tblW w:w="5000" w:type="pct"/>
          <w:tblCellMar>
            <w:top w:w="0" w:type="dxa"/>
            <w:left w:w="108" w:type="dxa"/>
            <w:bottom w:w="0" w:type="dxa"/>
            <w:right w:w="108" w:type="dxa"/>
          </w:tblCellMar>
          <w:tblLook w:val="0000"/>
        </w:tblPrEx>
        <w:tc>
          <w:tcPr>
            <w:tcW w:w="1477" w:type="pct"/>
            <w:vAlign w:val="center"/>
          </w:tcPr>
          <w:p>
            <w:pPr>
              <w:jc w:val="center"/>
              <w:rPr>
                <w:rFonts w:hint="eastAsia"/>
              </w:rPr>
            </w:pPr>
            <w:r>
              <w:rPr>
                <w:rFonts w:hint="eastAsia"/>
              </w:rPr>
              <w:t>安装、测试、培训</w:t>
            </w:r>
          </w:p>
        </w:tc>
        <w:tc>
          <w:tcPr>
            <w:tcW w:w="3523" w:type="pct"/>
          </w:tcPr>
          <w:p>
            <w:pPr>
              <w:jc w:val="center"/>
              <w:rPr>
                <w:rFonts w:hint="eastAsia"/>
              </w:rPr>
            </w:pPr>
            <w:r>
              <w:rPr>
                <w:rFonts w:hint="eastAsia"/>
              </w:rPr>
              <w:t>年</w:t>
            </w:r>
            <w:r>
              <w:t xml:space="preserve">      </w:t>
            </w:r>
            <w:r>
              <w:rPr>
                <w:rFonts w:hint="eastAsia"/>
              </w:rPr>
              <w:t xml:space="preserve">月 </w:t>
            </w:r>
            <w:r>
              <w:t xml:space="preserve">    </w:t>
            </w:r>
            <w:r>
              <w:rPr>
                <w:rFonts w:hint="eastAsia"/>
              </w:rPr>
              <w:t>日前完成</w:t>
            </w:r>
          </w:p>
        </w:tc>
      </w:tr>
      <w:tr>
        <w:tblPrEx>
          <w:tblW w:w="5000" w:type="pct"/>
          <w:tblCellMar>
            <w:top w:w="0" w:type="dxa"/>
            <w:left w:w="108" w:type="dxa"/>
            <w:bottom w:w="0" w:type="dxa"/>
            <w:right w:w="108" w:type="dxa"/>
          </w:tblCellMar>
          <w:tblLook w:val="0000"/>
        </w:tblPrEx>
        <w:tc>
          <w:tcPr>
            <w:tcW w:w="1477" w:type="pct"/>
            <w:vAlign w:val="center"/>
          </w:tcPr>
          <w:p>
            <w:pPr>
              <w:jc w:val="center"/>
              <w:rPr>
                <w:rFonts w:hint="eastAsia"/>
              </w:rPr>
            </w:pPr>
            <w:r>
              <w:rPr>
                <w:rFonts w:hint="eastAsia"/>
              </w:rPr>
              <w:t>软件试运行</w:t>
            </w:r>
          </w:p>
        </w:tc>
        <w:tc>
          <w:tcPr>
            <w:tcW w:w="3523" w:type="pct"/>
          </w:tcPr>
          <w:p>
            <w:pPr>
              <w:jc w:val="center"/>
              <w:rPr>
                <w:rFonts w:hint="eastAsia"/>
              </w:rPr>
            </w:pPr>
            <w:r>
              <w:rPr>
                <w:rFonts w:hint="eastAsia"/>
              </w:rPr>
              <w:t xml:space="preserve"> </w:t>
            </w:r>
            <w:r>
              <w:t xml:space="preserve"> </w:t>
            </w:r>
            <w:r>
              <w:rPr>
                <w:rFonts w:hint="eastAsia"/>
              </w:rPr>
              <w:t>年</w:t>
            </w:r>
            <w:r>
              <w:t xml:space="preserve">  月</w:t>
            </w:r>
            <w:r>
              <w:rPr>
                <w:rFonts w:hint="eastAsia"/>
              </w:rPr>
              <w:t xml:space="preserve"> </w:t>
            </w:r>
            <w:r>
              <w:t xml:space="preserve"> 日</w:t>
            </w:r>
            <w:r>
              <w:rPr>
                <w:rFonts w:hint="eastAsia"/>
              </w:rPr>
              <w:t xml:space="preserve">至 </w:t>
            </w:r>
            <w:r>
              <w:t xml:space="preserve">  </w:t>
            </w:r>
            <w:r>
              <w:rPr>
                <w:rFonts w:hint="eastAsia"/>
              </w:rPr>
              <w:t>年</w:t>
            </w:r>
            <w:r>
              <w:t xml:space="preserve">   </w:t>
            </w:r>
            <w:r>
              <w:rPr>
                <w:rFonts w:hint="eastAsia"/>
              </w:rPr>
              <w:t xml:space="preserve">月 </w:t>
            </w:r>
            <w:r>
              <w:t xml:space="preserve">   </w:t>
            </w:r>
            <w:r>
              <w:rPr>
                <w:rFonts w:hint="eastAsia"/>
              </w:rPr>
              <w:t>日前完成</w:t>
            </w:r>
          </w:p>
        </w:tc>
      </w:tr>
      <w:tr>
        <w:tblPrEx>
          <w:tblW w:w="5000" w:type="pct"/>
          <w:tblCellMar>
            <w:top w:w="0" w:type="dxa"/>
            <w:left w:w="108" w:type="dxa"/>
            <w:bottom w:w="0" w:type="dxa"/>
            <w:right w:w="108" w:type="dxa"/>
          </w:tblCellMar>
          <w:tblLook w:val="0000"/>
        </w:tblPrEx>
        <w:tc>
          <w:tcPr>
            <w:tcW w:w="1477" w:type="pct"/>
            <w:vAlign w:val="center"/>
          </w:tcPr>
          <w:p>
            <w:pPr>
              <w:jc w:val="center"/>
              <w:rPr>
                <w:rFonts w:hint="eastAsia"/>
              </w:rPr>
            </w:pPr>
            <w:r>
              <w:rPr>
                <w:rFonts w:hint="eastAsia"/>
              </w:rPr>
              <w:t>项目验收</w:t>
            </w:r>
          </w:p>
        </w:tc>
        <w:tc>
          <w:tcPr>
            <w:tcW w:w="3523" w:type="pct"/>
          </w:tcPr>
          <w:p>
            <w:pPr>
              <w:jc w:val="center"/>
              <w:rPr>
                <w:rFonts w:hint="eastAsia"/>
              </w:rPr>
            </w:pPr>
            <w:r>
              <w:rPr>
                <w:rFonts w:hint="eastAsia"/>
              </w:rPr>
              <w:t>年</w:t>
            </w:r>
            <w:r>
              <w:t xml:space="preserve">      </w:t>
            </w:r>
            <w:r>
              <w:rPr>
                <w:rFonts w:hint="eastAsia"/>
              </w:rPr>
              <w:t xml:space="preserve">月 </w:t>
            </w:r>
            <w:r>
              <w:t xml:space="preserve">    </w:t>
            </w:r>
            <w:r>
              <w:rPr>
                <w:rFonts w:hint="eastAsia"/>
              </w:rPr>
              <w:t>日前完成</w:t>
            </w:r>
          </w:p>
        </w:tc>
      </w:tr>
    </w:tbl>
    <w:p>
      <w:pPr>
        <w:pStyle w:val="Heading2"/>
        <w:numPr>
          <w:ilvl w:val="0"/>
          <w:numId w:val="15"/>
        </w:numPr>
        <w:spacing w:before="60" w:after="60" w:line="240" w:lineRule="auto"/>
        <w:ind w:hanging="420"/>
        <w:rPr>
          <w:rFonts w:eastAsia="宋体" w:hint="eastAsia"/>
        </w:rPr>
      </w:pPr>
      <w:bookmarkStart w:id="95" w:name="_Toc150424370"/>
      <w:bookmarkStart w:id="96" w:name="_Toc150434291"/>
      <w:bookmarkStart w:id="97" w:name="_Toc150439548"/>
      <w:bookmarkStart w:id="98" w:name="_Toc150434195"/>
      <w:bookmarkStart w:id="99" w:name="_Toc150439549"/>
      <w:bookmarkEnd w:id="95"/>
      <w:bookmarkEnd w:id="96"/>
      <w:bookmarkEnd w:id="97"/>
      <w:bookmarkEnd w:id="98"/>
      <w:r>
        <w:rPr>
          <w:rFonts w:eastAsia="宋体" w:hint="eastAsia"/>
        </w:rPr>
        <w:t>乙方的权利与义务</w:t>
      </w:r>
      <w:bookmarkEnd w:id="99"/>
    </w:p>
    <w:p>
      <w:pPr>
        <w:numPr>
          <w:ilvl w:val="0"/>
          <w:numId w:val="27"/>
        </w:numPr>
        <w:ind w:left="0" w:firstLine="420" w:firstLineChars="200"/>
        <w:rPr>
          <w:rFonts w:hint="eastAsia"/>
        </w:rPr>
      </w:pPr>
      <w:r>
        <w:rPr>
          <w:rFonts w:hint="eastAsia"/>
        </w:rPr>
        <w:t>为保证履行合同，乙方承诺以下事项：</w:t>
      </w:r>
    </w:p>
    <w:p>
      <w:pPr>
        <w:numPr>
          <w:ilvl w:val="0"/>
          <w:numId w:val="28"/>
        </w:numPr>
        <w:ind w:left="0" w:firstLine="420" w:firstLineChars="200"/>
        <w:rPr>
          <w:rFonts w:hint="eastAsia"/>
          <w:u w:val="single"/>
        </w:rPr>
      </w:pPr>
      <w:r>
        <w:rPr>
          <w:rFonts w:hint="eastAsia"/>
          <w:u w:val="single"/>
        </w:rPr>
        <w:t xml:space="preserve">组成XX人的开发团队，其中专职人员X人，X人具有XXX资质，X人具有软件开发经历，技术负责人还应具有XXX资质，项目经理还应具有XXX资质；兼职人员X人，X人具有XXX资质，X人具有软件开发经历；                                       </w:t>
      </w:r>
    </w:p>
    <w:p>
      <w:pPr>
        <w:numPr>
          <w:ilvl w:val="0"/>
          <w:numId w:val="28"/>
        </w:numPr>
        <w:ind w:left="0" w:firstLine="420" w:firstLineChars="200"/>
        <w:rPr>
          <w:rFonts w:hint="eastAsia"/>
          <w:u w:val="single"/>
        </w:rPr>
      </w:pPr>
      <w:r>
        <w:rPr>
          <w:rFonts w:hint="eastAsia"/>
          <w:u w:val="single"/>
        </w:rPr>
        <w:t xml:space="preserve">开发团队中X人需驻场开发，驻场地址为           ；                       </w:t>
      </w:r>
    </w:p>
    <w:p>
      <w:pPr>
        <w:numPr>
          <w:ilvl w:val="0"/>
          <w:numId w:val="28"/>
        </w:numPr>
        <w:ind w:left="0" w:firstLine="420" w:firstLineChars="200"/>
        <w:rPr>
          <w:rFonts w:hint="eastAsia"/>
          <w:u w:val="single"/>
        </w:rPr>
      </w:pPr>
      <w:r>
        <w:rPr>
          <w:rFonts w:hint="eastAsia"/>
          <w:u w:val="single"/>
        </w:rPr>
        <w:t xml:space="preserve">投入所必需的XXX等软硬件设施资源及XXX场地；                         </w:t>
      </w:r>
    </w:p>
    <w:p>
      <w:pPr>
        <w:numPr>
          <w:ilvl w:val="0"/>
          <w:numId w:val="28"/>
        </w:numPr>
        <w:ind w:left="0" w:firstLine="420" w:firstLineChars="200"/>
        <w:rPr>
          <w:rFonts w:hint="eastAsia"/>
          <w:u w:val="single"/>
        </w:rPr>
      </w:pPr>
      <w:r>
        <w:rPr>
          <w:rFonts w:hint="eastAsia"/>
          <w:u w:val="single"/>
        </w:rPr>
        <w:t xml:space="preserve">制定针对本项目的备份恢复措施和应急预案；                             </w:t>
      </w:r>
    </w:p>
    <w:p>
      <w:pPr>
        <w:numPr>
          <w:ilvl w:val="0"/>
          <w:numId w:val="28"/>
        </w:numPr>
        <w:ind w:left="0" w:firstLine="420" w:firstLineChars="200"/>
        <w:rPr>
          <w:rFonts w:hint="eastAsia"/>
          <w:u w:val="single"/>
        </w:rPr>
      </w:pPr>
      <w:r>
        <w:rPr>
          <w:rFonts w:hint="eastAsia"/>
          <w:u w:val="single"/>
        </w:rPr>
        <w:t xml:space="preserve">具有XXX等内控、保密和管理制度。                                     </w:t>
      </w:r>
    </w:p>
    <w:p>
      <w:pPr>
        <w:numPr>
          <w:ilvl w:val="0"/>
          <w:numId w:val="28"/>
        </w:numPr>
        <w:ind w:left="0" w:firstLine="420" w:firstLineChars="200"/>
        <w:rPr>
          <w:rFonts w:hint="eastAsia"/>
          <w:u w:val="single"/>
        </w:rPr>
      </w:pPr>
      <w:r>
        <w:rPr>
          <w:rFonts w:hint="eastAsia"/>
          <w:u w:val="single"/>
        </w:rPr>
        <w:t xml:space="preserve">                                                                     </w:t>
      </w:r>
    </w:p>
    <w:p>
      <w:pPr>
        <w:numPr>
          <w:ilvl w:val="0"/>
          <w:numId w:val="27"/>
        </w:numPr>
        <w:ind w:left="0" w:firstLine="420" w:firstLineChars="200"/>
        <w:rPr>
          <w:rFonts w:hint="eastAsia"/>
        </w:rPr>
      </w:pPr>
      <w:r>
        <w:rPr>
          <w:rFonts w:hint="eastAsia"/>
        </w:rPr>
        <w:t>对非驻场软件开发，乙方承诺以下事项：</w:t>
      </w:r>
    </w:p>
    <w:p>
      <w:pPr>
        <w:numPr>
          <w:ilvl w:val="0"/>
          <w:numId w:val="29"/>
        </w:numPr>
        <w:ind w:left="0" w:firstLine="420" w:firstLineChars="200"/>
        <w:rPr>
          <w:rFonts w:hint="eastAsia"/>
          <w:u w:val="single"/>
        </w:rPr>
      </w:pPr>
      <w:r>
        <w:rPr>
          <w:rFonts w:hint="eastAsia"/>
          <w:u w:val="single"/>
        </w:rPr>
        <w:t xml:space="preserve">用于本项目的设施、系统和数据与其他项目有明确、清晰的边界；            </w:t>
      </w:r>
    </w:p>
    <w:p>
      <w:pPr>
        <w:numPr>
          <w:ilvl w:val="0"/>
          <w:numId w:val="29"/>
        </w:numPr>
        <w:ind w:left="0" w:firstLine="420" w:firstLineChars="200"/>
        <w:rPr>
          <w:rFonts w:hint="eastAsia"/>
          <w:u w:val="single"/>
        </w:rPr>
      </w:pPr>
      <w:r>
        <w:rPr>
          <w:rFonts w:hint="eastAsia"/>
          <w:u w:val="single"/>
        </w:rPr>
        <w:t xml:space="preserve">对用于本项目的乙方服务器、存储、网络设备、操作系统、数据库、中间件等软硬件设施具有最高管理权限；                                                  </w:t>
      </w:r>
    </w:p>
    <w:p>
      <w:pPr>
        <w:numPr>
          <w:ilvl w:val="0"/>
          <w:numId w:val="29"/>
        </w:numPr>
        <w:ind w:left="0" w:firstLine="420" w:firstLineChars="200"/>
        <w:rPr>
          <w:rFonts w:hint="eastAsia"/>
          <w:u w:val="single"/>
        </w:rPr>
      </w:pPr>
      <w:r>
        <w:rPr>
          <w:rFonts w:hint="eastAsia"/>
          <w:u w:val="single"/>
        </w:rPr>
        <w:t xml:space="preserve">不存在规避监管的情形。                                                </w:t>
      </w:r>
    </w:p>
    <w:p>
      <w:pPr>
        <w:numPr>
          <w:ilvl w:val="0"/>
          <w:numId w:val="27"/>
        </w:numPr>
        <w:ind w:left="0" w:firstLine="420" w:firstLineChars="200"/>
        <w:rPr>
          <w:rFonts w:hint="eastAsia"/>
        </w:rPr>
      </w:pPr>
      <w:r>
        <w:rPr>
          <w:rFonts w:hint="eastAsia"/>
        </w:rPr>
        <w:t>未经甲方</w:t>
      </w:r>
      <w:r>
        <w:t>事先书面同意</w:t>
      </w:r>
      <w:r>
        <w:rPr>
          <w:rFonts w:hint="eastAsia"/>
        </w:rPr>
        <w:t>，</w:t>
      </w:r>
      <w:r>
        <w:t>乙方不得部分或全部转让其应履行的合同项下的义务</w:t>
      </w:r>
      <w:r>
        <w:rPr>
          <w:rFonts w:hint="eastAsia"/>
        </w:rPr>
        <w:t>。</w:t>
      </w:r>
    </w:p>
    <w:p>
      <w:pPr>
        <w:numPr>
          <w:ilvl w:val="0"/>
          <w:numId w:val="27"/>
        </w:numPr>
        <w:ind w:left="0" w:firstLine="420" w:firstLineChars="200"/>
        <w:jc w:val="left"/>
      </w:pPr>
      <w:r>
        <w:rPr>
          <w:rFonts w:hint="eastAsia"/>
        </w:rPr>
        <w:t>乙方应在本合同生效后</w:t>
      </w:r>
      <w:r>
        <w:rPr>
          <w:rFonts w:hint="eastAsia"/>
          <w:u w:val="single"/>
        </w:rPr>
        <w:t xml:space="preserve">    </w:t>
      </w:r>
      <w:r>
        <w:rPr>
          <w:rFonts w:hint="eastAsia"/>
        </w:rPr>
        <w:t>个工作日内向甲方提交研究开发计划。研究开发计划应包括以下主要内容：</w:t>
      </w:r>
    </w:p>
    <w:p>
      <w:pPr>
        <w:numPr>
          <w:ilvl w:val="0"/>
          <w:numId w:val="30"/>
        </w:numPr>
        <w:ind w:hanging="5"/>
        <w:jc w:val="left"/>
      </w:pPr>
      <w:r>
        <w:rPr>
          <w:rFonts w:hint="eastAsia"/>
        </w:rPr>
        <w:t>项目功能清单；</w:t>
      </w:r>
    </w:p>
    <w:p>
      <w:pPr>
        <w:numPr>
          <w:ilvl w:val="0"/>
          <w:numId w:val="30"/>
        </w:numPr>
        <w:ind w:hanging="5"/>
        <w:jc w:val="left"/>
        <w:rPr>
          <w:rFonts w:hint="eastAsia"/>
        </w:rPr>
      </w:pPr>
      <w:r>
        <w:rPr>
          <w:rFonts w:hint="eastAsia"/>
        </w:rPr>
        <w:t>项目实施方案。</w:t>
      </w:r>
    </w:p>
    <w:p>
      <w:pPr>
        <w:numPr>
          <w:ilvl w:val="0"/>
          <w:numId w:val="27"/>
        </w:numPr>
        <w:ind w:left="0" w:firstLine="420" w:firstLineChars="200"/>
        <w:jc w:val="left"/>
        <w:rPr>
          <w:rFonts w:hint="eastAsia"/>
        </w:rPr>
      </w:pPr>
      <w:r>
        <w:rPr>
          <w:rFonts w:hint="eastAsia"/>
        </w:rPr>
        <w:t>乙方在软件开发实施中，应在招标文件范围内，根据甲方需求持续改进，直到最终用户确认满意。</w:t>
      </w:r>
    </w:p>
    <w:p>
      <w:pPr>
        <w:numPr>
          <w:ilvl w:val="0"/>
          <w:numId w:val="31"/>
        </w:numPr>
        <w:ind w:left="0" w:firstLine="420"/>
        <w:jc w:val="left"/>
        <w:rPr>
          <w:rFonts w:hint="eastAsia"/>
        </w:rPr>
      </w:pPr>
      <w:r>
        <w:rPr>
          <w:rFonts w:hint="eastAsia"/>
        </w:rPr>
        <w:t>乙方必须对甲方的需求进行充分详细的调研，及时整理需求调研记录，请甲方签字确认，并据此开发软件系统原型。甲方可以随时补充或更正需求的细节，乙方应及时满足。</w:t>
      </w:r>
    </w:p>
    <w:p>
      <w:pPr>
        <w:numPr>
          <w:ilvl w:val="0"/>
          <w:numId w:val="31"/>
        </w:numPr>
        <w:ind w:left="0" w:firstLine="420"/>
        <w:jc w:val="left"/>
        <w:rPr>
          <w:rFonts w:hint="eastAsia"/>
        </w:rPr>
      </w:pPr>
      <w:r>
        <w:rPr>
          <w:rFonts w:hint="eastAsia"/>
        </w:rPr>
        <w:t>乙方在需求分析的基础上，根据本系统的功能、性能和使用目标，按照进度完成软件的详细设计方案。在实际执行过程中出现任何与乙方设计相关的技术问题或技术调整，由乙方负责解决。</w:t>
      </w:r>
    </w:p>
    <w:p>
      <w:pPr>
        <w:numPr>
          <w:ilvl w:val="0"/>
          <w:numId w:val="31"/>
        </w:numPr>
        <w:ind w:left="0" w:firstLine="420"/>
        <w:jc w:val="left"/>
        <w:rPr>
          <w:rFonts w:hint="eastAsia"/>
        </w:rPr>
      </w:pPr>
      <w:r>
        <w:rPr>
          <w:rFonts w:hint="eastAsia"/>
        </w:rPr>
        <w:t>甲方对详细设计方案的认可，并不代表对据此开发出的应用系统的认可。甲方在正式试用了本项目开发的软件后，可根据实际情况提出具体改进意见。</w:t>
      </w:r>
    </w:p>
    <w:p>
      <w:pPr>
        <w:numPr>
          <w:ilvl w:val="0"/>
          <w:numId w:val="27"/>
        </w:numPr>
        <w:ind w:left="0" w:firstLine="420" w:firstLineChars="200"/>
        <w:rPr>
          <w:rFonts w:hint="eastAsia"/>
        </w:rPr>
      </w:pPr>
      <w:r>
        <w:rPr>
          <w:rFonts w:hint="eastAsia"/>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t>乙方承担所有责任。</w:t>
      </w:r>
    </w:p>
    <w:p>
      <w:pPr>
        <w:numPr>
          <w:ilvl w:val="0"/>
          <w:numId w:val="27"/>
        </w:numPr>
        <w:ind w:left="0" w:firstLine="420" w:firstLineChars="200"/>
        <w:rPr>
          <w:rFonts w:hint="eastAsia"/>
        </w:rPr>
      </w:pPr>
      <w:r>
        <w:rPr>
          <w:rFonts w:hint="eastAsia"/>
        </w:rPr>
        <w:t>乙方承诺接受甲方对本项目执行工作的监督、检查和评价。</w:t>
      </w:r>
    </w:p>
    <w:p>
      <w:pPr>
        <w:numPr>
          <w:ilvl w:val="0"/>
          <w:numId w:val="27"/>
        </w:numPr>
        <w:ind w:left="0" w:firstLine="420" w:firstLineChars="200"/>
      </w:pPr>
      <w:r>
        <w:rPr>
          <w:rFonts w:hint="eastAsia"/>
        </w:rPr>
        <w:t>乙方须选派参与软件建设的人员为甲方提供技术培训，培训内容</w:t>
      </w:r>
      <w:r>
        <w:t>包括</w:t>
      </w:r>
      <w:r>
        <w:rPr>
          <w:rFonts w:hint="eastAsia"/>
        </w:rPr>
        <w:t>但不限于</w:t>
      </w:r>
      <w:r>
        <w:t>系统的工作原理、使用操作、保养维修技术等，使受训人员达到独立使用、熟练操</w:t>
      </w:r>
      <w:r>
        <w:rPr>
          <w:spacing w:val="5"/>
        </w:rPr>
        <w:t>作的程度。</w:t>
      </w:r>
    </w:p>
    <w:p>
      <w:pPr>
        <w:numPr>
          <w:ilvl w:val="0"/>
          <w:numId w:val="27"/>
        </w:numPr>
        <w:ind w:left="0" w:firstLine="420" w:firstLineChars="200"/>
      </w:pPr>
      <w:r>
        <w:t>乙方交付甲方的研发成果不侵犯任何第三方的合法权益，如有发生，乙方承担所有责任</w:t>
      </w:r>
      <w:r>
        <w:rPr>
          <w:rFonts w:hint="eastAsia"/>
        </w:rPr>
        <w:t>，并向甲方承担违约责任</w:t>
      </w:r>
      <w:r>
        <w:t>。</w:t>
      </w:r>
      <w:r>
        <w:rPr>
          <w:rFonts w:hint="eastAsia"/>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pPr>
        <w:numPr>
          <w:ilvl w:val="0"/>
          <w:numId w:val="27"/>
        </w:numPr>
        <w:ind w:left="0" w:firstLine="420" w:firstLineChars="200"/>
        <w:rPr>
          <w:rFonts w:hint="eastAsia"/>
        </w:rPr>
      </w:pPr>
      <w:r>
        <w:rPr>
          <w:rFonts w:hint="eastAsia"/>
        </w:rPr>
        <w:t>乙方必须遵守国家法律法规及气象部门管理制度的要求。乙方在本项目执行过程中如接触到气象数据，应遵守</w:t>
      </w:r>
      <w:r>
        <w:t>气象数据安全相关管理制度，不得将所获取的气象数据以转发、转让、出售等方式对外披露，或用于本项目以外的其他用途。</w:t>
      </w:r>
    </w:p>
    <w:p>
      <w:pPr>
        <w:numPr>
          <w:ilvl w:val="0"/>
          <w:numId w:val="27"/>
        </w:numPr>
        <w:ind w:left="0" w:firstLine="420" w:firstLineChars="200"/>
        <w:rPr>
          <w:rFonts w:hint="eastAsia"/>
        </w:rPr>
      </w:pPr>
      <w:r>
        <w:rPr>
          <w:rFonts w:hint="eastAsia"/>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pPr>
        <w:pStyle w:val="Heading2"/>
        <w:numPr>
          <w:ilvl w:val="0"/>
          <w:numId w:val="15"/>
        </w:numPr>
        <w:spacing w:before="60" w:after="60" w:line="240" w:lineRule="auto"/>
        <w:ind w:left="0" w:firstLine="640" w:firstLineChars="200"/>
      </w:pPr>
      <w:bookmarkStart w:id="100" w:name="_Toc150434197"/>
      <w:bookmarkStart w:id="101" w:name="_Toc150439550"/>
      <w:bookmarkStart w:id="102" w:name="_Toc150434293"/>
      <w:bookmarkStart w:id="103" w:name="_Toc150424372"/>
      <w:bookmarkStart w:id="104" w:name="_Toc150439565"/>
      <w:bookmarkEnd w:id="100"/>
      <w:bookmarkEnd w:id="101"/>
      <w:bookmarkEnd w:id="102"/>
      <w:bookmarkEnd w:id="103"/>
      <w:r>
        <w:rPr>
          <w:rFonts w:hint="eastAsia"/>
        </w:rPr>
        <w:t>甲方</w:t>
      </w:r>
      <w:r>
        <w:t>的权利与义务</w:t>
      </w:r>
      <w:bookmarkEnd w:id="104"/>
    </w:p>
    <w:p>
      <w:pPr>
        <w:numPr>
          <w:ilvl w:val="0"/>
          <w:numId w:val="32"/>
        </w:numPr>
        <w:ind w:left="0" w:firstLine="420" w:firstLineChars="200"/>
        <w:rPr>
          <w:rFonts w:hint="eastAsia"/>
        </w:rPr>
      </w:pPr>
      <w:r>
        <w:rPr>
          <w:spacing w:val="7"/>
        </w:rPr>
        <w:t>提供基础资料数据（现有的资料和数据）</w:t>
      </w:r>
      <w:r>
        <w:rPr>
          <w:rFonts w:hint="eastAsia"/>
        </w:rPr>
        <w:t>，及协作事项如下：</w:t>
      </w:r>
    </w:p>
    <w:p>
      <w:pPr>
        <w:numPr>
          <w:ilvl w:val="0"/>
          <w:numId w:val="33"/>
        </w:numPr>
        <w:tabs>
          <w:tab w:val="left" w:pos="540"/>
        </w:tabs>
        <w:ind w:hanging="5"/>
        <w:rPr>
          <w:rFonts w:hint="eastAsia"/>
          <w:u w:val="single"/>
        </w:rPr>
      </w:pPr>
      <w:r>
        <w:rPr>
          <w:rFonts w:hint="eastAsia"/>
        </w:rPr>
        <w:t>技术资料清单：</w:t>
      </w:r>
      <w:r>
        <w:rPr>
          <w:rFonts w:hint="eastAsia"/>
          <w:u w:val="single"/>
        </w:rPr>
        <w:t xml:space="preserve">                     </w:t>
      </w:r>
      <w:r>
        <w:rPr>
          <w:u w:val="single"/>
        </w:rPr>
        <w:t xml:space="preserve">                   </w:t>
      </w:r>
      <w:r>
        <w:rPr>
          <w:rFonts w:hint="eastAsia"/>
          <w:u w:val="single"/>
        </w:rPr>
        <w:t xml:space="preserve">                。</w:t>
      </w:r>
    </w:p>
    <w:p>
      <w:pPr>
        <w:numPr>
          <w:ilvl w:val="0"/>
          <w:numId w:val="33"/>
        </w:numPr>
        <w:ind w:hanging="5"/>
        <w:rPr>
          <w:rFonts w:hint="eastAsia"/>
        </w:rPr>
      </w:pPr>
      <w:r>
        <w:rPr>
          <w:rFonts w:hint="eastAsia"/>
        </w:rPr>
        <w:t>提供时间和方式：</w:t>
      </w:r>
      <w:r>
        <w:rPr>
          <w:rFonts w:hint="eastAsia"/>
          <w:u w:val="single"/>
        </w:rPr>
        <w:t xml:space="preserve">                     </w:t>
      </w:r>
      <w:r>
        <w:rPr>
          <w:u w:val="single"/>
        </w:rPr>
        <w:t xml:space="preserve">                   </w:t>
      </w:r>
      <w:r>
        <w:rPr>
          <w:rFonts w:hint="eastAsia"/>
          <w:u w:val="single"/>
        </w:rPr>
        <w:t xml:space="preserve">              。</w:t>
      </w:r>
    </w:p>
    <w:p>
      <w:pPr>
        <w:numPr>
          <w:ilvl w:val="0"/>
          <w:numId w:val="33"/>
        </w:numPr>
        <w:ind w:hanging="5"/>
        <w:rPr>
          <w:rFonts w:hint="eastAsia"/>
          <w:u w:val="single"/>
        </w:rPr>
      </w:pPr>
      <w:r>
        <w:rPr>
          <w:rFonts w:hint="eastAsia"/>
        </w:rPr>
        <w:t>其他协作事项：</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p>
    <w:p>
      <w:pPr>
        <w:ind w:firstLine="420" w:firstLineChars="200"/>
        <w:rPr>
          <w:rFonts w:hint="eastAsia"/>
          <w:u w:val="single"/>
        </w:rPr>
      </w:pPr>
      <w:r>
        <w:rPr>
          <w:rFonts w:hint="eastAsia"/>
        </w:rPr>
        <w:t>本合同履行完毕后，上述技术资料按以下方式处理：</w:t>
      </w:r>
      <w:r>
        <w:rPr>
          <w:rFonts w:hint="eastAsia"/>
          <w:u w:val="single"/>
        </w:rPr>
        <w:t xml:space="preserve">    </w:t>
      </w:r>
      <w:r>
        <w:rPr>
          <w:u w:val="single"/>
        </w:rPr>
        <w:t xml:space="preserve">                   </w:t>
      </w:r>
      <w:r>
        <w:rPr>
          <w:rFonts w:hint="eastAsia"/>
          <w:u w:val="single"/>
        </w:rPr>
        <w:t xml:space="preserve">     。</w:t>
      </w:r>
    </w:p>
    <w:p>
      <w:pPr>
        <w:numPr>
          <w:ilvl w:val="0"/>
          <w:numId w:val="32"/>
        </w:numPr>
        <w:ind w:left="0" w:firstLine="420" w:firstLineChars="200"/>
        <w:rPr>
          <w:rFonts w:hint="eastAsia"/>
          <w:spacing w:val="7"/>
        </w:rPr>
      </w:pPr>
      <w:r>
        <w:rPr>
          <w:rFonts w:hint="eastAsia"/>
          <w:spacing w:val="7"/>
        </w:rPr>
        <w:t>对于满足合同约定支付条件的，甲方应当按照合同约定期限将资金支付到合同约定的乙方账户，不得将采购文件和合同中未规定的义务作为向乙方付款的条件。</w:t>
      </w:r>
    </w:p>
    <w:p>
      <w:pPr>
        <w:numPr>
          <w:ilvl w:val="0"/>
          <w:numId w:val="32"/>
        </w:numPr>
        <w:ind w:left="0" w:firstLine="420" w:firstLineChars="200"/>
      </w:pPr>
      <w:r>
        <w:rPr>
          <w:rFonts w:hint="eastAsia"/>
          <w:spacing w:val="7"/>
        </w:rPr>
        <w:t>本合同的研究开发经费由乙方以研发支出的方式使用。甲方对乙方进行研究开发工作和使用研究开发经费的情况具有监督、检查和评价的权利，有权要求乙方向甲方定期汇报，但不得妨碍乙方的正常工作。</w:t>
      </w:r>
    </w:p>
    <w:p>
      <w:pPr>
        <w:numPr>
          <w:ilvl w:val="0"/>
          <w:numId w:val="32"/>
        </w:numPr>
        <w:ind w:left="0" w:firstLine="420" w:firstLineChars="200"/>
        <w:rPr>
          <w:spacing w:val="7"/>
        </w:rPr>
      </w:pPr>
      <w:r>
        <w:rPr>
          <w:rFonts w:hint="eastAsia"/>
        </w:rPr>
        <w:t>甲方必须遵守国家法律法规及气象部门管理制度的要求。</w:t>
      </w:r>
    </w:p>
    <w:p>
      <w:pPr>
        <w:pStyle w:val="Heading2"/>
        <w:numPr>
          <w:ilvl w:val="0"/>
          <w:numId w:val="15"/>
        </w:numPr>
        <w:spacing w:before="60" w:after="60" w:line="240" w:lineRule="auto"/>
        <w:ind w:left="0" w:firstLine="640" w:firstLineChars="200"/>
        <w:rPr>
          <w:rFonts w:eastAsia="宋体"/>
        </w:rPr>
      </w:pPr>
      <w:r>
        <w:rPr>
          <w:rFonts w:eastAsia="宋体" w:hint="eastAsia"/>
        </w:rPr>
        <w:t>知识产权归属</w:t>
      </w:r>
    </w:p>
    <w:p>
      <w:pPr>
        <w:numPr>
          <w:ilvl w:val="0"/>
          <w:numId w:val="34"/>
        </w:numPr>
        <w:ind w:left="0" w:firstLine="420" w:firstLineChars="200"/>
      </w:pPr>
      <w:r>
        <w:t>因履行本合同所产生的研究开发成果（包括阶段性成果和总成果，包括但不限于软件源代码、可执行文件及相关开发文档资料）的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pPr>
        <w:numPr>
          <w:ilvl w:val="0"/>
          <w:numId w:val="34"/>
        </w:numPr>
        <w:ind w:left="0" w:firstLine="420" w:firstLineChars="200"/>
      </w:pPr>
      <w:r>
        <w:t>甲方有权利用乙方按照本合同约定提供的研究开发成果，进行后续改进。由此产生的具有实质性或创造性技术进步特征的新的技术成果及其权属，由甲方享有。</w:t>
      </w:r>
    </w:p>
    <w:p>
      <w:pPr>
        <w:numPr>
          <w:ilvl w:val="0"/>
          <w:numId w:val="34"/>
        </w:numPr>
        <w:ind w:left="0" w:firstLine="420" w:firstLineChars="200"/>
      </w:pPr>
      <w:r>
        <w:t>平台运行采集、收集、分析的所有数据都归甲方所有，以上数据仅限于本项目使用，如由于乙方原因发生数据丢失、泄露，由乙方承担事故责任。</w:t>
      </w:r>
    </w:p>
    <w:p>
      <w:pPr>
        <w:numPr>
          <w:ilvl w:val="0"/>
          <w:numId w:val="34"/>
        </w:numPr>
        <w:ind w:left="0" w:firstLine="420" w:firstLineChars="200"/>
      </w:pPr>
      <w:r>
        <w:t>乙方利用研究开发经费所购置与研究开发工作有关的设备、器材、资料等财产，归甲方所有。</w:t>
      </w:r>
    </w:p>
    <w:p>
      <w:pPr>
        <w:numPr>
          <w:ilvl w:val="0"/>
          <w:numId w:val="34"/>
        </w:numPr>
        <w:ind w:left="0" w:firstLine="420" w:firstLineChars="200"/>
      </w:pPr>
      <w:r>
        <w:t>乙方违反上述规定的，应承担相应的违约责任并及时采取补救措施。因乙方违约行为给甲方造成经济损失的（包括但不限于给对方造成名誉信誉或物质利益的损失），应赔偿甲方全部经济损失。</w:t>
      </w:r>
    </w:p>
    <w:p>
      <w:pPr>
        <w:pStyle w:val="Heading2"/>
        <w:numPr>
          <w:ilvl w:val="0"/>
          <w:numId w:val="15"/>
        </w:numPr>
        <w:spacing w:before="60" w:after="60" w:line="240" w:lineRule="auto"/>
        <w:ind w:left="0" w:firstLine="640" w:firstLineChars="200"/>
        <w:rPr>
          <w:rFonts w:eastAsia="宋体" w:hint="eastAsia"/>
        </w:rPr>
      </w:pPr>
      <w:r>
        <w:rPr>
          <w:rFonts w:eastAsia="宋体" w:hint="eastAsia"/>
        </w:rPr>
        <w:t>项目联系人及相关约定</w:t>
      </w:r>
    </w:p>
    <w:p>
      <w:pPr>
        <w:numPr>
          <w:ilvl w:val="0"/>
          <w:numId w:val="35"/>
        </w:numPr>
        <w:ind w:left="0" w:firstLine="420" w:firstLineChars="200"/>
      </w:pPr>
      <w:r>
        <w:rPr>
          <w:rFonts w:hint="eastAsia"/>
        </w:rPr>
        <w:t>联系人及职责</w:t>
      </w:r>
    </w:p>
    <w:p>
      <w:pPr>
        <w:ind w:left="420"/>
      </w:pPr>
      <w:r>
        <w:t>双方确定，在本合同有效期内，甲方指定</w:t>
      </w:r>
      <w:r>
        <w:rPr>
          <w:u w:val="single"/>
        </w:rPr>
        <w:t xml:space="preserve">    </w:t>
      </w:r>
      <w:r>
        <w:t>为甲方项目联系人，乙方指定</w:t>
      </w:r>
      <w:r>
        <w:rPr>
          <w:u w:val="single"/>
        </w:rPr>
        <w:t xml:space="preserve">     </w:t>
      </w:r>
    </w:p>
    <w:p>
      <w:r>
        <w:rPr>
          <w:rFonts w:hint="eastAsia"/>
        </w:rPr>
        <w:t>为乙方项目联系人。项目联系人承担以下责任：</w:t>
      </w:r>
      <w:r>
        <w:t xml:space="preserve"> </w:t>
      </w:r>
    </w:p>
    <w:p>
      <w:pPr>
        <w:numPr>
          <w:ilvl w:val="0"/>
          <w:numId w:val="36"/>
        </w:numPr>
        <w:ind w:hanging="5"/>
        <w:rPr>
          <w:rFonts w:hint="eastAsia"/>
          <w:u w:val="single"/>
        </w:rPr>
      </w:pPr>
      <w:r>
        <w:rPr>
          <w:rFonts w:hint="eastAsia"/>
          <w:u w:val="single"/>
        </w:rPr>
        <w:t xml:space="preserve">                                                               ；</w:t>
      </w:r>
    </w:p>
    <w:p>
      <w:pPr>
        <w:numPr>
          <w:ilvl w:val="0"/>
          <w:numId w:val="36"/>
        </w:numPr>
        <w:ind w:hanging="5"/>
        <w:rPr>
          <w:rFonts w:hint="eastAsia"/>
          <w:u w:val="single"/>
        </w:rPr>
      </w:pPr>
      <w:r>
        <w:rPr>
          <w:rFonts w:hint="eastAsia"/>
          <w:u w:val="single"/>
        </w:rPr>
        <w:t xml:space="preserve">                                                               ； </w:t>
      </w:r>
    </w:p>
    <w:p>
      <w:pPr>
        <w:numPr>
          <w:ilvl w:val="0"/>
          <w:numId w:val="36"/>
        </w:numPr>
        <w:ind w:hanging="5"/>
        <w:rPr>
          <w:rFonts w:hint="eastAsia"/>
          <w:u w:val="single"/>
        </w:rPr>
      </w:pPr>
      <w:r>
        <w:rPr>
          <w:rFonts w:hint="eastAsia"/>
          <w:u w:val="single"/>
        </w:rPr>
        <w:t xml:space="preserve">                                                               ；</w:t>
      </w:r>
    </w:p>
    <w:p>
      <w:pPr>
        <w:numPr>
          <w:ilvl w:val="0"/>
          <w:numId w:val="36"/>
        </w:numPr>
        <w:ind w:hanging="5"/>
        <w:rPr>
          <w:rFonts w:hint="eastAsia"/>
          <w:u w:val="single"/>
        </w:rPr>
      </w:pPr>
      <w:r>
        <w:rPr>
          <w:rFonts w:ascii="Arial" w:hAnsi="Arial" w:cs="Arial" w:hint="eastAsia"/>
          <w:u w:val="single"/>
        </w:rPr>
        <w:t xml:space="preserve">                                                                 </w:t>
      </w:r>
    </w:p>
    <w:p>
      <w:pPr>
        <w:numPr>
          <w:ilvl w:val="0"/>
          <w:numId w:val="35"/>
        </w:numPr>
        <w:ind w:left="0" w:firstLine="420" w:firstLineChars="200"/>
        <w:rPr>
          <w:rFonts w:hint="eastAsia"/>
        </w:rPr>
      </w:pPr>
      <w:r>
        <w:rPr>
          <w:rFonts w:hint="eastAsia"/>
        </w:rPr>
        <w:t>联系人变更约定</w:t>
      </w:r>
    </w:p>
    <w:p>
      <w:pPr>
        <w:numPr>
          <w:ilvl w:val="0"/>
          <w:numId w:val="37"/>
        </w:numPr>
        <w:ind w:left="5" w:firstLine="415"/>
      </w:pPr>
      <w:r>
        <w:t>一方变更项目联系人的，应当及时以书面形式通知另一方。未及时通知并影响本合同履行或造成损失的，应承担相应的责任。</w:t>
      </w:r>
    </w:p>
    <w:p>
      <w:pPr>
        <w:numPr>
          <w:ilvl w:val="0"/>
          <w:numId w:val="37"/>
        </w:numPr>
        <w:ind w:left="5" w:firstLine="415"/>
      </w:pPr>
      <w:r>
        <w:t>一方变更项目联系人的，须保证业务连续性及后续运行维护要求，由于人员变动影响本合同履行或造成损失的，应承担相应的责任。</w:t>
      </w:r>
    </w:p>
    <w:p>
      <w:pPr>
        <w:numPr>
          <w:ilvl w:val="0"/>
          <w:numId w:val="37"/>
        </w:numPr>
        <w:ind w:left="5" w:firstLine="415"/>
      </w:pPr>
      <w:r>
        <w:t>乙方</w:t>
      </w:r>
      <w:r>
        <w:rPr>
          <w:rFonts w:hint="eastAsia"/>
        </w:rPr>
        <w:t>须定期向甲方通报汇总的</w:t>
      </w:r>
      <w:r>
        <w:t>项目参与人员并及时更新，</w:t>
      </w:r>
      <w:r>
        <w:rPr>
          <w:rFonts w:hint="eastAsia"/>
        </w:rPr>
        <w:t>严格</w:t>
      </w:r>
      <w:r>
        <w:t>审核</w:t>
      </w:r>
      <w:r>
        <w:rPr>
          <w:rFonts w:hint="eastAsia"/>
        </w:rPr>
        <w:t>参与</w:t>
      </w:r>
      <w:r>
        <w:t>人员背景，</w:t>
      </w:r>
      <w:r>
        <w:rPr>
          <w:rFonts w:hint="eastAsia"/>
        </w:rPr>
        <w:t>不得超出应有的系统</w:t>
      </w:r>
      <w:r>
        <w:t>访问</w:t>
      </w:r>
      <w:r>
        <w:rPr>
          <w:rFonts w:hint="eastAsia"/>
        </w:rPr>
        <w:t>权限</w:t>
      </w:r>
      <w:r>
        <w:t>授权，严格执行日志管理等</w:t>
      </w:r>
      <w:r>
        <w:rPr>
          <w:rFonts w:hint="eastAsia"/>
        </w:rPr>
        <w:t>。</w:t>
      </w:r>
    </w:p>
    <w:p>
      <w:pPr>
        <w:pStyle w:val="Heading2"/>
        <w:numPr>
          <w:ilvl w:val="0"/>
          <w:numId w:val="15"/>
        </w:numPr>
        <w:spacing w:before="60" w:after="60" w:line="240" w:lineRule="auto"/>
        <w:ind w:left="0" w:firstLine="640" w:firstLineChars="200"/>
      </w:pPr>
      <w:bookmarkStart w:id="105" w:name="_Toc150439567"/>
      <w:r>
        <w:rPr>
          <w:rFonts w:hint="eastAsia"/>
        </w:rPr>
        <w:t>项目交付</w:t>
      </w:r>
      <w:bookmarkEnd w:id="105"/>
    </w:p>
    <w:p>
      <w:pPr>
        <w:numPr>
          <w:ilvl w:val="0"/>
          <w:numId w:val="38"/>
        </w:numPr>
        <w:ind w:left="0" w:firstLine="420" w:firstLineChars="200"/>
        <w:rPr>
          <w:rFonts w:hint="eastAsia"/>
        </w:rPr>
      </w:pPr>
      <w:r>
        <w:rPr>
          <w:rFonts w:hint="eastAsia"/>
        </w:rPr>
        <w:t>乙方应当按以下方式向甲方交付研究开发成果：</w:t>
      </w:r>
    </w:p>
    <w:p>
      <w:pPr>
        <w:numPr>
          <w:ilvl w:val="0"/>
          <w:numId w:val="39"/>
        </w:numPr>
        <w:ind w:left="0" w:firstLine="420" w:firstLineChars="200"/>
        <w:rPr>
          <w:rFonts w:hint="eastAsia"/>
          <w:u w:val="single"/>
        </w:rPr>
      </w:pPr>
      <w:r>
        <w:rPr>
          <w:rFonts w:hint="eastAsia"/>
        </w:rPr>
        <w:t>研究开发成果交付内容：</w:t>
      </w:r>
    </w:p>
    <w:p>
      <w:pPr>
        <w:ind w:firstLine="420" w:firstLineChars="200"/>
        <w:rPr>
          <w:u w:val="single"/>
        </w:rPr>
      </w:pPr>
      <w:r>
        <w:rPr>
          <w:rFonts w:hint="eastAsia"/>
          <w:u w:val="single"/>
        </w:rPr>
        <w:t xml:space="preserve">需求分析、需求规格说明书、系统原型；    </w:t>
      </w:r>
    </w:p>
    <w:p>
      <w:pPr>
        <w:ind w:firstLine="420" w:firstLineChars="200"/>
        <w:rPr>
          <w:u w:val="single"/>
        </w:rPr>
      </w:pPr>
      <w:r>
        <w:rPr>
          <w:rFonts w:hint="eastAsia"/>
          <w:u w:val="single"/>
        </w:rPr>
        <w:t xml:space="preserve">概要设计、详细设计方案；                </w:t>
      </w:r>
    </w:p>
    <w:p>
      <w:pPr>
        <w:ind w:firstLine="420" w:firstLineChars="200"/>
        <w:rPr>
          <w:u w:val="single"/>
        </w:rPr>
      </w:pPr>
      <w:r>
        <w:rPr>
          <w:rFonts w:hint="eastAsia"/>
          <w:u w:val="single"/>
        </w:rPr>
        <w:t xml:space="preserve">运行正常的系统；                        </w:t>
      </w:r>
    </w:p>
    <w:p>
      <w:pPr>
        <w:ind w:firstLine="420" w:firstLineChars="200"/>
        <w:rPr>
          <w:rFonts w:hint="eastAsia"/>
          <w:u w:val="single"/>
        </w:rPr>
      </w:pPr>
      <w:r>
        <w:rPr>
          <w:rFonts w:hint="eastAsia"/>
          <w:u w:val="single"/>
        </w:rPr>
        <w:t>完整的软件源代码、可执行程序、安装程序；</w:t>
      </w:r>
    </w:p>
    <w:p>
      <w:pPr>
        <w:ind w:firstLine="420" w:firstLineChars="200"/>
        <w:rPr>
          <w:u w:val="single"/>
        </w:rPr>
      </w:pPr>
      <w:r>
        <w:rPr>
          <w:rFonts w:hint="eastAsia"/>
          <w:u w:val="single"/>
        </w:rPr>
        <w:t xml:space="preserve">软件使用手册；                          </w:t>
      </w:r>
    </w:p>
    <w:p>
      <w:pPr>
        <w:ind w:firstLine="420" w:firstLineChars="200"/>
        <w:rPr>
          <w:u w:val="single"/>
        </w:rPr>
      </w:pPr>
      <w:r>
        <w:rPr>
          <w:rFonts w:hint="eastAsia"/>
          <w:u w:val="single"/>
        </w:rPr>
        <w:t xml:space="preserve">软件技术说明；                          </w:t>
      </w:r>
    </w:p>
    <w:p>
      <w:pPr>
        <w:ind w:firstLine="420" w:firstLineChars="200"/>
        <w:rPr>
          <w:u w:val="single"/>
        </w:rPr>
      </w:pPr>
      <w:r>
        <w:rPr>
          <w:rFonts w:hint="eastAsia"/>
          <w:u w:val="single"/>
        </w:rPr>
        <w:t xml:space="preserve">软件测试大纲、测试报告；                </w:t>
      </w:r>
    </w:p>
    <w:p>
      <w:pPr>
        <w:ind w:firstLine="420" w:firstLineChars="200"/>
        <w:rPr>
          <w:rFonts w:hint="eastAsia"/>
          <w:u w:val="single"/>
        </w:rPr>
      </w:pPr>
      <w:r>
        <w:rPr>
          <w:rFonts w:hint="eastAsia"/>
          <w:u w:val="single"/>
        </w:rPr>
        <w:t>其他按照《气象软件工程规范》要求的文档；</w:t>
      </w:r>
    </w:p>
    <w:p>
      <w:pPr>
        <w:ind w:firstLine="420" w:firstLineChars="200"/>
        <w:rPr>
          <w:u w:val="single"/>
        </w:rPr>
      </w:pPr>
      <w:r>
        <w:rPr>
          <w:rFonts w:hint="eastAsia"/>
          <w:u w:val="single"/>
        </w:rPr>
        <w:t xml:space="preserve">                                        。</w:t>
      </w:r>
    </w:p>
    <w:p>
      <w:pPr>
        <w:ind w:firstLine="420" w:firstLineChars="200"/>
        <w:rPr>
          <w:rFonts w:hint="eastAsia"/>
          <w:u w:val="single"/>
        </w:rPr>
      </w:pPr>
      <w:r>
        <w:rPr>
          <w:rFonts w:hint="eastAsia"/>
          <w:u w:val="single"/>
        </w:rPr>
        <w:t>（以上文档提供电子版x套，硬拷贝x套）。</w:t>
      </w:r>
    </w:p>
    <w:p>
      <w:pPr>
        <w:numPr>
          <w:ilvl w:val="0"/>
          <w:numId w:val="39"/>
        </w:numPr>
        <w:ind w:left="0" w:firstLine="420" w:firstLineChars="200"/>
        <w:rPr>
          <w:rFonts w:hint="eastAsia"/>
        </w:rPr>
      </w:pPr>
      <w:r>
        <w:rPr>
          <w:rFonts w:hint="eastAsia"/>
        </w:rPr>
        <w:t>研究开发成果交付的时间及地点：             在            交付。</w:t>
      </w:r>
    </w:p>
    <w:p>
      <w:pPr>
        <w:numPr>
          <w:ilvl w:val="0"/>
          <w:numId w:val="39"/>
        </w:numPr>
        <w:ind w:left="0" w:firstLine="420" w:firstLineChars="200"/>
        <w:rPr>
          <w:rFonts w:hint="eastAsia"/>
        </w:rPr>
      </w:pPr>
      <w:r>
        <w:rPr>
          <w:rFonts w:hint="eastAsia"/>
        </w:rPr>
        <w:t>乙方应向甲方交付的其他文档资料及协作事项如下：</w:t>
      </w:r>
    </w:p>
    <w:p>
      <w:pPr>
        <w:ind w:firstLine="420" w:firstLineChars="200"/>
      </w:pPr>
      <w:r>
        <w:rPr>
          <w:rFonts w:hint="eastAsia"/>
        </w:rPr>
        <w:t>资料清单:______________________</w:t>
      </w:r>
    </w:p>
    <w:p>
      <w:pPr>
        <w:ind w:firstLine="420" w:firstLineChars="200"/>
        <w:rPr>
          <w:rFonts w:hint="eastAsia"/>
        </w:rPr>
      </w:pPr>
      <w:r>
        <w:rPr>
          <w:rFonts w:hint="eastAsia"/>
        </w:rPr>
        <w:t>协作事项：</w:t>
      </w:r>
      <w:r>
        <w:rPr>
          <w:rFonts w:hint="eastAsia"/>
          <w:u w:val="single"/>
        </w:rPr>
        <w:t xml:space="preserve">                      </w:t>
      </w:r>
    </w:p>
    <w:p>
      <w:pPr>
        <w:numPr>
          <w:ilvl w:val="0"/>
          <w:numId w:val="38"/>
        </w:numPr>
        <w:ind w:left="0" w:firstLine="420" w:firstLineChars="200"/>
      </w:pPr>
      <w:r>
        <w:rPr>
          <w:rFonts w:hint="eastAsia"/>
        </w:rPr>
        <w:t>安装调试</w:t>
      </w:r>
    </w:p>
    <w:p>
      <w:pPr>
        <w:ind w:firstLine="420" w:firstLineChars="200"/>
      </w:pPr>
      <w:r>
        <w:rPr>
          <w:rFonts w:hint="eastAsia"/>
        </w:rPr>
        <w:t>乙方负责项目系统的安装及调试，内容如下：</w:t>
      </w:r>
    </w:p>
    <w:p>
      <w:pPr>
        <w:numPr>
          <w:ilvl w:val="0"/>
          <w:numId w:val="40"/>
        </w:numPr>
        <w:ind w:left="0" w:firstLine="420" w:firstLineChars="200"/>
        <w:rPr>
          <w:rFonts w:hint="eastAsia"/>
        </w:rPr>
      </w:pPr>
      <w:r>
        <w:rPr>
          <w:rFonts w:hint="eastAsia"/>
        </w:rPr>
        <w:t>确保达到系统正常运行条件和相关技术标准及业务要求；</w:t>
      </w:r>
    </w:p>
    <w:p>
      <w:pPr>
        <w:numPr>
          <w:ilvl w:val="0"/>
          <w:numId w:val="40"/>
        </w:numPr>
        <w:ind w:left="0" w:firstLine="420" w:firstLineChars="200"/>
        <w:rPr>
          <w:rFonts w:hint="eastAsia"/>
        </w:rPr>
      </w:pPr>
      <w:r>
        <w:rPr>
          <w:rFonts w:hint="eastAsia"/>
        </w:rPr>
        <w:t>系统数据达到规范要求，运行正常；</w:t>
      </w:r>
    </w:p>
    <w:p>
      <w:pPr>
        <w:numPr>
          <w:ilvl w:val="0"/>
          <w:numId w:val="40"/>
        </w:numPr>
        <w:ind w:left="0" w:firstLine="420" w:firstLineChars="200"/>
        <w:rPr>
          <w:rFonts w:hint="eastAsia"/>
        </w:rPr>
      </w:pPr>
      <w:r>
        <w:rPr>
          <w:rFonts w:hint="eastAsia"/>
        </w:rPr>
        <w:t>系统运行保证安全稳定；</w:t>
      </w:r>
    </w:p>
    <w:p>
      <w:pPr>
        <w:numPr>
          <w:ilvl w:val="0"/>
          <w:numId w:val="40"/>
        </w:numPr>
        <w:ind w:left="0" w:firstLine="420" w:firstLineChars="200"/>
        <w:rPr>
          <w:rFonts w:hint="eastAsia"/>
        </w:rPr>
      </w:pPr>
      <w:r>
        <w:rPr>
          <w:rFonts w:hint="eastAsia"/>
        </w:rPr>
        <w:t>平台业务运行机制要完整。</w:t>
      </w:r>
    </w:p>
    <w:p>
      <w:pPr>
        <w:numPr>
          <w:ilvl w:val="0"/>
          <w:numId w:val="38"/>
        </w:numPr>
        <w:ind w:left="0" w:firstLine="420" w:firstLineChars="200"/>
      </w:pPr>
      <w:r>
        <w:rPr>
          <w:rFonts w:hint="eastAsia"/>
        </w:rPr>
        <w:t>培训</w:t>
      </w:r>
    </w:p>
    <w:p>
      <w:pPr>
        <w:ind w:firstLine="420" w:firstLineChars="200"/>
        <w:rPr>
          <w:rFonts w:hint="eastAsia"/>
        </w:rPr>
      </w:pPr>
      <w:r>
        <w:rPr>
          <w:rFonts w:hint="eastAsia"/>
        </w:rPr>
        <w:t>双方确定，乙方应在向甲方交付研究开发成果后，根据甲方的要求，为甲方指定的人员提供无偿的技术指导和培训，或提供与使用该研究开发成果相关的技术服务。</w:t>
      </w:r>
    </w:p>
    <w:p>
      <w:pPr>
        <w:ind w:firstLine="420" w:firstLineChars="200"/>
        <w:rPr>
          <w:u w:val="single"/>
        </w:rPr>
      </w:pPr>
      <w:r>
        <w:rPr>
          <w:rFonts w:hint="eastAsia"/>
        </w:rPr>
        <w:t>技术服务和指导内容：</w:t>
      </w:r>
      <w:r>
        <w:rPr>
          <w:rFonts w:hint="eastAsia"/>
          <w:u w:val="single"/>
        </w:rPr>
        <w:t xml:space="preserve">                                  </w:t>
      </w:r>
    </w:p>
    <w:p>
      <w:pPr>
        <w:ind w:firstLine="420" w:firstLineChars="200"/>
        <w:rPr>
          <w:rFonts w:hint="eastAsia"/>
          <w:u w:val="single"/>
        </w:rPr>
      </w:pPr>
      <w:r>
        <w:rPr>
          <w:rFonts w:hint="eastAsia"/>
        </w:rPr>
        <w:t>地点和方式：</w:t>
      </w:r>
      <w:r>
        <w:rPr>
          <w:rFonts w:hint="eastAsia"/>
          <w:u w:val="single"/>
        </w:rPr>
        <w:t xml:space="preserve">                                          </w:t>
      </w:r>
    </w:p>
    <w:p>
      <w:pPr>
        <w:pStyle w:val="Heading2"/>
        <w:numPr>
          <w:ilvl w:val="0"/>
          <w:numId w:val="15"/>
        </w:numPr>
        <w:spacing w:before="60" w:after="60" w:line="240" w:lineRule="auto"/>
        <w:ind w:left="0" w:firstLine="640" w:firstLineChars="200"/>
      </w:pPr>
      <w:r>
        <w:rPr>
          <w:rFonts w:hint="eastAsia"/>
        </w:rPr>
        <w:t>支付方式</w:t>
      </w:r>
    </w:p>
    <w:p>
      <w:pPr>
        <w:ind w:firstLine="420" w:firstLineChars="200"/>
        <w:rPr>
          <w:rFonts w:hint="eastAsia"/>
        </w:rPr>
      </w:pPr>
      <w:r>
        <w:rPr>
          <w:rFonts w:hint="eastAsia"/>
        </w:rPr>
        <w:t>甲方应按以下方式支付研究开发经费和报酬：</w:t>
      </w:r>
    </w:p>
    <w:p>
      <w:pPr>
        <w:numPr>
          <w:ilvl w:val="0"/>
          <w:numId w:val="41"/>
        </w:numPr>
        <w:tabs>
          <w:tab w:val="left" w:pos="720"/>
        </w:tabs>
        <w:ind w:left="0" w:firstLine="420" w:firstLineChars="200"/>
      </w:pPr>
      <w:r>
        <w:rPr>
          <w:rFonts w:hint="eastAsia"/>
        </w:rPr>
        <w:t>研究开发经费和报酬总额为（含税）</w:t>
      </w:r>
      <w:r>
        <w:rPr>
          <w:rFonts w:hint="eastAsia"/>
          <w:u w:val="single"/>
        </w:rPr>
        <w:t>￥</w:t>
      </w:r>
      <w:r>
        <w:rPr>
          <w:u w:val="single"/>
        </w:rPr>
        <w:t xml:space="preserve">      </w:t>
      </w:r>
      <w:r>
        <w:rPr>
          <w:rFonts w:hint="eastAsia"/>
          <w:u w:val="single"/>
        </w:rPr>
        <w:t xml:space="preserve">元（大写：人民币 </w:t>
      </w:r>
      <w:r>
        <w:rPr>
          <w:u w:val="single"/>
        </w:rPr>
        <w:t xml:space="preserve">                     </w:t>
      </w:r>
      <w:r>
        <w:rPr>
          <w:rFonts w:hint="eastAsia"/>
          <w:u w:val="single"/>
        </w:rPr>
        <w:t>元）</w:t>
      </w:r>
      <w:r>
        <w:rPr>
          <w:rFonts w:hint="eastAsia"/>
        </w:rPr>
        <w:t>。其中：</w:t>
      </w:r>
    </w:p>
    <w:p>
      <w:pPr>
        <w:numPr>
          <w:ilvl w:val="0"/>
          <w:numId w:val="42"/>
        </w:numPr>
        <w:ind w:hanging="5"/>
        <w:rPr>
          <w:rFonts w:hint="eastAsia"/>
        </w:rPr>
      </w:pPr>
      <w:r>
        <w:rPr>
          <w:rFonts w:hint="eastAsia"/>
          <w:u w:val="single"/>
        </w:rPr>
        <w:t xml:space="preserve">                                                              </w:t>
      </w:r>
      <w:r>
        <w:rPr>
          <w:rFonts w:hint="eastAsia"/>
        </w:rPr>
        <w:t>;</w:t>
      </w:r>
    </w:p>
    <w:p>
      <w:pPr>
        <w:numPr>
          <w:ilvl w:val="0"/>
          <w:numId w:val="42"/>
        </w:numPr>
        <w:ind w:hanging="5"/>
        <w:rPr>
          <w:rFonts w:hint="eastAsia"/>
        </w:rPr>
      </w:pPr>
      <w:r>
        <w:rPr>
          <w:rFonts w:hint="eastAsia"/>
          <w:u w:val="single"/>
        </w:rPr>
        <w:t xml:space="preserve">                                                              </w:t>
      </w:r>
      <w:r>
        <w:rPr>
          <w:rFonts w:hint="eastAsia"/>
        </w:rPr>
        <w:t>;</w:t>
      </w:r>
    </w:p>
    <w:p>
      <w:pPr>
        <w:numPr>
          <w:ilvl w:val="0"/>
          <w:numId w:val="42"/>
        </w:numPr>
        <w:ind w:hanging="5"/>
        <w:rPr>
          <w:rFonts w:hint="eastAsia"/>
        </w:rPr>
      </w:pPr>
      <w:r>
        <w:rPr>
          <w:rFonts w:hint="eastAsia"/>
          <w:u w:val="single"/>
        </w:rPr>
        <w:t xml:space="preserve">                                                              </w:t>
      </w:r>
      <w:r>
        <w:rPr>
          <w:rFonts w:hint="eastAsia"/>
        </w:rPr>
        <w:t>;</w:t>
      </w:r>
    </w:p>
    <w:p>
      <w:pPr>
        <w:numPr>
          <w:ilvl w:val="0"/>
          <w:numId w:val="42"/>
        </w:numPr>
        <w:ind w:hanging="5"/>
        <w:rPr>
          <w:rFonts w:hint="eastAsia"/>
        </w:rPr>
      </w:pPr>
      <w:r>
        <w:rPr>
          <w:rFonts w:hint="eastAsia"/>
          <w:u w:val="single"/>
        </w:rPr>
        <w:t xml:space="preserve">                                                              。</w:t>
      </w:r>
    </w:p>
    <w:p>
      <w:pPr>
        <w:numPr>
          <w:ilvl w:val="0"/>
          <w:numId w:val="41"/>
        </w:numPr>
        <w:tabs>
          <w:tab w:val="left" w:pos="720"/>
        </w:tabs>
        <w:ind w:left="0" w:firstLine="420" w:firstLineChars="200"/>
      </w:pPr>
      <w:r>
        <w:rPr>
          <w:rFonts w:hint="eastAsia"/>
        </w:rPr>
        <w:t xml:space="preserve">研究开发经费由甲方分期支付给乙方。具体支付方式和时间如下： </w:t>
      </w:r>
    </w:p>
    <w:p>
      <w:pPr>
        <w:tabs>
          <w:tab w:val="left" w:pos="720"/>
        </w:tabs>
        <w:ind w:firstLine="420" w:firstLineChars="200"/>
        <w:rPr>
          <w:rFonts w:hint="eastAsia"/>
        </w:rPr>
      </w:pPr>
      <w:r>
        <w:rPr>
          <w:rFonts w:hint="eastAsia"/>
        </w:rPr>
        <w:t>甲方通过电汇或银行转账方式向乙方指定银行账户付款。在甲方每一笔款项支付前，乙方向甲方提交付款申请及出具同等金额的增值税发票，否则甲方有权拒绝付款并不承担违约责任。</w:t>
      </w:r>
    </w:p>
    <w:p>
      <w:pPr>
        <w:tabs>
          <w:tab w:val="left" w:pos="720"/>
        </w:tabs>
        <w:ind w:firstLine="420" w:firstLineChars="200"/>
        <w:rPr>
          <w:rFonts w:hint="eastAsia"/>
        </w:rPr>
      </w:pPr>
      <w:r>
        <w:rPr>
          <w:rFonts w:hint="eastAsia"/>
        </w:rPr>
        <w:t>第一阶段：本合同签订生效及提交研究开发计划且项目开工后</w:t>
      </w:r>
      <w:r>
        <w:rPr>
          <w:rFonts w:hint="eastAsia"/>
          <w:highlight w:val="yellow"/>
          <w:u w:val="single"/>
        </w:rPr>
        <w:t>【</w:t>
      </w:r>
      <w:r>
        <w:rPr>
          <w:rFonts w:hint="eastAsia"/>
          <w:highlight w:val="yellow"/>
          <w:u w:val="single"/>
          <w:lang w:val="en-US" w:eastAsia="zh-CN"/>
        </w:rPr>
        <w:t xml:space="preserve"> 10 </w:t>
      </w:r>
      <w:r>
        <w:rPr>
          <w:rFonts w:hint="eastAsia"/>
          <w:highlight w:val="yellow"/>
          <w:u w:val="single"/>
        </w:rPr>
        <w:t>】</w:t>
      </w:r>
      <w:r>
        <w:rPr>
          <w:rFonts w:hint="eastAsia"/>
        </w:rPr>
        <w:t>个工作日内，甲方向乙方支付本合同首付款至乙方指定账户，首付款为合同总额</w:t>
      </w:r>
      <w:r>
        <w:rPr>
          <w:rFonts w:hint="eastAsia"/>
          <w:highlight w:val="yellow"/>
          <w:u w:val="single"/>
          <w:lang w:val="en-US" w:eastAsia="zh-CN"/>
        </w:rPr>
        <w:t xml:space="preserve"> 30%</w:t>
      </w:r>
      <w:r>
        <w:rPr>
          <w:rFonts w:hint="eastAsia"/>
          <w:highlight w:val="yellow"/>
          <w:u w:val="single"/>
        </w:rPr>
        <w:t>_</w:t>
      </w:r>
      <w:r>
        <w:rPr>
          <w:rFonts w:hint="eastAsia"/>
        </w:rPr>
        <w:t>，即：</w:t>
      </w:r>
      <w:r>
        <w:rPr>
          <w:rFonts w:hint="eastAsia"/>
          <w:u w:val="single"/>
        </w:rPr>
        <w:t>￥    元（大写：人民币    元整）；</w:t>
      </w:r>
    </w:p>
    <w:p>
      <w:pPr>
        <w:tabs>
          <w:tab w:val="left" w:pos="720"/>
        </w:tabs>
        <w:ind w:firstLine="420" w:firstLineChars="200"/>
        <w:rPr>
          <w:rFonts w:hint="eastAsia"/>
        </w:rPr>
      </w:pPr>
      <w:r>
        <w:rPr>
          <w:rFonts w:hint="eastAsia"/>
        </w:rPr>
        <w:t>第二阶段：乙方完成</w:t>
      </w:r>
      <w:r>
        <w:rPr>
          <w:rFonts w:hint="eastAsia"/>
          <w:u w:val="single"/>
        </w:rPr>
        <w:t xml:space="preserve">                                 </w:t>
      </w:r>
      <w:r>
        <w:rPr>
          <w:rFonts w:hint="eastAsia"/>
        </w:rPr>
        <w:t>，甲方向乙方支付本合同总额的</w:t>
      </w:r>
      <w:r>
        <w:rPr>
          <w:rFonts w:hint="eastAsia"/>
          <w:highlight w:val="yellow"/>
          <w:u w:val="single"/>
        </w:rPr>
        <w:t>_</w:t>
      </w:r>
      <w:r>
        <w:rPr>
          <w:rFonts w:hint="eastAsia"/>
          <w:highlight w:val="yellow"/>
          <w:u w:val="single"/>
          <w:lang w:val="en-US" w:eastAsia="zh-CN"/>
        </w:rPr>
        <w:t>50</w:t>
      </w:r>
      <w:r>
        <w:rPr>
          <w:rFonts w:hint="eastAsia"/>
          <w:highlight w:val="yellow"/>
          <w:u w:val="single"/>
        </w:rPr>
        <w:t>%</w:t>
      </w:r>
      <w:r>
        <w:rPr>
          <w:rFonts w:hint="eastAsia"/>
          <w:highlight w:val="yellow"/>
          <w:u w:val="single"/>
          <w:lang w:val="en-US" w:eastAsia="zh-CN"/>
        </w:rPr>
        <w:t xml:space="preserve"> </w:t>
      </w:r>
      <w:r>
        <w:rPr>
          <w:rFonts w:hint="eastAsia"/>
        </w:rPr>
        <w:t>，即：</w:t>
      </w:r>
      <w:r>
        <w:rPr>
          <w:rFonts w:hint="eastAsia"/>
          <w:u w:val="single"/>
        </w:rPr>
        <w:t>￥     元（大写：人民币     元整）</w:t>
      </w:r>
      <w:r>
        <w:rPr>
          <w:rFonts w:hint="eastAsia"/>
        </w:rPr>
        <w:t>；</w:t>
      </w:r>
    </w:p>
    <w:p>
      <w:pPr>
        <w:tabs>
          <w:tab w:val="left" w:pos="720"/>
        </w:tabs>
        <w:ind w:firstLine="420" w:firstLineChars="200"/>
        <w:rPr>
          <w:rFonts w:hint="eastAsia"/>
        </w:rPr>
      </w:pPr>
      <w:r>
        <w:rPr>
          <w:rFonts w:hint="eastAsia"/>
        </w:rPr>
        <w:t>第</w:t>
      </w:r>
      <w:r>
        <w:rPr>
          <w:rFonts w:hint="eastAsia"/>
          <w:lang w:val="en-US" w:eastAsia="zh-CN"/>
        </w:rPr>
        <w:t>三</w:t>
      </w:r>
      <w:r>
        <w:rPr>
          <w:rFonts w:hint="eastAsia"/>
        </w:rPr>
        <w:t>阶段：最后一次付款额应为本合同总额的</w:t>
      </w:r>
      <w:r>
        <w:rPr>
          <w:rFonts w:hint="eastAsia"/>
          <w:highlight w:val="yellow"/>
          <w:u w:val="single"/>
        </w:rPr>
        <w:t xml:space="preserve"> </w:t>
      </w:r>
      <w:r>
        <w:rPr>
          <w:rFonts w:hint="eastAsia"/>
          <w:highlight w:val="yellow"/>
          <w:u w:val="single"/>
          <w:lang w:val="en-US" w:eastAsia="zh-CN"/>
        </w:rPr>
        <w:t>20</w:t>
      </w:r>
      <w:r>
        <w:rPr>
          <w:rFonts w:hint="eastAsia"/>
          <w:highlight w:val="yellow"/>
          <w:u w:val="single"/>
        </w:rPr>
        <w:t>%</w:t>
      </w:r>
      <w:r>
        <w:rPr>
          <w:rFonts w:hint="eastAsia"/>
          <w:highlight w:val="yellow"/>
          <w:u w:val="single"/>
          <w:lang w:val="en-US" w:eastAsia="zh-CN"/>
        </w:rPr>
        <w:t xml:space="preserve"> </w:t>
      </w:r>
      <w:r>
        <w:rPr>
          <w:rFonts w:hint="eastAsia"/>
        </w:rPr>
        <w:t>，甲方应在乙方完成</w:t>
      </w:r>
      <w:r>
        <w:rPr>
          <w:rFonts w:hint="eastAsia"/>
          <w:u w:val="single"/>
        </w:rPr>
        <w:t xml:space="preserve">           ，</w:t>
      </w:r>
      <w:r>
        <w:rPr>
          <w:rFonts w:hint="eastAsia"/>
        </w:rPr>
        <w:t>并完全履行合同约定全部义务后</w:t>
      </w:r>
      <w:r>
        <w:rPr>
          <w:rFonts w:hint="eastAsia"/>
          <w:highlight w:val="yellow"/>
          <w:u w:val="single"/>
        </w:rPr>
        <w:t xml:space="preserve">【 </w:t>
      </w:r>
      <w:r>
        <w:rPr>
          <w:rFonts w:hint="eastAsia"/>
          <w:highlight w:val="yellow"/>
          <w:u w:val="single"/>
          <w:lang w:val="en-US" w:eastAsia="zh-CN"/>
        </w:rPr>
        <w:t>7</w:t>
      </w:r>
      <w:r>
        <w:rPr>
          <w:rFonts w:hint="eastAsia"/>
          <w:highlight w:val="yellow"/>
          <w:u w:val="single"/>
        </w:rPr>
        <w:t xml:space="preserve"> 】</w:t>
      </w:r>
      <w:r>
        <w:rPr>
          <w:rFonts w:hint="eastAsia"/>
        </w:rPr>
        <w:t>日内付给乙方。</w:t>
      </w:r>
    </w:p>
    <w:p>
      <w:pPr>
        <w:numPr>
          <w:ilvl w:val="0"/>
          <w:numId w:val="41"/>
        </w:numPr>
        <w:tabs>
          <w:tab w:val="left" w:pos="720"/>
        </w:tabs>
        <w:ind w:left="0" w:firstLine="420" w:firstLineChars="200"/>
        <w:rPr>
          <w:rFonts w:hint="eastAsia"/>
        </w:rPr>
      </w:pPr>
      <w:r>
        <w:rPr>
          <w:rFonts w:hint="eastAsia"/>
        </w:rPr>
        <w:t>履约保证金</w:t>
      </w:r>
    </w:p>
    <w:p>
      <w:pPr>
        <w:numPr>
          <w:ilvl w:val="0"/>
          <w:numId w:val="43"/>
        </w:numPr>
        <w:tabs>
          <w:tab w:val="left" w:pos="720"/>
        </w:tabs>
        <w:ind w:left="0" w:firstLine="420"/>
        <w:rPr>
          <w:rFonts w:hint="eastAsia"/>
        </w:rPr>
      </w:pPr>
      <w:r>
        <w:rPr>
          <w:rFonts w:hint="eastAsia"/>
        </w:rPr>
        <w:t>合同签订后</w:t>
      </w:r>
      <w:r>
        <w:rPr>
          <w:rFonts w:hint="eastAsia"/>
          <w:highlight w:val="yellow"/>
          <w:u w:val="single"/>
        </w:rPr>
        <w:t xml:space="preserve">【 </w:t>
      </w:r>
      <w:r>
        <w:rPr>
          <w:rFonts w:hint="eastAsia"/>
          <w:highlight w:val="yellow"/>
          <w:u w:val="single"/>
          <w:lang w:val="en-US" w:eastAsia="zh-CN"/>
        </w:rPr>
        <w:t>30</w:t>
      </w:r>
      <w:r>
        <w:rPr>
          <w:rFonts w:hint="eastAsia"/>
          <w:highlight w:val="yellow"/>
          <w:u w:val="single"/>
        </w:rPr>
        <w:t xml:space="preserve"> 】</w:t>
      </w:r>
      <w:r>
        <w:rPr>
          <w:rFonts w:hint="eastAsia"/>
        </w:rPr>
        <w:t>工作日内，乙方需向甲方交纳履约保证金至甲方指定账户，履约保证金金额为合同总额</w:t>
      </w:r>
      <w:r>
        <w:rPr>
          <w:rFonts w:hint="eastAsia"/>
          <w:highlight w:val="yellow"/>
          <w:u w:val="single"/>
        </w:rPr>
        <w:t xml:space="preserve"> </w:t>
      </w:r>
      <w:r>
        <w:rPr>
          <w:rFonts w:hint="eastAsia"/>
          <w:highlight w:val="yellow"/>
          <w:u w:val="single"/>
          <w:lang w:val="en-US" w:eastAsia="zh-CN"/>
        </w:rPr>
        <w:t>10</w:t>
      </w:r>
      <w:r>
        <w:rPr>
          <w:rFonts w:hint="eastAsia"/>
          <w:highlight w:val="yellow"/>
          <w:u w:val="single"/>
        </w:rPr>
        <w:t>%</w:t>
      </w:r>
      <w:r>
        <w:rPr>
          <w:rFonts w:hint="eastAsia"/>
          <w:highlight w:val="yellow"/>
          <w:u w:val="single"/>
          <w:lang w:val="en-US" w:eastAsia="zh-CN"/>
        </w:rPr>
        <w:t xml:space="preserve"> </w:t>
      </w:r>
      <w:r>
        <w:rPr>
          <w:rFonts w:hint="eastAsia"/>
        </w:rPr>
        <w:t>，即</w:t>
      </w:r>
      <w:r>
        <w:rPr>
          <w:rFonts w:hint="eastAsia"/>
          <w:u w:val="single"/>
        </w:rPr>
        <w:t>￥    元（大写：人民币   元整）。</w:t>
      </w:r>
      <w:r>
        <w:rPr>
          <w:rFonts w:hint="eastAsia"/>
        </w:rPr>
        <w:t>如果乙方未按合同要求履行合同，或因乙方原因导致本合同解除的，甲方将不予归还履约保证金。如乙方未按前述约定支付保证金，甲方有权直接在研究开发经费和报酬中扣除相应费用。</w:t>
      </w:r>
    </w:p>
    <w:p>
      <w:pPr>
        <w:numPr>
          <w:ilvl w:val="0"/>
          <w:numId w:val="43"/>
        </w:numPr>
        <w:tabs>
          <w:tab w:val="left" w:pos="720"/>
        </w:tabs>
        <w:ind w:left="0" w:firstLine="420"/>
        <w:rPr>
          <w:rFonts w:hint="eastAsia"/>
        </w:rPr>
      </w:pPr>
      <w:r>
        <w:rPr>
          <w:rFonts w:hint="eastAsia"/>
        </w:rPr>
        <w:t>质保阶段结束后</w:t>
      </w:r>
      <w:r>
        <w:rPr>
          <w:rFonts w:hint="eastAsia"/>
          <w:u w:val="single"/>
        </w:rPr>
        <w:t>【   】</w:t>
      </w:r>
      <w:r>
        <w:rPr>
          <w:rFonts w:hint="eastAsia"/>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】日内补齐履约保证金。</w:t>
      </w:r>
    </w:p>
    <w:p>
      <w:pPr>
        <w:numPr>
          <w:ilvl w:val="0"/>
          <w:numId w:val="43"/>
        </w:numPr>
        <w:tabs>
          <w:tab w:val="left" w:pos="720"/>
        </w:tabs>
        <w:ind w:left="0" w:firstLine="420"/>
        <w:rPr>
          <w:rFonts w:hint="eastAsia"/>
        </w:rPr>
      </w:pPr>
      <w:r>
        <w:rPr>
          <w:rFonts w:hint="eastAsia"/>
        </w:rPr>
        <w:t>履约保证金应用本合同货币。</w:t>
      </w:r>
    </w:p>
    <w:p>
      <w:pPr>
        <w:numPr>
          <w:ilvl w:val="0"/>
          <w:numId w:val="41"/>
        </w:numPr>
        <w:tabs>
          <w:tab w:val="left" w:pos="720"/>
        </w:tabs>
        <w:ind w:left="0" w:firstLine="420" w:firstLineChars="200"/>
      </w:pPr>
      <w:r>
        <w:rPr>
          <w:rFonts w:hint="eastAsia"/>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4493"/>
        <w:gridCol w:w="449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rPr>
              <w:t>甲方开户银行名称、地址和账号为：</w:t>
            </w:r>
          </w:p>
        </w:tc>
        <w:tc>
          <w:tcPr>
            <w:tcW w:w="2500" w:type="pct"/>
          </w:tcPr>
          <w:p>
            <w:pPr>
              <w:tabs>
                <w:tab w:val="left" w:pos="720"/>
              </w:tabs>
              <w:ind w:firstLine="200"/>
              <w:rPr>
                <w:rFonts w:hint="eastAsia"/>
              </w:rPr>
            </w:pPr>
            <w:r>
              <w:rPr>
                <w:rFonts w:hint="eastAsia"/>
              </w:rPr>
              <w:t>乙方开户银行名称、地址和账号为：</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rPr>
              <w:t>开户银行：中国建设银行北京白石桥支行</w:t>
            </w:r>
          </w:p>
        </w:tc>
        <w:tc>
          <w:tcPr>
            <w:tcW w:w="2500" w:type="pct"/>
          </w:tcPr>
          <w:p>
            <w:pPr>
              <w:tabs>
                <w:tab w:val="left" w:pos="720"/>
              </w:tabs>
              <w:ind w:firstLine="200"/>
              <w:rPr>
                <w:rFonts w:hint="eastAsia"/>
              </w:rPr>
            </w:pPr>
            <w:r>
              <w:rPr>
                <w:rFonts w:hint="eastAsia"/>
              </w:rPr>
              <w:t>开户银行：</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rPr>
              <w:t>地址：</w:t>
            </w:r>
            <w:r>
              <w:rPr>
                <w:rFonts w:ascii="宋体" w:hAnsi="宋体"/>
                <w:szCs w:val="21"/>
              </w:rPr>
              <w:t>北京市海淀区中关村南大街46号北区29号楼</w:t>
            </w:r>
          </w:p>
        </w:tc>
        <w:tc>
          <w:tcPr>
            <w:tcW w:w="2500" w:type="pct"/>
          </w:tcPr>
          <w:p>
            <w:pPr>
              <w:tabs>
                <w:tab w:val="left" w:pos="720"/>
              </w:tabs>
              <w:ind w:firstLine="200"/>
              <w:rPr>
                <w:rFonts w:hint="eastAsia"/>
              </w:rPr>
            </w:pPr>
            <w:r>
              <w:rPr>
                <w:rFonts w:hint="eastAsia"/>
              </w:rPr>
              <w:t>地址：</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rPr>
              <w:t>账号：</w:t>
            </w:r>
            <w:r>
              <w:t>1100 1028 6000 5802 2815</w:t>
            </w:r>
          </w:p>
        </w:tc>
        <w:tc>
          <w:tcPr>
            <w:tcW w:w="2500" w:type="pct"/>
          </w:tcPr>
          <w:p>
            <w:pPr>
              <w:tabs>
                <w:tab w:val="left" w:pos="720"/>
              </w:tabs>
              <w:ind w:firstLine="200"/>
              <w:rPr>
                <w:rFonts w:hint="eastAsia"/>
              </w:rPr>
            </w:pPr>
            <w:r>
              <w:rPr>
                <w:rFonts w:hint="eastAsia"/>
              </w:rPr>
              <w:t>账号：</w:t>
            </w:r>
          </w:p>
        </w:tc>
      </w:tr>
    </w:tbl>
    <w:p>
      <w:pPr>
        <w:numPr>
          <w:ilvl w:val="0"/>
          <w:numId w:val="41"/>
        </w:numPr>
        <w:tabs>
          <w:tab w:val="left" w:pos="720"/>
        </w:tabs>
        <w:ind w:left="0" w:firstLine="420" w:firstLineChars="200"/>
        <w:rPr>
          <w:rFonts w:hint="eastAsia"/>
        </w:rPr>
      </w:pPr>
      <w:r>
        <w:rPr>
          <w:rFonts w:hint="eastAsia"/>
        </w:rPr>
        <w:t>拒付条件</w:t>
      </w:r>
    </w:p>
    <w:p>
      <w:pPr>
        <w:tabs>
          <w:tab w:val="left" w:pos="720"/>
        </w:tabs>
        <w:ind w:firstLine="420" w:firstLineChars="200"/>
        <w:rPr>
          <w:rFonts w:hint="eastAsia"/>
        </w:rPr>
      </w:pPr>
      <w:r>
        <w:rPr>
          <w:rFonts w:hint="eastAsia"/>
        </w:rPr>
        <w:t>凡构成下列条件之一，甲方均有权拒付相应后续服务报酬：</w:t>
      </w:r>
    </w:p>
    <w:p>
      <w:pPr>
        <w:numPr>
          <w:ilvl w:val="0"/>
          <w:numId w:val="44"/>
        </w:numPr>
        <w:tabs>
          <w:tab w:val="left" w:pos="720"/>
        </w:tabs>
        <w:ind w:left="0" w:firstLine="420"/>
        <w:rPr>
          <w:rFonts w:hint="eastAsia"/>
        </w:rPr>
      </w:pPr>
      <w:r>
        <w:rPr>
          <w:rFonts w:hint="eastAsia"/>
        </w:rPr>
        <w:t>乙方丧失继续完成本合同的基本条件或能力时；</w:t>
      </w:r>
    </w:p>
    <w:p>
      <w:pPr>
        <w:numPr>
          <w:ilvl w:val="0"/>
          <w:numId w:val="44"/>
        </w:numPr>
        <w:tabs>
          <w:tab w:val="left" w:pos="720"/>
        </w:tabs>
        <w:ind w:left="0" w:firstLine="420"/>
        <w:rPr>
          <w:rFonts w:hint="eastAsia"/>
        </w:rPr>
      </w:pPr>
      <w:r>
        <w:rPr>
          <w:rFonts w:hint="eastAsia"/>
        </w:rPr>
        <w:t>乙方开展技术服务的进度严重后拖，已使合同规定的总进度及对应的条款失去执行意义时；</w:t>
      </w:r>
    </w:p>
    <w:p>
      <w:pPr>
        <w:numPr>
          <w:ilvl w:val="0"/>
          <w:numId w:val="44"/>
        </w:numPr>
        <w:tabs>
          <w:tab w:val="left" w:pos="720"/>
        </w:tabs>
        <w:ind w:left="0" w:firstLine="420"/>
        <w:rPr>
          <w:rFonts w:hint="eastAsia"/>
        </w:rPr>
      </w:pPr>
      <w:r>
        <w:rPr>
          <w:rFonts w:hint="eastAsia"/>
        </w:rPr>
        <w:t>乙方出现严重违约行为时（如擅自更改甲方所规定的技术要求等）；</w:t>
      </w:r>
    </w:p>
    <w:p>
      <w:pPr>
        <w:numPr>
          <w:ilvl w:val="0"/>
          <w:numId w:val="44"/>
        </w:numPr>
        <w:tabs>
          <w:tab w:val="left" w:pos="720"/>
        </w:tabs>
        <w:ind w:left="0" w:firstLine="420"/>
      </w:pPr>
      <w:r>
        <w:rPr>
          <w:rFonts w:hint="eastAsia"/>
        </w:rPr>
        <w:t>如乙方因自身原因未按节点完成任务或存在重大技术服务质量问题，甲方有权暂缓下期应付款项，待问题解决后再进行支付。</w:t>
      </w:r>
    </w:p>
    <w:p>
      <w:pPr>
        <w:pStyle w:val="Heading2"/>
        <w:numPr>
          <w:ilvl w:val="0"/>
          <w:numId w:val="15"/>
        </w:numPr>
        <w:spacing w:before="60" w:after="60" w:line="240" w:lineRule="auto"/>
        <w:ind w:left="0" w:firstLine="640" w:firstLineChars="200"/>
      </w:pPr>
      <w:r>
        <w:t>税务条款</w:t>
      </w:r>
    </w:p>
    <w:p>
      <w:pPr>
        <w:tabs>
          <w:tab w:val="left" w:pos="720"/>
        </w:tabs>
        <w:ind w:firstLine="420" w:firstLineChars="200"/>
        <w:rPr>
          <w:rFonts w:hint="eastAsia"/>
        </w:rPr>
      </w:pPr>
      <w:r>
        <w:rPr>
          <w:rFonts w:hint="eastAsia"/>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pPr>
        <w:pStyle w:val="Heading2"/>
        <w:numPr>
          <w:ilvl w:val="0"/>
          <w:numId w:val="15"/>
        </w:numPr>
        <w:spacing w:before="60" w:after="60" w:line="240" w:lineRule="auto"/>
        <w:ind w:left="0" w:firstLine="640" w:firstLineChars="200"/>
      </w:pPr>
      <w:bookmarkStart w:id="106" w:name="_Toc150424390"/>
      <w:bookmarkStart w:id="107" w:name="_Toc150434311"/>
      <w:bookmarkStart w:id="108" w:name="_Toc150439568"/>
      <w:bookmarkStart w:id="109" w:name="_Toc150439569"/>
      <w:bookmarkStart w:id="110" w:name="_Toc150434215"/>
      <w:bookmarkEnd w:id="110"/>
      <w:bookmarkEnd w:id="106"/>
      <w:bookmarkEnd w:id="107"/>
      <w:bookmarkEnd w:id="108"/>
      <w:r>
        <w:rPr>
          <w:rFonts w:hint="eastAsia"/>
        </w:rPr>
        <w:t>项目验收</w:t>
      </w:r>
      <w:bookmarkEnd w:id="109"/>
    </w:p>
    <w:p>
      <w:pPr>
        <w:ind w:firstLine="420" w:firstLineChars="200"/>
      </w:pPr>
      <w:r>
        <w:rPr>
          <w:rFonts w:hint="eastAsia"/>
        </w:rPr>
        <w:t>1.系统测试</w:t>
      </w:r>
    </w:p>
    <w:p>
      <w:pPr>
        <w:ind w:firstLine="420" w:firstLineChars="200"/>
        <w:rPr>
          <w:rFonts w:hint="eastAsia"/>
        </w:rPr>
      </w:pPr>
      <w:r>
        <w:rPr>
          <w:rFonts w:hint="eastAsia"/>
        </w:rPr>
        <w:t>乙方应在完成</w:t>
      </w:r>
      <w:r>
        <w:rPr>
          <w:rFonts w:hint="eastAsia"/>
          <w:u w:val="single"/>
        </w:rPr>
        <w:t>全部软件模块的开发、安装、集成</w:t>
      </w:r>
      <w:r>
        <w:rPr>
          <w:rFonts w:hint="eastAsia"/>
        </w:rPr>
        <w:t>后，以书面形式向甲方递交测试申请，同时提交包括但不限于以下材料：</w:t>
      </w:r>
    </w:p>
    <w:p>
      <w:pPr>
        <w:numPr>
          <w:ilvl w:val="0"/>
          <w:numId w:val="45"/>
        </w:numPr>
        <w:ind w:left="0" w:firstLine="420"/>
        <w:rPr>
          <w:rFonts w:hint="eastAsia"/>
          <w:u w:val="single"/>
        </w:rPr>
      </w:pPr>
      <w:r>
        <w:rPr>
          <w:rFonts w:hint="eastAsia"/>
          <w:u w:val="single"/>
        </w:rPr>
        <w:t xml:space="preserve">需求说明书、概要设计说明书、详细设计说明书、数据库设计说明书、测试计划、测试报告、用户手册、项目计划书、用户培训计划、会议记录和开发进度月报等；       </w:t>
      </w:r>
    </w:p>
    <w:p>
      <w:pPr>
        <w:numPr>
          <w:ilvl w:val="0"/>
          <w:numId w:val="45"/>
        </w:numPr>
        <w:ind w:left="0" w:firstLine="420"/>
        <w:rPr>
          <w:rFonts w:hint="eastAsia"/>
          <w:u w:val="single"/>
        </w:rPr>
      </w:pPr>
      <w:r>
        <w:rPr>
          <w:rFonts w:hint="eastAsia"/>
          <w:u w:val="single"/>
        </w:rPr>
        <w:t xml:space="preserve">按照合同和招标文件中所标明的软件系统及相关的技术维护文档、培训教材、使用说明书等；                                                                     </w:t>
      </w:r>
    </w:p>
    <w:p>
      <w:pPr>
        <w:numPr>
          <w:ilvl w:val="0"/>
          <w:numId w:val="45"/>
        </w:numPr>
        <w:ind w:left="0" w:firstLine="420"/>
        <w:rPr>
          <w:rFonts w:hint="eastAsia"/>
          <w:u w:val="single"/>
        </w:rPr>
      </w:pPr>
      <w:r>
        <w:rPr>
          <w:rFonts w:hint="eastAsia"/>
          <w:u w:val="single"/>
        </w:rPr>
        <w:t xml:space="preserve">全部源代码（电子版）；                                                      </w:t>
      </w:r>
    </w:p>
    <w:p>
      <w:pPr>
        <w:numPr>
          <w:ilvl w:val="0"/>
          <w:numId w:val="45"/>
        </w:numPr>
        <w:ind w:left="0" w:firstLine="420"/>
        <w:rPr>
          <w:rFonts w:hint="eastAsia"/>
          <w:u w:val="single"/>
        </w:rPr>
      </w:pPr>
      <w:r>
        <w:rPr>
          <w:rFonts w:hint="eastAsia"/>
          <w:u w:val="single"/>
        </w:rPr>
        <w:t xml:space="preserve">                                                                           </w:t>
      </w:r>
    </w:p>
    <w:p>
      <w:pPr>
        <w:ind w:firstLine="420" w:firstLineChars="200"/>
        <w:rPr>
          <w:rFonts w:hint="eastAsia"/>
        </w:rPr>
      </w:pPr>
      <w:r>
        <w:rPr>
          <w:rFonts w:hint="eastAsia"/>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pPr>
        <w:tabs>
          <w:tab w:val="left" w:pos="720"/>
        </w:tabs>
        <w:ind w:firstLine="420" w:firstLineChars="200"/>
        <w:rPr>
          <w:rFonts w:hint="eastAsia"/>
        </w:rPr>
      </w:pPr>
      <w:r>
        <w:rPr>
          <w:rFonts w:hint="eastAsia"/>
        </w:rPr>
        <w:t>甲方应在审核通过测试申请后的【   】个工作日内组织由甲方或甲方委托的第三方主持的软件测试，乙方参加，对软件进行测试。测试时应有甲方现场确认交付的全部源代码通过编译获得可执行程序的环节。</w:t>
      </w:r>
    </w:p>
    <w:p>
      <w:pPr>
        <w:tabs>
          <w:tab w:val="left" w:pos="720"/>
        </w:tabs>
        <w:ind w:firstLine="420" w:firstLineChars="200"/>
        <w:rPr>
          <w:rFonts w:hint="eastAsia"/>
        </w:rPr>
      </w:pPr>
      <w:r>
        <w:rPr>
          <w:rFonts w:hint="eastAsia"/>
        </w:rPr>
        <w:t>确认其符合甲方要求的测试标准后，甲方签字确认。</w:t>
      </w:r>
    </w:p>
    <w:p>
      <w:pPr>
        <w:tabs>
          <w:tab w:val="left" w:pos="720"/>
        </w:tabs>
        <w:ind w:firstLine="420" w:firstLineChars="200"/>
      </w:pPr>
      <w:r>
        <w:rPr>
          <w:rFonts w:hint="eastAsia"/>
        </w:rPr>
        <w:t>2.项目初验</w:t>
      </w:r>
    </w:p>
    <w:p>
      <w:pPr>
        <w:tabs>
          <w:tab w:val="left" w:pos="720"/>
        </w:tabs>
        <w:ind w:firstLine="420" w:firstLineChars="200"/>
        <w:rPr>
          <w:rFonts w:hint="eastAsia"/>
        </w:rPr>
      </w:pPr>
      <w:r>
        <w:rPr>
          <w:rFonts w:hint="eastAsia"/>
        </w:rPr>
        <w:t>乙方开发的软件通过测试，并达到了系统初验的条件后，应以书面形式向甲方递交初步验收申请。甲方审核通过后，组织系统初验，并在验收通过后签署初验报告。</w:t>
      </w:r>
    </w:p>
    <w:p>
      <w:pPr>
        <w:tabs>
          <w:tab w:val="left" w:pos="720"/>
        </w:tabs>
        <w:ind w:firstLine="420" w:firstLineChars="200"/>
      </w:pPr>
      <w:r>
        <w:rPr>
          <w:rFonts w:hint="eastAsia"/>
        </w:rPr>
        <w:t>3.系统试运行</w:t>
      </w:r>
    </w:p>
    <w:p>
      <w:pPr>
        <w:ind w:firstLine="420" w:firstLineChars="200"/>
        <w:rPr>
          <w:rFonts w:hint="eastAsia"/>
        </w:rPr>
      </w:pPr>
      <w:r>
        <w:rPr>
          <w:rFonts w:hint="eastAsia"/>
        </w:rPr>
        <w:t>自甲方出具初验报告日起，甲方拥有</w:t>
      </w:r>
      <w:r>
        <w:rPr>
          <w:rFonts w:hint="eastAsia"/>
          <w:u w:val="single"/>
        </w:rPr>
        <w:t xml:space="preserve">    </w:t>
      </w:r>
      <w:r>
        <w:rPr>
          <w:rFonts w:hint="eastAsia"/>
        </w:rPr>
        <w:t xml:space="preserve">个月的试运行权利。试运行期间，乙方应进行全程跟踪，提供全面技术支持服务，及时修改、完善、补充系统功能，确保试运行的顺利进行。   </w:t>
      </w:r>
    </w:p>
    <w:p>
      <w:pPr>
        <w:ind w:firstLine="420" w:firstLineChars="200"/>
        <w:rPr>
          <w:rFonts w:hint="eastAsia"/>
        </w:rPr>
      </w:pPr>
      <w:r>
        <w:rPr>
          <w:rFonts w:hint="eastAsia"/>
        </w:rPr>
        <w:t>乙方在试运行期间，必须保证开发队伍的稳定，根据甲方要求，不断修改和完善软件的功能和性能，直至甲方满意。乙方在试运行期间，应在</w:t>
      </w:r>
      <w:r>
        <w:rPr>
          <w:rFonts w:hint="eastAsia"/>
          <w:u w:val="single"/>
        </w:rPr>
        <w:t xml:space="preserve">     </w:t>
      </w:r>
      <w:r>
        <w:rPr>
          <w:rFonts w:hint="eastAsia"/>
        </w:rPr>
        <w:t>时间内响应故障处理，排除故障的时间一般不超过</w:t>
      </w:r>
      <w:r>
        <w:rPr>
          <w:rFonts w:hint="eastAsia"/>
          <w:u w:val="single"/>
        </w:rPr>
        <w:t xml:space="preserve">     </w:t>
      </w:r>
      <w:r>
        <w:rPr>
          <w:rFonts w:hint="eastAsia"/>
        </w:rPr>
        <w:t>。如由于乙方原因，发生影响甲方业务工作的重大故障，试运行期从故障排除后重新计算。</w:t>
      </w:r>
    </w:p>
    <w:p>
      <w:pPr>
        <w:ind w:firstLine="420" w:firstLineChars="200"/>
      </w:pPr>
      <w:r>
        <w:rPr>
          <w:rFonts w:hint="eastAsia"/>
        </w:rPr>
        <w:t>4.项目终验</w:t>
      </w:r>
    </w:p>
    <w:p>
      <w:pPr>
        <w:tabs>
          <w:tab w:val="left" w:pos="720"/>
        </w:tabs>
        <w:ind w:firstLine="420" w:firstLineChars="200"/>
        <w:rPr>
          <w:rFonts w:hint="eastAsia"/>
        </w:rPr>
      </w:pPr>
      <w:r>
        <w:rPr>
          <w:rFonts w:hint="eastAsia"/>
        </w:rPr>
        <w:t>软件试运行期满合格后，乙方应以书面形式向甲方递交最终验收申请，并更新提交全部相关文档，甲方审核通过后，组织系统终验，并在终验通过后签署终验报告。</w:t>
      </w:r>
    </w:p>
    <w:p>
      <w:pPr>
        <w:ind w:firstLine="420" w:firstLineChars="200"/>
      </w:pPr>
      <w:r>
        <w:rPr>
          <w:rFonts w:hint="eastAsia"/>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t>系统通过</w:t>
      </w:r>
      <w:r>
        <w:rPr>
          <w:rFonts w:hint="eastAsia"/>
        </w:rPr>
        <w:t>终验</w:t>
      </w:r>
      <w:r>
        <w:t>后，所有文档</w:t>
      </w:r>
      <w:r>
        <w:rPr>
          <w:rFonts w:hint="eastAsia"/>
        </w:rPr>
        <w:t>资料</w:t>
      </w:r>
      <w:r>
        <w:t>、软件和</w:t>
      </w:r>
      <w:r>
        <w:rPr>
          <w:rFonts w:hint="eastAsia"/>
        </w:rPr>
        <w:t>资产</w:t>
      </w:r>
      <w:r>
        <w:t>由甲方统一归档</w:t>
      </w:r>
      <w:r>
        <w:rPr>
          <w:rFonts w:hint="eastAsia"/>
        </w:rPr>
        <w:t>保管</w:t>
      </w:r>
      <w:r>
        <w:t>。</w:t>
      </w:r>
    </w:p>
    <w:p>
      <w:pPr>
        <w:pStyle w:val="Heading2"/>
        <w:numPr>
          <w:ilvl w:val="0"/>
          <w:numId w:val="15"/>
        </w:numPr>
        <w:spacing w:before="60" w:after="60" w:line="240" w:lineRule="auto"/>
        <w:ind w:left="0" w:firstLine="640" w:firstLineChars="200"/>
      </w:pPr>
      <w:bookmarkStart w:id="111" w:name="_Toc150439566"/>
      <w:r>
        <w:rPr>
          <w:rFonts w:hint="eastAsia"/>
        </w:rPr>
        <w:t>质量保证</w:t>
      </w:r>
      <w:bookmarkEnd w:id="111"/>
    </w:p>
    <w:p>
      <w:pPr>
        <w:ind w:firstLine="420" w:firstLineChars="200"/>
      </w:pPr>
      <w:r>
        <w:rPr>
          <w:rFonts w:hint="eastAsia"/>
        </w:rPr>
        <w:t>项目通过终验后，软件进入质量保证期。软件质量标准按照国标的软件工程化和质量保证要求执行。</w:t>
      </w:r>
    </w:p>
    <w:p>
      <w:pPr>
        <w:numPr>
          <w:ilvl w:val="0"/>
          <w:numId w:val="46"/>
        </w:numPr>
        <w:ind w:left="0" w:firstLine="420" w:firstLineChars="200"/>
        <w:rPr>
          <w:rFonts w:hint="eastAsia"/>
        </w:rPr>
      </w:pPr>
      <w:r>
        <w:rPr>
          <w:rFonts w:hint="eastAsia"/>
        </w:rPr>
        <w:t>乙方应对提交的软件产品提供为期</w:t>
      </w:r>
      <w:r>
        <w:rPr>
          <w:rFonts w:hint="eastAsia"/>
          <w:u w:val="single"/>
        </w:rPr>
        <w:t xml:space="preserve">     </w:t>
      </w:r>
      <w:r>
        <w:rPr>
          <w:rFonts w:hint="eastAsia"/>
        </w:rPr>
        <w:t>的质量保证期。</w:t>
      </w:r>
    </w:p>
    <w:p>
      <w:pPr>
        <w:numPr>
          <w:ilvl w:val="0"/>
          <w:numId w:val="46"/>
        </w:numPr>
        <w:ind w:left="0" w:firstLine="420" w:firstLineChars="200"/>
      </w:pPr>
      <w:r>
        <w:rPr>
          <w:rFonts w:hint="eastAsia"/>
        </w:rPr>
        <w:t>在质量保证期内，乙方应提供</w:t>
      </w:r>
      <w:r>
        <w:rPr>
          <w:rFonts w:hint="eastAsia"/>
          <w:u w:val="single"/>
        </w:rPr>
        <w:t xml:space="preserve">     不间断</w:t>
      </w:r>
      <w:r>
        <w:rPr>
          <w:rFonts w:hint="eastAsia"/>
        </w:rPr>
        <w:t>的无偿服务响应，至少保留</w:t>
      </w:r>
      <w:r>
        <w:rPr>
          <w:rFonts w:hint="eastAsia"/>
          <w:u w:val="single"/>
        </w:rPr>
        <w:t xml:space="preserve">    </w:t>
      </w:r>
      <w:r>
        <w:rPr>
          <w:rFonts w:hint="eastAsia"/>
        </w:rPr>
        <w:t>名工程师常驻甲方现场或随叫随到且要在</w:t>
      </w:r>
      <w:r>
        <w:rPr>
          <w:rFonts w:hint="eastAsia"/>
          <w:u w:val="single"/>
        </w:rPr>
        <w:t xml:space="preserve">     </w:t>
      </w:r>
      <w:r>
        <w:rPr>
          <w:rFonts w:hint="eastAsia"/>
        </w:rPr>
        <w:t>小时之内赶到现场，予以技术支持。</w:t>
      </w:r>
    </w:p>
    <w:p>
      <w:pPr>
        <w:numPr>
          <w:ilvl w:val="0"/>
          <w:numId w:val="46"/>
        </w:numPr>
        <w:ind w:left="0" w:firstLine="420" w:firstLineChars="200"/>
      </w:pPr>
      <w:r>
        <w:rPr>
          <w:rFonts w:hint="eastAsia"/>
        </w:rPr>
        <w:t>乙方在质量保证期内提供技术支持的内容包括但不限于：</w:t>
      </w:r>
      <w:r>
        <w:rPr>
          <w:rFonts w:hint="eastAsia"/>
          <w:u w:val="single"/>
        </w:rPr>
        <w:t>故障（事件）诊断与排除、系统运行安全支持、软件修改完善与升级、基础数据管理与维护等</w:t>
      </w:r>
      <w:r>
        <w:rPr>
          <w:rFonts w:hint="eastAsia"/>
        </w:rPr>
        <w:t>；乙方应提供时间间隔为</w:t>
      </w:r>
      <w:r>
        <w:rPr>
          <w:rFonts w:hint="eastAsia"/>
          <w:u w:val="single"/>
        </w:rPr>
        <w:t xml:space="preserve">  </w:t>
      </w:r>
    </w:p>
    <w:p>
      <w:pPr>
        <w:rPr>
          <w:rFonts w:hint="eastAsia"/>
        </w:rPr>
      </w:pPr>
      <w:r>
        <w:rPr>
          <w:rFonts w:hint="eastAsia"/>
          <w:u w:val="single"/>
        </w:rPr>
        <w:t xml:space="preserve">     </w:t>
      </w:r>
      <w:r>
        <w:rPr>
          <w:rFonts w:hint="eastAsia"/>
        </w:rPr>
        <w:t>的定期走访甲方或时间间隔为</w:t>
      </w:r>
      <w:r>
        <w:rPr>
          <w:rFonts w:hint="eastAsia"/>
          <w:u w:val="single"/>
        </w:rPr>
        <w:t xml:space="preserve">     </w:t>
      </w:r>
      <w:r>
        <w:rPr>
          <w:rFonts w:hint="eastAsia"/>
        </w:rPr>
        <w:t>的定期巡检服务。</w:t>
      </w:r>
    </w:p>
    <w:p>
      <w:pPr>
        <w:numPr>
          <w:ilvl w:val="0"/>
          <w:numId w:val="46"/>
        </w:numPr>
        <w:ind w:left="0" w:firstLine="420" w:firstLineChars="200"/>
        <w:rPr>
          <w:rFonts w:hint="eastAsia"/>
        </w:rPr>
      </w:pPr>
      <w:r>
        <w:rPr>
          <w:rFonts w:hint="eastAsia"/>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pPr>
        <w:numPr>
          <w:ilvl w:val="0"/>
          <w:numId w:val="46"/>
        </w:numPr>
        <w:ind w:left="0" w:firstLine="420" w:firstLineChars="200"/>
        <w:rPr>
          <w:rFonts w:hint="eastAsia"/>
        </w:rPr>
      </w:pPr>
      <w:r>
        <w:rPr>
          <w:rFonts w:hint="eastAsia"/>
        </w:rPr>
        <w:t>超出质量保证期后，乙方应向甲方提供响应时间在</w:t>
      </w:r>
      <w:r>
        <w:rPr>
          <w:rFonts w:hint="eastAsia"/>
          <w:u w:val="single"/>
        </w:rPr>
        <w:t xml:space="preserve">     </w:t>
      </w:r>
      <w:r>
        <w:rPr>
          <w:rFonts w:hint="eastAsia"/>
        </w:rPr>
        <w:t>内的技术支持服务，保证甲方可以随时找到相应的技术人员，如有必要，要在</w:t>
      </w:r>
      <w:r>
        <w:rPr>
          <w:rFonts w:hint="eastAsia"/>
          <w:u w:val="single"/>
        </w:rPr>
        <w:t xml:space="preserve">     </w:t>
      </w:r>
      <w:r>
        <w:rPr>
          <w:rFonts w:hint="eastAsia"/>
        </w:rPr>
        <w:t>小时之内赶到现场予以技术支持。若发生实质性需求变更，或需要乙方提供技术维护和指导的，乙方承诺以材料及人工的成本价格向甲方提供系统修改、升级及其他运维服务。</w:t>
      </w:r>
    </w:p>
    <w:p>
      <w:pPr>
        <w:pStyle w:val="Heading2"/>
        <w:numPr>
          <w:ilvl w:val="0"/>
          <w:numId w:val="15"/>
        </w:numPr>
        <w:spacing w:before="60" w:after="60" w:line="240" w:lineRule="auto"/>
        <w:ind w:left="0" w:firstLine="640" w:firstLineChars="200"/>
      </w:pPr>
      <w:bookmarkStart w:id="112" w:name="_Toc150439603"/>
      <w:bookmarkStart w:id="113" w:name="_Toc150434250"/>
      <w:bookmarkStart w:id="114" w:name="_Toc150434346"/>
      <w:bookmarkStart w:id="115" w:name="_Toc150424425"/>
      <w:bookmarkStart w:id="116" w:name="_Toc150439612"/>
      <w:bookmarkEnd w:id="112"/>
      <w:bookmarkEnd w:id="113"/>
      <w:bookmarkEnd w:id="114"/>
      <w:bookmarkEnd w:id="115"/>
      <w:r>
        <w:rPr>
          <w:rFonts w:hint="eastAsia"/>
        </w:rPr>
        <w:t>保密条款（保密协议）</w:t>
      </w:r>
      <w:bookmarkEnd w:id="116"/>
    </w:p>
    <w:p>
      <w:pPr>
        <w:ind w:firstLine="420" w:firstLineChars="200"/>
        <w:rPr>
          <w:rFonts w:hint="eastAsia"/>
        </w:rPr>
      </w:pPr>
      <w:r>
        <w:rPr>
          <w:rFonts w:hint="eastAsia"/>
        </w:rPr>
        <w:t>甲方因履行本合同应遵守的保密义务如下：</w:t>
      </w:r>
    </w:p>
    <w:p>
      <w:pPr>
        <w:numPr>
          <w:ilvl w:val="0"/>
          <w:numId w:val="47"/>
        </w:numPr>
        <w:ind w:left="0" w:firstLine="420" w:firstLineChars="200"/>
        <w:rPr>
          <w:rFonts w:hint="eastAsia"/>
        </w:rPr>
      </w:pPr>
      <w:bookmarkStart w:id="117" w:name="_Hlk150343297"/>
      <w:r>
        <w:rPr>
          <w:rFonts w:hint="eastAsia"/>
        </w:rPr>
        <w:t xml:space="preserve">保密内容（包括技术信息和经营信息）: </w:t>
      </w:r>
      <w:r>
        <w:rPr>
          <w:rFonts w:hint="eastAsia"/>
          <w:u w:val="single"/>
        </w:rPr>
        <w:t xml:space="preserve">         </w:t>
      </w:r>
      <w:r>
        <w:rPr>
          <w:u w:val="single"/>
        </w:rPr>
        <w:t xml:space="preserve">              </w:t>
      </w:r>
      <w:r>
        <w:rPr>
          <w:rFonts w:hint="eastAsia"/>
          <w:u w:val="single"/>
        </w:rPr>
        <w:t>；</w:t>
      </w:r>
    </w:p>
    <w:p>
      <w:pPr>
        <w:numPr>
          <w:ilvl w:val="0"/>
          <w:numId w:val="47"/>
        </w:numPr>
        <w:ind w:left="0" w:firstLine="420" w:firstLineChars="200"/>
        <w:rPr>
          <w:rFonts w:hint="eastAsia"/>
        </w:rPr>
      </w:pPr>
      <w:r>
        <w:rPr>
          <w:rFonts w:hint="eastAsia"/>
        </w:rPr>
        <w:t>涉密人员范围:</w:t>
      </w:r>
      <w:r>
        <w:rPr>
          <w:rFonts w:hint="eastAsia"/>
          <w:u w:val="single"/>
        </w:rPr>
        <w:t xml:space="preserve">                                              ；</w:t>
      </w:r>
    </w:p>
    <w:p>
      <w:pPr>
        <w:numPr>
          <w:ilvl w:val="0"/>
          <w:numId w:val="47"/>
        </w:numPr>
        <w:ind w:left="0" w:firstLine="420" w:firstLineChars="200"/>
        <w:rPr>
          <w:rFonts w:hint="eastAsia"/>
          <w:u w:val="single"/>
        </w:rPr>
      </w:pPr>
      <w:r>
        <w:rPr>
          <w:rFonts w:hint="eastAsia"/>
        </w:rPr>
        <w:t>保密期限：</w:t>
      </w:r>
      <w:r>
        <w:rPr>
          <w:rFonts w:hint="eastAsia"/>
          <w:u w:val="single"/>
        </w:rPr>
        <w:t xml:space="preserve">                                                 ；</w:t>
      </w:r>
    </w:p>
    <w:p>
      <w:pPr>
        <w:numPr>
          <w:ilvl w:val="0"/>
          <w:numId w:val="47"/>
        </w:numPr>
        <w:ind w:left="0" w:firstLine="420" w:firstLineChars="200"/>
        <w:rPr>
          <w:rFonts w:hint="eastAsia"/>
        </w:rPr>
      </w:pPr>
      <w:r>
        <w:rPr>
          <w:rFonts w:hint="eastAsia"/>
        </w:rPr>
        <w:t>泄密责任：</w:t>
      </w:r>
      <w:r>
        <w:rPr>
          <w:rFonts w:hint="eastAsia"/>
          <w:u w:val="single"/>
        </w:rPr>
        <w:t xml:space="preserve">                                                 。</w:t>
      </w:r>
    </w:p>
    <w:p>
      <w:pPr>
        <w:ind w:firstLine="420" w:firstLineChars="200"/>
      </w:pPr>
      <w:bookmarkEnd w:id="117"/>
      <w:r>
        <w:rPr>
          <w:rFonts w:hint="eastAsia"/>
        </w:rPr>
        <w:t>乙方因履行本合同应遵守的保密义务如下：</w:t>
      </w:r>
    </w:p>
    <w:p>
      <w:pPr>
        <w:numPr>
          <w:ilvl w:val="0"/>
          <w:numId w:val="48"/>
        </w:numPr>
        <w:ind w:left="0" w:firstLine="420" w:firstLineChars="200"/>
        <w:rPr>
          <w:rFonts w:hint="eastAsia"/>
        </w:rPr>
      </w:pPr>
      <w:r>
        <w:rPr>
          <w:rFonts w:hint="eastAsia"/>
        </w:rPr>
        <w:t>保密内容（包括技术信息和经营信息）：</w:t>
      </w:r>
    </w:p>
    <w:p>
      <w:pPr>
        <w:numPr>
          <w:ilvl w:val="0"/>
          <w:numId w:val="49"/>
        </w:numPr>
        <w:ind w:left="0" w:firstLine="420"/>
        <w:rPr>
          <w:u w:val="single"/>
        </w:rPr>
      </w:pPr>
      <w:r>
        <w:rPr>
          <w:rFonts w:hint="eastAsia"/>
          <w:u w:val="single"/>
        </w:rPr>
        <w:t xml:space="preserve">乙方必须实施防止数据泄露的措施。乙方在对甲方进行系统实施服务过程中，对所取得的甲方资料、数据等应严格保密，不得外泄。                                                                     </w:t>
      </w:r>
    </w:p>
    <w:p>
      <w:pPr>
        <w:numPr>
          <w:ilvl w:val="0"/>
          <w:numId w:val="49"/>
        </w:numPr>
        <w:ind w:left="0" w:firstLine="420"/>
        <w:rPr>
          <w:u w:val="single"/>
        </w:rPr>
      </w:pPr>
      <w:r>
        <w:rPr>
          <w:rFonts w:hint="eastAsia"/>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pPr>
        <w:numPr>
          <w:ilvl w:val="0"/>
          <w:numId w:val="49"/>
        </w:numPr>
        <w:ind w:left="0" w:firstLine="420"/>
        <w:rPr>
          <w:u w:val="single"/>
        </w:rPr>
      </w:pPr>
      <w:r>
        <w:rPr>
          <w:rFonts w:hint="eastAsia"/>
          <w:u w:val="single"/>
        </w:rPr>
        <w:t xml:space="preserve">涉及国家秘密和安全的 ，依照有关保密规定执行。                          </w:t>
      </w:r>
    </w:p>
    <w:p>
      <w:pPr>
        <w:numPr>
          <w:ilvl w:val="0"/>
          <w:numId w:val="48"/>
        </w:numPr>
        <w:ind w:left="0" w:firstLine="420" w:firstLineChars="200"/>
        <w:rPr>
          <w:rFonts w:hint="eastAsia"/>
        </w:rPr>
      </w:pPr>
      <w:r>
        <w:rPr>
          <w:rFonts w:hint="eastAsia"/>
        </w:rPr>
        <w:t>涉密人员范围:</w:t>
      </w:r>
      <w:r>
        <w:rPr>
          <w:rFonts w:hint="eastAsia"/>
          <w:u w:val="single"/>
        </w:rPr>
        <w:t xml:space="preserve">所有参与本项目人员。                                      </w:t>
      </w:r>
    </w:p>
    <w:p>
      <w:pPr>
        <w:numPr>
          <w:ilvl w:val="0"/>
          <w:numId w:val="48"/>
        </w:numPr>
        <w:ind w:left="0" w:firstLine="420" w:firstLineChars="200"/>
        <w:rPr>
          <w:rFonts w:hint="eastAsia"/>
        </w:rPr>
      </w:pPr>
      <w:r>
        <w:rPr>
          <w:rFonts w:hint="eastAsia"/>
        </w:rPr>
        <w:t>保密期限：</w:t>
      </w:r>
      <w:bookmarkStart w:id="118" w:name="_Hlk150343509"/>
      <w:r>
        <w:rPr>
          <w:rFonts w:hint="eastAsia"/>
          <w:u w:val="single"/>
        </w:rPr>
        <w:t xml:space="preserve">                             </w:t>
      </w:r>
      <w:bookmarkEnd w:id="118"/>
      <w:r>
        <w:rPr>
          <w:rFonts w:hint="eastAsia"/>
          <w:u w:val="single"/>
        </w:rPr>
        <w:t xml:space="preserve">                                </w:t>
      </w:r>
    </w:p>
    <w:p>
      <w:pPr>
        <w:numPr>
          <w:ilvl w:val="0"/>
          <w:numId w:val="48"/>
        </w:numPr>
        <w:ind w:left="0" w:firstLine="420" w:firstLineChars="200"/>
        <w:rPr>
          <w:rFonts w:hint="eastAsia"/>
          <w:u w:val="single"/>
        </w:rPr>
      </w:pPr>
      <w:r>
        <w:rPr>
          <w:rFonts w:hint="eastAsia"/>
        </w:rPr>
        <w:t>泄密责任：</w:t>
      </w:r>
      <w:r>
        <w:rPr>
          <w:rFonts w:hint="eastAsia"/>
          <w:u w:val="single"/>
        </w:rPr>
        <w:t xml:space="preserve">由于乙方泄密给甲方造成损失的，甲方可依据我国法律相关规定，选择移送司法机关依法办理。乙方应赔偿甲方的全部损失并向甲方承担违约责任。           </w:t>
      </w:r>
    </w:p>
    <w:p>
      <w:pPr>
        <w:ind w:firstLine="420" w:firstLineChars="200"/>
      </w:pPr>
      <w:r>
        <w:rPr>
          <w:rFonts w:hint="eastAsia"/>
          <w:color w:val="000000"/>
        </w:rPr>
        <w:t>本合同的解除或终止不免除甲乙双方应承担的保密义务，详细内容见附件1。</w:t>
      </w:r>
    </w:p>
    <w:p>
      <w:pPr>
        <w:pStyle w:val="Heading2"/>
        <w:numPr>
          <w:ilvl w:val="0"/>
          <w:numId w:val="15"/>
        </w:numPr>
        <w:spacing w:before="60" w:after="60" w:line="240" w:lineRule="auto"/>
        <w:ind w:left="0" w:firstLine="640" w:firstLineChars="200"/>
      </w:pPr>
      <w:bookmarkStart w:id="119" w:name="_Toc150439618"/>
      <w:r>
        <w:rPr>
          <w:rFonts w:hint="eastAsia"/>
        </w:rPr>
        <w:t>违约</w:t>
      </w:r>
      <w:r>
        <w:t>责任及赔偿</w:t>
      </w:r>
      <w:bookmarkEnd w:id="119"/>
    </w:p>
    <w:p>
      <w:pPr>
        <w:ind w:firstLine="420" w:firstLineChars="200"/>
        <w:rPr>
          <w:rFonts w:hint="eastAsia"/>
        </w:rPr>
      </w:pPr>
      <w:r>
        <w:rPr>
          <w:rFonts w:hint="eastAsia"/>
        </w:rPr>
        <w:t>任何一方违反本合同约定，造成研究开发工作停滞、延误或失败的，按以下约定承担违约责任：</w:t>
      </w:r>
    </w:p>
    <w:p>
      <w:pPr>
        <w:numPr>
          <w:ilvl w:val="0"/>
          <w:numId w:val="50"/>
        </w:numPr>
        <w:adjustRightInd w:val="0"/>
        <w:ind w:left="0" w:firstLine="420" w:firstLineChars="200"/>
        <w:textAlignment w:val="baseline"/>
      </w:pPr>
      <w:r>
        <w:rPr>
          <w:rFonts w:hint="eastAsia"/>
        </w:rPr>
        <w:t>如</w:t>
      </w:r>
      <w:r>
        <w:t>乙方</w:t>
      </w:r>
      <w:r>
        <w:rPr>
          <w:rFonts w:hint="eastAsia"/>
        </w:rPr>
        <w:t>未能按期</w:t>
      </w:r>
      <w:r>
        <w:t>交付</w:t>
      </w:r>
      <w:r>
        <w:rPr>
          <w:rFonts w:hint="eastAsia"/>
        </w:rPr>
        <w:t>符合本合同约定的开发</w:t>
      </w:r>
      <w:r>
        <w:t>成果</w:t>
      </w:r>
      <w:r>
        <w:rPr>
          <w:rFonts w:hint="eastAsia"/>
        </w:rPr>
        <w:t>（包括测试版本及正式版本）的</w:t>
      </w:r>
      <w:r>
        <w:t>，每</w:t>
      </w:r>
      <w:r>
        <w:rPr>
          <w:rFonts w:hint="eastAsia"/>
        </w:rPr>
        <w:t>逾期</w:t>
      </w:r>
      <w:r>
        <w:t>一</w:t>
      </w:r>
      <w:r>
        <w:rPr>
          <w:rFonts w:hint="eastAsia"/>
        </w:rPr>
        <w:t>日</w:t>
      </w:r>
      <w:r>
        <w:t>，乙方应支付本合同开发费用总额</w:t>
      </w:r>
      <w:r>
        <w:rPr>
          <w:u w:val="single"/>
        </w:rPr>
        <w:t>【</w:t>
      </w:r>
      <w:r>
        <w:rPr>
          <w:rFonts w:hint="eastAsia"/>
          <w:u w:val="single"/>
        </w:rPr>
        <w:t xml:space="preserve">  </w:t>
      </w:r>
      <w:r>
        <w:rPr>
          <w:u w:val="single"/>
        </w:rPr>
        <w:t>】</w:t>
      </w:r>
      <w:r>
        <w:t>%的违约金，</w:t>
      </w:r>
      <w:r>
        <w:rPr>
          <w:rFonts w:hint="eastAsia"/>
        </w:rPr>
        <w:t>并继续履行本合同规定的义务；逾期</w:t>
      </w:r>
      <w:r>
        <w:rPr>
          <w:u w:val="single"/>
        </w:rPr>
        <w:t>【</w:t>
      </w:r>
      <w:r>
        <w:rPr>
          <w:rFonts w:hint="eastAsia"/>
          <w:u w:val="single"/>
        </w:rPr>
        <w:t xml:space="preserve">  </w:t>
      </w:r>
      <w:r>
        <w:rPr>
          <w:u w:val="single"/>
        </w:rPr>
        <w:t>】</w:t>
      </w:r>
      <w:r>
        <w:t>日以上的，甲方有权单方解除本合同</w:t>
      </w:r>
      <w:r>
        <w:rPr>
          <w:rFonts w:hint="eastAsia"/>
        </w:rPr>
        <w:t>，且乙方全额返还甲方已付款，并按合同总额的</w:t>
      </w:r>
      <w:r>
        <w:rPr>
          <w:rFonts w:hint="eastAsia"/>
          <w:u w:val="single"/>
        </w:rPr>
        <w:t>【  】</w:t>
      </w:r>
      <w:r>
        <w:rPr>
          <w:rFonts w:hint="eastAsia"/>
        </w:rPr>
        <w:t>%向甲方承担违约责任</w:t>
      </w:r>
      <w:r>
        <w:t>。</w:t>
      </w:r>
      <w:r>
        <w:rPr>
          <w:rFonts w:hint="eastAsia"/>
        </w:rPr>
        <w:t>因甲方原因造成乙方不能按期完成的，经甲方确认后，乙方开发期限可以相应顺延。</w:t>
      </w:r>
    </w:p>
    <w:p>
      <w:pPr>
        <w:numPr>
          <w:ilvl w:val="0"/>
          <w:numId w:val="50"/>
        </w:numPr>
        <w:adjustRightInd w:val="0"/>
        <w:ind w:left="0" w:firstLine="420" w:firstLineChars="200"/>
        <w:textAlignment w:val="baseline"/>
      </w:pPr>
      <w:r>
        <w:rPr>
          <w:rFonts w:hint="eastAsia"/>
        </w:rPr>
        <w:t>乙方未按确认的计划进度实施研究开发工作的，甲方有权要求其实施研究开发计划并采取补救措施。乙方逾期</w:t>
      </w:r>
      <w:r>
        <w:rPr>
          <w:rFonts w:hint="eastAsia"/>
          <w:u w:val="single"/>
        </w:rPr>
        <w:t>【  】</w:t>
      </w:r>
      <w:r>
        <w:rPr>
          <w:rFonts w:hint="eastAsia"/>
        </w:rPr>
        <w:t>个月不实施研究开发计划的，甲方有权解除本合同。乙方应当支付数额为本项目开发费用总额</w:t>
      </w:r>
      <w:r>
        <w:rPr>
          <w:rFonts w:hint="eastAsia"/>
          <w:u w:val="single"/>
        </w:rPr>
        <w:t>【  】</w:t>
      </w:r>
      <w:r>
        <w:rPr>
          <w:rFonts w:hint="eastAsia"/>
        </w:rPr>
        <w:t>％的违约金。</w:t>
      </w:r>
    </w:p>
    <w:p>
      <w:pPr>
        <w:numPr>
          <w:ilvl w:val="0"/>
          <w:numId w:val="50"/>
        </w:numPr>
        <w:adjustRightInd w:val="0"/>
        <w:ind w:left="0" w:firstLine="420" w:firstLineChars="200"/>
        <w:textAlignment w:val="baseline"/>
      </w:pPr>
      <w:r>
        <w:rPr>
          <w:rFonts w:hint="eastAsia"/>
        </w:rPr>
        <w:t>本系统软件的研究开发成果经甲方或者甲方聘请的第三方验收确认为部分或者全部不符合本合同约定条件标准的，乙方应当返还部分或者全部研究开发经费，并支付数额为本项目开发费用总额</w:t>
      </w:r>
      <w:r>
        <w:rPr>
          <w:rFonts w:hint="eastAsia"/>
          <w:u w:val="single"/>
        </w:rPr>
        <w:t>【  】</w:t>
      </w:r>
      <w:r>
        <w:rPr>
          <w:rFonts w:hint="eastAsia"/>
        </w:rPr>
        <w:t>%的违约金。</w:t>
      </w:r>
    </w:p>
    <w:p>
      <w:pPr>
        <w:numPr>
          <w:ilvl w:val="0"/>
          <w:numId w:val="50"/>
        </w:numPr>
        <w:adjustRightInd w:val="0"/>
        <w:ind w:left="0" w:firstLine="420" w:firstLineChars="200"/>
        <w:textAlignment w:val="baseline"/>
      </w:pPr>
      <w:r>
        <w:rPr>
          <w:rFonts w:hint="eastAsia"/>
        </w:rPr>
        <w:t>如乙方交付的软件系统，经甲方试运行</w:t>
      </w:r>
      <w:r>
        <w:rPr>
          <w:rFonts w:hint="eastAsia"/>
          <w:u w:val="single"/>
        </w:rPr>
        <w:t>【  】</w:t>
      </w:r>
      <w:r>
        <w:rPr>
          <w:rFonts w:hint="eastAsia"/>
        </w:rPr>
        <w:t>天内不能通过交工验收的，视为乙方不能交付符合本合同约定的技术成果，</w:t>
      </w:r>
      <w:r>
        <w:t>甲方有权单方解除本合同</w:t>
      </w:r>
      <w:r>
        <w:rPr>
          <w:rFonts w:hint="eastAsia"/>
        </w:rPr>
        <w:t>，乙方除全额返还甲方已付款外，并按合同金额的</w:t>
      </w:r>
      <w:r>
        <w:rPr>
          <w:rFonts w:hint="eastAsia"/>
          <w:u w:val="single"/>
        </w:rPr>
        <w:t>【  】</w:t>
      </w:r>
      <w:r>
        <w:rPr>
          <w:rFonts w:hint="eastAsia"/>
        </w:rPr>
        <w:t>%向甲方承担违约责任</w:t>
      </w:r>
      <w:r>
        <w:t>。</w:t>
      </w:r>
    </w:p>
    <w:p>
      <w:pPr>
        <w:numPr>
          <w:ilvl w:val="0"/>
          <w:numId w:val="50"/>
        </w:numPr>
        <w:adjustRightInd w:val="0"/>
        <w:ind w:left="0" w:firstLine="420" w:firstLineChars="200"/>
        <w:textAlignment w:val="baseline"/>
      </w:pPr>
      <w:r>
        <w:rPr>
          <w:rFonts w:hint="eastAsia"/>
        </w:rPr>
        <w:t>在执行本合同过程中，乙方违反本合同之约定，均为违约。除本合同另有约定外，经甲方书面催告后</w:t>
      </w:r>
      <w:r>
        <w:rPr>
          <w:rFonts w:hint="eastAsia"/>
          <w:u w:val="single"/>
        </w:rPr>
        <w:t>【  】</w:t>
      </w:r>
      <w:r>
        <w:rPr>
          <w:rFonts w:hint="eastAsia"/>
        </w:rPr>
        <w:t>日内仍拒绝履行或拒绝改正完毕的，甲方有权单方解除本合同，乙方除向甲方支付相当于合同金额的</w:t>
      </w:r>
      <w:r>
        <w:rPr>
          <w:rFonts w:hint="eastAsia"/>
          <w:u w:val="single"/>
        </w:rPr>
        <w:t>【  】</w:t>
      </w:r>
      <w:r>
        <w:rPr>
          <w:rFonts w:hint="eastAsia"/>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pPr>
        <w:numPr>
          <w:ilvl w:val="0"/>
          <w:numId w:val="50"/>
        </w:numPr>
        <w:adjustRightInd w:val="0"/>
        <w:ind w:left="0" w:firstLine="420" w:firstLineChars="200"/>
        <w:textAlignment w:val="baseline"/>
        <w:rPr>
          <w:rFonts w:hint="eastAsia"/>
        </w:rPr>
      </w:pPr>
      <w:r>
        <w:rPr>
          <w:rFonts w:hint="eastAsia"/>
        </w:rPr>
        <w:t>乙方执行本合同过程中，由于自然因素、人为因素、技术漏洞或管理缺陷产生的对气象部门的伤害或损失，不包含资金风险，乙方承担相应的法律责任。</w:t>
      </w:r>
    </w:p>
    <w:p>
      <w:pPr>
        <w:numPr>
          <w:ilvl w:val="0"/>
          <w:numId w:val="50"/>
        </w:numPr>
        <w:adjustRightInd w:val="0"/>
        <w:ind w:left="0" w:firstLine="420" w:firstLineChars="200"/>
        <w:textAlignment w:val="baseline"/>
        <w:rPr>
          <w:rFonts w:hint="eastAsia"/>
        </w:rPr>
      </w:pPr>
      <w:r>
        <w:rPr>
          <w:rFonts w:hint="eastAsia"/>
        </w:rPr>
        <w:t>乙方有关</w:t>
      </w:r>
      <w:r>
        <w:t>资质在</w:t>
      </w:r>
      <w:r>
        <w:rPr>
          <w:rFonts w:hint="eastAsia"/>
        </w:rPr>
        <w:t>合同执行</w:t>
      </w:r>
      <w:r>
        <w:t>完</w:t>
      </w:r>
      <w:r>
        <w:rPr>
          <w:rFonts w:hint="eastAsia"/>
        </w:rPr>
        <w:t>毕之前到期的，应确保该资质有效期得到延长至合同执行完毕之后，或者取得有效期至执行合同完毕之后的更高等级的该资质，否则甲</w:t>
      </w:r>
      <w:r>
        <w:t>方有权</w:t>
      </w:r>
      <w:r>
        <w:rPr>
          <w:rFonts w:hint="eastAsia"/>
        </w:rPr>
        <w:t>中止合同，并</w:t>
      </w:r>
      <w:r>
        <w:t>追究</w:t>
      </w:r>
      <w:r>
        <w:rPr>
          <w:rFonts w:hint="eastAsia"/>
        </w:rPr>
        <w:t>乙</w:t>
      </w:r>
      <w:r>
        <w:t>方的责任</w:t>
      </w:r>
      <w:r>
        <w:rPr>
          <w:rFonts w:hint="eastAsia"/>
        </w:rPr>
        <w:t>。</w:t>
      </w:r>
    </w:p>
    <w:p>
      <w:pPr>
        <w:pStyle w:val="Heading2"/>
        <w:numPr>
          <w:ilvl w:val="0"/>
          <w:numId w:val="15"/>
        </w:numPr>
        <w:spacing w:before="60" w:after="60" w:line="240" w:lineRule="auto"/>
        <w:ind w:left="0" w:firstLine="640" w:firstLineChars="200"/>
      </w:pPr>
      <w:bookmarkStart w:id="120" w:name="_Toc150439619"/>
      <w:r>
        <w:rPr>
          <w:rFonts w:hint="eastAsia"/>
        </w:rPr>
        <w:t>争议的解决</w:t>
      </w:r>
      <w:bookmarkEnd w:id="120"/>
    </w:p>
    <w:p>
      <w:pPr>
        <w:ind w:firstLine="420" w:firstLineChars="200"/>
        <w:rPr>
          <w:rFonts w:hint="eastAsia"/>
        </w:rPr>
      </w:pPr>
      <w:r>
        <w:rPr>
          <w:rFonts w:hint="eastAsia"/>
        </w:rPr>
        <w:t>双方因履行本合同而发生的争议，应协商、调解解决。协商、调解不成的，确定按以下第</w:t>
      </w:r>
      <w:r>
        <w:rPr>
          <w:rFonts w:hint="eastAsia"/>
          <w:u w:val="single"/>
        </w:rPr>
        <w:t xml:space="preserve">      </w:t>
      </w:r>
      <w:r>
        <w:rPr>
          <w:rFonts w:hint="eastAsia"/>
        </w:rPr>
        <w:t>种方式处理：</w:t>
      </w:r>
    </w:p>
    <w:p>
      <w:pPr>
        <w:numPr>
          <w:ilvl w:val="0"/>
          <w:numId w:val="51"/>
        </w:numPr>
        <w:ind w:hanging="5"/>
        <w:rPr>
          <w:rFonts w:hint="eastAsia"/>
        </w:rPr>
      </w:pPr>
      <w:r>
        <w:rPr>
          <w:rFonts w:hint="eastAsia"/>
        </w:rPr>
        <w:t>提交</w:t>
      </w:r>
      <w:r>
        <w:rPr>
          <w:rFonts w:hint="eastAsia"/>
          <w:u w:val="single"/>
        </w:rPr>
        <w:t xml:space="preserve">                    </w:t>
      </w:r>
      <w:r>
        <w:rPr>
          <w:rFonts w:hint="eastAsia"/>
        </w:rPr>
        <w:t>仲裁委员会仲裁；</w:t>
      </w:r>
    </w:p>
    <w:p>
      <w:pPr>
        <w:numPr>
          <w:ilvl w:val="0"/>
          <w:numId w:val="51"/>
        </w:numPr>
        <w:ind w:hanging="5"/>
        <w:rPr>
          <w:rFonts w:hint="eastAsia"/>
        </w:rPr>
      </w:pPr>
      <w:r>
        <w:rPr>
          <w:rFonts w:hint="eastAsia"/>
        </w:rPr>
        <w:t>依法向甲方所在地人民法院起诉。</w:t>
      </w:r>
    </w:p>
    <w:p>
      <w:pPr>
        <w:pStyle w:val="Heading2"/>
        <w:numPr>
          <w:ilvl w:val="0"/>
          <w:numId w:val="15"/>
        </w:numPr>
        <w:spacing w:before="60" w:after="60" w:line="240" w:lineRule="auto"/>
        <w:ind w:left="0" w:firstLine="640" w:firstLineChars="200"/>
      </w:pPr>
      <w:bookmarkStart w:id="121" w:name="_Toc150439621"/>
      <w:r>
        <w:rPr>
          <w:rFonts w:hint="eastAsia"/>
        </w:rPr>
        <w:t>不可抗力</w:t>
      </w:r>
      <w:bookmarkEnd w:id="121"/>
    </w:p>
    <w:p>
      <w:pPr>
        <w:numPr>
          <w:ilvl w:val="0"/>
          <w:numId w:val="52"/>
        </w:numPr>
        <w:ind w:left="0" w:firstLine="420" w:firstLineChars="200"/>
        <w:rPr>
          <w:rFonts w:hint="eastAsia"/>
        </w:rPr>
      </w:pPr>
      <w:r>
        <w:rPr>
          <w:rFonts w:hint="eastAsia"/>
        </w:rPr>
        <w:t>在本合同履行中，因出现在现有技术水平和条件下难以克服的技术困难，双方确定，本合同项目的技术风险按</w:t>
      </w:r>
      <w:r>
        <w:rPr>
          <w:rFonts w:hint="eastAsia"/>
          <w:u w:val="single"/>
        </w:rPr>
        <w:t xml:space="preserve">               </w:t>
      </w:r>
      <w:r>
        <w:rPr>
          <w:rFonts w:hint="eastAsia"/>
        </w:rPr>
        <w:t>的方式认定。认定技术风险的基本内容应当包括技术风险的存在、范围、程度及损失大小等。认定技术风险的基本条件是：</w:t>
      </w:r>
    </w:p>
    <w:p>
      <w:pPr>
        <w:numPr>
          <w:ilvl w:val="0"/>
          <w:numId w:val="53"/>
        </w:numPr>
        <w:ind w:hanging="5"/>
        <w:rPr>
          <w:rFonts w:hint="eastAsia"/>
        </w:rPr>
      </w:pPr>
      <w:r>
        <w:rPr>
          <w:rFonts w:hint="eastAsia"/>
        </w:rPr>
        <w:t>本合同项目在现有技术水平条件下具有足够的难度；</w:t>
      </w:r>
    </w:p>
    <w:p>
      <w:pPr>
        <w:numPr>
          <w:ilvl w:val="0"/>
          <w:numId w:val="53"/>
        </w:numPr>
        <w:ind w:hanging="5"/>
      </w:pPr>
      <w:r>
        <w:rPr>
          <w:rFonts w:hint="eastAsia"/>
        </w:rPr>
        <w:t>乙方在主观上无过错且经认定研究开发失败为合理的失败。</w:t>
      </w:r>
    </w:p>
    <w:p>
      <w:pPr>
        <w:ind w:firstLine="420" w:firstLineChars="200"/>
      </w:pPr>
      <w:r>
        <w:rPr>
          <w:rFonts w:hint="eastAsia"/>
        </w:rPr>
        <w:t>一方发现技术风险存在并有可能致使研究开发失败或部分失败的情形时，应当在</w:t>
      </w:r>
      <w:r>
        <w:rPr>
          <w:rFonts w:hint="eastAsia"/>
          <w:u w:val="single"/>
        </w:rPr>
        <w:t xml:space="preserve"> </w:t>
      </w:r>
      <w:r>
        <w:rPr>
          <w:u w:val="single"/>
        </w:rPr>
        <w:t xml:space="preserve">    </w:t>
      </w:r>
      <w:r>
        <w:rPr>
          <w:rFonts w:hint="eastAsia"/>
          <w:u w:val="single"/>
        </w:rPr>
        <w:t xml:space="preserve">  </w:t>
      </w:r>
    </w:p>
    <w:p>
      <w:pPr>
        <w:rPr>
          <w:rFonts w:hint="eastAsia"/>
        </w:rPr>
      </w:pPr>
      <w:r>
        <w:rPr>
          <w:rFonts w:hint="eastAsia"/>
        </w:rPr>
        <w:t>日内通知另一方并采取适当措施减少损失。逾期未通知并未采取适当措施而致使损失扩大的，应当就扩大的损失承担赔偿责任。</w:t>
      </w:r>
    </w:p>
    <w:p>
      <w:pPr>
        <w:numPr>
          <w:ilvl w:val="0"/>
          <w:numId w:val="52"/>
        </w:numPr>
        <w:ind w:left="0" w:firstLine="420" w:firstLineChars="200"/>
      </w:pPr>
      <w:r>
        <w:rPr>
          <w:rFonts w:hint="eastAsia"/>
        </w:rPr>
        <w:t>在本合同履行中，因作为研究开发标的技术已经由他人公开（包括以专利权方式公开），一方应在</w:t>
      </w:r>
      <w:r>
        <w:rPr>
          <w:rFonts w:hint="eastAsia"/>
          <w:u w:val="single"/>
        </w:rPr>
        <w:t xml:space="preserve">      </w:t>
      </w:r>
      <w:r>
        <w:rPr>
          <w:rFonts w:hint="eastAsia"/>
        </w:rPr>
        <w:t>日内通知另一方解除合同。逾期未通知并致使另一方产生损失的，另一方有权要求予以赔偿。</w:t>
      </w:r>
    </w:p>
    <w:p>
      <w:pPr>
        <w:numPr>
          <w:ilvl w:val="0"/>
          <w:numId w:val="52"/>
        </w:numPr>
        <w:ind w:left="0" w:firstLine="420" w:firstLineChars="200"/>
        <w:rPr>
          <w:rFonts w:hint="eastAsia"/>
        </w:rPr>
      </w:pPr>
      <w:r>
        <w:rPr>
          <w:rFonts w:hint="eastAsia"/>
        </w:rPr>
        <w:t>双方确定出现下列情形，致使本合同的履行成为不必要或不可能的，一方可以通知另一方解除本合同；</w:t>
      </w:r>
    </w:p>
    <w:p>
      <w:pPr>
        <w:numPr>
          <w:ilvl w:val="0"/>
          <w:numId w:val="54"/>
        </w:numPr>
        <w:ind w:hanging="5"/>
        <w:rPr>
          <w:rFonts w:hint="eastAsia"/>
        </w:rPr>
      </w:pPr>
      <w:r>
        <w:rPr>
          <w:rFonts w:hint="eastAsia"/>
        </w:rPr>
        <w:t>因发生不可抗力或技术风险；</w:t>
      </w:r>
    </w:p>
    <w:p>
      <w:pPr>
        <w:numPr>
          <w:ilvl w:val="0"/>
          <w:numId w:val="54"/>
        </w:numPr>
        <w:ind w:hanging="5"/>
        <w:rPr>
          <w:rFonts w:hint="eastAsia"/>
        </w:rPr>
      </w:pPr>
      <w:r>
        <w:rPr>
          <w:rFonts w:hint="eastAsia"/>
        </w:rPr>
        <w:t>因一方未按约定履行合同义务支付款项的；</w:t>
      </w:r>
    </w:p>
    <w:p>
      <w:pPr>
        <w:numPr>
          <w:ilvl w:val="0"/>
          <w:numId w:val="54"/>
        </w:numPr>
        <w:ind w:hanging="5"/>
        <w:rPr>
          <w:rFonts w:hint="eastAsia"/>
        </w:rPr>
      </w:pPr>
      <w:r>
        <w:rPr>
          <w:rFonts w:hint="eastAsia"/>
        </w:rPr>
        <w:t>因一方未按期完成合同约定的项目开发任务。</w:t>
      </w:r>
    </w:p>
    <w:p>
      <w:pPr>
        <w:pStyle w:val="Heading2"/>
        <w:numPr>
          <w:ilvl w:val="0"/>
          <w:numId w:val="15"/>
        </w:numPr>
        <w:spacing w:before="60" w:after="60" w:line="240" w:lineRule="auto"/>
        <w:ind w:left="0" w:firstLine="640" w:firstLineChars="200"/>
      </w:pPr>
      <w:r>
        <w:rPr>
          <w:rFonts w:hint="eastAsia"/>
        </w:rPr>
        <w:t>安全廉洁协议</w:t>
      </w:r>
    </w:p>
    <w:p>
      <w:pPr>
        <w:ind w:firstLine="420" w:firstLineChars="200"/>
        <w:rPr>
          <w:rFonts w:ascii="Times New Roman" w:eastAsia="宋体" w:hAnsi="Times New Roman" w:cs="Times New Roman" w:hint="eastAsia"/>
        </w:rPr>
      </w:pPr>
      <w:r>
        <w:rPr>
          <w:rFonts w:ascii="Times New Roman" w:eastAsia="宋体" w:hAnsi="Times New Roman" w:cs="Times New Roman" w:hint="eastAsia"/>
        </w:rPr>
        <w:t>为防范和控制项目商订及履行过程中的廉洁风险，维护双方合法权益，特制定本廉洁协议。协议明确了管理单位与承担单位共同遵守国家法规、坚持公开公正透明原则的责任，并对双方人员的行为义务作出严格规定，包括禁止索贿受贿、禁止提供或接受不正当利益、禁止违规推荐分包商等。协议设立廉洁违约罚金制度（最高为合同总额的1%，不超过50万元），根据情节轻重予以扣减，并可追加暂停合同履行、降低信用评级等处理措施。本协议作为主合同附件，由双方纪检监察部门联合监督执行。详细内容见附件2。</w:t>
      </w:r>
    </w:p>
    <w:p>
      <w:pPr>
        <w:pStyle w:val="Heading2"/>
        <w:numPr>
          <w:ilvl w:val="0"/>
          <w:numId w:val="15"/>
        </w:numPr>
        <w:spacing w:before="60" w:after="60" w:line="240" w:lineRule="auto"/>
        <w:ind w:left="0" w:firstLine="640" w:firstLineChars="200"/>
        <w:rPr>
          <w:rFonts w:hint="eastAsia"/>
        </w:rPr>
      </w:pPr>
      <w:bookmarkStart w:id="122" w:name="_Toc150439624"/>
      <w:r>
        <w:rPr>
          <w:rFonts w:hint="eastAsia"/>
        </w:rPr>
        <w:t>本合同的变更</w:t>
      </w:r>
      <w:bookmarkEnd w:id="122"/>
    </w:p>
    <w:p>
      <w:pPr>
        <w:numPr>
          <w:ilvl w:val="0"/>
          <w:numId w:val="55"/>
        </w:numPr>
        <w:spacing w:before="221"/>
        <w:ind w:left="0" w:firstLine="420" w:firstLineChars="200"/>
      </w:pPr>
      <w:r>
        <w:rPr>
          <w:rFonts w:hint="eastAsia"/>
        </w:rPr>
        <w:t>合同一经签订，不得随意变更、调整、中止或终止。对确需变更、调整或者中止、终止合同的，应按规定履行相应的手续。</w:t>
      </w:r>
    </w:p>
    <w:p>
      <w:pPr>
        <w:numPr>
          <w:ilvl w:val="0"/>
          <w:numId w:val="55"/>
        </w:numPr>
        <w:spacing w:before="221"/>
        <w:ind w:left="0" w:firstLine="420" w:firstLineChars="200"/>
      </w:pPr>
      <w:r>
        <w:rPr>
          <w:rFonts w:hint="eastAsia"/>
        </w:rPr>
        <w:t>本合同的变更必须由双方协商一致，并以书面形式确定。但有下列情形之一的，一方可以向另一方提出变更合同权利与义务的请求，另一方应当在</w:t>
      </w:r>
      <w:r>
        <w:rPr>
          <w:rFonts w:hint="eastAsia"/>
          <w:u w:val="single"/>
        </w:rPr>
        <w:t xml:space="preserve">      </w:t>
      </w:r>
      <w:r>
        <w:rPr>
          <w:rFonts w:hint="eastAsia"/>
        </w:rPr>
        <w:t>日内予以答复；逾期未予答复的，视为同意。</w:t>
      </w:r>
    </w:p>
    <w:p>
      <w:pPr>
        <w:spacing w:before="221"/>
        <w:ind w:left="420" w:leftChars="200"/>
        <w:rPr>
          <w:u w:val="single"/>
        </w:rPr>
      </w:pPr>
      <w:r>
        <w:rPr>
          <w:rFonts w:hint="eastAsia"/>
          <w:u w:val="single"/>
        </w:rPr>
        <w:t xml:space="preserve">                                                              </w:t>
      </w:r>
    </w:p>
    <w:p>
      <w:pPr>
        <w:pStyle w:val="Heading2"/>
        <w:numPr>
          <w:ilvl w:val="0"/>
          <w:numId w:val="15"/>
        </w:numPr>
        <w:spacing w:before="60" w:after="60" w:line="240" w:lineRule="auto"/>
        <w:ind w:left="0" w:firstLine="640" w:firstLineChars="200"/>
      </w:pPr>
      <w:bookmarkStart w:id="123" w:name="_Toc150424441"/>
      <w:bookmarkStart w:id="124" w:name="_Toc150434362"/>
      <w:bookmarkStart w:id="125" w:name="_Toc150439622"/>
      <w:bookmarkStart w:id="126" w:name="_Toc150439623"/>
      <w:bookmarkStart w:id="127" w:name="_Toc150434266"/>
      <w:bookmarkEnd w:id="123"/>
      <w:bookmarkEnd w:id="127"/>
      <w:bookmarkEnd w:id="124"/>
      <w:bookmarkEnd w:id="125"/>
      <w:r>
        <w:rPr>
          <w:rFonts w:hint="eastAsia"/>
        </w:rPr>
        <w:t>其它</w:t>
      </w:r>
      <w:bookmarkEnd w:id="126"/>
    </w:p>
    <w:p>
      <w:pPr>
        <w:ind w:left="420" w:leftChars="200"/>
      </w:pPr>
      <w:r>
        <w:rPr>
          <w:rFonts w:hint="eastAsia"/>
        </w:rPr>
        <w:t>本合同未尽事宜，由双方协商后按有关程序办理，并以书面形式进行确定。</w:t>
      </w:r>
    </w:p>
    <w:p>
      <w:pPr>
        <w:pStyle w:val="Heading2"/>
        <w:numPr>
          <w:ilvl w:val="0"/>
          <w:numId w:val="15"/>
        </w:numPr>
        <w:spacing w:before="60" w:after="60" w:line="240" w:lineRule="auto"/>
        <w:ind w:left="0" w:firstLine="640" w:firstLineChars="200"/>
        <w:rPr>
          <w:rFonts w:hint="eastAsia"/>
        </w:rPr>
      </w:pPr>
      <w:bookmarkStart w:id="128" w:name="_Toc150439626"/>
      <w:r>
        <w:rPr>
          <w:rFonts w:hint="eastAsia"/>
        </w:rPr>
        <w:t>合同生效</w:t>
      </w:r>
      <w:bookmarkEnd w:id="128"/>
    </w:p>
    <w:p>
      <w:pPr>
        <w:numPr>
          <w:ilvl w:val="0"/>
          <w:numId w:val="56"/>
        </w:numPr>
        <w:ind w:left="0" w:firstLine="420" w:firstLineChars="200"/>
      </w:pPr>
      <w:r>
        <w:rPr>
          <w:rFonts w:hint="eastAsia"/>
        </w:rPr>
        <w:t>本合同经双方法定代表人或授权代表签字盖章后生效，至质保期结束终止。</w:t>
      </w:r>
    </w:p>
    <w:p>
      <w:pPr>
        <w:numPr>
          <w:ilvl w:val="0"/>
          <w:numId w:val="56"/>
        </w:numPr>
        <w:ind w:left="0" w:firstLine="420" w:firstLineChars="200"/>
      </w:pPr>
      <w:r>
        <w:rPr>
          <w:rFonts w:hint="eastAsia"/>
        </w:rPr>
        <w:t>本合同一式</w:t>
      </w:r>
      <w:r>
        <w:rPr>
          <w:rFonts w:hint="eastAsia"/>
          <w:u w:val="single"/>
        </w:rPr>
        <w:t xml:space="preserve"> </w:t>
      </w:r>
      <w:r>
        <w:rPr>
          <w:u w:val="single"/>
        </w:rPr>
        <w:t xml:space="preserve">   </w:t>
      </w:r>
      <w:r>
        <w:rPr>
          <w:rFonts w:hint="eastAsia"/>
        </w:rPr>
        <w:t>份，双方各执</w:t>
      </w:r>
      <w:r>
        <w:rPr>
          <w:rFonts w:hint="eastAsia"/>
          <w:u w:val="single"/>
        </w:rPr>
        <w:t xml:space="preserve"> </w:t>
      </w:r>
      <w:r>
        <w:rPr>
          <w:u w:val="single"/>
        </w:rPr>
        <w:t xml:space="preserve">   </w:t>
      </w:r>
      <w:r>
        <w:rPr>
          <w:rFonts w:hint="eastAsia"/>
        </w:rPr>
        <w:t>份，具有同等法律效力。</w:t>
      </w:r>
    </w:p>
    <w:p>
      <w:pPr>
        <w:ind w:firstLine="420" w:firstLineChars="200"/>
        <w:jc w:val="left"/>
        <w:rPr>
          <w:rFonts w:hint="eastAsia"/>
        </w:rPr>
      </w:pPr>
      <w:r>
        <w:rPr>
          <w:rFonts w:hint="eastAsia"/>
        </w:rPr>
        <w:t>甲方：</w:t>
      </w:r>
      <w:r>
        <w:rPr>
          <w:rFonts w:hint="eastAsia"/>
          <w:u w:val="single"/>
        </w:rPr>
        <w:t xml:space="preserve">            </w:t>
      </w:r>
      <w:r>
        <w:rPr>
          <w:rFonts w:hint="eastAsia"/>
        </w:rPr>
        <w:t xml:space="preserve"> (盖章） </w:t>
      </w:r>
    </w:p>
    <w:p>
      <w:pPr>
        <w:ind w:firstLine="420" w:firstLineChars="200"/>
        <w:rPr>
          <w:rFonts w:hint="eastAsia"/>
        </w:rPr>
      </w:pPr>
      <w:r>
        <w:rPr>
          <w:rFonts w:hint="eastAsia"/>
        </w:rPr>
        <w:t>经办人：</w:t>
      </w:r>
      <w:r>
        <w:rPr>
          <w:rFonts w:hint="eastAsia"/>
          <w:u w:val="single"/>
        </w:rPr>
        <w:t xml:space="preserve">         </w:t>
      </w:r>
      <w:r>
        <w:rPr>
          <w:u w:val="single"/>
        </w:rPr>
        <w:t xml:space="preserve"> </w:t>
      </w:r>
      <w:r>
        <w:rPr>
          <w:rFonts w:hint="eastAsia"/>
        </w:rPr>
        <w:t>（签名）</w:t>
      </w:r>
    </w:p>
    <w:p>
      <w:pPr>
        <w:ind w:firstLine="420" w:firstLineChars="200"/>
        <w:rPr>
          <w:rFonts w:hint="eastAsia"/>
        </w:rPr>
      </w:pPr>
      <w:r>
        <w:rPr>
          <w:rFonts w:hint="eastAsia"/>
        </w:rPr>
        <w:t>法定代表人/</w:t>
      </w:r>
      <w:r>
        <w:rPr>
          <w:rFonts w:hint="eastAsia"/>
        </w:rPr>
        <w:t>授权</w:t>
      </w:r>
      <w:r>
        <w:rPr>
          <w:rFonts w:hint="eastAsia"/>
        </w:rPr>
        <w:t>代理人：</w:t>
      </w:r>
      <w:r>
        <w:rPr>
          <w:rFonts w:hint="eastAsia"/>
          <w:u w:val="single"/>
        </w:rPr>
        <w:t xml:space="preserve">                            </w:t>
      </w:r>
      <w:r>
        <w:rPr>
          <w:u w:val="single"/>
        </w:rPr>
        <w:t xml:space="preserve"> </w:t>
      </w:r>
      <w:r>
        <w:rPr>
          <w:rFonts w:hint="eastAsia"/>
        </w:rPr>
        <w:t>（签名）</w:t>
      </w:r>
    </w:p>
    <w:p>
      <w:pPr>
        <w:ind w:firstLine="420" w:firstLineChars="200"/>
        <w:rPr>
          <w:rFonts w:hint="eastAsia"/>
        </w:rPr>
      </w:pPr>
      <w:r>
        <w:rPr>
          <w:rFonts w:hint="eastAsia"/>
        </w:rPr>
        <w:t xml:space="preserve">                                          年     月     日</w:t>
      </w:r>
    </w:p>
    <w:p>
      <w:pPr>
        <w:ind w:firstLine="420" w:firstLineChars="200"/>
        <w:jc w:val="left"/>
        <w:rPr>
          <w:rFonts w:hint="eastAsia"/>
        </w:rPr>
      </w:pPr>
      <w:r>
        <w:rPr>
          <w:rFonts w:hint="eastAsia"/>
        </w:rPr>
        <w:t>乙方：</w:t>
      </w:r>
      <w:r>
        <w:rPr>
          <w:rFonts w:hint="eastAsia"/>
          <w:u w:val="single"/>
        </w:rPr>
        <w:t xml:space="preserve">             </w:t>
      </w:r>
      <w:r>
        <w:rPr>
          <w:rFonts w:hint="eastAsia"/>
        </w:rPr>
        <w:t>（盖章）</w:t>
      </w:r>
    </w:p>
    <w:p>
      <w:pPr>
        <w:ind w:firstLine="420" w:firstLineChars="200"/>
        <w:jc w:val="left"/>
        <w:rPr>
          <w:rFonts w:hint="eastAsia"/>
        </w:rPr>
      </w:pPr>
      <w:r>
        <w:rPr>
          <w:rFonts w:hint="eastAsia"/>
        </w:rPr>
        <w:t>经办人：</w:t>
      </w:r>
      <w:r>
        <w:rPr>
          <w:rFonts w:hint="eastAsia"/>
          <w:u w:val="single"/>
        </w:rPr>
        <w:t xml:space="preserve">         </w:t>
      </w:r>
      <w:r>
        <w:rPr>
          <w:u w:val="single"/>
        </w:rPr>
        <w:t xml:space="preserve"> </w:t>
      </w:r>
      <w:r>
        <w:rPr>
          <w:rFonts w:hint="eastAsia"/>
        </w:rPr>
        <w:t>（签名）</w:t>
      </w:r>
    </w:p>
    <w:p>
      <w:pPr>
        <w:ind w:firstLine="420" w:firstLineChars="200"/>
        <w:rPr>
          <w:rFonts w:hint="eastAsia"/>
        </w:rPr>
      </w:pPr>
      <w:r>
        <w:rPr>
          <w:rFonts w:hint="eastAsia"/>
        </w:rPr>
        <w:t>法定代表人/</w:t>
      </w:r>
      <w:r>
        <w:rPr>
          <w:rFonts w:hint="eastAsia"/>
        </w:rPr>
        <w:t>授权</w:t>
      </w:r>
      <w:r>
        <w:rPr>
          <w:rFonts w:hint="eastAsia"/>
        </w:rPr>
        <w:t>代理人：</w:t>
      </w:r>
      <w:r>
        <w:rPr>
          <w:rFonts w:hint="eastAsia"/>
          <w:u w:val="single"/>
        </w:rPr>
        <w:t xml:space="preserve">                            </w:t>
      </w:r>
      <w:r>
        <w:rPr>
          <w:rFonts w:hint="eastAsia"/>
        </w:rPr>
        <w:t>（签名）</w:t>
      </w:r>
    </w:p>
    <w:p>
      <w:pPr>
        <w:ind w:firstLine="420" w:firstLineChars="200"/>
      </w:pPr>
      <w:r>
        <w:rPr>
          <w:rFonts w:hint="eastAsia"/>
        </w:rPr>
        <w:t xml:space="preserve">                                          年     月     日</w:t>
      </w:r>
    </w:p>
    <w:p>
      <w:pP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6" type="#_x0000_t75" style="width:415.15pt;height:660.62pt;mso-position-horizontal-relative:page;mso-position-vertical-relative:page;mso-wrap-style:square" filled="f" stroked="f">
            <v:stroke linestyle="single"/>
            <v:imagedata r:id="rId18" o:title=""/>
            <v:path o:extrusionok="f"/>
            <o:lock v:ext="edit" aspectratio="t"/>
          </v:shape>
        </w:pict>
      </w:r>
    </w:p>
    <w:p>
      <w:pPr>
        <w:adjustRightInd w:val="0"/>
        <w:snapToGrid w:val="0"/>
        <w:spacing w:line="360" w:lineRule="auto"/>
        <w:jc w:val="center"/>
        <w:rPr>
          <w:rFonts w:cs="宋体"/>
          <w:b/>
          <w:bCs/>
          <w:kern w:val="0"/>
          <w:sz w:val="28"/>
        </w:rPr>
      </w:pPr>
    </w:p>
    <w:p>
      <w:pPr>
        <w:pStyle w:val="Heading2"/>
      </w:pPr>
      <w:bookmarkEnd w:id="85"/>
      <w:r>
        <w:rPr>
          <w:rFonts w:hint="eastAsia"/>
        </w:rPr>
        <w:t>附件1：保密协议</w:t>
      </w:r>
    </w:p>
    <w:p>
      <w:pPr>
        <w:autoSpaceDE/>
        <w:autoSpaceDN/>
        <w:ind w:left="0"/>
        <w:jc w:val="center"/>
        <w:outlineLvl w:val="9"/>
        <w:rPr>
          <w:rFonts w:ascii="黑体" w:eastAsia="黑体" w:hAnsi="黑体" w:hint="eastAsia"/>
          <w:sz w:val="32"/>
          <w:szCs w:val="32"/>
        </w:rPr>
      </w:pPr>
      <w:r>
        <w:rPr>
          <w:rFonts w:ascii="黑体" w:eastAsia="黑体" w:hAnsi="黑体"/>
          <w:w w:val="95"/>
          <w:sz w:val="32"/>
          <w:szCs w:val="32"/>
        </w:rPr>
        <w:t>保密协议</w:t>
      </w:r>
    </w:p>
    <w:p>
      <w:pPr>
        <w:adjustRightInd/>
        <w:snapToGrid/>
        <w:spacing w:line="240" w:lineRule="auto"/>
        <w:rPr>
          <w:rFonts w:hint="eastAsia"/>
        </w:rPr>
      </w:pPr>
    </w:p>
    <w:p>
      <w:pPr>
        <w:tabs>
          <w:tab w:val="left" w:pos="4416"/>
        </w:tabs>
        <w:autoSpaceDE w:val="0"/>
        <w:autoSpaceDN w:val="0"/>
        <w:spacing w:before="67" w:line="374" w:lineRule="auto"/>
        <w:ind w:left="697" w:right="4348"/>
        <w:jc w:val="left"/>
        <w:rPr>
          <w:rFonts w:ascii="宋体" w:hAnsi="宋体" w:cs="宋体" w:hint="eastAsia"/>
          <w:kern w:val="0"/>
          <w:u w:val="single"/>
        </w:rPr>
      </w:pPr>
      <w:r>
        <w:rPr>
          <w:rFonts w:ascii="宋体" w:hAnsi="宋体" w:cs="宋体"/>
          <w:kern w:val="0"/>
          <w:sz w:val="24"/>
          <w:szCs w:val="24"/>
        </w:rPr>
        <w:t>甲方：</w:t>
      </w:r>
      <w:r>
        <w:rPr>
          <w:rFonts w:ascii="宋体" w:hAnsi="宋体" w:cs="宋体"/>
          <w:kern w:val="0"/>
          <w:sz w:val="24"/>
          <w:szCs w:val="24"/>
          <w:u w:val="single"/>
        </w:rPr>
        <w:t>国家气候中心</w:t>
      </w:r>
      <w:r>
        <w:rPr>
          <w:rFonts w:ascii="宋体" w:hAnsi="宋体" w:cs="宋体" w:hint="eastAsia"/>
          <w:kern w:val="0"/>
          <w:sz w:val="24"/>
          <w:szCs w:val="24"/>
          <w:u w:val="single"/>
        </w:rPr>
        <w:t xml:space="preserve"> </w:t>
      </w:r>
      <w:r>
        <w:rPr>
          <w:rFonts w:ascii="宋体" w:hAnsi="宋体" w:cs="宋体"/>
          <w:kern w:val="0"/>
          <w:sz w:val="24"/>
          <w:szCs w:val="24"/>
          <w:u w:val="single"/>
        </w:rPr>
        <w:t xml:space="preserve">            </w:t>
      </w:r>
    </w:p>
    <w:p>
      <w:pPr>
        <w:tabs>
          <w:tab w:val="left" w:pos="4416"/>
        </w:tabs>
        <w:autoSpaceDE w:val="0"/>
        <w:autoSpaceDN w:val="0"/>
        <w:spacing w:before="67" w:line="374" w:lineRule="auto"/>
        <w:ind w:left="697" w:right="4348"/>
        <w:jc w:val="left"/>
        <w:rPr>
          <w:rFonts w:ascii="宋体" w:hAnsi="宋体" w:cs="宋体" w:hint="eastAsia"/>
          <w:kern w:val="0"/>
        </w:rPr>
      </w:pPr>
      <w:r>
        <w:rPr>
          <w:rFonts w:ascii="宋体" w:hAnsi="宋体" w:cs="宋体"/>
          <w:kern w:val="0"/>
          <w:sz w:val="24"/>
          <w:szCs w:val="24"/>
        </w:rPr>
        <w:t>乙方：</w:t>
      </w:r>
      <w:r>
        <w:rPr>
          <w:rFonts w:ascii="宋体" w:hAnsi="宋体" w:cs="宋体"/>
          <w:kern w:val="0"/>
          <w:sz w:val="24"/>
          <w:szCs w:val="24"/>
          <w:u w:val="single"/>
        </w:rPr>
        <w:tab/>
      </w:r>
    </w:p>
    <w:p>
      <w:pPr>
        <w:autoSpaceDE w:val="0"/>
        <w:autoSpaceDN w:val="0"/>
        <w:spacing w:line="374" w:lineRule="auto"/>
        <w:ind w:left="217" w:right="115" w:firstLine="480"/>
        <w:jc w:val="left"/>
        <w:rPr>
          <w:rFonts w:ascii="宋体" w:hAnsi="宋体" w:cs="宋体" w:hint="eastAsia"/>
          <w:kern w:val="0"/>
        </w:rPr>
      </w:pPr>
      <w:r>
        <w:rPr>
          <w:rFonts w:ascii="宋体" w:hAnsi="宋体" w:cs="宋体"/>
          <w:spacing w:val="-1"/>
          <w:kern w:val="0"/>
          <w:sz w:val="24"/>
          <w:szCs w:val="24"/>
        </w:rPr>
        <w:t>因乙方为甲方提供服务，已经</w:t>
      </w:r>
      <w:r>
        <w:rPr>
          <w:rFonts w:ascii="宋体" w:hAnsi="宋体" w:cs="宋体"/>
          <w:kern w:val="0"/>
          <w:sz w:val="24"/>
          <w:szCs w:val="24"/>
        </w:rPr>
        <w:t>（或将要）知悉甲方的商业秘密。为了明确受</w:t>
      </w:r>
      <w:r>
        <w:rPr>
          <w:rFonts w:ascii="宋体" w:hAnsi="宋体" w:cs="宋体"/>
          <w:spacing w:val="-1"/>
          <w:kern w:val="0"/>
          <w:sz w:val="24"/>
          <w:szCs w:val="24"/>
        </w:rPr>
        <w:t>托人的保密义务，有效保护甲方的商业秘密，防止该商业秘密被公开披露或以任</w:t>
      </w:r>
      <w:r>
        <w:rPr>
          <w:rFonts w:ascii="宋体" w:hAnsi="宋体" w:cs="宋体"/>
          <w:spacing w:val="-19"/>
          <w:kern w:val="0"/>
          <w:sz w:val="24"/>
          <w:szCs w:val="24"/>
        </w:rPr>
        <w:t>何形式泄露，根据《中华人民共和国民法典》</w:t>
      </w:r>
      <w:r>
        <w:rPr>
          <w:rFonts w:ascii="宋体" w:hAnsi="宋体" w:cs="宋体"/>
          <w:spacing w:val="-15"/>
          <w:kern w:val="0"/>
          <w:sz w:val="24"/>
          <w:szCs w:val="24"/>
        </w:rPr>
        <w:t>《中华人民共和国反不正当竞争法》</w:t>
      </w:r>
      <w:r>
        <w:rPr>
          <w:rFonts w:ascii="宋体" w:hAnsi="宋体" w:cs="宋体"/>
          <w:spacing w:val="-1"/>
          <w:kern w:val="0"/>
          <w:sz w:val="24"/>
          <w:szCs w:val="24"/>
        </w:rPr>
        <w:t>等法律法规，双方本着平等、自愿、公平和诚实信用的原则签订本保密协议，构</w:t>
      </w:r>
      <w:r>
        <w:rPr>
          <w:rFonts w:ascii="宋体" w:hAnsi="宋体" w:cs="宋体"/>
          <w:kern w:val="0"/>
          <w:sz w:val="24"/>
          <w:szCs w:val="24"/>
        </w:rPr>
        <w:t>成主合同的组成部分。</w:t>
      </w:r>
    </w:p>
    <w:p>
      <w:pPr>
        <w:autoSpaceDE w:val="0"/>
        <w:autoSpaceDN w:val="0"/>
        <w:spacing w:before="2"/>
        <w:ind w:left="697"/>
        <w:jc w:val="left"/>
        <w:rPr>
          <w:rFonts w:ascii="宋体" w:hAnsi="宋体" w:cs="宋体" w:hint="eastAsia"/>
          <w:kern w:val="0"/>
        </w:rPr>
      </w:pPr>
      <w:r>
        <w:rPr>
          <w:rFonts w:ascii="宋体" w:hAnsi="宋体" w:cs="宋体"/>
          <w:kern w:val="0"/>
          <w:sz w:val="24"/>
          <w:szCs w:val="24"/>
        </w:rPr>
        <w:t>第一条 商业秘密</w:t>
      </w:r>
    </w:p>
    <w:p>
      <w:pPr>
        <w:autoSpaceDE w:val="0"/>
        <w:autoSpaceDN w:val="0"/>
        <w:spacing w:before="172" w:line="374" w:lineRule="auto"/>
        <w:ind w:left="217" w:right="235" w:firstLine="480"/>
        <w:rPr>
          <w:rFonts w:ascii="宋体" w:hAnsi="宋体" w:cs="宋体" w:hint="eastAsia"/>
          <w:kern w:val="0"/>
        </w:rPr>
      </w:pPr>
      <w:r>
        <w:rPr>
          <w:rFonts w:ascii="宋体" w:hAnsi="宋体" w:cs="宋体"/>
          <w:spacing w:val="-3"/>
          <w:kern w:val="0"/>
          <w:sz w:val="24"/>
          <w:szCs w:val="24"/>
        </w:rPr>
        <w:t>（一）本协议所称商业秘密包括但不限于技术信息、专有技术、经营信息和其他被甲方列为商业秘密的信息。乙方应对甲方的商业秘密承担保密义务。本协</w:t>
      </w:r>
      <w:r>
        <w:rPr>
          <w:rFonts w:ascii="宋体" w:hAnsi="宋体" w:cs="宋体"/>
          <w:kern w:val="0"/>
          <w:sz w:val="24"/>
          <w:szCs w:val="24"/>
        </w:rPr>
        <w:t>议之签订可认为乙方已对甲方的商业秘密采取了合理的保密措施。</w:t>
      </w:r>
    </w:p>
    <w:p>
      <w:pPr>
        <w:autoSpaceDE w:val="0"/>
        <w:autoSpaceDN w:val="0"/>
        <w:spacing w:before="1" w:line="374" w:lineRule="auto"/>
        <w:ind w:left="217" w:right="235" w:firstLine="480"/>
        <w:rPr>
          <w:rFonts w:ascii="宋体" w:hAnsi="宋体" w:cs="宋体" w:hint="eastAsia"/>
          <w:kern w:val="0"/>
        </w:rPr>
      </w:pPr>
      <w:r>
        <w:rPr>
          <w:rFonts w:ascii="宋体" w:hAnsi="宋体" w:cs="宋体"/>
          <w:spacing w:val="-3"/>
          <w:kern w:val="0"/>
          <w:sz w:val="24"/>
          <w:szCs w:val="24"/>
        </w:rPr>
        <w:t>（二）技术信息指甲方拥有或获得的有关生产和</w:t>
      </w:r>
      <w:r>
        <w:rPr>
          <w:rFonts w:ascii="宋体" w:hAnsi="宋体" w:cs="宋体"/>
          <w:color w:val="FF0000"/>
          <w:spacing w:val="-3"/>
          <w:kern w:val="0"/>
          <w:sz w:val="24"/>
          <w:szCs w:val="24"/>
        </w:rPr>
        <w:t>产品销售</w:t>
      </w:r>
      <w:r>
        <w:rPr>
          <w:rFonts w:ascii="宋体" w:hAnsi="宋体" w:cs="宋体"/>
          <w:spacing w:val="-3"/>
          <w:kern w:val="0"/>
          <w:sz w:val="24"/>
          <w:szCs w:val="24"/>
        </w:rPr>
        <w:t>的技术方案、</w:t>
      </w:r>
      <w:r>
        <w:rPr>
          <w:rFonts w:ascii="宋体" w:hAnsi="宋体" w:cs="宋体"/>
          <w:color w:val="FF0000"/>
          <w:spacing w:val="-3"/>
          <w:kern w:val="0"/>
          <w:sz w:val="24"/>
          <w:szCs w:val="24"/>
        </w:rPr>
        <w:t>分析</w:t>
      </w:r>
      <w:r>
        <w:rPr>
          <w:rFonts w:ascii="宋体" w:hAnsi="宋体" w:cs="宋体"/>
          <w:spacing w:val="-3"/>
          <w:kern w:val="0"/>
          <w:sz w:val="24"/>
          <w:szCs w:val="24"/>
        </w:rPr>
        <w:t>方法、</w:t>
      </w:r>
      <w:r>
        <w:rPr>
          <w:rFonts w:ascii="宋体" w:hAnsi="宋体" w:cs="宋体"/>
          <w:color w:val="FF0000"/>
          <w:spacing w:val="-3"/>
          <w:kern w:val="0"/>
          <w:sz w:val="24"/>
          <w:szCs w:val="24"/>
        </w:rPr>
        <w:t>工作</w:t>
      </w:r>
      <w:r>
        <w:rPr>
          <w:rFonts w:ascii="宋体" w:hAnsi="宋体" w:cs="宋体"/>
          <w:spacing w:val="-3"/>
          <w:kern w:val="0"/>
          <w:sz w:val="24"/>
          <w:szCs w:val="24"/>
        </w:rPr>
        <w:t>流程、计算机软件、数据库、实验结果、技术数据、图纸、样品、样机、模型、模具、说明书、操作手册、技术文档和涉及商业秘密的业务函电等一</w:t>
      </w:r>
      <w:r>
        <w:rPr>
          <w:rFonts w:ascii="宋体" w:hAnsi="宋体" w:cs="宋体"/>
          <w:kern w:val="0"/>
          <w:sz w:val="24"/>
          <w:szCs w:val="24"/>
        </w:rPr>
        <w:t>切有关的信息。</w:t>
      </w:r>
    </w:p>
    <w:p>
      <w:pPr>
        <w:autoSpaceDE w:val="0"/>
        <w:autoSpaceDN w:val="0"/>
        <w:spacing w:before="1" w:line="374" w:lineRule="auto"/>
        <w:ind w:left="217" w:right="235" w:firstLine="480"/>
        <w:rPr>
          <w:rFonts w:ascii="宋体" w:hAnsi="宋体" w:cs="宋体" w:hint="eastAsia"/>
          <w:kern w:val="0"/>
        </w:rPr>
      </w:pPr>
      <w:r>
        <w:rPr>
          <w:rFonts w:ascii="宋体" w:hAnsi="宋体" w:cs="宋体"/>
          <w:spacing w:val="-3"/>
          <w:kern w:val="0"/>
          <w:sz w:val="24"/>
          <w:szCs w:val="24"/>
        </w:rPr>
        <w:t>（三）专有技术指甲方拥有的有关生产和产品销售的技术知识、信息、技术资料、制作方法、经验、方法或其组合以及未在任何地方公开过其完</w:t>
      </w:r>
      <w:r>
        <w:rPr>
          <w:rFonts w:ascii="宋体" w:hAnsi="宋体" w:cs="宋体"/>
          <w:kern w:val="0"/>
          <w:sz w:val="24"/>
          <w:szCs w:val="24"/>
        </w:rPr>
        <w:t>整形式的、未作为工业产权来保护的其他技术。</w:t>
      </w:r>
    </w:p>
    <w:p>
      <w:pPr>
        <w:autoSpaceDE w:val="0"/>
        <w:autoSpaceDN w:val="0"/>
        <w:spacing w:before="1" w:line="374" w:lineRule="auto"/>
        <w:ind w:left="217" w:right="235" w:firstLine="480"/>
        <w:rPr>
          <w:rFonts w:ascii="宋体" w:hAnsi="宋体" w:cs="宋体" w:hint="eastAsia"/>
          <w:kern w:val="0"/>
        </w:rPr>
      </w:pPr>
      <w:r>
        <w:rPr>
          <w:rFonts w:ascii="宋体" w:hAnsi="宋体" w:cs="宋体"/>
          <w:spacing w:val="-3"/>
          <w:kern w:val="0"/>
          <w:sz w:val="24"/>
          <w:szCs w:val="24"/>
        </w:rPr>
        <w:t>（四）经营信息指有关生产经营管理的战略规划、经营方针、投资意向、商业计划、投融资数据、市场分析等信息、不公开的财务资料和数据、合同、交易相对人资料、客户</w:t>
      </w:r>
      <w:r>
        <w:rPr>
          <w:rFonts w:ascii="宋体" w:hAnsi="宋体" w:cs="宋体"/>
          <w:kern w:val="0"/>
          <w:sz w:val="24"/>
          <w:szCs w:val="24"/>
        </w:rPr>
        <w:t>资料等信息。</w:t>
      </w:r>
    </w:p>
    <w:p>
      <w:pPr>
        <w:autoSpaceDE w:val="0"/>
        <w:autoSpaceDN w:val="0"/>
        <w:spacing w:before="2" w:line="374" w:lineRule="auto"/>
        <w:ind w:left="217" w:right="235" w:firstLine="480"/>
        <w:rPr>
          <w:rFonts w:ascii="宋体" w:hAnsi="宋体" w:cs="宋体" w:hint="eastAsia"/>
          <w:kern w:val="0"/>
        </w:rPr>
      </w:pPr>
      <w:r>
        <w:rPr>
          <w:rFonts w:ascii="宋体" w:hAnsi="宋体" w:cs="宋体"/>
          <w:spacing w:val="-3"/>
          <w:kern w:val="0"/>
          <w:sz w:val="24"/>
          <w:szCs w:val="24"/>
        </w:rPr>
        <w:t>（五）乙方依照法律规定（如在缔约过程中知悉其他相对人的商业秘密</w:t>
      </w:r>
      <w:r>
        <w:rPr>
          <w:rFonts w:ascii="宋体" w:hAnsi="宋体" w:cs="宋体"/>
          <w:spacing w:val="-2"/>
          <w:kern w:val="0"/>
          <w:sz w:val="24"/>
          <w:szCs w:val="24"/>
        </w:rPr>
        <w:t>）和</w:t>
      </w:r>
      <w:r>
        <w:rPr>
          <w:rFonts w:ascii="宋体" w:hAnsi="宋体" w:cs="宋体"/>
          <w:spacing w:val="-3"/>
          <w:kern w:val="0"/>
          <w:sz w:val="24"/>
          <w:szCs w:val="24"/>
        </w:rPr>
        <w:t>在有关协议的约定（如技术合同）中对外承担保密义务的事项，也属本保密协议</w:t>
      </w:r>
      <w:r>
        <w:rPr>
          <w:rFonts w:ascii="宋体" w:hAnsi="宋体" w:cs="宋体"/>
          <w:kern w:val="0"/>
          <w:sz w:val="24"/>
          <w:szCs w:val="24"/>
        </w:rPr>
        <w:t>所称商业秘密的范畴。</w:t>
      </w:r>
    </w:p>
    <w:p>
      <w:pPr>
        <w:autoSpaceDE w:val="0"/>
        <w:autoSpaceDN w:val="0"/>
        <w:ind w:left="697"/>
        <w:rPr>
          <w:rFonts w:ascii="宋体" w:hAnsi="宋体" w:cs="宋体" w:hint="eastAsia"/>
          <w:kern w:val="0"/>
        </w:rPr>
      </w:pPr>
      <w:r>
        <w:rPr>
          <w:rFonts w:ascii="宋体" w:hAnsi="宋体" w:cs="宋体"/>
          <w:kern w:val="0"/>
          <w:sz w:val="24"/>
          <w:szCs w:val="24"/>
        </w:rPr>
        <w:t>第二条 保密义务人</w:t>
      </w:r>
    </w:p>
    <w:p>
      <w:pPr>
        <w:autoSpaceDE w:val="0"/>
        <w:autoSpaceDN w:val="0"/>
        <w:jc w:val="center"/>
        <w:rPr>
          <w:rFonts w:ascii="Calibri" w:hAnsi="宋体" w:cs="宋体" w:hint="eastAsia"/>
          <w:kern w:val="0"/>
        </w:rPr>
        <w:sectPr>
          <w:type w:val="nextPage"/>
          <w:pgSz w:w="11910" w:h="16840"/>
          <w:pgMar w:top="1420" w:right="1560" w:bottom="280" w:left="1580" w:header="720" w:footer="720" w:gutter="0"/>
          <w:cols w:space="708"/>
        </w:sectPr>
      </w:pPr>
    </w:p>
    <w:p>
      <w:pPr>
        <w:autoSpaceDE w:val="0"/>
        <w:autoSpaceDN w:val="0"/>
        <w:spacing w:before="47" w:line="374" w:lineRule="auto"/>
        <w:ind w:left="217" w:right="235" w:firstLine="480"/>
        <w:jc w:val="left"/>
        <w:rPr>
          <w:rFonts w:ascii="宋体" w:hAnsi="宋体" w:cs="宋体" w:hint="eastAsia"/>
          <w:kern w:val="0"/>
        </w:rPr>
      </w:pPr>
      <w:r>
        <w:rPr>
          <w:rFonts w:ascii="宋体" w:hAnsi="宋体" w:cs="宋体"/>
          <w:spacing w:val="-3"/>
          <w:kern w:val="0"/>
          <w:sz w:val="24"/>
          <w:szCs w:val="24"/>
        </w:rPr>
        <w:t>保密义务人是指为甲方提供相关服务，或因身份、职务、职业或专业技术关</w:t>
      </w:r>
      <w:r>
        <w:rPr>
          <w:rFonts w:ascii="宋体" w:hAnsi="宋体" w:cs="宋体"/>
          <w:kern w:val="0"/>
          <w:sz w:val="24"/>
          <w:szCs w:val="24"/>
        </w:rPr>
        <w:t>系而知悉甲方商业秘密的乙方机构或人员。</w:t>
      </w:r>
    </w:p>
    <w:p>
      <w:pPr>
        <w:autoSpaceDE w:val="0"/>
        <w:autoSpaceDN w:val="0"/>
        <w:ind w:left="697"/>
        <w:jc w:val="left"/>
        <w:rPr>
          <w:rFonts w:ascii="宋体" w:hAnsi="宋体" w:cs="宋体" w:hint="eastAsia"/>
          <w:kern w:val="0"/>
        </w:rPr>
      </w:pPr>
      <w:r>
        <w:rPr>
          <w:rFonts w:ascii="宋体" w:hAnsi="宋体" w:cs="宋体"/>
          <w:kern w:val="0"/>
          <w:sz w:val="24"/>
          <w:szCs w:val="24"/>
        </w:rPr>
        <w:t>第三条 保密义务人的保密义务</w:t>
      </w:r>
    </w:p>
    <w:p>
      <w:pPr>
        <w:autoSpaceDE w:val="0"/>
        <w:autoSpaceDN w:val="0"/>
        <w:spacing w:before="173" w:line="374" w:lineRule="auto"/>
        <w:ind w:left="217" w:right="146" w:firstLine="480"/>
        <w:jc w:val="left"/>
        <w:rPr>
          <w:rFonts w:ascii="宋体" w:hAnsi="宋体" w:cs="宋体" w:hint="eastAsia"/>
          <w:kern w:val="0"/>
        </w:rPr>
      </w:pPr>
      <w:r>
        <w:rPr>
          <w:rFonts w:ascii="宋体" w:hAnsi="宋体" w:cs="宋体"/>
          <w:spacing w:val="-1"/>
          <w:kern w:val="0"/>
          <w:sz w:val="24"/>
          <w:szCs w:val="24"/>
        </w:rPr>
        <w:t>（</w:t>
      </w:r>
      <w:r>
        <w:rPr>
          <w:rFonts w:ascii="宋体" w:hAnsi="宋体" w:cs="宋体"/>
          <w:kern w:val="0"/>
          <w:sz w:val="24"/>
          <w:szCs w:val="24"/>
        </w:rPr>
        <w:t>一）保密义务人应采取完善措施对甲方商业秘密加以保护，并严格保守，</w:t>
      </w:r>
      <w:r>
        <w:rPr>
          <w:rFonts w:ascii="宋体" w:hAnsi="宋体" w:cs="宋体"/>
          <w:spacing w:val="-117"/>
          <w:kern w:val="0"/>
          <w:sz w:val="24"/>
          <w:szCs w:val="24"/>
        </w:rPr>
        <w:t xml:space="preserve"> </w:t>
      </w:r>
      <w:r>
        <w:rPr>
          <w:rFonts w:ascii="宋体" w:hAnsi="宋体" w:cs="宋体"/>
          <w:spacing w:val="-1"/>
          <w:kern w:val="0"/>
          <w:sz w:val="24"/>
          <w:szCs w:val="24"/>
        </w:rPr>
        <w:t>保证不被披露或使用，包括意外或过失，即使这些信息可能是全部由保密义务人本人因工作而构思或取得的。乙方应确保知悉甲方商业秘密的乙方有关人员</w:t>
      </w:r>
      <w:r>
        <w:rPr>
          <w:rFonts w:ascii="宋体" w:hAnsi="宋体" w:cs="宋体"/>
          <w:kern w:val="0"/>
          <w:sz w:val="24"/>
          <w:szCs w:val="24"/>
        </w:rPr>
        <w:t>（包括该人员在退出项目或离职之后）遵守本协议约定的保密义务。</w:t>
      </w:r>
    </w:p>
    <w:p>
      <w:pPr>
        <w:autoSpaceDE w:val="0"/>
        <w:autoSpaceDN w:val="0"/>
        <w:spacing w:before="1" w:line="374" w:lineRule="auto"/>
        <w:ind w:left="217" w:right="235" w:firstLine="480"/>
        <w:rPr>
          <w:rFonts w:ascii="宋体" w:hAnsi="宋体" w:cs="宋体" w:hint="eastAsia"/>
          <w:kern w:val="0"/>
        </w:rPr>
      </w:pPr>
      <w:r>
        <w:rPr>
          <w:rFonts w:ascii="宋体" w:hAnsi="宋体" w:cs="宋体"/>
          <w:spacing w:val="-3"/>
          <w:kern w:val="0"/>
          <w:sz w:val="24"/>
          <w:szCs w:val="24"/>
        </w:rPr>
        <w:t>（二）在服务关系存续期间，保密义务人未经授权，不得擅自披露、使用商业秘密、取走与商业秘密有关的物件；不得刺探与合同约定的乙方工作无关的商业秘密；不得直接或间接地向乙方内部、外部的无关人员泄露；不得向不承担保密义务的任何第三人披露甲方的商业秘密；不得允许</w:t>
      </w:r>
      <w:r>
        <w:rPr>
          <w:rFonts w:ascii="宋体" w:hAnsi="宋体" w:cs="宋体"/>
          <w:spacing w:val="-2"/>
          <w:kern w:val="0"/>
          <w:sz w:val="24"/>
          <w:szCs w:val="24"/>
        </w:rPr>
        <w:t>（出借、赠与、出租、转让等处理甲方商业秘密的行为</w:t>
      </w:r>
      <w:r>
        <w:rPr>
          <w:rFonts w:ascii="宋体" w:hAnsi="宋体" w:cs="宋体"/>
          <w:color w:val="FF0000"/>
          <w:spacing w:val="-2"/>
          <w:kern w:val="0"/>
          <w:sz w:val="24"/>
          <w:szCs w:val="24"/>
        </w:rPr>
        <w:t>皆属于</w:t>
      </w:r>
      <w:r>
        <w:rPr>
          <w:rFonts w:eastAsia="Times New Roman" w:cs="宋体"/>
          <w:color w:val="FF0000"/>
          <w:spacing w:val="-2"/>
          <w:kern w:val="0"/>
          <w:sz w:val="24"/>
          <w:szCs w:val="24"/>
        </w:rPr>
        <w:t>“</w:t>
      </w:r>
      <w:r>
        <w:rPr>
          <w:rFonts w:ascii="宋体" w:hAnsi="宋体" w:cs="宋体"/>
          <w:color w:val="FF0000"/>
          <w:spacing w:val="-1"/>
          <w:kern w:val="0"/>
          <w:sz w:val="24"/>
          <w:szCs w:val="24"/>
        </w:rPr>
        <w:t>允许</w:t>
      </w:r>
      <w:r>
        <w:rPr>
          <w:rFonts w:eastAsia="Times New Roman" w:cs="宋体"/>
          <w:color w:val="FF0000"/>
          <w:spacing w:val="-1"/>
          <w:kern w:val="0"/>
          <w:sz w:val="24"/>
          <w:szCs w:val="24"/>
        </w:rPr>
        <w:t>”</w:t>
      </w:r>
      <w:r>
        <w:rPr>
          <w:rFonts w:ascii="宋体" w:hAnsi="宋体" w:cs="宋体"/>
          <w:spacing w:val="-1"/>
          <w:kern w:val="0"/>
          <w:sz w:val="24"/>
          <w:szCs w:val="24"/>
        </w:rPr>
        <w:t>）或协助不</w:t>
      </w:r>
      <w:r>
        <w:rPr>
          <w:rFonts w:ascii="宋体" w:hAnsi="宋体" w:cs="宋体"/>
          <w:spacing w:val="-5"/>
          <w:kern w:val="0"/>
          <w:sz w:val="24"/>
          <w:szCs w:val="24"/>
        </w:rPr>
        <w:t>承担保密义务的任何第三人使用甲方的商业秘密；不得复制或公开包含甲方商业</w:t>
      </w:r>
      <w:r>
        <w:rPr>
          <w:rFonts w:ascii="宋体" w:hAnsi="宋体" w:cs="宋体"/>
          <w:spacing w:val="-3"/>
          <w:kern w:val="0"/>
          <w:sz w:val="24"/>
          <w:szCs w:val="24"/>
        </w:rPr>
        <w:t>秘密的文件或文件副本；对因工作所保管、接触的有关甲方商业秘密的文件应妥</w:t>
      </w:r>
      <w:r>
        <w:rPr>
          <w:rFonts w:ascii="宋体" w:hAnsi="宋体" w:cs="宋体"/>
          <w:kern w:val="0"/>
          <w:sz w:val="24"/>
          <w:szCs w:val="24"/>
        </w:rPr>
        <w:t>善对待，未经许可不得超出工作范围使用。</w:t>
      </w:r>
    </w:p>
    <w:p>
      <w:pPr>
        <w:autoSpaceDE w:val="0"/>
        <w:autoSpaceDN w:val="0"/>
        <w:spacing w:before="1" w:line="374" w:lineRule="auto"/>
        <w:ind w:left="217" w:right="235" w:firstLine="480"/>
        <w:jc w:val="left"/>
        <w:rPr>
          <w:rFonts w:ascii="宋体" w:hAnsi="宋体" w:cs="宋体" w:hint="eastAsia"/>
          <w:kern w:val="0"/>
        </w:rPr>
      </w:pPr>
      <w:r>
        <w:rPr>
          <w:rFonts w:ascii="宋体" w:hAnsi="宋体" w:cs="宋体"/>
          <w:spacing w:val="-3"/>
          <w:kern w:val="0"/>
          <w:sz w:val="24"/>
          <w:szCs w:val="24"/>
        </w:rPr>
        <w:t>（三）如果发现甲方商业秘密被泄露或者自己过失泄露商业秘密，应当采取</w:t>
      </w:r>
      <w:r>
        <w:rPr>
          <w:rFonts w:ascii="宋体" w:hAnsi="宋体" w:cs="宋体"/>
          <w:kern w:val="0"/>
          <w:sz w:val="24"/>
          <w:szCs w:val="24"/>
        </w:rPr>
        <w:t>有效措施防止泄密进一步扩大，并及时向甲方报告。</w:t>
      </w:r>
    </w:p>
    <w:p>
      <w:pPr>
        <w:autoSpaceDE w:val="0"/>
        <w:autoSpaceDN w:val="0"/>
        <w:spacing w:before="1" w:line="374" w:lineRule="auto"/>
        <w:ind w:left="217" w:right="115" w:firstLine="480"/>
        <w:jc w:val="left"/>
        <w:rPr>
          <w:rFonts w:ascii="宋体" w:hAnsi="宋体" w:cs="宋体" w:hint="eastAsia"/>
          <w:kern w:val="0"/>
        </w:rPr>
      </w:pPr>
      <w:r>
        <w:rPr>
          <w:rFonts w:ascii="宋体" w:hAnsi="宋体" w:cs="宋体"/>
          <w:spacing w:val="-1"/>
          <w:kern w:val="0"/>
          <w:sz w:val="24"/>
          <w:szCs w:val="24"/>
        </w:rPr>
        <w:t>（</w:t>
      </w:r>
      <w:r>
        <w:rPr>
          <w:rFonts w:ascii="宋体" w:hAnsi="宋体" w:cs="宋体"/>
          <w:kern w:val="0"/>
          <w:sz w:val="24"/>
          <w:szCs w:val="24"/>
        </w:rPr>
        <w:t>四</w:t>
      </w:r>
      <w:r>
        <w:rPr>
          <w:rFonts w:ascii="宋体" w:hAnsi="宋体" w:cs="宋体"/>
          <w:spacing w:val="-70"/>
          <w:kern w:val="0"/>
          <w:sz w:val="24"/>
          <w:szCs w:val="24"/>
        </w:rPr>
        <w:t>）</w:t>
      </w:r>
      <w:r>
        <w:rPr>
          <w:rFonts w:ascii="宋体" w:hAnsi="宋体" w:cs="宋体" w:hint="eastAsia"/>
          <w:spacing w:val="-70"/>
          <w:kern w:val="0"/>
          <w:sz w:val="24"/>
          <w:szCs w:val="24"/>
        </w:rPr>
        <w:t xml:space="preserve"> </w:t>
      </w:r>
      <w:r>
        <w:rPr>
          <w:rFonts w:ascii="宋体" w:hAnsi="宋体" w:cs="宋体"/>
          <w:spacing w:val="-70"/>
          <w:kern w:val="0"/>
          <w:sz w:val="24"/>
          <w:szCs w:val="24"/>
        </w:rPr>
        <w:t xml:space="preserve"> </w:t>
      </w:r>
      <w:r>
        <w:rPr>
          <w:rFonts w:ascii="宋体" w:hAnsi="宋体" w:cs="宋体"/>
          <w:spacing w:val="-11"/>
          <w:kern w:val="0"/>
          <w:sz w:val="24"/>
          <w:szCs w:val="24"/>
        </w:rPr>
        <w:t>服务关系结束后，保密义务人应将与工作有关的技术资料、试验设备、</w:t>
      </w:r>
      <w:r>
        <w:rPr>
          <w:rFonts w:ascii="宋体" w:hAnsi="宋体" w:cs="宋体"/>
          <w:spacing w:val="-1"/>
          <w:kern w:val="0"/>
          <w:sz w:val="24"/>
          <w:szCs w:val="24"/>
        </w:rPr>
        <w:t>试验材料、客户名单等以及所有乙方保留或控制的该文件及资料的复印件、摘要交还公司；同时，乙方应销毁与已交回保密信息有关的任何文件和资料，不得保</w:t>
      </w:r>
      <w:r>
        <w:rPr>
          <w:rFonts w:ascii="宋体" w:hAnsi="宋体" w:cs="宋体"/>
          <w:kern w:val="0"/>
          <w:sz w:val="24"/>
          <w:szCs w:val="24"/>
        </w:rPr>
        <w:t>留复印件或以任何方式留存信息。</w:t>
      </w:r>
    </w:p>
    <w:p>
      <w:pPr>
        <w:autoSpaceDE w:val="0"/>
        <w:autoSpaceDN w:val="0"/>
        <w:spacing w:before="1" w:line="375" w:lineRule="auto"/>
        <w:ind w:right="624" w:firstLine="480" w:firstLineChars="200"/>
        <w:rPr>
          <w:rFonts w:ascii="宋体" w:hAnsi="宋体" w:cs="宋体" w:hint="eastAsia"/>
          <w:kern w:val="0"/>
        </w:rPr>
      </w:pPr>
      <w:r>
        <w:rPr>
          <w:rFonts w:ascii="宋体" w:hAnsi="宋体" w:cs="宋体"/>
          <w:spacing w:val="-1"/>
          <w:kern w:val="0"/>
          <w:sz w:val="24"/>
          <w:szCs w:val="24"/>
        </w:rPr>
        <w:t>（</w:t>
      </w:r>
      <w:r>
        <w:rPr>
          <w:rFonts w:ascii="宋体" w:hAnsi="宋体" w:cs="宋体"/>
          <w:kern w:val="0"/>
          <w:sz w:val="24"/>
          <w:szCs w:val="24"/>
        </w:rPr>
        <w:t>五）乙方如违反本条规定的，应承担本协议第五条规定的违约责任。</w:t>
      </w:r>
    </w:p>
    <w:p>
      <w:pPr>
        <w:autoSpaceDE w:val="0"/>
        <w:autoSpaceDN w:val="0"/>
        <w:spacing w:before="1" w:line="374" w:lineRule="auto"/>
        <w:ind w:left="697" w:right="626"/>
        <w:jc w:val="left"/>
        <w:rPr>
          <w:rFonts w:ascii="宋体" w:hAnsi="宋体" w:cs="宋体" w:hint="eastAsia"/>
          <w:kern w:val="0"/>
        </w:rPr>
      </w:pPr>
      <w:r>
        <w:rPr>
          <w:rFonts w:ascii="宋体" w:hAnsi="宋体" w:cs="宋体"/>
          <w:kern w:val="0"/>
          <w:sz w:val="24"/>
          <w:szCs w:val="24"/>
        </w:rPr>
        <w:t>第四条 保密义务的终止</w:t>
      </w:r>
    </w:p>
    <w:p>
      <w:pPr>
        <w:autoSpaceDE w:val="0"/>
        <w:autoSpaceDN w:val="0"/>
        <w:spacing w:before="1" w:line="374" w:lineRule="auto"/>
        <w:ind w:left="217" w:right="146" w:firstLine="480"/>
        <w:jc w:val="left"/>
        <w:rPr>
          <w:rFonts w:ascii="宋体" w:hAnsi="宋体" w:cs="宋体" w:hint="eastAsia"/>
          <w:kern w:val="0"/>
        </w:rPr>
      </w:pPr>
      <w:r>
        <w:rPr>
          <w:rFonts w:ascii="宋体" w:hAnsi="宋体" w:cs="宋体"/>
          <w:spacing w:val="-1"/>
          <w:kern w:val="0"/>
          <w:sz w:val="24"/>
          <w:szCs w:val="24"/>
        </w:rPr>
        <w:t>保密义务人应承担保密义务直至该商业秘密已通过合法途径进入公共领域，成为公开信息；乙方是否完成合同义务、双方签订的合同是否履行完毕，均不影</w:t>
      </w:r>
      <w:r>
        <w:rPr>
          <w:rFonts w:ascii="宋体" w:hAnsi="宋体" w:cs="宋体"/>
          <w:kern w:val="0"/>
          <w:sz w:val="24"/>
          <w:szCs w:val="24"/>
        </w:rPr>
        <w:t>响其保密义务的承担。</w:t>
      </w:r>
    </w:p>
    <w:p>
      <w:pPr>
        <w:autoSpaceDE w:val="0"/>
        <w:autoSpaceDN w:val="0"/>
        <w:spacing w:before="1"/>
        <w:ind w:left="697"/>
        <w:jc w:val="left"/>
        <w:rPr>
          <w:rFonts w:ascii="宋体" w:hAnsi="宋体" w:cs="宋体" w:hint="eastAsia"/>
          <w:kern w:val="0"/>
        </w:rPr>
      </w:pPr>
      <w:r>
        <w:rPr>
          <w:rFonts w:ascii="宋体" w:hAnsi="宋体" w:cs="宋体"/>
          <w:kern w:val="0"/>
          <w:sz w:val="24"/>
          <w:szCs w:val="24"/>
        </w:rPr>
        <w:t>第五条 违约责任</w:t>
      </w:r>
    </w:p>
    <w:p>
      <w:pPr>
        <w:autoSpaceDE w:val="0"/>
        <w:autoSpaceDN w:val="0"/>
        <w:spacing w:before="47" w:line="375" w:lineRule="auto"/>
        <w:ind w:left="217" w:firstLine="480" w:firstLineChars="200"/>
        <w:jc w:val="left"/>
        <w:rPr>
          <w:rFonts w:ascii="宋体" w:hAnsi="宋体" w:cs="宋体" w:hint="eastAsia"/>
          <w:kern w:val="0"/>
        </w:rPr>
      </w:pPr>
      <w:r>
        <w:rPr>
          <w:rFonts w:ascii="宋体" w:hAnsi="宋体" w:cs="宋体"/>
          <w:w w:val="95"/>
          <w:kern w:val="0"/>
          <w:sz w:val="24"/>
          <w:szCs w:val="24"/>
        </w:rPr>
        <w:t>（一）乙方违反本协议约定的保密义务的，应向甲方支付主合同总价</w:t>
      </w:r>
      <w:r>
        <w:rPr>
          <w:rFonts w:eastAsia="Times New Roman" w:hAnsi="宋体" w:cs="宋体"/>
          <w:w w:val="95"/>
          <w:kern w:val="0"/>
          <w:sz w:val="24"/>
          <w:szCs w:val="24"/>
        </w:rPr>
        <w:t>10%的</w:t>
      </w:r>
      <w:r>
        <w:rPr>
          <w:rFonts w:ascii="宋体" w:hAnsi="宋体" w:cs="宋体"/>
          <w:spacing w:val="-3"/>
          <w:kern w:val="0"/>
          <w:sz w:val="24"/>
          <w:szCs w:val="24"/>
        </w:rPr>
        <w:t>违约金，并赔偿甲方损失。甲方损失包括实际损失，以及为处理该事件所支出的</w:t>
      </w:r>
      <w:r>
        <w:rPr>
          <w:rFonts w:ascii="宋体" w:hAnsi="宋体" w:cs="宋体"/>
          <w:kern w:val="0"/>
          <w:sz w:val="24"/>
          <w:szCs w:val="24"/>
        </w:rPr>
        <w:t>费用（包括但不限于律师费、公证费、取证费及甲方因索赔产生的一切费用</w:t>
      </w:r>
      <w:r>
        <w:rPr>
          <w:rFonts w:ascii="宋体" w:hAnsi="宋体" w:cs="宋体"/>
          <w:spacing w:val="-120"/>
          <w:kern w:val="0"/>
          <w:sz w:val="24"/>
          <w:szCs w:val="24"/>
        </w:rPr>
        <w:t>）</w:t>
      </w:r>
      <w:r>
        <w:rPr>
          <w:rFonts w:ascii="宋体" w:hAnsi="宋体" w:cs="宋体"/>
          <w:kern w:val="0"/>
          <w:sz w:val="24"/>
          <w:szCs w:val="24"/>
        </w:rPr>
        <w:t>。</w:t>
      </w:r>
    </w:p>
    <w:p>
      <w:pPr>
        <w:autoSpaceDE w:val="0"/>
        <w:autoSpaceDN w:val="0"/>
        <w:spacing w:before="172" w:line="375" w:lineRule="auto"/>
        <w:ind w:left="217" w:right="235" w:firstLine="480"/>
        <w:jc w:val="left"/>
        <w:rPr>
          <w:rFonts w:ascii="宋体" w:hAnsi="宋体" w:cs="宋体" w:hint="eastAsia"/>
          <w:kern w:val="0"/>
        </w:rPr>
      </w:pPr>
      <w:r>
        <w:rPr>
          <w:rFonts w:ascii="宋体" w:hAnsi="宋体" w:cs="宋体"/>
          <w:spacing w:val="-3"/>
          <w:kern w:val="0"/>
          <w:sz w:val="24"/>
          <w:szCs w:val="24"/>
        </w:rPr>
        <w:t>（二）主合同期内，若乙方违反本协议，甲方有权单方解除与乙方签署的主</w:t>
      </w:r>
      <w:r>
        <w:rPr>
          <w:rFonts w:ascii="宋体" w:hAnsi="宋体" w:cs="宋体"/>
          <w:kern w:val="0"/>
          <w:sz w:val="24"/>
          <w:szCs w:val="24"/>
        </w:rPr>
        <w:t>合同。</w:t>
      </w:r>
    </w:p>
    <w:p>
      <w:pPr>
        <w:autoSpaceDE w:val="0"/>
        <w:autoSpaceDN w:val="0"/>
        <w:spacing w:before="1" w:line="374" w:lineRule="auto"/>
        <w:ind w:left="217" w:right="235" w:firstLine="480"/>
        <w:jc w:val="left"/>
        <w:rPr>
          <w:rFonts w:ascii="宋体" w:hAnsi="宋体" w:cs="宋体" w:hint="eastAsia"/>
          <w:kern w:val="0"/>
        </w:rPr>
      </w:pPr>
      <w:r>
        <w:rPr>
          <w:rFonts w:ascii="宋体" w:hAnsi="宋体" w:cs="宋体"/>
          <w:spacing w:val="-3"/>
          <w:kern w:val="0"/>
          <w:sz w:val="24"/>
          <w:szCs w:val="24"/>
        </w:rPr>
        <w:t>（三）因乙方恶意泄露商业秘密给甲方造成严重后果的，甲方将通过法律手</w:t>
      </w:r>
      <w:r>
        <w:rPr>
          <w:rFonts w:ascii="宋体" w:hAnsi="宋体" w:cs="宋体"/>
          <w:kern w:val="0"/>
          <w:sz w:val="24"/>
          <w:szCs w:val="24"/>
        </w:rPr>
        <w:t>段追究其侵权责任，直至追究其刑事责任。</w:t>
      </w:r>
    </w:p>
    <w:p>
      <w:pPr>
        <w:autoSpaceDE w:val="0"/>
        <w:autoSpaceDN w:val="0"/>
        <w:spacing w:line="374" w:lineRule="auto"/>
        <w:ind w:left="217" w:right="235" w:firstLine="480"/>
        <w:jc w:val="left"/>
        <w:rPr>
          <w:rFonts w:ascii="宋体" w:hAnsi="宋体" w:cs="宋体" w:hint="eastAsia"/>
          <w:kern w:val="0"/>
        </w:rPr>
      </w:pPr>
      <w:r>
        <w:rPr>
          <w:rFonts w:ascii="宋体" w:hAnsi="宋体" w:cs="宋体"/>
          <w:spacing w:val="-3"/>
          <w:kern w:val="0"/>
          <w:sz w:val="24"/>
          <w:szCs w:val="24"/>
        </w:rPr>
        <w:t>（四）乙方对乙方任何工作人员、代理人和雇员违反本协议的作为或不作为</w:t>
      </w:r>
      <w:r>
        <w:rPr>
          <w:rFonts w:ascii="宋体" w:hAnsi="宋体" w:cs="宋体"/>
          <w:kern w:val="0"/>
          <w:sz w:val="24"/>
          <w:szCs w:val="24"/>
        </w:rPr>
        <w:t>负责。上述人员违反本协议约定，甲方有权直接要求乙方承担违约责任。</w:t>
      </w:r>
    </w:p>
    <w:p>
      <w:pPr>
        <w:autoSpaceDE w:val="0"/>
        <w:autoSpaceDN w:val="0"/>
        <w:spacing w:before="12" w:beforeLines="5" w:line="375" w:lineRule="auto"/>
        <w:ind w:left="697" w:right="1106"/>
        <w:jc w:val="left"/>
        <w:rPr>
          <w:rFonts w:ascii="宋体" w:hAnsi="宋体" w:cs="宋体" w:hint="eastAsia"/>
          <w:kern w:val="0"/>
        </w:rPr>
      </w:pPr>
      <w:r>
        <w:rPr>
          <w:rFonts w:ascii="宋体" w:hAnsi="宋体" w:cs="宋体"/>
          <w:kern w:val="0"/>
          <w:sz w:val="24"/>
          <w:szCs w:val="24"/>
        </w:rPr>
        <w:t>第六条 争议解决方法</w:t>
      </w:r>
    </w:p>
    <w:p>
      <w:pPr>
        <w:autoSpaceDE w:val="0"/>
        <w:autoSpaceDN w:val="0"/>
        <w:spacing w:line="374" w:lineRule="auto"/>
        <w:ind w:left="217" w:right="235" w:firstLine="480"/>
        <w:jc w:val="left"/>
        <w:rPr>
          <w:rFonts w:ascii="宋体" w:hAnsi="宋体" w:cs="宋体" w:hint="eastAsia"/>
          <w:spacing w:val="-3"/>
          <w:kern w:val="0"/>
        </w:rPr>
      </w:pPr>
      <w:r>
        <w:rPr>
          <w:rFonts w:ascii="宋体" w:hAnsi="宋体" w:cs="宋体"/>
          <w:spacing w:val="-3"/>
          <w:kern w:val="0"/>
          <w:sz w:val="24"/>
          <w:szCs w:val="24"/>
        </w:rPr>
        <w:t>因执行本协议而发生纠纷的，按主合同约定的争议解决方法执行。</w:t>
      </w:r>
    </w:p>
    <w:p>
      <w:pPr>
        <w:autoSpaceDE w:val="0"/>
        <w:autoSpaceDN w:val="0"/>
        <w:spacing w:before="12" w:beforeLines="5" w:line="375" w:lineRule="auto"/>
        <w:ind w:left="697" w:right="1106"/>
        <w:jc w:val="left"/>
        <w:rPr>
          <w:rFonts w:ascii="宋体" w:hAnsi="宋体" w:cs="宋体" w:hint="eastAsia"/>
          <w:kern w:val="0"/>
        </w:rPr>
      </w:pPr>
      <w:r>
        <w:rPr>
          <w:rFonts w:ascii="宋体" w:hAnsi="宋体" w:cs="宋体"/>
          <w:kern w:val="0"/>
          <w:sz w:val="24"/>
          <w:szCs w:val="24"/>
        </w:rPr>
        <w:t>第七条 双方确认</w:t>
      </w:r>
    </w:p>
    <w:p>
      <w:pPr>
        <w:autoSpaceDE w:val="0"/>
        <w:autoSpaceDN w:val="0"/>
        <w:spacing w:before="1" w:line="374" w:lineRule="auto"/>
        <w:ind w:left="217" w:right="235" w:firstLine="480"/>
        <w:jc w:val="left"/>
        <w:rPr>
          <w:rFonts w:ascii="宋体" w:hAnsi="宋体" w:cs="宋体" w:hint="eastAsia"/>
          <w:kern w:val="0"/>
        </w:rPr>
      </w:pPr>
      <w:r>
        <w:rPr>
          <w:rFonts w:ascii="宋体" w:hAnsi="宋体" w:cs="宋体"/>
          <w:spacing w:val="-3"/>
          <w:kern w:val="0"/>
          <w:sz w:val="24"/>
          <w:szCs w:val="24"/>
        </w:rPr>
        <w:t>（一）在签署本协议前，双方已经详细审阅了协议的内容，并完全了解协议</w:t>
      </w:r>
      <w:r>
        <w:rPr>
          <w:rFonts w:ascii="宋体" w:hAnsi="宋体" w:cs="宋体"/>
          <w:kern w:val="0"/>
          <w:sz w:val="24"/>
          <w:szCs w:val="24"/>
        </w:rPr>
        <w:t>各条款的法律含义。</w:t>
      </w:r>
    </w:p>
    <w:p>
      <w:pPr>
        <w:autoSpaceDE w:val="0"/>
        <w:autoSpaceDN w:val="0"/>
        <w:spacing w:before="1" w:line="374" w:lineRule="auto"/>
        <w:ind w:left="217" w:right="235" w:firstLine="480"/>
        <w:jc w:val="left"/>
        <w:rPr>
          <w:rFonts w:ascii="宋体" w:hAnsi="宋体" w:cs="宋体" w:hint="eastAsia"/>
          <w:spacing w:val="-3"/>
          <w:kern w:val="0"/>
        </w:rPr>
      </w:pPr>
      <w:r>
        <w:rPr>
          <w:rFonts w:ascii="宋体" w:hAnsi="宋体" w:cs="宋体"/>
          <w:spacing w:val="-3"/>
          <w:kern w:val="0"/>
          <w:sz w:val="24"/>
          <w:szCs w:val="24"/>
        </w:rPr>
        <w:t>（二）保密义务人只能为实现主合同目的使用甲方商业秘密，不作任何他用。</w:t>
      </w:r>
    </w:p>
    <w:p>
      <w:pPr>
        <w:autoSpaceDE w:val="0"/>
        <w:autoSpaceDN w:val="0"/>
        <w:spacing w:before="1" w:line="374" w:lineRule="auto"/>
        <w:ind w:left="217" w:right="235" w:firstLine="480"/>
        <w:jc w:val="left"/>
        <w:rPr>
          <w:rFonts w:ascii="宋体" w:hAnsi="宋体" w:cs="宋体" w:hint="eastAsia"/>
          <w:spacing w:val="-3"/>
          <w:kern w:val="0"/>
        </w:rPr>
      </w:pPr>
      <w:r>
        <w:rPr>
          <w:rFonts w:ascii="宋体" w:hAnsi="宋体" w:cs="宋体"/>
          <w:spacing w:val="-3"/>
          <w:kern w:val="0"/>
          <w:sz w:val="24"/>
          <w:szCs w:val="24"/>
        </w:rPr>
        <w:t>（三）主合同价款已包含保密义务人的保密费，此处不再重复支付。</w:t>
      </w:r>
    </w:p>
    <w:p>
      <w:pPr>
        <w:autoSpaceDE w:val="0"/>
        <w:autoSpaceDN w:val="0"/>
        <w:spacing w:before="1" w:line="374" w:lineRule="auto"/>
        <w:ind w:left="217" w:right="235" w:firstLine="480"/>
        <w:jc w:val="left"/>
        <w:rPr>
          <w:rFonts w:ascii="宋体" w:hAnsi="宋体" w:cs="宋体" w:hint="eastAsia"/>
          <w:spacing w:val="-3"/>
          <w:kern w:val="0"/>
        </w:rPr>
      </w:pPr>
      <w:r>
        <w:rPr>
          <w:rFonts w:ascii="宋体" w:hAnsi="宋体" w:cs="宋体"/>
          <w:spacing w:val="-3"/>
          <w:kern w:val="0"/>
          <w:sz w:val="24"/>
          <w:szCs w:val="24"/>
        </w:rPr>
        <w:t>第八条 协议的效力和变更</w:t>
      </w:r>
    </w:p>
    <w:p>
      <w:pPr>
        <w:autoSpaceDE w:val="0"/>
        <w:autoSpaceDN w:val="0"/>
        <w:spacing w:before="1" w:line="374" w:lineRule="auto"/>
        <w:ind w:left="217" w:right="115" w:firstLine="480"/>
        <w:jc w:val="left"/>
        <w:rPr>
          <w:rFonts w:ascii="宋体" w:hAnsi="宋体" w:cs="宋体" w:hint="eastAsia"/>
          <w:kern w:val="0"/>
        </w:rPr>
      </w:pPr>
      <w:r>
        <w:rPr>
          <w:rFonts w:ascii="宋体" w:hAnsi="宋体" w:cs="宋体"/>
          <w:spacing w:val="-1"/>
          <w:kern w:val="0"/>
          <w:sz w:val="24"/>
          <w:szCs w:val="24"/>
        </w:rPr>
        <w:t>（一）本协议自双方签字盖章后生效，除非甲方书面通知乙方解除保密义务，</w:t>
      </w:r>
      <w:r>
        <w:rPr>
          <w:rFonts w:ascii="宋体" w:hAnsi="宋体" w:cs="宋体"/>
          <w:spacing w:val="-117"/>
          <w:kern w:val="0"/>
          <w:sz w:val="24"/>
          <w:szCs w:val="24"/>
        </w:rPr>
        <w:t xml:space="preserve"> </w:t>
      </w:r>
      <w:r>
        <w:rPr>
          <w:rFonts w:ascii="宋体" w:hAnsi="宋体" w:cs="宋体"/>
          <w:spacing w:val="-1"/>
          <w:kern w:val="0"/>
          <w:sz w:val="24"/>
          <w:szCs w:val="24"/>
        </w:rPr>
        <w:t>乙方的保密义务永久持续有效，不因主合同效力终止而终止；此前签署的其他有</w:t>
      </w:r>
      <w:r>
        <w:rPr>
          <w:rFonts w:ascii="宋体" w:hAnsi="宋体" w:cs="宋体"/>
          <w:kern w:val="0"/>
          <w:sz w:val="24"/>
          <w:szCs w:val="24"/>
        </w:rPr>
        <w:t>关保密协议不因本协议生效而发生任何效力变化。</w:t>
      </w:r>
    </w:p>
    <w:p>
      <w:pPr>
        <w:autoSpaceDE w:val="0"/>
        <w:autoSpaceDN w:val="0"/>
        <w:spacing w:before="1" w:line="374" w:lineRule="auto"/>
        <w:ind w:left="217" w:right="146" w:firstLine="480"/>
        <w:jc w:val="left"/>
        <w:rPr>
          <w:rFonts w:ascii="宋体" w:hAnsi="宋体" w:cs="宋体" w:hint="eastAsia"/>
          <w:kern w:val="0"/>
        </w:rPr>
      </w:pPr>
      <w:r>
        <w:rPr>
          <w:rFonts w:ascii="宋体" w:hAnsi="宋体" w:cs="宋体"/>
          <w:spacing w:val="-1"/>
          <w:kern w:val="0"/>
          <w:sz w:val="24"/>
          <w:szCs w:val="24"/>
        </w:rPr>
        <w:t>（</w:t>
      </w:r>
      <w:r>
        <w:rPr>
          <w:rFonts w:ascii="宋体" w:hAnsi="宋体" w:cs="宋体"/>
          <w:kern w:val="0"/>
          <w:sz w:val="24"/>
          <w:szCs w:val="24"/>
        </w:rPr>
        <w:t>二）本协议的任何修改必须经过双方的书面同意，并签署相关补充协议，</w:t>
      </w:r>
      <w:r>
        <w:rPr>
          <w:rFonts w:ascii="宋体" w:hAnsi="宋体" w:cs="宋体"/>
          <w:spacing w:val="-117"/>
          <w:kern w:val="0"/>
          <w:sz w:val="24"/>
          <w:szCs w:val="24"/>
        </w:rPr>
        <w:t xml:space="preserve"> </w:t>
      </w:r>
      <w:r>
        <w:rPr>
          <w:rFonts w:ascii="宋体" w:hAnsi="宋体" w:cs="宋体"/>
          <w:kern w:val="0"/>
          <w:sz w:val="24"/>
          <w:szCs w:val="24"/>
        </w:rPr>
        <w:t>与本协议具有同等法律效力。</w:t>
      </w:r>
    </w:p>
    <w:p>
      <w:pPr>
        <w:tabs>
          <w:tab w:val="left" w:pos="4477"/>
        </w:tabs>
        <w:autoSpaceDE w:val="0"/>
        <w:autoSpaceDN w:val="0"/>
        <w:ind w:left="217"/>
        <w:jc w:val="left"/>
        <w:rPr>
          <w:rFonts w:ascii="宋体" w:hAnsi="宋体" w:cs="宋体" w:hint="eastAsia"/>
          <w:kern w:val="0"/>
          <w:sz w:val="32"/>
        </w:rPr>
      </w:pPr>
    </w:p>
    <w:p>
      <w:pPr>
        <w:tabs>
          <w:tab w:val="left" w:pos="4477"/>
        </w:tabs>
        <w:autoSpaceDE w:val="0"/>
        <w:autoSpaceDN w:val="0"/>
        <w:ind w:left="217"/>
        <w:jc w:val="left"/>
        <w:rPr>
          <w:rFonts w:ascii="宋体" w:hAnsi="宋体" w:cs="宋体" w:hint="eastAsia"/>
          <w:kern w:val="0"/>
        </w:rPr>
      </w:pPr>
      <w:r>
        <w:rPr>
          <w:rFonts w:ascii="宋体" w:hAnsi="宋体" w:cs="宋体"/>
          <w:kern w:val="0"/>
          <w:sz w:val="24"/>
          <w:szCs w:val="24"/>
        </w:rPr>
        <w:t>管理单位：</w:t>
      </w:r>
      <w:r>
        <w:rPr>
          <w:rFonts w:ascii="宋体" w:hAnsi="宋体" w:cs="宋体" w:hint="eastAsia"/>
          <w:kern w:val="0"/>
          <w:sz w:val="24"/>
          <w:szCs w:val="24"/>
        </w:rPr>
        <w:t>国家气候中心</w:t>
      </w:r>
      <w:r>
        <w:rPr>
          <w:rFonts w:ascii="宋体" w:hAnsi="宋体" w:cs="宋体"/>
          <w:kern w:val="0"/>
          <w:sz w:val="24"/>
          <w:szCs w:val="24"/>
        </w:rPr>
        <w:tab/>
      </w:r>
      <w:r>
        <w:rPr>
          <w:rFonts w:ascii="宋体" w:hAnsi="宋体" w:cs="宋体"/>
          <w:spacing w:val="-2"/>
          <w:kern w:val="0"/>
          <w:sz w:val="24"/>
          <w:szCs w:val="24"/>
        </w:rPr>
        <w:t>承担单位</w:t>
      </w:r>
      <w:r>
        <w:rPr>
          <w:rFonts w:ascii="宋体" w:hAnsi="宋体" w:cs="宋体"/>
          <w:kern w:val="0"/>
          <w:sz w:val="24"/>
          <w:szCs w:val="24"/>
        </w:rPr>
        <w:t>：</w:t>
      </w:r>
    </w:p>
    <w:p>
      <w:pPr>
        <w:autoSpaceDE w:val="0"/>
        <w:autoSpaceDN w:val="0"/>
        <w:jc w:val="left"/>
        <w:rPr>
          <w:rFonts w:ascii="宋体" w:hAnsi="宋体" w:cs="宋体" w:hint="eastAsia"/>
          <w:kern w:val="0"/>
          <w:sz w:val="20"/>
        </w:rPr>
      </w:pPr>
    </w:p>
    <w:p>
      <w:pPr>
        <w:autoSpaceDE w:val="0"/>
        <w:autoSpaceDN w:val="0"/>
        <w:spacing w:before="8"/>
        <w:jc w:val="left"/>
        <w:rPr>
          <w:rFonts w:ascii="宋体" w:hAnsi="宋体" w:cs="宋体" w:hint="eastAsia"/>
          <w:kern w:val="0"/>
          <w:sz w:val="18"/>
        </w:rPr>
      </w:pPr>
    </w:p>
    <w:p>
      <w:pPr>
        <w:tabs>
          <w:tab w:val="left" w:pos="4477"/>
        </w:tabs>
        <w:autoSpaceDE w:val="0"/>
        <w:autoSpaceDN w:val="0"/>
        <w:spacing w:line="624" w:lineRule="auto"/>
        <w:ind w:left="217" w:right="1286"/>
        <w:jc w:val="left"/>
        <w:rPr>
          <w:rFonts w:ascii="宋体" w:hAnsi="宋体" w:cs="宋体" w:hint="eastAsia"/>
          <w:kern w:val="0"/>
        </w:rPr>
      </w:pPr>
      <w:r>
        <w:rPr>
          <w:rFonts w:ascii="宋体" w:hAnsi="宋体" w:cs="宋体"/>
          <w:kern w:val="0"/>
          <w:sz w:val="24"/>
          <w:szCs w:val="24"/>
        </w:rPr>
        <w:t>法定代表人（或授权代表</w:t>
      </w:r>
      <w:r>
        <w:rPr>
          <w:rFonts w:ascii="宋体" w:hAnsi="宋体" w:cs="宋体"/>
          <w:spacing w:val="-120"/>
          <w:kern w:val="0"/>
          <w:sz w:val="24"/>
          <w:szCs w:val="24"/>
        </w:rPr>
        <w:t>）</w:t>
      </w:r>
      <w:r>
        <w:rPr>
          <w:rFonts w:ascii="宋体" w:hAnsi="宋体" w:cs="宋体"/>
          <w:kern w:val="0"/>
          <w:sz w:val="24"/>
          <w:szCs w:val="24"/>
        </w:rPr>
        <w:t>：</w:t>
      </w:r>
      <w:r>
        <w:rPr>
          <w:rFonts w:ascii="宋体" w:hAnsi="宋体" w:cs="宋体"/>
          <w:kern w:val="0"/>
          <w:sz w:val="24"/>
          <w:szCs w:val="24"/>
        </w:rPr>
        <w:tab/>
      </w:r>
      <w:r>
        <w:rPr>
          <w:rFonts w:ascii="宋体" w:hAnsi="宋体" w:cs="宋体"/>
          <w:kern w:val="0"/>
          <w:sz w:val="24"/>
          <w:szCs w:val="24"/>
        </w:rPr>
        <w:t>法定代表人（或授权代表</w:t>
      </w:r>
      <w:r>
        <w:rPr>
          <w:rFonts w:ascii="宋体" w:hAnsi="宋体" w:cs="宋体"/>
          <w:spacing w:val="-129"/>
          <w:kern w:val="0"/>
          <w:sz w:val="24"/>
          <w:szCs w:val="24"/>
        </w:rPr>
        <w:t>）</w:t>
      </w:r>
      <w:r>
        <w:rPr>
          <w:rFonts w:ascii="宋体" w:hAnsi="宋体" w:cs="宋体"/>
          <w:spacing w:val="-9"/>
          <w:kern w:val="0"/>
          <w:sz w:val="24"/>
          <w:szCs w:val="24"/>
        </w:rPr>
        <w:t>：</w:t>
      </w:r>
      <w:r>
        <w:rPr>
          <w:rFonts w:ascii="宋体" w:hAnsi="宋体" w:cs="宋体"/>
          <w:kern w:val="0"/>
          <w:sz w:val="24"/>
          <w:szCs w:val="24"/>
        </w:rPr>
        <w:t>项目部门负责人：</w:t>
      </w:r>
    </w:p>
    <w:p>
      <w:pPr>
        <w:rPr>
          <w:rFonts w:hint="eastAsia"/>
        </w:rPr>
      </w:pPr>
    </w:p>
    <w:p/>
    <w:p>
      <w:pPr>
        <w:sectPr>
          <w:pgSz w:w="11910" w:h="16840"/>
          <w:pgMar w:top="1420" w:right="1560" w:bottom="280" w:left="1580" w:header="720" w:footer="720" w:gutter="0"/>
          <w:cols w:space="708"/>
        </w:sectPr>
      </w:pPr>
    </w:p>
    <w:p>
      <w:pPr>
        <w:pStyle w:val="Heading2"/>
      </w:pPr>
      <w:r>
        <w:rPr>
          <w:rFonts w:hint="eastAsia"/>
        </w:rPr>
        <w:t>附件2：安全廉洁协议</w:t>
      </w:r>
    </w:p>
    <w:p>
      <w:pPr>
        <w:jc w:val="center"/>
        <w:rPr>
          <w:rFonts w:ascii="黑体" w:eastAsia="黑体" w:hAnsi="黑体" w:hint="eastAsia"/>
          <w:sz w:val="32"/>
          <w:szCs w:val="32"/>
        </w:rPr>
      </w:pPr>
      <w:r>
        <w:rPr>
          <w:rFonts w:ascii="黑体" w:eastAsia="黑体" w:hAnsi="黑体" w:hint="eastAsia"/>
          <w:w w:val="95"/>
          <w:sz w:val="32"/>
          <w:szCs w:val="32"/>
        </w:rPr>
        <w:t>安全廉洁</w:t>
      </w:r>
      <w:r>
        <w:rPr>
          <w:rFonts w:ascii="黑体" w:eastAsia="黑体" w:hAnsi="黑体"/>
          <w:w w:val="95"/>
          <w:sz w:val="32"/>
          <w:szCs w:val="32"/>
        </w:rPr>
        <w:t>协议</w:t>
      </w:r>
    </w:p>
    <w:p>
      <w:pPr>
        <w:rPr>
          <w:rFonts w:hint="eastAsia"/>
        </w:rPr>
      </w:pPr>
    </w:p>
    <w:p>
      <w:pPr>
        <w:tabs>
          <w:tab w:val="left" w:pos="4899"/>
        </w:tabs>
        <w:autoSpaceDE w:val="0"/>
        <w:autoSpaceDN w:val="0"/>
        <w:spacing w:before="67" w:line="364" w:lineRule="auto"/>
        <w:ind w:left="700" w:right="3865"/>
        <w:rPr>
          <w:rFonts w:ascii="宋体" w:hAnsi="宋体" w:cs="宋体" w:hint="eastAsia"/>
          <w:kern w:val="0"/>
          <w:u w:val="single"/>
        </w:rPr>
      </w:pPr>
      <w:r>
        <w:rPr>
          <w:rFonts w:ascii="宋体" w:hAnsi="宋体" w:cs="宋体"/>
          <w:kern w:val="0"/>
          <w:sz w:val="24"/>
          <w:szCs w:val="24"/>
        </w:rPr>
        <w:t>管理单位：</w:t>
      </w:r>
      <w:r>
        <w:rPr>
          <w:rFonts w:ascii="宋体" w:hAnsi="宋体" w:cs="宋体" w:hint="eastAsia"/>
          <w:kern w:val="0"/>
          <w:sz w:val="24"/>
          <w:szCs w:val="24"/>
          <w:u w:val="single"/>
        </w:rPr>
        <w:t xml:space="preserve"> </w:t>
      </w:r>
      <w:r>
        <w:rPr>
          <w:rFonts w:ascii="宋体" w:hAnsi="宋体" w:cs="宋体"/>
          <w:kern w:val="0"/>
          <w:sz w:val="24"/>
          <w:szCs w:val="24"/>
          <w:u w:val="single"/>
        </w:rPr>
        <w:t xml:space="preserve">                 </w:t>
      </w:r>
    </w:p>
    <w:p>
      <w:pPr>
        <w:tabs>
          <w:tab w:val="left" w:pos="4178"/>
        </w:tabs>
        <w:autoSpaceDE w:val="0"/>
        <w:autoSpaceDN w:val="0"/>
        <w:spacing w:before="67" w:line="364" w:lineRule="auto"/>
        <w:ind w:left="700" w:right="3865"/>
        <w:rPr>
          <w:rFonts w:ascii="宋体" w:hAnsi="宋体" w:cs="宋体" w:hint="eastAsia"/>
          <w:kern w:val="0"/>
        </w:rPr>
      </w:pPr>
      <w:r>
        <w:rPr>
          <w:rFonts w:ascii="宋体" w:hAnsi="宋体" w:cs="宋体" w:hint="eastAsia"/>
          <w:kern w:val="0"/>
          <w:sz w:val="24"/>
          <w:szCs w:val="24"/>
        </w:rPr>
        <w:t>承担</w:t>
      </w:r>
      <w:r>
        <w:rPr>
          <w:rFonts w:ascii="宋体" w:hAnsi="宋体" w:cs="宋体"/>
          <w:kern w:val="0"/>
          <w:sz w:val="24"/>
          <w:szCs w:val="24"/>
        </w:rPr>
        <w:t>单位：</w:t>
      </w:r>
      <w:r>
        <w:rPr>
          <w:rFonts w:ascii="宋体" w:hAnsi="宋体" w:cs="宋体"/>
          <w:kern w:val="0"/>
          <w:sz w:val="24"/>
          <w:szCs w:val="24"/>
          <w:u w:val="single"/>
        </w:rPr>
        <w:tab/>
      </w:r>
    </w:p>
    <w:p>
      <w:pPr>
        <w:autoSpaceDE w:val="0"/>
        <w:autoSpaceDN w:val="0"/>
        <w:spacing w:before="1" w:line="364" w:lineRule="auto"/>
        <w:ind w:left="220" w:right="240" w:firstLine="480"/>
        <w:rPr>
          <w:rFonts w:ascii="宋体" w:hAnsi="宋体" w:cs="宋体" w:hint="eastAsia"/>
          <w:kern w:val="0"/>
        </w:rPr>
      </w:pPr>
      <w:r>
        <w:rPr>
          <w:rFonts w:ascii="宋体" w:hAnsi="宋体" w:cs="宋体"/>
          <w:spacing w:val="3"/>
          <w:kern w:val="0"/>
          <w:sz w:val="24"/>
          <w:szCs w:val="24"/>
        </w:rPr>
        <w:t xml:space="preserve">为了防范和控制 </w:t>
      </w:r>
      <w:r>
        <w:rPr>
          <w:rFonts w:eastAsia="Times New Roman" w:hAnsi="宋体" w:cs="宋体"/>
          <w:kern w:val="0"/>
          <w:sz w:val="24"/>
          <w:szCs w:val="24"/>
        </w:rPr>
        <w:t>xxxxxxxxx</w:t>
      </w:r>
      <w:r>
        <w:rPr>
          <w:rFonts w:ascii="宋体" w:hAnsi="宋体" w:cs="宋体" w:hint="eastAsia"/>
          <w:kern w:val="0"/>
          <w:sz w:val="24"/>
          <w:szCs w:val="24"/>
        </w:rPr>
        <w:t>项目</w:t>
      </w:r>
      <w:r>
        <w:rPr>
          <w:rFonts w:ascii="宋体" w:hAnsi="宋体" w:cs="宋体"/>
          <w:spacing w:val="14"/>
          <w:kern w:val="0"/>
          <w:sz w:val="24"/>
          <w:szCs w:val="24"/>
        </w:rPr>
        <w:t>（</w:t>
      </w:r>
      <w:r>
        <w:rPr>
          <w:rFonts w:ascii="宋体" w:hAnsi="宋体" w:cs="宋体"/>
          <w:spacing w:val="11"/>
          <w:kern w:val="0"/>
          <w:sz w:val="24"/>
          <w:szCs w:val="24"/>
        </w:rPr>
        <w:t>合同编号：</w:t>
      </w:r>
      <w:r>
        <w:rPr>
          <w:rFonts w:ascii="宋体" w:hAnsi="宋体" w:cs="宋体" w:hint="eastAsia"/>
          <w:spacing w:val="11"/>
          <w:kern w:val="0"/>
          <w:sz w:val="24"/>
          <w:szCs w:val="24"/>
        </w:rPr>
        <w:t xml:space="preserve"> </w:t>
      </w:r>
      <w:r>
        <w:rPr>
          <w:rFonts w:ascii="宋体" w:hAnsi="宋体" w:cs="宋体"/>
          <w:kern w:val="0"/>
          <w:sz w:val="24"/>
          <w:szCs w:val="24"/>
        </w:rPr>
        <w:t>）商订及履行过程中的廉洁风险，维护正常的市场秩序和双方的合法权益，根据反腐倡廉相关规定，经双方商议，特签订本协议。</w:t>
      </w:r>
    </w:p>
    <w:p>
      <w:pPr>
        <w:autoSpaceDE w:val="0"/>
        <w:autoSpaceDN w:val="0"/>
        <w:spacing w:before="2"/>
        <w:ind w:left="700"/>
        <w:jc w:val="left"/>
        <w:rPr>
          <w:rFonts w:ascii="宋体" w:hAnsi="宋体" w:cs="宋体" w:hint="eastAsia"/>
          <w:kern w:val="0"/>
        </w:rPr>
      </w:pPr>
      <w:r>
        <w:rPr>
          <w:rFonts w:ascii="宋体" w:hAnsi="宋体" w:cs="宋体"/>
          <w:kern w:val="0"/>
          <w:sz w:val="24"/>
          <w:szCs w:val="24"/>
        </w:rPr>
        <w:t>一、承担单位和管理单位双方责任</w:t>
      </w:r>
    </w:p>
    <w:p>
      <w:pPr>
        <w:numPr>
          <w:ilvl w:val="0"/>
          <w:numId w:val="57"/>
        </w:numPr>
        <w:tabs>
          <w:tab w:val="left" w:pos="1061"/>
        </w:tabs>
        <w:autoSpaceDE w:val="0"/>
        <w:autoSpaceDN w:val="0"/>
        <w:spacing w:before="160"/>
        <w:rPr>
          <w:rFonts w:ascii="宋体" w:hAnsi="宋体" w:cs="宋体" w:hint="eastAsia"/>
          <w:kern w:val="0"/>
        </w:rPr>
      </w:pPr>
      <w:r>
        <w:rPr>
          <w:rFonts w:ascii="宋体" w:hAnsi="宋体" w:cs="宋体"/>
          <w:kern w:val="0"/>
          <w:sz w:val="24"/>
        </w:rPr>
        <w:t>严格遵守国家的法律法规和廉洁从业有关规定。</w:t>
      </w:r>
    </w:p>
    <w:p>
      <w:pPr>
        <w:numPr>
          <w:ilvl w:val="0"/>
          <w:numId w:val="57"/>
        </w:numPr>
        <w:tabs>
          <w:tab w:val="left" w:pos="1061"/>
        </w:tabs>
        <w:autoSpaceDE w:val="0"/>
        <w:autoSpaceDN w:val="0"/>
        <w:spacing w:before="161" w:line="364" w:lineRule="auto"/>
        <w:ind w:left="220" w:right="240" w:firstLine="480"/>
        <w:rPr>
          <w:rFonts w:ascii="宋体" w:hAnsi="宋体" w:cs="宋体" w:hint="eastAsia"/>
          <w:kern w:val="0"/>
        </w:rPr>
      </w:pPr>
      <w:r>
        <w:rPr>
          <w:rFonts w:ascii="宋体" w:hAnsi="宋体" w:cs="宋体"/>
          <w:kern w:val="0"/>
          <w:sz w:val="24"/>
        </w:rPr>
        <w:t>坚持公开、公正、诚信、透明的原则（国家秘密、商业秘密和合同文件另有规定的除外</w:t>
      </w:r>
      <w:r>
        <w:rPr>
          <w:rFonts w:ascii="宋体" w:hAnsi="宋体" w:cs="宋体"/>
          <w:spacing w:val="-120"/>
          <w:kern w:val="0"/>
          <w:sz w:val="24"/>
        </w:rPr>
        <w:t>）</w:t>
      </w:r>
      <w:r>
        <w:rPr>
          <w:rFonts w:ascii="宋体" w:hAnsi="宋体" w:cs="宋体"/>
          <w:kern w:val="0"/>
          <w:sz w:val="24"/>
        </w:rPr>
        <w:t>，不得损害国家、集体和双方的正当利益。</w:t>
      </w:r>
    </w:p>
    <w:p>
      <w:pPr>
        <w:numPr>
          <w:ilvl w:val="0"/>
          <w:numId w:val="57"/>
        </w:numPr>
        <w:tabs>
          <w:tab w:val="left" w:pos="1061"/>
        </w:tabs>
        <w:autoSpaceDE w:val="0"/>
        <w:autoSpaceDN w:val="0"/>
        <w:spacing w:before="1"/>
        <w:rPr>
          <w:rFonts w:ascii="宋体" w:hAnsi="宋体" w:cs="宋体" w:hint="eastAsia"/>
          <w:kern w:val="0"/>
        </w:rPr>
      </w:pPr>
      <w:r>
        <w:rPr>
          <w:rFonts w:ascii="宋体" w:hAnsi="宋体" w:cs="宋体"/>
          <w:kern w:val="0"/>
          <w:sz w:val="24"/>
        </w:rPr>
        <w:t>定期开展党风廉政宣传教育活动，提高从业人员的廉洁意识。</w:t>
      </w:r>
    </w:p>
    <w:p>
      <w:pPr>
        <w:numPr>
          <w:ilvl w:val="0"/>
          <w:numId w:val="57"/>
        </w:numPr>
        <w:tabs>
          <w:tab w:val="left" w:pos="1061"/>
        </w:tabs>
        <w:autoSpaceDE w:val="0"/>
        <w:autoSpaceDN w:val="0"/>
        <w:spacing w:before="161"/>
        <w:rPr>
          <w:rFonts w:ascii="宋体" w:hAnsi="宋体" w:cs="宋体" w:hint="eastAsia"/>
          <w:kern w:val="0"/>
        </w:rPr>
      </w:pPr>
      <w:r>
        <w:rPr>
          <w:rFonts w:ascii="宋体" w:hAnsi="宋体" w:cs="宋体"/>
          <w:kern w:val="0"/>
          <w:sz w:val="24"/>
        </w:rPr>
        <w:t>规范招标及采购管理，加强廉洁风险防范。</w:t>
      </w:r>
    </w:p>
    <w:p>
      <w:pPr>
        <w:numPr>
          <w:ilvl w:val="0"/>
          <w:numId w:val="57"/>
        </w:numPr>
        <w:tabs>
          <w:tab w:val="left" w:pos="1061"/>
        </w:tabs>
        <w:autoSpaceDE w:val="0"/>
        <w:autoSpaceDN w:val="0"/>
        <w:spacing w:before="160"/>
        <w:rPr>
          <w:rFonts w:ascii="宋体" w:hAnsi="宋体" w:cs="宋体" w:hint="eastAsia"/>
          <w:kern w:val="0"/>
        </w:rPr>
      </w:pPr>
      <w:r>
        <w:rPr>
          <w:rFonts w:ascii="宋体" w:hAnsi="宋体" w:cs="宋体"/>
          <w:kern w:val="0"/>
          <w:sz w:val="24"/>
        </w:rPr>
        <w:t>开展多种形式的监督检查。</w:t>
      </w:r>
    </w:p>
    <w:p>
      <w:pPr>
        <w:numPr>
          <w:ilvl w:val="0"/>
          <w:numId w:val="57"/>
        </w:numPr>
        <w:tabs>
          <w:tab w:val="left" w:pos="1061"/>
        </w:tabs>
        <w:autoSpaceDE w:val="0"/>
        <w:autoSpaceDN w:val="0"/>
        <w:spacing w:before="161" w:line="364" w:lineRule="auto"/>
        <w:ind w:left="220" w:right="240" w:firstLine="480"/>
        <w:rPr>
          <w:rFonts w:ascii="宋体" w:hAnsi="宋体" w:cs="宋体" w:hint="eastAsia"/>
          <w:kern w:val="0"/>
        </w:rPr>
      </w:pPr>
      <w:r>
        <w:rPr>
          <w:rFonts w:ascii="宋体" w:hAnsi="宋体" w:cs="宋体"/>
          <w:kern w:val="0"/>
          <w:sz w:val="24"/>
        </w:rPr>
        <w:t>发生涉及本项目的不廉洁问题，及时按规定向双方纪检监察部门或司法机关举报或通报，并积极配合查处。</w:t>
      </w:r>
    </w:p>
    <w:p>
      <w:pPr>
        <w:autoSpaceDE w:val="0"/>
        <w:autoSpaceDN w:val="0"/>
        <w:spacing w:before="1"/>
        <w:ind w:left="700"/>
        <w:jc w:val="left"/>
        <w:rPr>
          <w:rFonts w:ascii="宋体" w:hAnsi="宋体" w:cs="宋体" w:hint="eastAsia"/>
          <w:kern w:val="0"/>
          <w:lang w:eastAsia="en-US"/>
        </w:rPr>
      </w:pPr>
      <w:r>
        <w:rPr>
          <w:rFonts w:ascii="宋体" w:hAnsi="宋体" w:cs="宋体"/>
          <w:kern w:val="0"/>
          <w:sz w:val="24"/>
          <w:szCs w:val="24"/>
          <w:lang w:eastAsia="en-US"/>
        </w:rPr>
        <w:t>二、管理单位人员义务</w:t>
      </w:r>
    </w:p>
    <w:p>
      <w:pPr>
        <w:numPr>
          <w:ilvl w:val="0"/>
          <w:numId w:val="58"/>
        </w:numPr>
        <w:tabs>
          <w:tab w:val="left" w:pos="1061"/>
        </w:tabs>
        <w:autoSpaceDE w:val="0"/>
        <w:autoSpaceDN w:val="0"/>
        <w:spacing w:before="160"/>
        <w:rPr>
          <w:rFonts w:ascii="宋体" w:hAnsi="宋体" w:cs="宋体" w:hint="eastAsia"/>
          <w:kern w:val="0"/>
        </w:rPr>
      </w:pPr>
      <w:r>
        <w:rPr>
          <w:rFonts w:ascii="宋体" w:hAnsi="宋体" w:cs="宋体"/>
          <w:kern w:val="0"/>
          <w:sz w:val="24"/>
        </w:rPr>
        <w:t>不得索取或接受项目承担单位提供的利益和方便。</w:t>
      </w:r>
    </w:p>
    <w:p>
      <w:pPr>
        <w:numPr>
          <w:ilvl w:val="0"/>
          <w:numId w:val="59"/>
        </w:numPr>
        <w:tabs>
          <w:tab w:val="left" w:pos="1301"/>
        </w:tabs>
        <w:autoSpaceDE w:val="0"/>
        <w:autoSpaceDN w:val="0"/>
        <w:spacing w:before="161" w:line="364" w:lineRule="auto"/>
        <w:ind w:right="240" w:firstLine="480"/>
        <w:rPr>
          <w:rFonts w:ascii="宋体" w:hAnsi="宋体" w:cs="宋体" w:hint="eastAsia"/>
          <w:kern w:val="0"/>
        </w:rPr>
      </w:pPr>
      <w:r>
        <w:rPr>
          <w:rFonts w:ascii="宋体" w:hAnsi="宋体" w:cs="宋体"/>
          <w:kern w:val="0"/>
          <w:sz w:val="24"/>
        </w:rPr>
        <w:t>不得索取或接受项目承担单位的礼品、礼金、有价证券、支付凭证和商业预付卡等（以下简称礼品礼金</w:t>
      </w:r>
      <w:r>
        <w:rPr>
          <w:rFonts w:ascii="宋体" w:hAnsi="宋体" w:cs="宋体"/>
          <w:spacing w:val="-120"/>
          <w:kern w:val="0"/>
          <w:sz w:val="24"/>
        </w:rPr>
        <w:t>）</w:t>
      </w:r>
      <w:r>
        <w:rPr>
          <w:rFonts w:ascii="宋体" w:hAnsi="宋体" w:cs="宋体"/>
          <w:kern w:val="0"/>
          <w:sz w:val="24"/>
        </w:rPr>
        <w:t>；</w:t>
      </w:r>
    </w:p>
    <w:p>
      <w:pPr>
        <w:numPr>
          <w:ilvl w:val="0"/>
          <w:numId w:val="59"/>
        </w:numPr>
        <w:tabs>
          <w:tab w:val="left" w:pos="1301"/>
        </w:tabs>
        <w:autoSpaceDE w:val="0"/>
        <w:autoSpaceDN w:val="0"/>
        <w:spacing w:before="1" w:line="364" w:lineRule="auto"/>
        <w:ind w:right="240" w:firstLine="480"/>
        <w:rPr>
          <w:rFonts w:ascii="宋体" w:hAnsi="宋体" w:cs="宋体" w:hint="eastAsia"/>
          <w:kern w:val="0"/>
        </w:rPr>
      </w:pPr>
      <w:r>
        <w:rPr>
          <w:rFonts w:ascii="宋体" w:hAnsi="宋体" w:cs="宋体"/>
          <w:kern w:val="0"/>
          <w:sz w:val="24"/>
        </w:rPr>
        <w:t>不得参加项目承担单位安排的宴请和娱乐活动；不得接受项目承担单位提供的通讯工具、交通工具及其他服务；</w:t>
      </w:r>
    </w:p>
    <w:p>
      <w:pPr>
        <w:numPr>
          <w:ilvl w:val="0"/>
          <w:numId w:val="59"/>
        </w:numPr>
        <w:tabs>
          <w:tab w:val="left" w:pos="1301"/>
        </w:tabs>
        <w:autoSpaceDE w:val="0"/>
        <w:autoSpaceDN w:val="0"/>
        <w:spacing w:before="1" w:line="364" w:lineRule="auto"/>
        <w:ind w:right="237" w:firstLine="480"/>
        <w:rPr>
          <w:rFonts w:ascii="宋体" w:hAnsi="宋体" w:cs="宋体" w:hint="eastAsia"/>
          <w:kern w:val="0"/>
        </w:rPr>
      </w:pPr>
      <w:r>
        <w:rPr>
          <w:rFonts w:ascii="宋体" w:hAnsi="宋体" w:cs="宋体"/>
          <w:kern w:val="0"/>
          <w:sz w:val="24"/>
        </w:rPr>
        <w:t>不得在个人住房装修、婚丧嫁娶、配偶、子女和其他亲属就业、旅游</w:t>
      </w:r>
      <w:r>
        <w:rPr>
          <w:rFonts w:ascii="宋体" w:hAnsi="宋体" w:cs="宋体"/>
          <w:spacing w:val="-5"/>
          <w:kern w:val="0"/>
          <w:sz w:val="24"/>
        </w:rPr>
        <w:t>等事宜中索取或接受项目承担单位提供的利益和便利；不得在项目承担单位报销</w:t>
      </w:r>
      <w:r>
        <w:rPr>
          <w:rFonts w:ascii="宋体" w:hAnsi="宋体" w:cs="宋体"/>
          <w:kern w:val="0"/>
          <w:sz w:val="24"/>
        </w:rPr>
        <w:t>任何应由项目管理单位负担或支付的费用；</w:t>
      </w:r>
    </w:p>
    <w:p>
      <w:pPr>
        <w:numPr>
          <w:ilvl w:val="0"/>
          <w:numId w:val="58"/>
        </w:numPr>
        <w:tabs>
          <w:tab w:val="left" w:pos="1061"/>
        </w:tabs>
        <w:autoSpaceDE w:val="0"/>
        <w:autoSpaceDN w:val="0"/>
        <w:spacing w:before="2"/>
        <w:rPr>
          <w:rFonts w:ascii="宋体" w:hAnsi="宋体" w:cs="宋体" w:hint="eastAsia"/>
          <w:kern w:val="0"/>
        </w:rPr>
      </w:pPr>
      <w:r>
        <w:rPr>
          <w:rFonts w:ascii="宋体" w:hAnsi="宋体" w:cs="宋体"/>
          <w:kern w:val="0"/>
          <w:sz w:val="24"/>
        </w:rPr>
        <w:t>不得利用职权从事各种有偿中介活动，不得营私舞弊。</w:t>
      </w:r>
    </w:p>
    <w:p>
      <w:pPr>
        <w:numPr>
          <w:ilvl w:val="0"/>
          <w:numId w:val="58"/>
        </w:numPr>
        <w:tabs>
          <w:tab w:val="left" w:pos="1061"/>
        </w:tabs>
        <w:autoSpaceDE w:val="0"/>
        <w:autoSpaceDN w:val="0"/>
        <w:spacing w:before="160" w:line="364" w:lineRule="auto"/>
        <w:ind w:left="220" w:right="240" w:firstLine="480"/>
        <w:rPr>
          <w:rFonts w:ascii="宋体" w:hAnsi="宋体" w:cs="宋体" w:hint="eastAsia"/>
          <w:kern w:val="0"/>
        </w:rPr>
      </w:pPr>
      <w:r>
        <w:rPr>
          <w:rFonts w:ascii="宋体" w:hAnsi="宋体" w:cs="宋体"/>
          <w:kern w:val="0"/>
          <w:sz w:val="24"/>
        </w:rPr>
        <w:t>管理单位人员的配偶、子女、近亲属不得从事与项目有关的物资供应、工程分包、劳务等经济活动。</w:t>
      </w:r>
    </w:p>
    <w:p>
      <w:pPr>
        <w:autoSpaceDE w:val="0"/>
        <w:autoSpaceDN w:val="0"/>
        <w:spacing w:line="364" w:lineRule="auto"/>
        <w:jc w:val="left"/>
        <w:rPr>
          <w:rFonts w:ascii="宋体" w:hAnsi="宋体" w:cs="宋体" w:hint="eastAsia"/>
          <w:kern w:val="0"/>
        </w:rPr>
        <w:sectPr>
          <w:pgSz w:w="11910" w:h="16840"/>
          <w:pgMar w:top="1420" w:right="1560" w:bottom="280" w:left="1580" w:header="720" w:footer="720" w:gutter="0"/>
          <w:cols w:space="708"/>
        </w:sectPr>
      </w:pPr>
    </w:p>
    <w:p>
      <w:pPr>
        <w:numPr>
          <w:ilvl w:val="0"/>
          <w:numId w:val="58"/>
        </w:numPr>
        <w:tabs>
          <w:tab w:val="left" w:pos="1061"/>
        </w:tabs>
        <w:autoSpaceDE w:val="0"/>
        <w:autoSpaceDN w:val="0"/>
        <w:spacing w:before="62"/>
        <w:jc w:val="both"/>
        <w:rPr>
          <w:rFonts w:ascii="宋体" w:hAnsi="宋体" w:cs="宋体" w:hint="eastAsia"/>
          <w:kern w:val="0"/>
        </w:rPr>
      </w:pPr>
      <w:r>
        <w:rPr>
          <w:rFonts w:ascii="宋体" w:hAnsi="宋体" w:cs="宋体"/>
          <w:kern w:val="0"/>
          <w:sz w:val="24"/>
        </w:rPr>
        <w:t>不得违反规定向项目承担单位推荐分包商或供应商。</w:t>
      </w:r>
    </w:p>
    <w:p>
      <w:pPr>
        <w:tabs>
          <w:tab w:val="left" w:pos="1061"/>
        </w:tabs>
        <w:autoSpaceDE w:val="0"/>
        <w:autoSpaceDN w:val="0"/>
        <w:spacing w:before="160" w:line="364" w:lineRule="auto"/>
        <w:ind w:left="700" w:right="5065"/>
        <w:jc w:val="left"/>
        <w:rPr>
          <w:rFonts w:ascii="宋体" w:hAnsi="宋体" w:cs="宋体" w:hint="eastAsia"/>
          <w:kern w:val="0"/>
        </w:rPr>
      </w:pPr>
      <w:r>
        <w:rPr>
          <w:rFonts w:ascii="宋体" w:hAnsi="宋体" w:cs="宋体"/>
          <w:spacing w:val="-1"/>
          <w:kern w:val="0"/>
          <w:sz w:val="24"/>
        </w:rPr>
        <w:t>5.</w:t>
      </w:r>
      <w:r>
        <w:rPr>
          <w:rFonts w:ascii="宋体" w:hAnsi="宋体" w:cs="宋体" w:hint="eastAsia"/>
          <w:spacing w:val="-1"/>
          <w:kern w:val="0"/>
          <w:sz w:val="24"/>
        </w:rPr>
        <w:t xml:space="preserve"> </w:t>
      </w:r>
      <w:r>
        <w:rPr>
          <w:rFonts w:ascii="宋体" w:hAnsi="宋体" w:cs="宋体"/>
          <w:spacing w:val="-1"/>
          <w:kern w:val="0"/>
          <w:sz w:val="24"/>
        </w:rPr>
        <w:t>不得有其他不廉洁行为。</w:t>
      </w:r>
    </w:p>
    <w:p>
      <w:pPr>
        <w:tabs>
          <w:tab w:val="left" w:pos="1061"/>
        </w:tabs>
        <w:autoSpaceDE w:val="0"/>
        <w:autoSpaceDN w:val="0"/>
        <w:spacing w:before="160" w:line="364" w:lineRule="auto"/>
        <w:ind w:left="700" w:right="5065"/>
        <w:rPr>
          <w:rFonts w:ascii="宋体" w:hAnsi="宋体" w:cs="宋体" w:hint="eastAsia"/>
          <w:kern w:val="0"/>
        </w:rPr>
      </w:pPr>
      <w:r>
        <w:rPr>
          <w:rFonts w:ascii="宋体" w:hAnsi="宋体" w:cs="宋体"/>
          <w:kern w:val="0"/>
          <w:sz w:val="24"/>
        </w:rPr>
        <w:t>三、承担单位人员义务</w:t>
      </w:r>
    </w:p>
    <w:p>
      <w:pPr>
        <w:numPr>
          <w:ilvl w:val="0"/>
          <w:numId w:val="60"/>
        </w:numPr>
        <w:tabs>
          <w:tab w:val="left" w:pos="1061"/>
        </w:tabs>
        <w:autoSpaceDE w:val="0"/>
        <w:autoSpaceDN w:val="0"/>
        <w:spacing w:before="2"/>
        <w:rPr>
          <w:rFonts w:ascii="宋体" w:hAnsi="宋体" w:cs="宋体" w:hint="eastAsia"/>
          <w:kern w:val="0"/>
        </w:rPr>
      </w:pPr>
      <w:r>
        <w:rPr>
          <w:rFonts w:ascii="宋体" w:hAnsi="宋体" w:cs="宋体"/>
          <w:kern w:val="0"/>
          <w:sz w:val="24"/>
        </w:rPr>
        <w:t>不得以任何形式向项目管理单位及相关人员输送利益和方便。</w:t>
      </w:r>
    </w:p>
    <w:p>
      <w:pPr>
        <w:numPr>
          <w:ilvl w:val="0"/>
          <w:numId w:val="61"/>
        </w:numPr>
        <w:tabs>
          <w:tab w:val="left" w:pos="1301"/>
        </w:tabs>
        <w:autoSpaceDE w:val="0"/>
        <w:autoSpaceDN w:val="0"/>
        <w:spacing w:before="160"/>
        <w:rPr>
          <w:rFonts w:ascii="宋体" w:hAnsi="宋体" w:cs="宋体" w:hint="eastAsia"/>
          <w:kern w:val="0"/>
        </w:rPr>
      </w:pPr>
      <w:r>
        <w:rPr>
          <w:rFonts w:ascii="宋体" w:hAnsi="宋体" w:cs="宋体"/>
          <w:kern w:val="0"/>
          <w:sz w:val="24"/>
        </w:rPr>
        <w:t>不得向项目管理单位及相关人员行贿或馈赠礼品礼金；</w:t>
      </w:r>
    </w:p>
    <w:p>
      <w:pPr>
        <w:numPr>
          <w:ilvl w:val="0"/>
          <w:numId w:val="61"/>
        </w:numPr>
        <w:tabs>
          <w:tab w:val="left" w:pos="1301"/>
        </w:tabs>
        <w:autoSpaceDE w:val="0"/>
        <w:autoSpaceDN w:val="0"/>
        <w:spacing w:before="161" w:line="364" w:lineRule="auto"/>
        <w:ind w:left="220" w:right="240" w:firstLine="480"/>
        <w:rPr>
          <w:rFonts w:ascii="宋体" w:hAnsi="宋体" w:cs="宋体" w:hint="eastAsia"/>
          <w:kern w:val="0"/>
        </w:rPr>
      </w:pPr>
      <w:r>
        <w:rPr>
          <w:rFonts w:ascii="宋体" w:hAnsi="宋体" w:cs="宋体"/>
          <w:kern w:val="0"/>
          <w:sz w:val="24"/>
        </w:rPr>
        <w:t>不得向项目管理单位及相关人员提供宴请和娱乐活动；不得为其购置或提供通讯工具、交通工具及其他服务；</w:t>
      </w:r>
    </w:p>
    <w:p>
      <w:pPr>
        <w:numPr>
          <w:ilvl w:val="0"/>
          <w:numId w:val="61"/>
        </w:numPr>
        <w:tabs>
          <w:tab w:val="left" w:pos="1301"/>
        </w:tabs>
        <w:autoSpaceDE w:val="0"/>
        <w:autoSpaceDN w:val="0"/>
        <w:spacing w:before="1" w:line="364" w:lineRule="auto"/>
        <w:ind w:left="220" w:right="237" w:firstLine="480"/>
        <w:rPr>
          <w:rFonts w:ascii="宋体" w:hAnsi="宋体" w:cs="宋体" w:hint="eastAsia"/>
          <w:kern w:val="0"/>
        </w:rPr>
      </w:pPr>
      <w:r>
        <w:rPr>
          <w:rFonts w:ascii="宋体" w:hAnsi="宋体" w:cs="宋体"/>
          <w:kern w:val="0"/>
          <w:sz w:val="24"/>
        </w:rPr>
        <w:t>不得为项目管理单位及相关人员在住房装修、婚丧嫁娶、配偶、子女</w:t>
      </w:r>
      <w:r>
        <w:rPr>
          <w:rFonts w:ascii="宋体" w:hAnsi="宋体" w:cs="宋体"/>
          <w:spacing w:val="-3"/>
          <w:kern w:val="0"/>
          <w:sz w:val="24"/>
        </w:rPr>
        <w:t>和其他亲属就业、旅游等事宜中提供利益和便利；不得以任何名义报销应由项目</w:t>
      </w:r>
      <w:r>
        <w:rPr>
          <w:rFonts w:ascii="宋体" w:hAnsi="宋体" w:cs="宋体"/>
          <w:kern w:val="0"/>
          <w:sz w:val="24"/>
        </w:rPr>
        <w:t>业主及相关人员负担或支付的费用。</w:t>
      </w:r>
    </w:p>
    <w:p>
      <w:pPr>
        <w:numPr>
          <w:ilvl w:val="0"/>
          <w:numId w:val="60"/>
        </w:numPr>
        <w:tabs>
          <w:tab w:val="left" w:pos="1061"/>
        </w:tabs>
        <w:autoSpaceDE w:val="0"/>
        <w:autoSpaceDN w:val="0"/>
        <w:spacing w:before="2"/>
        <w:rPr>
          <w:rFonts w:ascii="宋体" w:hAnsi="宋体" w:cs="宋体" w:hint="eastAsia"/>
          <w:kern w:val="0"/>
        </w:rPr>
      </w:pPr>
      <w:r>
        <w:rPr>
          <w:rFonts w:ascii="宋体" w:hAnsi="宋体" w:cs="宋体"/>
          <w:kern w:val="0"/>
          <w:sz w:val="24"/>
        </w:rPr>
        <w:t>不得有其他不廉洁行为。</w:t>
      </w:r>
    </w:p>
    <w:p>
      <w:pPr>
        <w:numPr>
          <w:ilvl w:val="0"/>
          <w:numId w:val="60"/>
        </w:numPr>
        <w:tabs>
          <w:tab w:val="left" w:pos="1061"/>
        </w:tabs>
        <w:autoSpaceDE w:val="0"/>
        <w:autoSpaceDN w:val="0"/>
        <w:spacing w:before="160" w:line="364" w:lineRule="auto"/>
        <w:ind w:left="220" w:right="240" w:firstLine="480"/>
        <w:rPr>
          <w:rFonts w:ascii="宋体" w:hAnsi="宋体" w:cs="宋体" w:hint="eastAsia"/>
          <w:kern w:val="0"/>
        </w:rPr>
      </w:pPr>
      <w:r>
        <w:rPr>
          <w:rFonts w:ascii="宋体" w:hAnsi="宋体" w:cs="宋体"/>
          <w:kern w:val="0"/>
          <w:sz w:val="24"/>
        </w:rPr>
        <w:t>积极支持配合项目管理单位调查问题，不得隐瞒、袒护项目管理单位及相关人员的不廉洁问题。</w:t>
      </w:r>
    </w:p>
    <w:p>
      <w:pPr>
        <w:autoSpaceDE w:val="0"/>
        <w:autoSpaceDN w:val="0"/>
        <w:spacing w:before="1"/>
        <w:ind w:left="700"/>
        <w:jc w:val="left"/>
        <w:rPr>
          <w:rFonts w:ascii="宋体" w:hAnsi="宋体" w:cs="宋体" w:hint="eastAsia"/>
          <w:kern w:val="0"/>
          <w:lang w:eastAsia="en-US"/>
        </w:rPr>
      </w:pPr>
      <w:r>
        <w:rPr>
          <w:rFonts w:ascii="宋体" w:hAnsi="宋体" w:cs="宋体"/>
          <w:kern w:val="0"/>
          <w:sz w:val="24"/>
          <w:szCs w:val="24"/>
          <w:lang w:eastAsia="en-US"/>
        </w:rPr>
        <w:t>四、 责任追究</w:t>
      </w:r>
    </w:p>
    <w:p>
      <w:pPr>
        <w:numPr>
          <w:ilvl w:val="0"/>
          <w:numId w:val="62"/>
        </w:numPr>
        <w:tabs>
          <w:tab w:val="left" w:pos="1061"/>
        </w:tabs>
        <w:autoSpaceDE w:val="0"/>
        <w:autoSpaceDN w:val="0"/>
        <w:spacing w:before="161" w:line="364" w:lineRule="auto"/>
        <w:ind w:right="117" w:firstLine="480"/>
        <w:rPr>
          <w:rFonts w:ascii="宋体" w:hAnsi="宋体" w:cs="宋体" w:hint="eastAsia"/>
          <w:kern w:val="0"/>
        </w:rPr>
      </w:pPr>
      <w:r>
        <w:rPr>
          <w:rFonts w:ascii="宋体" w:hAnsi="宋体" w:cs="宋体"/>
          <w:kern w:val="0"/>
          <w:sz w:val="24"/>
        </w:rPr>
        <w:t>按照国家、上级机关、项目管理单位和项目承担单位的有关制度和规定，以项目管理单位为主、项目承担单位配合，追究涉及本项目的不廉洁问题。</w:t>
      </w:r>
    </w:p>
    <w:p>
      <w:pPr>
        <w:numPr>
          <w:ilvl w:val="0"/>
          <w:numId w:val="62"/>
        </w:numPr>
        <w:tabs>
          <w:tab w:val="left" w:pos="1061"/>
        </w:tabs>
        <w:autoSpaceDE w:val="0"/>
        <w:autoSpaceDN w:val="0"/>
        <w:spacing w:before="1"/>
        <w:ind w:left="1061"/>
        <w:rPr>
          <w:rFonts w:ascii="宋体" w:hAnsi="宋体" w:cs="宋体" w:hint="eastAsia"/>
          <w:kern w:val="0"/>
        </w:rPr>
      </w:pPr>
      <w:r>
        <w:rPr>
          <w:rFonts w:ascii="宋体" w:hAnsi="宋体" w:cs="宋体"/>
          <w:spacing w:val="-6"/>
          <w:kern w:val="0"/>
          <w:sz w:val="24"/>
        </w:rPr>
        <w:t xml:space="preserve">建立廉洁违约罚金制度。廉洁违约罚金的额度为合同总额的 </w:t>
      </w:r>
      <w:r>
        <w:rPr>
          <w:rFonts w:eastAsia="Times New Roman" w:hAnsi="宋体" w:cs="宋体"/>
          <w:spacing w:val="-2"/>
          <w:kern w:val="0"/>
          <w:sz w:val="24"/>
        </w:rPr>
        <w:t>1%</w:t>
      </w:r>
      <w:r>
        <w:rPr>
          <w:rFonts w:ascii="宋体" w:hAnsi="宋体" w:cs="宋体"/>
          <w:spacing w:val="-2"/>
          <w:kern w:val="0"/>
          <w:sz w:val="24"/>
        </w:rPr>
        <w:t>（不超过</w:t>
      </w:r>
    </w:p>
    <w:p>
      <w:pPr>
        <w:autoSpaceDE w:val="0"/>
        <w:autoSpaceDN w:val="0"/>
        <w:spacing w:before="160" w:line="364" w:lineRule="auto"/>
        <w:ind w:left="220" w:right="237"/>
        <w:jc w:val="left"/>
        <w:rPr>
          <w:rFonts w:ascii="宋体" w:hAnsi="宋体" w:cs="宋体" w:hint="eastAsia"/>
          <w:kern w:val="0"/>
        </w:rPr>
      </w:pPr>
      <w:r>
        <w:rPr>
          <w:rFonts w:eastAsia="Times New Roman" w:hAnsi="宋体" w:cs="宋体"/>
          <w:spacing w:val="-1"/>
          <w:kern w:val="0"/>
          <w:sz w:val="24"/>
          <w:szCs w:val="24"/>
        </w:rPr>
        <w:t>50</w:t>
      </w:r>
      <w:r>
        <w:rPr>
          <w:rFonts w:eastAsia="Times New Roman" w:hAnsi="宋体" w:cs="宋体"/>
          <w:spacing w:val="-14"/>
          <w:kern w:val="0"/>
          <w:sz w:val="24"/>
          <w:szCs w:val="24"/>
        </w:rPr>
        <w:t xml:space="preserve"> </w:t>
      </w:r>
      <w:r>
        <w:rPr>
          <w:rFonts w:ascii="宋体" w:hAnsi="宋体" w:cs="宋体"/>
          <w:spacing w:val="-1"/>
          <w:kern w:val="0"/>
          <w:sz w:val="24"/>
          <w:szCs w:val="24"/>
        </w:rPr>
        <w:t>万元</w:t>
      </w:r>
      <w:r>
        <w:rPr>
          <w:rFonts w:ascii="宋体" w:hAnsi="宋体" w:cs="宋体"/>
          <w:spacing w:val="-120"/>
          <w:kern w:val="0"/>
          <w:sz w:val="24"/>
          <w:szCs w:val="24"/>
        </w:rPr>
        <w:t>）</w:t>
      </w:r>
      <w:r>
        <w:rPr>
          <w:rFonts w:ascii="宋体" w:hAnsi="宋体" w:cs="宋体"/>
          <w:spacing w:val="-1"/>
          <w:kern w:val="0"/>
          <w:sz w:val="24"/>
          <w:szCs w:val="24"/>
        </w:rPr>
        <w:t>。如违反本协议，根据情节、损失和后果按以下规定在合同支付款中进</w:t>
      </w:r>
      <w:r>
        <w:rPr>
          <w:rFonts w:ascii="宋体" w:hAnsi="宋体" w:cs="宋体"/>
          <w:kern w:val="0"/>
          <w:sz w:val="24"/>
          <w:szCs w:val="24"/>
        </w:rPr>
        <w:t>行扣减。</w:t>
      </w:r>
    </w:p>
    <w:p>
      <w:pPr>
        <w:numPr>
          <w:ilvl w:val="0"/>
          <w:numId w:val="63"/>
        </w:numPr>
        <w:tabs>
          <w:tab w:val="left" w:pos="1301"/>
        </w:tabs>
        <w:autoSpaceDE w:val="0"/>
        <w:autoSpaceDN w:val="0"/>
        <w:spacing w:before="2"/>
        <w:rPr>
          <w:rFonts w:ascii="宋体" w:hAnsi="宋体" w:cs="宋体" w:hint="eastAsia"/>
          <w:kern w:val="0"/>
        </w:rPr>
      </w:pPr>
      <w:r>
        <w:rPr>
          <w:rFonts w:ascii="宋体" w:hAnsi="宋体" w:cs="宋体"/>
          <w:spacing w:val="-12"/>
          <w:kern w:val="0"/>
          <w:sz w:val="24"/>
        </w:rPr>
        <w:t xml:space="preserve">造成直接损失或不良后果，情节较轻的，扣除 </w:t>
      </w:r>
      <w:r>
        <w:rPr>
          <w:rFonts w:eastAsia="Times New Roman" w:hAnsi="宋体" w:cs="宋体"/>
          <w:kern w:val="0"/>
          <w:sz w:val="24"/>
        </w:rPr>
        <w:t>10%-40%</w:t>
      </w:r>
      <w:r>
        <w:rPr>
          <w:rFonts w:ascii="宋体" w:hAnsi="宋体" w:cs="宋体"/>
          <w:kern w:val="0"/>
          <w:sz w:val="24"/>
        </w:rPr>
        <w:t>廉洁违约罚金；</w:t>
      </w:r>
    </w:p>
    <w:p>
      <w:pPr>
        <w:numPr>
          <w:ilvl w:val="0"/>
          <w:numId w:val="63"/>
        </w:numPr>
        <w:tabs>
          <w:tab w:val="left" w:pos="1301"/>
        </w:tabs>
        <w:autoSpaceDE w:val="0"/>
        <w:autoSpaceDN w:val="0"/>
        <w:spacing w:before="160"/>
        <w:rPr>
          <w:rFonts w:ascii="宋体" w:hAnsi="宋体" w:cs="宋体" w:hint="eastAsia"/>
          <w:kern w:val="0"/>
        </w:rPr>
      </w:pPr>
      <w:r>
        <w:rPr>
          <w:rFonts w:ascii="宋体" w:hAnsi="宋体" w:cs="宋体"/>
          <w:spacing w:val="-8"/>
          <w:kern w:val="0"/>
          <w:sz w:val="24"/>
        </w:rPr>
        <w:t xml:space="preserve">情节较重的，扣除 </w:t>
      </w:r>
      <w:r>
        <w:rPr>
          <w:rFonts w:eastAsia="Times New Roman" w:hAnsi="宋体" w:cs="宋体"/>
          <w:kern w:val="0"/>
          <w:sz w:val="24"/>
        </w:rPr>
        <w:t>50%</w:t>
      </w:r>
      <w:r>
        <w:rPr>
          <w:rFonts w:ascii="宋体" w:hAnsi="宋体" w:cs="宋体"/>
          <w:kern w:val="0"/>
          <w:sz w:val="24"/>
        </w:rPr>
        <w:t>廉洁违约罚金；</w:t>
      </w:r>
    </w:p>
    <w:p>
      <w:pPr>
        <w:numPr>
          <w:ilvl w:val="0"/>
          <w:numId w:val="63"/>
        </w:numPr>
        <w:tabs>
          <w:tab w:val="left" w:pos="1301"/>
        </w:tabs>
        <w:autoSpaceDE w:val="0"/>
        <w:autoSpaceDN w:val="0"/>
        <w:spacing w:before="161"/>
        <w:rPr>
          <w:rFonts w:ascii="宋体" w:hAnsi="宋体" w:cs="宋体" w:hint="eastAsia"/>
          <w:kern w:val="0"/>
        </w:rPr>
      </w:pPr>
      <w:r>
        <w:rPr>
          <w:rFonts w:ascii="宋体" w:hAnsi="宋体" w:cs="宋体"/>
          <w:spacing w:val="-8"/>
          <w:kern w:val="0"/>
          <w:sz w:val="24"/>
        </w:rPr>
        <w:t xml:space="preserve">情节严重的，扣除 </w:t>
      </w:r>
      <w:r>
        <w:rPr>
          <w:rFonts w:eastAsia="Times New Roman" w:hAnsi="宋体" w:cs="宋体"/>
          <w:kern w:val="0"/>
          <w:sz w:val="24"/>
        </w:rPr>
        <w:t>100%</w:t>
      </w:r>
      <w:r>
        <w:rPr>
          <w:rFonts w:ascii="宋体" w:hAnsi="宋体" w:cs="宋体"/>
          <w:kern w:val="0"/>
          <w:sz w:val="24"/>
        </w:rPr>
        <w:t>廉洁违约罚金。</w:t>
      </w:r>
    </w:p>
    <w:p>
      <w:pPr>
        <w:numPr>
          <w:ilvl w:val="0"/>
          <w:numId w:val="62"/>
        </w:numPr>
        <w:tabs>
          <w:tab w:val="left" w:pos="1061"/>
        </w:tabs>
        <w:autoSpaceDE w:val="0"/>
        <w:autoSpaceDN w:val="0"/>
        <w:spacing w:before="160" w:line="364" w:lineRule="auto"/>
        <w:ind w:right="240" w:firstLine="480"/>
        <w:rPr>
          <w:rFonts w:ascii="宋体" w:hAnsi="宋体" w:cs="宋体" w:hint="eastAsia"/>
          <w:kern w:val="0"/>
        </w:rPr>
      </w:pPr>
      <w:r>
        <w:rPr>
          <w:rFonts w:ascii="宋体" w:hAnsi="宋体" w:cs="宋体"/>
          <w:kern w:val="0"/>
          <w:sz w:val="24"/>
        </w:rPr>
        <w:t>廉洁违约罚金的扣减：由合同管理单位根据纪检监察部门的处罚意见，</w:t>
      </w:r>
      <w:r>
        <w:rPr>
          <w:rFonts w:ascii="宋体" w:hAnsi="宋体" w:cs="宋体"/>
          <w:spacing w:val="-117"/>
          <w:kern w:val="0"/>
          <w:sz w:val="24"/>
        </w:rPr>
        <w:t xml:space="preserve"> </w:t>
      </w:r>
      <w:r>
        <w:rPr>
          <w:rFonts w:ascii="宋体" w:hAnsi="宋体" w:cs="宋体"/>
          <w:kern w:val="0"/>
          <w:sz w:val="24"/>
        </w:rPr>
        <w:t>与合同进度款的结算同步进行。</w:t>
      </w:r>
    </w:p>
    <w:p>
      <w:pPr>
        <w:numPr>
          <w:ilvl w:val="0"/>
          <w:numId w:val="62"/>
        </w:numPr>
        <w:tabs>
          <w:tab w:val="left" w:pos="1061"/>
        </w:tabs>
        <w:autoSpaceDE w:val="0"/>
        <w:autoSpaceDN w:val="0"/>
        <w:spacing w:before="1" w:line="364" w:lineRule="auto"/>
        <w:ind w:right="240" w:firstLine="480"/>
        <w:rPr>
          <w:rFonts w:ascii="宋体" w:hAnsi="宋体" w:cs="宋体" w:hint="eastAsia"/>
          <w:kern w:val="0"/>
        </w:rPr>
      </w:pPr>
      <w:r>
        <w:rPr>
          <w:rFonts w:ascii="宋体" w:hAnsi="宋体" w:cs="宋体"/>
          <w:kern w:val="0"/>
          <w:sz w:val="24"/>
        </w:rPr>
        <w:t>对积极配合项目管理单位调查，并确有立功表现或从轻、减轻违纪违规情节的，可根据相关规定履行审批手续后酌情减免处罚。</w:t>
      </w:r>
    </w:p>
    <w:p>
      <w:pPr>
        <w:numPr>
          <w:ilvl w:val="0"/>
          <w:numId w:val="62"/>
        </w:numPr>
        <w:tabs>
          <w:tab w:val="left" w:pos="1061"/>
        </w:tabs>
        <w:autoSpaceDE w:val="0"/>
        <w:autoSpaceDN w:val="0"/>
        <w:spacing w:before="2" w:line="364" w:lineRule="auto"/>
        <w:ind w:right="237" w:firstLine="480"/>
        <w:rPr>
          <w:rFonts w:ascii="宋体" w:hAnsi="宋体" w:cs="宋体" w:hint="eastAsia"/>
          <w:kern w:val="0"/>
        </w:rPr>
      </w:pPr>
      <w:r>
        <w:rPr>
          <w:rFonts w:ascii="宋体" w:hAnsi="宋体" w:cs="宋体"/>
          <w:kern w:val="0"/>
          <w:sz w:val="24"/>
        </w:rPr>
        <w:t>上述处罚的同时，项目管理单位可按照</w:t>
      </w:r>
      <w:r>
        <w:rPr>
          <w:rFonts w:ascii="宋体" w:hAnsi="宋体" w:cs="宋体" w:hint="eastAsia"/>
          <w:color w:val="FF0000"/>
          <w:kern w:val="0"/>
          <w:sz w:val="24"/>
        </w:rPr>
        <w:t>国家气候中心</w:t>
      </w:r>
      <w:r>
        <w:rPr>
          <w:rFonts w:ascii="宋体" w:hAnsi="宋体" w:cs="宋体"/>
          <w:kern w:val="0"/>
          <w:sz w:val="24"/>
        </w:rPr>
        <w:t>有关规定另行给予</w:t>
      </w:r>
      <w:r>
        <w:rPr>
          <w:rFonts w:ascii="宋体" w:hAnsi="宋体" w:cs="宋体"/>
          <w:spacing w:val="-3"/>
          <w:kern w:val="0"/>
          <w:sz w:val="24"/>
        </w:rPr>
        <w:t>项目承担单位暂停合同履行、降低信用评级、禁止参加项目管理单位其他项目等</w:t>
      </w:r>
      <w:r>
        <w:rPr>
          <w:rFonts w:ascii="宋体" w:hAnsi="宋体" w:cs="宋体"/>
          <w:kern w:val="0"/>
          <w:sz w:val="24"/>
        </w:rPr>
        <w:t>处理。</w:t>
      </w:r>
    </w:p>
    <w:p>
      <w:pPr>
        <w:autoSpaceDE w:val="0"/>
        <w:autoSpaceDN w:val="0"/>
        <w:spacing w:line="364" w:lineRule="auto"/>
        <w:rPr>
          <w:rFonts w:ascii="宋体" w:hAnsi="宋体" w:cs="宋体" w:hint="eastAsia"/>
          <w:kern w:val="0"/>
        </w:rPr>
        <w:sectPr>
          <w:pgSz w:w="11910" w:h="16840"/>
          <w:pgMar w:top="1440" w:right="1560" w:bottom="280" w:left="1580" w:header="720" w:footer="720" w:gutter="0"/>
          <w:cols w:space="708"/>
        </w:sectPr>
      </w:pPr>
    </w:p>
    <w:p>
      <w:pPr>
        <w:numPr>
          <w:ilvl w:val="0"/>
          <w:numId w:val="62"/>
        </w:numPr>
        <w:tabs>
          <w:tab w:val="left" w:pos="1061"/>
        </w:tabs>
        <w:autoSpaceDE w:val="0"/>
        <w:autoSpaceDN w:val="0"/>
        <w:spacing w:before="62" w:line="364" w:lineRule="auto"/>
        <w:ind w:right="240" w:firstLine="480"/>
        <w:rPr>
          <w:rFonts w:ascii="宋体" w:hAnsi="宋体" w:cs="宋体" w:hint="eastAsia"/>
          <w:kern w:val="0"/>
        </w:rPr>
      </w:pPr>
      <w:r>
        <w:rPr>
          <w:rFonts w:ascii="宋体" w:hAnsi="宋体" w:cs="宋体"/>
          <w:kern w:val="0"/>
          <w:sz w:val="24"/>
        </w:rPr>
        <w:t>项目管理单位违反本协议，影响项目承担单位履行合同并造成损失的，</w:t>
      </w:r>
      <w:r>
        <w:rPr>
          <w:rFonts w:ascii="宋体" w:hAnsi="宋体" w:cs="宋体"/>
          <w:spacing w:val="-117"/>
          <w:kern w:val="0"/>
          <w:sz w:val="24"/>
        </w:rPr>
        <w:t xml:space="preserve"> </w:t>
      </w:r>
      <w:r>
        <w:rPr>
          <w:rFonts w:ascii="宋体" w:hAnsi="宋体" w:cs="宋体"/>
          <w:kern w:val="0"/>
          <w:sz w:val="24"/>
        </w:rPr>
        <w:t>项目管理单位应承担赔偿责任。</w:t>
      </w:r>
    </w:p>
    <w:p>
      <w:pPr>
        <w:autoSpaceDE w:val="0"/>
        <w:autoSpaceDN w:val="0"/>
        <w:spacing w:before="1"/>
        <w:ind w:left="700"/>
        <w:jc w:val="left"/>
        <w:rPr>
          <w:rFonts w:ascii="宋体" w:hAnsi="宋体" w:cs="宋体" w:hint="eastAsia"/>
          <w:kern w:val="0"/>
          <w:lang w:eastAsia="en-US"/>
        </w:rPr>
      </w:pPr>
      <w:r>
        <w:rPr>
          <w:rFonts w:ascii="宋体" w:hAnsi="宋体" w:cs="宋体"/>
          <w:kern w:val="0"/>
          <w:sz w:val="24"/>
          <w:szCs w:val="24"/>
          <w:lang w:eastAsia="en-US"/>
        </w:rPr>
        <w:t>五、监督执行</w:t>
      </w:r>
    </w:p>
    <w:p>
      <w:pPr>
        <w:numPr>
          <w:ilvl w:val="0"/>
          <w:numId w:val="64"/>
        </w:numPr>
        <w:tabs>
          <w:tab w:val="left" w:pos="1061"/>
        </w:tabs>
        <w:autoSpaceDE w:val="0"/>
        <w:autoSpaceDN w:val="0"/>
        <w:spacing w:before="161"/>
        <w:rPr>
          <w:rFonts w:ascii="宋体" w:hAnsi="宋体" w:cs="宋体" w:hint="eastAsia"/>
          <w:kern w:val="0"/>
        </w:rPr>
      </w:pPr>
      <w:r>
        <w:rPr>
          <w:rFonts w:ascii="宋体" w:hAnsi="宋体" w:cs="宋体"/>
          <w:kern w:val="0"/>
          <w:sz w:val="24"/>
        </w:rPr>
        <w:t>本协议作为项目合同的附件，由双方纪检监察部门联合监督执行。</w:t>
      </w:r>
    </w:p>
    <w:p>
      <w:pPr>
        <w:numPr>
          <w:ilvl w:val="0"/>
          <w:numId w:val="64"/>
        </w:numPr>
        <w:tabs>
          <w:tab w:val="left" w:pos="1104"/>
        </w:tabs>
        <w:autoSpaceDE w:val="0"/>
        <w:autoSpaceDN w:val="0"/>
        <w:spacing w:before="160"/>
        <w:ind w:left="1103" w:hanging="404"/>
        <w:rPr>
          <w:rFonts w:ascii="宋体" w:hAnsi="宋体" w:cs="宋体" w:hint="eastAsia"/>
          <w:kern w:val="0"/>
        </w:rPr>
      </w:pPr>
      <w:r>
        <w:rPr>
          <w:rFonts w:ascii="宋体" w:hAnsi="宋体" w:cs="宋体"/>
          <w:spacing w:val="5"/>
          <w:kern w:val="0"/>
          <w:sz w:val="24"/>
        </w:rPr>
        <w:t>项目管理单位举报电话：</w:t>
      </w:r>
      <w:r>
        <w:rPr>
          <w:rFonts w:ascii="宋体" w:hAnsi="宋体" w:cs="宋体"/>
          <w:spacing w:val="-99"/>
          <w:kern w:val="0"/>
          <w:sz w:val="24"/>
        </w:rPr>
        <w:t xml:space="preserve"> </w:t>
      </w:r>
      <w:r>
        <w:rPr>
          <w:rFonts w:eastAsia="Times New Roman" w:hAnsi="宋体" w:cs="宋体"/>
          <w:kern w:val="0"/>
          <w:sz w:val="24"/>
          <w:u w:val="single"/>
        </w:rPr>
        <w:t>010-68408867</w:t>
      </w:r>
      <w:r>
        <w:rPr>
          <w:rFonts w:eastAsia="Times New Roman" w:hAnsi="宋体" w:cs="宋体"/>
          <w:spacing w:val="-39"/>
          <w:kern w:val="0"/>
          <w:sz w:val="24"/>
        </w:rPr>
        <w:t xml:space="preserve"> </w:t>
      </w:r>
      <w:r>
        <w:rPr>
          <w:rFonts w:ascii="宋体" w:hAnsi="宋体" w:cs="宋体"/>
          <w:spacing w:val="7"/>
          <w:kern w:val="0"/>
          <w:sz w:val="24"/>
        </w:rPr>
        <w:t>； 项目承担单位举报电话</w:t>
      </w:r>
      <w:r>
        <w:rPr>
          <w:rFonts w:ascii="宋体" w:hAnsi="宋体" w:cs="宋体"/>
          <w:kern w:val="0"/>
          <w:sz w:val="24"/>
        </w:rPr>
        <w:t>：</w:t>
      </w:r>
      <w:r>
        <w:rPr>
          <w:rFonts w:eastAsia="Times New Roman" w:hAnsi="宋体" w:cs="宋体"/>
          <w:kern w:val="0"/>
          <w:sz w:val="24"/>
          <w:szCs w:val="24"/>
          <w:u w:val="single"/>
        </w:rPr>
        <w:t xml:space="preserve"> XXX-XXXXXXXX</w:t>
      </w:r>
      <w:r>
        <w:rPr>
          <w:rFonts w:ascii="宋体" w:hAnsi="宋体" w:cs="宋体"/>
          <w:kern w:val="0"/>
          <w:sz w:val="24"/>
          <w:szCs w:val="24"/>
        </w:rPr>
        <w:t>。</w:t>
      </w:r>
    </w:p>
    <w:p>
      <w:pPr>
        <w:autoSpaceDE w:val="0"/>
        <w:autoSpaceDN w:val="0"/>
        <w:spacing w:before="160"/>
        <w:ind w:left="700"/>
        <w:jc w:val="left"/>
        <w:rPr>
          <w:rFonts w:ascii="宋体" w:hAnsi="宋体" w:cs="宋体" w:hint="eastAsia"/>
          <w:kern w:val="0"/>
          <w:lang w:eastAsia="en-US"/>
        </w:rPr>
      </w:pPr>
      <w:r>
        <w:rPr>
          <w:rFonts w:ascii="宋体" w:hAnsi="宋体" w:cs="宋体"/>
          <w:kern w:val="0"/>
          <w:sz w:val="24"/>
          <w:szCs w:val="24"/>
          <w:lang w:eastAsia="en-US"/>
        </w:rPr>
        <w:t>六、其他</w:t>
      </w:r>
    </w:p>
    <w:p>
      <w:pPr>
        <w:numPr>
          <w:ilvl w:val="0"/>
          <w:numId w:val="65"/>
        </w:numPr>
        <w:tabs>
          <w:tab w:val="left" w:pos="1061"/>
        </w:tabs>
        <w:autoSpaceDE w:val="0"/>
        <w:autoSpaceDN w:val="0"/>
        <w:spacing w:before="161"/>
        <w:rPr>
          <w:rFonts w:ascii="宋体" w:hAnsi="宋体" w:cs="宋体" w:hint="eastAsia"/>
          <w:kern w:val="0"/>
        </w:rPr>
      </w:pPr>
      <w:r>
        <w:rPr>
          <w:rFonts w:ascii="宋体" w:hAnsi="宋体" w:cs="宋体"/>
          <w:kern w:val="0"/>
          <w:sz w:val="24"/>
        </w:rPr>
        <w:t>因执行本协议所发生的有关争议，适用主合同争议解决条款。</w:t>
      </w:r>
    </w:p>
    <w:p>
      <w:pPr>
        <w:numPr>
          <w:ilvl w:val="0"/>
          <w:numId w:val="65"/>
        </w:numPr>
        <w:tabs>
          <w:tab w:val="left" w:pos="1061"/>
        </w:tabs>
        <w:autoSpaceDE w:val="0"/>
        <w:autoSpaceDN w:val="0"/>
        <w:spacing w:before="160"/>
        <w:rPr>
          <w:rFonts w:ascii="宋体" w:hAnsi="宋体" w:cs="宋体" w:hint="eastAsia"/>
          <w:kern w:val="0"/>
        </w:rPr>
      </w:pPr>
      <w:r>
        <w:rPr>
          <w:rFonts w:ascii="宋体" w:hAnsi="宋体" w:cs="宋体"/>
          <w:kern w:val="0"/>
          <w:sz w:val="24"/>
        </w:rPr>
        <w:t>本协议作为主合同的附件，签订份数与主合同一致。</w:t>
      </w:r>
    </w:p>
    <w:p>
      <w:pPr>
        <w:numPr>
          <w:ilvl w:val="0"/>
          <w:numId w:val="65"/>
        </w:numPr>
        <w:tabs>
          <w:tab w:val="left" w:pos="1061"/>
        </w:tabs>
        <w:autoSpaceDE w:val="0"/>
        <w:autoSpaceDN w:val="0"/>
        <w:spacing w:before="161" w:line="364" w:lineRule="auto"/>
        <w:ind w:left="220" w:right="240" w:firstLine="480"/>
        <w:rPr>
          <w:rFonts w:ascii="宋体" w:hAnsi="宋体" w:cs="宋体" w:hint="eastAsia"/>
          <w:kern w:val="0"/>
        </w:rPr>
      </w:pPr>
      <w:r>
        <w:rPr>
          <w:rFonts w:ascii="宋体" w:hAnsi="宋体" w:cs="宋体"/>
          <w:kern w:val="0"/>
          <w:sz w:val="24"/>
        </w:rPr>
        <w:t>双方法定代表人或其委托代理人在此签字并加盖公章，签字并盖章之日起本协议生效。</w:t>
      </w:r>
    </w:p>
    <w:p>
      <w:pPr>
        <w:autoSpaceDE w:val="0"/>
        <w:autoSpaceDN w:val="0"/>
        <w:jc w:val="left"/>
        <w:rPr>
          <w:rFonts w:ascii="宋体" w:hAnsi="宋体" w:cs="宋体" w:hint="eastAsia"/>
          <w:kern w:val="0"/>
        </w:rPr>
      </w:pPr>
    </w:p>
    <w:p>
      <w:pPr>
        <w:autoSpaceDE w:val="0"/>
        <w:autoSpaceDN w:val="0"/>
        <w:jc w:val="left"/>
        <w:rPr>
          <w:rFonts w:ascii="宋体" w:hAnsi="宋体" w:cs="宋体" w:hint="eastAsia"/>
          <w:kern w:val="0"/>
        </w:rPr>
      </w:pPr>
    </w:p>
    <w:p>
      <w:pPr>
        <w:autoSpaceDE w:val="0"/>
        <w:autoSpaceDN w:val="0"/>
        <w:spacing w:before="1"/>
        <w:jc w:val="left"/>
        <w:rPr>
          <w:rFonts w:ascii="宋体" w:hAnsi="宋体" w:cs="宋体" w:hint="eastAsia"/>
          <w:kern w:val="0"/>
          <w:sz w:val="25"/>
        </w:rPr>
      </w:pPr>
    </w:p>
    <w:p>
      <w:pPr>
        <w:tabs>
          <w:tab w:val="left" w:pos="8585"/>
        </w:tabs>
        <w:autoSpaceDE w:val="0"/>
        <w:autoSpaceDN w:val="0"/>
        <w:ind w:left="220"/>
        <w:jc w:val="left"/>
        <w:rPr>
          <w:rFonts w:eastAsia="Times New Roman" w:hAnsi="宋体" w:cs="宋体"/>
          <w:kern w:val="0"/>
        </w:rPr>
      </w:pPr>
      <w:r>
        <w:rPr>
          <w:rFonts w:ascii="宋体" w:hAnsi="宋体" w:cs="宋体"/>
          <w:kern w:val="0"/>
          <w:sz w:val="24"/>
          <w:szCs w:val="24"/>
        </w:rPr>
        <w:t>管理单位：国家气候中心</w:t>
      </w:r>
      <w:r>
        <w:rPr>
          <w:rFonts w:ascii="宋体" w:hAnsi="宋体" w:cs="宋体" w:hint="eastAsia"/>
          <w:kern w:val="0"/>
          <w:sz w:val="24"/>
          <w:szCs w:val="24"/>
        </w:rPr>
        <w:t xml:space="preserve"> </w:t>
      </w:r>
      <w:r>
        <w:rPr>
          <w:rFonts w:ascii="宋体" w:hAnsi="宋体" w:cs="宋体"/>
          <w:kern w:val="0"/>
          <w:sz w:val="24"/>
          <w:szCs w:val="24"/>
        </w:rPr>
        <w:t xml:space="preserve">            </w:t>
      </w:r>
      <w:r>
        <w:rPr>
          <w:rFonts w:ascii="宋体" w:hAnsi="宋体" w:cs="宋体" w:hint="eastAsia"/>
          <w:kern w:val="0"/>
          <w:sz w:val="24"/>
          <w:szCs w:val="24"/>
        </w:rPr>
        <w:t xml:space="preserve"> </w:t>
      </w:r>
      <w:r>
        <w:rPr>
          <w:rFonts w:ascii="宋体" w:hAnsi="宋体" w:cs="宋体"/>
          <w:kern w:val="0"/>
          <w:sz w:val="24"/>
          <w:szCs w:val="24"/>
        </w:rPr>
        <w:t>承担单位：</w:t>
      </w:r>
    </w:p>
    <w:p>
      <w:pPr>
        <w:autoSpaceDE w:val="0"/>
        <w:autoSpaceDN w:val="0"/>
        <w:jc w:val="left"/>
        <w:rPr>
          <w:rFonts w:hAnsi="宋体" w:cs="宋体" w:hint="eastAsia"/>
          <w:kern w:val="0"/>
          <w:sz w:val="20"/>
        </w:rPr>
      </w:pPr>
    </w:p>
    <w:p>
      <w:pPr>
        <w:autoSpaceDE w:val="0"/>
        <w:autoSpaceDN w:val="0"/>
        <w:spacing w:before="3"/>
        <w:jc w:val="left"/>
        <w:rPr>
          <w:rFonts w:hAnsi="宋体" w:cs="宋体" w:hint="eastAsia"/>
          <w:kern w:val="0"/>
          <w:sz w:val="17"/>
        </w:rPr>
      </w:pPr>
    </w:p>
    <w:p>
      <w:pPr>
        <w:tabs>
          <w:tab w:val="left" w:pos="4479"/>
        </w:tabs>
        <w:autoSpaceDE w:val="0"/>
        <w:autoSpaceDN w:val="0"/>
        <w:spacing w:before="66"/>
        <w:ind w:left="220"/>
        <w:jc w:val="left"/>
        <w:rPr>
          <w:rFonts w:ascii="宋体" w:hAnsi="宋体" w:cs="宋体" w:hint="eastAsia"/>
          <w:kern w:val="0"/>
        </w:rPr>
      </w:pPr>
      <w:r>
        <w:rPr>
          <w:rFonts w:ascii="宋体" w:hAnsi="宋体" w:cs="宋体"/>
          <w:kern w:val="0"/>
          <w:sz w:val="24"/>
          <w:szCs w:val="24"/>
        </w:rPr>
        <w:t>法定代表人（或授权代表</w:t>
      </w:r>
      <w:r>
        <w:rPr>
          <w:rFonts w:ascii="宋体" w:hAnsi="宋体" w:cs="宋体"/>
          <w:spacing w:val="-120"/>
          <w:kern w:val="0"/>
          <w:sz w:val="24"/>
          <w:szCs w:val="24"/>
        </w:rPr>
        <w:t>）</w:t>
      </w:r>
      <w:r>
        <w:rPr>
          <w:rFonts w:ascii="宋体" w:hAnsi="宋体" w:cs="宋体"/>
          <w:kern w:val="0"/>
          <w:sz w:val="24"/>
          <w:szCs w:val="24"/>
        </w:rPr>
        <w:t>：</w:t>
      </w:r>
      <w:r>
        <w:rPr>
          <w:rFonts w:ascii="宋体" w:hAnsi="宋体" w:cs="宋体"/>
          <w:kern w:val="0"/>
          <w:sz w:val="24"/>
          <w:szCs w:val="24"/>
        </w:rPr>
        <w:tab/>
      </w:r>
      <w:r>
        <w:rPr>
          <w:rFonts w:ascii="宋体" w:hAnsi="宋体" w:cs="宋体"/>
          <w:kern w:val="0"/>
          <w:sz w:val="24"/>
          <w:szCs w:val="24"/>
        </w:rPr>
        <w:t>法定代表人（或授权代表</w:t>
      </w:r>
      <w:r>
        <w:rPr>
          <w:rFonts w:ascii="宋体" w:hAnsi="宋体" w:cs="宋体"/>
          <w:spacing w:val="-120"/>
          <w:kern w:val="0"/>
          <w:sz w:val="24"/>
          <w:szCs w:val="24"/>
        </w:rPr>
        <w:t>）</w:t>
      </w:r>
      <w:r>
        <w:rPr>
          <w:rFonts w:ascii="宋体" w:hAnsi="宋体" w:cs="宋体"/>
          <w:kern w:val="0"/>
          <w:sz w:val="24"/>
          <w:szCs w:val="24"/>
        </w:rPr>
        <w:t>：</w:t>
      </w:r>
    </w:p>
    <w:p>
      <w:pPr>
        <w:autoSpaceDE w:val="0"/>
        <w:autoSpaceDN w:val="0"/>
        <w:jc w:val="left"/>
        <w:rPr>
          <w:rFonts w:ascii="宋体" w:hAnsi="宋体" w:cs="宋体" w:hint="eastAsia"/>
          <w:kern w:val="0"/>
        </w:rPr>
      </w:pPr>
    </w:p>
    <w:p>
      <w:pPr>
        <w:autoSpaceDE w:val="0"/>
        <w:autoSpaceDN w:val="0"/>
        <w:spacing w:before="1"/>
        <w:jc w:val="left"/>
        <w:rPr>
          <w:rFonts w:ascii="宋体" w:hAnsi="宋体" w:cs="宋体" w:hint="eastAsia"/>
          <w:kern w:val="0"/>
          <w:sz w:val="28"/>
        </w:rPr>
      </w:pPr>
    </w:p>
    <w:p>
      <w:pPr>
        <w:autoSpaceDE w:val="0"/>
        <w:autoSpaceDN w:val="0"/>
        <w:ind w:left="220"/>
        <w:jc w:val="left"/>
        <w:rPr>
          <w:rFonts w:ascii="宋体" w:hAnsi="宋体" w:cs="宋体" w:hint="eastAsia"/>
          <w:kern w:val="0"/>
        </w:rPr>
      </w:pPr>
      <w:r>
        <w:rPr>
          <w:rFonts w:ascii="宋体" w:hAnsi="宋体" w:cs="宋体"/>
          <w:kern w:val="0"/>
          <w:sz w:val="24"/>
          <w:szCs w:val="24"/>
        </w:rPr>
        <w:t>项目负责人：</w:t>
      </w:r>
    </w:p>
    <w:p>
      <w:pPr>
        <w:rPr>
          <w:rFonts w:hint="eastAsia"/>
        </w:rPr>
      </w:pPr>
    </w:p>
    <w:p>
      <w:pPr>
        <w:rPr>
          <w:rFonts w:hint="eastAsia"/>
        </w:rPr>
      </w:pPr>
    </w:p>
    <w:p>
      <w:pPr>
        <w:spacing w:line="360" w:lineRule="auto"/>
        <w:ind w:firstLine="3066" w:firstLineChars="1460"/>
        <w:jc w:val="left"/>
        <w:rPr>
          <w:b/>
          <w:bCs/>
          <w:szCs w:val="21"/>
        </w:rPr>
      </w:pPr>
    </w:p>
    <w:p>
      <w:pPr>
        <w:adjustRightInd w:val="0"/>
        <w:snapToGrid w:val="0"/>
        <w:spacing w:line="360" w:lineRule="auto"/>
        <w:rPr>
          <w:rFonts w:ascii="宋体" w:hAnsi="宋体" w:cs="宋体"/>
          <w:szCs w:val="21"/>
        </w:rPr>
      </w:pPr>
    </w:p>
    <w:p w:rsidR="00A77B3E"/>
    <w:p>
      <w:pPr>
        <w:ind w:right="-210" w:rightChars="-100"/>
      </w:pPr>
      <w:bookmarkEnd w:id="84"/>
    </w:p>
    <w:p>
      <w:pPr>
        <w:rPr>
          <w:rFonts w:ascii="Calibri" w:hAnsi="Calibri"/>
          <w:szCs w:val="22"/>
          <w:highlight w:val="none"/>
        </w:rPr>
      </w:pPr>
    </w:p>
    <w:p>
      <w:pPr>
        <w:spacing w:line="360" w:lineRule="auto"/>
        <w:jc w:val="left"/>
        <w:rPr>
          <w:b/>
          <w:bCs/>
          <w:sz w:val="44"/>
          <w:szCs w:val="44"/>
          <w:highlight w:val="none"/>
        </w:rPr>
      </w:pPr>
    </w:p>
    <w:sectPr>
      <w:footerReference w:type="even" r:id="rId19"/>
      <w:footerReference w:type="default" r:id="rId20"/>
      <w:footerReference w:type="first" r:id="rId21"/>
      <w:pgSz w:w="11906" w:h="16838"/>
      <w:pgMar w:top="1440" w:right="1021" w:bottom="1440" w:left="1418" w:header="851" w:footer="992" w:gutter="0"/>
      <w:pgNumType w:start="0"/>
      <w:cols w:space="708"/>
      <w:titlePg/>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default"/>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default"/>
    <w:sig w:usb0="A00002EF" w:usb1="4000207B" w:usb2="00000000" w:usb3="00000000" w:csb0="2000019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rPr>
        <w:rFonts w:hint="eastAsia"/>
      </w:rPr>
    </w:pPr>
    <w: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z-index:251658240" filled="f" stroked="f">
          <v:fill o:detectmouseclick="t"/>
          <v:stroke linestyle="single"/>
          <o:lock v:ext="edit" aspectratio="f"/>
          <v:textbox style="mso-fit-shape-to-text:t" inset="0,0,0,0">
            <w:txbxContent>
              <w:p>
                <w:pPr>
                  <w:pStyle w:val="Footer"/>
                  <w:tabs>
                    <w:tab w:val="center" w:pos="4153"/>
                    <w:tab w:val="right" w:pos="8306"/>
                  </w:tabs>
                </w:pPr>
              </w:p>
            </w:txbxContent>
          </v:textbox>
          <w10:wrap anchorx="margin"/>
        </v:shape>
      </w:pict>
    </w:r>
    <w:r>
      <w:rPr>
        <w:rFonts w:hint="eastAsia"/>
      </w:rP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540"/>
      <w:jc w:val="right"/>
      <w:rPr>
        <w:rFonts w:hint="eastAsia"/>
      </w:rPr>
    </w:pPr>
    <w: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z-index:251659264" filled="f" stroked="f">
          <v:fill o:detectmouseclick="t"/>
          <v:stroke linestyle="single"/>
          <o:lock v:ext="edit" aspectratio="f"/>
          <v:textbox style="mso-fit-shape-to-text:t" inset="0,0,0,0">
            <w:txbxContent>
              <w:p>
                <w:pPr>
                  <w:pStyle w:val="Footer"/>
                  <w:tabs>
                    <w:tab w:val="center" w:pos="4153"/>
                    <w:tab w:val="right" w:pos="8306"/>
                  </w:tabs>
                  <w:ind w:right="540"/>
                  <w:jc w:val="right"/>
                </w:pPr>
              </w:p>
            </w:txbxContent>
          </v:textbox>
          <w10:wrap anchorx="margin"/>
        </v:shape>
      </w:pict>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540"/>
      <w:jc w:val="right"/>
      <w:rPr>
        <w:rFonts w:hint="eastAsia"/>
      </w:rPr>
    </w:pPr>
    <w:r>
      <w:pict>
        <v:shapetype id="_x0000_t202" coordsize="21600,21600" o:spt="202" path="m,l,21600r21600,l21600,xe">
          <v:stroke joinstyle="miter"/>
          <v:path gradientshapeok="t" o:connecttype="rect"/>
        </v:shapetype>
        <v:shape id="文本框 2" o:spid="_x0000_s2053" type="#_x0000_t202" style="width:2in;height:2in;margin-top:0;margin-left:0;mso-position-horizontal:center;mso-position-horizontal-relative:margin;mso-wrap-style:none;position:absolute;z-index:251665408" filled="f" stroked="f">
          <v:fill o:detectmouseclick="t"/>
          <v:stroke linestyle="single"/>
          <o:lock v:ext="edit" aspectratio="f"/>
          <v:textbox style="mso-fit-shape-to-text:t" inset="0,0,0,0">
            <w:txbxContent>
              <w:p>
                <w:pPr>
                  <w:pStyle w:val="Footer"/>
                  <w:tabs>
                    <w:tab w:val="center" w:pos="4153"/>
                    <w:tab w:val="right" w:pos="8306"/>
                  </w:tabs>
                  <w:jc w:val="right"/>
                </w:pPr>
                <w:r>
                  <w:fldChar w:fldCharType="begin"/>
                </w:r>
                <w:r>
                  <w:instrText xml:space="preserve"> PAGE   \* MERGEFORMAT </w:instrText>
                </w:r>
                <w:r>
                  <w:fldChar w:fldCharType="separate"/>
                </w:r>
                <w:r>
                  <w:rPr>
                    <w:lang w:val="zh-CN"/>
                  </w:rPr>
                  <w:t>1</w:t>
                </w:r>
                <w:r>
                  <w:fldChar w:fldCharType="end"/>
                </w:r>
              </w:p>
            </w:txbxContent>
          </v:textbox>
          <w10:wrap anchorx="margin"/>
        </v:shape>
      </w:pict>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rPr>
        <w:rFonts w:hint="eastAsia"/>
      </w:rPr>
    </w:pPr>
    <w:r>
      <w:pict>
        <v:shapetype id="_x0000_t202" coordsize="21600,21600" o:spt="202" path="m,l,21600r21600,l21600,xe">
          <v:stroke joinstyle="miter"/>
          <v:path gradientshapeok="t" o:connecttype="rect"/>
        </v:shapetype>
        <v:shape id="文本框 3" o:spid="_x0000_s2054" type="#_x0000_t202" style="width:2in;height:2in;margin-top:0;margin-left:0;mso-position-horizontal:center;mso-position-horizontal-relative:margin;mso-wrap-style:none;position:absolute;z-index:251661312" filled="f" stroked="f">
          <v:fill o:detectmouseclick="t"/>
          <v:stroke linestyle="single"/>
          <o:lock v:ext="edit" aspectratio="f"/>
          <v:textbox style="mso-fit-shape-to-text:t" inset="0,0,0,0">
            <w:txbxContent>
              <w:p>
                <w:pPr>
                  <w:pStyle w:val="Footer"/>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txbxContent>
          </v:textbox>
          <w10:wrap anchorx="margin"/>
        </v:shape>
      </w:pict>
    </w:r>
    <w:r>
      <w:rPr>
        <w:rFonts w:hint="eastAsia"/>
      </w:rPr>
      <w:t xml:space="preserve">                                                </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pPr>
    <w:r>
      <w:pict>
        <v:shapetype id="_x0000_t202" coordsize="21600,21600" o:spt="202" path="m,l,21600r21600,l21600,xe">
          <v:stroke joinstyle="miter"/>
          <v:path gradientshapeok="t" o:connecttype="rect"/>
        </v:shapetype>
        <v:shape id="文本框 4" o:spid="_x0000_s2055" type="#_x0000_t202" style="width:2in;height:2in;margin-top:0;margin-left:0;mso-position-horizontal:center;mso-position-horizontal-relative:margin;mso-wrap-style:none;position:absolute;z-index:251662336" filled="f" stroked="f">
          <v:fill o:detectmouseclick="t"/>
          <v:stroke linestyle="single"/>
          <o:lock v:ext="edit" aspectratio="f"/>
          <v:textbox style="mso-fit-shape-to-text:t" inset="0,0,0,0">
            <w:txbxContent>
              <w:p>
                <w:pPr>
                  <w:pStyle w:val="Footer"/>
                  <w:tabs>
                    <w:tab w:val="center" w:pos="4153"/>
                    <w:tab w:val="right" w:pos="8306"/>
                  </w:tabs>
                  <w:jc w:val="right"/>
                </w:pPr>
                <w:r>
                  <w:fldChar w:fldCharType="begin"/>
                </w:r>
                <w:r>
                  <w:instrText xml:space="preserve"> PAGE   \* MERGEFORMAT </w:instrText>
                </w:r>
                <w:r>
                  <w:fldChar w:fldCharType="separate"/>
                </w:r>
                <w:r>
                  <w:rPr>
                    <w:lang w:val="zh-CN"/>
                  </w:rPr>
                  <w:t>0</w:t>
                </w:r>
                <w:r>
                  <w:fldChar w:fldCharType="end"/>
                </w:r>
              </w:p>
            </w:txbxContent>
          </v:textbox>
          <w10:wrap anchorx="margin"/>
        </v:shape>
      </w:pict>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sz w:val="21"/>
      </w:rPr>
      <w:pict>
        <v:shapetype id="_x0000_t202" coordsize="21600,21600" o:spt="202" path="m,l,21600r21600,l21600,xe">
          <v:stroke joinstyle="miter"/>
          <v:path gradientshapeok="t" o:connecttype="rect"/>
        </v:shapetype>
        <v:shape id="文本框 5" o:spid="_x0000_s2056" type="#_x0000_t202" style="width:2in;height:2in;margin-top:0;margin-left:0;mso-position-horizontal:center;mso-position-horizontal-relative:margin;mso-wrap-style:none;position:absolute;z-index:251664384" filled="f" stroked="f">
          <v:fill o:detectmouseclick="t"/>
          <v:stroke linestyle="single"/>
          <o:lock v:ext="edit" aspectratio="f"/>
          <v:textbox style="mso-fit-shape-to-text:t" inset="0,0,0,0">
            <w:txbxContent>
              <w:p>
                <w:pPr>
                  <w:pStyle w:val="Footer"/>
                  <w:tabs>
                    <w:tab w:val="center" w:pos="4153"/>
                    <w:tab w:val="right" w:pos="8306"/>
                  </w:tabs>
                  <w:jc w:val="cente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5</w:t>
                </w:r>
                <w:r>
                  <w:rPr>
                    <w:rFonts w:ascii="宋体" w:hAnsi="宋体"/>
                    <w:sz w:val="21"/>
                    <w:szCs w:val="21"/>
                  </w:rPr>
                  <w:fldChar w:fldCharType="end"/>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rPr>
        <w:rFonts w:hint="eastAsia"/>
      </w:rPr>
    </w:pPr>
    <w: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z-index:251660288" filled="f" stroked="f">
          <v:fill o:detectmouseclick="t"/>
          <v:stroke linestyle="single"/>
          <o:lock v:ext="edit" aspectratio="f"/>
          <v:textbox style="mso-fit-shape-to-text:t" inset="0,0,0,0">
            <w:txbxContent>
              <w:p>
                <w:pPr>
                  <w:pStyle w:val="Footer"/>
                  <w:tabs>
                    <w:tab w:val="center" w:pos="4153"/>
                    <w:tab w:val="right" w:pos="8306"/>
                  </w:tabs>
                </w:pPr>
              </w:p>
            </w:txbxContent>
          </v:textbox>
          <w10:wrap anchorx="margin"/>
        </v:shape>
      </w:pict>
    </w:r>
    <w:r>
      <w:rPr>
        <w:rFonts w:hint="eastAsia"/>
      </w:rPr>
      <w:t xml:space="preserve">                                               </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540"/>
      <w:jc w:val="right"/>
      <w:rPr>
        <w:rFonts w:hint="eastAsia"/>
      </w:rPr>
    </w:pPr>
    <w: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z-index:251663360" filled="f" stroked="f">
          <v:fill o:detectmouseclick="t"/>
          <v:stroke linestyle="single"/>
          <o:lock v:ext="edit" aspectratio="f"/>
          <v:textbox style="mso-fit-shape-to-text:t" inset="0,0,0,0">
            <w:txbxContent>
              <w:p>
                <w:pPr>
                  <w:pStyle w:val="Footer"/>
                  <w:tabs>
                    <w:tab w:val="center" w:pos="4153"/>
                    <w:tab w:val="right" w:pos="8306"/>
                  </w:tabs>
                  <w:ind w:right="540"/>
                  <w:jc w:val="right"/>
                </w:pPr>
              </w:p>
            </w:txbxContent>
          </v:textbox>
          <w10:wrap anchorx="margin"/>
        </v:shape>
      </w:pict>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num" w:pos="312"/>
        </w:tabs>
      </w:pPr>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DF7A974B"/>
    <w:multiLevelType w:val="singleLevel"/>
    <w:tmpl w:val="DF7A974B"/>
    <w:lvl w:ilvl="0">
      <w:start w:val="1"/>
      <w:numFmt w:val="decimal"/>
      <w:lvlText w:val="%1)"/>
      <w:lvlJc w:val="left"/>
      <w:pPr>
        <w:ind w:left="425" w:hanging="425"/>
      </w:pPr>
      <w:rPr>
        <w:rFonts w:hint="default"/>
      </w:rPr>
    </w:lvl>
  </w:abstractNum>
  <w:abstractNum w:abstractNumId="5">
    <w:nsid w:val="DFBE2221"/>
    <w:multiLevelType w:val="singleLevel"/>
    <w:tmpl w:val="DFBE2221"/>
    <w:lvl w:ilvl="0">
      <w:start w:val="1"/>
      <w:numFmt w:val="decimal"/>
      <w:lvlText w:val="%1)"/>
      <w:lvlJc w:val="left"/>
      <w:pPr>
        <w:ind w:left="425" w:hanging="425"/>
      </w:pPr>
      <w:rPr>
        <w:rFonts w:hint="default"/>
      </w:rPr>
    </w:lvl>
  </w:abstractNum>
  <w:abstractNum w:abstractNumId="6">
    <w:nsid w:val="DFCE4441"/>
    <w:multiLevelType w:val="singleLevel"/>
    <w:tmpl w:val="DFCE4441"/>
    <w:lvl w:ilvl="0">
      <w:start w:val="1"/>
      <w:numFmt w:val="decimal"/>
      <w:lvlText w:val="%1)"/>
      <w:lvlJc w:val="left"/>
      <w:pPr>
        <w:ind w:left="425" w:hanging="425"/>
      </w:pPr>
      <w:rPr>
        <w:rFonts w:hint="default"/>
      </w:rPr>
    </w:lvl>
  </w:abstractNum>
  <w:abstractNum w:abstractNumId="7">
    <w:nsid w:val="E7F65004"/>
    <w:multiLevelType w:val="singleLevel"/>
    <w:tmpl w:val="E7F65004"/>
    <w:lvl w:ilvl="0">
      <w:start w:val="1"/>
      <w:numFmt w:val="decimal"/>
      <w:lvlText w:val="%1)"/>
      <w:lvlJc w:val="left"/>
      <w:pPr>
        <w:ind w:left="425" w:hanging="425"/>
      </w:pPr>
      <w:rPr>
        <w:rFonts w:hint="default"/>
      </w:rPr>
    </w:lvl>
  </w:abstractNum>
  <w:abstractNum w:abstractNumId="8">
    <w:nsid w:val="EDECB7AC"/>
    <w:multiLevelType w:val="singleLevel"/>
    <w:tmpl w:val="EDECB7AC"/>
    <w:lvl w:ilvl="0">
      <w:start w:val="1"/>
      <w:numFmt w:val="decimal"/>
      <w:lvlText w:val="%1)"/>
      <w:lvlJc w:val="left"/>
      <w:pPr>
        <w:ind w:left="425" w:hanging="425"/>
      </w:pPr>
      <w:rPr>
        <w:rFonts w:hint="default"/>
      </w:rPr>
    </w:lvl>
  </w:abstractNum>
  <w:abstractNum w:abstractNumId="9">
    <w:nsid w:val="EFF96211"/>
    <w:multiLevelType w:val="singleLevel"/>
    <w:tmpl w:val="EFF96211"/>
    <w:lvl w:ilvl="0">
      <w:start w:val="1"/>
      <w:numFmt w:val="decimal"/>
      <w:lvlText w:val="%1)"/>
      <w:lvlJc w:val="left"/>
      <w:pPr>
        <w:ind w:left="425" w:hanging="425"/>
      </w:pPr>
      <w:rPr>
        <w:rFonts w:hint="default"/>
      </w:rPr>
    </w:lvl>
  </w:abstractNum>
  <w:abstractNum w:abstractNumId="10">
    <w:nsid w:val="FCFBA019"/>
    <w:multiLevelType w:val="singleLevel"/>
    <w:tmpl w:val="FCFBA019"/>
    <w:lvl w:ilvl="0">
      <w:start w:val="1"/>
      <w:numFmt w:val="decimal"/>
      <w:lvlText w:val="%1)"/>
      <w:lvlJc w:val="left"/>
      <w:pPr>
        <w:ind w:left="425" w:hanging="425"/>
      </w:pPr>
      <w:rPr>
        <w:rFonts w:hint="default"/>
      </w:rPr>
    </w:lvl>
  </w:abstractNum>
  <w:abstractNum w:abstractNumId="11">
    <w:nsid w:val="FDBF5E33"/>
    <w:multiLevelType w:val="singleLevel"/>
    <w:tmpl w:val="FDBF5E33"/>
    <w:lvl w:ilvl="0">
      <w:start w:val="1"/>
      <w:numFmt w:val="decimal"/>
      <w:lvlText w:val="%1."/>
      <w:lvlJc w:val="left"/>
      <w:pPr>
        <w:ind w:left="425" w:hanging="425"/>
      </w:pPr>
      <w:rPr>
        <w:rFonts w:hint="default"/>
      </w:rPr>
    </w:lvl>
  </w:abstractNum>
  <w:abstractNum w:abstractNumId="12">
    <w:nsid w:val="FF3F1685"/>
    <w:multiLevelType w:val="singleLevel"/>
    <w:tmpl w:val="FF3F1685"/>
    <w:lvl w:ilvl="0">
      <w:start w:val="1"/>
      <w:numFmt w:val="decimal"/>
      <w:lvlText w:val="%1)"/>
      <w:lvlJc w:val="left"/>
      <w:pPr>
        <w:ind w:left="425" w:hanging="425"/>
      </w:pPr>
      <w:rPr>
        <w:rFonts w:hint="default"/>
      </w:rPr>
    </w:lvl>
  </w:abstractNum>
  <w:abstractNum w:abstractNumId="13">
    <w:nsid w:val="FFFEE893"/>
    <w:multiLevelType w:val="singleLevel"/>
    <w:tmpl w:val="FFFEE893"/>
    <w:lvl w:ilvl="0">
      <w:start w:val="1"/>
      <w:numFmt w:val="decimal"/>
      <w:lvlText w:val="%1)"/>
      <w:lvlJc w:val="left"/>
      <w:pPr>
        <w:ind w:left="425" w:hanging="425"/>
      </w:pPr>
      <w:rPr>
        <w:rFonts w:hint="default"/>
      </w:rPr>
    </w:lvl>
  </w:abstractNum>
  <w:abstractNum w:abstractNumId="14">
    <w:nsid w:val="FFFEFF75"/>
    <w:multiLevelType w:val="singleLevel"/>
    <w:tmpl w:val="FFFEFF75"/>
    <w:lvl w:ilvl="0">
      <w:start w:val="1"/>
      <w:numFmt w:val="decimal"/>
      <w:lvlText w:val="%1)"/>
      <w:lvlJc w:val="left"/>
      <w:pPr>
        <w:ind w:left="425" w:hanging="425"/>
      </w:pPr>
      <w:rPr>
        <w:rFonts w:hint="default"/>
      </w:rPr>
    </w:lvl>
  </w:abstractNum>
  <w:abstractNum w:abstractNumId="15">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7">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8">
    <w:nsid w:val="039640E3"/>
    <w:multiLevelType w:val="multilevel"/>
    <w:tmpl w:val="039640E3"/>
    <w:lvl w:ilvl="0">
      <w:start w:val="1"/>
      <w:numFmt w:val="decimal"/>
      <w:lvlText w:val="%1."/>
      <w:lvlJc w:val="left"/>
      <w:pPr>
        <w:ind w:left="220" w:hanging="361"/>
        <w:jc w:val="left"/>
      </w:pPr>
      <w:rPr>
        <w:rFonts w:ascii="Times New Roman" w:eastAsia="Times New Roman" w:hAnsi="Times New Roman" w:cs="Times New Roman" w:hint="default"/>
        <w:b w:val="0"/>
        <w:bCs w:val="0"/>
        <w:i w:val="0"/>
        <w:iCs w:val="0"/>
        <w:spacing w:val="-32"/>
        <w:w w:val="100"/>
        <w:sz w:val="22"/>
        <w:szCs w:val="22"/>
      </w:rPr>
    </w:lvl>
    <w:lvl w:ilvl="1">
      <w:start w:val="0"/>
      <w:numFmt w:val="bullet"/>
      <w:lvlText w:val="•"/>
      <w:lvlJc w:val="left"/>
      <w:pPr>
        <w:ind w:left="1074" w:hanging="361"/>
      </w:pPr>
      <w:rPr>
        <w:rFonts w:hint="default"/>
      </w:rPr>
    </w:lvl>
    <w:lvl w:ilvl="2">
      <w:start w:val="0"/>
      <w:numFmt w:val="bullet"/>
      <w:lvlText w:val="•"/>
      <w:lvlJc w:val="left"/>
      <w:pPr>
        <w:ind w:left="1929" w:hanging="361"/>
      </w:pPr>
      <w:rPr>
        <w:rFonts w:hint="default"/>
      </w:rPr>
    </w:lvl>
    <w:lvl w:ilvl="3">
      <w:start w:val="0"/>
      <w:numFmt w:val="bullet"/>
      <w:lvlText w:val="•"/>
      <w:lvlJc w:val="left"/>
      <w:pPr>
        <w:ind w:left="2783" w:hanging="361"/>
      </w:pPr>
      <w:rPr>
        <w:rFonts w:hint="default"/>
      </w:rPr>
    </w:lvl>
    <w:lvl w:ilvl="4">
      <w:start w:val="0"/>
      <w:numFmt w:val="bullet"/>
      <w:lvlText w:val="•"/>
      <w:lvlJc w:val="left"/>
      <w:pPr>
        <w:ind w:left="3638" w:hanging="361"/>
      </w:pPr>
      <w:rPr>
        <w:rFonts w:hint="default"/>
      </w:rPr>
    </w:lvl>
    <w:lvl w:ilvl="5">
      <w:start w:val="0"/>
      <w:numFmt w:val="bullet"/>
      <w:lvlText w:val="•"/>
      <w:lvlJc w:val="left"/>
      <w:pPr>
        <w:ind w:left="4493" w:hanging="361"/>
      </w:pPr>
      <w:rPr>
        <w:rFonts w:hint="default"/>
      </w:rPr>
    </w:lvl>
    <w:lvl w:ilvl="6">
      <w:start w:val="0"/>
      <w:numFmt w:val="bullet"/>
      <w:lvlText w:val="•"/>
      <w:lvlJc w:val="left"/>
      <w:pPr>
        <w:ind w:left="5347" w:hanging="361"/>
      </w:pPr>
      <w:rPr>
        <w:rFonts w:hint="default"/>
      </w:rPr>
    </w:lvl>
    <w:lvl w:ilvl="7">
      <w:start w:val="0"/>
      <w:numFmt w:val="bullet"/>
      <w:lvlText w:val="•"/>
      <w:lvlJc w:val="left"/>
      <w:pPr>
        <w:ind w:left="6202" w:hanging="361"/>
      </w:pPr>
      <w:rPr>
        <w:rFonts w:hint="default"/>
      </w:rPr>
    </w:lvl>
    <w:lvl w:ilvl="8">
      <w:start w:val="0"/>
      <w:numFmt w:val="bullet"/>
      <w:lvlText w:val="•"/>
      <w:lvlJc w:val="left"/>
      <w:pPr>
        <w:ind w:left="7056" w:hanging="361"/>
      </w:pPr>
      <w:rPr>
        <w:rFonts w:hint="default"/>
      </w:rPr>
    </w:lvl>
  </w:abstractNum>
  <w:abstractNum w:abstractNumId="19">
    <w:nsid w:val="058F6E9D"/>
    <w:multiLevelType w:val="multilevel"/>
    <w:tmpl w:val="058F6E9D"/>
    <w:lvl w:ilvl="0">
      <w:start w:val="7"/>
      <w:numFmt w:val="decimal"/>
      <w:lvlText w:val="%1"/>
      <w:lvlJc w:val="left"/>
      <w:pPr>
        <w:ind w:left="0" w:firstLine="0"/>
      </w:pPr>
      <w:rPr>
        <w:rFonts w:hint="eastAsia"/>
      </w:rPr>
    </w:lvl>
    <w:lvl w:ilvl="1">
      <w:start w:val="1"/>
      <w:numFmt w:val="decimal"/>
      <w:lvlText w:val="%1.%2"/>
      <w:lvlJc w:val="left"/>
      <w:pPr>
        <w:ind w:left="0" w:firstLine="0"/>
      </w:pPr>
      <w:rPr>
        <w:rFonts w:hint="eastAsia"/>
      </w:rPr>
    </w:lvl>
    <w:lvl w:ilvl="2">
      <w:start w:val="1"/>
      <w:numFmt w:val="decimal"/>
      <w:suff w:val="nothing"/>
      <w:lvlText w:val="%1.%2.%3"/>
      <w:lvlJc w:val="left"/>
      <w:pPr>
        <w:ind w:left="0" w:firstLine="0"/>
      </w:pPr>
      <w:rPr>
        <w:rFonts w:ascii="Times New Roman" w:hAnsi="Times New Roman" w:hint="eastAsia"/>
      </w:rPr>
    </w:lvl>
    <w:lvl w:ilvl="3">
      <w:start w:val="1"/>
      <w:numFmt w:val="decimal"/>
      <w:suff w:val="nothing"/>
      <w:lvlText w:val="%1.%2.%3.%4"/>
      <w:lvlJc w:val="left"/>
      <w:pPr>
        <w:ind w:left="0" w:firstLine="0"/>
      </w:pPr>
      <w:rPr>
        <w:rFonts w:hint="eastAsia"/>
      </w:rPr>
    </w:lvl>
    <w:lvl w:ilvl="4">
      <w:start w:val="1"/>
      <w:numFmt w:val="decimal"/>
      <w:suff w:val="nothing"/>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20">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nsid w:val="1F120BC5"/>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27">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8">
    <w:nsid w:val="24BE45B6"/>
    <w:multiLevelType w:val="multilevel"/>
    <w:tmpl w:val="24BE45B6"/>
    <w:lvl w:ilvl="0">
      <w:start w:val="1"/>
      <w:numFmt w:val="decimal"/>
      <w:lvlText w:val="（%1）"/>
      <w:lvlJc w:val="left"/>
      <w:pPr>
        <w:ind w:left="1301" w:hanging="601"/>
        <w:jc w:val="left"/>
      </w:pPr>
      <w:rPr>
        <w:rFonts w:ascii="宋体" w:eastAsia="宋体" w:hAnsi="宋体" w:cs="宋体" w:hint="default"/>
        <w:b w:val="0"/>
        <w:bCs w:val="0"/>
        <w:i w:val="0"/>
        <w:iCs w:val="0"/>
        <w:spacing w:val="-53"/>
        <w:w w:val="100"/>
        <w:sz w:val="22"/>
        <w:szCs w:val="22"/>
      </w:rPr>
    </w:lvl>
    <w:lvl w:ilvl="1">
      <w:start w:val="0"/>
      <w:numFmt w:val="bullet"/>
      <w:lvlText w:val="•"/>
      <w:lvlJc w:val="left"/>
      <w:pPr>
        <w:ind w:left="2046" w:hanging="601"/>
      </w:pPr>
      <w:rPr>
        <w:rFonts w:hint="default"/>
      </w:rPr>
    </w:lvl>
    <w:lvl w:ilvl="2">
      <w:start w:val="0"/>
      <w:numFmt w:val="bullet"/>
      <w:lvlText w:val="•"/>
      <w:lvlJc w:val="left"/>
      <w:pPr>
        <w:ind w:left="2793" w:hanging="601"/>
      </w:pPr>
      <w:rPr>
        <w:rFonts w:hint="default"/>
      </w:rPr>
    </w:lvl>
    <w:lvl w:ilvl="3">
      <w:start w:val="0"/>
      <w:numFmt w:val="bullet"/>
      <w:lvlText w:val="•"/>
      <w:lvlJc w:val="left"/>
      <w:pPr>
        <w:ind w:left="3539" w:hanging="601"/>
      </w:pPr>
      <w:rPr>
        <w:rFonts w:hint="default"/>
      </w:rPr>
    </w:lvl>
    <w:lvl w:ilvl="4">
      <w:start w:val="0"/>
      <w:numFmt w:val="bullet"/>
      <w:lvlText w:val="•"/>
      <w:lvlJc w:val="left"/>
      <w:pPr>
        <w:ind w:left="4286" w:hanging="601"/>
      </w:pPr>
      <w:rPr>
        <w:rFonts w:hint="default"/>
      </w:rPr>
    </w:lvl>
    <w:lvl w:ilvl="5">
      <w:start w:val="0"/>
      <w:numFmt w:val="bullet"/>
      <w:lvlText w:val="•"/>
      <w:lvlJc w:val="left"/>
      <w:pPr>
        <w:ind w:left="5033" w:hanging="601"/>
      </w:pPr>
      <w:rPr>
        <w:rFonts w:hint="default"/>
      </w:rPr>
    </w:lvl>
    <w:lvl w:ilvl="6">
      <w:start w:val="0"/>
      <w:numFmt w:val="bullet"/>
      <w:lvlText w:val="•"/>
      <w:lvlJc w:val="left"/>
      <w:pPr>
        <w:ind w:left="5779" w:hanging="601"/>
      </w:pPr>
      <w:rPr>
        <w:rFonts w:hint="default"/>
      </w:rPr>
    </w:lvl>
    <w:lvl w:ilvl="7">
      <w:start w:val="0"/>
      <w:numFmt w:val="bullet"/>
      <w:lvlText w:val="•"/>
      <w:lvlJc w:val="left"/>
      <w:pPr>
        <w:ind w:left="6526" w:hanging="601"/>
      </w:pPr>
      <w:rPr>
        <w:rFonts w:hint="default"/>
      </w:rPr>
    </w:lvl>
    <w:lvl w:ilvl="8">
      <w:start w:val="0"/>
      <w:numFmt w:val="bullet"/>
      <w:lvlText w:val="•"/>
      <w:lvlJc w:val="left"/>
      <w:pPr>
        <w:ind w:left="7272" w:hanging="601"/>
      </w:pPr>
      <w:rPr>
        <w:rFonts w:hint="default"/>
      </w:rPr>
    </w:lvl>
  </w:abstractNum>
  <w:abstractNum w:abstractNumId="29">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30">
    <w:nsid w:val="2DDA3B1B"/>
    <w:multiLevelType w:val="multilevel"/>
    <w:tmpl w:val="2DDA3B1B"/>
    <w:lvl w:ilvl="0">
      <w:start w:val="1"/>
      <w:numFmt w:val="decimal"/>
      <w:lvlText w:val="（%1）"/>
      <w:lvlJc w:val="left"/>
      <w:pPr>
        <w:ind w:left="220" w:hanging="601"/>
        <w:jc w:val="left"/>
      </w:pPr>
      <w:rPr>
        <w:rFonts w:ascii="宋体" w:eastAsia="宋体" w:hAnsi="宋体" w:cs="宋体" w:hint="default"/>
        <w:b w:val="0"/>
        <w:bCs w:val="0"/>
        <w:i w:val="0"/>
        <w:iCs w:val="0"/>
        <w:w w:val="100"/>
        <w:sz w:val="22"/>
        <w:szCs w:val="22"/>
      </w:rPr>
    </w:lvl>
    <w:lvl w:ilvl="1">
      <w:start w:val="0"/>
      <w:numFmt w:val="bullet"/>
      <w:lvlText w:val="•"/>
      <w:lvlJc w:val="left"/>
      <w:pPr>
        <w:ind w:left="1074" w:hanging="601"/>
      </w:pPr>
      <w:rPr>
        <w:rFonts w:hint="default"/>
      </w:rPr>
    </w:lvl>
    <w:lvl w:ilvl="2">
      <w:start w:val="0"/>
      <w:numFmt w:val="bullet"/>
      <w:lvlText w:val="•"/>
      <w:lvlJc w:val="left"/>
      <w:pPr>
        <w:ind w:left="1929" w:hanging="601"/>
      </w:pPr>
      <w:rPr>
        <w:rFonts w:hint="default"/>
      </w:rPr>
    </w:lvl>
    <w:lvl w:ilvl="3">
      <w:start w:val="0"/>
      <w:numFmt w:val="bullet"/>
      <w:lvlText w:val="•"/>
      <w:lvlJc w:val="left"/>
      <w:pPr>
        <w:ind w:left="2783" w:hanging="601"/>
      </w:pPr>
      <w:rPr>
        <w:rFonts w:hint="default"/>
      </w:rPr>
    </w:lvl>
    <w:lvl w:ilvl="4">
      <w:start w:val="0"/>
      <w:numFmt w:val="bullet"/>
      <w:lvlText w:val="•"/>
      <w:lvlJc w:val="left"/>
      <w:pPr>
        <w:ind w:left="3638" w:hanging="601"/>
      </w:pPr>
      <w:rPr>
        <w:rFonts w:hint="default"/>
      </w:rPr>
    </w:lvl>
    <w:lvl w:ilvl="5">
      <w:start w:val="0"/>
      <w:numFmt w:val="bullet"/>
      <w:lvlText w:val="•"/>
      <w:lvlJc w:val="left"/>
      <w:pPr>
        <w:ind w:left="4493" w:hanging="601"/>
      </w:pPr>
      <w:rPr>
        <w:rFonts w:hint="default"/>
      </w:rPr>
    </w:lvl>
    <w:lvl w:ilvl="6">
      <w:start w:val="0"/>
      <w:numFmt w:val="bullet"/>
      <w:lvlText w:val="•"/>
      <w:lvlJc w:val="left"/>
      <w:pPr>
        <w:ind w:left="5347" w:hanging="601"/>
      </w:pPr>
      <w:rPr>
        <w:rFonts w:hint="default"/>
      </w:rPr>
    </w:lvl>
    <w:lvl w:ilvl="7">
      <w:start w:val="0"/>
      <w:numFmt w:val="bullet"/>
      <w:lvlText w:val="•"/>
      <w:lvlJc w:val="left"/>
      <w:pPr>
        <w:ind w:left="6202" w:hanging="601"/>
      </w:pPr>
      <w:rPr>
        <w:rFonts w:hint="default"/>
      </w:rPr>
    </w:lvl>
    <w:lvl w:ilvl="8">
      <w:start w:val="0"/>
      <w:numFmt w:val="bullet"/>
      <w:lvlText w:val="•"/>
      <w:lvlJc w:val="left"/>
      <w:pPr>
        <w:ind w:left="7056" w:hanging="601"/>
      </w:pPr>
      <w:rPr>
        <w:rFonts w:hint="default"/>
      </w:rPr>
    </w:lvl>
  </w:abstractNum>
  <w:abstractNum w:abstractNumId="3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2EE9560D"/>
    <w:multiLevelType w:val="multilevel"/>
    <w:tmpl w:val="2EE9560D"/>
    <w:lvl w:ilvl="0">
      <w:start w:val="7"/>
      <w:numFmt w:val="decimal"/>
      <w:lvlText w:val="%1"/>
      <w:lvlJc w:val="left"/>
      <w:pPr>
        <w:ind w:left="0" w:firstLine="0"/>
      </w:pPr>
      <w:rPr>
        <w:rFonts w:hint="eastAsia"/>
      </w:rPr>
    </w:lvl>
    <w:lvl w:ilvl="1">
      <w:start w:val="1"/>
      <w:numFmt w:val="decimal"/>
      <w:lvlText w:val="%1.%2"/>
      <w:lvlJc w:val="left"/>
      <w:pPr>
        <w:ind w:left="0" w:firstLine="0"/>
      </w:pPr>
      <w:rPr>
        <w:rFonts w:hint="eastAsia"/>
      </w:rPr>
    </w:lvl>
    <w:lvl w:ilvl="2">
      <w:start w:val="1"/>
      <w:numFmt w:val="decimal"/>
      <w:suff w:val="nothing"/>
      <w:lvlText w:val="%1.%2.%3"/>
      <w:lvlJc w:val="left"/>
      <w:pPr>
        <w:ind w:left="0" w:firstLine="0"/>
      </w:pPr>
      <w:rPr>
        <w:rFonts w:ascii="Times New Roman" w:hAnsi="Times New Roman" w:hint="eastAsia"/>
      </w:rPr>
    </w:lvl>
    <w:lvl w:ilvl="3">
      <w:start w:val="1"/>
      <w:numFmt w:val="decimal"/>
      <w:lvlText w:val="%1.%2.%3.%4"/>
      <w:lvlJc w:val="left"/>
      <w:pPr>
        <w:ind w:left="0" w:firstLine="0"/>
      </w:pPr>
      <w:rPr>
        <w:rFonts w:hint="eastAsia"/>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33">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34">
    <w:nsid w:val="2F4E710C"/>
    <w:multiLevelType w:val="multilevel"/>
    <w:tmpl w:val="2F4E710C"/>
    <w:lvl w:ilvl="0">
      <w:start w:val="7"/>
      <w:numFmt w:val="decimal"/>
      <w:lvlText w:val="%1"/>
      <w:lvlJc w:val="left"/>
      <w:pPr>
        <w:ind w:left="0" w:firstLine="0"/>
      </w:pPr>
      <w:rPr>
        <w:rFonts w:hint="eastAsia"/>
      </w:rPr>
    </w:lvl>
    <w:lvl w:ilvl="1">
      <w:start w:val="1"/>
      <w:numFmt w:val="decimal"/>
      <w:suff w:val="nothing"/>
      <w:lvlText w:val="%1.%2"/>
      <w:lvlJc w:val="left"/>
      <w:pPr>
        <w:ind w:left="0" w:firstLine="0"/>
      </w:pPr>
      <w:rPr>
        <w:rFonts w:ascii="Times New Roman" w:hAnsi="Times New Roman" w:hint="eastAsia"/>
      </w:rPr>
    </w:lvl>
    <w:lvl w:ilvl="2">
      <w:start w:val="1"/>
      <w:numFmt w:val="decimal"/>
      <w:lvlText w:val="%1.%2.%3"/>
      <w:lvlJc w:val="left"/>
      <w:pPr>
        <w:ind w:left="0" w:firstLine="0"/>
      </w:pPr>
      <w:rPr>
        <w:rFonts w:hint="eastAsia"/>
      </w:rPr>
    </w:lvl>
    <w:lvl w:ilvl="3">
      <w:start w:val="1"/>
      <w:numFmt w:val="decimal"/>
      <w:lvlText w:val="%1.%2.%3.%4"/>
      <w:lvlJc w:val="left"/>
      <w:pPr>
        <w:ind w:left="0" w:firstLine="0"/>
      </w:pPr>
      <w:rPr>
        <w:rFonts w:hint="eastAsia"/>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35">
    <w:nsid w:val="381079E4"/>
    <w:multiLevelType w:val="multilevel"/>
    <w:tmpl w:val="381079E4"/>
    <w:lvl w:ilvl="0">
      <w:start w:val="1"/>
      <w:numFmt w:val="decimal"/>
      <w:lvlText w:val="%1."/>
      <w:lvlJc w:val="left"/>
      <w:pPr>
        <w:ind w:left="1061" w:hanging="361"/>
        <w:jc w:val="left"/>
      </w:pPr>
      <w:rPr>
        <w:rFonts w:ascii="Times New Roman" w:eastAsia="Times New Roman" w:hAnsi="Times New Roman" w:cs="Times New Roman" w:hint="default"/>
        <w:b w:val="0"/>
        <w:bCs w:val="0"/>
        <w:i w:val="0"/>
        <w:iCs w:val="0"/>
        <w:w w:val="100"/>
        <w:sz w:val="22"/>
        <w:szCs w:val="22"/>
      </w:rPr>
    </w:lvl>
    <w:lvl w:ilvl="1">
      <w:start w:val="0"/>
      <w:numFmt w:val="bullet"/>
      <w:lvlText w:val="•"/>
      <w:lvlJc w:val="left"/>
      <w:pPr>
        <w:ind w:left="1830" w:hanging="361"/>
      </w:pPr>
      <w:rPr>
        <w:rFonts w:hint="default"/>
      </w:rPr>
    </w:lvl>
    <w:lvl w:ilvl="2">
      <w:start w:val="0"/>
      <w:numFmt w:val="bullet"/>
      <w:lvlText w:val="•"/>
      <w:lvlJc w:val="left"/>
      <w:pPr>
        <w:ind w:left="2601" w:hanging="361"/>
      </w:pPr>
      <w:rPr>
        <w:rFonts w:hint="default"/>
      </w:rPr>
    </w:lvl>
    <w:lvl w:ilvl="3">
      <w:start w:val="0"/>
      <w:numFmt w:val="bullet"/>
      <w:lvlText w:val="•"/>
      <w:lvlJc w:val="left"/>
      <w:pPr>
        <w:ind w:left="3371" w:hanging="361"/>
      </w:pPr>
      <w:rPr>
        <w:rFonts w:hint="default"/>
      </w:rPr>
    </w:lvl>
    <w:lvl w:ilvl="4">
      <w:start w:val="0"/>
      <w:numFmt w:val="bullet"/>
      <w:lvlText w:val="•"/>
      <w:lvlJc w:val="left"/>
      <w:pPr>
        <w:ind w:left="4142" w:hanging="361"/>
      </w:pPr>
      <w:rPr>
        <w:rFonts w:hint="default"/>
      </w:rPr>
    </w:lvl>
    <w:lvl w:ilvl="5">
      <w:start w:val="0"/>
      <w:numFmt w:val="bullet"/>
      <w:lvlText w:val="•"/>
      <w:lvlJc w:val="left"/>
      <w:pPr>
        <w:ind w:left="4913" w:hanging="361"/>
      </w:pPr>
      <w:rPr>
        <w:rFonts w:hint="default"/>
      </w:rPr>
    </w:lvl>
    <w:lvl w:ilvl="6">
      <w:start w:val="0"/>
      <w:numFmt w:val="bullet"/>
      <w:lvlText w:val="•"/>
      <w:lvlJc w:val="left"/>
      <w:pPr>
        <w:ind w:left="5683" w:hanging="361"/>
      </w:pPr>
      <w:rPr>
        <w:rFonts w:hint="default"/>
      </w:rPr>
    </w:lvl>
    <w:lvl w:ilvl="7">
      <w:start w:val="0"/>
      <w:numFmt w:val="bullet"/>
      <w:lvlText w:val="•"/>
      <w:lvlJc w:val="left"/>
      <w:pPr>
        <w:ind w:left="6454" w:hanging="361"/>
      </w:pPr>
      <w:rPr>
        <w:rFonts w:hint="default"/>
      </w:rPr>
    </w:lvl>
    <w:lvl w:ilvl="8">
      <w:start w:val="0"/>
      <w:numFmt w:val="bullet"/>
      <w:lvlText w:val="•"/>
      <w:lvlJc w:val="left"/>
      <w:pPr>
        <w:ind w:left="7224" w:hanging="361"/>
      </w:pPr>
      <w:rPr>
        <w:rFonts w:hint="default"/>
      </w:rPr>
    </w:lvl>
  </w:abstractNum>
  <w:abstractNum w:abstractNumId="36">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7">
    <w:nsid w:val="4258E4A8"/>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38">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9">
    <w:nsid w:val="43990D57"/>
    <w:multiLevelType w:val="multilevel"/>
    <w:tmpl w:val="43990D57"/>
    <w:lvl w:ilvl="0">
      <w:start w:val="1"/>
      <w:numFmt w:val="decimal"/>
      <w:lvlText w:val="%1."/>
      <w:lvlJc w:val="left"/>
      <w:pPr>
        <w:ind w:left="1061" w:hanging="361"/>
        <w:jc w:val="left"/>
      </w:pPr>
      <w:rPr>
        <w:rFonts w:ascii="Times New Roman" w:eastAsia="Times New Roman" w:hAnsi="Times New Roman" w:cs="Times New Roman" w:hint="default"/>
        <w:b w:val="0"/>
        <w:bCs w:val="0"/>
        <w:i w:val="0"/>
        <w:iCs w:val="0"/>
        <w:w w:val="100"/>
        <w:sz w:val="22"/>
        <w:szCs w:val="22"/>
      </w:rPr>
    </w:lvl>
    <w:lvl w:ilvl="1">
      <w:start w:val="0"/>
      <w:numFmt w:val="bullet"/>
      <w:lvlText w:val="•"/>
      <w:lvlJc w:val="left"/>
      <w:pPr>
        <w:ind w:left="1830" w:hanging="361"/>
      </w:pPr>
      <w:rPr>
        <w:rFonts w:hint="default"/>
      </w:rPr>
    </w:lvl>
    <w:lvl w:ilvl="2">
      <w:start w:val="0"/>
      <w:numFmt w:val="bullet"/>
      <w:lvlText w:val="•"/>
      <w:lvlJc w:val="left"/>
      <w:pPr>
        <w:ind w:left="2601" w:hanging="361"/>
      </w:pPr>
      <w:rPr>
        <w:rFonts w:hint="default"/>
      </w:rPr>
    </w:lvl>
    <w:lvl w:ilvl="3">
      <w:start w:val="0"/>
      <w:numFmt w:val="bullet"/>
      <w:lvlText w:val="•"/>
      <w:lvlJc w:val="left"/>
      <w:pPr>
        <w:ind w:left="3371" w:hanging="361"/>
      </w:pPr>
      <w:rPr>
        <w:rFonts w:hint="default"/>
      </w:rPr>
    </w:lvl>
    <w:lvl w:ilvl="4">
      <w:start w:val="0"/>
      <w:numFmt w:val="bullet"/>
      <w:lvlText w:val="•"/>
      <w:lvlJc w:val="left"/>
      <w:pPr>
        <w:ind w:left="4142" w:hanging="361"/>
      </w:pPr>
      <w:rPr>
        <w:rFonts w:hint="default"/>
      </w:rPr>
    </w:lvl>
    <w:lvl w:ilvl="5">
      <w:start w:val="0"/>
      <w:numFmt w:val="bullet"/>
      <w:lvlText w:val="•"/>
      <w:lvlJc w:val="left"/>
      <w:pPr>
        <w:ind w:left="4913" w:hanging="361"/>
      </w:pPr>
      <w:rPr>
        <w:rFonts w:hint="default"/>
      </w:rPr>
    </w:lvl>
    <w:lvl w:ilvl="6">
      <w:start w:val="0"/>
      <w:numFmt w:val="bullet"/>
      <w:lvlText w:val="•"/>
      <w:lvlJc w:val="left"/>
      <w:pPr>
        <w:ind w:left="5683" w:hanging="361"/>
      </w:pPr>
      <w:rPr>
        <w:rFonts w:hint="default"/>
      </w:rPr>
    </w:lvl>
    <w:lvl w:ilvl="7">
      <w:start w:val="0"/>
      <w:numFmt w:val="bullet"/>
      <w:lvlText w:val="•"/>
      <w:lvlJc w:val="left"/>
      <w:pPr>
        <w:ind w:left="6454" w:hanging="361"/>
      </w:pPr>
      <w:rPr>
        <w:rFonts w:hint="default"/>
      </w:rPr>
    </w:lvl>
    <w:lvl w:ilvl="8">
      <w:start w:val="0"/>
      <w:numFmt w:val="bullet"/>
      <w:lvlText w:val="•"/>
      <w:lvlJc w:val="left"/>
      <w:pPr>
        <w:ind w:left="7224" w:hanging="361"/>
      </w:pPr>
      <w:rPr>
        <w:rFonts w:hint="default"/>
      </w:rPr>
    </w:lvl>
  </w:abstractNum>
  <w:abstractNum w:abstractNumId="40">
    <w:nsid w:val="44314020"/>
    <w:multiLevelType w:val="multilevel"/>
    <w:tmpl w:val="44314020"/>
    <w:lvl w:ilvl="0">
      <w:start w:val="7"/>
      <w:numFmt w:val="decimal"/>
      <w:lvlText w:val="%1"/>
      <w:lvlJc w:val="left"/>
      <w:pPr>
        <w:ind w:left="0" w:firstLine="0"/>
      </w:pPr>
      <w:rPr>
        <w:rFonts w:hint="eastAsia"/>
      </w:rPr>
    </w:lvl>
    <w:lvl w:ilvl="1">
      <w:start w:val="1"/>
      <w:numFmt w:val="decimal"/>
      <w:lvlText w:val="%1.%2"/>
      <w:lvlJc w:val="left"/>
      <w:pPr>
        <w:ind w:left="0" w:firstLine="0"/>
      </w:pPr>
      <w:rPr>
        <w:rFonts w:hint="eastAsia"/>
      </w:rPr>
    </w:lvl>
    <w:lvl w:ilvl="2">
      <w:start w:val="1"/>
      <w:numFmt w:val="decimal"/>
      <w:suff w:val="nothing"/>
      <w:lvlText w:val="%1.%2.%3"/>
      <w:lvlJc w:val="left"/>
      <w:pPr>
        <w:ind w:left="0" w:firstLine="0"/>
      </w:pPr>
      <w:rPr>
        <w:rFonts w:ascii="Times New Roman" w:hAnsi="Times New Roman" w:hint="eastAsia"/>
      </w:rPr>
    </w:lvl>
    <w:lvl w:ilvl="3">
      <w:start w:val="1"/>
      <w:numFmt w:val="decimal"/>
      <w:suff w:val="nothing"/>
      <w:lvlText w:val="%1.%2.%3.%4"/>
      <w:lvlJc w:val="left"/>
      <w:pPr>
        <w:ind w:left="0" w:firstLine="0"/>
      </w:pPr>
      <w:rPr>
        <w:rFonts w:hint="eastAsia"/>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41">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2">
    <w:nsid w:val="483B5319"/>
    <w:multiLevelType w:val="multilevel"/>
    <w:tmpl w:val="483B5319"/>
    <w:lvl w:ilvl="0">
      <w:start w:val="1"/>
      <w:numFmt w:val="decimal"/>
      <w:lvlText w:val="%1."/>
      <w:lvlJc w:val="left"/>
      <w:pPr>
        <w:ind w:left="1061" w:hanging="361"/>
        <w:jc w:val="left"/>
      </w:pPr>
      <w:rPr>
        <w:rFonts w:ascii="Times New Roman" w:eastAsia="Times New Roman" w:hAnsi="Times New Roman" w:cs="Times New Roman" w:hint="default"/>
        <w:b w:val="0"/>
        <w:bCs w:val="0"/>
        <w:i w:val="0"/>
        <w:iCs w:val="0"/>
        <w:w w:val="100"/>
        <w:sz w:val="22"/>
        <w:szCs w:val="22"/>
      </w:rPr>
    </w:lvl>
    <w:lvl w:ilvl="1">
      <w:start w:val="0"/>
      <w:numFmt w:val="bullet"/>
      <w:lvlText w:val="•"/>
      <w:lvlJc w:val="left"/>
      <w:pPr>
        <w:ind w:left="1830" w:hanging="361"/>
      </w:pPr>
      <w:rPr>
        <w:rFonts w:hint="default"/>
      </w:rPr>
    </w:lvl>
    <w:lvl w:ilvl="2">
      <w:start w:val="0"/>
      <w:numFmt w:val="bullet"/>
      <w:lvlText w:val="•"/>
      <w:lvlJc w:val="left"/>
      <w:pPr>
        <w:ind w:left="2601" w:hanging="361"/>
      </w:pPr>
      <w:rPr>
        <w:rFonts w:hint="default"/>
      </w:rPr>
    </w:lvl>
    <w:lvl w:ilvl="3">
      <w:start w:val="0"/>
      <w:numFmt w:val="bullet"/>
      <w:lvlText w:val="•"/>
      <w:lvlJc w:val="left"/>
      <w:pPr>
        <w:ind w:left="3371" w:hanging="361"/>
      </w:pPr>
      <w:rPr>
        <w:rFonts w:hint="default"/>
      </w:rPr>
    </w:lvl>
    <w:lvl w:ilvl="4">
      <w:start w:val="0"/>
      <w:numFmt w:val="bullet"/>
      <w:lvlText w:val="•"/>
      <w:lvlJc w:val="left"/>
      <w:pPr>
        <w:ind w:left="4142" w:hanging="361"/>
      </w:pPr>
      <w:rPr>
        <w:rFonts w:hint="default"/>
      </w:rPr>
    </w:lvl>
    <w:lvl w:ilvl="5">
      <w:start w:val="0"/>
      <w:numFmt w:val="bullet"/>
      <w:lvlText w:val="•"/>
      <w:lvlJc w:val="left"/>
      <w:pPr>
        <w:ind w:left="4913" w:hanging="361"/>
      </w:pPr>
      <w:rPr>
        <w:rFonts w:hint="default"/>
      </w:rPr>
    </w:lvl>
    <w:lvl w:ilvl="6">
      <w:start w:val="0"/>
      <w:numFmt w:val="bullet"/>
      <w:lvlText w:val="•"/>
      <w:lvlJc w:val="left"/>
      <w:pPr>
        <w:ind w:left="5683" w:hanging="361"/>
      </w:pPr>
      <w:rPr>
        <w:rFonts w:hint="default"/>
      </w:rPr>
    </w:lvl>
    <w:lvl w:ilvl="7">
      <w:start w:val="0"/>
      <w:numFmt w:val="bullet"/>
      <w:lvlText w:val="•"/>
      <w:lvlJc w:val="left"/>
      <w:pPr>
        <w:ind w:left="6454" w:hanging="361"/>
      </w:pPr>
      <w:rPr>
        <w:rFonts w:hint="default"/>
      </w:rPr>
    </w:lvl>
    <w:lvl w:ilvl="8">
      <w:start w:val="0"/>
      <w:numFmt w:val="bullet"/>
      <w:lvlText w:val="•"/>
      <w:lvlJc w:val="left"/>
      <w:pPr>
        <w:ind w:left="7224" w:hanging="361"/>
      </w:pPr>
      <w:rPr>
        <w:rFonts w:hint="default"/>
      </w:rPr>
    </w:lvl>
  </w:abstractNum>
  <w:abstractNum w:abstractNumId="43">
    <w:nsid w:val="4BFE1A16"/>
    <w:multiLevelType w:val="multilevel"/>
    <w:tmpl w:val="4BFE1A16"/>
    <w:lvl w:ilvl="0">
      <w:start w:val="1"/>
      <w:numFmt w:val="decimal"/>
      <w:lvlText w:val="（%1）"/>
      <w:lvlJc w:val="left"/>
      <w:pPr>
        <w:ind w:left="1301" w:hanging="601"/>
        <w:jc w:val="left"/>
      </w:pPr>
      <w:rPr>
        <w:rFonts w:ascii="宋体" w:eastAsia="宋体" w:hAnsi="宋体" w:cs="宋体" w:hint="default"/>
        <w:b w:val="0"/>
        <w:bCs w:val="0"/>
        <w:i w:val="0"/>
        <w:iCs w:val="0"/>
        <w:w w:val="100"/>
        <w:sz w:val="22"/>
        <w:szCs w:val="22"/>
      </w:rPr>
    </w:lvl>
    <w:lvl w:ilvl="1">
      <w:start w:val="0"/>
      <w:numFmt w:val="bullet"/>
      <w:lvlText w:val="•"/>
      <w:lvlJc w:val="left"/>
      <w:pPr>
        <w:ind w:left="2046" w:hanging="601"/>
      </w:pPr>
      <w:rPr>
        <w:rFonts w:hint="default"/>
      </w:rPr>
    </w:lvl>
    <w:lvl w:ilvl="2">
      <w:start w:val="0"/>
      <w:numFmt w:val="bullet"/>
      <w:lvlText w:val="•"/>
      <w:lvlJc w:val="left"/>
      <w:pPr>
        <w:ind w:left="2793" w:hanging="601"/>
      </w:pPr>
      <w:rPr>
        <w:rFonts w:hint="default"/>
      </w:rPr>
    </w:lvl>
    <w:lvl w:ilvl="3">
      <w:start w:val="0"/>
      <w:numFmt w:val="bullet"/>
      <w:lvlText w:val="•"/>
      <w:lvlJc w:val="left"/>
      <w:pPr>
        <w:ind w:left="3539" w:hanging="601"/>
      </w:pPr>
      <w:rPr>
        <w:rFonts w:hint="default"/>
      </w:rPr>
    </w:lvl>
    <w:lvl w:ilvl="4">
      <w:start w:val="0"/>
      <w:numFmt w:val="bullet"/>
      <w:lvlText w:val="•"/>
      <w:lvlJc w:val="left"/>
      <w:pPr>
        <w:ind w:left="4286" w:hanging="601"/>
      </w:pPr>
      <w:rPr>
        <w:rFonts w:hint="default"/>
      </w:rPr>
    </w:lvl>
    <w:lvl w:ilvl="5">
      <w:start w:val="0"/>
      <w:numFmt w:val="bullet"/>
      <w:lvlText w:val="•"/>
      <w:lvlJc w:val="left"/>
      <w:pPr>
        <w:ind w:left="5033" w:hanging="601"/>
      </w:pPr>
      <w:rPr>
        <w:rFonts w:hint="default"/>
      </w:rPr>
    </w:lvl>
    <w:lvl w:ilvl="6">
      <w:start w:val="0"/>
      <w:numFmt w:val="bullet"/>
      <w:lvlText w:val="•"/>
      <w:lvlJc w:val="left"/>
      <w:pPr>
        <w:ind w:left="5779" w:hanging="601"/>
      </w:pPr>
      <w:rPr>
        <w:rFonts w:hint="default"/>
      </w:rPr>
    </w:lvl>
    <w:lvl w:ilvl="7">
      <w:start w:val="0"/>
      <w:numFmt w:val="bullet"/>
      <w:lvlText w:val="•"/>
      <w:lvlJc w:val="left"/>
      <w:pPr>
        <w:ind w:left="6526" w:hanging="601"/>
      </w:pPr>
      <w:rPr>
        <w:rFonts w:hint="default"/>
      </w:rPr>
    </w:lvl>
    <w:lvl w:ilvl="8">
      <w:start w:val="0"/>
      <w:numFmt w:val="bullet"/>
      <w:lvlText w:val="•"/>
      <w:lvlJc w:val="left"/>
      <w:pPr>
        <w:ind w:left="7272" w:hanging="601"/>
      </w:pPr>
      <w:rPr>
        <w:rFonts w:hint="default"/>
      </w:rPr>
    </w:lvl>
  </w:abstractNum>
  <w:abstractNum w:abstractNumId="44">
    <w:nsid w:val="4C7A993F"/>
    <w:multiLevelType w:val="singleLevel"/>
    <w:tmpl w:val="4C7A993F"/>
    <w:lvl w:ilvl="0">
      <w:start w:val="1"/>
      <w:numFmt w:val="decimal"/>
      <w:lvlText w:val="%1)"/>
      <w:lvlJc w:val="left"/>
      <w:pPr>
        <w:ind w:left="425" w:hanging="425"/>
      </w:pPr>
      <w:rPr>
        <w:rFonts w:hint="default"/>
      </w:rPr>
    </w:lvl>
  </w:abstractNum>
  <w:abstractNum w:abstractNumId="45">
    <w:nsid w:val="505640C1"/>
    <w:multiLevelType w:val="multilevel"/>
    <w:tmpl w:val="505640C1"/>
    <w:lvl w:ilvl="0">
      <w:start w:val="7"/>
      <w:numFmt w:val="decimal"/>
      <w:lvlText w:val="%1"/>
      <w:lvlJc w:val="left"/>
      <w:pPr>
        <w:ind w:left="0" w:firstLine="0"/>
      </w:pPr>
      <w:rPr>
        <w:rFonts w:hint="eastAsia"/>
      </w:rPr>
    </w:lvl>
    <w:lvl w:ilvl="1">
      <w:start w:val="1"/>
      <w:numFmt w:val="decimal"/>
      <w:lvlText w:val="%1.%2"/>
      <w:lvlJc w:val="left"/>
      <w:pPr>
        <w:ind w:left="0" w:firstLine="0"/>
      </w:pPr>
      <w:rPr>
        <w:rFonts w:hint="eastAsia"/>
      </w:rPr>
    </w:lvl>
    <w:lvl w:ilvl="2">
      <w:start w:val="1"/>
      <w:numFmt w:val="decimal"/>
      <w:suff w:val="nothing"/>
      <w:lvlText w:val="%1.%2.%3"/>
      <w:lvlJc w:val="left"/>
      <w:pPr>
        <w:ind w:left="0" w:firstLine="0"/>
      </w:pPr>
      <w:rPr>
        <w:rFonts w:ascii="Times New Roman" w:hAnsi="Times New Roman" w:hint="eastAsia"/>
      </w:rPr>
    </w:lvl>
    <w:lvl w:ilvl="3">
      <w:start w:val="1"/>
      <w:numFmt w:val="decimal"/>
      <w:lvlText w:val="%1.%2.%3.%4"/>
      <w:lvlJc w:val="left"/>
      <w:pPr>
        <w:ind w:left="0" w:firstLine="0"/>
      </w:pPr>
      <w:rPr>
        <w:rFonts w:hint="eastAsia"/>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46">
    <w:nsid w:val="53285EBF"/>
    <w:multiLevelType w:val="multilevel"/>
    <w:tmpl w:val="53285EBF"/>
    <w:lvl w:ilvl="0">
      <w:start w:val="7"/>
      <w:numFmt w:val="decimal"/>
      <w:lvlText w:val="%1"/>
      <w:lvlJc w:val="left"/>
      <w:pPr>
        <w:ind w:left="0" w:firstLine="0"/>
      </w:pPr>
      <w:rPr>
        <w:rFonts w:hint="eastAsia"/>
      </w:rPr>
    </w:lvl>
    <w:lvl w:ilvl="1">
      <w:start w:val="1"/>
      <w:numFmt w:val="decimal"/>
      <w:lvlText w:val="%1.%2"/>
      <w:lvlJc w:val="left"/>
      <w:pPr>
        <w:ind w:left="0" w:firstLine="0"/>
      </w:pPr>
      <w:rPr>
        <w:rFonts w:hint="eastAsia"/>
      </w:rPr>
    </w:lvl>
    <w:lvl w:ilvl="2">
      <w:start w:val="1"/>
      <w:numFmt w:val="decimal"/>
      <w:suff w:val="nothing"/>
      <w:lvlText w:val="%1.%2.%3"/>
      <w:lvlJc w:val="left"/>
      <w:pPr>
        <w:ind w:left="0" w:firstLine="0"/>
      </w:pPr>
      <w:rPr>
        <w:rFonts w:ascii="Times New Roman" w:hAnsi="Times New Roman" w:hint="eastAsia"/>
      </w:rPr>
    </w:lvl>
    <w:lvl w:ilvl="3">
      <w:start w:val="1"/>
      <w:numFmt w:val="decimal"/>
      <w:suff w:val="nothing"/>
      <w:lvlText w:val="%1.%2.%3.%4"/>
      <w:lvlJc w:val="left"/>
      <w:pPr>
        <w:ind w:left="0" w:firstLine="0"/>
      </w:pPr>
      <w:rPr>
        <w:rFonts w:hint="eastAsia"/>
      </w:rPr>
    </w:lvl>
    <w:lvl w:ilvl="4">
      <w:start w:val="1"/>
      <w:numFmt w:val="decimal"/>
      <w:suff w:val="nothing"/>
      <w:lvlText w:val="%1.%2.%3.%4.%5"/>
      <w:lvlJc w:val="left"/>
      <w:pPr>
        <w:ind w:left="0" w:firstLine="0"/>
      </w:pPr>
      <w:rPr>
        <w:rFonts w:hint="eastAsia"/>
      </w:rPr>
    </w:lvl>
    <w:lvl w:ilvl="5">
      <w:start w:val="1"/>
      <w:numFmt w:val="decimal"/>
      <w:suff w:val="nothing"/>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47">
    <w:nsid w:val="5427653C"/>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48">
    <w:nsid w:val="54854C92"/>
    <w:multiLevelType w:val="multilevel"/>
    <w:tmpl w:val="54854C92"/>
    <w:lvl w:ilvl="0">
      <w:start w:val="7"/>
      <w:numFmt w:val="decimal"/>
      <w:lvlText w:val="%1"/>
      <w:lvlJc w:val="left"/>
      <w:pPr>
        <w:ind w:left="0" w:firstLine="0"/>
      </w:pPr>
      <w:rPr>
        <w:rFonts w:hint="eastAsia"/>
      </w:rPr>
    </w:lvl>
    <w:lvl w:ilvl="1">
      <w:start w:val="1"/>
      <w:numFmt w:val="decimal"/>
      <w:lvlText w:val="%1.%2"/>
      <w:lvlJc w:val="left"/>
      <w:pPr>
        <w:ind w:left="0" w:firstLine="0"/>
      </w:pPr>
      <w:rPr>
        <w:rFonts w:hint="eastAsia"/>
      </w:rPr>
    </w:lvl>
    <w:lvl w:ilvl="2">
      <w:start w:val="1"/>
      <w:numFmt w:val="decimal"/>
      <w:suff w:val="nothing"/>
      <w:lvlText w:val="%1.%2.%3"/>
      <w:lvlJc w:val="left"/>
      <w:pPr>
        <w:ind w:left="0" w:firstLine="0"/>
      </w:pPr>
      <w:rPr>
        <w:rFonts w:ascii="Times New Roman" w:hAnsi="Times New Roman" w:hint="eastAsia"/>
      </w:rPr>
    </w:lvl>
    <w:lvl w:ilvl="3">
      <w:start w:val="1"/>
      <w:numFmt w:val="decimal"/>
      <w:suff w:val="nothing"/>
      <w:lvlText w:val="%1.%2.%3.%4"/>
      <w:lvlJc w:val="left"/>
      <w:pPr>
        <w:ind w:left="0" w:firstLine="0"/>
      </w:pPr>
      <w:rPr>
        <w:rFonts w:hint="eastAsia"/>
      </w:rPr>
    </w:lvl>
    <w:lvl w:ilvl="4">
      <w:start w:val="1"/>
      <w:numFmt w:val="decimal"/>
      <w:suff w:val="nothing"/>
      <w:lvlText w:val="%1.%2.%3.%4.%5"/>
      <w:lvlJc w:val="left"/>
      <w:pPr>
        <w:ind w:left="0" w:firstLine="0"/>
      </w:pPr>
      <w:rPr>
        <w:rFonts w:hint="eastAsia"/>
      </w:rPr>
    </w:lvl>
    <w:lvl w:ilvl="5">
      <w:start w:val="1"/>
      <w:numFmt w:val="decimal"/>
      <w:suff w:val="nothing"/>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49">
    <w:nsid w:val="57FFC18B"/>
    <w:multiLevelType w:val="singleLevel"/>
    <w:tmpl w:val="57FFC18B"/>
    <w:lvl w:ilvl="0">
      <w:start w:val="1"/>
      <w:numFmt w:val="decimal"/>
      <w:lvlText w:val="%1)"/>
      <w:lvlJc w:val="left"/>
      <w:pPr>
        <w:ind w:left="425" w:hanging="425"/>
      </w:pPr>
      <w:rPr>
        <w:rFonts w:hint="default"/>
      </w:rPr>
    </w:lvl>
  </w:abstractNum>
  <w:abstractNum w:abstractNumId="50">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1">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52">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3">
    <w:nsid w:val="638E7B8F"/>
    <w:multiLevelType w:val="multilevel"/>
    <w:tmpl w:val="638E7B8F"/>
    <w:lvl w:ilvl="0">
      <w:start w:val="7"/>
      <w:numFmt w:val="decimal"/>
      <w:lvlText w:val="%1"/>
      <w:lvlJc w:val="left"/>
      <w:pPr>
        <w:ind w:left="0" w:firstLine="0"/>
      </w:pPr>
      <w:rPr>
        <w:rFonts w:hint="eastAsia"/>
      </w:rPr>
    </w:lvl>
    <w:lvl w:ilvl="1">
      <w:start w:val="1"/>
      <w:numFmt w:val="decimal"/>
      <w:lvlText w:val="%1.%2"/>
      <w:lvlJc w:val="left"/>
      <w:pPr>
        <w:ind w:left="0" w:firstLine="0"/>
      </w:pPr>
      <w:rPr>
        <w:rFonts w:hint="eastAsia"/>
      </w:rPr>
    </w:lvl>
    <w:lvl w:ilvl="2">
      <w:start w:val="1"/>
      <w:numFmt w:val="decimal"/>
      <w:suff w:val="nothing"/>
      <w:lvlText w:val="%1.%2.%3"/>
      <w:lvlJc w:val="left"/>
      <w:pPr>
        <w:ind w:left="0" w:firstLine="0"/>
      </w:pPr>
      <w:rPr>
        <w:rFonts w:ascii="Times New Roman" w:hAnsi="Times New Roman" w:hint="eastAsia"/>
      </w:rPr>
    </w:lvl>
    <w:lvl w:ilvl="3">
      <w:start w:val="1"/>
      <w:numFmt w:val="decimal"/>
      <w:suff w:val="nothing"/>
      <w:lvlText w:val="%1.%2.%3.%4"/>
      <w:lvlJc w:val="left"/>
      <w:pPr>
        <w:ind w:left="0" w:firstLine="0"/>
      </w:pPr>
      <w:rPr>
        <w:rFonts w:hint="eastAsia"/>
      </w:rPr>
    </w:lvl>
    <w:lvl w:ilvl="4">
      <w:start w:val="1"/>
      <w:numFmt w:val="decimal"/>
      <w:suff w:val="nothing"/>
      <w:lvlText w:val="%1.%2.%3.%4.%5"/>
      <w:lvlJc w:val="left"/>
      <w:pPr>
        <w:ind w:left="0" w:firstLine="0"/>
      </w:pPr>
      <w:rPr>
        <w:rFonts w:hint="eastAsia"/>
      </w:rPr>
    </w:lvl>
    <w:lvl w:ilvl="5">
      <w:start w:val="1"/>
      <w:numFmt w:val="decimal"/>
      <w:suff w:val="nothing"/>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54">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5">
    <w:nsid w:val="68EA3937"/>
    <w:multiLevelType w:val="multilevel"/>
    <w:tmpl w:val="68EA3937"/>
    <w:lvl w:ilvl="0">
      <w:start w:val="1"/>
      <w:numFmt w:val="decimal"/>
      <w:lvlText w:val="%1."/>
      <w:lvlJc w:val="left"/>
      <w:pPr>
        <w:ind w:left="1061" w:hanging="361"/>
        <w:jc w:val="left"/>
      </w:pPr>
      <w:rPr>
        <w:rFonts w:ascii="Times New Roman" w:eastAsia="Times New Roman" w:hAnsi="Times New Roman" w:cs="Times New Roman" w:hint="default"/>
        <w:b w:val="0"/>
        <w:bCs w:val="0"/>
        <w:i w:val="0"/>
        <w:iCs w:val="0"/>
        <w:w w:val="100"/>
        <w:sz w:val="22"/>
        <w:szCs w:val="22"/>
      </w:rPr>
    </w:lvl>
    <w:lvl w:ilvl="1">
      <w:start w:val="0"/>
      <w:numFmt w:val="bullet"/>
      <w:lvlText w:val="•"/>
      <w:lvlJc w:val="left"/>
      <w:pPr>
        <w:ind w:left="1830" w:hanging="361"/>
      </w:pPr>
      <w:rPr>
        <w:rFonts w:hint="default"/>
      </w:rPr>
    </w:lvl>
    <w:lvl w:ilvl="2">
      <w:start w:val="0"/>
      <w:numFmt w:val="bullet"/>
      <w:lvlText w:val="•"/>
      <w:lvlJc w:val="left"/>
      <w:pPr>
        <w:ind w:left="2601" w:hanging="361"/>
      </w:pPr>
      <w:rPr>
        <w:rFonts w:hint="default"/>
      </w:rPr>
    </w:lvl>
    <w:lvl w:ilvl="3">
      <w:start w:val="0"/>
      <w:numFmt w:val="bullet"/>
      <w:lvlText w:val="•"/>
      <w:lvlJc w:val="left"/>
      <w:pPr>
        <w:ind w:left="3371" w:hanging="361"/>
      </w:pPr>
      <w:rPr>
        <w:rFonts w:hint="default"/>
      </w:rPr>
    </w:lvl>
    <w:lvl w:ilvl="4">
      <w:start w:val="0"/>
      <w:numFmt w:val="bullet"/>
      <w:lvlText w:val="•"/>
      <w:lvlJc w:val="left"/>
      <w:pPr>
        <w:ind w:left="4142" w:hanging="361"/>
      </w:pPr>
      <w:rPr>
        <w:rFonts w:hint="default"/>
      </w:rPr>
    </w:lvl>
    <w:lvl w:ilvl="5">
      <w:start w:val="0"/>
      <w:numFmt w:val="bullet"/>
      <w:lvlText w:val="•"/>
      <w:lvlJc w:val="left"/>
      <w:pPr>
        <w:ind w:left="4913" w:hanging="361"/>
      </w:pPr>
      <w:rPr>
        <w:rFonts w:hint="default"/>
      </w:rPr>
    </w:lvl>
    <w:lvl w:ilvl="6">
      <w:start w:val="0"/>
      <w:numFmt w:val="bullet"/>
      <w:lvlText w:val="•"/>
      <w:lvlJc w:val="left"/>
      <w:pPr>
        <w:ind w:left="5683" w:hanging="361"/>
      </w:pPr>
      <w:rPr>
        <w:rFonts w:hint="default"/>
      </w:rPr>
    </w:lvl>
    <w:lvl w:ilvl="7">
      <w:start w:val="0"/>
      <w:numFmt w:val="bullet"/>
      <w:lvlText w:val="•"/>
      <w:lvlJc w:val="left"/>
      <w:pPr>
        <w:ind w:left="6454" w:hanging="361"/>
      </w:pPr>
      <w:rPr>
        <w:rFonts w:hint="default"/>
      </w:rPr>
    </w:lvl>
    <w:lvl w:ilvl="8">
      <w:start w:val="0"/>
      <w:numFmt w:val="bullet"/>
      <w:lvlText w:val="•"/>
      <w:lvlJc w:val="left"/>
      <w:pPr>
        <w:ind w:left="7224" w:hanging="361"/>
      </w:pPr>
      <w:rPr>
        <w:rFonts w:hint="default"/>
      </w:rPr>
    </w:lvl>
  </w:abstractNum>
  <w:abstractNum w:abstractNumId="56">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7">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58">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9">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0">
    <w:nsid w:val="7469200B"/>
    <w:multiLevelType w:val="multilevel"/>
    <w:tmpl w:val="7469200B"/>
    <w:lvl w:ilvl="0">
      <w:start w:val="1"/>
      <w:numFmt w:val="decimal"/>
      <w:lvlText w:val="%1."/>
      <w:lvlJc w:val="left"/>
      <w:pPr>
        <w:ind w:left="1061" w:hanging="361"/>
        <w:jc w:val="left"/>
      </w:pPr>
      <w:rPr>
        <w:rFonts w:ascii="Times New Roman" w:eastAsia="Times New Roman" w:hAnsi="Times New Roman" w:cs="Times New Roman" w:hint="default"/>
        <w:b w:val="0"/>
        <w:bCs w:val="0"/>
        <w:i w:val="0"/>
        <w:iCs w:val="0"/>
        <w:w w:val="100"/>
        <w:sz w:val="22"/>
        <w:szCs w:val="22"/>
      </w:rPr>
    </w:lvl>
    <w:lvl w:ilvl="1">
      <w:start w:val="0"/>
      <w:numFmt w:val="bullet"/>
      <w:lvlText w:val="•"/>
      <w:lvlJc w:val="left"/>
      <w:pPr>
        <w:ind w:left="1830" w:hanging="361"/>
      </w:pPr>
      <w:rPr>
        <w:rFonts w:hint="default"/>
      </w:rPr>
    </w:lvl>
    <w:lvl w:ilvl="2">
      <w:start w:val="0"/>
      <w:numFmt w:val="bullet"/>
      <w:lvlText w:val="•"/>
      <w:lvlJc w:val="left"/>
      <w:pPr>
        <w:ind w:left="2601" w:hanging="361"/>
      </w:pPr>
      <w:rPr>
        <w:rFonts w:hint="default"/>
      </w:rPr>
    </w:lvl>
    <w:lvl w:ilvl="3">
      <w:start w:val="0"/>
      <w:numFmt w:val="bullet"/>
      <w:lvlText w:val="•"/>
      <w:lvlJc w:val="left"/>
      <w:pPr>
        <w:ind w:left="3371" w:hanging="361"/>
      </w:pPr>
      <w:rPr>
        <w:rFonts w:hint="default"/>
      </w:rPr>
    </w:lvl>
    <w:lvl w:ilvl="4">
      <w:start w:val="0"/>
      <w:numFmt w:val="bullet"/>
      <w:lvlText w:val="•"/>
      <w:lvlJc w:val="left"/>
      <w:pPr>
        <w:ind w:left="4142" w:hanging="361"/>
      </w:pPr>
      <w:rPr>
        <w:rFonts w:hint="default"/>
      </w:rPr>
    </w:lvl>
    <w:lvl w:ilvl="5">
      <w:start w:val="0"/>
      <w:numFmt w:val="bullet"/>
      <w:lvlText w:val="•"/>
      <w:lvlJc w:val="left"/>
      <w:pPr>
        <w:ind w:left="4913" w:hanging="361"/>
      </w:pPr>
      <w:rPr>
        <w:rFonts w:hint="default"/>
      </w:rPr>
    </w:lvl>
    <w:lvl w:ilvl="6">
      <w:start w:val="0"/>
      <w:numFmt w:val="bullet"/>
      <w:lvlText w:val="•"/>
      <w:lvlJc w:val="left"/>
      <w:pPr>
        <w:ind w:left="5683" w:hanging="361"/>
      </w:pPr>
      <w:rPr>
        <w:rFonts w:hint="default"/>
      </w:rPr>
    </w:lvl>
    <w:lvl w:ilvl="7">
      <w:start w:val="0"/>
      <w:numFmt w:val="bullet"/>
      <w:lvlText w:val="•"/>
      <w:lvlJc w:val="left"/>
      <w:pPr>
        <w:ind w:left="6454" w:hanging="361"/>
      </w:pPr>
      <w:rPr>
        <w:rFonts w:hint="default"/>
      </w:rPr>
    </w:lvl>
    <w:lvl w:ilvl="8">
      <w:start w:val="0"/>
      <w:numFmt w:val="bullet"/>
      <w:lvlText w:val="•"/>
      <w:lvlJc w:val="left"/>
      <w:pPr>
        <w:ind w:left="7224" w:hanging="361"/>
      </w:pPr>
      <w:rPr>
        <w:rFonts w:hint="default"/>
      </w:rPr>
    </w:lvl>
  </w:abstractNum>
  <w:abstractNum w:abstractNumId="61">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2">
    <w:nsid w:val="79F8DDAB"/>
    <w:multiLevelType w:val="singleLevel"/>
    <w:tmpl w:val="79F8DDAB"/>
    <w:lvl w:ilvl="0">
      <w:start w:val="1"/>
      <w:numFmt w:val="decimal"/>
      <w:lvlText w:val="%1)"/>
      <w:lvlJc w:val="left"/>
      <w:pPr>
        <w:ind w:left="425" w:hanging="425"/>
      </w:pPr>
      <w:rPr>
        <w:rFonts w:hint="default"/>
      </w:rPr>
    </w:lvl>
  </w:abstractNum>
  <w:abstractNum w:abstractNumId="63">
    <w:nsid w:val="7BF79D3F"/>
    <w:multiLevelType w:val="singleLevel"/>
    <w:tmpl w:val="7BF79D3F"/>
    <w:lvl w:ilvl="0">
      <w:start w:val="1"/>
      <w:numFmt w:val="decimal"/>
      <w:lvlText w:val="%1)"/>
      <w:lvlJc w:val="left"/>
      <w:pPr>
        <w:ind w:left="425" w:hanging="425"/>
      </w:pPr>
      <w:rPr>
        <w:rFonts w:hint="default"/>
      </w:rPr>
    </w:lvl>
  </w:abstractNum>
  <w:abstractNum w:abstractNumId="64">
    <w:nsid w:val="7C6465A1"/>
    <w:multiLevelType w:val="multilevel"/>
    <w:tmpl w:val="7C6465A1"/>
    <w:lvl w:ilvl="0">
      <w:start w:val="7"/>
      <w:numFmt w:val="decimal"/>
      <w:lvlText w:val="%1"/>
      <w:lvlJc w:val="left"/>
      <w:pPr>
        <w:ind w:left="0" w:firstLine="0"/>
      </w:pPr>
      <w:rPr>
        <w:rFonts w:hint="eastAsia"/>
      </w:rPr>
    </w:lvl>
    <w:lvl w:ilvl="1">
      <w:start w:val="1"/>
      <w:numFmt w:val="decimal"/>
      <w:lvlText w:val="%1.%2"/>
      <w:lvlJc w:val="left"/>
      <w:pPr>
        <w:ind w:left="0" w:firstLine="0"/>
      </w:pPr>
      <w:rPr>
        <w:rFonts w:hint="eastAsia"/>
      </w:rPr>
    </w:lvl>
    <w:lvl w:ilvl="2">
      <w:start w:val="1"/>
      <w:numFmt w:val="decimal"/>
      <w:suff w:val="nothing"/>
      <w:lvlText w:val="%1.%2.%3"/>
      <w:lvlJc w:val="left"/>
      <w:pPr>
        <w:ind w:left="0" w:firstLine="0"/>
      </w:pPr>
      <w:rPr>
        <w:rFonts w:ascii="Times New Roman" w:hAnsi="Times New Roman" w:hint="eastAsia"/>
      </w:rPr>
    </w:lvl>
    <w:lvl w:ilvl="3">
      <w:start w:val="1"/>
      <w:numFmt w:val="decimal"/>
      <w:suff w:val="nothing"/>
      <w:lvlText w:val="%1.%2.%3.%4"/>
      <w:lvlJc w:val="left"/>
      <w:pPr>
        <w:ind w:left="0" w:firstLine="0"/>
      </w:pPr>
      <w:rPr>
        <w:rFonts w:hint="eastAsia"/>
      </w:rPr>
    </w:lvl>
    <w:lvl w:ilvl="4">
      <w:start w:val="1"/>
      <w:numFmt w:val="decimal"/>
      <w:suff w:val="nothing"/>
      <w:lvlText w:val="%1.%2.%3.%4.%5"/>
      <w:lvlJc w:val="left"/>
      <w:pPr>
        <w:ind w:left="0" w:firstLine="0"/>
      </w:pPr>
      <w:rPr>
        <w:rFonts w:hint="eastAsia"/>
      </w:rPr>
    </w:lvl>
    <w:lvl w:ilvl="5">
      <w:start w:val="1"/>
      <w:numFmt w:val="decimal"/>
      <w:suff w:val="nothing"/>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65">
    <w:nsid w:val="7FAFA353"/>
    <w:multiLevelType w:val="singleLevel"/>
    <w:tmpl w:val="7FAFA353"/>
    <w:lvl w:ilvl="0">
      <w:start w:val="1"/>
      <w:numFmt w:val="decimal"/>
      <w:lvlText w:val="%1)"/>
      <w:lvlJc w:val="left"/>
      <w:pPr>
        <w:ind w:left="425" w:hanging="425"/>
      </w:pPr>
      <w:rPr>
        <w:rFonts w:hint="default"/>
      </w:rPr>
    </w:lvl>
  </w:abstractNum>
  <w:abstractNum w:abstractNumId="66">
    <w:nsid w:val="7FDAC479"/>
    <w:multiLevelType w:val="singleLevel"/>
    <w:tmpl w:val="7FDAC479"/>
    <w:lvl w:ilvl="0">
      <w:start w:val="1"/>
      <w:numFmt w:val="decimal"/>
      <w:lvlText w:val="%1)"/>
      <w:lvlJc w:val="left"/>
      <w:pPr>
        <w:ind w:left="425" w:hanging="425"/>
      </w:pPr>
      <w:rPr>
        <w:rFonts w:hint="default"/>
      </w:rPr>
    </w:lvl>
  </w:abstractNum>
  <w:abstractNum w:abstractNumId="67">
    <w:nsid w:val="7FF73EAD"/>
    <w:multiLevelType w:val="singleLevel"/>
    <w:tmpl w:val="7FF73EAD"/>
    <w:lvl w:ilvl="0">
      <w:start w:val="1"/>
      <w:numFmt w:val="decimal"/>
      <w:lvlText w:val="%1)"/>
      <w:lvlJc w:val="left"/>
      <w:pPr>
        <w:ind w:left="425" w:hanging="425"/>
      </w:pPr>
      <w:rPr>
        <w:rFonts w:hint="default"/>
      </w:rPr>
    </w:lvl>
  </w:abstractNum>
  <w:abstractNum w:abstractNumId="68">
    <w:nsid w:val="7FFFA005"/>
    <w:multiLevelType w:val="singleLevel"/>
    <w:tmpl w:val="7FFFA005"/>
    <w:lvl w:ilvl="0">
      <w:start w:val="1"/>
      <w:numFmt w:val="decimal"/>
      <w:lvlText w:val="%1)"/>
      <w:lvlJc w:val="left"/>
      <w:pPr>
        <w:ind w:left="425" w:hanging="425"/>
      </w:pPr>
      <w:rPr>
        <w:rFonts w:hint="default"/>
      </w:rPr>
    </w:lvl>
  </w:abstractNum>
  <w:num w:numId="1">
    <w:abstractNumId w:val="16"/>
  </w:num>
  <w:num w:numId="2">
    <w:abstractNumId w:val="15"/>
  </w:num>
  <w:num w:numId="3">
    <w:abstractNumId w:val="21"/>
  </w:num>
  <w:num w:numId="4">
    <w:abstractNumId w:val="34"/>
  </w:num>
  <w:num w:numId="5">
    <w:abstractNumId w:val="32"/>
  </w:num>
  <w:num w:numId="6">
    <w:abstractNumId w:val="45"/>
  </w:num>
  <w:num w:numId="7">
    <w:abstractNumId w:val="40"/>
  </w:num>
  <w:num w:numId="8">
    <w:abstractNumId w:val="19"/>
  </w:num>
  <w:num w:numId="9">
    <w:abstractNumId w:val="53"/>
  </w:num>
  <w:num w:numId="10">
    <w:abstractNumId w:val="46"/>
  </w:num>
  <w:num w:numId="11">
    <w:abstractNumId w:val="48"/>
  </w:num>
  <w:num w:numId="12">
    <w:abstractNumId w:val="64"/>
  </w:num>
  <w:num w:numId="13">
    <w:abstractNumId w:val="29"/>
  </w:num>
  <w:num w:numId="14">
    <w:abstractNumId w:val="0"/>
  </w:num>
  <w:num w:numId="15">
    <w:abstractNumId w:val="27"/>
  </w:num>
  <w:num w:numId="16">
    <w:abstractNumId w:val="57"/>
  </w:num>
  <w:num w:numId="17">
    <w:abstractNumId w:val="25"/>
  </w:num>
  <w:num w:numId="18">
    <w:abstractNumId w:val="61"/>
  </w:num>
  <w:num w:numId="19">
    <w:abstractNumId w:val="3"/>
  </w:num>
  <w:num w:numId="20">
    <w:abstractNumId w:val="67"/>
  </w:num>
  <w:num w:numId="21">
    <w:abstractNumId w:val="6"/>
  </w:num>
  <w:num w:numId="22">
    <w:abstractNumId w:val="56"/>
  </w:num>
  <w:num w:numId="23">
    <w:abstractNumId w:val="13"/>
  </w:num>
  <w:num w:numId="24">
    <w:abstractNumId w:val="54"/>
  </w:num>
  <w:num w:numId="25">
    <w:abstractNumId w:val="52"/>
  </w:num>
  <w:num w:numId="26">
    <w:abstractNumId w:val="20"/>
  </w:num>
  <w:num w:numId="27">
    <w:abstractNumId w:val="59"/>
  </w:num>
  <w:num w:numId="28">
    <w:abstractNumId w:val="2"/>
  </w:num>
  <w:num w:numId="29">
    <w:abstractNumId w:val="62"/>
  </w:num>
  <w:num w:numId="30">
    <w:abstractNumId w:val="63"/>
  </w:num>
  <w:num w:numId="31">
    <w:abstractNumId w:val="49"/>
  </w:num>
  <w:num w:numId="32">
    <w:abstractNumId w:val="33"/>
  </w:num>
  <w:num w:numId="33">
    <w:abstractNumId w:val="8"/>
  </w:num>
  <w:num w:numId="34">
    <w:abstractNumId w:val="1"/>
  </w:num>
  <w:num w:numId="35">
    <w:abstractNumId w:val="23"/>
  </w:num>
  <w:num w:numId="36">
    <w:abstractNumId w:val="65"/>
  </w:num>
  <w:num w:numId="37">
    <w:abstractNumId w:val="44"/>
  </w:num>
  <w:num w:numId="38">
    <w:abstractNumId w:val="36"/>
  </w:num>
  <w:num w:numId="39">
    <w:abstractNumId w:val="66"/>
  </w:num>
  <w:num w:numId="40">
    <w:abstractNumId w:val="7"/>
  </w:num>
  <w:num w:numId="41">
    <w:abstractNumId w:val="58"/>
  </w:num>
  <w:num w:numId="42">
    <w:abstractNumId w:val="9"/>
  </w:num>
  <w:num w:numId="43">
    <w:abstractNumId w:val="5"/>
  </w:num>
  <w:num w:numId="44">
    <w:abstractNumId w:val="68"/>
  </w:num>
  <w:num w:numId="45">
    <w:abstractNumId w:val="12"/>
  </w:num>
  <w:num w:numId="46">
    <w:abstractNumId w:val="41"/>
  </w:num>
  <w:num w:numId="47">
    <w:abstractNumId w:val="50"/>
  </w:num>
  <w:num w:numId="48">
    <w:abstractNumId w:val="22"/>
  </w:num>
  <w:num w:numId="49">
    <w:abstractNumId w:val="14"/>
  </w:num>
  <w:num w:numId="50">
    <w:abstractNumId w:val="24"/>
  </w:num>
  <w:num w:numId="51">
    <w:abstractNumId w:val="11"/>
  </w:num>
  <w:num w:numId="52">
    <w:abstractNumId w:val="51"/>
  </w:num>
  <w:num w:numId="53">
    <w:abstractNumId w:val="4"/>
  </w:num>
  <w:num w:numId="54">
    <w:abstractNumId w:val="10"/>
  </w:num>
  <w:num w:numId="55">
    <w:abstractNumId w:val="17"/>
  </w:num>
  <w:num w:numId="56">
    <w:abstractNumId w:val="38"/>
  </w:num>
  <w:num w:numId="57">
    <w:abstractNumId w:val="55"/>
  </w:num>
  <w:num w:numId="58">
    <w:abstractNumId w:val="39"/>
  </w:num>
  <w:num w:numId="59">
    <w:abstractNumId w:val="30"/>
  </w:num>
  <w:num w:numId="60">
    <w:abstractNumId w:val="60"/>
  </w:num>
  <w:num w:numId="61">
    <w:abstractNumId w:val="43"/>
  </w:num>
  <w:num w:numId="62">
    <w:abstractNumId w:val="18"/>
  </w:num>
  <w:num w:numId="63">
    <w:abstractNumId w:val="28"/>
  </w:num>
  <w:num w:numId="64">
    <w:abstractNumId w:val="42"/>
  </w:num>
  <w:num w:numId="65">
    <w:abstractNumId w:val="35"/>
  </w:num>
  <w:num w:numId="66">
    <w:abstractNumId w:val="31"/>
  </w:num>
  <w:num w:numId="67">
    <w:abstractNumId w:val="47"/>
  </w:num>
  <w:num w:numId="68">
    <w:abstractNumId w:val="26"/>
  </w:num>
  <w:num w:numId="69">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2736383"/>
    <w:rsid w:val="291772FD"/>
    <w:rsid w:val="2DD27016"/>
    <w:rsid w:val="35AB39C2"/>
    <w:rsid w:val="3E5E12A1"/>
    <w:rsid w:val="42781119"/>
    <w:rsid w:val="436667A6"/>
    <w:rsid w:val="497A4294"/>
    <w:rsid w:val="4A936B87"/>
    <w:rsid w:val="4EBD5EAD"/>
    <w:rsid w:val="54A30F88"/>
    <w:rsid w:val="60BB7BEF"/>
    <w:rsid w:val="60C01CA8"/>
    <w:rsid w:val="66C40F62"/>
    <w:rsid w:val="73A06427"/>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5">
    <w:name w:val="heading 5"/>
    <w:basedOn w:val="Normal"/>
    <w:next w:val="Normal"/>
    <w:unhideWhenUsed/>
    <w:qFormat/>
    <w:pPr>
      <w:keepNext/>
      <w:keepLines/>
      <w:spacing w:before="280" w:after="290" w:line="376" w:lineRule="auto"/>
      <w:outlineLvl w:val="4"/>
    </w:pPr>
    <w:rPr>
      <w:rFonts w:asciiTheme="minorHAnsi" w:eastAsiaTheme="minorEastAsia" w:hAnsiTheme="minorHAnsi" w:cstheme="minorBidi"/>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table" w:styleId="TableGrid">
    <w:name w:val="Table Grid"/>
    <w:basedOn w:val="TableNormal"/>
    <w:uiPriority w:val="39"/>
    <w:qFormat/>
    <w:rPr>
      <w:rFonts w:ascii="Calibri" w:hAnsi="Calibri" w:eastAsiaTheme="minorEastAsia"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link w:val="a2"/>
    <w:pPr>
      <w:autoSpaceDE w:val="0"/>
      <w:autoSpaceDN w:val="0"/>
      <w:adjustRightInd w:val="0"/>
      <w:ind w:firstLine="420"/>
      <w:jc w:val="left"/>
    </w:pPr>
    <w:rPr>
      <w:rFonts w:ascii="宋体"/>
      <w:kern w:val="0"/>
      <w:sz w:val="24"/>
      <w:szCs w:val="24"/>
    </w:rPr>
  </w:style>
  <w:style w:type="character" w:customStyle="1" w:styleId="a2">
    <w:name w:val="正文缩进 字符"/>
    <w:link w:val="NormalIndent"/>
    <w:rPr>
      <w:rFonts w:ascii="宋体" w:cs="宋体"/>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header" Target="header3.xml" /><Relationship Id="rId13" Type="http://schemas.openxmlformats.org/officeDocument/2006/relationships/footer" Target="footer7.xml" /><Relationship Id="rId14" Type="http://schemas.openxmlformats.org/officeDocument/2006/relationships/header" Target="header4.xml" /><Relationship Id="rId15" Type="http://schemas.openxmlformats.org/officeDocument/2006/relationships/footer" Target="footer8.xml" /><Relationship Id="rId16" Type="http://schemas.openxmlformats.org/officeDocument/2006/relationships/footer" Target="footer9.xml" /><Relationship Id="rId17" Type="http://schemas.openxmlformats.org/officeDocument/2006/relationships/footer" Target="footer10.xml" /><Relationship Id="rId18" Type="http://schemas.openxmlformats.org/officeDocument/2006/relationships/image" Target="media/image1.emf" /><Relationship Id="rId19" Type="http://schemas.openxmlformats.org/officeDocument/2006/relationships/footer" Target="footer11.xml" /><Relationship Id="rId2" Type="http://schemas.openxmlformats.org/officeDocument/2006/relationships/webSettings" Target="webSettings.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theme" Target="theme/theme1.xml" /><Relationship Id="rId23" Type="http://schemas.openxmlformats.org/officeDocument/2006/relationships/numbering" Target="numbering.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21915</Words>
  <Characters>23114</Characters>
  <Application>Microsoft Office Word</Application>
  <DocSecurity>0</DocSecurity>
  <Lines>231</Lines>
  <Paragraphs>65</Paragraphs>
  <ScaleCrop>false</ScaleCrop>
  <Company>中国气象局</Company>
  <LinksUpToDate>false</LinksUpToDate>
  <CharactersWithSpaces>23227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2026-07-20T07:58:37Z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