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河北37mm人工影响天气炮弹采购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ZQCD-26170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河北37mm人工影响天气炮弹采购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ZQCD-26170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出厂验收合格后，中标供应商负责将产品运输到河北省气象局指定的地点，运输过程应当遵守国 家有关武器装备、爆炸物品管理的法律、法规。</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2026年08月27日 00:00:00</w:t>
      </w:r>
      <w:bookmarkEnd w:id="26"/>
      <w:r>
        <w:rPr>
          <w:rFonts w:ascii="宋体" w:hint="eastAsia"/>
          <w:szCs w:val="21"/>
          <w:highlight w:val="none"/>
        </w:rPr>
        <w:t>至</w:t>
      </w:r>
      <w:bookmarkStart w:id="27" w:name="项目公告_signUpLastTime"/>
      <w:r>
        <w:rPr>
          <w:rFonts w:ascii="宋体" w:hint="eastAsia"/>
          <w:szCs w:val="21"/>
          <w:highlight w:val="none"/>
        </w:rPr>
        <w:t>2026年09月02日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2026年09月18日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顾夏天</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0311-67108010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石家庄</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河北省气象局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允许（仅针对以下产品：所有标的允许代理商投标）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（1）标的：炮弹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257.275200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257.275200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投标人具有 ISO9000系列或GJB9001B质量管理体系认证，得2分。否则不得分。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销售合同必须包括37毫米高炮弹，每提供1份合同得1分，最多得5分。否则不得分。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针对本项目采购的37毫米高炮弹，承诺每提前10天交货的得1分，最多得1分。否则不得分。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针对37毫米高炮弹，每提供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2、投标人为本项目拟派的服务团队中，除项目经理外至少5人具有2年及以上相关工作经验得2分；至少3人具有1年及以上相关工作经验得1分；其他不得分。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hAnsi="宋体"/>
          <w:szCs w:val="21"/>
        </w:rPr>
      </w:pPr>
      <w:r>
        <w:rPr>
          <w:rFonts w:ascii="宋体" w:hAnsi="宋体" w:hint="eastAsia"/>
          <w:szCs w:val="21"/>
        </w:rPr>
        <w:t>根据《2026年</w:t>
      </w:r>
      <w:r>
        <w:rPr>
          <w:rFonts w:ascii="宋体" w:hAnsi="宋体" w:hint="eastAsia"/>
          <w:szCs w:val="21"/>
          <w:lang w:val="en-US" w:eastAsia="zh-CN"/>
        </w:rPr>
        <w:t>河北</w:t>
      </w:r>
      <w:r>
        <w:rPr>
          <w:rFonts w:ascii="宋体" w:hAnsi="宋体" w:hint="eastAsia"/>
          <w:szCs w:val="21"/>
        </w:rPr>
        <w:t>省人工影响天气工作</w:t>
      </w:r>
      <w:r>
        <w:rPr>
          <w:rFonts w:ascii="宋体" w:hAnsi="宋体" w:hint="eastAsia"/>
          <w:szCs w:val="21"/>
          <w:lang w:val="en-US" w:eastAsia="zh-CN"/>
        </w:rPr>
        <w:t>方案</w:t>
      </w:r>
      <w:r>
        <w:rPr>
          <w:rFonts w:ascii="宋体" w:hAnsi="宋体" w:hint="eastAsia"/>
          <w:szCs w:val="21"/>
        </w:rPr>
        <w:t>》安排，</w:t>
      </w:r>
      <w:r>
        <w:rPr>
          <w:rFonts w:ascii="宋体" w:hAnsi="宋体" w:hint="eastAsia"/>
          <w:szCs w:val="21"/>
          <w:lang w:val="en-US" w:eastAsia="zh-CN"/>
        </w:rPr>
        <w:t>河北</w:t>
      </w:r>
      <w:r>
        <w:rPr>
          <w:rFonts w:ascii="宋体" w:hAnsi="宋体" w:hint="eastAsia"/>
          <w:szCs w:val="21"/>
        </w:rPr>
        <w:t>省</w:t>
      </w:r>
      <w:r>
        <w:rPr>
          <w:rFonts w:ascii="宋体" w:hAnsi="宋体" w:hint="eastAsia"/>
          <w:szCs w:val="21"/>
          <w:lang w:val="en-US" w:eastAsia="zh-CN"/>
        </w:rPr>
        <w:t>气象局为保障农业生产和防灾减灾需求</w:t>
      </w:r>
      <w:r>
        <w:rPr>
          <w:rFonts w:ascii="宋体" w:hAnsi="宋体" w:hint="eastAsia"/>
          <w:szCs w:val="21"/>
        </w:rPr>
        <w:t>，特采购37mm人工防雹高炮弹。</w:t>
      </w:r>
    </w:p>
    <w:p>
      <w:pPr>
        <w:spacing w:line="360" w:lineRule="auto"/>
        <w:ind w:firstLine="420" w:firstLineChars="200"/>
        <w:rPr>
          <w:rFonts w:ascii="宋体" w:hAnsi="宋体"/>
          <w:szCs w:val="21"/>
        </w:rPr>
      </w:pPr>
      <w:r>
        <w:rPr>
          <w:rFonts w:ascii="宋体" w:hAnsi="宋体" w:hint="eastAsia"/>
          <w:szCs w:val="21"/>
          <w:lang w:val="en-US" w:eastAsia="zh-CN"/>
        </w:rPr>
        <w:t>河北</w:t>
      </w:r>
      <w:r>
        <w:rPr>
          <w:rFonts w:ascii="宋体" w:hAnsi="宋体" w:hint="eastAsia"/>
          <w:szCs w:val="21"/>
        </w:rPr>
        <w:t>省</w:t>
      </w:r>
      <w:r>
        <w:rPr>
          <w:rFonts w:ascii="宋体" w:hAnsi="宋体" w:hint="eastAsia"/>
          <w:szCs w:val="21"/>
          <w:lang w:val="en-US" w:eastAsia="zh-CN"/>
        </w:rPr>
        <w:t>气象局</w:t>
      </w:r>
      <w:r>
        <w:rPr>
          <w:rFonts w:ascii="宋体" w:hAnsi="宋体" w:hint="eastAsia"/>
          <w:szCs w:val="21"/>
        </w:rPr>
        <w:t>本次采购的37mm人工防雹高炮弹，出厂验收合格后，中标供应商负责将产品运输到</w:t>
      </w:r>
      <w:r>
        <w:rPr>
          <w:rFonts w:ascii="宋体" w:hAnsi="宋体" w:hint="eastAsia"/>
          <w:szCs w:val="21"/>
          <w:lang w:eastAsia="zh-CN"/>
        </w:rPr>
        <w:t>河北省气象局</w:t>
      </w:r>
      <w:r>
        <w:rPr>
          <w:rFonts w:ascii="宋体" w:hAnsi="宋体" w:hint="eastAsia"/>
          <w:szCs w:val="21"/>
        </w:rPr>
        <w:t>指定的地点，运输过程应当遵守国 家有关武器装备、爆炸物品管理的法律、法规。运输费由中标供应商承担。</w:t>
      </w:r>
    </w:p>
    <w:p>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szCs w:val="21"/>
        </w:rPr>
      </w:pPr>
      <w:r>
        <w:rPr>
          <w:rFonts w:ascii="宋体" w:hAnsi="宋体" w:hint="eastAsia"/>
          <w:szCs w:val="21"/>
        </w:rPr>
        <w:t>三、技术性能指标</w:t>
      </w:r>
    </w:p>
    <w:p>
      <w:pPr>
        <w:spacing w:line="360" w:lineRule="auto"/>
        <w:ind w:firstLine="420" w:firstLineChars="200"/>
        <w:rPr>
          <w:rFonts w:ascii="宋体" w:hAnsi="宋体"/>
          <w:bCs/>
          <w:szCs w:val="21"/>
        </w:rPr>
      </w:pPr>
      <w:r>
        <w:rPr>
          <w:rFonts w:ascii="宋体" w:eastAsia="宋体" w:hAnsi="宋体" w:cs="Times New Roman"/>
          <w:bCs/>
          <w:szCs w:val="21"/>
        </w:rPr>
        <w:t xml:space="preserve"> </w:t>
      </w:r>
      <w:r>
        <w:rPr>
          <w:rFonts w:ascii="宋体" w:eastAsia="宋体" w:hAnsi="宋体" w:cs="Times New Roman" w:hint="eastAsia"/>
          <w:bCs/>
          <w:szCs w:val="21"/>
        </w:rPr>
        <w:t>37mm人工防雹高炮弹主要技术指标要求（气象行业标准——增雨防雹高炮系统技术要求）</w:t>
      </w:r>
    </w:p>
    <w:p>
      <w:pPr>
        <w:pStyle w:val="ListParagraph"/>
        <w:keepNext w:val="0"/>
        <w:keepLines w:val="0"/>
        <w:pageBreakBefore w:val="0"/>
        <w:numPr>
          <w:ilvl w:val="0"/>
          <w:numId w:val="0"/>
        </w:numPr>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1.</w:t>
      </w:r>
      <w:r>
        <w:rPr>
          <w:rFonts w:asciiTheme="minorEastAsia" w:eastAsiaTheme="minorEastAsia" w:hAnsiTheme="minorEastAsia" w:cstheme="minorEastAsia" w:hint="eastAsia"/>
          <w:sz w:val="21"/>
          <w:szCs w:val="21"/>
        </w:rPr>
        <w:t>全弹外观、尺寸应满足被考核产品的技术要求。</w:t>
      </w:r>
    </w:p>
    <w:p>
      <w:pPr>
        <w:keepNext w:val="0"/>
        <w:keepLines w:val="0"/>
        <w:pageBreakBefore w:val="0"/>
        <w:kinsoku/>
        <w:wordWrap/>
        <w:overflowPunct/>
        <w:topLinePunct w:val="0"/>
        <w:autoSpaceDE/>
        <w:autoSpaceDN/>
        <w:bidi w:val="0"/>
        <w:adjustRightInd/>
        <w:snapToGrid/>
        <w:spacing w:line="560" w:lineRule="exact"/>
        <w:ind w:firstLine="630" w:firstLineChars="3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尺寸(弹径×弹长)37mm×(382～386)mm</w:t>
      </w:r>
    </w:p>
    <w:p>
      <w:pPr>
        <w:keepNext w:val="0"/>
        <w:keepLines w:val="0"/>
        <w:pageBreakBefore w:val="0"/>
        <w:kinsoku/>
        <w:wordWrap/>
        <w:overflowPunct/>
        <w:topLinePunct w:val="0"/>
        <w:autoSpaceDE/>
        <w:autoSpaceDN/>
        <w:bidi w:val="0"/>
        <w:adjustRightInd/>
        <w:snapToGrid/>
        <w:spacing w:line="560" w:lineRule="exact"/>
        <w:ind w:firstLine="630" w:firstLineChars="3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质量：1178±6</w:t>
      </w:r>
      <w:r>
        <w:rPr>
          <w:rFonts w:asciiTheme="minorEastAsia" w:eastAsiaTheme="minorEastAsia" w:hAnsiTheme="minorEastAsia" w:cstheme="minorEastAsia" w:hint="eastAsia"/>
          <w:color w:val="FF0000"/>
          <w:sz w:val="21"/>
          <w:szCs w:val="21"/>
        </w:rPr>
        <w:t xml:space="preserve"> </w:t>
      </w:r>
      <w:r>
        <w:rPr>
          <w:rFonts w:asciiTheme="minorEastAsia" w:eastAsiaTheme="minorEastAsia" w:hAnsiTheme="minorEastAsia" w:cstheme="minorEastAsia" w:hint="eastAsia"/>
          <w:sz w:val="21"/>
          <w:szCs w:val="21"/>
        </w:rPr>
        <w:t>g</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2.炮弹的标识应清晰可辨，外表面应清洁、完好。</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eastAsiaTheme="minorEastAsia" w:hAnsiTheme="minorEastAsia" w:cstheme="minorEastAsia" w:hint="eastAsia"/>
          <w:sz w:val="21"/>
          <w:szCs w:val="21"/>
        </w:rPr>
        <w:t>3.炮弹的有效作用高度应为 3000 m～</w:t>
      </w:r>
      <w:r>
        <w:rPr>
          <w:rFonts w:asciiTheme="minorEastAsia" w:hAnsiTheme="minorEastAsia" w:cstheme="minorEastAsia" w:hint="eastAsia"/>
          <w:sz w:val="21"/>
          <w:szCs w:val="21"/>
          <w:lang w:val="en-US" w:eastAsia="zh-CN"/>
        </w:rPr>
        <w:t>80</w:t>
      </w:r>
      <w:r>
        <w:rPr>
          <w:rFonts w:asciiTheme="minorEastAsia" w:eastAsiaTheme="minorEastAsia" w:hAnsiTheme="minorEastAsia" w:cstheme="minorEastAsia" w:hint="eastAsia"/>
          <w:sz w:val="21"/>
          <w:szCs w:val="21"/>
        </w:rPr>
        <w:t>00 m。</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eastAsiaTheme="minorEastAsia" w:hAnsiTheme="minorEastAsia" w:cstheme="minorEastAsia" w:hint="eastAsia"/>
          <w:sz w:val="21"/>
          <w:szCs w:val="21"/>
        </w:rPr>
        <w:t>4.炮弹最大射高（射角为 85°时）：应不小于 6700 m；</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5</w:t>
      </w:r>
      <w:r>
        <w:rPr>
          <w:rFonts w:asciiTheme="minorEastAsia" w:eastAsiaTheme="minorEastAsia" w:hAnsiTheme="minorEastAsia" w:cstheme="minorEastAsia" w:hint="eastAsia"/>
          <w:sz w:val="21"/>
          <w:szCs w:val="21"/>
        </w:rPr>
        <w:t>.初速：≥930m/s</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6</w:t>
      </w:r>
      <w:r>
        <w:rPr>
          <w:rFonts w:asciiTheme="minorEastAsia" w:eastAsiaTheme="minorEastAsia" w:hAnsiTheme="minorEastAsia" w:cstheme="minorEastAsia" w:hint="eastAsia"/>
          <w:sz w:val="21"/>
          <w:szCs w:val="21"/>
        </w:rPr>
        <w:t>.平均膛压：≤274Mpa</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7</w:t>
      </w:r>
      <w:r>
        <w:rPr>
          <w:rFonts w:asciiTheme="minorEastAsia" w:eastAsiaTheme="minorEastAsia" w:hAnsiTheme="minorEastAsia" w:cstheme="minorEastAsia" w:hint="eastAsia"/>
          <w:sz w:val="21"/>
          <w:szCs w:val="21"/>
        </w:rPr>
        <w:t>.引信类型：隔爆型引信</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8</w:t>
      </w:r>
      <w:r>
        <w:rPr>
          <w:rFonts w:asciiTheme="minorEastAsia" w:eastAsiaTheme="minorEastAsia" w:hAnsiTheme="minorEastAsia" w:cstheme="minorEastAsia" w:hint="eastAsia"/>
          <w:sz w:val="21"/>
          <w:szCs w:val="21"/>
        </w:rPr>
        <w:t>.碘化银含量：1g</w:t>
      </w:r>
    </w:p>
    <w:p>
      <w:pPr>
        <w:pStyle w:val="BodyTextFirstIndent"/>
        <w:keepNext w:val="0"/>
        <w:keepLines w:val="0"/>
        <w:pageBreakBefore w:val="0"/>
        <w:kinsoku/>
        <w:wordWrap/>
        <w:overflowPunct/>
        <w:topLinePunct w:val="0"/>
        <w:autoSpaceDE/>
        <w:autoSpaceDN/>
        <w:bidi w:val="0"/>
        <w:adjustRightInd/>
        <w:snapToGrid/>
        <w:spacing w:line="560" w:lineRule="exact"/>
        <w:ind w:left="420" w:firstLine="0" w:leftChars="200" w:firstLineChars="0"/>
        <w:jc w:val="both"/>
        <w:textAlignment w:val="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val="en-US" w:eastAsia="zh-CN"/>
        </w:rPr>
        <w:t>9</w:t>
      </w:r>
      <w:r>
        <w:rPr>
          <w:rFonts w:asciiTheme="minorEastAsia" w:eastAsiaTheme="minorEastAsia" w:hAnsiTheme="minorEastAsia" w:cstheme="minorEastAsia" w:hint="eastAsia"/>
          <w:sz w:val="21"/>
          <w:szCs w:val="21"/>
        </w:rPr>
        <w:t>.使用环境温度：-20℃-+50℃</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1</w:t>
      </w:r>
      <w:r>
        <w:rPr>
          <w:rFonts w:asciiTheme="minorEastAsia" w:hAnsiTheme="minorEastAsia" w:cstheme="minorEastAsia" w:hint="eastAsia"/>
          <w:sz w:val="21"/>
          <w:szCs w:val="21"/>
          <w:lang w:val="en-US" w:eastAsia="zh-CN"/>
        </w:rPr>
        <w:t>0</w:t>
      </w:r>
      <w:r>
        <w:rPr>
          <w:rFonts w:asciiTheme="minorEastAsia" w:eastAsiaTheme="minorEastAsia" w:hAnsiTheme="minorEastAsia" w:cstheme="minorEastAsia" w:hint="eastAsia"/>
          <w:sz w:val="21"/>
          <w:szCs w:val="21"/>
        </w:rPr>
        <w:t>. 单发炮弹弹丸最大破片分三级：</w:t>
      </w:r>
    </w:p>
    <w:p>
      <w:pPr>
        <w:keepNext w:val="0"/>
        <w:keepLines w:val="0"/>
        <w:pageBreakBefore w:val="0"/>
        <w:kinsoku/>
        <w:wordWrap/>
        <w:overflowPunct/>
        <w:topLinePunct w:val="0"/>
        <w:autoSpaceDE/>
        <w:autoSpaceDN/>
        <w:bidi w:val="0"/>
        <w:adjustRightInd/>
        <w:snapToGrid/>
        <w:spacing w:line="560" w:lineRule="exact"/>
        <w:ind w:left="840" w:leftChars="4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A 级应小于等于 5 g；</w:t>
      </w:r>
    </w:p>
    <w:p>
      <w:pPr>
        <w:keepNext w:val="0"/>
        <w:keepLines w:val="0"/>
        <w:pageBreakBefore w:val="0"/>
        <w:kinsoku/>
        <w:wordWrap/>
        <w:overflowPunct/>
        <w:topLinePunct w:val="0"/>
        <w:autoSpaceDE/>
        <w:autoSpaceDN/>
        <w:bidi w:val="0"/>
        <w:adjustRightInd/>
        <w:snapToGrid/>
        <w:spacing w:line="560" w:lineRule="exact"/>
        <w:ind w:left="840" w:leftChars="4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B 级应小于等于 10 g；</w:t>
      </w:r>
    </w:p>
    <w:p>
      <w:pPr>
        <w:keepNext w:val="0"/>
        <w:keepLines w:val="0"/>
        <w:pageBreakBefore w:val="0"/>
        <w:kinsoku/>
        <w:wordWrap/>
        <w:overflowPunct/>
        <w:topLinePunct w:val="0"/>
        <w:autoSpaceDE/>
        <w:autoSpaceDN/>
        <w:bidi w:val="0"/>
        <w:adjustRightInd/>
        <w:snapToGrid/>
        <w:spacing w:line="560" w:lineRule="exact"/>
        <w:ind w:left="840" w:leftChars="4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C 级应小于等于 14 g。</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1</w:t>
      </w:r>
      <w:r>
        <w:rPr>
          <w:rFonts w:asciiTheme="minorEastAsia" w:hAnsiTheme="minorEastAsia" w:cstheme="minorEastAsia" w:hint="eastAsia"/>
          <w:sz w:val="21"/>
          <w:szCs w:val="21"/>
          <w:lang w:val="en-US" w:eastAsia="zh-CN"/>
        </w:rPr>
        <w:t>1</w:t>
      </w:r>
      <w:r>
        <w:rPr>
          <w:rFonts w:asciiTheme="minorEastAsia" w:eastAsiaTheme="minorEastAsia" w:hAnsiTheme="minorEastAsia" w:cstheme="minorEastAsia" w:hint="eastAsia"/>
          <w:sz w:val="21"/>
          <w:szCs w:val="21"/>
        </w:rPr>
        <w:t>. 炮弹引信瞎火率为：</w:t>
      </w:r>
    </w:p>
    <w:p>
      <w:pPr>
        <w:keepNext w:val="0"/>
        <w:keepLines w:val="0"/>
        <w:pageBreakBefore w:val="0"/>
        <w:kinsoku/>
        <w:wordWrap/>
        <w:overflowPunct/>
        <w:topLinePunct w:val="0"/>
        <w:autoSpaceDE/>
        <w:autoSpaceDN/>
        <w:bidi w:val="0"/>
        <w:adjustRightInd/>
        <w:snapToGrid/>
        <w:spacing w:line="560" w:lineRule="exact"/>
        <w:ind w:left="840" w:leftChars="4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A 级小于等于 1/10000；</w:t>
      </w:r>
    </w:p>
    <w:p>
      <w:pPr>
        <w:keepNext w:val="0"/>
        <w:keepLines w:val="0"/>
        <w:pageBreakBefore w:val="0"/>
        <w:kinsoku/>
        <w:wordWrap/>
        <w:overflowPunct/>
        <w:topLinePunct w:val="0"/>
        <w:autoSpaceDE/>
        <w:autoSpaceDN/>
        <w:bidi w:val="0"/>
        <w:adjustRightInd/>
        <w:snapToGrid/>
        <w:spacing w:line="560" w:lineRule="exact"/>
        <w:ind w:left="840" w:leftChars="4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B 级小于等于 1/1000；</w:t>
      </w:r>
    </w:p>
    <w:p>
      <w:pPr>
        <w:keepNext w:val="0"/>
        <w:keepLines w:val="0"/>
        <w:pageBreakBefore w:val="0"/>
        <w:kinsoku/>
        <w:wordWrap/>
        <w:overflowPunct/>
        <w:topLinePunct w:val="0"/>
        <w:autoSpaceDE/>
        <w:autoSpaceDN/>
        <w:bidi w:val="0"/>
        <w:adjustRightInd/>
        <w:snapToGrid/>
        <w:spacing w:line="560" w:lineRule="exact"/>
        <w:ind w:left="840" w:leftChars="4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C 级小于等于 3/1000。</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eastAsiaTheme="minorEastAsia" w:hAnsiTheme="minorEastAsia" w:cstheme="minorEastAsia" w:hint="eastAsia"/>
          <w:sz w:val="21"/>
          <w:szCs w:val="21"/>
        </w:rPr>
        <w:t>1</w:t>
      </w:r>
      <w:r>
        <w:rPr>
          <w:rFonts w:asciiTheme="minorEastAsia" w:hAnsiTheme="minorEastAsia" w:cstheme="minorEastAsia" w:hint="eastAsia"/>
          <w:sz w:val="21"/>
          <w:szCs w:val="21"/>
          <w:lang w:val="en-US" w:eastAsia="zh-CN"/>
        </w:rPr>
        <w:t>2</w:t>
      </w:r>
      <w:r>
        <w:rPr>
          <w:rFonts w:asciiTheme="minorEastAsia" w:eastAsiaTheme="minorEastAsia" w:hAnsiTheme="minorEastAsia" w:cstheme="minorEastAsia" w:hint="eastAsia"/>
          <w:sz w:val="21"/>
          <w:szCs w:val="21"/>
        </w:rPr>
        <w:t>. 炮弹应具有冗余保险，应至少包括两个独立保险件，其中每一个都应能防止引信意外解除保险，启动这至少两个保险件的激励应从不同的环境获得。</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eastAsiaTheme="minorEastAsia" w:hAnsiTheme="minorEastAsia" w:cstheme="minorEastAsia" w:hint="eastAsia"/>
          <w:sz w:val="21"/>
          <w:szCs w:val="21"/>
        </w:rPr>
        <w:t>1</w:t>
      </w:r>
      <w:r>
        <w:rPr>
          <w:rFonts w:asciiTheme="minorEastAsia" w:hAnsiTheme="minorEastAsia" w:cstheme="minorEastAsia" w:hint="eastAsia"/>
          <w:sz w:val="21"/>
          <w:szCs w:val="21"/>
          <w:lang w:val="en-US" w:eastAsia="zh-CN"/>
        </w:rPr>
        <w:t>3</w:t>
      </w:r>
      <w:r>
        <w:rPr>
          <w:rFonts w:asciiTheme="minorEastAsia" w:eastAsiaTheme="minorEastAsia" w:hAnsiTheme="minorEastAsia" w:cstheme="minorEastAsia" w:hint="eastAsia"/>
          <w:sz w:val="21"/>
          <w:szCs w:val="21"/>
        </w:rPr>
        <w:t>. 炮弹应采用具有延期解除保险功能的隔爆型引信。</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eastAsiaTheme="minorEastAsia" w:hAnsiTheme="minorEastAsia" w:cstheme="minorEastAsia" w:hint="eastAsia"/>
          <w:sz w:val="21"/>
          <w:szCs w:val="21"/>
        </w:rPr>
        <w:t>1</w:t>
      </w:r>
      <w:r>
        <w:rPr>
          <w:rFonts w:asciiTheme="minorEastAsia" w:hAnsiTheme="minorEastAsia" w:cstheme="minorEastAsia" w:hint="eastAsia"/>
          <w:sz w:val="21"/>
          <w:szCs w:val="21"/>
          <w:lang w:val="en-US" w:eastAsia="zh-CN"/>
        </w:rPr>
        <w:t>4</w:t>
      </w:r>
      <w:r>
        <w:rPr>
          <w:rFonts w:asciiTheme="minorEastAsia" w:eastAsiaTheme="minorEastAsia" w:hAnsiTheme="minorEastAsia" w:cstheme="minorEastAsia" w:hint="eastAsia"/>
          <w:sz w:val="21"/>
          <w:szCs w:val="21"/>
        </w:rPr>
        <w:t>. 炮弹引信的无损落高应不小于 1.5 m。</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hAnsiTheme="minorEastAsia" w:cstheme="minorEastAsia" w:hint="eastAsia"/>
          <w:sz w:val="21"/>
          <w:szCs w:val="21"/>
          <w:lang w:val="en-US" w:eastAsia="zh-CN"/>
        </w:rPr>
        <w:t>15</w:t>
      </w:r>
      <w:r>
        <w:rPr>
          <w:rFonts w:asciiTheme="minorEastAsia" w:eastAsiaTheme="minorEastAsia" w:hAnsiTheme="minorEastAsia" w:cstheme="minorEastAsia" w:hint="eastAsia"/>
          <w:sz w:val="21"/>
          <w:szCs w:val="21"/>
        </w:rPr>
        <w:t>. 带包装的全弹安全落高应不小于</w:t>
      </w:r>
      <w:r>
        <w:rPr>
          <w:rFonts w:asciiTheme="minorEastAsia" w:hAnsiTheme="minorEastAsia" w:cstheme="minorEastAsia" w:hint="eastAsia"/>
          <w:sz w:val="21"/>
          <w:szCs w:val="21"/>
          <w:lang w:val="en-US" w:eastAsia="zh-CN"/>
        </w:rPr>
        <w:t xml:space="preserve">4.5 </w:t>
      </w:r>
      <w:r>
        <w:rPr>
          <w:rFonts w:asciiTheme="minorEastAsia" w:eastAsiaTheme="minorEastAsia" w:hAnsiTheme="minorEastAsia" w:cstheme="minorEastAsia" w:hint="eastAsia"/>
          <w:sz w:val="21"/>
          <w:szCs w:val="21"/>
        </w:rPr>
        <w:t>m。</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hAnsiTheme="minorEastAsia" w:cstheme="minorEastAsia" w:hint="eastAsia"/>
          <w:sz w:val="21"/>
          <w:szCs w:val="21"/>
          <w:lang w:val="en-US" w:eastAsia="zh-CN"/>
        </w:rPr>
        <w:t>16</w:t>
      </w:r>
      <w:r>
        <w:rPr>
          <w:rFonts w:asciiTheme="minorEastAsia" w:eastAsiaTheme="minorEastAsia" w:hAnsiTheme="minorEastAsia" w:cstheme="minorEastAsia" w:hint="eastAsia"/>
          <w:sz w:val="21"/>
          <w:szCs w:val="21"/>
        </w:rPr>
        <w:t>. 炮弹的催化剂成核率（试验室内，-10℃）应大于或等于10</w:t>
      </w:r>
      <w:r>
        <w:rPr>
          <w:rFonts w:asciiTheme="minorEastAsia" w:eastAsiaTheme="minorEastAsia" w:hAnsiTheme="minorEastAsia" w:cstheme="minorEastAsia" w:hint="eastAsia"/>
          <w:sz w:val="21"/>
          <w:szCs w:val="21"/>
          <w:vertAlign w:val="superscript"/>
        </w:rPr>
        <w:t>11</w:t>
      </w:r>
      <w:r>
        <w:rPr>
          <w:rFonts w:asciiTheme="minorEastAsia" w:eastAsiaTheme="minorEastAsia" w:hAnsiTheme="minorEastAsia" w:cstheme="minorEastAsia" w:hint="eastAsia"/>
          <w:sz w:val="21"/>
          <w:szCs w:val="21"/>
        </w:rPr>
        <w:t>个每克</w:t>
      </w:r>
      <w:r>
        <w:rPr>
          <w:rFonts w:ascii="宋体" w:eastAsia="宋体" w:hAnsi="Times New Roman" w:cs="Times New Roman" w:hint="eastAsia"/>
          <w:kern w:val="0"/>
          <w:szCs w:val="21"/>
        </w:rPr>
        <w:t>碘化银</w:t>
      </w:r>
      <w:r>
        <w:rPr>
          <w:rFonts w:asciiTheme="minorEastAsia" w:eastAsiaTheme="minorEastAsia" w:hAnsiTheme="minorEastAsia" w:cstheme="minorEastAsia" w:hint="eastAsia"/>
          <w:sz w:val="21"/>
          <w:szCs w:val="21"/>
        </w:rPr>
        <w:t>。</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宋体" w:eastAsia="宋体" w:hAnsi="Times New Roman" w:cs="Times New Roman"/>
          <w:color w:val="EE0000"/>
          <w:kern w:val="0"/>
          <w:szCs w:val="21"/>
        </w:rPr>
        <w:t>#</w:t>
      </w:r>
      <w:r>
        <w:rPr>
          <w:rFonts w:asciiTheme="minorEastAsia" w:hAnsiTheme="minorEastAsia" w:cstheme="minorEastAsia" w:hint="eastAsia"/>
          <w:sz w:val="21"/>
          <w:szCs w:val="21"/>
          <w:lang w:val="en-US" w:eastAsia="zh-CN"/>
        </w:rPr>
        <w:t>17</w:t>
      </w:r>
      <w:r>
        <w:rPr>
          <w:rFonts w:asciiTheme="minorEastAsia" w:eastAsiaTheme="minorEastAsia" w:hAnsiTheme="minorEastAsia" w:cstheme="minorEastAsia" w:hint="eastAsia"/>
          <w:sz w:val="21"/>
          <w:szCs w:val="21"/>
        </w:rPr>
        <w:t>. 炮弹适用海拔高度范围应不小于4500m。</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hAnsiTheme="minorEastAsia" w:cstheme="minorEastAsia" w:hint="eastAsia"/>
          <w:sz w:val="21"/>
          <w:szCs w:val="21"/>
          <w:lang w:val="en-US" w:eastAsia="zh-CN"/>
        </w:rPr>
        <w:t>18</w:t>
      </w:r>
      <w:r>
        <w:rPr>
          <w:rFonts w:asciiTheme="minorEastAsia" w:eastAsiaTheme="minorEastAsia" w:hAnsiTheme="minorEastAsia" w:cstheme="minorEastAsia" w:hint="eastAsia"/>
          <w:sz w:val="21"/>
          <w:szCs w:val="21"/>
        </w:rPr>
        <w:t>. 炮弹适用温度范围应为-20℃～50℃。</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b/>
          <w:bCs/>
          <w:szCs w:val="21"/>
        </w:rPr>
      </w:pPr>
      <w:r>
        <w:rPr>
          <w:rFonts w:asciiTheme="minorEastAsia" w:hAnsiTheme="minorEastAsia" w:cstheme="minorEastAsia" w:hint="eastAsia"/>
          <w:sz w:val="21"/>
          <w:szCs w:val="21"/>
          <w:lang w:val="en-US" w:eastAsia="zh-CN"/>
        </w:rPr>
        <w:t>19</w:t>
      </w:r>
      <w:r>
        <w:rPr>
          <w:rFonts w:asciiTheme="minorEastAsia" w:eastAsiaTheme="minorEastAsia" w:hAnsiTheme="minorEastAsia" w:cstheme="minorEastAsia" w:hint="eastAsia"/>
          <w:sz w:val="21"/>
          <w:szCs w:val="21"/>
        </w:rPr>
        <w:t>. 炮弹使用有效期限应不小于 5 年。</w:t>
      </w:r>
    </w:p>
    <w:p>
      <w:pPr>
        <w:keepNext w:val="0"/>
        <w:keepLines w:val="0"/>
        <w:pageBreakBefore w:val="0"/>
        <w:kinsoku/>
        <w:wordWrap/>
        <w:overflowPunct/>
        <w:topLinePunct w:val="0"/>
        <w:autoSpaceDE/>
        <w:autoSpaceDN/>
        <w:bidi w:val="0"/>
        <w:adjustRightInd/>
        <w:snapToGrid/>
        <w:spacing w:line="560" w:lineRule="exact"/>
        <w:ind w:left="420" w:leftChars="200"/>
        <w:jc w:val="both"/>
        <w:textAlignment w:val="auto"/>
        <w:rPr>
          <w:rFonts w:asciiTheme="minorEastAsia" w:hAnsiTheme="minorEastAsia" w:cstheme="minorEastAsia" w:hint="eastAsia"/>
          <w:szCs w:val="21"/>
        </w:rPr>
      </w:pPr>
      <w:r>
        <w:rPr>
          <w:rFonts w:asciiTheme="minorEastAsia" w:eastAsiaTheme="minorEastAsia" w:hAnsiTheme="minorEastAsia" w:cstheme="minorEastAsia" w:hint="eastAsia"/>
          <w:sz w:val="21"/>
          <w:szCs w:val="21"/>
        </w:rPr>
        <w:t>2</w:t>
      </w:r>
      <w:r>
        <w:rPr>
          <w:rFonts w:asciiTheme="minorEastAsia" w:hAnsiTheme="minorEastAsia" w:cstheme="minorEastAsia" w:hint="eastAsia"/>
          <w:sz w:val="21"/>
          <w:szCs w:val="21"/>
          <w:lang w:val="en-US" w:eastAsia="zh-CN"/>
        </w:rPr>
        <w:t>0</w:t>
      </w:r>
      <w:r>
        <w:rPr>
          <w:rFonts w:asciiTheme="minorEastAsia" w:eastAsiaTheme="minorEastAsia" w:hAnsiTheme="minorEastAsia" w:cstheme="minorEastAsia" w:hint="eastAsia"/>
          <w:sz w:val="21"/>
          <w:szCs w:val="21"/>
        </w:rPr>
        <w:t>. 炮弹应具有符合规定的条维码标识。</w:t>
      </w:r>
    </w:p>
    <w:p>
      <w:pPr>
        <w:spacing w:line="360" w:lineRule="auto"/>
        <w:ind w:firstLine="420" w:firstLineChars="200"/>
        <w:jc w:val="both"/>
        <w:rPr>
          <w:rFonts w:ascii="宋体"/>
          <w:kern w:val="0"/>
          <w:szCs w:val="21"/>
        </w:rPr>
      </w:pPr>
      <w:r>
        <w:rPr>
          <w:rFonts w:ascii="宋体" w:eastAsia="宋体" w:hAnsi="Times New Roman" w:cs="Times New Roman"/>
          <w:color w:val="EE0000"/>
          <w:kern w:val="0"/>
          <w:szCs w:val="21"/>
        </w:rPr>
        <w:t>#</w:t>
      </w:r>
      <w:r>
        <w:rPr>
          <w:rFonts w:ascii="宋体" w:eastAsia="宋体" w:hAnsi="Times New Roman" w:cs="Times New Roman" w:hint="eastAsia"/>
          <w:kern w:val="0"/>
          <w:szCs w:val="21"/>
          <w:lang w:val="en-US" w:eastAsia="zh-CN"/>
        </w:rPr>
        <w:t>21</w:t>
      </w:r>
      <w:r>
        <w:rPr>
          <w:rFonts w:ascii="宋体" w:eastAsia="宋体" w:hAnsi="Times New Roman" w:cs="Times New Roman" w:hint="eastAsia"/>
          <w:kern w:val="0"/>
          <w:szCs w:val="21"/>
        </w:rPr>
        <w:t>.全弹在高温、低温、常温下连发不应出现：</w:t>
      </w:r>
    </w:p>
    <w:p>
      <w:pPr>
        <w:spacing w:line="360" w:lineRule="auto"/>
        <w:ind w:firstLine="420" w:firstLineChars="200"/>
        <w:jc w:val="both"/>
        <w:rPr>
          <w:rFonts w:ascii="宋体"/>
          <w:kern w:val="0"/>
          <w:szCs w:val="21"/>
        </w:rPr>
      </w:pPr>
      <w:r>
        <w:rPr>
          <w:rFonts w:ascii="宋体" w:eastAsia="宋体" w:hAnsi="Times New Roman" w:cs="Times New Roman" w:hint="eastAsia"/>
          <w:kern w:val="0"/>
          <w:szCs w:val="21"/>
        </w:rPr>
        <w:t>——药筒破裂</w:t>
      </w:r>
    </w:p>
    <w:p>
      <w:pPr>
        <w:spacing w:line="360" w:lineRule="auto"/>
        <w:ind w:firstLine="420" w:firstLineChars="200"/>
        <w:jc w:val="both"/>
        <w:rPr>
          <w:rFonts w:ascii="宋体"/>
          <w:kern w:val="0"/>
          <w:szCs w:val="21"/>
        </w:rPr>
      </w:pPr>
      <w:r>
        <w:rPr>
          <w:rFonts w:ascii="宋体" w:eastAsia="宋体" w:hAnsi="Times New Roman" w:cs="Times New Roman" w:hint="eastAsia"/>
          <w:kern w:val="0"/>
          <w:szCs w:val="21"/>
        </w:rPr>
        <w:t>——连发异常</w:t>
      </w:r>
    </w:p>
    <w:p>
      <w:pPr>
        <w:spacing w:line="360" w:lineRule="auto"/>
        <w:ind w:firstLine="420" w:firstLineChars="200"/>
        <w:jc w:val="both"/>
        <w:rPr>
          <w:rFonts w:ascii="宋体"/>
          <w:kern w:val="0"/>
          <w:szCs w:val="21"/>
        </w:rPr>
      </w:pPr>
      <w:r>
        <w:rPr>
          <w:rFonts w:ascii="宋体" w:eastAsia="宋体" w:hAnsi="Times New Roman" w:cs="Times New Roman"/>
          <w:color w:val="EE0000"/>
          <w:kern w:val="0"/>
          <w:szCs w:val="21"/>
        </w:rPr>
        <w:t>#</w:t>
      </w:r>
      <w:r>
        <w:rPr>
          <w:rFonts w:ascii="宋体" w:eastAsia="宋体" w:hAnsi="Times New Roman" w:cs="Times New Roman" w:hint="eastAsia"/>
          <w:kern w:val="0"/>
          <w:szCs w:val="21"/>
        </w:rPr>
        <w:t>2</w:t>
      </w:r>
      <w:r>
        <w:rPr>
          <w:rFonts w:ascii="宋体" w:eastAsia="宋体" w:hAnsi="Times New Roman" w:cs="Times New Roman" w:hint="eastAsia"/>
          <w:kern w:val="0"/>
          <w:szCs w:val="21"/>
          <w:lang w:val="en-US" w:eastAsia="zh-CN"/>
        </w:rPr>
        <w:t>2</w:t>
      </w:r>
      <w:r>
        <w:rPr>
          <w:rFonts w:ascii="宋体" w:eastAsia="宋体" w:hAnsi="Times New Roman" w:cs="Times New Roman" w:hint="eastAsia"/>
          <w:kern w:val="0"/>
          <w:szCs w:val="21"/>
        </w:rPr>
        <w:t>.全弹储存经高、低温环境变化后，不应出现：</w:t>
      </w:r>
    </w:p>
    <w:p>
      <w:pPr>
        <w:spacing w:line="360" w:lineRule="auto"/>
        <w:ind w:firstLine="420" w:firstLineChars="200"/>
        <w:jc w:val="both"/>
        <w:rPr>
          <w:rFonts w:ascii="宋体"/>
          <w:kern w:val="0"/>
          <w:szCs w:val="21"/>
        </w:rPr>
      </w:pPr>
      <w:r>
        <w:rPr>
          <w:rFonts w:ascii="宋体" w:eastAsia="宋体" w:hAnsi="Times New Roman" w:cs="Times New Roman" w:hint="eastAsia"/>
          <w:kern w:val="0"/>
          <w:szCs w:val="21"/>
        </w:rPr>
        <w:t>——弹丸在膛内、炮口爆炸</w:t>
      </w:r>
    </w:p>
    <w:p>
      <w:pPr>
        <w:spacing w:line="360" w:lineRule="auto"/>
        <w:ind w:firstLine="420" w:firstLineChars="200"/>
        <w:jc w:val="both"/>
        <w:rPr>
          <w:rFonts w:ascii="宋体"/>
          <w:kern w:val="0"/>
          <w:szCs w:val="21"/>
        </w:rPr>
      </w:pPr>
      <w:r>
        <w:rPr>
          <w:rFonts w:ascii="宋体" w:eastAsia="宋体" w:hAnsi="Times New Roman" w:cs="Times New Roman" w:hint="eastAsia"/>
          <w:kern w:val="0"/>
          <w:szCs w:val="21"/>
        </w:rPr>
        <w:t>——引信瞎火</w:t>
      </w:r>
    </w:p>
    <w:p>
      <w:pPr>
        <w:spacing w:line="360" w:lineRule="auto"/>
        <w:ind w:firstLine="420" w:firstLineChars="200"/>
        <w:jc w:val="both"/>
        <w:rPr>
          <w:rFonts w:ascii="宋体"/>
          <w:kern w:val="0"/>
          <w:szCs w:val="21"/>
        </w:rPr>
      </w:pPr>
      <w:r>
        <w:rPr>
          <w:rFonts w:ascii="宋体" w:eastAsia="宋体" w:hAnsi="Times New Roman" w:cs="Times New Roman" w:hint="eastAsia"/>
          <w:kern w:val="0"/>
          <w:szCs w:val="21"/>
        </w:rPr>
        <w:t>——弹丸爆炸不完全</w:t>
      </w:r>
    </w:p>
    <w:p>
      <w:pPr>
        <w:spacing w:line="360" w:lineRule="auto"/>
        <w:ind w:firstLine="420" w:firstLineChars="200"/>
        <w:jc w:val="both"/>
        <w:rPr>
          <w:rFonts w:asciiTheme="minorEastAsia" w:hAnsiTheme="minorEastAsia" w:cstheme="minorEastAsia" w:hint="eastAsia"/>
          <w:szCs w:val="21"/>
        </w:rPr>
      </w:pPr>
      <w:r>
        <w:rPr>
          <w:rFonts w:ascii="宋体" w:eastAsia="宋体" w:hAnsi="Times New Roman" w:cs="Times New Roman" w:hint="eastAsia"/>
          <w:kern w:val="0"/>
          <w:szCs w:val="21"/>
        </w:rPr>
        <w:t>——引信自毁时间超差</w:t>
      </w:r>
    </w:p>
    <w:p>
      <w:pPr>
        <w:spacing w:line="360" w:lineRule="auto"/>
        <w:ind w:firstLine="420" w:firstLineChars="200"/>
        <w:rPr>
          <w:rFonts w:ascii="宋体" w:hAnsi="宋体"/>
          <w:szCs w:val="21"/>
        </w:rPr>
      </w:pPr>
      <w:r>
        <w:rPr>
          <w:rFonts w:ascii="宋体" w:hAnsi="宋体" w:hint="eastAsia"/>
          <w:szCs w:val="21"/>
        </w:rPr>
        <w:t>四、检验考核要求</w:t>
      </w:r>
    </w:p>
    <w:p>
      <w:pPr>
        <w:spacing w:line="360" w:lineRule="auto"/>
        <w:ind w:firstLine="420" w:firstLineChars="200"/>
        <w:rPr>
          <w:rFonts w:ascii="宋体" w:hAnsi="宋体"/>
          <w:szCs w:val="21"/>
        </w:rPr>
      </w:pPr>
      <w:r>
        <w:rPr>
          <w:rFonts w:ascii="宋体" w:hAnsi="宋体" w:hint="eastAsia"/>
          <w:szCs w:val="21"/>
        </w:rPr>
        <w:t>1、货物质量必须达到设计要求，静态检测及动态试验等各项指标符合技术参数；</w:t>
      </w:r>
    </w:p>
    <w:p>
      <w:pPr>
        <w:spacing w:line="360" w:lineRule="auto"/>
        <w:ind w:firstLine="420" w:firstLineChars="200"/>
        <w:rPr>
          <w:rFonts w:ascii="宋体" w:hAnsi="宋体"/>
          <w:szCs w:val="21"/>
        </w:rPr>
      </w:pPr>
      <w:r>
        <w:rPr>
          <w:rFonts w:ascii="宋体" w:hAnsi="宋体" w:hint="eastAsia"/>
          <w:szCs w:val="21"/>
        </w:rPr>
        <w:t>2、出厂验收。产品出厂前由国务院气象主管机构指定单位进行组织验收。中标供应商需配合并具体实施。</w:t>
      </w:r>
    </w:p>
    <w:p>
      <w:pPr>
        <w:spacing w:line="360" w:lineRule="auto"/>
        <w:ind w:firstLine="420" w:firstLineChars="200"/>
        <w:rPr>
          <w:rFonts w:ascii="宋体" w:hAnsi="宋体"/>
          <w:szCs w:val="21"/>
        </w:rPr>
      </w:pPr>
      <w:r>
        <w:rPr>
          <w:rFonts w:ascii="宋体" w:hAnsi="宋体" w:hint="eastAsia"/>
          <w:szCs w:val="21"/>
        </w:rPr>
        <w:t>3、到货验收。到货后用户检查包装并核对货物品类、数量以及完好性。未通过验收的货物，将不予接受。</w:t>
      </w:r>
    </w:p>
    <w:p>
      <w:pPr>
        <w:spacing w:line="360" w:lineRule="auto"/>
        <w:ind w:firstLine="420" w:firstLineChars="200"/>
        <w:rPr>
          <w:rFonts w:ascii="宋体" w:hAnsi="宋体"/>
          <w:szCs w:val="21"/>
        </w:rPr>
      </w:pPr>
      <w:r>
        <w:rPr>
          <w:rFonts w:ascii="宋体" w:hAnsi="宋体" w:hint="eastAsia"/>
          <w:szCs w:val="21"/>
        </w:rPr>
        <w:t>五、技术服务和质保期服务要求</w:t>
      </w:r>
    </w:p>
    <w:p>
      <w:pPr>
        <w:spacing w:line="360" w:lineRule="auto"/>
        <w:ind w:firstLine="420" w:firstLineChars="200"/>
        <w:rPr>
          <w:rFonts w:ascii="宋体" w:hAnsi="宋体"/>
          <w:szCs w:val="21"/>
        </w:rPr>
      </w:pPr>
      <w:r>
        <w:rPr>
          <w:rFonts w:ascii="宋体" w:hAnsi="宋体" w:hint="eastAsia"/>
          <w:szCs w:val="21"/>
        </w:rPr>
        <w:t>1、培训</w:t>
      </w:r>
    </w:p>
    <w:p>
      <w:pPr>
        <w:spacing w:line="360" w:lineRule="auto"/>
        <w:ind w:firstLine="420" w:firstLineChars="200"/>
        <w:rPr>
          <w:rFonts w:ascii="宋体" w:hAnsi="宋体"/>
          <w:szCs w:val="21"/>
        </w:rPr>
      </w:pPr>
      <w:r>
        <w:rPr>
          <w:rFonts w:ascii="宋体" w:hAnsi="宋体" w:hint="eastAsia"/>
          <w:szCs w:val="21"/>
        </w:rPr>
        <w:t>中标供应商应具备应对采购单位需求的服务团队，服务团队主要对采购单位人员进行专业培训、售后服务、废旧故障人工防雹37mm高炮弹和高炮训练弹等工作。</w:t>
      </w:r>
    </w:p>
    <w:p>
      <w:pPr>
        <w:spacing w:line="360" w:lineRule="auto"/>
        <w:ind w:firstLine="420" w:firstLineChars="200"/>
        <w:rPr>
          <w:rFonts w:ascii="宋体" w:hAnsi="宋体"/>
          <w:szCs w:val="21"/>
        </w:rPr>
      </w:pPr>
      <w:r>
        <w:rPr>
          <w:rFonts w:ascii="宋体" w:hAnsi="宋体" w:hint="eastAsia"/>
          <w:szCs w:val="21"/>
        </w:rPr>
        <w:t>2、技术支持</w:t>
      </w:r>
    </w:p>
    <w:p>
      <w:pPr>
        <w:spacing w:line="360" w:lineRule="auto"/>
        <w:ind w:firstLine="420" w:firstLineChars="200"/>
        <w:rPr>
          <w:rFonts w:ascii="宋体" w:hAnsi="宋体"/>
          <w:szCs w:val="21"/>
        </w:rPr>
      </w:pPr>
      <w:r>
        <w:rPr>
          <w:rFonts w:ascii="宋体" w:hAnsi="宋体" w:hint="eastAsia"/>
          <w:szCs w:val="21"/>
        </w:rPr>
        <w:t>中标供应商提供免费热线服务电话、保障服务货物收发联系部门及人员的名称和联系方式。人工防雹37mm高炮弹的更换、过期人工防雹37mm高炮弹和高炮训练弹的回收及销毁工作按照采购单位要求在约定时间内完成。</w:t>
      </w:r>
    </w:p>
    <w:p>
      <w:pPr>
        <w:spacing w:line="360" w:lineRule="auto"/>
        <w:ind w:firstLine="420" w:firstLineChars="200"/>
        <w:rPr>
          <w:rFonts w:ascii="宋体" w:hAnsi="宋体"/>
          <w:szCs w:val="21"/>
        </w:rPr>
      </w:pPr>
      <w:r>
        <w:rPr>
          <w:rFonts w:ascii="宋体" w:hAnsi="宋体" w:hint="eastAsia"/>
          <w:szCs w:val="21"/>
        </w:rPr>
        <w:t>3、技术资料</w:t>
      </w:r>
    </w:p>
    <w:p>
      <w:pPr>
        <w:spacing w:line="360" w:lineRule="auto"/>
        <w:ind w:firstLine="420" w:firstLineChars="200"/>
        <w:rPr>
          <w:rFonts w:ascii="宋体" w:hAnsi="宋体"/>
          <w:szCs w:val="21"/>
        </w:rPr>
      </w:pPr>
      <w:r>
        <w:rPr>
          <w:rFonts w:ascii="宋体" w:hAnsi="宋体" w:hint="eastAsia"/>
          <w:szCs w:val="21"/>
        </w:rPr>
        <w:t>提供完整的技术资料，包括：危险品生产、存储、运输、使用等安全保障手册；产品验收清单（含产品合格证等）；使用说明书及合同中要求的其他文件资料。</w:t>
      </w:r>
    </w:p>
    <w:p>
      <w:pPr>
        <w:spacing w:line="360" w:lineRule="auto"/>
        <w:ind w:firstLine="420" w:firstLineChars="200"/>
        <w:rPr>
          <w:rFonts w:ascii="宋体" w:hAnsi="宋体"/>
          <w:szCs w:val="21"/>
        </w:rPr>
      </w:pPr>
      <w:r>
        <w:rPr>
          <w:rFonts w:ascii="宋体" w:hAnsi="宋体" w:hint="eastAsia"/>
          <w:szCs w:val="21"/>
        </w:rPr>
        <w:t>4、质保期内服务内容</w:t>
      </w:r>
    </w:p>
    <w:p>
      <w:pPr>
        <w:spacing w:line="360" w:lineRule="auto"/>
        <w:ind w:firstLine="420" w:firstLineChars="200"/>
        <w:rPr>
          <w:rFonts w:ascii="宋体" w:hAnsi="宋体"/>
          <w:szCs w:val="21"/>
        </w:rPr>
      </w:pPr>
      <w:r>
        <w:rPr>
          <w:rFonts w:ascii="宋体" w:hAnsi="宋体" w:hint="eastAsia"/>
          <w:szCs w:val="21"/>
        </w:rPr>
        <w:t>（1）人工防雹37mm高炮弹质保期为出厂验收后5年；</w:t>
      </w:r>
    </w:p>
    <w:p>
      <w:pPr>
        <w:spacing w:line="360" w:lineRule="auto"/>
        <w:ind w:firstLine="420" w:firstLineChars="200"/>
        <w:rPr>
          <w:rFonts w:ascii="宋体" w:hAnsi="宋体"/>
          <w:szCs w:val="21"/>
        </w:rPr>
      </w:pPr>
      <w:r>
        <w:rPr>
          <w:rFonts w:ascii="宋体" w:hAnsi="宋体" w:hint="eastAsia"/>
          <w:szCs w:val="21"/>
        </w:rPr>
        <w:t>（2）因产品质量问题所造成的直接或间接损失由中标供应商负责，并且中标供应商应负责免费更换合格品；</w:t>
      </w:r>
    </w:p>
    <w:p>
      <w:pPr>
        <w:spacing w:line="360" w:lineRule="auto"/>
        <w:ind w:firstLine="420" w:firstLineChars="200"/>
        <w:rPr>
          <w:rFonts w:ascii="宋体" w:hAnsi="宋体"/>
          <w:szCs w:val="21"/>
        </w:rPr>
      </w:pPr>
      <w:r>
        <w:rPr>
          <w:rFonts w:ascii="宋体" w:hAnsi="宋体" w:hint="eastAsia"/>
          <w:szCs w:val="21"/>
        </w:rPr>
        <w:t>（3）中标供应商根据采购方要求回收及销毁本项目采购的过期人工防雹37mm高炮弹和人工防雹37mm高炮故障弹，产生的所有费用包含在报价中。</w:t>
      </w:r>
    </w:p>
    <w:p>
      <w:pPr>
        <w:spacing w:line="360" w:lineRule="auto"/>
        <w:ind w:firstLine="420" w:firstLineChars="200"/>
        <w:rPr>
          <w:rFonts w:ascii="宋体" w:hAnsi="宋体"/>
          <w:szCs w:val="21"/>
        </w:rPr>
      </w:pPr>
      <w:r>
        <w:rPr>
          <w:rFonts w:ascii="宋体" w:hAnsi="宋体" w:hint="eastAsia"/>
          <w:szCs w:val="21"/>
        </w:rPr>
        <w:t>（4）因产品质量原因造成人员伤亡等事故时，中标供应商应迅速赶赴现场，协助当地有关部门分析事故原因，承担应有的责任，并将产品质量原因分析报告报国务院气象主管机构。</w:t>
      </w:r>
    </w:p>
    <w:p>
      <w:pPr>
        <w:spacing w:line="360" w:lineRule="auto"/>
        <w:ind w:firstLine="420" w:firstLineChars="200"/>
        <w:rPr>
          <w:rFonts w:ascii="宋体" w:hAnsi="宋体" w:hint="eastAsia"/>
          <w:szCs w:val="21"/>
        </w:rPr>
      </w:pPr>
      <w:r>
        <w:rPr>
          <w:rFonts w:ascii="宋体" w:eastAsia="宋体" w:hAnsi="宋体" w:cs="Times New Roman" w:hint="eastAsia"/>
          <w:szCs w:val="21"/>
        </w:rPr>
        <w:t>六</w:t>
      </w:r>
      <w:r>
        <w:rPr>
          <w:rFonts w:ascii="宋体" w:eastAsia="宋体" w:hAnsi="宋体" w:cs="Times New Roman"/>
          <w:szCs w:val="21"/>
        </w:rPr>
        <w:t>、交货期</w:t>
      </w:r>
    </w:p>
    <w:p>
      <w:pPr>
        <w:spacing w:line="360" w:lineRule="auto"/>
        <w:ind w:firstLine="420" w:firstLineChars="200"/>
        <w:rPr>
          <w:rFonts w:ascii="宋体" w:hAnsi="宋体"/>
          <w:szCs w:val="21"/>
        </w:rPr>
      </w:pPr>
      <w:r>
        <w:rPr>
          <w:rFonts w:ascii="宋体" w:eastAsia="宋体" w:hAnsi="宋体" w:cs="Times New Roman" w:hint="eastAsia"/>
          <w:szCs w:val="21"/>
        </w:rPr>
        <w:t>合同签订后</w:t>
      </w:r>
      <w:r>
        <w:rPr>
          <w:rFonts w:ascii="宋体" w:hAnsi="宋体" w:cs="Times New Roman" w:hint="eastAsia"/>
          <w:szCs w:val="21"/>
          <w:lang w:val="en-US" w:eastAsia="zh-CN"/>
        </w:rPr>
        <w:t>30</w:t>
      </w:r>
      <w:r>
        <w:rPr>
          <w:rFonts w:ascii="宋体" w:eastAsia="宋体" w:hAnsi="宋体" w:cs="Times New Roman" w:hint="eastAsia"/>
          <w:szCs w:val="21"/>
        </w:rPr>
        <w:t>天内交货，并具备验收条件。</w:t>
      </w:r>
    </w:p>
    <w:p>
      <w:pPr>
        <w:spacing w:line="360" w:lineRule="auto"/>
        <w:ind w:firstLine="420" w:firstLineChars="200"/>
        <w:rPr>
          <w:rFonts w:ascii="宋体" w:hAnsi="宋体"/>
          <w:szCs w:val="21"/>
        </w:rPr>
      </w:pPr>
    </w:p>
    <w:p>
      <w:pPr>
        <w:spacing w:line="360" w:lineRule="auto"/>
        <w:rPr>
          <w:rFonts w:ascii="宋体" w:hAnsi="宋体"/>
          <w:szCs w:val="21"/>
        </w:rPr>
      </w:pPr>
      <w:r>
        <w:rPr>
          <w:rFonts w:ascii="宋体" w:eastAsia="宋体" w:hAnsi="宋体" w:cs="Times New Roman" w:hint="eastAsia"/>
          <w:szCs w:val="21"/>
        </w:rPr>
        <w:t>第七章 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82"/>
        <w:gridCol w:w="1294"/>
        <w:gridCol w:w="1089"/>
        <w:gridCol w:w="1496"/>
        <w:gridCol w:w="1706"/>
        <w:gridCol w:w="1135"/>
        <w:gridCol w:w="92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增雨防雹弹</w:t>
            </w:r>
          </w:p>
        </w:tc>
        <w:tc>
          <w:tcPr/>
          <w:p>
            <w:pPr>
              <w:autoSpaceDE w:val="0"/>
              <w:jc w:val="center"/>
              <w:rPr>
                <w:rFonts w:asciiTheme="minorEastAsia" w:hAnsiTheme="minorEastAsia" w:cstheme="minorEastAsia"/>
                <w:kern w:val="0"/>
                <w:szCs w:val="21"/>
              </w:rPr>
            </w:pPr>
            <w:r>
              <w:t>7657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2,572,752.00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2,572,752.00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94"/>
        <w:gridCol w:w="2114"/>
        <w:gridCol w:w="1164"/>
        <w:gridCol w:w="599"/>
        <w:gridCol w:w="1354"/>
        <w:gridCol w:w="1129"/>
        <w:gridCol w:w="974"/>
        <w:gridCol w:w="59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河北省气象局(001015)</w:t>
            </w:r>
          </w:p>
        </w:tc>
        <w:tc>
          <w:tcPr/>
          <w:p>
            <w:r>
              <w:t>增雨防雹弹</w:t>
            </w:r>
          </w:p>
        </w:tc>
        <w:tc>
          <w:tcPr/>
          <w:p>
            <w:r>
              <w:t>7657</w:t>
            </w:r>
          </w:p>
        </w:tc>
        <w:tc>
          <w:tcPr/>
          <w:p>
            <w:r>
              <w:t>2572752.00</w:t>
            </w:r>
          </w:p>
        </w:tc>
        <w:tc>
          <w:tcPr/>
          <w:p>
            <w:r>
              <w:t xml:space="preserve">2572752.00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69"/>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altName w:val="DejaVu Sans"/>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DejaVu Sans"/>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altName w:val="黑体"/>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DejaVu Sans"/>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altName w:val="MT Extra"/>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Noto Sans Syriac Eastern">
    <w:panose1 w:val="02040503050306020203"/>
    <w:charset w:val="86"/>
    <w:family w:val="auto"/>
    <w:pitch w:val="default"/>
    <w:sig w:usb0="00000000" w:usb1="00000000" w:usb2="00000080" w:usb3="00000000" w:csb0="203E0161" w:csb1="D7FF0000"/>
  </w:font>
  <w:font w:name="方正仿宋_GBK">
    <w:panose1 w:val="02000000000000000000"/>
    <w:charset w:val="86"/>
    <w:family w:val="auto"/>
    <w:pitch w:val="default"/>
    <w:sig w:usb0="00000001" w:usb1="08000000" w:usb2="00000000" w:usb3="00000000" w:csb0="00040000" w:csb1="00000000"/>
  </w:font>
  <w:font w:name="MT Extra">
    <w:panose1 w:val="02000609000000000000"/>
    <w:charset w:val="00"/>
    <w:family w:val="auto"/>
    <w:pitch w:val="default"/>
    <w:sig w:usb0="00000001" w:usb1="00000000" w:usb2="00000000" w:usb3="00000000" w:csb0="0000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BodyTextFirstIndent">
    <w:name w:val="Body Text First Indent"/>
    <w:basedOn w:val="BodyText"/>
    <w:uiPriority w:val="99"/>
    <w:unhideWhenUsed/>
    <w:qFormat/>
    <w:pPr>
      <w:widowControl w:val="0"/>
      <w:ind w:firstLine="420" w:firstLineChars="100"/>
      <w:jc w:val="both"/>
    </w:pPr>
    <w:rPr>
      <w:rFonts w:ascii="Times New Roman" w:eastAsia="宋体" w:hAnsi="Times New Roman" w:cstheme="minorBidi"/>
      <w:color w:val="auto"/>
      <w:kern w:val="2"/>
      <w:szCs w:val="22"/>
      <w:lang w:val="en-US"/>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