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2025年站网与雷达工程四川等11省多通道卫星导航探空接收机项目(重新招标）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ZQCD-25417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青海省大气探测技术保障中心，海南省气象探测中心，河北省气象技术装备中心，湖南省气象技术装备中心，吉林省气象探测保障中心（吉林省气象仪器计量检定站），浙江省大气探测技术保障中心，上海市宝山区气象局，湖北省气象信息与技术保障中心，西藏自治区大气探测技术与装备保障中心，宁夏回族自治区大气探测技术保障中心，银川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2025年站网与雷达工程四川等11省多通道卫星导航探空接收机项目(重新招标）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ZQCD-25417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各采购单位所在省、区、市境内指定地点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2025年11月26日 00:00:00</w:t>
      </w:r>
      <w:bookmarkEnd w:id="26"/>
      <w:r>
        <w:rPr>
          <w:rFonts w:ascii="宋体" w:hint="eastAsia"/>
          <w:szCs w:val="21"/>
          <w:highlight w:val="none"/>
        </w:rPr>
        <w:t>至</w:t>
      </w:r>
      <w:bookmarkStart w:id="27" w:name="项目公告_signUpLastTime"/>
      <w:r>
        <w:rPr>
          <w:rFonts w:ascii="宋体" w:hint="eastAsia"/>
          <w:szCs w:val="21"/>
          <w:highlight w:val="none"/>
        </w:rPr>
        <w:t>2025年12月03日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青海省大气探测技术保障中心，海南省气象探测中心，河北省气象技术装备中心，湖南省气象技术装备中心，吉林省气象探测保障中心（吉林省气象仪器计量检定站），浙江省大气探测技术保障中心，上海市宝山区气象局，湖北省气象信息与技术保障中心，西藏自治区大气探测技术与装备保障中心，宁夏回族自治区大气探测技术保障中心，银川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李翔</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028-87327019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四川省成都市光华村街20号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青海省大气探测技术保障中心，海南省气象探测中心，河北省气象技术装备中心，湖南省气象技术装备中心，吉林省气象探测保障中心（吉林省气象仪器计量检定站），浙江省大气探测技术保障中心，上海市宝山区气象局，湖北省气象信息与技术保障中心，西藏自治区大气探测技术与装备保障中心，宁夏回族自治区大气探测技术保障中心，银川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不允许（仅针对以下产品：1、多通道卫星导航探空接收机不允许代理商投标）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必须，以下产品需要提供至投标截止日仍有效的《气象专用技术装备使用许可证》：1、多通道卫星导航探空接收机</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（1）标的：多通道卫星导航探空接收机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是，中标服务费：14.8万元。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4,151.750000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4,151.750000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销售合同必须包括卫星导航探空接收机，每提供1份合同得1分，最多得5分。否则不得分。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针对本项目采购的卫星导航探空接收机，</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针对卫星导航探空接收机设备，每提供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针对卫星导航探空接收机设备，测试报告应涵盖温度适应性测试、低气压测试、抗风能力测试、抗盐雾腐蚀测试、贮存环境测试、振动试验、电磁兼容试验等内容，每包含一项得1分，最多得3分。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 卫星导航探空接收机</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卫星导航探空接收机主要用于卫星导航探空仪的数据接收，需采用TDMA+FDMA（时分多址与频分多址）技术，可集成并行多信道，支持多个频点数据的并行接收，有效提高本系统的负载终端数量。在时隙与频道上进行多址分布处理，可以实现多台终端在相同信道下工作，有效节约频谱资源，提高频谱利用率。可以同时接收并处理不同时隙和和频点的无线数据包，支持多个终端节点设备的并发信号。</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卫星导航探空接收机需将接收到的信号耦合出一路信号提供给扫频单元，一路耦合主信号供给分路器单元。分路器单元把主信号分路为1路或多路信号分别提供给接收单元。接收单元可以对每一路信号进行实时处理。接收单元需采用超外差二次变频架构方案，对第二中频信号直接进行欠采样数字化处理，藉以实现对多种数字信号解调。扫频器单元需根据指令对400M~406MHz内的信号进行全频段或部分频段场强扫描，将得到的场强数据通过串口发送到中控板，同时通过馈电单元给耦合单元进行供电。中控板将控制多路接收机的接收频率和扫频单元的扫频范围，同时将多路接收机的接收数据和扫频单元的扫频数据重新打包，通过串口发送给主机，并通过指示灯来显示各种工作状态。工作原理图如下图1所示。</w:t>
      </w:r>
    </w:p>
    <w:p>
      <w:pPr>
        <w:spacing w:line="360" w:lineRule="auto"/>
        <w:jc w:val="center"/>
        <w:rPr>
          <w:rFonts w:ascii="宋体" w:hAnsi="宋体"/>
        </w:rPr>
      </w:pPr>
      <w:r>
        <w:rPr>
          <w:rFonts w:ascii="宋体" w:hAnsi="宋体"/>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i1026" type="#_x0000_t75" style="width:304.35pt;height:182.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5" ShapeID="Object 2" DrawAspect="Content" ObjectID="_1234567890" r:id="rId7"/>
        </w:object>
      </w:r>
    </w:p>
    <w:p>
      <w:pPr>
        <w:snapToGrid w:val="0"/>
        <w:spacing w:line="560" w:lineRule="exact"/>
        <w:ind w:firstLine="560" w:firstLineChars="200"/>
        <w:jc w:val="center"/>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图1 工作原理图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技术指标：</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#（1）工作频段：P波段（400.15MHz～406 MHz），分辨率1KHz。</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#（2）接收通道：</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8通道。</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#（3）调制方式：GFSK。</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#（4）静态接收灵敏度：优于-120dBm@2400bps（误码率</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w:t>
      </w:r>
      <w:r>
        <w:rPr>
          <w:rFonts w:ascii="仿宋" w:eastAsia="仿宋" w:hAnsi="仿宋" w:cs="仿宋" w:hint="eastAsia"/>
          <w:sz w:val="28"/>
          <w:szCs w:val="20"/>
          <w:highlight w:val="yellow"/>
          <w:vertAlign w:val="superscript"/>
          <w:lang w:val="en-US" w:eastAsia="zh-CN"/>
        </w:rPr>
        <w:t>-3</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#（5）邻道选择性</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65dB@</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25kHz@2400bps。</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#（6）接收频率跟踪及搜索范围：</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10kHz。</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#（7）频谱扫描特性：</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灵敏度范围：0～-110dBm。</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分辨率：1KHz/3KHz/6KHz，分辨率可设置。</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#（8）天线：采用全向天线，无伺服系统，天线置于天线罩内。天线最大增益</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3dBi。所配连接电缆长度满足实际安装需求。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#（9）最大接收距离：</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200km。</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highlight w:val="yellow"/>
        </w:rPr>
      </w:pPr>
      <w:bookmarkStart w:id="61" w:name="_Toc335816194"/>
      <w:bookmarkStart w:id="62" w:name="_Toc19633"/>
      <w:bookmarkStart w:id="63" w:name="_Toc333826375"/>
      <w:bookmarkStart w:id="64" w:name="_Toc508978788"/>
      <w:bookmarkStart w:id="65" w:name="_Toc334970590"/>
      <w:bookmarkStart w:id="66" w:name="_Toc42010578"/>
      <w:bookmarkStart w:id="67" w:name="_Toc331076526"/>
      <w:bookmarkStart w:id="68" w:name="_Toc335749842"/>
      <w:bookmarkStart w:id="69" w:name="_Toc508833019"/>
      <w:bookmarkStart w:id="70" w:name="_Toc508831549"/>
      <w:bookmarkStart w:id="71" w:name="_Toc508833030"/>
      <w:bookmarkStart w:id="72" w:name="_Toc14828"/>
      <w:bookmarkStart w:id="73" w:name="_Toc508978799"/>
      <w:bookmarkStart w:id="74" w:name="_Toc508978847"/>
      <w:bookmarkStart w:id="75" w:name="_Toc42010590"/>
      <w:r>
        <w:rPr>
          <w:rFonts w:ascii="仿宋" w:eastAsia="仿宋" w:hAnsi="仿宋" w:cs="仿宋" w:hint="eastAsia"/>
          <w:sz w:val="28"/>
          <w:szCs w:val="20"/>
          <w:highlight w:val="yellow"/>
        </w:rPr>
        <w:t>#（10）</w:t>
      </w:r>
      <w:r>
        <w:rPr>
          <w:rFonts w:ascii="仿宋" w:eastAsia="仿宋" w:hAnsi="仿宋" w:cs="仿宋" w:hint="eastAsia"/>
          <w:kern w:val="2"/>
          <w:sz w:val="28"/>
          <w:szCs w:val="20"/>
          <w:highlight w:val="yellow"/>
        </w:rPr>
        <w:t>电源适应性</w:t>
      </w:r>
      <w:bookmarkEnd w:id="61"/>
      <w:bookmarkEnd w:id="62"/>
      <w:bookmarkEnd w:id="63"/>
      <w:bookmarkEnd w:id="64"/>
      <w:bookmarkEnd w:id="65"/>
      <w:bookmarkEnd w:id="66"/>
      <w:bookmarkEnd w:id="67"/>
      <w:bookmarkEnd w:id="68"/>
      <w:bookmarkEnd w:id="69"/>
      <w:r>
        <w:rPr>
          <w:rFonts w:ascii="仿宋" w:eastAsia="仿宋" w:hAnsi="仿宋" w:cs="仿宋" w:hint="eastAsia"/>
          <w:kern w:val="2"/>
          <w:sz w:val="28"/>
          <w:szCs w:val="20"/>
          <w:highlight w:val="yellow"/>
        </w:rPr>
        <w:t>：电源电压单相220V、频率50Hz，在电源电压变化+10％～-15％，频率变化</w:t>
      </w:r>
      <w:r>
        <w:rPr>
          <w:rFonts w:ascii="仿宋" w:eastAsia="仿宋" w:hAnsi="仿宋" w:cs="仿宋" w:hint="eastAsia"/>
          <w:kern w:val="2"/>
          <w:sz w:val="28"/>
          <w:szCs w:val="20"/>
          <w:highlight w:val="yellow"/>
        </w:rPr>
        <w:t>±</w:t>
      </w:r>
      <w:r>
        <w:rPr>
          <w:rFonts w:ascii="仿宋" w:eastAsia="仿宋" w:hAnsi="仿宋" w:cs="仿宋" w:hint="eastAsia"/>
          <w:kern w:val="2"/>
          <w:sz w:val="28"/>
          <w:szCs w:val="20"/>
          <w:highlight w:val="yellow"/>
        </w:rPr>
        <w:t>3％时，系统能正常工作。</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rPr>
      </w:pPr>
      <w:bookmarkStart w:id="76" w:name="_Toc42010579"/>
      <w:bookmarkStart w:id="77" w:name="_Toc18747"/>
      <w:r>
        <w:rPr>
          <w:rFonts w:ascii="仿宋" w:eastAsia="仿宋" w:hAnsi="仿宋" w:cs="仿宋" w:hint="eastAsia"/>
          <w:sz w:val="28"/>
          <w:szCs w:val="20"/>
        </w:rPr>
        <w:t>（11）</w:t>
      </w:r>
      <w:r>
        <w:rPr>
          <w:rFonts w:ascii="仿宋" w:eastAsia="仿宋" w:hAnsi="仿宋" w:cs="仿宋" w:hint="eastAsia"/>
          <w:kern w:val="2"/>
          <w:sz w:val="28"/>
          <w:szCs w:val="20"/>
        </w:rPr>
        <w:t>网络接口</w:t>
      </w:r>
      <w:bookmarkEnd w:id="76"/>
      <w:bookmarkEnd w:id="77"/>
      <w:r>
        <w:rPr>
          <w:rFonts w:ascii="仿宋" w:eastAsia="仿宋" w:hAnsi="仿宋" w:cs="仿宋" w:hint="eastAsia"/>
          <w:kern w:val="2"/>
          <w:sz w:val="28"/>
          <w:szCs w:val="20"/>
        </w:rPr>
        <w:t>：</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highlight w:val="yellow"/>
        </w:rPr>
      </w:pPr>
      <w:r>
        <w:rPr>
          <w:rFonts w:ascii="仿宋" w:eastAsia="仿宋" w:hAnsi="仿宋" w:cs="仿宋" w:hint="eastAsia"/>
          <w:sz w:val="28"/>
          <w:szCs w:val="20"/>
          <w:highlight w:val="yellow"/>
        </w:rPr>
        <w:t>#</w:t>
      </w:r>
      <w:r>
        <w:rPr>
          <w:rFonts w:ascii="仿宋" w:eastAsia="仿宋" w:hAnsi="仿宋" w:cs="仿宋" w:hint="eastAsia"/>
          <w:kern w:val="2"/>
          <w:sz w:val="28"/>
          <w:szCs w:val="20"/>
          <w:highlight w:val="yellow"/>
        </w:rPr>
        <w:t>适应跨越网段通讯；可以工作在局域网，也可工作在互联网。</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支持协议宜包括UDP、TCP。</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速率：10/100Mbps，MDI/MDIX交叉直连自动切换。</w:t>
      </w:r>
    </w:p>
    <w:p>
      <w:pPr>
        <w:pStyle w:val="a4"/>
        <w:numPr>
          <w:ilvl w:val="0"/>
          <w:numId w:val="0"/>
        </w:numPr>
        <w:spacing w:before="0" w:beforeLines="0" w:after="0" w:afterLines="0" w:line="560" w:lineRule="exact"/>
        <w:ind w:firstLine="560" w:firstLineChars="200"/>
        <w:outlineLvl w:val="9"/>
        <w:rPr>
          <w:rFonts w:ascii="仿宋" w:eastAsia="仿宋" w:hAnsi="仿宋" w:cs="仿宋" w:hint="eastAsia"/>
          <w:kern w:val="2"/>
          <w:sz w:val="28"/>
          <w:highlight w:val="yellow"/>
        </w:rPr>
      </w:pPr>
      <w:r>
        <w:rPr>
          <w:rFonts w:ascii="仿宋" w:eastAsia="仿宋" w:hAnsi="仿宋" w:cs="仿宋" w:hint="eastAsia"/>
          <w:sz w:val="28"/>
          <w:highlight w:val="yellow"/>
        </w:rPr>
        <w:t>#（12）</w:t>
      </w:r>
      <w:r>
        <w:rPr>
          <w:rFonts w:ascii="仿宋" w:eastAsia="仿宋" w:hAnsi="仿宋" w:cs="仿宋" w:hint="eastAsia"/>
          <w:kern w:val="2"/>
          <w:sz w:val="28"/>
          <w:highlight w:val="yellow"/>
        </w:rPr>
        <w:t>功耗指标</w:t>
      </w:r>
      <w:bookmarkEnd w:id="70"/>
      <w:bookmarkEnd w:id="71"/>
      <w:bookmarkEnd w:id="72"/>
      <w:bookmarkEnd w:id="73"/>
      <w:bookmarkEnd w:id="74"/>
      <w:bookmarkEnd w:id="75"/>
      <w:r>
        <w:rPr>
          <w:rFonts w:ascii="仿宋" w:eastAsia="仿宋" w:hAnsi="仿宋" w:cs="仿宋" w:hint="eastAsia"/>
          <w:kern w:val="2"/>
          <w:sz w:val="28"/>
          <w:highlight w:val="yellow"/>
        </w:rPr>
        <w:t>：</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25W。</w:t>
      </w:r>
    </w:p>
    <w:p>
      <w:pPr>
        <w:pStyle w:val="a4"/>
        <w:numPr>
          <w:ilvl w:val="0"/>
          <w:numId w:val="0"/>
        </w:numPr>
        <w:spacing w:before="0" w:beforeLines="0" w:after="0" w:afterLines="0" w:line="560" w:lineRule="exact"/>
        <w:ind w:firstLine="560" w:firstLineChars="200"/>
        <w:outlineLvl w:val="9"/>
        <w:rPr>
          <w:rFonts w:ascii="仿宋" w:eastAsia="仿宋" w:hAnsi="仿宋" w:cs="仿宋" w:hint="eastAsia"/>
          <w:kern w:val="2"/>
          <w:sz w:val="28"/>
        </w:rPr>
      </w:pPr>
      <w:bookmarkStart w:id="78" w:name="_Toc508978800"/>
      <w:bookmarkStart w:id="79" w:name="_Toc508978848"/>
      <w:bookmarkStart w:id="80" w:name="_Toc508979420"/>
      <w:bookmarkStart w:id="81" w:name="_Toc42010591"/>
      <w:bookmarkStart w:id="82" w:name="_Toc23866860"/>
      <w:bookmarkStart w:id="83" w:name="_Toc508831550"/>
      <w:bookmarkStart w:id="84" w:name="_Toc27411"/>
      <w:bookmarkStart w:id="85" w:name="_Toc23818"/>
      <w:bookmarkStart w:id="86" w:name="_Toc508833031"/>
      <w:r>
        <w:rPr>
          <w:rFonts w:ascii="仿宋" w:eastAsia="仿宋" w:hAnsi="仿宋" w:cs="仿宋" w:hint="eastAsia"/>
          <w:sz w:val="28"/>
        </w:rPr>
        <w:t>（13）</w:t>
      </w:r>
      <w:r>
        <w:rPr>
          <w:rFonts w:ascii="仿宋" w:eastAsia="仿宋" w:hAnsi="仿宋" w:cs="仿宋" w:hint="eastAsia"/>
          <w:kern w:val="2"/>
          <w:sz w:val="28"/>
        </w:rPr>
        <w:t>体积和重量指标</w:t>
      </w:r>
      <w:bookmarkEnd w:id="78"/>
      <w:bookmarkEnd w:id="79"/>
      <w:bookmarkEnd w:id="80"/>
      <w:bookmarkEnd w:id="81"/>
      <w:bookmarkEnd w:id="82"/>
      <w:bookmarkEnd w:id="83"/>
      <w:bookmarkEnd w:id="84"/>
      <w:bookmarkEnd w:id="85"/>
      <w:bookmarkEnd w:id="86"/>
      <w:r>
        <w:rPr>
          <w:rFonts w:ascii="仿宋" w:eastAsia="仿宋" w:hAnsi="仿宋" w:cs="仿宋" w:hint="eastAsia"/>
          <w:kern w:val="2"/>
          <w:sz w:val="28"/>
        </w:rPr>
        <w:t>：</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接收模块重量</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20kg，体积</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100cm*60cm*40cm（长*宽*高）。</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天线重量</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32kg，直径</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94cm，高</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64cm（不含安装结构件，需根据安装环境定制设计）。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正式交付运行，并通过合同验收次日起质保期为 8 年*。</w:t>
      </w:r>
      <w:r>
        <w:rPr>
          <w:rFonts w:ascii="仿宋" w:eastAsia="仿宋" w:hAnsi="仿宋" w:cs="仿宋" w:hint="eastAsia"/>
          <w:sz w:val="28"/>
          <w:szCs w:val="20"/>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投标人应提供 7（天）</w:t>
      </w:r>
      <w:r>
        <w:rPr>
          <w:rFonts w:ascii="仿宋" w:eastAsia="仿宋" w:hAnsi="仿宋" w:cs="仿宋" w:hint="eastAsia"/>
          <w:sz w:val="28"/>
          <w:szCs w:val="20"/>
        </w:rPr>
        <w:t>×</w:t>
      </w:r>
      <w:r>
        <w:rPr>
          <w:rFonts w:ascii="仿宋" w:eastAsia="仿宋" w:hAnsi="仿宋" w:cs="仿宋" w:hint="eastAsia"/>
          <w:sz w:val="28"/>
          <w:szCs w:val="20"/>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个工作日内，组织相关专家对项目进行验收，设备需按照《北斗探空系统出厂及现场测试大纲》中接收机测试部分进行测试，并在 10个工作日内出具项目验收报告，验收合格后，开展后续建设、安装、调试工作。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left="365" w:leftChars="174"/>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jc w:val="both"/>
        <w:outlineLvl w:val="9"/>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2"/>
        <w:gridCol w:w="1853"/>
        <w:gridCol w:w="938"/>
        <w:gridCol w:w="1304"/>
        <w:gridCol w:w="1487"/>
        <w:gridCol w:w="938"/>
        <w:gridCol w:w="146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7" w:name="货物一览表_index"/>
            <w:r>
              <w:rPr>
                <w:rFonts w:asciiTheme="minorEastAsia" w:eastAsiaTheme="minorEastAsia" w:hAnsiTheme="minorEastAsia" w:cstheme="minorEastAsia" w:hint="eastAsia"/>
                <w:kern w:val="0"/>
                <w:szCs w:val="21"/>
              </w:rPr>
              <w:t>序号</w:t>
            </w:r>
            <w:bookmarkEnd w:id="87"/>
          </w:p>
        </w:tc>
        <w:tc>
          <w:tcPr>
            <w:tcW w:w="1135" w:type="dxa"/>
          </w:tcPr>
          <w:p>
            <w:pPr>
              <w:autoSpaceDE w:val="0"/>
              <w:jc w:val="center"/>
              <w:rPr>
                <w:rFonts w:asciiTheme="minorEastAsia" w:hAnsiTheme="minorEastAsia" w:cstheme="minorEastAsia"/>
                <w:kern w:val="0"/>
                <w:szCs w:val="21"/>
              </w:rPr>
            </w:pPr>
            <w:bookmarkStart w:id="88" w:name="货物一览表_goodsName"/>
            <w:r>
              <w:rPr>
                <w:rFonts w:asciiTheme="minorEastAsia" w:eastAsiaTheme="minorEastAsia" w:hAnsiTheme="minorEastAsia" w:cstheme="minorEastAsia" w:hint="eastAsia"/>
                <w:kern w:val="0"/>
                <w:szCs w:val="21"/>
              </w:rPr>
              <w:t>设备名称</w:t>
            </w:r>
            <w:bookmarkEnd w:id="88"/>
          </w:p>
        </w:tc>
        <w:tc>
          <w:tcPr>
            <w:tcW w:w="965" w:type="dxa"/>
          </w:tcPr>
          <w:p>
            <w:pPr>
              <w:autoSpaceDE w:val="0"/>
              <w:jc w:val="center"/>
              <w:rPr>
                <w:rFonts w:asciiTheme="minorEastAsia" w:hAnsiTheme="minorEastAsia" w:cstheme="minorEastAsia"/>
                <w:kern w:val="0"/>
                <w:szCs w:val="21"/>
              </w:rPr>
            </w:pPr>
            <w:bookmarkStart w:id="89" w:name="货物一览表_nums"/>
            <w:r>
              <w:rPr>
                <w:rFonts w:asciiTheme="minorEastAsia" w:eastAsiaTheme="minorEastAsia" w:hAnsiTheme="minorEastAsia" w:cstheme="minorEastAsia" w:hint="eastAsia"/>
                <w:kern w:val="0"/>
                <w:szCs w:val="21"/>
              </w:rPr>
              <w:t>采购数量</w:t>
            </w:r>
            <w:bookmarkEnd w:id="89"/>
          </w:p>
        </w:tc>
        <w:tc>
          <w:tcPr>
            <w:tcW w:w="1062" w:type="dxa"/>
          </w:tcPr>
          <w:p>
            <w:pPr>
              <w:autoSpaceDE w:val="0"/>
              <w:jc w:val="center"/>
              <w:rPr>
                <w:rFonts w:asciiTheme="minorEastAsia" w:hAnsiTheme="minorEastAsia" w:cstheme="minorEastAsia"/>
                <w:kern w:val="0"/>
                <w:szCs w:val="21"/>
              </w:rPr>
            </w:pPr>
            <w:bookmarkStart w:id="90" w:name="货物一览表_units"/>
            <w:r>
              <w:rPr>
                <w:rFonts w:asciiTheme="minorEastAsia" w:eastAsiaTheme="minorEastAsia" w:hAnsiTheme="minorEastAsia" w:cstheme="minorEastAsia" w:hint="eastAsia"/>
                <w:kern w:val="0"/>
                <w:szCs w:val="21"/>
              </w:rPr>
              <w:t>计量单位</w:t>
            </w:r>
            <w:bookmarkEnd w:id="90"/>
          </w:p>
        </w:tc>
        <w:tc>
          <w:tcPr>
            <w:tcW w:w="1220" w:type="dxa"/>
          </w:tcPr>
          <w:p>
            <w:pPr>
              <w:autoSpaceDE w:val="0"/>
              <w:jc w:val="center"/>
              <w:rPr>
                <w:rFonts w:asciiTheme="minorEastAsia" w:hAnsiTheme="minorEastAsia" w:cstheme="minorEastAsia"/>
                <w:kern w:val="0"/>
                <w:szCs w:val="21"/>
              </w:rPr>
            </w:pPr>
            <w:bookmarkStart w:id="91" w:name="货物一览表_procurementBudget"/>
            <w:r>
              <w:rPr>
                <w:rFonts w:asciiTheme="minorEastAsia" w:eastAsiaTheme="minorEastAsia" w:hAnsiTheme="minorEastAsia" w:cstheme="minorEastAsia" w:hint="eastAsia"/>
                <w:kern w:val="0"/>
                <w:szCs w:val="21"/>
              </w:rPr>
              <w:t>采购预算（元）</w:t>
            </w:r>
            <w:bookmarkEnd w:id="91"/>
          </w:p>
        </w:tc>
        <w:tc>
          <w:tcPr>
            <w:tcW w:w="1329" w:type="dxa"/>
          </w:tcPr>
          <w:p>
            <w:pPr>
              <w:autoSpaceDE w:val="0"/>
              <w:jc w:val="center"/>
              <w:rPr>
                <w:rFonts w:asciiTheme="minorEastAsia" w:hAnsiTheme="minorEastAsia" w:cstheme="minorEastAsia" w:hint="eastAsia"/>
                <w:kern w:val="0"/>
                <w:szCs w:val="21"/>
              </w:rPr>
            </w:pPr>
            <w:bookmarkStart w:id="9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9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93" w:name="货物一览表_remark"/>
            <w:r>
              <w:rPr>
                <w:rFonts w:asciiTheme="minorEastAsia" w:eastAsiaTheme="minorEastAsia" w:hAnsiTheme="minorEastAsia" w:cstheme="minorEastAsia" w:hint="eastAsia"/>
                <w:kern w:val="0"/>
                <w:szCs w:val="21"/>
              </w:rPr>
              <w:t>备注</w:t>
            </w:r>
            <w:bookmarkEnd w:id="9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卫星导航探空接收机</w:t>
            </w:r>
          </w:p>
        </w:tc>
        <w:tc>
          <w:tcPr/>
          <w:p>
            <w:pPr>
              <w:autoSpaceDE w:val="0"/>
              <w:jc w:val="center"/>
              <w:rPr>
                <w:rFonts w:asciiTheme="minorEastAsia" w:hAnsiTheme="minorEastAsia" w:cstheme="minorEastAsia"/>
                <w:kern w:val="0"/>
                <w:szCs w:val="21"/>
              </w:rPr>
            </w:pPr>
            <w:r>
              <w:t>71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41,517,500.00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含26套网安模组</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41,517,500.00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4"/>
        <w:gridCol w:w="1049"/>
        <w:gridCol w:w="726"/>
        <w:gridCol w:w="224"/>
        <w:gridCol w:w="511"/>
        <w:gridCol w:w="426"/>
        <w:gridCol w:w="870"/>
        <w:gridCol w:w="44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9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装备中心(001014018)</w:t>
            </w:r>
          </w:p>
        </w:tc>
        <w:tc>
          <w:tcPr/>
          <w:p>
            <w:r>
              <w:t>卫星导航探空接收机</w:t>
            </w:r>
          </w:p>
        </w:tc>
        <w:tc>
          <w:tcPr/>
          <w:p>
            <w:r>
              <w:t>8</w:t>
            </w:r>
          </w:p>
        </w:tc>
        <w:tc>
          <w:tcPr/>
          <w:p>
            <w:r>
              <w:t>4995000.00</w:t>
            </w:r>
          </w:p>
        </w:tc>
        <w:tc>
          <w:tcPr>
            <w:vMerge w:val="restart"/>
          </w:tcPr>
          <w:p>
            <w:r>
              <w:t xml:space="preserve">4995000.00  </w:t>
            </w:r>
          </w:p>
        </w:tc>
        <w:tc>
          <w:tcPr/>
          <w:p>
            <w:r>
              <w:t>湖南省境内指定地点</w:t>
            </w:r>
          </w:p>
        </w:tc>
        <w:tc>
          <w:tcPr/>
          <w:p>
            <w:r>
              <w:t>湖南省气象技术装备中心，李建宇13787317536（含2套网安模组、8套基础建设及安装，2套上塔改造及技术服务）</w:t>
            </w:r>
          </w:p>
        </w:tc>
      </w:tr>
      <w:tr>
        <w:tblPrEx>
          <w:tblW w:w="5000" w:type="pct"/>
          <w:tblCellMar>
            <w:left w:w="108" w:type="dxa"/>
            <w:right w:w="108" w:type="dxa"/>
          </w:tblCellMar>
        </w:tblPrEx>
        <w:tc>
          <w:tcPr/>
          <w:p>
            <w:r>
              <w:t>2</w:t>
            </w:r>
          </w:p>
        </w:tc>
        <w:tc>
          <w:tcPr>
            <w:vMerge w:val="restart"/>
          </w:tcPr>
          <w:p>
            <w:r>
              <w:t>装备中心(001015021)</w:t>
            </w:r>
          </w:p>
        </w:tc>
        <w:tc>
          <w:tcPr/>
          <w:p>
            <w:r>
              <w:t>卫星导航探空接收机</w:t>
            </w:r>
          </w:p>
        </w:tc>
        <w:tc>
          <w:tcPr/>
          <w:p>
            <w:r>
              <w:t>5</w:t>
            </w:r>
          </w:p>
        </w:tc>
        <w:tc>
          <w:tcPr/>
          <w:p>
            <w:r>
              <w:t>3059500.00</w:t>
            </w:r>
          </w:p>
        </w:tc>
        <w:tc>
          <w:tcPr>
            <w:vMerge w:val="restart"/>
          </w:tcPr>
          <w:p>
            <w:r>
              <w:t xml:space="preserve">3059500.00 </w:t>
            </w:r>
          </w:p>
        </w:tc>
        <w:tc>
          <w:tcPr/>
          <w:p>
            <w:r>
              <w:t>河北省境内指定地点</w:t>
            </w:r>
          </w:p>
        </w:tc>
        <w:tc>
          <w:tcPr/>
          <w:p>
            <w:r>
              <w:t>河北省气象技术装备中心，郭小璇18751901720（含2套网安模组、3套基础建设及安装，1套上塔改造及技术服务）</w:t>
            </w:r>
          </w:p>
        </w:tc>
      </w:tr>
      <w:tr>
        <w:tblPrEx>
          <w:tblW w:w="5000" w:type="pct"/>
          <w:tblCellMar>
            <w:left w:w="108" w:type="dxa"/>
            <w:right w:w="108" w:type="dxa"/>
          </w:tblCellMar>
        </w:tblPrEx>
        <w:tc>
          <w:tcPr/>
          <w:p>
            <w:r>
              <w:t>3</w:t>
            </w:r>
          </w:p>
        </w:tc>
        <w:tc>
          <w:tcPr>
            <w:vMerge w:val="restart"/>
          </w:tcPr>
          <w:p>
            <w:r>
              <w:t>数据中心(001016051)</w:t>
            </w:r>
          </w:p>
        </w:tc>
        <w:tc>
          <w:tcPr/>
          <w:p>
            <w:r>
              <w:t>卫星导航探空接收机</w:t>
            </w:r>
          </w:p>
        </w:tc>
        <w:tc>
          <w:tcPr/>
          <w:p>
            <w:r>
              <w:t>14</w:t>
            </w:r>
          </w:p>
        </w:tc>
        <w:tc>
          <w:tcPr/>
          <w:p>
            <w:r>
              <w:t>8060000.00</w:t>
            </w:r>
          </w:p>
        </w:tc>
        <w:tc>
          <w:tcPr>
            <w:vMerge w:val="restart"/>
          </w:tcPr>
          <w:p>
            <w:r>
              <w:t xml:space="preserve">8060000.00  </w:t>
            </w:r>
          </w:p>
        </w:tc>
        <w:tc>
          <w:tcPr/>
          <w:p>
            <w:r>
              <w:t>四川省境内指定地点</w:t>
            </w:r>
          </w:p>
        </w:tc>
        <w:tc>
          <w:tcPr/>
          <w:p>
            <w:r>
              <w:t>四川省气象探测数据中心（四川省气象技术装备中心、四川省气象档案馆），李翔17748777704（含5套网安模组，3套上塔改造及技术服务）</w:t>
            </w:r>
          </w:p>
        </w:tc>
      </w:tr>
      <w:tr>
        <w:tblPrEx>
          <w:tblW w:w="5000" w:type="pct"/>
          <w:tblCellMar>
            <w:left w:w="108" w:type="dxa"/>
            <w:right w:w="108" w:type="dxa"/>
          </w:tblCellMar>
        </w:tblPrEx>
        <w:tc>
          <w:tcPr/>
          <w:p>
            <w:r>
              <w:t>4</w:t>
            </w:r>
          </w:p>
        </w:tc>
        <w:tc>
          <w:tcPr>
            <w:vMerge w:val="restart"/>
          </w:tcPr>
          <w:p>
            <w:r>
              <w:t>探测中心(001037017)</w:t>
            </w:r>
          </w:p>
        </w:tc>
        <w:tc>
          <w:tcPr/>
          <w:p>
            <w:r>
              <w:t>卫星导航探空接收机</w:t>
            </w:r>
          </w:p>
        </w:tc>
        <w:tc>
          <w:tcPr/>
          <w:p>
            <w:r>
              <w:t>5</w:t>
            </w:r>
          </w:p>
        </w:tc>
        <w:tc>
          <w:tcPr/>
          <w:p>
            <w:r>
              <w:t>2774000.00</w:t>
            </w:r>
          </w:p>
        </w:tc>
        <w:tc>
          <w:tcPr>
            <w:vMerge w:val="restart"/>
          </w:tcPr>
          <w:p>
            <w:r>
              <w:t xml:space="preserve">2774000.00 </w:t>
            </w:r>
          </w:p>
        </w:tc>
        <w:tc>
          <w:tcPr/>
          <w:p>
            <w:r>
              <w:t>吉林省境内指定地点</w:t>
            </w:r>
          </w:p>
        </w:tc>
        <w:tc>
          <w:tcPr/>
          <w:p>
            <w:r>
              <w:t>吉林省气象探测保障中心（吉林省气象仪器计量检定站），刘宗尧18243070162（含2套网安模组）</w:t>
            </w:r>
          </w:p>
        </w:tc>
      </w:tr>
      <w:tr>
        <w:tblPrEx>
          <w:tblW w:w="5000" w:type="pct"/>
          <w:tblCellMar>
            <w:left w:w="108" w:type="dxa"/>
            <w:right w:w="108" w:type="dxa"/>
          </w:tblCellMar>
        </w:tblPrEx>
        <w:tc>
          <w:tcPr/>
          <w:p>
            <w:r>
              <w:t>5</w:t>
            </w:r>
          </w:p>
        </w:tc>
        <w:tc>
          <w:tcPr>
            <w:vMerge w:val="restart"/>
          </w:tcPr>
          <w:p>
            <w:r>
              <w:t>宝山局(001039029)</w:t>
            </w:r>
          </w:p>
        </w:tc>
        <w:tc>
          <w:tcPr/>
          <w:p>
            <w:r>
              <w:t>卫星导航探空接收机</w:t>
            </w:r>
          </w:p>
        </w:tc>
        <w:tc>
          <w:tcPr/>
          <w:p>
            <w:r>
              <w:t>2</w:t>
            </w:r>
          </w:p>
        </w:tc>
        <w:tc>
          <w:tcPr/>
          <w:p>
            <w:r>
              <w:t>1112000.00</w:t>
            </w:r>
          </w:p>
        </w:tc>
        <w:tc>
          <w:tcPr>
            <w:vMerge w:val="restart"/>
          </w:tcPr>
          <w:p>
            <w:r>
              <w:t xml:space="preserve">1112000.00  </w:t>
            </w:r>
          </w:p>
        </w:tc>
        <w:tc>
          <w:tcPr/>
          <w:p>
            <w:r>
              <w:t>上海市宝山区内指定地点</w:t>
            </w:r>
          </w:p>
        </w:tc>
        <w:tc>
          <w:tcPr/>
          <w:p>
            <w:r>
              <w:t>上海市宝山区气象局，李用宇15821311848（含1套网安模组）</w:t>
            </w:r>
          </w:p>
        </w:tc>
      </w:tr>
      <w:tr>
        <w:tblPrEx>
          <w:tblW w:w="5000" w:type="pct"/>
          <w:tblCellMar>
            <w:left w:w="108" w:type="dxa"/>
            <w:right w:w="108" w:type="dxa"/>
          </w:tblCellMar>
        </w:tblPrEx>
        <w:tc>
          <w:tcPr/>
          <w:p>
            <w:r>
              <w:t>6</w:t>
            </w:r>
          </w:p>
        </w:tc>
        <w:tc>
          <w:tcPr>
            <w:vMerge w:val="restart"/>
          </w:tcPr>
          <w:p>
            <w:r>
              <w:t>省大探中心(001041017)</w:t>
            </w:r>
          </w:p>
        </w:tc>
        <w:tc>
          <w:tcPr/>
          <w:p>
            <w:r>
              <w:t>卫星导航探空接收机</w:t>
            </w:r>
          </w:p>
        </w:tc>
        <w:tc>
          <w:tcPr/>
          <w:p>
            <w:r>
              <w:t>7</w:t>
            </w:r>
          </w:p>
        </w:tc>
        <w:tc>
          <w:tcPr/>
          <w:p>
            <w:r>
              <w:t>4016500.00</w:t>
            </w:r>
          </w:p>
        </w:tc>
        <w:tc>
          <w:tcPr>
            <w:vMerge w:val="restart"/>
          </w:tcPr>
          <w:p>
            <w:r>
              <w:t xml:space="preserve">4016500.00 </w:t>
            </w:r>
          </w:p>
        </w:tc>
        <w:tc>
          <w:tcPr/>
          <w:p>
            <w:r>
              <w:t>浙江省境内指定地点</w:t>
            </w:r>
          </w:p>
        </w:tc>
        <w:tc>
          <w:tcPr/>
          <w:p>
            <w:r>
              <w:t>浙江省大气探测技术保障中心，姚静远13750856626（含2套网安模组，5套基础建设及安装）</w:t>
            </w:r>
          </w:p>
        </w:tc>
      </w:tr>
      <w:tr>
        <w:tblPrEx>
          <w:tblW w:w="5000" w:type="pct"/>
          <w:tblCellMar>
            <w:left w:w="108" w:type="dxa"/>
            <w:right w:w="108" w:type="dxa"/>
          </w:tblCellMar>
        </w:tblPrEx>
        <w:tc>
          <w:tcPr/>
          <w:p>
            <w:r>
              <w:t>7</w:t>
            </w:r>
          </w:p>
        </w:tc>
        <w:tc>
          <w:tcPr>
            <w:vMerge w:val="restart"/>
          </w:tcPr>
          <w:p>
            <w:r>
              <w:t>信息保障中心(001047019)</w:t>
            </w:r>
          </w:p>
        </w:tc>
        <w:tc>
          <w:tcPr/>
          <w:p>
            <w:r>
              <w:t>卫星导航探空接收机</w:t>
            </w:r>
          </w:p>
        </w:tc>
        <w:tc>
          <w:tcPr/>
          <w:p>
            <w:r>
              <w:t>8</w:t>
            </w:r>
          </w:p>
        </w:tc>
        <w:tc>
          <w:tcPr/>
          <w:p>
            <w:r>
              <w:t>4400000.00</w:t>
            </w:r>
          </w:p>
        </w:tc>
        <w:tc>
          <w:tcPr>
            <w:vMerge w:val="restart"/>
          </w:tcPr>
          <w:p>
            <w:r>
              <w:t xml:space="preserve">4400000.00  </w:t>
            </w:r>
          </w:p>
        </w:tc>
        <w:tc>
          <w:tcPr/>
          <w:p>
            <w:r>
              <w:t>湖北省境内指定地点</w:t>
            </w:r>
          </w:p>
        </w:tc>
        <w:tc>
          <w:tcPr/>
          <w:p>
            <w:r>
              <w:t>湖北省气象信息与技术保障中心，田丹17386073269</w:t>
            </w:r>
          </w:p>
        </w:tc>
      </w:tr>
      <w:tr>
        <w:tblPrEx>
          <w:tblW w:w="5000" w:type="pct"/>
          <w:tblCellMar>
            <w:left w:w="108" w:type="dxa"/>
            <w:right w:w="108" w:type="dxa"/>
          </w:tblCellMar>
        </w:tblPrEx>
        <w:tc>
          <w:tcPr/>
          <w:p>
            <w:r>
              <w:t>8</w:t>
            </w:r>
          </w:p>
        </w:tc>
        <w:tc>
          <w:tcPr/>
          <w:p>
            <w:r>
              <w:t>探测中心(001050018)</w:t>
            </w:r>
          </w:p>
        </w:tc>
        <w:tc>
          <w:tcPr/>
          <w:p>
            <w:r>
              <w:t>卫星导航探空接收机</w:t>
            </w:r>
          </w:p>
        </w:tc>
        <w:tc>
          <w:tcPr/>
          <w:p>
            <w:r>
              <w:t>3</w:t>
            </w:r>
          </w:p>
        </w:tc>
        <w:tc>
          <w:tcPr/>
          <w:p>
            <w:r>
              <w:t>1674000.00</w:t>
            </w:r>
          </w:p>
        </w:tc>
        <w:tc>
          <w:tcPr/>
          <w:p>
            <w:r>
              <w:t xml:space="preserve">1674000.00 </w:t>
            </w:r>
          </w:p>
        </w:tc>
        <w:tc>
          <w:tcPr/>
          <w:p>
            <w:r>
              <w:t>海南省境内指定地点</w:t>
            </w:r>
          </w:p>
        </w:tc>
        <w:tc>
          <w:tcPr/>
          <w:p>
            <w:r>
              <w:t>海南省气象探测中心，姜小云15103656270（含2套网安模组）</w:t>
            </w:r>
          </w:p>
        </w:tc>
      </w:tr>
      <w:tr>
        <w:tblPrEx>
          <w:tblW w:w="5000" w:type="pct"/>
          <w:tblCellMar>
            <w:left w:w="108" w:type="dxa"/>
            <w:right w:w="108" w:type="dxa"/>
          </w:tblCellMar>
        </w:tblPrEx>
        <w:tc>
          <w:tcPr/>
          <w:p>
            <w:r>
              <w:t>9</w:t>
            </w:r>
          </w:p>
        </w:tc>
        <w:tc>
          <w:tcPr/>
          <w:p>
            <w:r>
              <w:t>装备中心(001054014)</w:t>
            </w:r>
          </w:p>
        </w:tc>
        <w:tc>
          <w:tcPr/>
          <w:p>
            <w:r>
              <w:t>卫星导航探空接收机</w:t>
            </w:r>
          </w:p>
        </w:tc>
        <w:tc>
          <w:tcPr/>
          <w:p>
            <w:r>
              <w:t>8</w:t>
            </w:r>
          </w:p>
        </w:tc>
        <w:tc>
          <w:tcPr/>
          <w:p>
            <w:r>
              <w:t>4745500.00</w:t>
            </w:r>
          </w:p>
        </w:tc>
        <w:tc>
          <w:tcPr/>
          <w:p>
            <w:r>
              <w:t xml:space="preserve">4745500.00  </w:t>
            </w:r>
          </w:p>
        </w:tc>
        <w:tc>
          <w:tcPr/>
          <w:p>
            <w:r>
              <w:t>西藏自治区境内指定地点</w:t>
            </w:r>
          </w:p>
        </w:tc>
        <w:tc>
          <w:tcPr/>
          <w:p>
            <w:r>
              <w:t>西藏自治区大气探测技术与装备保障中心，洛桑平措13659531735（含5套网安模组，3套基础建设及安装，1套上塔改造及技术服务）</w:t>
            </w:r>
          </w:p>
        </w:tc>
      </w:tr>
      <w:tr>
        <w:tblPrEx>
          <w:tblW w:w="5000" w:type="pct"/>
          <w:tblCellMar>
            <w:left w:w="108" w:type="dxa"/>
            <w:right w:w="108" w:type="dxa"/>
          </w:tblCellMar>
        </w:tblPrEx>
        <w:tc>
          <w:tcPr/>
          <w:p>
            <w:r>
              <w:t>10</w:t>
            </w:r>
          </w:p>
        </w:tc>
        <w:tc>
          <w:tcPr/>
          <w:p>
            <w:r>
              <w:t>大探中心(001057015)</w:t>
            </w:r>
          </w:p>
        </w:tc>
        <w:tc>
          <w:tcPr/>
          <w:p>
            <w:r>
              <w:t>卫星导航探空接收机</w:t>
            </w:r>
          </w:p>
        </w:tc>
        <w:tc>
          <w:tcPr/>
          <w:p>
            <w:r>
              <w:t>7</w:t>
            </w:r>
          </w:p>
        </w:tc>
        <w:tc>
          <w:tcPr/>
          <w:p>
            <w:r>
              <w:t>4183500.00</w:t>
            </w:r>
          </w:p>
        </w:tc>
        <w:tc>
          <w:tcPr/>
          <w:p>
            <w:r>
              <w:t xml:space="preserve">4183500.00 </w:t>
            </w:r>
          </w:p>
        </w:tc>
        <w:tc>
          <w:tcPr/>
          <w:p>
            <w:r>
              <w:t>青海省境内指定地点</w:t>
            </w:r>
          </w:p>
        </w:tc>
        <w:tc>
          <w:tcPr/>
          <w:p>
            <w:r>
              <w:t>青海省大气探测技术保障中心，徐泽东13734682206（含4套网安模组，3套基础建设及安装，1套上塔改造及技术服务）</w:t>
            </w:r>
          </w:p>
        </w:tc>
      </w:tr>
      <w:tr>
        <w:tblPrEx>
          <w:tblW w:w="5000" w:type="pct"/>
          <w:tblCellMar>
            <w:left w:w="108" w:type="dxa"/>
            <w:right w:w="108" w:type="dxa"/>
          </w:tblCellMar>
        </w:tblPrEx>
        <w:tc>
          <w:tcPr/>
          <w:p>
            <w:r>
              <w:t>11</w:t>
            </w:r>
          </w:p>
        </w:tc>
        <w:tc>
          <w:tcPr/>
          <w:p>
            <w:r>
              <w:t>宁夏大气探测中心(001058017)</w:t>
            </w:r>
          </w:p>
        </w:tc>
        <w:tc>
          <w:tcPr/>
          <w:p>
            <w:r>
              <w:t>卫星导航探空接收机</w:t>
            </w:r>
          </w:p>
        </w:tc>
        <w:tc>
          <w:tcPr/>
          <w:p>
            <w:r>
              <w:t>3</w:t>
            </w:r>
          </w:p>
        </w:tc>
        <w:tc>
          <w:tcPr/>
          <w:p>
            <w:r>
              <w:t>1935500.00</w:t>
            </w:r>
          </w:p>
        </w:tc>
        <w:tc>
          <w:tcPr/>
          <w:p>
            <w:r>
              <w:t xml:space="preserve">1935500.00  </w:t>
            </w:r>
          </w:p>
        </w:tc>
        <w:tc>
          <w:tcPr/>
          <w:p>
            <w:r>
              <w:t>宁夏自治区内指定地点</w:t>
            </w:r>
          </w:p>
        </w:tc>
        <w:tc>
          <w:tcPr/>
          <w:p>
            <w:r>
              <w:t>宁夏回族自治区大气探测技术保障中心，杨晨芳0951-5029414（含3套基础建设及安装，1套上塔改造及技术服务）</w:t>
            </w:r>
          </w:p>
        </w:tc>
      </w:tr>
      <w:tr>
        <w:tblPrEx>
          <w:tblW w:w="5000" w:type="pct"/>
          <w:tblCellMar>
            <w:left w:w="108" w:type="dxa"/>
            <w:right w:w="108" w:type="dxa"/>
          </w:tblCellMar>
        </w:tblPrEx>
        <w:tc>
          <w:tcPr/>
          <w:p>
            <w:r>
              <w:t>12</w:t>
            </w:r>
          </w:p>
        </w:tc>
        <w:tc>
          <w:tcPr/>
          <w:p>
            <w:r>
              <w:t>银川市局(001058021)</w:t>
            </w:r>
          </w:p>
        </w:tc>
        <w:tc>
          <w:tcPr/>
          <w:p>
            <w:r>
              <w:t>卫星导航探空接收机</w:t>
            </w:r>
          </w:p>
        </w:tc>
        <w:tc>
          <w:tcPr/>
          <w:p>
            <w:r>
              <w:t>1</w:t>
            </w:r>
          </w:p>
        </w:tc>
        <w:tc>
          <w:tcPr/>
          <w:p>
            <w:r>
              <w:t>562000.00</w:t>
            </w:r>
          </w:p>
        </w:tc>
        <w:tc>
          <w:tcPr/>
          <w:p>
            <w:r>
              <w:t xml:space="preserve">562000.00 </w:t>
            </w:r>
          </w:p>
        </w:tc>
        <w:tc>
          <w:tcPr/>
          <w:p>
            <w:r>
              <w:t>银川市内指定地点</w:t>
            </w:r>
          </w:p>
        </w:tc>
        <w:tc>
          <w:tcPr/>
          <w:p>
            <w:r>
              <w:t>银川市气象局，李琨13895006544（含1套网安模组）</w:t>
            </w:r>
          </w:p>
        </w:tc>
      </w:tr>
    </w:tbl>
    <w:p w:rsidR="00A77B3E"/>
    <w:p>
      <w:pPr>
        <w:spacing w:line="360" w:lineRule="auto"/>
        <w:rPr>
          <w:rFonts w:ascii="宋体" w:hAnsi="宋体"/>
          <w:szCs w:val="21"/>
        </w:rPr>
      </w:pPr>
      <w:bookmarkEnd w:id="9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项目建设内容包括多通道卫星导航探空接收机建设，其中四川14套(含3套上塔改造及技术服务，5套网安模组)；青海7套(含3套基建安装，1套上塔改造及技术服务，4套网安模组）；海南3套（含2套网安模组）；河北5套（含3套基建安装，1套上塔改造及技术服务，2套网安模组）；湖南8套（含8套基建安装、2套上塔改造及技术服务，2套网安模组）；吉林5套（含2套网安模组）；浙江7套（含5套基建安装，2套网安模组），上海2套（含1套网安模组）；湖北8套；西藏8套（含3套基建安装，1套上塔改造及技术服务，5套网安模组）；宁夏3套（含3套</w:t>
      </w:r>
      <w:r>
        <w:rPr>
          <w:rFonts w:ascii="仿宋" w:eastAsia="仿宋" w:hAnsi="仿宋" w:cs="仿宋" w:hint="eastAsia"/>
          <w:sz w:val="28"/>
          <w:szCs w:val="20"/>
          <w:lang w:val="en-US" w:eastAsia="zh-CN"/>
        </w:rPr>
        <w:t>基建安装，1套上塔改造及技术服务）；银川市1套（含1套网安模组）、</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四川</w:t>
      </w:r>
      <w:r>
        <w:rPr>
          <w:rFonts w:ascii="仿宋" w:eastAsia="仿宋" w:hAnsi="仿宋" w:cs="仿宋" w:hint="eastAsia"/>
          <w:sz w:val="28"/>
          <w:szCs w:val="20"/>
        </w:rPr>
        <w:t>、</w:t>
      </w:r>
      <w:r>
        <w:rPr>
          <w:rFonts w:ascii="仿宋" w:eastAsia="仿宋" w:hAnsi="仿宋" w:cs="仿宋" w:hint="eastAsia"/>
          <w:sz w:val="28"/>
          <w:szCs w:val="20"/>
          <w:lang w:val="en-US" w:eastAsia="zh-CN"/>
        </w:rPr>
        <w:t>青海</w:t>
      </w:r>
      <w:r>
        <w:rPr>
          <w:rFonts w:ascii="仿宋" w:eastAsia="仿宋" w:hAnsi="仿宋" w:cs="仿宋" w:hint="eastAsia"/>
          <w:sz w:val="28"/>
          <w:szCs w:val="20"/>
        </w:rPr>
        <w:t>、</w:t>
      </w:r>
      <w:r>
        <w:rPr>
          <w:rFonts w:ascii="仿宋" w:eastAsia="仿宋" w:hAnsi="仿宋" w:cs="仿宋" w:hint="eastAsia"/>
          <w:sz w:val="28"/>
          <w:szCs w:val="20"/>
          <w:lang w:val="en-US" w:eastAsia="zh-CN"/>
        </w:rPr>
        <w:t>海南、河北、湖南、吉林、浙江、上海、西藏、湖北、宁夏等省、区、市境内指定地点</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180天内完成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rsidR="00FB507D">
      <w:pPr>
        <w:tabs>
          <w:tab w:val="left" w:pos="1573"/>
        </w:tabs>
        <w:adjustRightInd w:val="0"/>
        <w:snapToGrid w:val="0"/>
        <w:spacing w:line="360" w:lineRule="auto"/>
        <w:jc w:val="center"/>
        <w:outlineLvl w:val="1"/>
        <w:rPr>
          <w:b/>
          <w:bCs/>
          <w:sz w:val="30"/>
          <w:szCs w:val="30"/>
        </w:rPr>
      </w:pPr>
      <w:bookmarkStart w:id="9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FB507D">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3F7EE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B507D">
            <w:pPr>
              <w:rPr>
                <w:sz w:val="18"/>
                <w:szCs w:val="18"/>
              </w:rPr>
            </w:pPr>
            <w:r>
              <w:rPr>
                <w:rFonts w:hint="eastAsia"/>
                <w:sz w:val="18"/>
                <w:szCs w:val="18"/>
              </w:rPr>
              <w:t>序号</w:t>
            </w:r>
          </w:p>
        </w:tc>
        <w:tc>
          <w:tcPr>
            <w:tcW w:w="898" w:type="dxa"/>
            <w:vAlign w:val="center"/>
          </w:tcPr>
          <w:p w:rsidR="00FB507D">
            <w:pPr>
              <w:jc w:val="center"/>
              <w:rPr>
                <w:sz w:val="18"/>
                <w:szCs w:val="18"/>
              </w:rPr>
            </w:pPr>
            <w:r>
              <w:rPr>
                <w:rFonts w:hint="eastAsia"/>
                <w:sz w:val="18"/>
                <w:szCs w:val="18"/>
              </w:rPr>
              <w:t>对应</w:t>
            </w:r>
          </w:p>
          <w:p w:rsidR="00FB507D">
            <w:pPr>
              <w:jc w:val="center"/>
              <w:rPr>
                <w:sz w:val="18"/>
                <w:szCs w:val="18"/>
              </w:rPr>
            </w:pPr>
            <w:r>
              <w:rPr>
                <w:rFonts w:hint="eastAsia"/>
                <w:sz w:val="18"/>
                <w:szCs w:val="18"/>
              </w:rPr>
              <w:t>条款号</w:t>
            </w:r>
          </w:p>
        </w:tc>
        <w:tc>
          <w:tcPr>
            <w:tcW w:w="7347" w:type="dxa"/>
            <w:vAlign w:val="center"/>
          </w:tcPr>
          <w:p w:rsidR="00FB507D">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3F7EE0">
        <w:tblPrEx>
          <w:tblW w:w="8789" w:type="dxa"/>
          <w:tblLayout w:type="fixed"/>
          <w:tblLook w:val="04A0"/>
        </w:tblPrEx>
        <w:trPr>
          <w:cantSplit/>
        </w:trPr>
        <w:tc>
          <w:tcPr>
            <w:tcW w:w="8789" w:type="dxa"/>
            <w:gridSpan w:val="3"/>
            <w:vAlign w:val="center"/>
          </w:tcPr>
          <w:p w:rsidR="00FB507D">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3F7EE0">
        <w:tblPrEx>
          <w:tblW w:w="8789" w:type="dxa"/>
          <w:tblLayout w:type="fixed"/>
          <w:tblLook w:val="04A0"/>
        </w:tblPrEx>
        <w:trPr>
          <w:cantSplit/>
        </w:trPr>
        <w:tc>
          <w:tcPr>
            <w:tcW w:w="544" w:type="dxa"/>
            <w:vAlign w:val="center"/>
          </w:tcPr>
          <w:p w:rsidR="00FB507D">
            <w:pPr>
              <w:numPr>
                <w:ilvl w:val="0"/>
                <w:numId w:val="15"/>
              </w:numPr>
              <w:rPr>
                <w:rFonts w:ascii="宋体" w:hAnsi="宋体"/>
                <w:sz w:val="18"/>
                <w:szCs w:val="18"/>
              </w:rPr>
            </w:pPr>
          </w:p>
        </w:tc>
        <w:tc>
          <w:tcPr>
            <w:tcW w:w="898" w:type="dxa"/>
            <w:vAlign w:val="center"/>
          </w:tcPr>
          <w:p w:rsidR="00FB507D">
            <w:pPr>
              <w:jc w:val="center"/>
              <w:rPr>
                <w:rFonts w:ascii="宋体" w:hAnsi="宋体"/>
                <w:sz w:val="18"/>
                <w:szCs w:val="18"/>
              </w:rPr>
            </w:pPr>
          </w:p>
        </w:tc>
        <w:tc>
          <w:tcPr>
            <w:tcW w:w="7347" w:type="dxa"/>
          </w:tcPr>
          <w:p w:rsidR="00FB507D">
            <w:pPr>
              <w:tabs>
                <w:tab w:val="left" w:pos="709"/>
              </w:tabs>
              <w:spacing w:line="360" w:lineRule="auto"/>
              <w:jc w:val="left"/>
              <w:rPr>
                <w:rFonts w:ascii="宋体" w:hAnsi="宋体" w:cs="微软雅黑"/>
                <w:b/>
                <w:color w:val="0000FF"/>
                <w:kern w:val="0"/>
                <w:sz w:val="18"/>
                <w:szCs w:val="18"/>
              </w:rPr>
            </w:pPr>
          </w:p>
        </w:tc>
      </w:tr>
      <w:tr w:rsidTr="003F7EE0">
        <w:tblPrEx>
          <w:tblW w:w="8789" w:type="dxa"/>
          <w:tblLayout w:type="fixed"/>
          <w:tblLook w:val="04A0"/>
        </w:tblPrEx>
        <w:trPr>
          <w:cantSplit/>
        </w:trPr>
        <w:tc>
          <w:tcPr>
            <w:tcW w:w="8789" w:type="dxa"/>
            <w:gridSpan w:val="3"/>
            <w:vAlign w:val="center"/>
          </w:tcPr>
          <w:p w:rsidR="00FB507D">
            <w:pPr>
              <w:jc w:val="center"/>
              <w:rPr>
                <w:sz w:val="18"/>
                <w:szCs w:val="18"/>
              </w:rPr>
            </w:pPr>
            <w:r>
              <w:rPr>
                <w:rFonts w:hint="eastAsia"/>
                <w:b/>
                <w:sz w:val="18"/>
                <w:szCs w:val="18"/>
              </w:rPr>
              <w:t>第七</w:t>
            </w:r>
            <w:r>
              <w:rPr>
                <w:rFonts w:hint="eastAsia"/>
                <w:b/>
                <w:sz w:val="18"/>
                <w:szCs w:val="18"/>
              </w:rPr>
              <w:t>章</w:t>
            </w:r>
            <w:r>
              <w:rPr>
                <w:rFonts w:hint="eastAsia"/>
                <w:b/>
                <w:sz w:val="18"/>
                <w:szCs w:val="18"/>
              </w:rPr>
              <w:t xml:space="preserve">  </w:t>
            </w:r>
            <w:r>
              <w:rPr>
                <w:rFonts w:hint="eastAsia"/>
                <w:b/>
                <w:sz w:val="18"/>
                <w:szCs w:val="18"/>
              </w:rPr>
              <w:t>采购需求</w:t>
            </w:r>
          </w:p>
        </w:tc>
      </w:tr>
      <w:tr w:rsidTr="003F7EE0">
        <w:tblPrEx>
          <w:tblW w:w="8789" w:type="dxa"/>
          <w:tblLayout w:type="fixed"/>
          <w:tblLook w:val="04A0"/>
        </w:tblPrEx>
        <w:trPr>
          <w:cantSplit/>
        </w:trPr>
        <w:tc>
          <w:tcPr>
            <w:tcW w:w="544" w:type="dxa"/>
            <w:vAlign w:val="center"/>
          </w:tcPr>
          <w:p w:rsidR="00FB507D">
            <w:pPr>
              <w:numPr>
                <w:ilvl w:val="0"/>
                <w:numId w:val="15"/>
              </w:numPr>
              <w:rPr>
                <w:rFonts w:ascii="宋体" w:hAnsi="宋体"/>
                <w:sz w:val="18"/>
                <w:szCs w:val="18"/>
              </w:rPr>
            </w:pPr>
          </w:p>
        </w:tc>
        <w:tc>
          <w:tcPr>
            <w:tcW w:w="898" w:type="dxa"/>
            <w:vAlign w:val="center"/>
          </w:tcPr>
          <w:p w:rsidR="00FB507D">
            <w:pPr>
              <w:jc w:val="center"/>
              <w:rPr>
                <w:rFonts w:ascii="宋体" w:hAnsi="宋体"/>
                <w:sz w:val="18"/>
                <w:szCs w:val="18"/>
              </w:rPr>
            </w:pPr>
            <w:r>
              <w:rPr>
                <w:rFonts w:ascii="宋体" w:hAnsi="宋体"/>
                <w:sz w:val="18"/>
                <w:szCs w:val="18"/>
              </w:rPr>
              <w:t>5.7</w:t>
            </w:r>
          </w:p>
        </w:tc>
        <w:tc>
          <w:tcPr>
            <w:tcW w:w="7347" w:type="dxa"/>
            <w:vAlign w:val="center"/>
          </w:tcPr>
          <w:p w:rsidR="00FB507D">
            <w:pPr>
              <w:tabs>
                <w:tab w:val="left" w:pos="709"/>
              </w:tabs>
              <w:spacing w:line="360" w:lineRule="auto"/>
              <w:jc w:val="left"/>
              <w:rPr>
                <w:rFonts w:ascii="宋体" w:hAnsi="宋体"/>
                <w:sz w:val="18"/>
                <w:szCs w:val="18"/>
              </w:rPr>
            </w:pPr>
            <w:r w:rsidRPr="003F7EE0">
              <w:rPr>
                <w:rFonts w:ascii="宋体" w:hAnsi="宋体" w:cs="微软雅黑" w:hint="eastAsia"/>
                <w:b/>
                <w:color w:val="0000FF"/>
                <w:kern w:val="0"/>
                <w:sz w:val="18"/>
                <w:szCs w:val="18"/>
              </w:rPr>
              <w:t>多通道卫星导航探空接收机需要提供至投标截止日仍有效的《气象专用技术装备使用许可证》</w:t>
            </w:r>
          </w:p>
        </w:tc>
      </w:tr>
    </w:tbl>
    <w:p w:rsidR="00FB507D">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9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9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numPr>
          <w:ilvl w:val="0"/>
          <w:numId w:val="8"/>
        </w:numPr>
        <w:snapToGrid w:val="0"/>
        <w:spacing w:line="400" w:lineRule="exact"/>
        <w:ind w:left="735" w:firstLine="0" w:leftChars="0" w:firstLineChars="0"/>
        <w:rPr>
          <w:rFonts w:ascii="宋体" w:hAnsi="宋体" w:hint="eastAsia"/>
          <w:b w:val="0"/>
          <w:bCs w:val="0"/>
          <w:szCs w:val="21"/>
          <w:highlight w:val="yellow"/>
          <w:u w:val="single"/>
        </w:rPr>
      </w:pPr>
      <w:r>
        <w:rPr>
          <w:rFonts w:ascii="宋体" w:hAnsi="宋体" w:hint="eastAsia"/>
          <w:b w:val="0"/>
          <w:bCs w:val="0"/>
          <w:szCs w:val="21"/>
          <w:highlight w:val="yellow"/>
          <w:u w:val="single"/>
          <w:lang w:val="en-US" w:eastAsia="zh-CN"/>
        </w:rPr>
        <w:t>双方签署合同后20个工作日内，乙方向甲方开具合同总金额的90%发票，甲方在收到发票后15个工作日内向乙方支付。</w:t>
      </w:r>
    </w:p>
    <w:p>
      <w:pPr>
        <w:numPr>
          <w:ilvl w:val="0"/>
          <w:numId w:val="0"/>
        </w:numPr>
        <w:snapToGrid w:val="0"/>
        <w:spacing w:line="400" w:lineRule="exact"/>
        <w:ind w:left="735" w:leftChars="0"/>
        <w:rPr>
          <w:b w:val="0"/>
          <w:bCs w:val="0"/>
          <w:highlight w:val="yellow"/>
        </w:rPr>
      </w:pPr>
      <w:r>
        <w:rPr>
          <w:rFonts w:ascii="宋体" w:hAnsi="宋体" w:hint="eastAsia"/>
          <w:b w:val="0"/>
          <w:bCs w:val="0"/>
          <w:szCs w:val="21"/>
          <w:highlight w:val="yellow"/>
          <w:u w:val="single"/>
          <w:lang w:val="en-US" w:eastAsia="zh-CN"/>
        </w:rPr>
        <w:t>2.安装测试完成并通过验收后20个工作日内，乙方向甲方开具合同总金额的10%发票，甲方在收到发票后15个工作日内向乙方支付。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转帐</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合同总价的5%</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9" w:name="_Toc27624"/>
      <w:r>
        <w:rPr>
          <w:rFonts w:ascii="黑体" w:hAnsi="黑体" w:hint="eastAsia"/>
          <w:b w:val="0"/>
          <w:bCs w:val="0"/>
          <w:sz w:val="28"/>
          <w:szCs w:val="28"/>
          <w:highlight w:val="none"/>
        </w:rPr>
        <w:t>第二节 政府采购合同通用条款</w:t>
      </w:r>
      <w:bookmarkEnd w:id="9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10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10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10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10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96"/>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92BF0E"/>
    <w:multiLevelType w:val="singleLevel"/>
    <w:tmpl w:val="FF92BF0E"/>
    <w:lvl w:ilvl="0">
      <w:start w:val="1"/>
      <w:numFmt w:val="decimal"/>
      <w:suff w:val="space"/>
      <w:lvlText w:val="%1."/>
      <w:lvlJc w:val="left"/>
      <w:pPr>
        <w:ind w:left="735" w:firstLine="0" w:leftChars="0" w:firstLineChars="0"/>
      </w:pPr>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FC91163"/>
    <w:multiLevelType w:val="multilevel"/>
    <w:tmpl w:val="1FC91163"/>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142"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13"/>
  </w:num>
  <w:num w:numId="6">
    <w:abstractNumId w:val="14"/>
  </w:num>
  <w:num w:numId="7">
    <w:abstractNumId w:val="1"/>
  </w:num>
  <w:num w:numId="8">
    <w:abstractNumId w:val="5"/>
  </w:num>
  <w:num w:numId="9">
    <w:abstractNumId w:val="6"/>
  </w:num>
  <w:num w:numId="10">
    <w:abstractNumId w:val="3"/>
  </w:num>
  <w:num w:numId="11">
    <w:abstractNumId w:val="2"/>
  </w:num>
  <w:num w:numId="12">
    <w:abstractNumId w:val="12"/>
  </w:num>
  <w:num w:numId="13">
    <w:abstractNumId w:val="0"/>
  </w:num>
  <w:num w:numId="14">
    <w:abstractNumId w:val="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3F7EE0"/>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07D"/>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一级条标题"/>
    <w:next w:val="a3"/>
    <w:qFormat/>
    <w:pPr>
      <w:numPr>
        <w:ilvl w:val="1"/>
        <w:numId w:val="4"/>
      </w:numPr>
      <w:spacing w:before="156" w:beforeLines="50" w:after="156" w:afterLines="50"/>
      <w:outlineLvl w:val="2"/>
    </w:pPr>
    <w:rPr>
      <w:rFonts w:ascii="黑体" w:eastAsia="黑体"/>
      <w:sz w:val="21"/>
      <w:szCs w:val="21"/>
      <w:lang w:eastAsia="zh-CN"/>
    </w:rPr>
  </w:style>
  <w:style w:type="paragraph" w:customStyle="1" w:styleId="a3">
    <w:name w:val="段"/>
    <w:qFormat/>
    <w:pPr>
      <w:tabs>
        <w:tab w:val="center" w:pos="4201"/>
        <w:tab w:val="right" w:leader="dot" w:pos="9298"/>
      </w:tabs>
      <w:autoSpaceDE w:val="0"/>
      <w:autoSpaceDN w:val="0"/>
      <w:spacing w:line="360" w:lineRule="auto"/>
      <w:ind w:firstLine="200" w:firstLineChars="200"/>
      <w:jc w:val="both"/>
    </w:pPr>
    <w:rPr>
      <w:rFonts w:ascii="宋体"/>
      <w:sz w:val="24"/>
      <w:lang w:eastAsia="zh-CN"/>
    </w:rPr>
  </w:style>
  <w:style w:type="paragraph" w:customStyle="1" w:styleId="a4">
    <w:name w:val="章标题"/>
    <w:next w:val="a3"/>
    <w:qFormat/>
    <w:pPr>
      <w:numPr>
        <w:numId w:val="4"/>
      </w:numPr>
      <w:spacing w:before="312" w:beforeLines="100" w:after="312" w:afterLines="100"/>
      <w:jc w:val="both"/>
      <w:outlineLvl w:val="1"/>
    </w:pPr>
    <w:rPr>
      <w:rFonts w:ascii="黑体" w:eastAsia="黑体"/>
      <w:sz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