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w:t>
      </w:r>
      <w:r>
        <w:rPr>
          <w:rFonts w:ascii="宋体" w:hAnsi="宋体" w:cs="微软雅黑"/>
          <w:b/>
          <w:kern w:val="0"/>
          <w:szCs w:val="21"/>
          <w:highlight w:val="none"/>
        </w:rPr>
        <w:t>6</w:t>
      </w:r>
      <w:r>
        <w:rPr>
          <w:rFonts w:ascii="宋体" w:hAnsi="宋体" w:cs="微软雅黑" w:hint="eastAsia"/>
          <w:b/>
          <w:kern w:val="0"/>
          <w:szCs w:val="21"/>
          <w:highlight w:val="none"/>
        </w:rPr>
        <w:t>0</w:t>
      </w:r>
      <w:r>
        <w:rPr>
          <w:rFonts w:ascii="宋体" w:hAnsi="宋体" w:cs="微软雅黑"/>
          <w:b/>
          <w:kern w:val="0"/>
          <w:szCs w:val="21"/>
          <w:highlight w:val="none"/>
        </w:rPr>
        <w:t>2</w:t>
      </w:r>
      <w:r>
        <w:rPr>
          <w:rFonts w:ascii="宋体" w:hAnsi="宋体" w:cs="微软雅黑" w:hint="eastAsia"/>
          <w:b/>
          <w:kern w:val="0"/>
          <w:szCs w:val="21"/>
          <w:highlight w:val="none"/>
        </w:rPr>
        <w:t>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2026年青海省飞机人工增雨（雪）作业服务采购（重新招标）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ZQCD-26034</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2026年04月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（2）投标报价低于通过符合性审查的次低报价供应商投标报价50%的，即：投标报价 &lt;</w:t>
      </w:r>
      <w:r>
        <w:rPr>
          <w:highlight w:val="none"/>
        </w:rPr>
        <w:t xml:space="preserve"> </w:t>
      </w:r>
      <w:r>
        <w:rPr>
          <w:rFonts w:hint="eastAsia"/>
          <w:highlight w:val="none"/>
        </w:rPr>
        <w:t>通过符合性审查的次低报价供应商投标报价</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rFonts w:ascii="宋体" w:hAnsi="宋体" w:hint="eastAsia"/>
          <w:szCs w:val="21"/>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rPr>
          <w:rFonts w:ascii="宋体" w:hAnsi="宋体"/>
        </w:rPr>
      </w:pP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第五章投标人须知专用部分5.6条</w:t>
            </w:r>
            <w:r>
              <w:rPr>
                <w:rFonts w:hint="eastAsia"/>
                <w:sz w:val="18"/>
                <w:szCs w:val="18"/>
              </w:rPr>
              <w:t>有关代理商投标要求，以及进口产品代理商未按</w:t>
            </w:r>
            <w:r>
              <w:rPr>
                <w:rFonts w:hint="eastAsia"/>
                <w:b/>
                <w:sz w:val="18"/>
                <w:szCs w:val="18"/>
              </w:rPr>
              <w:t>第五章投标人须知专用部分5.7条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第五章投标人须知专用部分5.12条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rPr>
                <w:sz w:val="18"/>
                <w:szCs w:val="18"/>
              </w:rPr>
            </w:pPr>
            <w:r>
              <w:rPr>
                <w:rFonts w:hint="eastAsia"/>
                <w:sz w:val="18"/>
                <w:szCs w:val="18"/>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center"/>
        <w:outlineLvl w:val="9"/>
        <w:rPr>
          <w:b/>
          <w:sz w:val="48"/>
          <w:szCs w:val="36"/>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青海省气象灾害防御技术中心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2026年青海省飞机人工增雨（雪）作业服务采购（重新招标）</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ZQCD-26034</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合同生效后5个月内，累计完成2个月飞机人工增雨（雪）作业服务任务</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青海省以及黄河上游河曲地区、祁连山区地区</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2026年04月03日 00:00:00</w:t>
      </w:r>
      <w:bookmarkEnd w:id="26"/>
      <w:r>
        <w:rPr>
          <w:rFonts w:ascii="宋体" w:hint="eastAsia"/>
          <w:szCs w:val="21"/>
          <w:highlight w:val="none"/>
        </w:rPr>
        <w:t>至</w:t>
      </w:r>
      <w:bookmarkStart w:id="27" w:name="项目公告_signUpLastTime"/>
      <w:r>
        <w:rPr>
          <w:rFonts w:ascii="宋体" w:hint="eastAsia"/>
          <w:szCs w:val="21"/>
          <w:highlight w:val="none"/>
        </w:rPr>
        <w:t>2026年04月14日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2026年04月24日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北京市海淀区中关村南大街46号中国气象局北区8号4楼404会议室（科技大楼前草坪西侧），届时投标人的法定代表人或其授权的投标人授权代表可到场参加。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青海省气象灾害防御技术中心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郭三刚</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0971-6135315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青海省西宁市五四大街19号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青海省气象灾害防御技术中心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5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是，驻场服务人员不少于 5 人，其相关要求详见第七章采购需求。</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（1）标的：飞机人工增雨（雪）作业服务，属于其它行业；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是，代理服务费：2.5万元。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220.000000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220.000000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根据本项目实际情况，招标文件1.27.3第1项至第3项启动异常低价投标审查的数值标准为65%。</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89"/>
        <w:gridCol w:w="310"/>
        <w:gridCol w:w="1401"/>
        <w:gridCol w:w="310"/>
        <w:gridCol w:w="679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投标人业绩（客观分）</w:t>
            </w:r>
          </w:p>
        </w:tc>
        <w:tc>
          <w:tcPr/>
          <w:p>
            <w:r>
              <w:t>勾选打分</w:t>
            </w:r>
            <w:r>
              <w:t>(8)</w:t>
            </w:r>
          </w:p>
        </w:tc>
        <w:tc>
          <w:tcPr/>
          <w:p>
            <w:r>
              <w:t>评审标准：</w:t>
            </w:r>
          </w:p>
          <w:p>
            <w:r>
              <w:t>提供1份投标人承担的青藏高原地区飞机人工增雨（雪）服务项目合同得2分，提供1份投标人承担的其他地区飞机人工增雨（雪）服务项目合同得1分，最多不超过8分。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3</w:t>
            </w:r>
          </w:p>
        </w:tc>
        <w:tc>
          <w:tcPr>
            <w:vMerge/>
          </w:tcPr>
          <w:p>
            <w:r>
              <w:t>商务部分</w:t>
            </w:r>
          </w:p>
        </w:tc>
        <w:tc>
          <w:tcPr/>
          <w:p>
            <w:r>
              <w:t>服务团队（客观分）</w:t>
            </w:r>
          </w:p>
        </w:tc>
        <w:tc>
          <w:tcPr/>
          <w:p>
            <w:r>
              <w:t>勾选打分</w:t>
            </w:r>
            <w:r>
              <w:t>(14)</w:t>
            </w:r>
          </w:p>
        </w:tc>
        <w:tc>
          <w:tcPr/>
          <w:p>
            <w:r>
              <w:t>评审标准：</w:t>
            </w:r>
          </w:p>
          <w:p>
            <w:r>
              <w:t>1、投标人具有高性能增压仓人工增雨（雪）飞机飞行经历的飞行员（必含1名及以上机长）3名及以上得4分，2名得3分，2名以下不得分。</w:t>
              <w:cr/>
              <w:t>2、机长要求按以下评分，本项最高10分：</w:t>
              <w:cr/>
              <w:t>（1）每有1名机长具有驾驶高性能增压仓飞机在青藏高原开展人工增雨（雪）飞行经历大于等于1500小时的，或者驾驶高性能增压仓飞机在其他地区开展人工增雨（雪）飞行经历大于等于2000小时的，得5分；</w:t>
              <w:cr/>
              <w:t>（2）每有1名机长具有驾驶高性能增压仓飞机在青藏高原开展人工增雨（雪）飞行经历大于等于1000小时、小于1500小时的，或者驾驶高性能增压仓飞机在其他地区开展人工增雨（雪）飞行经历大于等于1500小时、小于2000小时的，得3分；</w:t>
              <w:cr/>
              <w:t>（3）每有1名机长具有驾驶高性能增压仓飞机在青藏高原开展人工增雨（雪）飞行经历大于等于500小时、小于1000小时的，或者驾驶高性能增压仓飞机在其他地区开展人工增雨（雪）飞行经历大于等于1000小时、小于1500小时的，得1分。</w:t>
              <w:cr/>
              <w:t>（4）其他情况不得分。</w:t>
            </w:r>
          </w:p>
          <w:p>
            <w:r>
              <w:t>评审标准说明：</w:t>
            </w:r>
          </w:p>
          <w:p>
            <w:r>
              <w:t>1.高性能增压仓飞机飞行经历须提供该飞行员的飞行经历证明材料或提供加盖投标人公章的承诺函；</w:t>
              <w:cr/>
              <w:t>2.高性能增压仓飞机开展人工增雨（雪）飞行经历须提供该机长飞行经历的相关证明材料或提供加盖投标人公章的承诺函。</w:t>
            </w:r>
          </w:p>
          <w:p/>
        </w:tc>
      </w:tr>
      <w:tr>
        <w:tblPrEx>
          <w:tblW w:w="5000" w:type="pct"/>
          <w:tblCellMar>
            <w:left w:w="108" w:type="dxa"/>
            <w:right w:w="108" w:type="dxa"/>
          </w:tblCellMar>
        </w:tblPrEx>
        <w:tc>
          <w:tcPr/>
          <w:p>
            <w:r>
              <w:t>4</w:t>
            </w:r>
          </w:p>
        </w:tc>
        <w:tc>
          <w:tcPr>
            <w:vMerge w:val="restart"/>
          </w:tcPr>
          <w:p>
            <w:r>
              <w:t>服务部分</w:t>
            </w:r>
          </w:p>
        </w:tc>
        <w:tc>
          <w:tcPr/>
          <w:p>
            <w:r>
              <w:t>事故处理解决方案（主观分</w:t>
            </w:r>
          </w:p>
        </w:tc>
        <w:tc>
          <w:tcPr/>
          <w:p>
            <w:r>
              <w:t>勾选打分</w:t>
            </w:r>
            <w:r>
              <w:t>(4)</w:t>
            </w:r>
          </w:p>
        </w:tc>
        <w:tc>
          <w:tcPr/>
          <w:p>
            <w:r>
              <w:t>评审标准：</w:t>
            </w:r>
          </w:p>
          <w:p>
            <w:r>
              <w:t>一档0分</w:t>
              <w:cr/>
              <w:t>二档1分</w:t>
              <w:cr/>
              <w:t>三档2分</w:t>
              <w:cr/>
              <w:t>四档4分</w:t>
            </w:r>
          </w:p>
          <w:p>
            <w:r>
              <w:t>评审标准说明：</w:t>
            </w:r>
          </w:p>
          <w:p>
            <w:r>
              <w:t>提供事故处理解决方案，责任清晰、安全可靠、内容明确。必须包括机组现场紧急处理和撤离、应急保障、事故调查、善后处理等。</w:t>
              <w:cr/>
              <w:t>一档：未提供方案</w:t>
              <w:cr/>
              <w:t>二档：方案不完整（指缺少机组现场紧急处理和撤离、应急保障、事故调查、善后处理任一项）；</w:t>
              <w:cr/>
              <w:t>三档：方案完整，但合理性、可行性、针对性一般；</w:t>
              <w:cr/>
              <w:t>四档：方案完整合理、可行性强、针对性强，责任清晰、安全可靠、内容明确。</w:t>
            </w:r>
          </w:p>
          <w:p/>
        </w:tc>
      </w:tr>
      <w:tr>
        <w:tblPrEx>
          <w:tblW w:w="5000" w:type="pct"/>
          <w:tblCellMar>
            <w:left w:w="108" w:type="dxa"/>
            <w:right w:w="108" w:type="dxa"/>
          </w:tblCellMar>
        </w:tblPrEx>
        <w:tc>
          <w:tcPr/>
          <w:p>
            <w:r>
              <w:t>5</w:t>
            </w:r>
          </w:p>
        </w:tc>
        <w:tc>
          <w:tcPr>
            <w:vMerge/>
          </w:tcPr>
          <w:p>
            <w:r>
              <w:t>服务部分</w:t>
            </w:r>
          </w:p>
        </w:tc>
        <w:tc>
          <w:tcPr/>
          <w:p>
            <w:r>
              <w:t>备用机（客观分）</w:t>
            </w:r>
          </w:p>
        </w:tc>
        <w:tc>
          <w:tcPr/>
          <w:p>
            <w:r>
              <w:t>勾选打分</w:t>
            </w:r>
            <w:r>
              <w:t>(4)</w:t>
            </w:r>
          </w:p>
        </w:tc>
        <w:tc>
          <w:tcPr/>
          <w:p>
            <w:r>
              <w:t>评审标准：</w:t>
            </w:r>
          </w:p>
          <w:p>
            <w:r>
              <w:t>人工增雨（雪）飞机出现故障时，72小时内解决或提供同型号备用机得4分，否则不得分。</w:t>
            </w:r>
          </w:p>
          <w:p>
            <w:r>
              <w:t>评审标准说明：</w:t>
            </w:r>
          </w:p>
          <w:p>
            <w:r>
              <w:t>须提供承诺并加盖投标人公章。</w:t>
            </w:r>
          </w:p>
          <w:p/>
        </w:tc>
      </w:tr>
      <w:tr>
        <w:tblPrEx>
          <w:tblW w:w="5000" w:type="pct"/>
          <w:tblCellMar>
            <w:left w:w="108" w:type="dxa"/>
            <w:right w:w="108" w:type="dxa"/>
          </w:tblCellMar>
        </w:tblPrEx>
        <w:tc>
          <w:tcPr/>
          <w:p>
            <w:r>
              <w:t>6</w:t>
            </w:r>
          </w:p>
        </w:tc>
        <w:tc>
          <w:tcPr>
            <w:vMerge/>
          </w:tcPr>
          <w:p>
            <w:r>
              <w:t>服务部分</w:t>
            </w:r>
          </w:p>
        </w:tc>
        <w:tc>
          <w:tcPr/>
          <w:p>
            <w:r>
              <w:t>安全记录（客观分）</w:t>
            </w:r>
          </w:p>
        </w:tc>
        <w:tc>
          <w:tcPr/>
          <w:p>
            <w:r>
              <w:t>勾选打分</w:t>
            </w:r>
            <w:r>
              <w:t>(4)</w:t>
            </w:r>
          </w:p>
        </w:tc>
        <w:tc>
          <w:tcPr/>
          <w:p>
            <w:r>
              <w:t>评审标准：</w:t>
            </w:r>
          </w:p>
          <w:p>
            <w:r>
              <w:t>2022年1月1日至投标截止日未出现飞行事故及民用航空不安全事件的，得4分；2023 年1月1日至投标截止日未出现飞行事故及民用航空不安全事件的，得3分；2024年1月1日至投标截止日未出现飞行事故及民用航空不安全事件的得，2分；2025年1月1日至投标截止日未出现飞行事故及民用航空不安全事件的，得1分；未提供不得分。</w:t>
            </w:r>
          </w:p>
          <w:p>
            <w:r>
              <w:t>评审标准说明：</w:t>
            </w:r>
          </w:p>
          <w:p>
            <w:r>
              <w:t>提供民航监管机构证明文件。</w:t>
            </w:r>
          </w:p>
          <w:p/>
        </w:tc>
      </w:tr>
      <w:tr>
        <w:tblPrEx>
          <w:tblW w:w="5000" w:type="pct"/>
          <w:tblCellMar>
            <w:left w:w="108" w:type="dxa"/>
            <w:right w:w="108" w:type="dxa"/>
          </w:tblCellMar>
        </w:tblPrEx>
        <w:tc>
          <w:tcPr/>
          <w:p>
            <w:r>
              <w:t>7</w:t>
            </w:r>
          </w:p>
        </w:tc>
        <w:tc>
          <w:tcPr>
            <w:vMerge/>
          </w:tcPr>
          <w:p>
            <w:r>
              <w:t>服务部分</w:t>
            </w:r>
          </w:p>
        </w:tc>
        <w:tc>
          <w:tcPr/>
          <w:p>
            <w:r>
              <w:t>飞机增雨（雪）作业方案的响应（客观分）</w:t>
            </w:r>
          </w:p>
        </w:tc>
        <w:tc>
          <w:tcPr/>
          <w:p>
            <w:r>
              <w:t>勾选打分</w:t>
            </w:r>
            <w:r>
              <w:t>(5)</w:t>
            </w:r>
          </w:p>
        </w:tc>
        <w:tc>
          <w:tcPr/>
          <w:p>
            <w:r>
              <w:t>评审标准：</w:t>
            </w:r>
          </w:p>
          <w:p>
            <w:r>
              <w:t>投标人承诺在服务期内，凡天气条件达到飞机飞行条件时，根据采购人飞机增雨（雪）作业方案，每次均能提供飞机增雨（雪）作业服务得5分，否则不得分。</w:t>
            </w:r>
          </w:p>
          <w:p>
            <w:r>
              <w:t>评审标准说明：</w:t>
            </w:r>
          </w:p>
          <w:p>
            <w:r>
              <w:t>提供加盖投标人公章的承诺书。</w:t>
            </w:r>
          </w:p>
          <w:p/>
        </w:tc>
      </w:tr>
      <w:tr>
        <w:tblPrEx>
          <w:tblW w:w="5000" w:type="pct"/>
          <w:tblCellMar>
            <w:left w:w="108" w:type="dxa"/>
            <w:right w:w="108" w:type="dxa"/>
          </w:tblCellMar>
        </w:tblPrEx>
        <w:tc>
          <w:tcPr/>
          <w:p>
            <w:r>
              <w:t>8</w:t>
            </w:r>
          </w:p>
        </w:tc>
        <w:tc>
          <w:tcPr>
            <w:vMerge/>
          </w:tcPr>
          <w:p>
            <w:r>
              <w:t>服务部分</w:t>
            </w:r>
          </w:p>
        </w:tc>
        <w:tc>
          <w:tcPr/>
          <w:p>
            <w:r>
              <w:t>培训方案（主观分）</w:t>
            </w:r>
          </w:p>
        </w:tc>
        <w:tc>
          <w:tcPr/>
          <w:p>
            <w:r>
              <w:t>勾选打分</w:t>
            </w:r>
            <w:r>
              <w:t>(4)</w:t>
            </w:r>
          </w:p>
        </w:tc>
        <w:tc>
          <w:tcPr/>
          <w:p>
            <w:r>
              <w:t>评审标准：</w:t>
            </w:r>
          </w:p>
          <w:p>
            <w:r>
              <w:t>一档0分</w:t>
              <w:cr/>
              <w:t>二档1分</w:t>
              <w:cr/>
              <w:t>三档2分</w:t>
              <w:cr/>
              <w:t>四档4分</w:t>
            </w:r>
          </w:p>
          <w:p>
            <w:r>
              <w:t>评审标准说明：</w:t>
            </w:r>
          </w:p>
          <w:p>
            <w:r>
              <w:t>投标人应提供满足第七章相应培训要求的详细培训方案，培训内容应包括飞行安全注意事项、出入机坪注意事项、在机坪工作注意事项、机场工作规章制度等，使现场增雨作业人员能够正确认识和处理安全等问题，避免出现安全等事故，保证培训效果。</w:t>
              <w:cr/>
              <w:t>一档：未提供培训方案；</w:t>
              <w:cr/>
              <w:t xml:space="preserve">二档：培训方案不完整（指缺失培训大纲、培训教程（讲义）、培训课表等任一项）； </w:t>
              <w:cr/>
              <w:t xml:space="preserve">三档：培训方案完整详细，但课程设计重点不突出或针对性不强，基本满足采购需求； </w:t>
              <w:cr/>
              <w:t>四档：培训方案完整详细，课程设计重点突出、针对性强，完全满足采购需求。</w:t>
            </w:r>
          </w:p>
          <w:p/>
        </w:tc>
      </w:tr>
      <w:tr>
        <w:tblPrEx>
          <w:tblW w:w="5000" w:type="pct"/>
          <w:tblCellMar>
            <w:left w:w="108" w:type="dxa"/>
            <w:right w:w="108" w:type="dxa"/>
          </w:tblCellMar>
        </w:tblPrEx>
        <w:tc>
          <w:tcPr/>
          <w:p>
            <w:r>
              <w:t>9</w:t>
            </w:r>
          </w:p>
        </w:tc>
        <w:tc>
          <w:tcPr>
            <w:vMerge/>
          </w:tcPr>
          <w:p>
            <w:r>
              <w:t>服务部分</w:t>
            </w:r>
          </w:p>
        </w:tc>
        <w:tc>
          <w:tcPr/>
          <w:p>
            <w:r>
              <w:t>协调服务方案（主观分）</w:t>
            </w:r>
          </w:p>
        </w:tc>
        <w:tc>
          <w:tcPr/>
          <w:p>
            <w:r>
              <w:t>勾选打分</w:t>
            </w:r>
            <w:r>
              <w:t>(4)</w:t>
            </w:r>
          </w:p>
        </w:tc>
        <w:tc>
          <w:tcPr/>
          <w:p>
            <w:r>
              <w:t>评审标准：</w:t>
            </w:r>
          </w:p>
          <w:p>
            <w:r>
              <w:t>一档0分</w:t>
              <w:cr/>
              <w:t>二档1分</w:t>
              <w:cr/>
              <w:t>三档2分</w:t>
              <w:cr/>
              <w:t>四档4分</w:t>
            </w:r>
          </w:p>
          <w:p>
            <w:r>
              <w:t>评审标准说明：</w:t>
            </w:r>
          </w:p>
          <w:p>
            <w:r>
              <w:t>投标人需提供申报及沟通协调机制的方案，包含但不限于机组飞行计划的申报、与空管部门的沟通协调工作等。</w:t>
              <w:cr/>
              <w:t>一档：未提供方案；</w:t>
              <w:cr/>
              <w:t>二档：方案简单，没有专门针对本项目的措施，或者有关措施不合理、不可行、不具体；</w:t>
              <w:cr/>
              <w:t>三档：方案详细，有专门针对本项目的措施，但措施简单，合理性、可行性一般；</w:t>
              <w:cr/>
              <w:t>四档：方案详细，有专门针对本项目的措施，且措施详细具体，合理性、可行性强。</w:t>
            </w:r>
          </w:p>
          <w:p/>
        </w:tc>
      </w:tr>
      <w:tr>
        <w:tblPrEx>
          <w:tblW w:w="5000" w:type="pct"/>
          <w:tblCellMar>
            <w:left w:w="108" w:type="dxa"/>
            <w:right w:w="108" w:type="dxa"/>
          </w:tblCellMar>
        </w:tblPrEx>
        <w:tc>
          <w:tcPr/>
          <w:p>
            <w:r>
              <w:t>10</w:t>
            </w:r>
          </w:p>
        </w:tc>
        <w:tc>
          <w:tcPr>
            <w:vMerge/>
          </w:tcPr>
          <w:p>
            <w:r>
              <w:t>服务部分</w:t>
            </w:r>
          </w:p>
        </w:tc>
        <w:tc>
          <w:tcPr/>
          <w:p>
            <w:r>
              <w:t>技术方案响应（客观分）</w:t>
            </w:r>
          </w:p>
        </w:tc>
        <w:tc>
          <w:tcPr/>
          <w:p>
            <w:r>
              <w:t>勾选打分</w:t>
            </w:r>
            <w:r>
              <w:t>(21)</w:t>
            </w:r>
          </w:p>
        </w:tc>
        <w:tc>
          <w:tcPr/>
          <w:p>
            <w:r>
              <w:t>评审标准：</w:t>
            </w:r>
          </w:p>
          <w:p>
            <w:r>
              <w:t>投标人满足招标文件“采购需求”中标注“▲”的14项重要技术要求。每有1项满足得1.5分，最高21分。</w:t>
            </w:r>
          </w:p>
          <w:p>
            <w:r>
              <w:t>评审标准说明：</w:t>
            </w:r>
          </w:p>
          <w:p>
            <w:r>
              <w:t>需提供技术文档。响应且满足招标文件第七章详细技术指标要求，标注“▲”的重要指标需提供第三方出具的并加盖投标人公章的证明材料。</w:t>
            </w:r>
          </w:p>
          <w:p/>
        </w:tc>
      </w:tr>
      <w:tr>
        <w:tblPrEx>
          <w:tblW w:w="5000" w:type="pct"/>
          <w:tblCellMar>
            <w:left w:w="108" w:type="dxa"/>
            <w:right w:w="108" w:type="dxa"/>
          </w:tblCellMar>
        </w:tblPrEx>
        <w:tc>
          <w:tcPr/>
          <w:p>
            <w:r>
              <w:t>11</w:t>
            </w:r>
          </w:p>
        </w:tc>
        <w:tc>
          <w:tcPr>
            <w:vMerge/>
          </w:tcPr>
          <w:p>
            <w:r>
              <w:t>服务部分</w:t>
            </w:r>
          </w:p>
        </w:tc>
        <w:tc>
          <w:tcPr/>
          <w:p>
            <w:r>
              <w:t>飞机性能要求（客观分）</w:t>
            </w:r>
          </w:p>
        </w:tc>
        <w:tc>
          <w:tcPr/>
          <w:p>
            <w:r>
              <w:t>勾选打分</w:t>
            </w:r>
            <w:r>
              <w:t>(8)</w:t>
            </w:r>
          </w:p>
        </w:tc>
        <w:tc>
          <w:tcPr/>
          <w:p>
            <w:r>
              <w:t>评审标准：</w:t>
            </w:r>
          </w:p>
          <w:p>
            <w:r>
              <w:t>1、投标人提供的高性能增压仓人工增雨（雪）飞机中，必须有一架具备常规油箱以外满足长航程增雨（雪）任务的额外油箱，得4分，否则不得分。</w:t>
              <w:cr/>
              <w:t>2、在以上基础上，多一架高性能增压仓飞机也同时具备长航程增雨（雪）任务能力的额外油箱，得4分，否则不得分。</w:t>
              <w:cr/>
              <w:t>本项最高得8分。</w:t>
            </w:r>
          </w:p>
          <w:p>
            <w:r>
              <w:t>评审标准说明：</w:t>
            </w:r>
          </w:p>
          <w:p>
            <w:r>
              <w:t>提供可证明飞机性能的证明材料。</w:t>
            </w:r>
          </w:p>
          <w:p/>
        </w:tc>
      </w:tr>
      <w:tr>
        <w:tblPrEx>
          <w:tblW w:w="5000" w:type="pct"/>
          <w:tblCellMar>
            <w:left w:w="108" w:type="dxa"/>
            <w:right w:w="108" w:type="dxa"/>
          </w:tblCellMar>
        </w:tblPrEx>
        <w:tc>
          <w:tcPr/>
          <w:p>
            <w:r>
              <w:t>12</w:t>
            </w:r>
          </w:p>
        </w:tc>
        <w:tc>
          <w:tcPr>
            <w:vMerge/>
          </w:tcPr>
          <w:p>
            <w:r>
              <w:t>服务部分</w:t>
            </w:r>
          </w:p>
        </w:tc>
        <w:tc>
          <w:tcPr/>
          <w:p>
            <w:r>
              <w:t>增雨（雪）设备和云物理探测设备评价（客观分）</w:t>
            </w:r>
          </w:p>
        </w:tc>
        <w:tc>
          <w:tcPr/>
          <w:p>
            <w:r>
              <w:t>勾选打分</w:t>
            </w:r>
            <w:r>
              <w:t>(9)</w:t>
            </w:r>
          </w:p>
        </w:tc>
        <w:tc>
          <w:tcPr/>
          <w:p>
            <w:r>
              <w:t>评审标准：</w:t>
            </w:r>
          </w:p>
          <w:p>
            <w:r>
              <w:t>1、投标人提供的机载焰条播撒设备，焰条装量少于20根不得分，等于20根的得0.5分，在此基础上每增加8根加0.5分，最多得2分。</w:t>
              <w:cr/>
              <w:t>2、投标人提供的机载焰弹播撒设备，装弹量少于200发不得分，等于200发的得0.5 分，在此基础上每增加40发加0.5分，最多得3分。</w:t>
              <w:cr/>
              <w:t>3、投标人提供的高性能增压仓飞机，均具备云物理探测设备装载能力，得4分；只有一架具备装载云物理探测设备的能力，得2分。不具备不得分。</w:t>
            </w:r>
          </w:p>
          <w:p>
            <w:r>
              <w:t>评审标准说明：</w:t>
            </w:r>
          </w:p>
          <w:p>
            <w:r>
              <w:t>需提供相关证明材料。</w:t>
            </w:r>
          </w:p>
          <w:p/>
        </w:tc>
      </w:tr>
      <w:tr>
        <w:tblPrEx>
          <w:tblW w:w="5000" w:type="pct"/>
          <w:tblCellMar>
            <w:left w:w="108" w:type="dxa"/>
            <w:right w:w="108" w:type="dxa"/>
          </w:tblCellMar>
        </w:tblPrEx>
        <w:tc>
          <w:tcPr/>
          <w:p>
            <w:r>
              <w:t>13</w:t>
            </w:r>
          </w:p>
        </w:tc>
        <w:tc>
          <w:tcPr>
            <w:vMerge/>
          </w:tcPr>
          <w:p>
            <w:r>
              <w:t>服务部分</w:t>
            </w:r>
          </w:p>
        </w:tc>
        <w:tc>
          <w:tcPr/>
          <w:p>
            <w:r>
              <w:t>增雨（雪）飞行保障方案（主观分）</w:t>
            </w:r>
          </w:p>
        </w:tc>
        <w:tc>
          <w:tcPr/>
          <w:p>
            <w:r>
              <w:t>勾选打分</w:t>
            </w:r>
            <w:r>
              <w:t>(5)</w:t>
            </w:r>
          </w:p>
        </w:tc>
        <w:tc>
          <w:tcPr/>
          <w:p>
            <w:r>
              <w:t>评审标准：</w:t>
            </w:r>
          </w:p>
          <w:p>
            <w:r>
              <w:t>一档0分</w:t>
              <w:cr/>
              <w:t>二档1分</w:t>
              <w:cr/>
              <w:t>三档3分</w:t>
              <w:cr/>
              <w:t>四档5分</w:t>
            </w:r>
          </w:p>
          <w:p>
            <w:r>
              <w:t>评审标准说明：</w:t>
            </w:r>
          </w:p>
          <w:p>
            <w:r>
              <w:t>提供完整可行的增雨（雪）飞行保障方案，包括机场保障、军民航协调、基地保障、签派保障、场内车辆保障、除防冰保障等内容。</w:t>
              <w:cr/>
              <w:t>一档：未提供方案；</w:t>
              <w:cr/>
              <w:t>二档：方案不完整（指缺失机场保障、军民航协调、基地保障、签派保障、场内车辆保障、除防冰保障任一项）；</w:t>
              <w:cr/>
              <w:t>三档：方案完整，合理性和技术解决措施有欠缺，可行性、针对性一般；</w:t>
              <w:cr/>
              <w:t>四档：方案完整合理、技术解决措施完备、详细，可行性、针对性强。</w:t>
            </w:r>
          </w:p>
          <w:p/>
        </w:tc>
      </w:tr>
    </w:tbl>
    <w:p w:rsidR="00A77B3E">
      <w:r>
        <w:t xml:space="preserve">      </w:t>
      </w:r>
    </w:p>
    <w:p w:rsidR="00A77B3E"/>
    <w:p w:rsidR="00A77B3E">
      <w:bookmarkEnd w:id="57"/>
    </w:p>
    <w:p w:rsidR="00712EA5">
      <w:pPr>
        <w:spacing w:before="156" w:beforeLines="50" w:line="360" w:lineRule="auto"/>
        <w:jc w:val="center"/>
        <w:outlineLvl w:val="1"/>
        <w:rPr>
          <w:rFonts w:ascii="宋体" w:hAnsi="宋体"/>
          <w:b/>
          <w:sz w:val="30"/>
          <w:szCs w:val="30"/>
        </w:rPr>
      </w:pPr>
      <w:r>
        <w:rPr>
          <w:bCs/>
          <w:szCs w:val="21"/>
          <w:highlight w:val="none"/>
        </w:rPr>
        <w:br w:type="page"/>
      </w:r>
      <w:bookmarkStart w:id="58" w:name="插入_采购需求书"/>
      <w:r>
        <w:rPr>
          <w:rFonts w:ascii="宋体" w:eastAsia="宋体" w:hAnsi="宋体" w:cs="Times New Roman" w:hint="eastAsia"/>
          <w:b/>
          <w:sz w:val="30"/>
          <w:szCs w:val="30"/>
        </w:rPr>
        <w:t>第七章</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采购需求</w:t>
      </w:r>
    </w:p>
    <w:p w:rsidR="00712EA5">
      <w:pPr>
        <w:jc w:val="left"/>
        <w:rPr>
          <w:rFonts w:ascii="Times New Roman" w:eastAsia="宋体" w:hAnsi="Times New Roman" w:cs="Times New Roman"/>
          <w:b/>
          <w:szCs w:val="21"/>
        </w:rPr>
      </w:pP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一、项目概况及总体要求</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为切实发挥气象对建设更加富裕文明和谐美丽新青海的支撑和保障作用，围绕青海省生态文明建设和经济社会发展的需求，根据青海省人工影响天气工作计划的要求，特采购飞机人工增雨（雪）作业服务，完成人工增雨（雪）作业任务。</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二、服务需求</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1、服务机型：*高性能增压仓人工增雨（雪）飞机至少一架，需完全满足青藏高原腹地飞机增雨（雪）作业需求，最大升限不低于高度10000米。</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2、服务期限：自合同签订次日起5个月内，至少一架高性能增压仓人工增雨（雪）飞机累计完成2个月服务任务。</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3、服务内容：实施抗旱减灾、生态修复以及重大活动应急保障的增雨（雪）作业服务和云物理探测服务。</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4、作业区域：青海省以及黄河上游河曲地区、祁连山区地区。</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5、增雨作业响应时间：提出作业需求后，一小时内完成作业飞行准备工作；空管部门放行后，可即时进行飞行工作。</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6、报价：报价包括飞行小时费、停机费、飞行保障费、飞机与涉及增雨飞行作业所有的配套设施、油料和调运费，空域管制申请及其协调费用， 作业机组人员的食宿费等其他所有费用， 以及各种税费直至达到使用要求和采购人付款条件所发生的一切费用， 即总价包干。</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7、合同履行地点：青海省境内及前述相关作业区域。</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三、基本要求</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1、▲高性能增压仓人工增雨（雪）作业和云物理探测飞机应通过中国民用航空主管部门进行的年度适航性检查，处于适航状态。</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2、▲应满足青藏高原地区复杂气象和地理地形条件下的人工增雨（雪）作业服务和云物理探测需求，每次作业过程能够按照采购方提供的人工增雨（雪）作业和云物理探测方案进行飞行。</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3、▲加装人影相关设备后应取得中国民用航空主管部门的适航审定。</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4、▲应装备机载气象雷达。</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5、▲应具备抗积冰、除冰能力。</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6、应配备供氧装置、灭火装置、救生衣、急救包等相关应急救生设备。</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7、▲应满足机载增雨（雪）和大气探测设备供电需求。</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8、▲应能搭载不少于2 名作业人员。</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9、具备装载播撒作业、云物理探测、空地数据传输设备的能力。</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10、机组能够胜任较长时间在青藏高原地区人工增雨（雪）服务工作。</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11、▲能够妥善协调空域管制及地面保障，并能顺利实施作业（出具承诺函）。</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12、▲中标方提供的高性能增压仓人工增雨（雪）作业飞机，执行人工增雨（雪）作业工作期间，由中标方承担飞机运行安全责任。</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13、▲采购方作业人员在机坪控制区工作和飞行作业期间，其安全工作纳入中标方的统一管理。</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四、综合性能</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 xml:space="preserve">1、综合性能应满足以下要求： </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（1）商载小于5000kg，飞机升限不低于10km；商载大于5000kg，飞机升限不低于 7km。</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（2）▲每架飞机每次作业飞行时间不小于 4h，其中一架飞机必须具备长航程所需的额外油箱。</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（3）作业飞行速度为360km/h～720km/h。</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（4）具备密封增压舱和舱内温度调节功能。</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2、机载设备</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（1）监测设备</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▲具备观测空速、高度、经纬度、温度、气压、湿度等功能。</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（2）催化设备</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▲焰条、焰弹的一次装载量连续催化时间应不小于3h。</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（3）通信设备</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▲预留飞机和地面之间传输和交互人工影响天气作业信息的设备装载位置。</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五、服务时间</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中标方自合同签订次日起5个月内，至少一架高性能增压仓人工增雨（雪）飞机合计完成2个月人工增雨（雪）服务任务。</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六、技术支持与质量保证</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1、投标人需提供完整详尽的事故处理解决方案。</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2、因作业飞机、有关器械设备出现故障不能作业时，中标方在72小时内解决或提供同型号备用机继续开展增雨作业。</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3、现场响应：现场作业遇到有关问题时，中标方现场负责人应积极与采购方现场派驻人员协商，尽全力保障增雨（雪）顺利进行。</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4、投标人需提供</w:t>
      </w:r>
      <w:r w:rsidRPr="002A17C9">
        <w:rPr>
          <w:rFonts w:ascii="Times New Roman" w:eastAsia="宋体" w:hAnsi="Times New Roman" w:cs="Times New Roman"/>
          <w:szCs w:val="20"/>
        </w:rPr>
        <w:t>完整可行的</w:t>
      </w:r>
      <w:r w:rsidRPr="002A17C9">
        <w:rPr>
          <w:rFonts w:ascii="宋体" w:eastAsia="宋体" w:hAnsi="宋体" w:cs="Times New Roman" w:hint="eastAsia"/>
          <w:szCs w:val="21"/>
        </w:rPr>
        <w:t>增雨（雪）飞行保障方案，</w:t>
      </w:r>
      <w:r w:rsidRPr="002A17C9">
        <w:rPr>
          <w:rFonts w:ascii="Times New Roman" w:eastAsia="宋体" w:hAnsi="Times New Roman" w:cs="Times New Roman"/>
          <w:szCs w:val="20"/>
        </w:rPr>
        <w:t>包括机场保障、军民航协调、基地保障、签派保障、场内车辆保障、除防冰保障等内容。</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七、服务团队要求</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1、投标人应针对本项目组成专业的服务团队，服务团队人数不少于5人，驻场服务人员不少于5人，提供符合民航规定和证照齐全的飞行人员、机务人员及其他工作人员， 按照相关规定进行飞机检查维护，确保增雨（雪）作业安全。</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2、因项目在青藏高原地区实施，机长需具有一定高性能增压仓飞机在青藏高原地区增雨（雪）飞行的经验，有效保证飞行安全；飞行员需具有高性能增压仓飞机飞行经历；提供飞行经历证明材料复印件并盖章。</w:t>
      </w:r>
    </w:p>
    <w:p w:rsidR="002A17C9" w:rsidRPr="002A17C9" w:rsidP="002A17C9">
      <w:pPr>
        <w:spacing w:line="360" w:lineRule="auto"/>
        <w:ind w:firstLine="420" w:firstLineChars="200"/>
        <w:rPr>
          <w:rFonts w:ascii="宋体" w:eastAsia="宋体" w:hAnsi="宋体" w:cs="Times New Roman"/>
          <w:szCs w:val="21"/>
        </w:rPr>
      </w:pPr>
      <w:r w:rsidRPr="002A17C9">
        <w:rPr>
          <w:rFonts w:ascii="宋体" w:eastAsia="宋体" w:hAnsi="宋体" w:cs="Times New Roman" w:hint="eastAsia"/>
          <w:szCs w:val="21"/>
        </w:rPr>
        <w:t>3、机组须负责飞行计划的报批以及与空管部门的沟通协调工作，提供协调机制方案。</w:t>
      </w:r>
    </w:p>
    <w:p w:rsidR="002A17C9" w:rsidRPr="002A17C9" w:rsidP="002A17C9">
      <w:pPr>
        <w:snapToGrid w:val="0"/>
        <w:spacing w:before="94" w:beforeLines="30" w:line="520" w:lineRule="exact"/>
        <w:ind w:firstLine="420" w:firstLineChars="200"/>
        <w:jc w:val="left"/>
        <w:rPr>
          <w:rFonts w:ascii="宋体" w:eastAsia="宋体" w:hAnsi="宋体" w:cs="Times New Roman"/>
          <w:szCs w:val="21"/>
        </w:rPr>
      </w:pPr>
      <w:r w:rsidRPr="002A17C9">
        <w:rPr>
          <w:rFonts w:ascii="宋体" w:eastAsia="宋体" w:hAnsi="宋体" w:cs="Times New Roman" w:hint="eastAsia"/>
          <w:szCs w:val="21"/>
        </w:rPr>
        <w:t>八、培训</w:t>
      </w:r>
    </w:p>
    <w:p w:rsidR="002A17C9" w:rsidRPr="002A17C9" w:rsidP="002A17C9">
      <w:pPr>
        <w:snapToGrid w:val="0"/>
        <w:spacing w:line="520" w:lineRule="exact"/>
        <w:ind w:firstLine="420" w:firstLineChars="200"/>
        <w:rPr>
          <w:rFonts w:ascii="Times New Roman" w:eastAsia="宋体" w:hAnsi="Times New Roman" w:cs="Times New Roman"/>
          <w:szCs w:val="21"/>
        </w:rPr>
      </w:pPr>
      <w:r w:rsidRPr="002A17C9">
        <w:rPr>
          <w:rFonts w:ascii="Times New Roman" w:eastAsia="宋体" w:hAnsi="Times New Roman" w:cs="Times New Roman"/>
          <w:szCs w:val="21"/>
        </w:rPr>
        <w:t>中标方应对增雨（雪）作业人员进行飞行安全注意事项、出入机坪和在机坪工作注意事项、机场工作规章制度等应尽培训指导义务，使现场增雨作业人员能够正确认识和处理安全等问题，避免出现安全等事故。</w:t>
      </w:r>
    </w:p>
    <w:p w:rsidR="00A77B3E"/>
    <w:p w:rsidR="00712EA5">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8"/>
    </w:p>
    <w:p w:rsidR="00A4587B">
      <w:pPr>
        <w:spacing w:before="156" w:beforeLines="50" w:line="360" w:lineRule="auto"/>
        <w:jc w:val="center"/>
        <w:outlineLvl w:val="1"/>
        <w:rPr>
          <w:rFonts w:ascii="宋体" w:hAnsi="宋体" w:hint="eastAsia"/>
          <w:b/>
          <w:sz w:val="30"/>
          <w:szCs w:val="30"/>
        </w:rPr>
      </w:pPr>
      <w:bookmarkStart w:id="59" w:name="投标被拒绝条款专用部分_JJTK"/>
      <w:r>
        <w:rPr>
          <w:rFonts w:ascii="宋体" w:hAnsi="宋体" w:hint="eastAsia"/>
          <w:b/>
          <w:sz w:val="30"/>
          <w:szCs w:val="30"/>
        </w:rPr>
        <w:t>第八章  投标被拒绝条款专用部分</w:t>
      </w:r>
    </w:p>
    <w:p w:rsidR="00A4587B">
      <w:pPr>
        <w:adjustRightInd w:val="0"/>
        <w:snapToGrid w:val="0"/>
        <w:spacing w:before="156" w:beforeLines="50" w:line="360" w:lineRule="auto"/>
        <w:rPr>
          <w:rFonts w:ascii="宋体" w:hAnsi="宋体" w:hint="eastAsia"/>
          <w:szCs w:val="21"/>
        </w:rPr>
      </w:pPr>
    </w:p>
    <w:p w:rsidR="00A4587B">
      <w:pPr>
        <w:adjustRightInd w:val="0"/>
        <w:snapToGrid w:val="0"/>
        <w:spacing w:before="156" w:beforeLines="50" w:line="360" w:lineRule="auto"/>
        <w:ind w:firstLine="420" w:firstLineChars="200"/>
        <w:rPr>
          <w:rFonts w:ascii="宋体" w:hAnsi="宋体" w:hint="eastAsia"/>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A4587B">
            <w:pPr>
              <w:rPr>
                <w:sz w:val="18"/>
                <w:szCs w:val="18"/>
              </w:rPr>
            </w:pPr>
            <w:r>
              <w:rPr>
                <w:rFonts w:hint="eastAsia"/>
                <w:sz w:val="18"/>
                <w:szCs w:val="18"/>
              </w:rPr>
              <w:t>序号</w:t>
            </w:r>
          </w:p>
        </w:tc>
        <w:tc>
          <w:tcPr>
            <w:tcW w:w="898" w:type="dxa"/>
            <w:vAlign w:val="center"/>
          </w:tcPr>
          <w:p w:rsidR="00A4587B">
            <w:pPr>
              <w:jc w:val="center"/>
              <w:rPr>
                <w:sz w:val="18"/>
                <w:szCs w:val="18"/>
              </w:rPr>
            </w:pPr>
            <w:r>
              <w:rPr>
                <w:rFonts w:hint="eastAsia"/>
                <w:sz w:val="18"/>
                <w:szCs w:val="18"/>
              </w:rPr>
              <w:t>对应</w:t>
            </w:r>
          </w:p>
          <w:p w:rsidR="00A4587B">
            <w:pPr>
              <w:jc w:val="center"/>
              <w:rPr>
                <w:sz w:val="18"/>
                <w:szCs w:val="18"/>
              </w:rPr>
            </w:pPr>
            <w:r>
              <w:rPr>
                <w:rFonts w:hint="eastAsia"/>
                <w:sz w:val="18"/>
                <w:szCs w:val="18"/>
              </w:rPr>
              <w:t>条款号</w:t>
            </w:r>
          </w:p>
        </w:tc>
        <w:tc>
          <w:tcPr>
            <w:tcW w:w="7347" w:type="dxa"/>
            <w:vAlign w:val="center"/>
          </w:tcPr>
          <w:p w:rsidR="00A4587B">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0" w:type="auto"/>
          <w:tblLayout w:type="fixed"/>
          <w:tblLook w:val="04A0"/>
        </w:tblPrEx>
        <w:trPr>
          <w:cantSplit/>
        </w:trPr>
        <w:tc>
          <w:tcPr>
            <w:tcW w:w="8789" w:type="dxa"/>
            <w:gridSpan w:val="3"/>
            <w:vAlign w:val="center"/>
          </w:tcPr>
          <w:p w:rsidR="00A4587B">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0" w:type="auto"/>
          <w:tblLayout w:type="fixed"/>
          <w:tblLook w:val="04A0"/>
        </w:tblPrEx>
        <w:trPr>
          <w:cantSplit/>
        </w:trPr>
        <w:tc>
          <w:tcPr>
            <w:tcW w:w="544" w:type="dxa"/>
            <w:vAlign w:val="center"/>
          </w:tcPr>
          <w:p w:rsidR="00A4587B">
            <w:pPr>
              <w:numPr>
                <w:ilvl w:val="0"/>
                <w:numId w:val="7"/>
              </w:numPr>
              <w:rPr>
                <w:rFonts w:ascii="宋体" w:hAnsi="宋体" w:hint="eastAsia"/>
                <w:sz w:val="18"/>
                <w:szCs w:val="18"/>
              </w:rPr>
            </w:pPr>
          </w:p>
        </w:tc>
        <w:tc>
          <w:tcPr>
            <w:tcW w:w="898" w:type="dxa"/>
            <w:vAlign w:val="center"/>
          </w:tcPr>
          <w:p w:rsidR="00A4587B">
            <w:pPr>
              <w:jc w:val="center"/>
              <w:rPr>
                <w:rFonts w:ascii="宋体" w:hAnsi="宋体" w:hint="eastAsia"/>
                <w:sz w:val="18"/>
                <w:szCs w:val="18"/>
              </w:rPr>
            </w:pPr>
            <w:r>
              <w:rPr>
                <w:rFonts w:ascii="宋体" w:hAnsi="宋体" w:hint="eastAsia"/>
                <w:sz w:val="18"/>
                <w:szCs w:val="18"/>
              </w:rPr>
              <w:t>5</w:t>
            </w:r>
            <w:r>
              <w:rPr>
                <w:rFonts w:ascii="宋体" w:hAnsi="宋体"/>
                <w:sz w:val="18"/>
                <w:szCs w:val="18"/>
              </w:rPr>
              <w:t>.2</w:t>
            </w:r>
          </w:p>
        </w:tc>
        <w:tc>
          <w:tcPr>
            <w:tcW w:w="7347" w:type="dxa"/>
          </w:tcPr>
          <w:p w:rsidR="00A4587B">
            <w:pPr>
              <w:tabs>
                <w:tab w:val="left" w:pos="709"/>
              </w:tabs>
              <w:spacing w:line="360" w:lineRule="auto"/>
              <w:jc w:val="left"/>
              <w:rPr>
                <w:rFonts w:ascii="宋体" w:hAnsi="宋体" w:hint="eastAsia"/>
                <w:sz w:val="18"/>
                <w:szCs w:val="18"/>
              </w:rPr>
            </w:pPr>
          </w:p>
        </w:tc>
      </w:tr>
      <w:tr>
        <w:tblPrEx>
          <w:tblW w:w="0" w:type="auto"/>
          <w:tblLayout w:type="fixed"/>
          <w:tblLook w:val="04A0"/>
        </w:tblPrEx>
        <w:trPr>
          <w:cantSplit/>
        </w:trPr>
        <w:tc>
          <w:tcPr>
            <w:tcW w:w="544" w:type="dxa"/>
            <w:vAlign w:val="center"/>
          </w:tcPr>
          <w:p w:rsidR="00A4587B">
            <w:pPr>
              <w:numPr>
                <w:ilvl w:val="0"/>
                <w:numId w:val="7"/>
              </w:numPr>
              <w:rPr>
                <w:rFonts w:ascii="宋体" w:hAnsi="宋体" w:hint="eastAsia"/>
                <w:sz w:val="18"/>
                <w:szCs w:val="18"/>
              </w:rPr>
            </w:pPr>
          </w:p>
        </w:tc>
        <w:tc>
          <w:tcPr>
            <w:tcW w:w="898" w:type="dxa"/>
            <w:vAlign w:val="center"/>
          </w:tcPr>
          <w:p w:rsidR="00A4587B">
            <w:pPr>
              <w:jc w:val="center"/>
              <w:rPr>
                <w:rFonts w:ascii="宋体" w:hAnsi="宋体" w:hint="eastAsia"/>
                <w:sz w:val="18"/>
                <w:szCs w:val="18"/>
              </w:rPr>
            </w:pPr>
          </w:p>
        </w:tc>
        <w:tc>
          <w:tcPr>
            <w:tcW w:w="7347" w:type="dxa"/>
            <w:vAlign w:val="center"/>
          </w:tcPr>
          <w:p w:rsidR="00A4587B">
            <w:pPr>
              <w:tabs>
                <w:tab w:val="left" w:pos="709"/>
              </w:tabs>
              <w:spacing w:line="360" w:lineRule="auto"/>
              <w:jc w:val="left"/>
              <w:rPr>
                <w:rFonts w:ascii="宋体" w:hAnsi="宋体" w:hint="eastAsia"/>
                <w:sz w:val="18"/>
                <w:szCs w:val="18"/>
              </w:rPr>
            </w:pPr>
          </w:p>
        </w:tc>
      </w:tr>
      <w:tr>
        <w:tblPrEx>
          <w:tblW w:w="0" w:type="auto"/>
          <w:tblLayout w:type="fixed"/>
          <w:tblLook w:val="04A0"/>
        </w:tblPrEx>
        <w:trPr>
          <w:cantSplit/>
        </w:trPr>
        <w:tc>
          <w:tcPr>
            <w:tcW w:w="8789" w:type="dxa"/>
            <w:gridSpan w:val="3"/>
            <w:vAlign w:val="center"/>
          </w:tcPr>
          <w:p w:rsidR="00A4587B">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0" w:type="auto"/>
          <w:tblLayout w:type="fixed"/>
          <w:tblLook w:val="04A0"/>
        </w:tblPrEx>
        <w:trPr>
          <w:cantSplit/>
        </w:trPr>
        <w:tc>
          <w:tcPr>
            <w:tcW w:w="544" w:type="dxa"/>
            <w:vAlign w:val="center"/>
          </w:tcPr>
          <w:p w:rsidR="00A4587B">
            <w:pPr>
              <w:numPr>
                <w:ilvl w:val="0"/>
                <w:numId w:val="7"/>
              </w:numPr>
              <w:rPr>
                <w:rFonts w:ascii="宋体" w:hAnsi="宋体" w:hint="eastAsia"/>
                <w:sz w:val="18"/>
                <w:szCs w:val="18"/>
              </w:rPr>
            </w:pPr>
          </w:p>
        </w:tc>
        <w:tc>
          <w:tcPr>
            <w:tcW w:w="898" w:type="dxa"/>
            <w:vAlign w:val="center"/>
          </w:tcPr>
          <w:p w:rsidR="00A4587B">
            <w:pPr>
              <w:jc w:val="center"/>
              <w:rPr>
                <w:rFonts w:ascii="宋体" w:hAnsi="宋体" w:hint="eastAsia"/>
                <w:sz w:val="18"/>
                <w:szCs w:val="18"/>
              </w:rPr>
            </w:pPr>
          </w:p>
        </w:tc>
        <w:tc>
          <w:tcPr>
            <w:tcW w:w="7347" w:type="dxa"/>
            <w:vAlign w:val="center"/>
          </w:tcPr>
          <w:p w:rsidR="00A4587B">
            <w:pPr>
              <w:tabs>
                <w:tab w:val="left" w:pos="709"/>
              </w:tabs>
              <w:spacing w:line="360" w:lineRule="auto"/>
              <w:jc w:val="left"/>
              <w:rPr>
                <w:rFonts w:ascii="宋体" w:hAnsi="宋体" w:hint="eastAsia"/>
                <w:sz w:val="18"/>
                <w:szCs w:val="18"/>
              </w:rPr>
            </w:pPr>
            <w:r w:rsidRPr="00877A1D">
              <w:rPr>
                <w:rFonts w:ascii="宋体" w:hAnsi="宋体" w:cs="微软雅黑" w:hint="eastAsia"/>
                <w:b/>
                <w:color w:val="0000FF"/>
                <w:kern w:val="0"/>
                <w:sz w:val="18"/>
                <w:szCs w:val="18"/>
              </w:rPr>
              <w:t>服务机型：*高性能增压仓人工增雨（雪）飞机至少一架，需完全满足青藏高原腹地飞机增雨（雪）作业需求，最大升限不低于高度10000米。</w:t>
            </w:r>
          </w:p>
        </w:tc>
      </w:tr>
    </w:tbl>
    <w:p w:rsidR="00A4587B">
      <w:pPr>
        <w:spacing w:before="156" w:beforeLines="50" w:line="360" w:lineRule="auto"/>
        <w:rPr>
          <w:rFonts w:ascii="宋体" w:hAnsi="宋体" w:hint="eastAsia"/>
          <w:szCs w:val="21"/>
        </w:rPr>
      </w:pPr>
      <w:r>
        <w:rPr>
          <w:rFonts w:ascii="宋体" w:hAnsi="宋体" w:hint="eastAsia"/>
          <w:szCs w:val="21"/>
        </w:rPr>
        <w:t>注：根据项目具体情况，对投标人有具体要求，且投标人必须遵守的，逐条列出。</w:t>
      </w:r>
    </w:p>
    <w:p w:rsidR="00A4587B">
      <w:pPr>
        <w:spacing w:before="156" w:beforeLines="50" w:line="360" w:lineRule="auto"/>
        <w:ind w:firstLine="420"/>
      </w:pPr>
    </w:p>
    <w:p w:rsidR="00A77B3E"/>
    <w:p w:rsidR="00A4587B">
      <w:pPr>
        <w:spacing w:before="156" w:beforeLines="50" w:line="360" w:lineRule="auto"/>
        <w:jc w:val="center"/>
        <w:outlineLvl w:val="1"/>
        <w:rPr>
          <w:rFonts w:ascii="宋体" w:hAnsi="宋体" w:hint="eastAsia"/>
          <w:b/>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5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ED636A">
      <w:pPr>
        <w:numPr>
          <w:ilvl w:val="0"/>
          <w:numId w:val="4"/>
        </w:numPr>
        <w:spacing w:line="360" w:lineRule="auto"/>
        <w:ind w:firstLine="3066" w:firstLineChars="1460"/>
        <w:jc w:val="left"/>
        <w:rPr>
          <w:rFonts w:ascii="Times New Roman" w:eastAsia="宋体" w:hAnsi="Times New Roman" w:cs="Times New Roman"/>
          <w:b/>
          <w:bCs/>
          <w:szCs w:val="21"/>
        </w:rPr>
      </w:pPr>
      <w:bookmarkStart w:id="60" w:name="采购公告合同部分_ZBGGHT"/>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ED636A">
      <w:pPr>
        <w:spacing w:line="360" w:lineRule="auto"/>
        <w:ind w:left="1680" w:firstLine="420"/>
        <w:jc w:val="left"/>
        <w:rPr>
          <w:rFonts w:ascii="Times New Roman" w:eastAsia="宋体" w:hAnsi="Times New Roman" w:cs="Times New Roman"/>
          <w:b/>
          <w:bCs/>
          <w:szCs w:val="21"/>
        </w:rPr>
      </w:pPr>
      <w:r>
        <w:rPr>
          <w:rFonts w:hint="eastAsia"/>
          <w:b/>
          <w:bCs/>
          <w:szCs w:val="21"/>
        </w:rPr>
        <w:t>必须明确合同金额支付条件及支付比例</w:t>
      </w:r>
    </w:p>
    <w:p w:rsidR="00ED636A">
      <w:pPr>
        <w:spacing w:line="360" w:lineRule="auto"/>
        <w:ind w:firstLine="3066" w:firstLineChars="146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rsidR="00ED636A">
      <w:pPr>
        <w:widowControl/>
        <w:jc w:val="center"/>
        <w:rPr>
          <w:rFonts w:ascii="宋体" w:eastAsia="微软雅黑" w:hAnsi="宋体" w:cs="宋体" w:hint="eastAsia"/>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rsidR="00ED636A">
      <w:pPr>
        <w:rPr>
          <w:rFonts w:ascii="宋体" w:eastAsia="宋体" w:hAnsi="宋体" w:cs="宋体" w:hint="eastAsia"/>
          <w:b/>
          <w:bCs/>
          <w:spacing w:val="-20"/>
          <w:kern w:val="44"/>
          <w:sz w:val="40"/>
          <w:szCs w:val="40"/>
        </w:rPr>
      </w:pPr>
    </w:p>
    <w:p w:rsidR="00ED636A">
      <w:pPr>
        <w:rPr>
          <w:rFonts w:ascii="宋体" w:eastAsia="宋体" w:hAnsi="宋体" w:cs="宋体" w:hint="eastAsia"/>
          <w:b/>
          <w:bCs/>
          <w:spacing w:val="-20"/>
          <w:kern w:val="44"/>
          <w:sz w:val="40"/>
          <w:szCs w:val="40"/>
        </w:rPr>
      </w:pPr>
    </w:p>
    <w:p w:rsidR="00ED636A">
      <w:pPr>
        <w:rPr>
          <w:rFonts w:ascii="宋体" w:eastAsia="宋体" w:hAnsi="宋体" w:cs="宋体" w:hint="eastAsia"/>
          <w:b/>
          <w:bCs/>
          <w:spacing w:val="-20"/>
          <w:kern w:val="44"/>
          <w:sz w:val="40"/>
          <w:szCs w:val="40"/>
        </w:rPr>
      </w:pPr>
    </w:p>
    <w:p w:rsidR="00ED636A">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rsidR="00ED636A">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rsidR="00ED636A">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ED636A">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ED636A">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rsidR="00ED636A">
      <w:pPr>
        <w:rPr>
          <w:rFonts w:ascii="Times New Roman" w:eastAsia="宋体" w:hAnsi="Times New Roman" w:cs="Times New Roman"/>
          <w:szCs w:val="20"/>
        </w:rPr>
      </w:pPr>
    </w:p>
    <w:p w:rsidR="00ED636A">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rsidR="00ED636A">
      <w:pPr>
        <w:rPr>
          <w:rFonts w:ascii="Times New Roman" w:eastAsia="黑体" w:hAnsi="Times New Roman" w:cs="Times New Roman"/>
          <w:sz w:val="44"/>
          <w:szCs w:val="44"/>
        </w:rPr>
      </w:pPr>
    </w:p>
    <w:p w:rsidR="00ED636A">
      <w:pPr>
        <w:rPr>
          <w:rFonts w:ascii="Times New Roman" w:eastAsia="黑体" w:hAnsi="Times New Roman" w:cs="Times New Roman"/>
          <w:sz w:val="44"/>
          <w:szCs w:val="44"/>
        </w:rPr>
      </w:pPr>
    </w:p>
    <w:p w:rsidR="00ED636A">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用</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说</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明</w:t>
      </w:r>
    </w:p>
    <w:p w:rsidR="00ED636A">
      <w:pPr>
        <w:ind w:firstLine="640" w:firstLineChars="200"/>
        <w:rPr>
          <w:rFonts w:ascii="仿宋_GB2312" w:eastAsia="仿宋_GB2312" w:hAnsi="仿宋_GB2312" w:cs="仿宋_GB2312" w:hint="eastAsia"/>
          <w:sz w:val="32"/>
          <w:szCs w:val="32"/>
        </w:rPr>
      </w:pPr>
    </w:p>
    <w:p w:rsidR="00ED636A">
      <w:pPr>
        <w:numPr>
          <w:ilvl w:val="0"/>
          <w:numId w:val="5"/>
        </w:numPr>
        <w:tabs>
          <w:tab w:val="left" w:pos="312"/>
        </w:tabs>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本合同标准文本适用于气象部门服务类（非定制开发软件）采购项目。</w:t>
      </w:r>
    </w:p>
    <w:p w:rsidR="00ED636A">
      <w:pPr>
        <w:numPr>
          <w:ilvl w:val="0"/>
          <w:numId w:val="5"/>
        </w:numPr>
        <w:tabs>
          <w:tab w:val="left" w:pos="312"/>
        </w:tabs>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可以结合采购项目具体情况，对文本作必要的调整修订后使用。</w:t>
      </w:r>
    </w:p>
    <w:p w:rsidR="00ED636A">
      <w:pPr>
        <w:numPr>
          <w:ilvl w:val="0"/>
          <w:numId w:val="5"/>
        </w:numPr>
        <w:tabs>
          <w:tab w:val="left" w:pos="312"/>
        </w:tabs>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ED636A">
      <w:pPr>
        <w:widowControl/>
        <w:jc w:val="left"/>
        <w:rPr>
          <w:rFonts w:ascii="宋体" w:eastAsia="宋体" w:hAnsi="宋体" w:cs="Times New Roman" w:hint="eastAsia"/>
          <w:szCs w:val="21"/>
        </w:rPr>
      </w:pPr>
      <w:r>
        <w:rPr>
          <w:rFonts w:ascii="宋体" w:eastAsia="宋体" w:hAnsi="宋体" w:cs="Times New Roman"/>
          <w:szCs w:val="21"/>
        </w:rPr>
        <w:br w:type="page"/>
      </w:r>
    </w:p>
    <w:p w:rsidR="00ED636A">
      <w:pPr>
        <w:snapToGrid w:val="0"/>
        <w:spacing w:line="360" w:lineRule="auto"/>
        <w:ind w:firstLine="420"/>
        <w:rPr>
          <w:rFonts w:ascii="宋体" w:eastAsia="宋体" w:hAnsi="宋体" w:cs="Times New Roman" w:hint="eastAsia"/>
          <w:szCs w:val="21"/>
        </w:rPr>
      </w:pPr>
    </w:p>
    <w:p w:rsidR="00ED636A">
      <w:pPr>
        <w:tabs>
          <w:tab w:val="left" w:pos="1573"/>
        </w:tabs>
        <w:adjustRightInd w:val="0"/>
        <w:snapToGrid w:val="0"/>
        <w:spacing w:line="360" w:lineRule="auto"/>
        <w:ind w:left="708" w:hanging="708"/>
        <w:jc w:val="center"/>
        <w:outlineLvl w:val="1"/>
        <w:rPr>
          <w:rFonts w:ascii="宋体" w:eastAsia="宋体" w:hAnsi="宋体" w:cs="Times New Roman" w:hint="eastAsia"/>
          <w:b/>
          <w:sz w:val="30"/>
          <w:szCs w:val="30"/>
        </w:rPr>
      </w:pPr>
      <w:r>
        <w:rPr>
          <w:rFonts w:ascii="宋体" w:eastAsia="宋体" w:hAnsi="宋体" w:cs="Times New Roman" w:hint="eastAsia"/>
          <w:b/>
          <w:sz w:val="30"/>
          <w:szCs w:val="30"/>
        </w:rPr>
        <w:t>第一部分  合同专用部分</w:t>
      </w:r>
    </w:p>
    <w:p w:rsidR="00ED636A">
      <w:pPr>
        <w:snapToGrid w:val="0"/>
        <w:spacing w:line="360" w:lineRule="auto"/>
        <w:ind w:firstLine="420"/>
        <w:jc w:val="center"/>
        <w:rPr>
          <w:rFonts w:ascii="宋体" w:eastAsia="宋体" w:hAnsi="宋体" w:cs="Times New Roman" w:hint="eastAsia"/>
          <w:szCs w:val="21"/>
        </w:rPr>
      </w:pPr>
    </w:p>
    <w:p w:rsidR="00ED636A">
      <w:pPr>
        <w:snapToGrid w:val="0"/>
        <w:spacing w:line="360" w:lineRule="auto"/>
        <w:ind w:firstLine="420"/>
        <w:rPr>
          <w:rFonts w:ascii="宋体" w:eastAsia="宋体" w:hAnsi="宋体" w:cs="Times New Roman" w:hint="eastAsia"/>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 xml:space="preserve">                                  </w:t>
      </w:r>
    </w:p>
    <w:p w:rsidR="00ED636A">
      <w:pPr>
        <w:snapToGrid w:val="0"/>
        <w:spacing w:line="360" w:lineRule="auto"/>
        <w:ind w:firstLine="420"/>
        <w:rPr>
          <w:rFonts w:ascii="宋体" w:eastAsia="宋体" w:hAnsi="宋体" w:cs="Times New Roman" w:hint="eastAsia"/>
          <w:szCs w:val="21"/>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rsidR="00ED636A">
      <w:pPr>
        <w:snapToGrid w:val="0"/>
        <w:spacing w:line="360" w:lineRule="auto"/>
        <w:ind w:firstLine="420"/>
        <w:rPr>
          <w:rFonts w:ascii="宋体" w:eastAsia="宋体" w:hAnsi="宋体" w:cs="Times New Roman" w:hint="eastAsia"/>
          <w:szCs w:val="21"/>
        </w:rPr>
      </w:pPr>
      <w:r>
        <w:rPr>
          <w:rFonts w:ascii="宋体" w:eastAsia="宋体" w:hAnsi="宋体" w:cs="Times New Roman" w:hint="eastAsia"/>
          <w:szCs w:val="21"/>
        </w:rPr>
        <w:t>甲乙双方</w:t>
      </w:r>
      <w:r>
        <w:rPr>
          <w:rFonts w:ascii="Calibri" w:eastAsia="宋体" w:hAnsi="Calibri" w:cs="Times New Roman" w:hint="eastAsia"/>
          <w:szCs w:val="21"/>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rPr>
        <w:t>经平等协商达成合同如下：</w:t>
      </w:r>
    </w:p>
    <w:p w:rsidR="00ED636A">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一、项目</w:t>
      </w:r>
    </w:p>
    <w:p w:rsidR="00ED636A">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w:t>
      </w:r>
    </w:p>
    <w:p w:rsidR="00ED636A">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                            </w:t>
      </w:r>
    </w:p>
    <w:p w:rsidR="00ED636A">
      <w:pPr>
        <w:adjustRightInd w:val="0"/>
        <w:snapToGrid w:val="0"/>
        <w:spacing w:line="360" w:lineRule="auto"/>
        <w:ind w:firstLine="420" w:firstLineChars="200"/>
        <w:rPr>
          <w:rFonts w:ascii="宋体" w:eastAsia="宋体" w:hAnsi="宋体" w:cs="Times New Roman" w:hint="eastAsia"/>
          <w:b/>
          <w:szCs w:val="28"/>
        </w:rPr>
      </w:pPr>
      <w:r>
        <w:rPr>
          <w:rFonts w:ascii="Times New Roman" w:eastAsia="宋体" w:hAnsi="Times New Roman" w:cs="Times New Roman" w:hint="eastAsia"/>
          <w:szCs w:val="21"/>
        </w:rPr>
        <w:t>二、</w:t>
      </w:r>
      <w:r>
        <w:rPr>
          <w:rFonts w:ascii="宋体" w:eastAsia="宋体" w:hAnsi="宋体" w:cs="Times New Roman" w:hint="eastAsia"/>
          <w:b/>
          <w:szCs w:val="28"/>
        </w:rPr>
        <w:t>合同标的</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68" w:type="dxa"/>
            <w:vAlign w:val="center"/>
          </w:tcPr>
          <w:p w:rsidR="00ED636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序号</w:t>
            </w:r>
          </w:p>
        </w:tc>
        <w:tc>
          <w:tcPr>
            <w:tcW w:w="2935" w:type="dxa"/>
            <w:vAlign w:val="center"/>
          </w:tcPr>
          <w:p w:rsidR="00ED636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服务产品名称</w:t>
            </w:r>
          </w:p>
        </w:tc>
        <w:tc>
          <w:tcPr>
            <w:tcW w:w="735" w:type="dxa"/>
            <w:vAlign w:val="center"/>
          </w:tcPr>
          <w:p w:rsidR="00ED636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数量</w:t>
            </w:r>
          </w:p>
        </w:tc>
        <w:tc>
          <w:tcPr>
            <w:tcW w:w="1318" w:type="dxa"/>
            <w:vAlign w:val="center"/>
          </w:tcPr>
          <w:p w:rsidR="00ED636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质量说明</w:t>
            </w:r>
          </w:p>
        </w:tc>
        <w:tc>
          <w:tcPr>
            <w:tcW w:w="750" w:type="dxa"/>
            <w:vAlign w:val="center"/>
          </w:tcPr>
          <w:p w:rsidR="00ED636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价格</w:t>
            </w:r>
          </w:p>
        </w:tc>
        <w:tc>
          <w:tcPr>
            <w:tcW w:w="1275" w:type="dxa"/>
            <w:vAlign w:val="center"/>
          </w:tcPr>
          <w:p w:rsidR="00ED636A">
            <w:pPr>
              <w:tabs>
                <w:tab w:val="left" w:pos="1573"/>
              </w:tabs>
              <w:autoSpaceDE w:val="0"/>
              <w:autoSpaceDN w:val="0"/>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交付时间</w:t>
            </w:r>
          </w:p>
        </w:tc>
      </w:tr>
      <w:tr>
        <w:tblPrEx>
          <w:tblW w:w="0" w:type="auto"/>
          <w:jc w:val="center"/>
          <w:tblLayout w:type="fixed"/>
          <w:tblLook w:val="04A0"/>
        </w:tblPrEx>
        <w:trPr>
          <w:jc w:val="center"/>
        </w:trPr>
        <w:tc>
          <w:tcPr>
            <w:tcW w:w="768" w:type="dxa"/>
            <w:vAlign w:val="center"/>
          </w:tcPr>
          <w:p w:rsidR="00ED636A">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2935" w:type="dxa"/>
            <w:vAlign w:val="center"/>
          </w:tcPr>
          <w:p w:rsidR="00ED636A">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35" w:type="dxa"/>
            <w:vAlign w:val="center"/>
          </w:tcPr>
          <w:p w:rsidR="00ED636A">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318" w:type="dxa"/>
            <w:vAlign w:val="center"/>
          </w:tcPr>
          <w:p w:rsidR="00ED636A">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50" w:type="dxa"/>
            <w:vAlign w:val="center"/>
          </w:tcPr>
          <w:p w:rsidR="00ED636A">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275" w:type="dxa"/>
            <w:vAlign w:val="center"/>
          </w:tcPr>
          <w:p w:rsidR="00ED636A">
            <w:pPr>
              <w:tabs>
                <w:tab w:val="left" w:pos="1573"/>
              </w:tabs>
              <w:autoSpaceDE w:val="0"/>
              <w:autoSpaceDN w:val="0"/>
              <w:adjustRightInd w:val="0"/>
              <w:snapToGrid w:val="0"/>
              <w:spacing w:line="360" w:lineRule="auto"/>
              <w:rPr>
                <w:rFonts w:ascii="宋体" w:eastAsia="宋体" w:hAnsi="宋体" w:cs="Times New Roman" w:hint="eastAsia"/>
                <w:szCs w:val="21"/>
              </w:rPr>
            </w:pPr>
          </w:p>
        </w:tc>
      </w:tr>
      <w:tr>
        <w:tblPrEx>
          <w:tblW w:w="0" w:type="auto"/>
          <w:jc w:val="center"/>
          <w:tblLayout w:type="fixed"/>
          <w:tblLook w:val="04A0"/>
        </w:tblPrEx>
        <w:trPr>
          <w:jc w:val="center"/>
        </w:trPr>
        <w:tc>
          <w:tcPr>
            <w:tcW w:w="768" w:type="dxa"/>
            <w:vAlign w:val="center"/>
          </w:tcPr>
          <w:p w:rsidR="00ED636A">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2935" w:type="dxa"/>
            <w:vAlign w:val="center"/>
          </w:tcPr>
          <w:p w:rsidR="00ED636A">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35" w:type="dxa"/>
            <w:vAlign w:val="center"/>
          </w:tcPr>
          <w:p w:rsidR="00ED636A">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318" w:type="dxa"/>
            <w:vAlign w:val="center"/>
          </w:tcPr>
          <w:p w:rsidR="00ED636A">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50" w:type="dxa"/>
            <w:vAlign w:val="center"/>
          </w:tcPr>
          <w:p w:rsidR="00ED636A">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275" w:type="dxa"/>
            <w:vAlign w:val="center"/>
          </w:tcPr>
          <w:p w:rsidR="00ED636A">
            <w:pPr>
              <w:tabs>
                <w:tab w:val="left" w:pos="1573"/>
              </w:tabs>
              <w:autoSpaceDE w:val="0"/>
              <w:autoSpaceDN w:val="0"/>
              <w:adjustRightInd w:val="0"/>
              <w:snapToGrid w:val="0"/>
              <w:spacing w:line="360" w:lineRule="auto"/>
              <w:rPr>
                <w:rFonts w:ascii="宋体" w:eastAsia="宋体" w:hAnsi="宋体" w:cs="Times New Roman" w:hint="eastAsia"/>
                <w:szCs w:val="21"/>
              </w:rPr>
            </w:pPr>
          </w:p>
        </w:tc>
      </w:tr>
      <w:tr>
        <w:tblPrEx>
          <w:tblW w:w="0" w:type="auto"/>
          <w:jc w:val="center"/>
          <w:tblLayout w:type="fixed"/>
          <w:tblLook w:val="04A0"/>
        </w:tblPrEx>
        <w:trPr>
          <w:jc w:val="center"/>
        </w:trPr>
        <w:tc>
          <w:tcPr>
            <w:tcW w:w="768" w:type="dxa"/>
            <w:vAlign w:val="center"/>
          </w:tcPr>
          <w:p w:rsidR="00ED636A">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2935" w:type="dxa"/>
            <w:vAlign w:val="center"/>
          </w:tcPr>
          <w:p w:rsidR="00ED636A">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35" w:type="dxa"/>
            <w:vAlign w:val="center"/>
          </w:tcPr>
          <w:p w:rsidR="00ED636A">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318" w:type="dxa"/>
            <w:vAlign w:val="center"/>
          </w:tcPr>
          <w:p w:rsidR="00ED636A">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50" w:type="dxa"/>
            <w:vAlign w:val="center"/>
          </w:tcPr>
          <w:p w:rsidR="00ED636A">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275" w:type="dxa"/>
            <w:vAlign w:val="center"/>
          </w:tcPr>
          <w:p w:rsidR="00ED636A">
            <w:pPr>
              <w:tabs>
                <w:tab w:val="left" w:pos="1573"/>
              </w:tabs>
              <w:autoSpaceDE w:val="0"/>
              <w:autoSpaceDN w:val="0"/>
              <w:adjustRightInd w:val="0"/>
              <w:snapToGrid w:val="0"/>
              <w:spacing w:line="360" w:lineRule="auto"/>
              <w:rPr>
                <w:rFonts w:ascii="宋体" w:eastAsia="宋体" w:hAnsi="宋体" w:cs="Times New Roman" w:hint="eastAsia"/>
                <w:szCs w:val="21"/>
              </w:rPr>
            </w:pPr>
          </w:p>
        </w:tc>
      </w:tr>
    </w:tbl>
    <w:p w:rsidR="00ED636A">
      <w:pPr>
        <w:tabs>
          <w:tab w:val="left" w:pos="1573"/>
        </w:tabs>
        <w:adjustRightInd w:val="0"/>
        <w:snapToGrid w:val="0"/>
        <w:spacing w:line="360" w:lineRule="auto"/>
        <w:ind w:firstLine="420" w:firstLineChars="200"/>
        <w:jc w:val="left"/>
        <w:rPr>
          <w:rFonts w:ascii="宋体" w:eastAsia="宋体" w:hAnsi="宋体" w:cs="Times New Roman" w:hint="eastAsia"/>
          <w:b/>
          <w:szCs w:val="28"/>
        </w:rPr>
      </w:pPr>
      <w:r>
        <w:rPr>
          <w:rFonts w:ascii="宋体" w:eastAsia="宋体" w:hAnsi="宋体" w:cs="Times New Roman" w:hint="eastAsia"/>
          <w:b/>
          <w:szCs w:val="28"/>
        </w:rPr>
        <w:t>三</w:t>
      </w:r>
      <w:r>
        <w:rPr>
          <w:rFonts w:ascii="Times New Roman" w:eastAsia="宋体" w:hAnsi="宋体" w:cs="Times New Roman" w:hint="eastAsia"/>
          <w:b/>
          <w:szCs w:val="20"/>
        </w:rPr>
        <w:t>、合同价格及</w:t>
      </w:r>
      <w:r>
        <w:rPr>
          <w:rFonts w:ascii="宋体" w:eastAsia="宋体" w:hAnsi="宋体" w:cs="Times New Roman" w:hint="eastAsia"/>
          <w:b/>
          <w:szCs w:val="28"/>
        </w:rPr>
        <w:t>付款方式</w:t>
      </w:r>
    </w:p>
    <w:p w:rsidR="002E2721" w:rsidRPr="00B57DAD" w:rsidP="002E2721">
      <w:pPr>
        <w:tabs>
          <w:tab w:val="left" w:pos="1573"/>
        </w:tabs>
        <w:adjustRightInd w:val="0"/>
        <w:snapToGrid w:val="0"/>
        <w:spacing w:line="360" w:lineRule="auto"/>
        <w:ind w:firstLine="420" w:firstLineChars="200"/>
        <w:jc w:val="left"/>
        <w:rPr>
          <w:rFonts w:ascii="宋体" w:hAnsi="宋体" w:hint="eastAsia"/>
          <w:szCs w:val="21"/>
        </w:rPr>
      </w:pPr>
      <w:r w:rsidRPr="00B57DAD">
        <w:rPr>
          <w:rFonts w:ascii="宋体" w:hAnsi="宋体" w:hint="eastAsia"/>
          <w:szCs w:val="21"/>
        </w:rPr>
        <w:t>1、合同总金额为人民币</w:t>
      </w:r>
      <w:r>
        <w:rPr>
          <w:rFonts w:ascii="宋体" w:hAnsi="宋体" w:hint="eastAsia"/>
          <w:szCs w:val="21"/>
          <w:u w:val="single"/>
        </w:rPr>
        <w:t>***万</w:t>
      </w:r>
      <w:r w:rsidRPr="00B57DAD">
        <w:rPr>
          <w:rFonts w:ascii="宋体" w:hAnsi="宋体" w:hint="eastAsia"/>
          <w:szCs w:val="21"/>
        </w:rPr>
        <w:t>元（大写）：</w:t>
      </w:r>
      <w:r>
        <w:rPr>
          <w:rFonts w:ascii="宋体" w:hAnsi="宋体" w:hint="eastAsia"/>
          <w:szCs w:val="21"/>
          <w:u w:val="single"/>
        </w:rPr>
        <w:t>***</w:t>
      </w:r>
      <w:r w:rsidRPr="00D01024">
        <w:rPr>
          <w:rFonts w:ascii="宋体" w:hAnsi="宋体" w:hint="eastAsia"/>
          <w:szCs w:val="21"/>
          <w:u w:val="single"/>
        </w:rPr>
        <w:t xml:space="preserve"> </w:t>
      </w:r>
      <w:r w:rsidRPr="00B57DAD">
        <w:rPr>
          <w:rFonts w:ascii="宋体" w:hAnsi="宋体" w:hint="eastAsia"/>
          <w:szCs w:val="21"/>
        </w:rPr>
        <w:t>元（小写）。</w:t>
      </w:r>
    </w:p>
    <w:p w:rsidR="002E2721" w:rsidRPr="00B57DAD" w:rsidP="002E2721">
      <w:pPr>
        <w:tabs>
          <w:tab w:val="left" w:pos="1573"/>
        </w:tabs>
        <w:adjustRightInd w:val="0"/>
        <w:snapToGrid w:val="0"/>
        <w:spacing w:line="360" w:lineRule="auto"/>
        <w:ind w:firstLine="420" w:firstLineChars="200"/>
        <w:jc w:val="left"/>
        <w:rPr>
          <w:rFonts w:ascii="宋体" w:hAnsi="宋体" w:hint="eastAsia"/>
          <w:szCs w:val="21"/>
        </w:rPr>
      </w:pPr>
      <w:r w:rsidRPr="00B57DAD">
        <w:rPr>
          <w:rFonts w:ascii="宋体" w:hAnsi="宋体" w:hint="eastAsia"/>
          <w:szCs w:val="21"/>
        </w:rPr>
        <w:t>2、合同生效后付款：双方签署合同后</w:t>
      </w:r>
      <w:r>
        <w:rPr>
          <w:rFonts w:ascii="宋体" w:hAnsi="宋体" w:hint="eastAsia"/>
          <w:szCs w:val="21"/>
        </w:rPr>
        <w:t>10</w:t>
      </w:r>
      <w:r w:rsidRPr="00B57DAD">
        <w:rPr>
          <w:rFonts w:ascii="宋体" w:hAnsi="宋体" w:hint="eastAsia"/>
          <w:szCs w:val="21"/>
        </w:rPr>
        <w:t>个工作日内，甲方向乙方支付合同总金额的</w:t>
      </w:r>
      <w:r w:rsidRPr="00D01024">
        <w:rPr>
          <w:rFonts w:ascii="宋体" w:hAnsi="宋体" w:hint="eastAsia"/>
          <w:szCs w:val="21"/>
          <w:u w:val="single"/>
        </w:rPr>
        <w:t>40</w:t>
      </w:r>
      <w:r w:rsidRPr="00D01024">
        <w:rPr>
          <w:rFonts w:ascii="宋体" w:hAnsi="宋体" w:hint="eastAsia"/>
          <w:szCs w:val="21"/>
        </w:rPr>
        <w:t>%，</w:t>
      </w:r>
      <w:bookmarkStart w:id="61" w:name="_Hlk188433553"/>
      <w:r w:rsidRPr="00B57DAD">
        <w:rPr>
          <w:rFonts w:ascii="宋体" w:hAnsi="宋体" w:hint="eastAsia"/>
          <w:szCs w:val="21"/>
        </w:rPr>
        <w:t>即人民币</w:t>
      </w:r>
      <w:r w:rsidRPr="00B57DAD">
        <w:rPr>
          <w:rFonts w:ascii="宋体" w:hAnsi="宋体" w:hint="eastAsia"/>
          <w:szCs w:val="21"/>
          <w:u w:val="single"/>
        </w:rPr>
        <w:t xml:space="preserve"> </w:t>
      </w:r>
      <w:r>
        <w:rPr>
          <w:rFonts w:ascii="宋体" w:hAnsi="宋体" w:hint="eastAsia"/>
          <w:szCs w:val="21"/>
          <w:u w:val="single"/>
        </w:rPr>
        <w:t>***</w:t>
      </w:r>
      <w:r w:rsidRPr="00B57DAD">
        <w:rPr>
          <w:rFonts w:ascii="宋体" w:hAnsi="宋体" w:hint="eastAsia"/>
          <w:szCs w:val="21"/>
        </w:rPr>
        <w:t>元（大写）：</w:t>
      </w:r>
      <w:r w:rsidRPr="00B57DAD">
        <w:rPr>
          <w:rFonts w:ascii="宋体" w:hAnsi="宋体" w:hint="eastAsia"/>
          <w:szCs w:val="21"/>
          <w:u w:val="single"/>
        </w:rPr>
        <w:t xml:space="preserve"> </w:t>
      </w:r>
      <w:r>
        <w:rPr>
          <w:rFonts w:ascii="宋体" w:hAnsi="宋体" w:hint="eastAsia"/>
          <w:szCs w:val="21"/>
          <w:u w:val="single"/>
        </w:rPr>
        <w:t>***</w:t>
      </w:r>
      <w:r w:rsidRPr="00B57DAD">
        <w:rPr>
          <w:rFonts w:ascii="宋体" w:hAnsi="宋体" w:hint="eastAsia"/>
          <w:szCs w:val="21"/>
          <w:u w:val="single"/>
        </w:rPr>
        <w:t xml:space="preserve"> </w:t>
      </w:r>
      <w:r w:rsidRPr="00B57DAD">
        <w:rPr>
          <w:rFonts w:ascii="宋体" w:hAnsi="宋体" w:hint="eastAsia"/>
          <w:szCs w:val="21"/>
        </w:rPr>
        <w:t>元（小写）；</w:t>
      </w:r>
      <w:bookmarkEnd w:id="61"/>
    </w:p>
    <w:p w:rsidR="002E2721" w:rsidRPr="001A6D38" w:rsidP="002E2721">
      <w:pPr>
        <w:tabs>
          <w:tab w:val="left" w:pos="1573"/>
        </w:tabs>
        <w:adjustRightInd w:val="0"/>
        <w:snapToGrid w:val="0"/>
        <w:spacing w:line="360" w:lineRule="auto"/>
        <w:ind w:firstLine="420" w:firstLineChars="200"/>
        <w:jc w:val="left"/>
        <w:rPr>
          <w:rFonts w:ascii="宋体" w:hAnsi="宋体" w:hint="eastAsia"/>
          <w:szCs w:val="21"/>
        </w:rPr>
      </w:pPr>
      <w:r w:rsidRPr="001A6D38">
        <w:rPr>
          <w:rFonts w:ascii="宋体" w:hAnsi="宋体" w:hint="eastAsia"/>
          <w:szCs w:val="21"/>
        </w:rPr>
        <w:t>（2）202</w:t>
      </w:r>
      <w:r>
        <w:rPr>
          <w:rFonts w:ascii="宋体" w:hAnsi="宋体" w:hint="eastAsia"/>
          <w:szCs w:val="21"/>
        </w:rPr>
        <w:t>6</w:t>
      </w:r>
      <w:r w:rsidRPr="001A6D38">
        <w:rPr>
          <w:rFonts w:ascii="宋体" w:hAnsi="宋体" w:hint="eastAsia"/>
          <w:szCs w:val="21"/>
        </w:rPr>
        <w:t>年</w:t>
      </w:r>
      <w:r>
        <w:rPr>
          <w:rFonts w:ascii="宋体" w:hAnsi="宋体" w:hint="eastAsia"/>
          <w:szCs w:val="21"/>
        </w:rPr>
        <w:t>5</w:t>
      </w:r>
      <w:r w:rsidRPr="001A6D38">
        <w:rPr>
          <w:rFonts w:ascii="宋体" w:hAnsi="宋体" w:hint="eastAsia"/>
          <w:szCs w:val="21"/>
        </w:rPr>
        <w:t>月</w:t>
      </w:r>
      <w:r>
        <w:rPr>
          <w:rFonts w:ascii="宋体" w:hAnsi="宋体" w:hint="eastAsia"/>
          <w:szCs w:val="21"/>
        </w:rPr>
        <w:t>20</w:t>
      </w:r>
      <w:r w:rsidRPr="001A6D38">
        <w:rPr>
          <w:rFonts w:ascii="宋体" w:hAnsi="宋体" w:hint="eastAsia"/>
          <w:szCs w:val="21"/>
        </w:rPr>
        <w:t>日前，甲方以银行转账方式，向乙方支付</w:t>
      </w:r>
      <w:r>
        <w:rPr>
          <w:rFonts w:ascii="宋体" w:hAnsi="宋体" w:hint="eastAsia"/>
          <w:szCs w:val="21"/>
          <w:u w:val="single"/>
        </w:rPr>
        <w:t>合同总金额的40</w:t>
      </w:r>
      <w:r w:rsidRPr="00D01024">
        <w:rPr>
          <w:rFonts w:ascii="宋体" w:hAnsi="宋体" w:hint="eastAsia"/>
          <w:szCs w:val="21"/>
        </w:rPr>
        <w:t>%，</w:t>
      </w:r>
      <w:r w:rsidRPr="00B57DAD">
        <w:rPr>
          <w:rFonts w:ascii="宋体" w:hAnsi="宋体" w:hint="eastAsia"/>
          <w:szCs w:val="21"/>
        </w:rPr>
        <w:t>即人民币</w:t>
      </w:r>
      <w:r w:rsidRPr="00B57DAD">
        <w:rPr>
          <w:rFonts w:ascii="宋体" w:hAnsi="宋体" w:hint="eastAsia"/>
          <w:szCs w:val="21"/>
          <w:u w:val="single"/>
        </w:rPr>
        <w:t xml:space="preserve"> </w:t>
      </w:r>
      <w:r>
        <w:rPr>
          <w:rFonts w:ascii="宋体" w:hAnsi="宋体" w:hint="eastAsia"/>
          <w:szCs w:val="21"/>
          <w:u w:val="single"/>
        </w:rPr>
        <w:t>***</w:t>
      </w:r>
      <w:r w:rsidRPr="00B57DAD">
        <w:rPr>
          <w:rFonts w:ascii="宋体" w:hAnsi="宋体" w:hint="eastAsia"/>
          <w:szCs w:val="21"/>
        </w:rPr>
        <w:t>元（大写）：</w:t>
      </w:r>
      <w:r w:rsidRPr="00B57DAD">
        <w:rPr>
          <w:rFonts w:ascii="宋体" w:hAnsi="宋体" w:hint="eastAsia"/>
          <w:szCs w:val="21"/>
          <w:u w:val="single"/>
        </w:rPr>
        <w:t xml:space="preserve"> </w:t>
      </w:r>
      <w:r>
        <w:rPr>
          <w:rFonts w:ascii="宋体" w:hAnsi="宋体" w:hint="eastAsia"/>
          <w:szCs w:val="21"/>
          <w:u w:val="single"/>
        </w:rPr>
        <w:t>***</w:t>
      </w:r>
      <w:r w:rsidRPr="00B57DAD">
        <w:rPr>
          <w:rFonts w:ascii="宋体" w:hAnsi="宋体" w:hint="eastAsia"/>
          <w:szCs w:val="21"/>
          <w:u w:val="single"/>
        </w:rPr>
        <w:t xml:space="preserve"> </w:t>
      </w:r>
      <w:r w:rsidRPr="00B57DAD">
        <w:rPr>
          <w:rFonts w:ascii="宋体" w:hAnsi="宋体" w:hint="eastAsia"/>
          <w:szCs w:val="21"/>
        </w:rPr>
        <w:t>元（小写）；</w:t>
      </w:r>
    </w:p>
    <w:p w:rsidR="002E2721" w:rsidRPr="001A6D38" w:rsidP="002E2721">
      <w:pPr>
        <w:tabs>
          <w:tab w:val="left" w:pos="1573"/>
        </w:tabs>
        <w:adjustRightInd w:val="0"/>
        <w:snapToGrid w:val="0"/>
        <w:spacing w:line="360" w:lineRule="auto"/>
        <w:ind w:firstLine="420" w:firstLineChars="200"/>
        <w:jc w:val="left"/>
        <w:rPr>
          <w:rFonts w:ascii="宋体" w:hAnsi="宋体" w:hint="eastAsia"/>
          <w:szCs w:val="21"/>
        </w:rPr>
      </w:pPr>
      <w:r w:rsidRPr="001A6D38">
        <w:rPr>
          <w:rFonts w:ascii="宋体" w:hAnsi="宋体" w:hint="eastAsia"/>
          <w:szCs w:val="21"/>
        </w:rPr>
        <w:t>（</w:t>
      </w:r>
      <w:r w:rsidRPr="001A6D38">
        <w:rPr>
          <w:rFonts w:ascii="宋体" w:hAnsi="宋体"/>
          <w:szCs w:val="21"/>
        </w:rPr>
        <w:t>3</w:t>
      </w:r>
      <w:r w:rsidRPr="001A6D38">
        <w:rPr>
          <w:rFonts w:ascii="宋体" w:hAnsi="宋体" w:hint="eastAsia"/>
          <w:szCs w:val="21"/>
        </w:rPr>
        <w:t>）202</w:t>
      </w:r>
      <w:r>
        <w:rPr>
          <w:rFonts w:ascii="宋体" w:hAnsi="宋体" w:hint="eastAsia"/>
          <w:szCs w:val="21"/>
        </w:rPr>
        <w:t>6</w:t>
      </w:r>
      <w:r w:rsidRPr="001A6D38">
        <w:rPr>
          <w:rFonts w:ascii="宋体" w:hAnsi="宋体" w:hint="eastAsia"/>
          <w:szCs w:val="21"/>
        </w:rPr>
        <w:t>年</w:t>
      </w:r>
      <w:r>
        <w:rPr>
          <w:rFonts w:ascii="宋体" w:hAnsi="宋体" w:hint="eastAsia"/>
          <w:szCs w:val="21"/>
        </w:rPr>
        <w:t>6</w:t>
      </w:r>
      <w:r w:rsidRPr="001A6D38">
        <w:rPr>
          <w:rFonts w:ascii="宋体" w:hAnsi="宋体" w:hint="eastAsia"/>
          <w:szCs w:val="21"/>
        </w:rPr>
        <w:t>月</w:t>
      </w:r>
      <w:r w:rsidR="00330A6F">
        <w:rPr>
          <w:rFonts w:ascii="宋体" w:hAnsi="宋体" w:hint="eastAsia"/>
          <w:szCs w:val="21"/>
        </w:rPr>
        <w:t>30</w:t>
      </w:r>
      <w:r w:rsidRPr="001A6D38">
        <w:rPr>
          <w:rFonts w:ascii="宋体" w:hAnsi="宋体" w:hint="eastAsia"/>
          <w:szCs w:val="21"/>
        </w:rPr>
        <w:t>日前，</w:t>
      </w:r>
      <w:r w:rsidRPr="009D7E75">
        <w:rPr>
          <w:rFonts w:ascii="宋体" w:hAnsi="宋体" w:hint="eastAsia"/>
          <w:szCs w:val="21"/>
        </w:rPr>
        <w:t>甲方以银行转账方式，</w:t>
      </w:r>
      <w:r w:rsidRPr="001A6D38">
        <w:rPr>
          <w:rFonts w:ascii="宋体" w:hAnsi="宋体" w:hint="eastAsia"/>
          <w:szCs w:val="21"/>
        </w:rPr>
        <w:t>向乙方支付剩余结算费用。</w:t>
      </w:r>
    </w:p>
    <w:p w:rsidR="00ED636A">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b/>
          <w:szCs w:val="28"/>
        </w:rPr>
        <w:t>四、甲方应向乙方提供的资料</w:t>
      </w:r>
    </w:p>
    <w:p w:rsidR="00ED636A">
      <w:pPr>
        <w:tabs>
          <w:tab w:val="left" w:pos="1573"/>
        </w:tabs>
        <w:adjustRightInd w:val="0"/>
        <w:snapToGrid w:val="0"/>
        <w:spacing w:line="360" w:lineRule="auto"/>
        <w:ind w:firstLine="412" w:firstLineChars="196"/>
        <w:jc w:val="left"/>
        <w:rPr>
          <w:rFonts w:ascii="宋体" w:eastAsia="宋体" w:hAnsi="宋体" w:cs="Times New Roman" w:hint="eastAsia"/>
          <w:szCs w:val="28"/>
        </w:rPr>
      </w:pPr>
      <w:r>
        <w:rPr>
          <w:rFonts w:ascii="宋体" w:eastAsia="宋体" w:hAnsi="宋体" w:cs="Times New Roman" w:hint="eastAsia"/>
          <w:szCs w:val="28"/>
        </w:rPr>
        <w:t>甲方提供该乙方履行合同所需的资料清单如下：</w:t>
      </w:r>
    </w:p>
    <w:p w:rsidR="00ED636A">
      <w:pPr>
        <w:tabs>
          <w:tab w:val="left" w:pos="1573"/>
        </w:tabs>
        <w:adjustRightInd w:val="0"/>
        <w:snapToGrid w:val="0"/>
        <w:spacing w:line="360" w:lineRule="auto"/>
        <w:ind w:firstLine="412" w:firstLineChars="196"/>
        <w:jc w:val="left"/>
        <w:rPr>
          <w:rFonts w:ascii="宋体" w:eastAsia="宋体" w:hAnsi="宋体" w:cs="Times New Roman" w:hint="eastAsia"/>
          <w:szCs w:val="28"/>
        </w:rPr>
      </w:pPr>
    </w:p>
    <w:p w:rsidR="00ED636A">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b/>
          <w:szCs w:val="28"/>
        </w:rPr>
        <w:t>五、进度要求及交付</w:t>
      </w:r>
    </w:p>
    <w:p w:rsidR="00ED636A">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1、交付日期：</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ED636A">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2、交付地点：</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ED636A">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3、其他约定事项：</w:t>
      </w:r>
      <w:r>
        <w:rPr>
          <w:rFonts w:ascii="宋体" w:eastAsia="宋体" w:hAnsi="宋体" w:cs="Times New Roman" w:hint="eastAsia"/>
          <w:szCs w:val="21"/>
          <w:u w:val="single"/>
        </w:rPr>
        <w:t xml:space="preserve">                                                     </w:t>
      </w:r>
      <w:r>
        <w:rPr>
          <w:rFonts w:ascii="宋体" w:eastAsia="宋体" w:hAnsi="宋体" w:cs="Times New Roman" w:hint="eastAsia"/>
          <w:szCs w:val="21"/>
        </w:rPr>
        <w:t>。</w:t>
      </w:r>
    </w:p>
    <w:p w:rsidR="00ED636A">
      <w:pPr>
        <w:tabs>
          <w:tab w:val="left" w:pos="1573"/>
        </w:tabs>
        <w:adjustRightInd w:val="0"/>
        <w:snapToGrid w:val="0"/>
        <w:spacing w:line="360" w:lineRule="auto"/>
        <w:ind w:left="420" w:leftChars="200"/>
        <w:rPr>
          <w:rFonts w:ascii="Times New Roman" w:eastAsia="宋体" w:hAnsi="Times New Roman" w:cs="Times New Roman"/>
          <w:b/>
          <w:szCs w:val="21"/>
        </w:rPr>
      </w:pPr>
      <w:r>
        <w:rPr>
          <w:rFonts w:ascii="宋体" w:eastAsia="宋体" w:hAnsi="宋体" w:cs="Times New Roman" w:hint="eastAsia"/>
          <w:b/>
          <w:szCs w:val="21"/>
        </w:rPr>
        <w:t>六、</w:t>
      </w:r>
      <w:r>
        <w:rPr>
          <w:rFonts w:ascii="Times New Roman" w:eastAsia="宋体" w:hAnsi="Times New Roman" w:cs="Times New Roman" w:hint="eastAsia"/>
          <w:b/>
          <w:szCs w:val="21"/>
        </w:rPr>
        <w:t>技术服务和保修责任</w:t>
      </w:r>
    </w:p>
    <w:p w:rsidR="00ED636A">
      <w:pPr>
        <w:tabs>
          <w:tab w:val="left" w:pos="1573"/>
        </w:tabs>
        <w:adjustRightInd w:val="0"/>
        <w:snapToGrid w:val="0"/>
        <w:spacing w:line="360" w:lineRule="auto"/>
        <w:ind w:firstLine="412" w:firstLineChars="196"/>
        <w:jc w:val="left"/>
        <w:rPr>
          <w:rFonts w:ascii="宋体" w:eastAsia="宋体" w:hAnsi="宋体" w:cs="Times New Roman" w:hint="eastAsia"/>
          <w:szCs w:val="21"/>
        </w:rPr>
      </w:pPr>
      <w:r>
        <w:rPr>
          <w:rFonts w:ascii="宋体" w:eastAsia="宋体" w:hAnsi="宋体" w:cs="Times New Roman" w:hint="eastAsia"/>
          <w:szCs w:val="21"/>
        </w:rPr>
        <w:t>乙方对合同服务的质量保修期为验收证书签署之日起</w:t>
      </w:r>
      <w:r>
        <w:rPr>
          <w:rFonts w:ascii="宋体" w:eastAsia="宋体" w:hAnsi="宋体" w:cs="Times New Roman" w:hint="eastAsia"/>
          <w:szCs w:val="21"/>
          <w:u w:val="single"/>
        </w:rPr>
        <w:t xml:space="preserve">          </w:t>
      </w:r>
      <w:r>
        <w:rPr>
          <w:rFonts w:ascii="宋体" w:eastAsia="宋体" w:hAnsi="宋体" w:cs="Times New Roman" w:hint="eastAsia"/>
          <w:szCs w:val="21"/>
        </w:rPr>
        <w:t>个</w:t>
      </w:r>
      <w:r>
        <w:rPr>
          <w:rFonts w:ascii="宋体" w:eastAsia="宋体" w:hAnsi="宋体" w:cs="Times New Roman" w:hint="eastAsia"/>
          <w:szCs w:val="21"/>
        </w:rPr>
        <w:t>月。</w:t>
      </w:r>
    </w:p>
    <w:p w:rsidR="00ED636A">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b/>
          <w:szCs w:val="28"/>
        </w:rPr>
        <w:t>七、履约验收</w:t>
      </w:r>
    </w:p>
    <w:p w:rsidR="00ED636A">
      <w:pPr>
        <w:tabs>
          <w:tab w:val="left" w:pos="1573"/>
        </w:tabs>
        <w:adjustRightInd w:val="0"/>
        <w:snapToGrid w:val="0"/>
        <w:spacing w:line="360" w:lineRule="auto"/>
        <w:ind w:firstLine="412" w:firstLineChars="196"/>
        <w:jc w:val="left"/>
        <w:rPr>
          <w:rFonts w:ascii="宋体" w:eastAsia="宋体" w:hAnsi="宋体" w:cs="Times New Roman" w:hint="eastAsia"/>
          <w:szCs w:val="28"/>
        </w:rPr>
      </w:pPr>
      <w:r>
        <w:rPr>
          <w:rFonts w:ascii="宋体" w:eastAsia="宋体" w:hAnsi="宋体" w:cs="Times New Roman" w:hint="eastAsia"/>
          <w:szCs w:val="28"/>
        </w:rPr>
        <w:t>（略）</w:t>
      </w:r>
    </w:p>
    <w:p w:rsidR="00ED636A">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szCs w:val="28"/>
        </w:rPr>
        <w:t>具体条款由甲方商乙方拟定。基本内容应包括：验收时间；验收地点；一次性验收还是分阶段、分期验收；验收方式（包括</w:t>
      </w:r>
      <w:r>
        <w:rPr>
          <w:rFonts w:ascii="宋体" w:eastAsia="宋体" w:hAnsi="宋体" w:cs="Times New Roman" w:hint="eastAsia"/>
          <w:szCs w:val="21"/>
        </w:rPr>
        <w:t>自行简易验收、验收小组验收、委托第三方验收等）；验收内容和标准（参见附表）；验收未通过（整体未通过或部分未通过）的处理措施；验收费用承担方等</w:t>
      </w:r>
    </w:p>
    <w:p w:rsidR="00ED636A">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b/>
          <w:szCs w:val="28"/>
        </w:rPr>
        <w:t>八、风险管理</w:t>
      </w:r>
    </w:p>
    <w:p w:rsidR="00ED636A">
      <w:pPr>
        <w:tabs>
          <w:tab w:val="left" w:pos="1573"/>
        </w:tabs>
        <w:adjustRightInd w:val="0"/>
        <w:snapToGrid w:val="0"/>
        <w:spacing w:line="360" w:lineRule="auto"/>
        <w:ind w:firstLine="412" w:firstLineChars="196"/>
        <w:jc w:val="left"/>
        <w:rPr>
          <w:rFonts w:ascii="宋体" w:eastAsia="宋体" w:hAnsi="宋体" w:cs="Times New Roman" w:hint="eastAsia"/>
          <w:szCs w:val="20"/>
        </w:rPr>
      </w:pPr>
      <w:r>
        <w:rPr>
          <w:rFonts w:ascii="宋体" w:eastAsia="宋体" w:hAnsi="宋体" w:cs="Times New Roman" w:hint="eastAsia"/>
          <w:szCs w:val="20"/>
        </w:rPr>
        <w:t>（略）</w:t>
      </w:r>
    </w:p>
    <w:p w:rsidR="00ED636A">
      <w:pPr>
        <w:tabs>
          <w:tab w:val="left" w:pos="1573"/>
        </w:tabs>
        <w:adjustRightInd w:val="0"/>
        <w:snapToGrid w:val="0"/>
        <w:spacing w:line="360" w:lineRule="auto"/>
        <w:ind w:firstLine="412" w:firstLineChars="196"/>
        <w:jc w:val="left"/>
        <w:rPr>
          <w:rFonts w:ascii="宋体" w:eastAsia="宋体" w:hAnsi="宋体" w:cs="Times New Roman" w:hint="eastAsia"/>
          <w:szCs w:val="20"/>
        </w:rPr>
      </w:pPr>
      <w:r>
        <w:rPr>
          <w:rFonts w:ascii="宋体" w:eastAsia="宋体" w:hAnsi="宋体" w:cs="Times New Roman" w:hint="eastAsia"/>
          <w:szCs w:val="20"/>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rPr>
        <w:t>国家政策变化</w:t>
      </w:r>
      <w:r>
        <w:rPr>
          <w:rFonts w:ascii="Times New Roman" w:eastAsia="宋体" w:hAnsi="Times New Roman" w:cs="Times New Roman" w:hint="eastAsia"/>
          <w:szCs w:val="20"/>
        </w:rPr>
        <w:t>、</w:t>
      </w:r>
      <w:r>
        <w:rPr>
          <w:rFonts w:ascii="Times New Roman" w:eastAsia="宋体" w:hAnsi="Times New Roman" w:cs="Times New Roman"/>
          <w:szCs w:val="20"/>
        </w:rPr>
        <w:t>实施环境变化</w:t>
      </w:r>
      <w:r>
        <w:rPr>
          <w:rFonts w:ascii="Times New Roman" w:eastAsia="宋体" w:hAnsi="Times New Roman" w:cs="Times New Roman" w:hint="eastAsia"/>
          <w:szCs w:val="20"/>
        </w:rPr>
        <w:t>、</w:t>
      </w:r>
      <w:r>
        <w:rPr>
          <w:rFonts w:ascii="Times New Roman" w:eastAsia="宋体" w:hAnsi="Times New Roman" w:cs="Times New Roman"/>
          <w:szCs w:val="20"/>
        </w:rPr>
        <w:t>重大技术变化</w:t>
      </w:r>
      <w:r>
        <w:rPr>
          <w:rFonts w:ascii="Times New Roman" w:eastAsia="宋体" w:hAnsi="Times New Roman" w:cs="Times New Roman" w:hint="eastAsia"/>
          <w:szCs w:val="20"/>
        </w:rPr>
        <w:t>、</w:t>
      </w:r>
      <w:r>
        <w:rPr>
          <w:rFonts w:ascii="Times New Roman" w:eastAsia="宋体" w:hAnsi="Times New Roman" w:cs="Times New Roman"/>
          <w:szCs w:val="20"/>
        </w:rPr>
        <w:t>预算项目调整</w:t>
      </w:r>
      <w:r>
        <w:rPr>
          <w:rFonts w:ascii="Times New Roman" w:eastAsia="宋体" w:hAnsi="Times New Roman" w:cs="Times New Roman" w:hint="eastAsia"/>
          <w:szCs w:val="20"/>
        </w:rPr>
        <w:t>、</w:t>
      </w:r>
      <w:r>
        <w:rPr>
          <w:rFonts w:ascii="Times New Roman" w:eastAsia="宋体" w:hAnsi="Times New Roman" w:cs="Times New Roman"/>
          <w:szCs w:val="20"/>
        </w:rPr>
        <w:t>因质疑投诉影响</w:t>
      </w:r>
      <w:r>
        <w:rPr>
          <w:rFonts w:ascii="Times New Roman" w:eastAsia="宋体" w:hAnsi="Times New Roman" w:cs="Times New Roman" w:hint="eastAsia"/>
          <w:szCs w:val="20"/>
        </w:rPr>
        <w:t>合同</w:t>
      </w:r>
      <w:r>
        <w:rPr>
          <w:rFonts w:ascii="Times New Roman" w:eastAsia="宋体" w:hAnsi="Times New Roman" w:cs="Times New Roman"/>
          <w:szCs w:val="20"/>
        </w:rPr>
        <w:t>进度</w:t>
      </w:r>
      <w:r>
        <w:rPr>
          <w:rFonts w:ascii="Times New Roman" w:eastAsia="宋体" w:hAnsi="Times New Roman" w:cs="Times New Roman" w:hint="eastAsia"/>
          <w:szCs w:val="20"/>
        </w:rPr>
        <w:t>等）</w:t>
      </w:r>
      <w:r>
        <w:rPr>
          <w:rFonts w:ascii="宋体" w:eastAsia="宋体" w:hAnsi="宋体" w:cs="Times New Roman" w:hint="eastAsia"/>
          <w:szCs w:val="20"/>
        </w:rPr>
        <w:t>的可能性、影响程度进行</w:t>
      </w:r>
      <w:r>
        <w:rPr>
          <w:rFonts w:ascii="宋体" w:eastAsia="宋体" w:hAnsi="宋体" w:cs="Times New Roman" w:hint="eastAsia"/>
          <w:szCs w:val="20"/>
        </w:rPr>
        <w:t>研</w:t>
      </w:r>
      <w:r>
        <w:rPr>
          <w:rFonts w:ascii="宋体" w:eastAsia="宋体" w:hAnsi="宋体" w:cs="Times New Roman" w:hint="eastAsia"/>
          <w:szCs w:val="20"/>
        </w:rPr>
        <w:t>判，明确管控责任，提出有针对性的处置措施和替代方案。如本项目不属于上述项目，“八、风险管理”可省略）</w:t>
      </w:r>
    </w:p>
    <w:p w:rsidR="00ED636A">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b/>
          <w:szCs w:val="28"/>
        </w:rPr>
        <w:t>九、违约责任</w:t>
      </w:r>
    </w:p>
    <w:p w:rsidR="00ED636A">
      <w:pPr>
        <w:tabs>
          <w:tab w:val="left" w:pos="1573"/>
        </w:tabs>
        <w:adjustRightInd w:val="0"/>
        <w:snapToGrid w:val="0"/>
        <w:spacing w:line="360" w:lineRule="auto"/>
        <w:ind w:firstLine="412" w:firstLineChars="196"/>
        <w:jc w:val="left"/>
        <w:rPr>
          <w:rFonts w:ascii="宋体" w:eastAsia="宋体" w:hAnsi="宋体" w:cs="Times New Roman" w:hint="eastAsia"/>
          <w:szCs w:val="21"/>
        </w:rPr>
      </w:pPr>
      <w:r>
        <w:rPr>
          <w:rFonts w:ascii="宋体" w:eastAsia="宋体" w:hAnsi="宋体" w:cs="Times New Roman" w:hint="eastAsia"/>
          <w:szCs w:val="28"/>
        </w:rPr>
        <w:t>1、</w:t>
      </w:r>
      <w:r>
        <w:rPr>
          <w:rFonts w:ascii="宋体" w:eastAsia="宋体" w:hAnsi="宋体" w:cs="Times New Roman" w:hint="eastAsia"/>
          <w:szCs w:val="21"/>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u w:val="single"/>
        </w:rPr>
        <w:t xml:space="preserve">      </w:t>
      </w:r>
      <w:r>
        <w:rPr>
          <w:rFonts w:ascii="宋体" w:eastAsia="宋体" w:hAnsi="宋体" w:cs="Times New Roman" w:hint="eastAsia"/>
          <w:szCs w:val="21"/>
        </w:rPr>
        <w:t>‰ 的比例向对方支付违约金，但该违约金累计不得超过合同总金额的</w:t>
      </w:r>
      <w:r>
        <w:rPr>
          <w:rFonts w:ascii="宋体" w:eastAsia="宋体" w:hAnsi="宋体" w:cs="Times New Roman" w:hint="eastAsia"/>
          <w:szCs w:val="21"/>
          <w:u w:val="single"/>
        </w:rPr>
        <w:t xml:space="preserve">      </w:t>
      </w:r>
      <w:r>
        <w:rPr>
          <w:rFonts w:ascii="宋体" w:eastAsia="宋体" w:hAnsi="宋体" w:cs="Times New Roman" w:hint="eastAsia"/>
          <w:szCs w:val="21"/>
        </w:rPr>
        <w:t>%；上述逾期超过</w:t>
      </w:r>
      <w:r>
        <w:rPr>
          <w:rFonts w:ascii="宋体" w:eastAsia="宋体" w:hAnsi="宋体" w:cs="Times New Roman" w:hint="eastAsia"/>
          <w:szCs w:val="21"/>
          <w:u w:val="single"/>
        </w:rPr>
        <w:t xml:space="preserve">      </w:t>
      </w:r>
      <w:r>
        <w:rPr>
          <w:rFonts w:ascii="宋体" w:eastAsia="宋体" w:hAnsi="宋体" w:cs="Times New Roman" w:hint="eastAsia"/>
          <w:szCs w:val="21"/>
        </w:rPr>
        <w:t>天，守约方有权解除合同，并要求违约方赔偿由此造成的损失。</w:t>
      </w:r>
    </w:p>
    <w:p w:rsidR="00ED636A">
      <w:pPr>
        <w:tabs>
          <w:tab w:val="left" w:pos="1573"/>
        </w:tabs>
        <w:adjustRightInd w:val="0"/>
        <w:snapToGrid w:val="0"/>
        <w:spacing w:line="360" w:lineRule="auto"/>
        <w:ind w:firstLine="412" w:firstLineChars="196"/>
        <w:jc w:val="left"/>
        <w:rPr>
          <w:rFonts w:ascii="宋体" w:eastAsia="宋体" w:hAnsi="宋体" w:cs="Times New Roman" w:hint="eastAsia"/>
          <w:szCs w:val="21"/>
        </w:rPr>
      </w:pPr>
      <w:r>
        <w:rPr>
          <w:rFonts w:ascii="宋体" w:eastAsia="宋体" w:hAnsi="宋体" w:cs="Times New Roman" w:hint="eastAsia"/>
          <w:szCs w:val="21"/>
        </w:rPr>
        <w:t>2、其它违约责任</w:t>
      </w:r>
    </w:p>
    <w:p w:rsidR="00ED636A">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违约方应就每一单项违约向对方支付合同总金额</w:t>
      </w:r>
      <w:r>
        <w:rPr>
          <w:rFonts w:ascii="宋体" w:eastAsia="宋体" w:hAnsi="宋体" w:cs="Times New Roman" w:hint="eastAsia"/>
          <w:szCs w:val="21"/>
          <w:u w:val="single"/>
        </w:rPr>
        <w:t xml:space="preserve">     </w:t>
      </w:r>
      <w:r>
        <w:rPr>
          <w:rFonts w:ascii="宋体" w:eastAsia="宋体" w:hAnsi="宋体" w:cs="Times New Roman" w:hint="eastAsia"/>
          <w:szCs w:val="21"/>
        </w:rPr>
        <w:t>%的违约金。</w:t>
      </w:r>
    </w:p>
    <w:p w:rsidR="00ED636A">
      <w:pPr>
        <w:tabs>
          <w:tab w:val="left" w:pos="1573"/>
        </w:tabs>
        <w:adjustRightInd w:val="0"/>
        <w:snapToGrid w:val="0"/>
        <w:spacing w:line="360" w:lineRule="auto"/>
        <w:ind w:firstLine="420" w:firstLineChars="200"/>
        <w:jc w:val="left"/>
        <w:rPr>
          <w:rFonts w:ascii="宋体" w:eastAsia="宋体" w:hAnsi="宋体" w:cs="Times New Roman" w:hint="eastAsia"/>
          <w:b/>
          <w:szCs w:val="28"/>
        </w:rPr>
      </w:pPr>
      <w:r>
        <w:rPr>
          <w:rFonts w:ascii="宋体" w:eastAsia="宋体" w:hAnsi="宋体" w:cs="Times New Roman" w:hint="eastAsia"/>
          <w:b/>
          <w:szCs w:val="28"/>
        </w:rPr>
        <w:t>十、联系方式</w:t>
      </w:r>
    </w:p>
    <w:p w:rsidR="00ED636A">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甲方：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rsidR="00ED636A">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rsidR="00ED636A">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rsidR="00ED636A">
      <w:pPr>
        <w:tabs>
          <w:tab w:val="left" w:pos="1573"/>
        </w:tabs>
        <w:adjustRightInd w:val="0"/>
        <w:snapToGrid w:val="0"/>
        <w:ind w:firstLine="315" w:firstLineChars="150"/>
        <w:jc w:val="left"/>
        <w:rPr>
          <w:rFonts w:ascii="宋体" w:eastAsia="宋体" w:hAnsi="宋体" w:cs="Times New Roman" w:hint="eastAsia"/>
          <w:szCs w:val="21"/>
          <w:u w:val="single"/>
        </w:rPr>
      </w:pPr>
      <w:r>
        <w:rPr>
          <w:rFonts w:ascii="宋体" w:eastAsia="宋体" w:hAnsi="宋体" w:cs="Times New Roman" w:hint="eastAsia"/>
          <w:szCs w:val="21"/>
        </w:rPr>
        <w:t>开户银行及</w:t>
      </w:r>
      <w:r>
        <w:rPr>
          <w:rFonts w:ascii="宋体" w:eastAsia="宋体" w:hAnsi="宋体" w:cs="Times New Roman" w:hint="eastAsia"/>
          <w:szCs w:val="21"/>
        </w:rPr>
        <w:t>帐号</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ED636A">
      <w:pPr>
        <w:tabs>
          <w:tab w:val="left" w:pos="1573"/>
        </w:tabs>
        <w:adjustRightInd w:val="0"/>
        <w:snapToGrid w:val="0"/>
        <w:ind w:firstLine="315" w:firstLineChars="150"/>
        <w:jc w:val="left"/>
        <w:rPr>
          <w:rFonts w:ascii="宋体" w:eastAsia="宋体" w:hAnsi="宋体" w:cs="Times New Roman" w:hint="eastAsia"/>
          <w:szCs w:val="21"/>
          <w:u w:val="single"/>
        </w:rPr>
      </w:pPr>
    </w:p>
    <w:p w:rsidR="00ED636A">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乙方：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rsidR="00ED636A">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rsidR="00ED636A">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rsidR="00ED636A">
      <w:pPr>
        <w:tabs>
          <w:tab w:val="left" w:pos="1573"/>
        </w:tabs>
        <w:adjustRightInd w:val="0"/>
        <w:snapToGrid w:val="0"/>
        <w:ind w:firstLine="315" w:firstLineChars="150"/>
        <w:jc w:val="left"/>
        <w:rPr>
          <w:rFonts w:ascii="宋体" w:eastAsia="宋体" w:hAnsi="宋体" w:cs="Times New Roman" w:hint="eastAsia"/>
          <w:szCs w:val="21"/>
          <w:u w:val="single"/>
        </w:rPr>
      </w:pPr>
      <w:r>
        <w:rPr>
          <w:rFonts w:ascii="宋体" w:eastAsia="宋体" w:hAnsi="宋体" w:cs="Times New Roman" w:hint="eastAsia"/>
          <w:szCs w:val="21"/>
        </w:rPr>
        <w:t>开户银行及</w:t>
      </w:r>
      <w:r>
        <w:rPr>
          <w:rFonts w:ascii="宋体" w:eastAsia="宋体" w:hAnsi="宋体" w:cs="Times New Roman" w:hint="eastAsia"/>
          <w:szCs w:val="21"/>
        </w:rPr>
        <w:t>帐号</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ED636A">
      <w:pPr>
        <w:tabs>
          <w:tab w:val="left" w:pos="1573"/>
        </w:tabs>
        <w:adjustRightInd w:val="0"/>
        <w:snapToGrid w:val="0"/>
        <w:spacing w:line="360" w:lineRule="auto"/>
        <w:ind w:firstLine="420" w:firstLineChars="200"/>
        <w:jc w:val="left"/>
        <w:rPr>
          <w:rFonts w:ascii="Times New Roman" w:eastAsia="宋体" w:hAnsi="Times New Roman" w:cs="Times New Roman"/>
          <w:b/>
          <w:szCs w:val="21"/>
        </w:rPr>
      </w:pPr>
    </w:p>
    <w:p w:rsidR="00ED636A">
      <w:pPr>
        <w:tabs>
          <w:tab w:val="left" w:pos="1573"/>
        </w:tabs>
        <w:adjustRightInd w:val="0"/>
        <w:snapToGrid w:val="0"/>
        <w:spacing w:line="360" w:lineRule="auto"/>
        <w:ind w:firstLine="420" w:firstLineChars="200"/>
        <w:jc w:val="left"/>
        <w:rPr>
          <w:rFonts w:ascii="宋体" w:eastAsia="宋体" w:hAnsi="宋体" w:cs="Times New Roman" w:hint="eastAsia"/>
          <w:b/>
          <w:szCs w:val="28"/>
        </w:rPr>
      </w:pPr>
      <w:r>
        <w:rPr>
          <w:rFonts w:ascii="Times New Roman" w:eastAsia="宋体" w:hAnsi="Times New Roman" w:cs="Times New Roman" w:hint="eastAsia"/>
          <w:b/>
          <w:szCs w:val="21"/>
        </w:rPr>
        <w:t>十一、</w:t>
      </w:r>
      <w:r>
        <w:rPr>
          <w:rFonts w:ascii="宋体" w:eastAsia="宋体" w:hAnsi="宋体" w:cs="Times New Roman" w:hint="eastAsia"/>
          <w:b/>
          <w:szCs w:val="28"/>
        </w:rPr>
        <w:t>争议的解决</w:t>
      </w:r>
    </w:p>
    <w:p w:rsidR="00ED636A">
      <w:pPr>
        <w:tabs>
          <w:tab w:val="left" w:pos="1573"/>
        </w:tabs>
        <w:adjustRightInd w:val="0"/>
        <w:snapToGrid w:val="0"/>
        <w:spacing w:line="360" w:lineRule="auto"/>
        <w:ind w:firstLine="420" w:firstLineChars="200"/>
        <w:jc w:val="left"/>
        <w:rPr>
          <w:rFonts w:ascii="宋体" w:eastAsia="宋体" w:hAnsi="宋体" w:cs="Times New Roman" w:hint="eastAsia"/>
          <w:szCs w:val="28"/>
        </w:rPr>
      </w:pPr>
      <w:r>
        <w:rPr>
          <w:rFonts w:ascii="宋体" w:eastAsia="宋体" w:hAnsi="宋体" w:cs="Times New Roman" w:hint="eastAsia"/>
          <w:szCs w:val="28"/>
        </w:rPr>
        <w:t>本项目选择</w:t>
      </w:r>
      <w:r>
        <w:rPr>
          <w:rFonts w:ascii="宋体" w:eastAsia="宋体" w:hAnsi="宋体" w:cs="Times New Roman" w:hint="eastAsia"/>
          <w:b/>
          <w:szCs w:val="28"/>
        </w:rPr>
        <w:t>第二章合同条款通用部分</w:t>
      </w:r>
      <w:r>
        <w:rPr>
          <w:rFonts w:ascii="宋体" w:eastAsia="宋体" w:hAnsi="宋体" w:cs="Times New Roman" w:hint="eastAsia"/>
          <w:szCs w:val="28"/>
        </w:rPr>
        <w:t>“争议的解决”所属第</w:t>
      </w:r>
      <w:r>
        <w:rPr>
          <w:rFonts w:ascii="宋体" w:eastAsia="宋体" w:hAnsi="宋体" w:cs="Times New Roman" w:hint="eastAsia"/>
          <w:szCs w:val="28"/>
          <w:u w:val="single"/>
        </w:rPr>
        <w:t xml:space="preserve">      </w:t>
      </w:r>
      <w:r>
        <w:rPr>
          <w:rFonts w:ascii="宋体" w:eastAsia="宋体" w:hAnsi="宋体" w:cs="Times New Roman" w:hint="eastAsia"/>
          <w:szCs w:val="28"/>
        </w:rPr>
        <w:t>种方式解决。</w:t>
      </w:r>
    </w:p>
    <w:p w:rsidR="00ED636A">
      <w:pPr>
        <w:tabs>
          <w:tab w:val="left" w:pos="1573"/>
        </w:tabs>
        <w:adjustRightInd w:val="0"/>
        <w:snapToGrid w:val="0"/>
        <w:spacing w:line="360" w:lineRule="auto"/>
        <w:ind w:firstLine="420" w:firstLineChars="200"/>
        <w:jc w:val="left"/>
        <w:rPr>
          <w:rFonts w:ascii="宋体" w:eastAsia="宋体" w:hAnsi="宋体" w:cs="Times New Roman" w:hint="eastAsia"/>
          <w:b/>
          <w:szCs w:val="28"/>
        </w:rPr>
      </w:pPr>
    </w:p>
    <w:p w:rsidR="00ED636A">
      <w:pPr>
        <w:tabs>
          <w:tab w:val="left" w:pos="1573"/>
        </w:tabs>
        <w:adjustRightInd w:val="0"/>
        <w:snapToGrid w:val="0"/>
        <w:spacing w:line="360" w:lineRule="auto"/>
        <w:ind w:firstLine="420" w:firstLineChars="200"/>
        <w:jc w:val="left"/>
        <w:rPr>
          <w:rFonts w:ascii="宋体" w:eastAsia="宋体" w:hAnsi="宋体" w:cs="Times New Roman" w:hint="eastAsia"/>
          <w:b/>
          <w:szCs w:val="28"/>
        </w:rPr>
      </w:pPr>
      <w:r>
        <w:rPr>
          <w:rFonts w:ascii="宋体" w:eastAsia="宋体" w:hAnsi="宋体" w:cs="Times New Roman" w:hint="eastAsia"/>
          <w:b/>
          <w:szCs w:val="28"/>
        </w:rPr>
        <w:t>十二、履约保证金</w:t>
      </w:r>
    </w:p>
    <w:p w:rsidR="00ED636A">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中标人在收到中标通知书后</w:t>
      </w:r>
      <w:r>
        <w:rPr>
          <w:rFonts w:ascii="宋体" w:eastAsia="宋体" w:hAnsi="宋体" w:cs="Times New Roman" w:hint="eastAsia"/>
          <w:szCs w:val="21"/>
          <w:u w:val="single"/>
        </w:rPr>
        <w:t xml:space="preserve">   </w:t>
      </w:r>
      <w:r>
        <w:rPr>
          <w:rFonts w:ascii="宋体" w:eastAsia="宋体" w:hAnsi="宋体" w:cs="Times New Roman" w:hint="eastAsia"/>
          <w:szCs w:val="21"/>
        </w:rPr>
        <w:t>个</w:t>
      </w:r>
      <w:r>
        <w:rPr>
          <w:rFonts w:ascii="宋体" w:eastAsia="宋体" w:hAnsi="宋体" w:cs="Times New Roman" w:hint="eastAsia"/>
          <w:szCs w:val="21"/>
        </w:rPr>
        <w:t>工作日内，向甲方提供相当于合同总价</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%的履约保证金。 </w:t>
      </w:r>
    </w:p>
    <w:p w:rsidR="00ED636A">
      <w:pPr>
        <w:tabs>
          <w:tab w:val="left" w:pos="1573"/>
        </w:tabs>
        <w:adjustRightInd w:val="0"/>
        <w:snapToGrid w:val="0"/>
        <w:spacing w:line="360" w:lineRule="auto"/>
        <w:ind w:firstLine="412" w:firstLineChars="196"/>
        <w:jc w:val="left"/>
        <w:rPr>
          <w:rFonts w:ascii="宋体" w:eastAsia="宋体" w:hAnsi="宋体" w:cs="Times New Roman" w:hint="eastAsia"/>
          <w:b/>
          <w:szCs w:val="28"/>
        </w:rPr>
      </w:pPr>
    </w:p>
    <w:p w:rsidR="00ED636A">
      <w:pPr>
        <w:snapToGrid w:val="0"/>
        <w:ind w:firstLine="309" w:firstLineChars="147"/>
        <w:rPr>
          <w:rFonts w:ascii="宋体" w:eastAsia="宋体" w:hAnsi="宋体" w:cs="Times New Roman" w:hint="eastAsia"/>
          <w:b/>
          <w:szCs w:val="21"/>
        </w:rPr>
      </w:pPr>
      <w:r>
        <w:rPr>
          <w:rFonts w:ascii="宋体" w:eastAsia="宋体" w:hAnsi="宋体" w:cs="Times New Roman" w:hint="eastAsia"/>
          <w:b/>
          <w:szCs w:val="21"/>
        </w:rPr>
        <w:t>甲方：                                   乙方：</w:t>
      </w:r>
    </w:p>
    <w:p w:rsidR="00ED636A">
      <w:pPr>
        <w:snapToGrid w:val="0"/>
        <w:ind w:firstLine="309" w:firstLineChars="147"/>
        <w:rPr>
          <w:rFonts w:ascii="宋体" w:eastAsia="宋体" w:hAnsi="宋体" w:cs="Times New Roman" w:hint="eastAsia"/>
          <w:b/>
          <w:szCs w:val="21"/>
        </w:rPr>
      </w:pPr>
      <w:r>
        <w:rPr>
          <w:rFonts w:ascii="宋体" w:eastAsia="宋体" w:hAnsi="宋体" w:cs="Times New Roman" w:hint="eastAsia"/>
          <w:b/>
          <w:szCs w:val="21"/>
        </w:rPr>
        <w:t>单位名称：（公章）                        单位名称：（公章）</w:t>
      </w:r>
    </w:p>
    <w:p w:rsidR="00ED636A">
      <w:pPr>
        <w:snapToGrid w:val="0"/>
        <w:ind w:firstLine="309" w:firstLineChars="147"/>
        <w:rPr>
          <w:rFonts w:ascii="宋体" w:eastAsia="宋体" w:hAnsi="宋体" w:cs="Times New Roman" w:hint="eastAsia"/>
          <w:b/>
          <w:szCs w:val="21"/>
        </w:rPr>
      </w:pPr>
      <w:r>
        <w:rPr>
          <w:rFonts w:ascii="宋体" w:eastAsia="宋体" w:hAnsi="宋体" w:cs="Times New Roman" w:hint="eastAsia"/>
          <w:b/>
          <w:szCs w:val="21"/>
        </w:rPr>
        <w:t>法定代表人：                             法定代表人：</w:t>
      </w:r>
    </w:p>
    <w:p w:rsidR="00ED636A">
      <w:pPr>
        <w:snapToGrid w:val="0"/>
        <w:ind w:firstLine="309" w:firstLineChars="147"/>
        <w:rPr>
          <w:rFonts w:ascii="宋体" w:eastAsia="宋体" w:hAnsi="宋体" w:cs="Times New Roman" w:hint="eastAsia"/>
          <w:b/>
          <w:szCs w:val="21"/>
        </w:rPr>
      </w:pPr>
      <w:r>
        <w:rPr>
          <w:rFonts w:ascii="宋体" w:eastAsia="宋体" w:hAnsi="宋体" w:cs="Times New Roman" w:hint="eastAsia"/>
          <w:b/>
          <w:szCs w:val="21"/>
        </w:rPr>
        <w:t>授权代表：                               授权代表：</w:t>
      </w:r>
    </w:p>
    <w:p w:rsidR="00ED636A">
      <w:pPr>
        <w:snapToGrid w:val="0"/>
        <w:ind w:firstLine="309" w:firstLineChars="147"/>
        <w:rPr>
          <w:rFonts w:ascii="宋体" w:eastAsia="宋体" w:hAnsi="宋体" w:cs="Times New Roman" w:hint="eastAsia"/>
          <w:b/>
          <w:szCs w:val="21"/>
        </w:rPr>
      </w:pPr>
      <w:r>
        <w:rPr>
          <w:rFonts w:ascii="宋体" w:eastAsia="宋体" w:hAnsi="宋体" w:cs="Times New Roman" w:hint="eastAsia"/>
          <w:b/>
          <w:szCs w:val="21"/>
        </w:rPr>
        <w:t>签约日期：                               签约日期：</w:t>
      </w:r>
    </w:p>
    <w:p w:rsidR="00ED636A">
      <w:pPr>
        <w:widowControl/>
        <w:jc w:val="left"/>
        <w:rPr>
          <w:rFonts w:ascii="宋体" w:eastAsia="宋体" w:hAnsi="宋体" w:cs="Times New Roman" w:hint="eastAsia"/>
          <w:b/>
          <w:szCs w:val="21"/>
        </w:rPr>
      </w:pPr>
      <w:r>
        <w:rPr>
          <w:rFonts w:ascii="宋体" w:eastAsia="宋体" w:hAnsi="宋体" w:cs="Times New Roman"/>
          <w:b/>
          <w:szCs w:val="21"/>
        </w:rPr>
        <w:br w:type="page"/>
      </w:r>
    </w:p>
    <w:p w:rsidR="00ED636A">
      <w:pPr>
        <w:spacing w:line="360" w:lineRule="auto"/>
        <w:jc w:val="left"/>
        <w:rPr>
          <w:rFonts w:ascii="Times New Roman" w:eastAsia="宋体" w:hAnsi="Times New Roman" w:cs="Times New Roman"/>
          <w:b/>
          <w:bCs/>
          <w:sz w:val="44"/>
          <w:szCs w:val="44"/>
        </w:rPr>
      </w:pPr>
    </w:p>
    <w:p w:rsidR="00ED636A">
      <w:pPr>
        <w:tabs>
          <w:tab w:val="left" w:pos="1573"/>
        </w:tabs>
        <w:adjustRightInd w:val="0"/>
        <w:snapToGrid w:val="0"/>
        <w:spacing w:line="360" w:lineRule="auto"/>
        <w:ind w:left="708" w:hanging="708"/>
        <w:jc w:val="center"/>
        <w:outlineLvl w:val="1"/>
        <w:rPr>
          <w:rFonts w:ascii="宋体" w:eastAsia="宋体" w:hAnsi="宋体" w:cs="Times New Roman" w:hint="eastAsia"/>
          <w:b/>
          <w:sz w:val="30"/>
          <w:szCs w:val="30"/>
        </w:rPr>
      </w:pPr>
      <w:r>
        <w:rPr>
          <w:rFonts w:ascii="宋体" w:eastAsia="宋体" w:hAnsi="宋体" w:cs="Times New Roman" w:hint="eastAsia"/>
          <w:b/>
          <w:sz w:val="30"/>
          <w:szCs w:val="30"/>
        </w:rPr>
        <w:t>第二部分  合同通用部分</w:t>
      </w:r>
    </w:p>
    <w:p w:rsidR="00ED636A">
      <w:pPr>
        <w:tabs>
          <w:tab w:val="left" w:pos="1573"/>
        </w:tabs>
        <w:snapToGrid w:val="0"/>
        <w:spacing w:line="360" w:lineRule="auto"/>
        <w:jc w:val="center"/>
        <w:rPr>
          <w:rFonts w:ascii="宋体" w:eastAsia="宋体" w:hAnsi="宋体" w:cs="Times New Roman" w:hint="eastAsia"/>
          <w:szCs w:val="21"/>
        </w:rPr>
      </w:pPr>
    </w:p>
    <w:p w:rsidR="00ED636A">
      <w:pPr>
        <w:tabs>
          <w:tab w:val="left" w:pos="1573"/>
        </w:tabs>
        <w:adjustRightInd w:val="0"/>
        <w:snapToGrid w:val="0"/>
        <w:spacing w:line="360" w:lineRule="auto"/>
        <w:ind w:firstLine="420"/>
        <w:rPr>
          <w:rFonts w:ascii="宋体" w:eastAsia="宋体" w:hAnsi="宋体" w:cs="Times New Roman" w:hint="eastAsia"/>
          <w:szCs w:val="21"/>
        </w:rPr>
      </w:pPr>
      <w:r>
        <w:rPr>
          <w:rFonts w:ascii="宋体" w:eastAsia="宋体" w:hAnsi="宋体" w:cs="Times New Roman" w:hint="eastAsia"/>
          <w:szCs w:val="21"/>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rPr>
        <w:t xml:space="preserve"> </w:t>
      </w:r>
    </w:p>
    <w:p w:rsidR="00ED636A">
      <w:pPr>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本合同所附下列文件是构成本合同不可分割的部分，若各文件之间存在含糊不清或互相冲突之处，优先顺序应按下列文件顺序解释：</w:t>
      </w:r>
    </w:p>
    <w:p w:rsidR="00ED636A">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中标通知书</w:t>
      </w:r>
    </w:p>
    <w:p w:rsidR="00ED636A">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开标一览表及投标分项报价表</w:t>
      </w:r>
    </w:p>
    <w:p w:rsidR="00ED636A">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商务和技术偏离表</w:t>
      </w:r>
    </w:p>
    <w:p w:rsidR="00ED636A">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合同条款专用部分</w:t>
      </w:r>
    </w:p>
    <w:p w:rsidR="00ED636A">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合同条款通用部分</w:t>
      </w:r>
    </w:p>
    <w:p w:rsidR="00ED636A">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采购需求</w:t>
      </w:r>
    </w:p>
    <w:p w:rsidR="00ED636A">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双方有关服务的洽商、变更等书面协议或文件</w:t>
      </w:r>
    </w:p>
    <w:p w:rsidR="00ED636A">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投标文件、招标文件除以上的其他部分</w:t>
      </w:r>
    </w:p>
    <w:p w:rsidR="00ED636A">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其他合同文本</w:t>
      </w:r>
    </w:p>
    <w:p w:rsidR="00ED636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一、定义</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除非另有特别解释或说明，在本合同及与本合同相关的，双方另行签署的其他文件（包括但不限于本合同的附件）中，下述词语均</w:t>
      </w:r>
      <w:r>
        <w:rPr>
          <w:rFonts w:ascii="宋体" w:eastAsia="宋体" w:hAnsi="宋体" w:cs="Times New Roman" w:hint="eastAsia"/>
          <w:szCs w:val="21"/>
        </w:rPr>
        <w:t>依如下</w:t>
      </w:r>
      <w:r>
        <w:rPr>
          <w:rFonts w:ascii="宋体" w:eastAsia="宋体" w:hAnsi="宋体" w:cs="Times New Roman" w:hint="eastAsia"/>
          <w:szCs w:val="21"/>
        </w:rPr>
        <w:t>定义进行解释：</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1、“项目”详见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2、“合同”指甲乙双方签署的，与本项目相关的协议、附件、附录和其他一切文件，还</w:t>
      </w:r>
      <w:r>
        <w:rPr>
          <w:rFonts w:ascii="宋体" w:eastAsia="宋体" w:hAnsi="宋体" w:cs="Times New Roman"/>
          <w:szCs w:val="21"/>
        </w:rPr>
        <w:t>包括招标文件、投标文件中的相关内容及其有效补充文件</w:t>
      </w:r>
      <w:r>
        <w:rPr>
          <w:rFonts w:ascii="宋体" w:eastAsia="宋体" w:hAnsi="宋体" w:cs="Times New Roman" w:hint="eastAsia"/>
          <w:szCs w:val="21"/>
        </w:rPr>
        <w:t>。</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3、“附件”是指与本合同的订立、履行有关的，经甲乙双方认可的，对本合同约定的内容进行细化、补充、修改、变更的文件、图纸、音像制品等资料。</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4、“合同服务”指合同服务清单（同投标文件中分项报价表，下同）中所规定的服务内容、设备和软件购置等内容。</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5、“验收证书”指验收完成后由合同双方签署的最终验收确认书。</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6、“保修期”指自验收证书甲方签署之日起，乙方免费对所提供给甲方服务内容进行技术支持、现场服务、升级服务等，并自</w:t>
      </w:r>
      <w:r>
        <w:rPr>
          <w:rFonts w:ascii="宋体" w:eastAsia="宋体" w:hAnsi="宋体" w:cs="Times New Roman" w:hint="eastAsia"/>
          <w:szCs w:val="21"/>
        </w:rPr>
        <w:t>担费用</w:t>
      </w:r>
      <w:r>
        <w:rPr>
          <w:rFonts w:ascii="宋体" w:eastAsia="宋体" w:hAnsi="宋体" w:cs="Times New Roman" w:hint="eastAsia"/>
          <w:szCs w:val="21"/>
        </w:rPr>
        <w:t>方式保证合同服务正常运行的时期。</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7、“第三人”是指本合同双方以外的任何中国境内、外的自然人、法人或其他经济组织。</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8、“法律、法规”是指由中国有关部门制定的法律、行政法规、地方性法规、规章及其他规</w:t>
      </w:r>
      <w:r>
        <w:rPr>
          <w:rFonts w:ascii="宋体" w:eastAsia="宋体" w:hAnsi="宋体" w:cs="Times New Roman" w:hint="eastAsia"/>
          <w:szCs w:val="21"/>
        </w:rPr>
        <w:t>范性文件以及经全国人民代表大会常务委员会批准的中国缔结、参加的国际条（公）约的有关规定。</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9、“招标文件”指采购中心发布的本项目招标文件。</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10、“投标文件”指乙方按照采购中心发布的本项目招标文件的要求编制和投递，并最终被采购中心接受的投标文件。</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11、“合同标的”指甲方同意从乙方购买，乙方同意向甲方提供</w:t>
      </w:r>
      <w:r>
        <w:rPr>
          <w:rFonts w:ascii="黑体" w:eastAsia="黑体" w:hAnsi="黑体" w:cs="Times New Roman" w:hint="eastAsia"/>
          <w:b/>
          <w:szCs w:val="21"/>
        </w:rPr>
        <w:t>合同服务清单（同投标文件中分项报价表）</w:t>
      </w:r>
      <w:r>
        <w:rPr>
          <w:rFonts w:ascii="宋体" w:eastAsia="宋体" w:hAnsi="宋体" w:cs="Times New Roman" w:hint="eastAsia"/>
          <w:szCs w:val="21"/>
        </w:rPr>
        <w:t>中所列服务内容、设备和软件购置等内容。</w:t>
      </w:r>
    </w:p>
    <w:p w:rsidR="00ED636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二、合同标的</w:t>
      </w:r>
    </w:p>
    <w:p w:rsidR="00ED636A">
      <w:pPr>
        <w:numPr>
          <w:ilvl w:val="6"/>
          <w:numId w:val="0"/>
        </w:num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szCs w:val="21"/>
        </w:rPr>
        <w:t>。</w:t>
      </w:r>
    </w:p>
    <w:p w:rsidR="00ED636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三、合同价格</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1、合同总金额详见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2、本合同价格包括服务产品金额，是在项目交付前、交付时所发生或引起的本合同相关的全部成本、费用等，且为完税后价格。</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3、合同服务产品详细目录及价格</w:t>
      </w: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服务产品清单（同投标文件中服务产品清单）</w:t>
      </w:r>
      <w:r>
        <w:rPr>
          <w:rFonts w:ascii="宋体" w:eastAsia="宋体" w:hAnsi="宋体" w:cs="Times New Roman" w:hint="eastAsia"/>
          <w:szCs w:val="21"/>
        </w:rPr>
        <w:t>。</w:t>
      </w:r>
    </w:p>
    <w:p w:rsidR="00ED636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四、支付和结算方式</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1、双方因本合同发生的一切费用均以人民币结算及支付。</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2、双方的</w:t>
      </w:r>
      <w:r>
        <w:rPr>
          <w:rFonts w:ascii="宋体" w:eastAsia="宋体" w:hAnsi="宋体" w:cs="Times New Roman" w:hint="eastAsia"/>
          <w:szCs w:val="21"/>
        </w:rPr>
        <w:t>帐户</w:t>
      </w:r>
      <w:r>
        <w:rPr>
          <w:rFonts w:ascii="宋体" w:eastAsia="宋体" w:hAnsi="宋体" w:cs="Times New Roman" w:hint="eastAsia"/>
          <w:szCs w:val="21"/>
        </w:rPr>
        <w:t>名称、开户银行及</w:t>
      </w:r>
      <w:r>
        <w:rPr>
          <w:rFonts w:ascii="宋体" w:eastAsia="宋体" w:hAnsi="宋体" w:cs="Times New Roman" w:hint="eastAsia"/>
          <w:szCs w:val="21"/>
        </w:rPr>
        <w:t>帐号</w:t>
      </w:r>
      <w:r>
        <w:rPr>
          <w:rFonts w:ascii="宋体" w:eastAsia="宋体" w:hAnsi="宋体" w:cs="Times New Roman" w:hint="eastAsia"/>
          <w:szCs w:val="21"/>
        </w:rPr>
        <w:t>以本合同提供的为准。</w:t>
      </w:r>
    </w:p>
    <w:p w:rsidR="00ED636A">
      <w:pPr>
        <w:tabs>
          <w:tab w:val="left" w:pos="1573"/>
        </w:tabs>
        <w:adjustRightInd w:val="0"/>
        <w:snapToGrid w:val="0"/>
        <w:spacing w:line="360" w:lineRule="auto"/>
        <w:ind w:firstLine="420" w:firstLineChars="200"/>
        <w:rPr>
          <w:rFonts w:ascii="Times New Roman" w:eastAsia="宋体" w:hAnsi="宋体" w:cs="Times New Roman" w:hint="eastAsia"/>
          <w:kern w:val="0"/>
          <w:szCs w:val="21"/>
        </w:rPr>
      </w:pPr>
      <w:r>
        <w:rPr>
          <w:rFonts w:ascii="宋体" w:eastAsia="宋体" w:hAnsi="宋体" w:cs="Times New Roman" w:hint="eastAsia"/>
          <w:szCs w:val="21"/>
        </w:rPr>
        <w:t>3、付款方式：</w:t>
      </w:r>
      <w:r>
        <w:rPr>
          <w:rFonts w:ascii="Times New Roman" w:eastAsia="宋体" w:hAnsi="宋体" w:cs="Times New Roman" w:hint="eastAsia"/>
          <w:kern w:val="0"/>
          <w:szCs w:val="21"/>
        </w:rPr>
        <w:t xml:space="preserve"> </w:t>
      </w:r>
    </w:p>
    <w:p w:rsidR="00ED636A">
      <w:pPr>
        <w:tabs>
          <w:tab w:val="left" w:pos="1573"/>
        </w:tabs>
        <w:adjustRightInd w:val="0"/>
        <w:snapToGrid w:val="0"/>
        <w:spacing w:line="360" w:lineRule="auto"/>
        <w:ind w:firstLine="420" w:firstLineChars="200"/>
        <w:rPr>
          <w:rFonts w:ascii="Times New Roman" w:eastAsia="宋体" w:hAnsi="宋体" w:cs="Times New Roman" w:hint="eastAsia"/>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1</w:t>
      </w:r>
      <w:r>
        <w:rPr>
          <w:rFonts w:ascii="Times New Roman" w:eastAsia="宋体" w:hAnsi="宋体" w:cs="Times New Roman" w:hint="eastAsia"/>
          <w:kern w:val="0"/>
          <w:szCs w:val="20"/>
        </w:rPr>
        <w:t>）合同生效后付款：双方签署合同后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w:t>
      </w:r>
      <w:r>
        <w:rPr>
          <w:rFonts w:ascii="黑体" w:eastAsia="黑体" w:hAnsi="黑体" w:cs="Times New Roman" w:hint="eastAsia"/>
          <w:b/>
          <w:bCs/>
          <w:szCs w:val="20"/>
        </w:rPr>
        <w:t>条款专用部分</w:t>
      </w:r>
      <w:r>
        <w:rPr>
          <w:rFonts w:ascii="Times New Roman" w:eastAsia="宋体" w:hAnsi="宋体" w:cs="Times New Roman" w:hint="eastAsia"/>
          <w:kern w:val="0"/>
          <w:szCs w:val="20"/>
        </w:rPr>
        <w:t>；</w:t>
      </w:r>
    </w:p>
    <w:p w:rsidR="00ED636A">
      <w:pPr>
        <w:tabs>
          <w:tab w:val="left" w:pos="1573"/>
        </w:tabs>
        <w:adjustRightInd w:val="0"/>
        <w:snapToGrid w:val="0"/>
        <w:spacing w:line="360" w:lineRule="auto"/>
        <w:ind w:firstLine="420" w:firstLineChars="200"/>
        <w:rPr>
          <w:rFonts w:ascii="Times New Roman" w:eastAsia="宋体" w:hAnsi="宋体" w:cs="Times New Roman" w:hint="eastAsia"/>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2</w:t>
      </w:r>
      <w:r>
        <w:rPr>
          <w:rFonts w:ascii="Times New Roman" w:eastAsia="宋体" w:hAnsi="宋体" w:cs="Times New Roman" w:hint="eastAsia"/>
          <w:kern w:val="0"/>
          <w:szCs w:val="20"/>
        </w:rPr>
        <w:t>）签署验收报后付款：合同服务安装、调试到位、试运行完成，经甲方核对无误、检验合格，双方签署验收报告后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w:t>
      </w:r>
      <w:r>
        <w:rPr>
          <w:rFonts w:ascii="黑体" w:eastAsia="黑体" w:hAnsi="黑体" w:cs="Times New Roman" w:hint="eastAsia"/>
          <w:b/>
          <w:bCs/>
          <w:szCs w:val="20"/>
        </w:rPr>
        <w:t>条款专用部分</w:t>
      </w:r>
      <w:r>
        <w:rPr>
          <w:rFonts w:ascii="Times New Roman" w:eastAsia="宋体" w:hAnsi="宋体" w:cs="Times New Roman" w:hint="eastAsia"/>
          <w:kern w:val="0"/>
          <w:szCs w:val="20"/>
        </w:rPr>
        <w:t>；</w:t>
      </w:r>
      <w:r>
        <w:rPr>
          <w:rFonts w:ascii="Times New Roman" w:eastAsia="宋体" w:hAnsi="宋体" w:cs="Times New Roman" w:hint="eastAsia"/>
          <w:kern w:val="0"/>
          <w:szCs w:val="20"/>
        </w:rPr>
        <w:t xml:space="preserve"> </w:t>
      </w:r>
    </w:p>
    <w:p w:rsidR="00ED636A">
      <w:pPr>
        <w:tabs>
          <w:tab w:val="left" w:pos="1573"/>
        </w:tabs>
        <w:adjustRightInd w:val="0"/>
        <w:snapToGrid w:val="0"/>
        <w:spacing w:line="360" w:lineRule="auto"/>
        <w:ind w:firstLine="420" w:firstLineChars="200"/>
        <w:rPr>
          <w:rFonts w:ascii="宋体" w:eastAsia="宋体" w:hAnsi="宋体" w:cs="Times New Roman" w:hint="eastAsia"/>
          <w:kern w:val="0"/>
          <w:szCs w:val="20"/>
        </w:rPr>
      </w:pPr>
      <w:r>
        <w:rPr>
          <w:rFonts w:ascii="宋体" w:eastAsia="宋体" w:hAnsi="宋体" w:cs="Times New Roman" w:hint="eastAsia"/>
          <w:kern w:val="0"/>
          <w:szCs w:val="20"/>
        </w:rPr>
        <w:t>（3）保修期满后付款：合同服务的保修期（合同服务的保修期</w:t>
      </w:r>
      <w:r>
        <w:rPr>
          <w:rFonts w:ascii="宋体" w:eastAsia="宋体" w:hAnsi="宋体" w:cs="Times New Roman" w:hint="eastAsia"/>
          <w:kern w:val="0"/>
          <w:szCs w:val="20"/>
        </w:rPr>
        <w:t>自全部</w:t>
      </w:r>
      <w:r>
        <w:rPr>
          <w:rFonts w:ascii="宋体" w:eastAsia="宋体" w:hAnsi="宋体" w:cs="Times New Roman" w:hint="eastAsia"/>
          <w:kern w:val="0"/>
          <w:szCs w:val="20"/>
        </w:rPr>
        <w:t>服务验收合格，双方签署验收证书之日起算）期满后7个工作日内，甲方向乙方支付合同余款，支付比例、金额</w:t>
      </w:r>
      <w:r>
        <w:rPr>
          <w:rFonts w:ascii="宋体" w:eastAsia="宋体" w:hAnsi="Courier New"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kern w:val="0"/>
          <w:szCs w:val="20"/>
        </w:rPr>
        <w:t>，作为本合同最终结款。</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4、乙方在收到甲方每一笔付款的同时，应向甲方开具相应金额的商业发票。</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rsidR="00ED636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五、资料的使用</w:t>
      </w:r>
    </w:p>
    <w:p w:rsidR="00ED636A">
      <w:pPr>
        <w:adjustRightInd w:val="0"/>
        <w:snapToGrid w:val="0"/>
        <w:spacing w:line="360" w:lineRule="auto"/>
        <w:ind w:left="105" w:firstLine="315" w:leftChars="50" w:firstLineChars="150"/>
        <w:rPr>
          <w:rFonts w:ascii="宋体" w:eastAsia="宋体" w:hAnsi="宋体" w:cs="Times New Roman" w:hint="eastAsia"/>
          <w:szCs w:val="21"/>
        </w:rPr>
      </w:pPr>
      <w:r>
        <w:rPr>
          <w:rFonts w:ascii="宋体" w:eastAsia="宋体" w:hAnsi="宋体" w:cs="Times New Roman" w:hint="eastAsia"/>
          <w:szCs w:val="21"/>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2、没有甲方事先书面同意，除了履行本合同之外，乙方不应使用甲方提供的任何文件和资料。</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3、没有甲方事先书面同意，乙方不得泄露与本项目有关的任何资料、数据及其它信息。</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4、除了合同本身以外，甲方提供给乙方的任何文件是甲方的财产。如果甲方有要求，乙方在完成合同后应将这些文件(全部拷贝)还给甲方。</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甲方提供该乙方履行合同所需的资料清单</w:t>
      </w: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p>
    <w:p w:rsidR="00ED636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六、知识产权</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1、在本协议生效日前业已存在的版权及其他知识产权应属于本协议生效前既拥有该等权利的一方。</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2、任何一方均不可凭借本协议取得另一方此前所已经拥有且根据本合同不应被合理的推论为其已经同意转移的版权、专利、商业秘密、商标或其他知识产权的所有权。</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3、符合法律规定及当事人约定的原则：任何相关事项均应当符合法律规定，及应当符合当事人约定。</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6、甲方将拥有其在本协议项下所从事的所有工作（包括各类纸质文档，电子文档及其他可交付物）中所包含的或与之相关的全部版权、专利、商业秘密、商标和其他知识产权以及所有权和其他权益。</w:t>
      </w:r>
    </w:p>
    <w:p w:rsidR="00ED636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七、进度要求</w:t>
      </w:r>
    </w:p>
    <w:p w:rsidR="00ED636A">
      <w:pPr>
        <w:numPr>
          <w:ilvl w:val="6"/>
          <w:numId w:val="0"/>
        </w:numPr>
        <w:adjustRightInd w:val="0"/>
        <w:snapToGrid w:val="0"/>
        <w:spacing w:line="360" w:lineRule="auto"/>
        <w:ind w:firstLine="420" w:firstLineChars="200"/>
        <w:rPr>
          <w:rFonts w:ascii="宋体" w:eastAsia="宋体" w:hAnsi="宋体" w:cs="Times New Roman" w:hint="eastAsia"/>
          <w:b/>
          <w:szCs w:val="21"/>
        </w:rPr>
      </w:pPr>
      <w:r>
        <w:rPr>
          <w:rFonts w:ascii="宋体" w:eastAsia="宋体" w:hAnsi="宋体" w:cs="Times New Roman" w:hint="eastAsia"/>
          <w:b/>
          <w:szCs w:val="21"/>
        </w:rPr>
        <w:t>见</w:t>
      </w:r>
      <w:r>
        <w:rPr>
          <w:rFonts w:ascii="黑体" w:eastAsia="黑体" w:hAnsi="黑体" w:cs="Times New Roman" w:hint="eastAsia"/>
          <w:b/>
          <w:bCs/>
          <w:szCs w:val="20"/>
        </w:rPr>
        <w:t>合同</w:t>
      </w:r>
      <w:r>
        <w:rPr>
          <w:rFonts w:ascii="黑体" w:eastAsia="黑体" w:hAnsi="黑体" w:cs="Times New Roman" w:hint="eastAsia"/>
          <w:b/>
          <w:bCs/>
          <w:szCs w:val="20"/>
        </w:rPr>
        <w:t>条款专用部分</w:t>
      </w:r>
      <w:r>
        <w:rPr>
          <w:rFonts w:ascii="宋体" w:eastAsia="宋体" w:hAnsi="宋体" w:cs="Times New Roman" w:hint="eastAsia"/>
          <w:b/>
          <w:szCs w:val="21"/>
        </w:rPr>
        <w:t>。</w:t>
      </w:r>
    </w:p>
    <w:p w:rsidR="00ED636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八、技术服务和保修责任</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关于本条的特别说明：本条中的服务时间，</w:t>
      </w:r>
      <w:r>
        <w:rPr>
          <w:rFonts w:ascii="宋体" w:eastAsia="宋体" w:hAnsi="宋体" w:cs="Times New Roman" w:hint="eastAsia"/>
          <w:szCs w:val="21"/>
        </w:rPr>
        <w:t>即相关</w:t>
      </w:r>
      <w:r>
        <w:rPr>
          <w:rFonts w:ascii="宋体" w:eastAsia="宋体" w:hAnsi="宋体" w:cs="Times New Roman" w:hint="eastAsia"/>
          <w:szCs w:val="21"/>
        </w:rPr>
        <w:t>的服务到达现场或完成维修工作所需的时间：小时、天数等，招标文件或有关保修服务的其它文件中有规定的，遵从其规定；若无相关文</w:t>
      </w:r>
      <w:r>
        <w:rPr>
          <w:rFonts w:ascii="宋体" w:eastAsia="宋体" w:hAnsi="宋体" w:cs="Times New Roman" w:hint="eastAsia"/>
          <w:szCs w:val="21"/>
        </w:rPr>
        <w:t>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rPr>
        <w:t>合同条款专用部分</w:t>
      </w:r>
      <w:r>
        <w:rPr>
          <w:rFonts w:ascii="宋体" w:eastAsia="宋体" w:hAnsi="宋体" w:cs="Times New Roman" w:hint="eastAsia"/>
          <w:szCs w:val="21"/>
        </w:rPr>
        <w:t>。</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1、乙方对合同服务的质量保修期</w:t>
      </w: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szCs w:val="21"/>
        </w:rPr>
        <w:t>。乙方应保证所提供的产品、服务，符合合同规定的技术要求。如不符时，乙方应负全责并尽快处理解决，由此造成的损失和相关费用由乙方负责，甲方保留终止合同及索赔的权利。</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2、乙方应保证通过执行合同中全部方案后，可以取得本合同规定的结果，达到本合同规定的预期目标。对任何情况下出现问题的，应尽快提出解决方案。</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3、如果乙方提供的产品、服务和解决方案不符合甲方要求，或在规定的时间内没有弥补缺陷，甲方有权采取一切必要的补救措施，由此产生的费用全部由乙方负责。</w:t>
      </w:r>
    </w:p>
    <w:p w:rsidR="00ED636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九、履约保证金</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1、中标人应在收到中标通知书后规定时间内（具体时间</w:t>
      </w:r>
      <w:r>
        <w:rPr>
          <w:rFonts w:ascii="Times New Roman" w:eastAsia="宋体" w:hAnsi="Times New Roman"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szCs w:val="21"/>
        </w:rPr>
        <w:t>）内，以信汇、电汇或履约保函形式向甲方提供履约保证金，保证金金额：</w:t>
      </w: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szCs w:val="21"/>
        </w:rPr>
        <w:t>。</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2、如果中标人没有按照上述规定执行，甲方将有充分理由取消该中标决定，并不</w:t>
      </w:r>
      <w:r>
        <w:rPr>
          <w:rFonts w:ascii="宋体" w:eastAsia="宋体" w:hAnsi="宋体" w:cs="Times New Roman" w:hint="eastAsia"/>
          <w:szCs w:val="21"/>
        </w:rPr>
        <w:t>予退</w:t>
      </w:r>
      <w:r>
        <w:rPr>
          <w:rFonts w:ascii="宋体" w:eastAsia="宋体" w:hAnsi="宋体" w:cs="Times New Roman" w:hint="eastAsia"/>
          <w:szCs w:val="21"/>
        </w:rPr>
        <w:t>还其投标保证金。在此情况下甲方可将合同授予排名第二的中标候选人，或重新招标。</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3、如果中标人在与甲方</w:t>
      </w:r>
      <w:r>
        <w:rPr>
          <w:rFonts w:ascii="宋体" w:eastAsia="宋体" w:hAnsi="宋体" w:cs="Times New Roman" w:hint="eastAsia"/>
          <w:szCs w:val="21"/>
        </w:rPr>
        <w:t>签定</w:t>
      </w:r>
      <w:r>
        <w:rPr>
          <w:rFonts w:ascii="宋体" w:eastAsia="宋体" w:hAnsi="宋体" w:cs="Times New Roman" w:hint="eastAsia"/>
          <w:szCs w:val="21"/>
        </w:rPr>
        <w:t>合同以后，将中标项目转包给第三方或者</w:t>
      </w:r>
      <w:r>
        <w:rPr>
          <w:rFonts w:ascii="Times New Roman" w:eastAsia="宋体" w:hAnsi="Times New Roman" w:cs="Times New Roman" w:hint="eastAsia"/>
          <w:szCs w:val="20"/>
        </w:rPr>
        <w:t>将合同全部及任何权利、义务向第三方转让，或者在</w:t>
      </w:r>
      <w:r>
        <w:rPr>
          <w:rFonts w:ascii="宋体" w:eastAsia="宋体" w:hAnsi="宋体" w:cs="Times New Roman" w:hint="eastAsia"/>
          <w:szCs w:val="21"/>
        </w:rPr>
        <w:t>本项目不允许分包的情况下将中标项目分包给第三方，甲方将有充分理由终止合同，并不</w:t>
      </w:r>
      <w:r>
        <w:rPr>
          <w:rFonts w:ascii="宋体" w:eastAsia="宋体" w:hAnsi="宋体" w:cs="Times New Roman" w:hint="eastAsia"/>
          <w:szCs w:val="21"/>
        </w:rPr>
        <w:t>予退</w:t>
      </w:r>
      <w:r>
        <w:rPr>
          <w:rFonts w:ascii="宋体" w:eastAsia="宋体" w:hAnsi="宋体" w:cs="Times New Roman" w:hint="eastAsia"/>
          <w:szCs w:val="21"/>
        </w:rPr>
        <w:t>还其履约保证金。</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4、中标人的履约保证金将在合同</w:t>
      </w:r>
      <w:r>
        <w:rPr>
          <w:rFonts w:ascii="宋体" w:eastAsia="宋体" w:hAnsi="宋体" w:cs="Times New Roman" w:hint="eastAsia"/>
          <w:szCs w:val="21"/>
        </w:rPr>
        <w:t>服务试经甲方</w:t>
      </w:r>
      <w:r>
        <w:rPr>
          <w:rFonts w:ascii="宋体" w:eastAsia="宋体" w:hAnsi="宋体" w:cs="Times New Roman" w:hint="eastAsia"/>
          <w:szCs w:val="21"/>
        </w:rPr>
        <w:t>终验合格，履行</w:t>
      </w:r>
      <w:r>
        <w:rPr>
          <w:rFonts w:ascii="宋体" w:eastAsia="宋体" w:hAnsi="宋体" w:cs="Times New Roman" w:hint="eastAsia"/>
          <w:szCs w:val="21"/>
        </w:rPr>
        <w:t>完必要</w:t>
      </w:r>
      <w:r>
        <w:rPr>
          <w:rFonts w:ascii="宋体" w:eastAsia="宋体" w:hAnsi="宋体" w:cs="Times New Roman" w:hint="eastAsia"/>
          <w:szCs w:val="21"/>
        </w:rPr>
        <w:t>的审批手续后30日内退还中标人。</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5、如乙方未能完全履行合同规定的义务，甲方有权从履约保证金中得到补偿。</w:t>
      </w:r>
    </w:p>
    <w:p w:rsidR="00ED636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十、审计及检查</w:t>
      </w:r>
    </w:p>
    <w:p w:rsidR="00ED636A">
      <w:pPr>
        <w:tabs>
          <w:tab w:val="left" w:pos="360"/>
          <w:tab w:val="left" w:pos="1573"/>
        </w:tabs>
        <w:adjustRightInd w:val="0"/>
        <w:snapToGrid w:val="0"/>
        <w:spacing w:line="360" w:lineRule="auto"/>
        <w:ind w:firstLine="420" w:firstLineChars="200"/>
        <w:rPr>
          <w:rFonts w:ascii="宋体" w:eastAsia="宋体" w:hAnsi="宋体" w:cs="Times New Roman" w:hint="eastAsia"/>
          <w:bCs/>
          <w:szCs w:val="21"/>
        </w:rPr>
      </w:pPr>
      <w:r>
        <w:rPr>
          <w:rFonts w:ascii="宋体" w:eastAsia="宋体" w:hAnsi="宋体" w:cs="Times New Roman" w:hint="eastAsia"/>
          <w:bCs/>
          <w:szCs w:val="21"/>
        </w:rPr>
        <w:t>如果采购人要求，中标人应允许采购人检查中标人与实施本合同有关的资金、</w:t>
      </w:r>
      <w:r>
        <w:rPr>
          <w:rFonts w:ascii="宋体" w:eastAsia="宋体" w:hAnsi="宋体" w:cs="Times New Roman" w:hint="eastAsia"/>
          <w:bCs/>
          <w:szCs w:val="21"/>
        </w:rPr>
        <w:t>帐户</w:t>
      </w:r>
      <w:r>
        <w:rPr>
          <w:rFonts w:ascii="宋体" w:eastAsia="宋体" w:hAnsi="宋体" w:cs="Times New Roman" w:hint="eastAsia"/>
          <w:bCs/>
          <w:szCs w:val="21"/>
        </w:rPr>
        <w:t>和记录，并由采购人指定的审计人员对其进行审计。</w:t>
      </w:r>
    </w:p>
    <w:p w:rsidR="00ED636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十一、违约责任</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对本合同的任何违反均构成违约。当一方认为对方的违约属于严重违约时，若按照相关法律规定或按照通常的理解或认识，确属对合同的履行有重大影响，则应当被认为属于严重违约。若双方对某一违约是否属于严重</w:t>
      </w:r>
      <w:r>
        <w:rPr>
          <w:rFonts w:ascii="宋体" w:eastAsia="宋体" w:hAnsi="宋体" w:cs="Times New Roman" w:hint="eastAsia"/>
          <w:szCs w:val="21"/>
        </w:rPr>
        <w:t>违约仍</w:t>
      </w:r>
      <w:r>
        <w:rPr>
          <w:rFonts w:ascii="宋体" w:eastAsia="宋体" w:hAnsi="宋体" w:cs="Times New Roman" w:hint="eastAsia"/>
          <w:szCs w:val="21"/>
        </w:rPr>
        <w:t>有争议，可以由争议解决机构裁决认定。</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2、若乙方未如期按照合同约定的</w:t>
      </w:r>
      <w:r>
        <w:rPr>
          <w:rFonts w:ascii="宋体" w:eastAsia="宋体" w:hAnsi="宋体" w:cs="Times New Roman" w:hint="eastAsia"/>
          <w:szCs w:val="21"/>
        </w:rPr>
        <w:t>任何或</w:t>
      </w:r>
      <w:r>
        <w:rPr>
          <w:rFonts w:ascii="宋体" w:eastAsia="宋体" w:hAnsi="宋体" w:cs="Times New Roman" w:hint="eastAsia"/>
          <w:szCs w:val="21"/>
        </w:rPr>
        <w:t>全部款项内容之要求交付合同服务产品，或乙方未能履行合同规定的任何其它义务时，甲方有权直接向乙方发出违约通知书，乙方应按照甲方选择的下列一种或多种方式承担赔偿责任及违约责任：</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（1）在甲方同意延长的期限内交付服务产品并承担由此给甲方造成的直接损失及甲方因此产生的对第三方的责任。</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（2）甲方有权部分或全部解除合同并要求乙方赔偿由此造成的损失及甲方因此产生的对第三方的责任。此时甲方可采取必要的补救措施，相关费用由乙方承担。</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（3）上述情形下甲方为采取必要的补救措施或因防止损失扩大而支出的合理费用应由乙方承担。</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）向对方支付违约金，但该违约金累计不得超过合同总金额的一定比例（详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）；上述逾期超过一定时间（详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），守约方有权解除合同，并要求违约方赔偿由此造成的损失。</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 xml:space="preserve">5、其它违约责任 </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（1）如任何一方无故解除合同或有违反本合同规定的任何情形均属于违约行为，违约方应就每一单项违约向对方支付合同总金额一定比例的违约金，具体比例</w:t>
      </w: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szCs w:val="21"/>
        </w:rPr>
        <w:t>。</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（2）如乙方在合同规定的交付日期后10天内仍未能交付，则视为乙方不能交付，甲方有权解除合同，乙方若已经收取了甲方的定金则同时还应双倍返还已收取的定金。</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6、乙方违反规定，有下列行为之一的，甲方有权对因此造成的损失追究责任；构成犯罪的，由司法机关追究其刑事责任：</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1）擅自向第三方提供或者转让项目资料的；</w:t>
      </w:r>
    </w:p>
    <w:p w:rsidR="00ED636A">
      <w:pPr>
        <w:adjustRightInd w:val="0"/>
        <w:snapToGrid w:val="0"/>
        <w:spacing w:line="360" w:lineRule="auto"/>
        <w:ind w:left="200" w:firstLine="200" w:leftChars="95" w:firstLineChars="95"/>
        <w:rPr>
          <w:rFonts w:ascii="宋体" w:eastAsia="宋体" w:hAnsi="宋体" w:cs="Times New Roman" w:hint="eastAsia"/>
          <w:szCs w:val="21"/>
        </w:rPr>
      </w:pPr>
      <w:r>
        <w:rPr>
          <w:rFonts w:ascii="宋体" w:eastAsia="宋体" w:hAnsi="宋体" w:cs="Times New Roman" w:hint="eastAsia"/>
          <w:szCs w:val="21"/>
        </w:rPr>
        <w:t>2）未经甲方许可使用项目资料的；</w:t>
      </w:r>
    </w:p>
    <w:p w:rsidR="00ED636A">
      <w:pPr>
        <w:adjustRightInd w:val="0"/>
        <w:snapToGrid w:val="0"/>
        <w:spacing w:line="360" w:lineRule="auto"/>
        <w:ind w:left="200" w:firstLine="200" w:leftChars="95" w:firstLineChars="95"/>
        <w:rPr>
          <w:rFonts w:ascii="宋体" w:eastAsia="宋体" w:hAnsi="宋体" w:cs="Times New Roman" w:hint="eastAsia"/>
          <w:szCs w:val="21"/>
        </w:rPr>
      </w:pPr>
      <w:r>
        <w:rPr>
          <w:rFonts w:ascii="宋体" w:eastAsia="宋体" w:hAnsi="宋体" w:cs="Times New Roman" w:hint="eastAsia"/>
          <w:szCs w:val="21"/>
        </w:rPr>
        <w:t>3）项目完成后，乙方未经甲方许可保留项目资料的；</w:t>
      </w:r>
    </w:p>
    <w:p w:rsidR="00ED636A">
      <w:pPr>
        <w:adjustRightInd w:val="0"/>
        <w:snapToGrid w:val="0"/>
        <w:spacing w:line="360" w:lineRule="auto"/>
        <w:ind w:left="200" w:firstLine="200" w:leftChars="95" w:firstLineChars="95"/>
        <w:rPr>
          <w:rFonts w:ascii="宋体" w:eastAsia="宋体" w:hAnsi="宋体" w:cs="Times New Roman" w:hint="eastAsia"/>
          <w:szCs w:val="21"/>
        </w:rPr>
      </w:pPr>
      <w:r>
        <w:rPr>
          <w:rFonts w:ascii="宋体" w:eastAsia="宋体" w:hAnsi="宋体" w:cs="Times New Roman" w:hint="eastAsia"/>
          <w:szCs w:val="21"/>
        </w:rPr>
        <w:t>4）对项目资料保管不当，造成数据全部或者部分丢失、被窃的。</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7、乙方在进行项目时违反有关保密规定的，依照《中华人民共和国保密法》等有关法律法规的规定处理。</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w:t>
      </w:r>
      <w:r>
        <w:rPr>
          <w:rFonts w:ascii="宋体" w:eastAsia="宋体" w:hAnsi="宋体" w:cs="Times New Roman" w:hint="eastAsia"/>
          <w:szCs w:val="21"/>
        </w:rPr>
        <w:t>当构成</w:t>
      </w:r>
      <w:r>
        <w:rPr>
          <w:rFonts w:ascii="宋体" w:eastAsia="宋体" w:hAnsi="宋体" w:cs="Times New Roman" w:hint="eastAsia"/>
          <w:szCs w:val="21"/>
        </w:rPr>
        <w:t>严重违约时，对方可以单方面决定解除或终止合同履行，违约方同时还应当承担违约或赔偿责任。</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9、以上各项交付的违约金并不影响违约方履行合同的各项义务。</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w:t>
      </w:r>
      <w:r>
        <w:rPr>
          <w:rFonts w:ascii="宋体" w:eastAsia="宋体" w:hAnsi="宋体" w:cs="Times New Roman" w:hint="eastAsia"/>
          <w:szCs w:val="21"/>
        </w:rPr>
        <w:t>均并不</w:t>
      </w:r>
      <w:r>
        <w:rPr>
          <w:rFonts w:ascii="宋体" w:eastAsia="宋体" w:hAnsi="宋体" w:cs="Times New Roman" w:hint="eastAsia"/>
          <w:szCs w:val="21"/>
        </w:rPr>
        <w:t>因此被减免。</w:t>
      </w:r>
    </w:p>
    <w:p w:rsidR="00ED636A">
      <w:pPr>
        <w:adjustRightInd w:val="0"/>
        <w:snapToGrid w:val="0"/>
        <w:spacing w:line="360" w:lineRule="auto"/>
        <w:ind w:firstLine="315" w:firstLineChars="150"/>
        <w:rPr>
          <w:rFonts w:ascii="宋体" w:eastAsia="宋体" w:hAnsi="宋体" w:cs="Times New Roman" w:hint="eastAsia"/>
          <w:b/>
          <w:szCs w:val="21"/>
        </w:rPr>
      </w:pPr>
      <w:r>
        <w:rPr>
          <w:rFonts w:ascii="宋体" w:eastAsia="宋体" w:hAnsi="宋体" w:cs="Times New Roman" w:hint="eastAsia"/>
          <w:szCs w:val="21"/>
        </w:rPr>
        <w:t>11、本次采购的合同项下的任何合同、文件等均应当符合有关环保、知识产权及其他法律法规的规定，包括童工禁用、劳动保护待遇等法律规定。投标人或中标人</w:t>
      </w:r>
      <w:r>
        <w:rPr>
          <w:rFonts w:ascii="宋体" w:eastAsia="宋体" w:hAnsi="宋体" w:cs="Times New Roman" w:hint="eastAsia"/>
          <w:szCs w:val="21"/>
        </w:rPr>
        <w:t>或乙方或乙方</w:t>
      </w:r>
      <w:r>
        <w:rPr>
          <w:rFonts w:ascii="宋体" w:eastAsia="宋体" w:hAnsi="宋体" w:cs="Times New Roman" w:hint="eastAsia"/>
          <w:szCs w:val="21"/>
        </w:rPr>
        <w:t>代理商等均已清楚本次政府采购招标中的政府或其部门、采购中心、采购人或使用人等，均已尽声明、提示、审慎核查等注意义务及相关责任，若仍发生任何相关违反法律、法规之情形均属投标人或中标人</w:t>
      </w:r>
      <w:r>
        <w:rPr>
          <w:rFonts w:ascii="宋体" w:eastAsia="宋体" w:hAnsi="宋体" w:cs="Times New Roman" w:hint="eastAsia"/>
          <w:szCs w:val="21"/>
        </w:rPr>
        <w:t>或乙方或乙方</w:t>
      </w:r>
      <w:r>
        <w:rPr>
          <w:rFonts w:ascii="宋体" w:eastAsia="宋体" w:hAnsi="宋体" w:cs="Times New Roman" w:hint="eastAsia"/>
          <w:szCs w:val="21"/>
        </w:rPr>
        <w:t>代理商等单方面之因素、原因、责任。投标人或中标人</w:t>
      </w:r>
      <w:r>
        <w:rPr>
          <w:rFonts w:ascii="宋体" w:eastAsia="宋体" w:hAnsi="宋体" w:cs="Times New Roman" w:hint="eastAsia"/>
          <w:szCs w:val="21"/>
        </w:rPr>
        <w:t>或乙方或乙方</w:t>
      </w:r>
      <w:r>
        <w:rPr>
          <w:rFonts w:ascii="宋体" w:eastAsia="宋体" w:hAnsi="宋体" w:cs="Times New Roman" w:hint="eastAsia"/>
          <w:szCs w:val="21"/>
        </w:rPr>
        <w:t>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rsidR="00ED636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十二、不可抗力</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1、不可抗力指下列事件：战争、动乱、瘟疫、严重火灾、洪水、地震、风暴或其他自然灾害，以及本合同各方不可预见、不可防止并不能避免或克服的一切其他因素及事件。</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w:t>
      </w:r>
      <w:r>
        <w:rPr>
          <w:rFonts w:ascii="宋体" w:eastAsia="宋体" w:hAnsi="宋体" w:cs="Times New Roman" w:hint="eastAsia"/>
          <w:szCs w:val="21"/>
        </w:rPr>
        <w:t>作出</w:t>
      </w:r>
      <w:r>
        <w:rPr>
          <w:rFonts w:ascii="宋体" w:eastAsia="宋体" w:hAnsi="宋体" w:cs="Times New Roman" w:hint="eastAsia"/>
          <w:szCs w:val="21"/>
        </w:rPr>
        <w:t>的公证证明。</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4、合同各方应根据不可抗力对本合同履行的影响程度，协商确定是否终止本合同，或是继续履行本合同。</w:t>
      </w:r>
    </w:p>
    <w:p w:rsidR="00ED636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十三、联系方式</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1、合同双方发出与本合同有关的通知或回复，应以专人送递、传真或特快专递方式发出；如果以专人送递或特快专递发送，以送达至对方的住所地或</w:t>
      </w:r>
      <w:r>
        <w:rPr>
          <w:rFonts w:ascii="宋体" w:eastAsia="宋体" w:hAnsi="宋体" w:cs="Times New Roman" w:hint="eastAsia"/>
          <w:szCs w:val="21"/>
        </w:rPr>
        <w:t>通讯联络</w:t>
      </w:r>
      <w:r>
        <w:rPr>
          <w:rFonts w:ascii="宋体" w:eastAsia="宋体" w:hAnsi="宋体" w:cs="Times New Roman" w:hint="eastAsia"/>
          <w:szCs w:val="21"/>
        </w:rPr>
        <w:t>地为送达；如果以传真方式发送，发件人在收到传真报告后视为送达；如果采用电话或电子邮件的方式，则应在发送后由对方以书面方式予以确认。</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2、合同双方发出的与本合同有关的通知或回复均应发至</w:t>
      </w:r>
      <w:r>
        <w:rPr>
          <w:rFonts w:ascii="黑体" w:eastAsia="黑体" w:hAnsi="黑体" w:cs="Times New Roman" w:hint="eastAsia"/>
          <w:b/>
          <w:bCs/>
          <w:szCs w:val="21"/>
        </w:rPr>
        <w:t>合同条款专用部分</w:t>
      </w:r>
      <w:r>
        <w:rPr>
          <w:rFonts w:ascii="宋体" w:eastAsia="宋体" w:hAnsi="宋体" w:cs="Times New Roman" w:hint="eastAsia"/>
          <w:szCs w:val="21"/>
        </w:rPr>
        <w:t>中的通讯地址，付款或收款应使用</w:t>
      </w:r>
      <w:r>
        <w:rPr>
          <w:rFonts w:ascii="黑体" w:eastAsia="黑体" w:hAnsi="黑体" w:cs="Times New Roman" w:hint="eastAsia"/>
          <w:b/>
          <w:bCs/>
          <w:szCs w:val="21"/>
        </w:rPr>
        <w:t>合同条款专用部分</w:t>
      </w:r>
      <w:r>
        <w:rPr>
          <w:rFonts w:ascii="宋体" w:eastAsia="宋体" w:hAnsi="宋体" w:cs="Times New Roman" w:hint="eastAsia"/>
          <w:szCs w:val="21"/>
        </w:rPr>
        <w:t>中的</w:t>
      </w:r>
      <w:r>
        <w:rPr>
          <w:rFonts w:ascii="宋体" w:eastAsia="宋体" w:hAnsi="宋体" w:cs="Times New Roman" w:hint="eastAsia"/>
          <w:szCs w:val="21"/>
        </w:rPr>
        <w:t>帐号</w:t>
      </w:r>
      <w:r>
        <w:rPr>
          <w:rFonts w:ascii="宋体" w:eastAsia="宋体" w:hAnsi="宋体" w:cs="Times New Roman" w:hint="eastAsia"/>
          <w:szCs w:val="21"/>
        </w:rPr>
        <w:t>，一方变更通讯地址或</w:t>
      </w:r>
      <w:r>
        <w:rPr>
          <w:rFonts w:ascii="宋体" w:eastAsia="宋体" w:hAnsi="宋体" w:cs="Times New Roman" w:hint="eastAsia"/>
          <w:szCs w:val="21"/>
        </w:rPr>
        <w:t>帐号</w:t>
      </w:r>
      <w:r>
        <w:rPr>
          <w:rFonts w:ascii="宋体" w:eastAsia="宋体" w:hAnsi="宋体" w:cs="Times New Roman" w:hint="eastAsia"/>
          <w:szCs w:val="21"/>
        </w:rPr>
        <w:t>，应自变更之日起三个工作日内，将变更后的地址通知对方。变更方不履行通知义务的，应对此造成的一切后果承担法律责任。</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3、上述发出通知、回复的费用由发出一方承担。</w:t>
      </w:r>
    </w:p>
    <w:p w:rsidR="00ED636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十四、保密条款</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0"/>
        </w:rPr>
        <w:t>1、</w:t>
      </w:r>
      <w:r>
        <w:rPr>
          <w:rFonts w:ascii="宋体" w:eastAsia="宋体" w:hAnsi="宋体" w:cs="Times New Roman" w:hint="eastAsia"/>
          <w:szCs w:val="21"/>
        </w:rPr>
        <w:t>任何一方对其获知的本合同及附件中其他各方的商业秘密和国家秘密负有保密义务。</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2、在下列情形下：</w:t>
      </w:r>
      <w:r>
        <w:rPr>
          <w:rFonts w:ascii="宋体" w:eastAsia="宋体" w:hAnsi="宋体" w:cs="Times New Roman" w:hint="eastAsia"/>
          <w:szCs w:val="21"/>
        </w:rPr>
        <w:t>当发布</w:t>
      </w:r>
      <w:r>
        <w:rPr>
          <w:rFonts w:ascii="宋体" w:eastAsia="宋体" w:hAnsi="宋体" w:cs="Times New Roman" w:hint="eastAsia"/>
          <w:szCs w:val="21"/>
        </w:rPr>
        <w:t>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3、此外的其它情形下，除非法律、法规另有规定或得到本合同之其他各方的书面许可，任何一方不得向第三人泄露前款规定的商业秘密和国家秘密。保密期限</w:t>
      </w:r>
      <w:r>
        <w:rPr>
          <w:rFonts w:ascii="宋体" w:eastAsia="宋体" w:hAnsi="宋体" w:cs="Times New Roman" w:hint="eastAsia"/>
          <w:szCs w:val="21"/>
        </w:rPr>
        <w:t>自任何</w:t>
      </w:r>
      <w:r>
        <w:rPr>
          <w:rFonts w:ascii="宋体" w:eastAsia="宋体" w:hAnsi="宋体" w:cs="Times New Roman" w:hint="eastAsia"/>
          <w:szCs w:val="21"/>
        </w:rPr>
        <w:t>一方获知该商业秘密和国家秘密之日起至本条规定的秘密成为公众信息之日止。</w:t>
      </w:r>
    </w:p>
    <w:p w:rsidR="00ED636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十五、合同的解释和法律适用</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1、任何一方对本合同及其附件的解释均应遵循诚实信用原则,依照本合同签订时有效的中国法律、法规以及通常的理解进行。</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2、本合同标题仅供查阅方便，并非对本合同的诠释或解释；本合同中以日表述的时间期限均指自然日。</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3、对本合同的任何解释均应以书面</w:t>
      </w:r>
      <w:r>
        <w:rPr>
          <w:rFonts w:ascii="宋体" w:eastAsia="宋体" w:hAnsi="宋体" w:cs="Times New Roman" w:hint="eastAsia"/>
          <w:szCs w:val="21"/>
        </w:rPr>
        <w:t>作出</w:t>
      </w:r>
      <w:r>
        <w:rPr>
          <w:rFonts w:ascii="宋体" w:eastAsia="宋体" w:hAnsi="宋体" w:cs="Times New Roman" w:hint="eastAsia"/>
          <w:szCs w:val="21"/>
        </w:rPr>
        <w:t>。</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4、本合同及附件的订立、效力、解释、履行、争议的解决等适用本合同签订时有效的中华人民共和国法律、法规的有关规定。</w:t>
      </w:r>
    </w:p>
    <w:p w:rsidR="00ED636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十六、合同的终止</w:t>
      </w:r>
    </w:p>
    <w:p w:rsidR="00ED636A">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1、本合同因下列原因而终止：</w:t>
      </w:r>
    </w:p>
    <w:p w:rsidR="00ED636A">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（1）本合同正常履行完毕；</w:t>
      </w:r>
    </w:p>
    <w:p w:rsidR="00ED636A">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（2）合同双方协议终止本合同的履行；</w:t>
      </w:r>
    </w:p>
    <w:p w:rsidR="00ED636A">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（3）不可抗力事件导致本合同无法履行或履行不必要；</w:t>
      </w:r>
    </w:p>
    <w:p w:rsidR="00ED636A">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（4）任何一方行使解除权，解除本合同。</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2、对本合同终止有过错的一方应赔偿另一方因合同终止而受到的损失。对合同终止双方均无过错的，则各自承担所受到的损失。</w:t>
      </w:r>
    </w:p>
    <w:p w:rsidR="00ED636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十七、法律适用</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1、本合同及附件的订立、效力、解释、履行、争议的解决等适用本合同签订时有效的中华人民共和国法律、法规的有关规定。</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2、在本合同履行期间，因中国法律、法规、政策的变化致使本合同的部分条款相冲突、无效或失去可强制执行效力时，双方同意将密切合作，尽快修改本合同中相冲突或无效或失去强制执行效力的有关条款。</w:t>
      </w:r>
    </w:p>
    <w:p w:rsidR="00ED636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十八、权利的保留</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rsidR="00ED636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十九、争议的解决</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1、合同双方应通过友好协商解决</w:t>
      </w:r>
      <w:r>
        <w:rPr>
          <w:rFonts w:ascii="宋体" w:eastAsia="宋体" w:hAnsi="宋体" w:cs="Times New Roman" w:hint="eastAsia"/>
          <w:szCs w:val="21"/>
        </w:rPr>
        <w:t>因解释</w:t>
      </w:r>
      <w:r>
        <w:rPr>
          <w:rFonts w:ascii="宋体" w:eastAsia="宋体" w:hAnsi="宋体" w:cs="Times New Roman" w:hint="eastAsia"/>
          <w:szCs w:val="21"/>
        </w:rPr>
        <w:t>﹑执行本合同所发生的和本合同有关的一切争议。如果经协商不能达成协议，则双方同意：</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（1）在甲方所在地有管辖权的人民法院提起诉讼。</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（2）由贸易仲裁委员会根据现行有效的仲裁程序进行仲裁。仲裁裁决为最终裁决对双方均具有约束力。仲裁费除仲裁机关另有裁决外的应由败诉方承担。</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本项目选择的具体解决方式</w:t>
      </w:r>
      <w:r>
        <w:rPr>
          <w:rFonts w:ascii="宋体" w:eastAsia="宋体" w:hAnsi="宋体" w:cs="Times New Roman" w:hint="eastAsia"/>
          <w:szCs w:val="21"/>
        </w:rPr>
        <w:t>见</w:t>
      </w:r>
      <w:r>
        <w:rPr>
          <w:rFonts w:ascii="黑体" w:eastAsia="黑体" w:hAnsi="黑体" w:cs="Times New Roman" w:hint="eastAsia"/>
          <w:b/>
          <w:bCs/>
          <w:szCs w:val="20"/>
        </w:rPr>
        <w:t>合同</w:t>
      </w:r>
      <w:r>
        <w:rPr>
          <w:rFonts w:ascii="黑体" w:eastAsia="黑体" w:hAnsi="黑体" w:cs="Times New Roman" w:hint="eastAsia"/>
          <w:b/>
          <w:bCs/>
          <w:szCs w:val="20"/>
        </w:rPr>
        <w:t>条款专用部分。</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不应当成为该等争议的当事人，无论该等诉讼均不得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3、在争议解决期间，除了诉讼进行过程中正在解决的部分问题外，合同其余部分应继续履行。</w:t>
      </w:r>
    </w:p>
    <w:p w:rsidR="00ED636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二十、合同的补充、修改和变更</w:t>
      </w:r>
    </w:p>
    <w:p w:rsidR="00ED636A">
      <w:pPr>
        <w:adjustRightInd w:val="0"/>
        <w:snapToGrid w:val="0"/>
        <w:spacing w:line="360" w:lineRule="auto"/>
        <w:ind w:firstLine="420" w:firstLineChars="200"/>
        <w:rPr>
          <w:rFonts w:ascii="宋体" w:eastAsia="宋体" w:hAnsi="宋体" w:cs="Times New Roman" w:hint="eastAsia"/>
          <w:b/>
          <w:bCs/>
          <w:szCs w:val="21"/>
        </w:rPr>
      </w:pPr>
      <w:r>
        <w:rPr>
          <w:rFonts w:ascii="宋体" w:eastAsia="宋体" w:hAnsi="宋体" w:cs="Times New Roman" w:hint="eastAsia"/>
          <w:szCs w:val="21"/>
        </w:rPr>
        <w:t>在</w:t>
      </w:r>
      <w:r>
        <w:rPr>
          <w:rFonts w:ascii="宋体" w:eastAsia="宋体" w:hAnsi="宋体" w:cs="Times New Roman" w:hint="eastAsia"/>
          <w:szCs w:val="21"/>
        </w:rPr>
        <w:t>不</w:t>
      </w:r>
      <w:r>
        <w:rPr>
          <w:rFonts w:ascii="宋体" w:eastAsia="宋体" w:hAnsi="宋体" w:cs="Times New Roman" w:hint="eastAsia"/>
          <w:szCs w:val="21"/>
        </w:rPr>
        <w:t>背离</w:t>
      </w:r>
      <w:r>
        <w:rPr>
          <w:rFonts w:ascii="Calibri" w:eastAsia="宋体" w:hAnsi="Calibri" w:cs="Times New Roman" w:hint="eastAsia"/>
        </w:rPr>
        <w:t>招标文件、投标文件及评审过程中的有关澄清、说明或者补正文件的实质性内容的前提下，</w:t>
      </w:r>
      <w:r>
        <w:rPr>
          <w:rFonts w:ascii="宋体" w:eastAsia="宋体" w:hAnsi="宋体" w:cs="Times New Roman" w:hint="eastAsia"/>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1、甲方可以要求对技术文件进行修改。所有的修改要求都应以书面形式提交。甲方将准备一份书面的修改备忘录以说明所要求的更改，并列出对技术文件条款的任何修改。乙方应在3日内对此</w:t>
      </w:r>
      <w:r>
        <w:rPr>
          <w:rFonts w:ascii="宋体" w:eastAsia="宋体" w:hAnsi="宋体" w:cs="Times New Roman" w:hint="eastAsia"/>
          <w:szCs w:val="21"/>
        </w:rPr>
        <w:t>作出</w:t>
      </w:r>
      <w:r>
        <w:rPr>
          <w:rFonts w:ascii="宋体" w:eastAsia="宋体" w:hAnsi="宋体" w:cs="Times New Roman" w:hint="eastAsia"/>
          <w:szCs w:val="21"/>
        </w:rPr>
        <w:t>书面回应，其内容包括详细的该修改对合同价格、项目交付日期、项目技术参数的影响和变化以及对合同条款的影响等。</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2、甲方收到乙方的上述回应后，应在3日内以书面方式通知乙方是否同意和接受乙方的上述回应。如果甲方接受乙方的上述回应，则双方另行对此修改签署予以确认，乙方则按修改后的约定履行本合同。</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4、如乙方提出项目的部分修改建议，乙方应同时详细阐明该变更对合同价格、项目交付日</w:t>
      </w:r>
      <w:r>
        <w:rPr>
          <w:rFonts w:ascii="宋体" w:eastAsia="宋体" w:hAnsi="宋体" w:cs="Times New Roman" w:hint="eastAsia"/>
          <w:szCs w:val="21"/>
        </w:rPr>
        <w:t>期、项目技术参数的影响和变化以及对合同条款的影响等。</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6、所有的修改应在双方签署书面的修改备忘录时生效。修改备忘录将变更或取代有关的技术文件中或先前的任何修改备忘录中所有不一致的条款。</w:t>
      </w:r>
    </w:p>
    <w:p w:rsidR="00ED636A">
      <w:pPr>
        <w:adjustRightInd w:val="0"/>
        <w:snapToGrid w:val="0"/>
        <w:spacing w:line="360" w:lineRule="auto"/>
        <w:ind w:left="420"/>
        <w:rPr>
          <w:rFonts w:ascii="宋体" w:eastAsia="宋体" w:hAnsi="宋体" w:cs="Times New Roman" w:hint="eastAsia"/>
          <w:szCs w:val="21"/>
        </w:rPr>
      </w:pPr>
      <w:r>
        <w:rPr>
          <w:rFonts w:ascii="宋体" w:eastAsia="宋体" w:hAnsi="宋体" w:cs="Times New Roman" w:hint="eastAsia"/>
          <w:szCs w:val="21"/>
        </w:rPr>
        <w:t>7、任何对合同条件的变更或修改均须双方签订书面的修改书。</w:t>
      </w:r>
    </w:p>
    <w:p w:rsidR="00ED636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8、招投标文件及其全部条款、双方签订的补充协议以及修改或变更的条款与本合同具有同等法律效力。补充、修改或变更的协议的签署及生效方式与本合同的签署及生效方式相同。</w:t>
      </w:r>
    </w:p>
    <w:p w:rsidR="00ED636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二十一、合同的生效</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本合同经双方法定代表人（负责人）或授权代表签字并加盖单位公章后生效。</w:t>
      </w:r>
    </w:p>
    <w:p w:rsidR="00ED636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二十二、其它约定事项</w:t>
      </w:r>
    </w:p>
    <w:p w:rsidR="00ED636A">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1、本合同中的附件均为本合同不可分割的部分，与本合同具有相同的法律效力。</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3、本合同正本一式两份，甲、乙双方各执一份，每份正本具有同等法律效力，</w:t>
      </w:r>
      <w:r>
        <w:rPr>
          <w:rFonts w:ascii="宋体" w:eastAsia="宋体" w:hAnsi="宋体" w:cs="Times New Roman" w:hint="eastAsia"/>
          <w:szCs w:val="21"/>
        </w:rPr>
        <w:t>副本报</w:t>
      </w:r>
      <w:r>
        <w:rPr>
          <w:rFonts w:ascii="宋体" w:eastAsia="宋体" w:hAnsi="宋体" w:cs="Times New Roman" w:hint="eastAsia"/>
          <w:szCs w:val="21"/>
        </w:rPr>
        <w:t>财政部备案。</w:t>
      </w:r>
    </w:p>
    <w:p w:rsidR="00ED636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4、本合同涉及的招标文件和投标文件，正本由中国气象局政府采购中心保存。</w:t>
      </w:r>
    </w:p>
    <w:p w:rsidR="00ED636A">
      <w:pPr>
        <w:tabs>
          <w:tab w:val="left" w:pos="1573"/>
        </w:tabs>
        <w:adjustRightInd w:val="0"/>
        <w:snapToGrid w:val="0"/>
        <w:spacing w:line="360" w:lineRule="auto"/>
        <w:ind w:firstLine="412" w:firstLineChars="196"/>
        <w:jc w:val="left"/>
        <w:rPr>
          <w:rFonts w:ascii="宋体" w:eastAsia="宋体" w:hAnsi="宋体" w:cs="Times New Roman" w:hint="eastAsia"/>
          <w:szCs w:val="21"/>
        </w:rPr>
      </w:pPr>
    </w:p>
    <w:p w:rsidR="00ED636A"/>
    <w:p w:rsidR="00A77B3E"/>
    <w:p w:rsidR="00ED636A">
      <w:pPr>
        <w:numPr>
          <w:ilvl w:val="0"/>
          <w:numId w:val="4"/>
        </w:numPr>
        <w:spacing w:line="360" w:lineRule="auto"/>
        <w:ind w:firstLine="3066" w:firstLineChars="1460"/>
        <w:jc w:val="left"/>
        <w:rPr>
          <w:rFonts w:ascii="Times New Roman" w:eastAsia="宋体" w:hAnsi="Times New Roman" w:cs="Times New Roman"/>
          <w:b/>
          <w:bCs/>
          <w:szCs w:val="21"/>
        </w:rPr>
      </w:pPr>
      <w:bookmarkEnd w:id="6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BDEECA8"/>
    <w:multiLevelType w:val="singleLevel"/>
    <w:tmpl w:val="9BDEECA8"/>
    <w:lvl w:ilvl="0">
      <w:start w:val="9"/>
      <w:numFmt w:val="chineseCounting"/>
      <w:suff w:val="space"/>
      <w:lvlText w:val="第%1章"/>
      <w:lvlJc w:val="left"/>
      <w:rPr>
        <w:rFonts w:hint="eastAsia"/>
      </w:rPr>
    </w:lvl>
  </w:abstractNum>
  <w:abstractNum w:abstractNumId="2">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4">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6">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3"/>
  </w:num>
  <w:num w:numId="2">
    <w:abstractNumId w:val="2"/>
  </w:num>
  <w:num w:numId="3">
    <w:abstractNumId w:val="4"/>
  </w:num>
  <w:num w:numId="4">
    <w:abstractNumId w:val="1"/>
  </w:num>
  <w:num w:numId="5">
    <w:abstractNumId w:val="0"/>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A6D38"/>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7C9"/>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721"/>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0A6F"/>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2EA5"/>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A1D"/>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D7E75"/>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4587B"/>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57DAD"/>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024"/>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36A"/>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4125F1E"/>
    <w:rsid w:val="078451F1"/>
    <w:rsid w:val="08C230B8"/>
    <w:rsid w:val="0E576F53"/>
    <w:rsid w:val="125B2CFC"/>
    <w:rsid w:val="13405E2E"/>
    <w:rsid w:val="19402E10"/>
    <w:rsid w:val="27655AF0"/>
    <w:rsid w:val="2F605368"/>
    <w:rsid w:val="31FD4B93"/>
    <w:rsid w:val="3FCA68B7"/>
    <w:rsid w:val="45196B36"/>
    <w:rsid w:val="45E54DCA"/>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24926</Words>
  <Characters>26292</Characters>
  <Application>Microsoft Office Word</Application>
  <DocSecurity>0</DocSecurity>
  <Lines>216</Lines>
  <Paragraphs>61</Paragraphs>
  <ScaleCrop>false</ScaleCrop>
  <Company>中国气象局</Company>
  <LinksUpToDate>false</LinksUpToDate>
  <CharactersWithSpaces>26403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2026-03-17T07:20:53Z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