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宁夏2026年人工影响天气耗材采购项目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ZQCD-26029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2026年03月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宁夏回族自治区大气探测技术保障中心；宁夏回族自治区海原县气象局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宁夏2026年人工影响天气耗材采购项目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ZQCD-26029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合同签订后，乙方在40个日历日内完成甲方所订购人影耗材的生产和出厂验收工作。</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宁夏</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2026年03月25日 00:00:00</w:t>
      </w:r>
      <w:bookmarkEnd w:id="26"/>
      <w:r>
        <w:rPr>
          <w:rFonts w:ascii="宋体" w:hint="eastAsia"/>
          <w:szCs w:val="21"/>
          <w:highlight w:val="none"/>
        </w:rPr>
        <w:t>至</w:t>
      </w:r>
      <w:bookmarkStart w:id="27" w:name="项目公告_signUpLastTime"/>
      <w:r>
        <w:rPr>
          <w:rFonts w:ascii="宋体" w:hint="eastAsia"/>
          <w:szCs w:val="21"/>
          <w:highlight w:val="none"/>
        </w:rPr>
        <w:t>2026年04月01日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2026年04月15日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宁夏回族自治区大气探测技术保障中心；宁夏回族自治区海原县气象局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杨晨芳</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0951-5029414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宁夏银川市兴庆区掌政镇西华街雷达站</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宁夏回族自治区大气探测技术保障中心；宁夏回族自治区海原县气象局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设有，核心产品为增雨防雹火箭弹</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标的：增雨防雹火箭弹、飞机焰条、地面焰条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368.280000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368.280000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3"/>
        <w:gridCol w:w="283"/>
        <w:gridCol w:w="1442"/>
        <w:gridCol w:w="283"/>
        <w:gridCol w:w="68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(36)</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(5)</w:t>
            </w:r>
          </w:p>
        </w:tc>
        <w:tc>
          <w:tcPr/>
          <w:p>
            <w:r>
              <w:t>评审标准：</w:t>
            </w:r>
          </w:p>
          <w:p>
            <w:r>
              <w:t>提供投标人的下列证书，每提供1个得1分，最多得5分。</w:t>
              <w:cr/>
              <w:t>1、民用爆炸物品生产许可证</w:t>
              <w:cr/>
              <w:t>2、民用爆炸物品安全生产许可证</w:t>
              <w:cr/>
              <w:t>3、 ISO9000系列或GJB9001B质量管理体系认证证书</w:t>
              <w:cr/>
              <w:t>4、环境管理体系认证证书；</w:t>
              <w:cr/>
              <w:t>5、职业健康安全管理体系认证证书。</w:t>
            </w:r>
          </w:p>
          <w:p>
            <w:r>
              <w:t>评审标准说明：</w:t>
            </w:r>
          </w:p>
          <w:p>
            <w:r>
              <w:t>须提供投标截止日仍有效的相关证书复印件，并加盖投标人公章。</w:t>
              <w:cr/>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销售合同必须包括增雨防雹火箭弹或飞机焰条或地面焰条，每提供1份合同得1分，最多得5分。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(4)</w:t>
            </w:r>
          </w:p>
        </w:tc>
        <w:tc>
          <w:tcPr/>
          <w:p>
            <w:r>
              <w:t>评审标准：</w:t>
            </w:r>
          </w:p>
          <w:p>
            <w:r>
              <w:t>一档0分</w:t>
              <w:cr/>
              <w:t>二档1分</w:t>
              <w:cr/>
              <w:t>三档2分</w:t>
              <w:cr/>
              <w:t>四档4分</w:t>
            </w:r>
          </w:p>
          <w:p>
            <w:r>
              <w:t>评审标准说明：</w:t>
            </w:r>
          </w:p>
          <w:p>
            <w:r>
              <w:t>根据投标人提供的培训方案评审。具体评分标准：</w:t>
              <w:cr/>
              <w:t>一档：未提供培训方案；</w:t>
              <w:cr/>
              <w:t>二档：提供的培训方案不完整（指缺失培训计划、培训材料（讲义）、培训课表、主要授课教师介绍任意一项）；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事故处理解决方案（客观分）</w:t>
            </w:r>
          </w:p>
        </w:tc>
        <w:tc>
          <w:tcPr/>
          <w:p>
            <w:r>
              <w:t>勾选打分</w:t>
            </w:r>
            <w:r>
              <w:t>(4)</w:t>
            </w:r>
          </w:p>
        </w:tc>
        <w:tc>
          <w:tcPr/>
          <w:p>
            <w:r>
              <w:t>评审标准：</w:t>
            </w:r>
          </w:p>
          <w:p>
            <w:r>
              <w:t>一档0分</w:t>
              <w:cr/>
              <w:t>二档2分</w:t>
              <w:cr/>
              <w:t>三档4分</w:t>
            </w:r>
          </w:p>
          <w:p>
            <w:r>
              <w:t>评审标准说明：</w:t>
            </w:r>
          </w:p>
          <w:p>
            <w:r>
              <w:t>提供事故处理解决方案，并在方案中至少要承诺发生安全事故后，到场处理≤72 小时，处理时长≤10 个工作日。具体标准评分如下：</w:t>
              <w:cr/>
              <w:t>一档：未提供事故处理解决方案，或者方案中的承诺不满足上述要求；</w:t>
              <w:cr/>
              <w:t>二档：提供事故处理解决方案，并在方案中承诺发生安全事故后，48小时&lt;到场处理≤72小时且5个工作日&lt;处理时长≤10个工作日；</w:t>
              <w:cr/>
              <w:t>三档：提供事故处理解决方案，并在方案中承诺发生安全事故后，到场处理≤48 小时且处理时长≤5个工作日。</w:t>
            </w:r>
          </w:p>
          <w:p/>
        </w:tc>
      </w:tr>
      <w:tr>
        <w:tblPrEx>
          <w:tblW w:w="5000" w:type="pct"/>
          <w:tblCellMar>
            <w:left w:w="108" w:type="dxa"/>
            <w:right w:w="108" w:type="dxa"/>
          </w:tblCellMar>
        </w:tblPrEx>
        <w:tc>
          <w:tcPr/>
          <w:p>
            <w:r>
              <w:t>8</w:t>
            </w:r>
          </w:p>
        </w:tc>
        <w:tc>
          <w:tcPr>
            <w:vMerge/>
          </w:tcPr>
          <w:p>
            <w:r>
              <w:t>服务部分</w:t>
            </w:r>
          </w:p>
        </w:tc>
        <w:tc>
          <w:tcPr/>
          <w:p>
            <w:r>
              <w:t>交货期保证（客观分）</w:t>
            </w:r>
          </w:p>
        </w:tc>
        <w:tc>
          <w:tcPr/>
          <w:p>
            <w:r>
              <w:t>勾选打分</w:t>
            </w:r>
            <w:r>
              <w:t>(2)</w:t>
            </w:r>
          </w:p>
        </w:tc>
        <w:tc>
          <w:tcPr/>
          <w:p>
            <w:r>
              <w:t>评审标准：</w:t>
            </w:r>
          </w:p>
          <w:p>
            <w:r>
              <w:t>针对本项目采购的增雨防雹火箭弹、飞机焰条、地面焰条，承诺每提前5天完交货得0.5分，最多得2分。</w:t>
            </w:r>
          </w:p>
          <w:p>
            <w:r>
              <w:t>评审标准说明：</w:t>
            </w:r>
          </w:p>
          <w:p>
            <w:r>
              <w:t>投标人应提供货物生产完成时间承诺。评审标准中所指提前完成天数，是指实际完成货物生产的时间比本采购文件第四章和第七章规定的生产完成期限提前的天数。</w:t>
            </w:r>
          </w:p>
          <w:p/>
        </w:tc>
      </w:tr>
      <w:tr>
        <w:tblPrEx>
          <w:tblW w:w="5000" w:type="pct"/>
          <w:tblCellMar>
            <w:left w:w="108" w:type="dxa"/>
            <w:right w:w="108" w:type="dxa"/>
          </w:tblCellMar>
        </w:tblPrEx>
        <w:tc>
          <w:tcPr/>
          <w:p>
            <w:r>
              <w:t>9</w:t>
            </w:r>
          </w:p>
        </w:tc>
        <w:tc>
          <w:tcPr>
            <w:vMerge/>
          </w:tcPr>
          <w:p>
            <w:r>
              <w:t>服务部分</w:t>
            </w:r>
          </w:p>
        </w:tc>
        <w:tc>
          <w:tcPr/>
          <w:p>
            <w:r>
              <w:t>用户满意度证明（客观分）</w:t>
            </w:r>
          </w:p>
        </w:tc>
        <w:tc>
          <w:tcPr/>
          <w:p>
            <w:r>
              <w:t>勾选打分</w:t>
            </w:r>
            <w:r>
              <w:t>(6)</w:t>
            </w:r>
          </w:p>
        </w:tc>
        <w:tc>
          <w:tcPr/>
          <w:p>
            <w:r>
              <w:t>评审标准：</w:t>
            </w:r>
          </w:p>
          <w:p>
            <w:r>
              <w:t>提供1份增雨防雹火箭弹用户证明材料得2分，提供1份飞机焰条用户证明材料得2分，提供1份地面焰条用户证明材料得2分，满分6分。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10</w:t>
            </w:r>
          </w:p>
        </w:tc>
        <w:tc>
          <w:tcPr/>
          <w:p>
            <w:r>
              <w:t>技术部分</w:t>
            </w:r>
          </w:p>
        </w:tc>
        <w:tc>
          <w:tcPr/>
          <w:p>
            <w:r>
              <w:t>投标产品重要技术指标（客观分）</w:t>
            </w:r>
          </w:p>
        </w:tc>
        <w:tc>
          <w:tcPr/>
          <w:p>
            <w:r>
              <w:t>勾选打分</w:t>
            </w:r>
            <w:r>
              <w:t>(30)</w:t>
            </w:r>
          </w:p>
        </w:tc>
        <w:tc>
          <w:tcPr/>
          <w:p>
            <w:r>
              <w:t>评审标准：</w:t>
            </w:r>
          </w:p>
          <w:p>
            <w:r>
              <w:t>标注#的重要指标共6项，每满足1项（如有多个下级指标，则每个下级指标均应满足）得5分，满分30分。</w:t>
            </w:r>
          </w:p>
          <w:p>
            <w:r>
              <w:t>评审标准说明：</w:t>
            </w:r>
          </w:p>
          <w:p>
            <w:r>
              <w:t>需提供技术文档。响应且满足招标文件第七章详细技术指标要求，标注#的重要指标需提供第三方出具的测试报告作为证明材料（复印件加盖投标人公章）。</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szCs w:val="21"/>
        </w:rPr>
      </w:pPr>
      <w:r>
        <w:rPr>
          <w:rFonts w:ascii="宋体" w:hAnsi="宋体" w:hint="eastAsia"/>
          <w:szCs w:val="21"/>
        </w:rPr>
        <w:t>一、项目概况及总体要求</w:t>
      </w:r>
    </w:p>
    <w:p>
      <w:pPr>
        <w:spacing w:line="360" w:lineRule="auto"/>
        <w:ind w:firstLine="420" w:firstLineChars="200"/>
        <w:rPr>
          <w:rFonts w:ascii="宋体" w:hAnsi="宋体" w:hint="eastAsia"/>
          <w:szCs w:val="21"/>
        </w:rPr>
      </w:pPr>
      <w:r>
        <w:rPr>
          <w:rFonts w:ascii="宋体" w:hAnsi="宋体" w:hint="eastAsia"/>
          <w:szCs w:val="21"/>
        </w:rPr>
        <w:t>本项目所招产品为我区人工</w:t>
      </w:r>
      <w:r>
        <w:rPr>
          <w:rFonts w:ascii="宋体" w:hAnsi="宋体" w:hint="eastAsia"/>
          <w:b/>
          <w:bCs/>
          <w:szCs w:val="21"/>
        </w:rPr>
        <w:t>增雨防雹用火箭弹、地面焰条、飞机焰条</w:t>
      </w:r>
      <w:r>
        <w:rPr>
          <w:rFonts w:ascii="宋体" w:hAnsi="宋体" w:hint="eastAsia"/>
          <w:szCs w:val="21"/>
        </w:rPr>
        <w:t>，根据中国气象局关于人工影响天气作业的安全管理要求，结合近年来各地出现的相关人影作业事故案例，本项目所招产品必须完全满足配套我区现有火箭发射系统使用条件，以保证火箭作业的稳定性、安全性，出现事故后能够及时解决。</w:t>
      </w:r>
    </w:p>
    <w:p>
      <w:pPr>
        <w:spacing w:line="360" w:lineRule="auto"/>
        <w:ind w:firstLine="420" w:firstLineChars="200"/>
        <w:rPr>
          <w:rFonts w:ascii="宋体" w:hAnsi="宋体" w:hint="eastAsia"/>
          <w:szCs w:val="21"/>
        </w:rPr>
      </w:pPr>
      <w:r>
        <w:rPr>
          <w:rFonts w:ascii="宋体" w:hAnsi="宋体" w:hint="eastAsia"/>
          <w:szCs w:val="21"/>
        </w:rPr>
        <w:t>二、设备需求一览表（</w:t>
      </w:r>
      <w:r>
        <w:rPr>
          <w:rFonts w:ascii="宋体" w:hAnsi="宋体" w:hint="eastAsia"/>
          <w:szCs w:val="21"/>
          <w:lang w:val="en-US" w:eastAsia="zh-CN"/>
        </w:rPr>
        <w:t>详</w:t>
      </w:r>
      <w:r>
        <w:rPr>
          <w:rFonts w:ascii="宋体" w:hAnsi="宋体" w:hint="eastAsia"/>
          <w:szCs w:val="21"/>
        </w:rPr>
        <w:t>见第七章 采购需求 附表）</w:t>
      </w:r>
    </w:p>
    <w:tbl>
      <w:tblPr>
        <w:tblStyle w:val="TableNormal"/>
        <w:tblW w:w="8560" w:type="dxa"/>
        <w:jc w:val="center"/>
        <w:tblLayout w:type="fixed"/>
        <w:tblCellMar>
          <w:top w:w="0" w:type="dxa"/>
          <w:left w:w="0" w:type="dxa"/>
          <w:bottom w:w="0" w:type="dxa"/>
          <w:right w:w="0" w:type="dxa"/>
        </w:tblCellMar>
      </w:tblPr>
      <w:tblGrid>
        <w:gridCol w:w="380"/>
        <w:gridCol w:w="1740"/>
        <w:gridCol w:w="1215"/>
        <w:gridCol w:w="1350"/>
        <w:gridCol w:w="2700"/>
        <w:gridCol w:w="1175"/>
      </w:tblGrid>
      <w:tr>
        <w:tblPrEx>
          <w:tblW w:w="8560" w:type="dxa"/>
          <w:jc w:val="center"/>
          <w:tblLayout w:type="fixed"/>
          <w:tblCellMar>
            <w:top w:w="0" w:type="dxa"/>
            <w:left w:w="0" w:type="dxa"/>
            <w:bottom w:w="0" w:type="dxa"/>
            <w:right w:w="0" w:type="dxa"/>
          </w:tblCellMar>
        </w:tblPrEx>
        <w:trPr>
          <w:trHeight w:hRule="exact" w:val="699"/>
          <w:jc w:val="center"/>
        </w:trPr>
        <w:tc>
          <w:tcPr>
            <w:tcW w:w="38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spacing w:before="0"/>
              <w:ind w:right="0"/>
              <w:jc w:val="center"/>
              <w:rPr>
                <w:rFonts w:ascii="宋体" w:eastAsia="宋体" w:hAnsi="宋体" w:cs="宋体" w:hint="eastAsia"/>
                <w:kern w:val="0"/>
                <w:szCs w:val="21"/>
              </w:rPr>
            </w:pPr>
            <w:r>
              <w:rPr>
                <w:rFonts w:ascii="宋体" w:eastAsia="宋体" w:hAnsi="宋体" w:cs="宋体" w:hint="eastAsia"/>
                <w:kern w:val="0"/>
                <w:szCs w:val="21"/>
              </w:rPr>
              <w:t>序号</w:t>
            </w:r>
          </w:p>
        </w:tc>
        <w:tc>
          <w:tcPr>
            <w:tcW w:w="174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spacing w:before="0"/>
              <w:ind w:right="0"/>
              <w:jc w:val="center"/>
              <w:rPr>
                <w:rFonts w:ascii="宋体" w:eastAsia="宋体" w:hAnsi="宋体" w:cs="宋体" w:hint="eastAsia"/>
                <w:kern w:val="0"/>
                <w:szCs w:val="21"/>
              </w:rPr>
            </w:pPr>
            <w:r>
              <w:rPr>
                <w:rFonts w:ascii="宋体" w:eastAsia="宋体" w:hAnsi="宋体" w:cs="宋体" w:hint="eastAsia"/>
                <w:kern w:val="0"/>
                <w:szCs w:val="21"/>
              </w:rPr>
              <w:t>设备</w:t>
            </w:r>
            <w:r>
              <w:rPr>
                <w:rFonts w:ascii="宋体" w:eastAsia="宋体" w:hAnsi="宋体" w:cs="宋体" w:hint="eastAsia"/>
                <w:spacing w:val="-2"/>
                <w:kern w:val="0"/>
                <w:szCs w:val="21"/>
              </w:rPr>
              <w:t>名</w:t>
            </w:r>
            <w:r>
              <w:rPr>
                <w:rFonts w:ascii="宋体" w:eastAsia="宋体" w:hAnsi="宋体" w:cs="宋体" w:hint="eastAsia"/>
                <w:kern w:val="0"/>
                <w:szCs w:val="21"/>
              </w:rPr>
              <w:t>称</w:t>
            </w:r>
          </w:p>
        </w:tc>
        <w:tc>
          <w:tcPr>
            <w:tcW w:w="1215"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spacing w:before="0"/>
              <w:ind w:left="0" w:right="0"/>
              <w:jc w:val="center"/>
              <w:rPr>
                <w:rFonts w:ascii="宋体" w:eastAsia="宋体" w:hAnsi="宋体" w:cs="宋体" w:hint="eastAsia"/>
                <w:kern w:val="0"/>
                <w:szCs w:val="21"/>
              </w:rPr>
            </w:pPr>
            <w:r>
              <w:rPr>
                <w:rFonts w:ascii="宋体" w:eastAsia="宋体" w:hAnsi="宋体" w:cs="宋体" w:hint="eastAsia"/>
                <w:kern w:val="0"/>
                <w:szCs w:val="21"/>
              </w:rPr>
              <w:t>规格</w:t>
            </w:r>
          </w:p>
        </w:tc>
        <w:tc>
          <w:tcPr>
            <w:tcW w:w="135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spacing w:before="0"/>
              <w:ind w:left="0" w:right="0"/>
              <w:jc w:val="center"/>
              <w:rPr>
                <w:rFonts w:ascii="宋体" w:eastAsia="宋体" w:hAnsi="宋体" w:cs="宋体" w:hint="eastAsia"/>
                <w:kern w:val="0"/>
                <w:szCs w:val="21"/>
              </w:rPr>
            </w:pPr>
            <w:r>
              <w:rPr>
                <w:rFonts w:ascii="宋体" w:eastAsia="宋体" w:hAnsi="宋体" w:cs="宋体" w:hint="eastAsia"/>
                <w:kern w:val="0"/>
                <w:szCs w:val="21"/>
              </w:rPr>
              <w:t>数量</w:t>
            </w:r>
            <w:r>
              <w:rPr>
                <w:rFonts w:ascii="宋体" w:eastAsia="宋体" w:hAnsi="宋体" w:cs="宋体" w:hint="eastAsia"/>
                <w:spacing w:val="-2"/>
                <w:kern w:val="0"/>
                <w:szCs w:val="21"/>
              </w:rPr>
              <w:t>及</w:t>
            </w:r>
            <w:r>
              <w:rPr>
                <w:rFonts w:ascii="宋体" w:eastAsia="宋体" w:hAnsi="宋体" w:cs="宋体" w:hint="eastAsia"/>
                <w:kern w:val="0"/>
                <w:szCs w:val="21"/>
              </w:rPr>
              <w:t>单位</w:t>
            </w:r>
          </w:p>
        </w:tc>
        <w:tc>
          <w:tcPr>
            <w:tcW w:w="270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spacing w:before="0"/>
              <w:ind w:left="0" w:right="0"/>
              <w:jc w:val="center"/>
              <w:rPr>
                <w:rFonts w:ascii="宋体" w:eastAsia="宋体" w:hAnsi="宋体" w:cs="宋体" w:hint="eastAsia"/>
                <w:kern w:val="0"/>
                <w:szCs w:val="21"/>
              </w:rPr>
            </w:pPr>
            <w:r>
              <w:rPr>
                <w:rFonts w:ascii="宋体" w:eastAsia="宋体" w:hAnsi="宋体" w:cs="宋体" w:hint="eastAsia"/>
                <w:kern w:val="0"/>
                <w:szCs w:val="21"/>
              </w:rPr>
              <w:t>交货期</w:t>
            </w:r>
          </w:p>
        </w:tc>
        <w:tc>
          <w:tcPr>
            <w:tcW w:w="1175"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spacing w:before="0"/>
              <w:ind w:left="0" w:right="0"/>
              <w:jc w:val="center"/>
              <w:rPr>
                <w:rFonts w:ascii="宋体" w:eastAsia="宋体" w:hAnsi="宋体" w:cs="宋体" w:hint="eastAsia"/>
                <w:kern w:val="0"/>
                <w:szCs w:val="21"/>
              </w:rPr>
            </w:pPr>
            <w:r>
              <w:rPr>
                <w:rFonts w:ascii="宋体" w:eastAsia="宋体" w:hAnsi="宋体" w:cs="宋体" w:hint="eastAsia"/>
                <w:kern w:val="0"/>
                <w:szCs w:val="21"/>
              </w:rPr>
              <w:t>交货</w:t>
            </w:r>
            <w:r>
              <w:rPr>
                <w:rFonts w:ascii="宋体" w:eastAsia="宋体" w:hAnsi="宋体" w:cs="宋体" w:hint="eastAsia"/>
                <w:spacing w:val="-2"/>
                <w:kern w:val="0"/>
                <w:szCs w:val="21"/>
              </w:rPr>
              <w:t>地</w:t>
            </w:r>
            <w:r>
              <w:rPr>
                <w:rFonts w:ascii="宋体" w:eastAsia="宋体" w:hAnsi="宋体" w:cs="宋体" w:hint="eastAsia"/>
                <w:kern w:val="0"/>
                <w:szCs w:val="21"/>
              </w:rPr>
              <w:t>点</w:t>
            </w:r>
          </w:p>
        </w:tc>
      </w:tr>
      <w:tr>
        <w:tblPrEx>
          <w:tblW w:w="8560" w:type="dxa"/>
          <w:jc w:val="center"/>
          <w:tblLayout w:type="fixed"/>
          <w:tblCellMar>
            <w:top w:w="0" w:type="dxa"/>
            <w:left w:w="0" w:type="dxa"/>
            <w:bottom w:w="0" w:type="dxa"/>
            <w:right w:w="0" w:type="dxa"/>
          </w:tblCellMar>
        </w:tblPrEx>
        <w:trPr>
          <w:trHeight w:hRule="exact" w:val="1039"/>
          <w:jc w:val="center"/>
        </w:trPr>
        <w:tc>
          <w:tcPr>
            <w:tcW w:w="38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ind w:left="0" w:right="0"/>
              <w:jc w:val="center"/>
              <w:rPr>
                <w:rFonts w:ascii="宋体" w:eastAsia="宋体" w:hAnsi="宋体" w:cs="宋体" w:hint="eastAsia"/>
                <w:kern w:val="0"/>
                <w:szCs w:val="21"/>
              </w:rPr>
            </w:pPr>
            <w:r>
              <w:rPr>
                <w:rFonts w:ascii="宋体" w:eastAsia="宋体" w:hAnsi="宋体" w:cs="宋体" w:hint="eastAsia"/>
                <w:kern w:val="0"/>
                <w:szCs w:val="21"/>
              </w:rPr>
              <w:t>1</w:t>
            </w:r>
          </w:p>
        </w:tc>
        <w:tc>
          <w:tcPr>
            <w:tcW w:w="174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宋体" w:hint="eastAsia"/>
                <w:kern w:val="0"/>
                <w:sz w:val="21"/>
                <w:szCs w:val="21"/>
              </w:rPr>
              <w:t>增雨防雹火箭弹</w:t>
            </w:r>
          </w:p>
        </w:tc>
        <w:tc>
          <w:tcPr>
            <w:tcW w:w="1215"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宋体" w:hint="eastAsia"/>
                <w:kern w:val="0"/>
                <w:sz w:val="21"/>
                <w:szCs w:val="21"/>
              </w:rPr>
              <w:t>详见技术性能指标</w:t>
            </w:r>
          </w:p>
        </w:tc>
        <w:tc>
          <w:tcPr>
            <w:tcW w:w="135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宋体" w:hint="eastAsia"/>
                <w:kern w:val="0"/>
                <w:sz w:val="21"/>
                <w:szCs w:val="21"/>
                <w:lang w:val="en-US" w:eastAsia="zh-CN"/>
              </w:rPr>
              <w:t>1010</w:t>
            </w:r>
            <w:r>
              <w:rPr>
                <w:rFonts w:ascii="宋体" w:eastAsia="宋体" w:hAnsi="宋体" w:cs="宋体" w:hint="eastAsia"/>
                <w:kern w:val="0"/>
                <w:sz w:val="21"/>
                <w:szCs w:val="21"/>
              </w:rPr>
              <w:t>枚</w:t>
            </w:r>
          </w:p>
        </w:tc>
        <w:tc>
          <w:tcPr>
            <w:tcW w:w="270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宋体" w:hint="eastAsia"/>
                <w:color w:val="auto"/>
                <w:kern w:val="0"/>
                <w:sz w:val="21"/>
                <w:szCs w:val="21"/>
              </w:rPr>
              <w:t>40个日历日内完成甲方所订购人影耗材的生产工作。</w:t>
            </w:r>
          </w:p>
        </w:tc>
        <w:tc>
          <w:tcPr>
            <w:tcW w:w="1175"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宋体" w:hint="eastAsia"/>
                <w:kern w:val="0"/>
                <w:sz w:val="21"/>
                <w:szCs w:val="21"/>
              </w:rPr>
              <w:t>指定地点</w:t>
            </w:r>
          </w:p>
        </w:tc>
      </w:tr>
      <w:tr>
        <w:tblPrEx>
          <w:tblW w:w="8560" w:type="dxa"/>
          <w:jc w:val="center"/>
          <w:tblLayout w:type="fixed"/>
          <w:tblCellMar>
            <w:top w:w="0" w:type="dxa"/>
            <w:left w:w="0" w:type="dxa"/>
            <w:bottom w:w="0" w:type="dxa"/>
            <w:right w:w="0" w:type="dxa"/>
          </w:tblCellMar>
        </w:tblPrEx>
        <w:trPr>
          <w:trHeight w:hRule="exact" w:val="928"/>
          <w:jc w:val="center"/>
        </w:trPr>
        <w:tc>
          <w:tcPr>
            <w:tcW w:w="38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ind w:left="0" w:right="0"/>
              <w:jc w:val="center"/>
              <w:rPr>
                <w:rFonts w:ascii="宋体" w:eastAsia="宋体" w:hAnsi="宋体" w:cs="宋体" w:hint="eastAsia"/>
                <w:kern w:val="0"/>
                <w:szCs w:val="21"/>
              </w:rPr>
            </w:pPr>
            <w:r>
              <w:rPr>
                <w:rFonts w:ascii="宋体" w:eastAsia="宋体" w:hAnsi="宋体" w:cs="宋体" w:hint="eastAsia"/>
                <w:kern w:val="0"/>
                <w:szCs w:val="21"/>
              </w:rPr>
              <w:t>2</w:t>
            </w:r>
          </w:p>
        </w:tc>
        <w:tc>
          <w:tcPr>
            <w:tcW w:w="174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宋体" w:hint="eastAsia"/>
                <w:kern w:val="0"/>
                <w:sz w:val="21"/>
                <w:szCs w:val="21"/>
              </w:rPr>
              <w:t>地面焰条</w:t>
            </w:r>
          </w:p>
        </w:tc>
        <w:tc>
          <w:tcPr>
            <w:tcW w:w="1215"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宋体" w:hint="eastAsia"/>
                <w:kern w:val="0"/>
                <w:sz w:val="21"/>
                <w:szCs w:val="21"/>
              </w:rPr>
              <w:t>详见技术性能指标</w:t>
            </w:r>
          </w:p>
        </w:tc>
        <w:tc>
          <w:tcPr>
            <w:tcW w:w="135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宋体" w:hint="eastAsia"/>
                <w:kern w:val="0"/>
                <w:sz w:val="21"/>
                <w:szCs w:val="21"/>
                <w:lang w:eastAsia="zh-CN"/>
              </w:rPr>
              <w:t>1</w:t>
            </w:r>
            <w:r>
              <w:rPr>
                <w:rFonts w:ascii="宋体" w:eastAsia="宋体" w:hAnsi="宋体" w:cs="宋体" w:hint="eastAsia"/>
                <w:kern w:val="0"/>
                <w:sz w:val="21"/>
                <w:szCs w:val="21"/>
                <w:lang w:val="en-US" w:eastAsia="zh-CN"/>
              </w:rPr>
              <w:t>50</w:t>
            </w:r>
            <w:r>
              <w:rPr>
                <w:rFonts w:ascii="宋体" w:eastAsia="宋体" w:hAnsi="宋体" w:cs="宋体" w:hint="eastAsia"/>
                <w:kern w:val="0"/>
                <w:sz w:val="21"/>
                <w:szCs w:val="21"/>
              </w:rPr>
              <w:t>0根</w:t>
            </w:r>
          </w:p>
        </w:tc>
        <w:tc>
          <w:tcPr>
            <w:tcW w:w="270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宋体" w:hint="eastAsia"/>
                <w:color w:val="auto"/>
                <w:kern w:val="0"/>
                <w:sz w:val="21"/>
                <w:szCs w:val="21"/>
              </w:rPr>
              <w:t>40个日历日内完成甲方所订购人影耗材的生产工作。</w:t>
            </w:r>
          </w:p>
        </w:tc>
        <w:tc>
          <w:tcPr>
            <w:tcW w:w="1175"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宋体" w:hint="eastAsia"/>
                <w:kern w:val="0"/>
                <w:sz w:val="21"/>
                <w:szCs w:val="21"/>
              </w:rPr>
              <w:t>指定地点</w:t>
            </w:r>
          </w:p>
        </w:tc>
      </w:tr>
      <w:tr>
        <w:tblPrEx>
          <w:tblW w:w="8560" w:type="dxa"/>
          <w:jc w:val="center"/>
          <w:tblLayout w:type="fixed"/>
          <w:tblCellMar>
            <w:top w:w="0" w:type="dxa"/>
            <w:left w:w="0" w:type="dxa"/>
            <w:bottom w:w="0" w:type="dxa"/>
            <w:right w:w="0" w:type="dxa"/>
          </w:tblCellMar>
        </w:tblPrEx>
        <w:trPr>
          <w:trHeight w:hRule="exact" w:val="883"/>
          <w:jc w:val="center"/>
        </w:trPr>
        <w:tc>
          <w:tcPr>
            <w:tcW w:w="38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ind w:left="0" w:right="0"/>
              <w:jc w:val="center"/>
              <w:rPr>
                <w:rFonts w:ascii="宋体" w:eastAsia="宋体" w:hAnsi="宋体" w:cs="宋体" w:hint="eastAsia"/>
                <w:kern w:val="0"/>
                <w:szCs w:val="21"/>
              </w:rPr>
            </w:pPr>
            <w:r>
              <w:rPr>
                <w:rFonts w:ascii="宋体" w:eastAsia="宋体" w:hAnsi="宋体" w:cs="宋体" w:hint="eastAsia"/>
                <w:kern w:val="0"/>
                <w:szCs w:val="21"/>
              </w:rPr>
              <w:t>3</w:t>
            </w:r>
          </w:p>
        </w:tc>
        <w:tc>
          <w:tcPr>
            <w:tcW w:w="174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宋体" w:hint="eastAsia"/>
                <w:kern w:val="0"/>
                <w:sz w:val="21"/>
                <w:szCs w:val="21"/>
              </w:rPr>
              <w:t>飞机焰条</w:t>
            </w:r>
          </w:p>
        </w:tc>
        <w:tc>
          <w:tcPr>
            <w:tcW w:w="1215"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宋体" w:hint="eastAsia"/>
                <w:kern w:val="0"/>
                <w:sz w:val="21"/>
                <w:szCs w:val="21"/>
              </w:rPr>
              <w:t>详见技术性能指标</w:t>
            </w:r>
          </w:p>
        </w:tc>
        <w:tc>
          <w:tcPr>
            <w:tcW w:w="135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宋体" w:hint="eastAsia"/>
                <w:kern w:val="0"/>
                <w:sz w:val="21"/>
                <w:szCs w:val="21"/>
                <w:lang w:val="en-US" w:eastAsia="zh-CN"/>
              </w:rPr>
              <w:t>120</w:t>
            </w:r>
            <w:r>
              <w:rPr>
                <w:rFonts w:ascii="宋体" w:eastAsia="宋体" w:hAnsi="宋体" w:cs="宋体" w:hint="eastAsia"/>
                <w:kern w:val="0"/>
                <w:sz w:val="21"/>
                <w:szCs w:val="21"/>
              </w:rPr>
              <w:t>0根</w:t>
            </w:r>
          </w:p>
        </w:tc>
        <w:tc>
          <w:tcPr>
            <w:tcW w:w="2700"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宋体" w:hint="eastAsia"/>
                <w:color w:val="auto"/>
                <w:kern w:val="0"/>
                <w:sz w:val="21"/>
                <w:szCs w:val="21"/>
              </w:rPr>
              <w:t>40个日历日内完成甲方所订购人影耗材的生产工作。</w:t>
            </w:r>
          </w:p>
        </w:tc>
        <w:tc>
          <w:tcPr>
            <w:tcW w:w="1175" w:type="dxa"/>
            <w:tcBorders>
              <w:top w:val="single" w:sz="4" w:space="0" w:color="000000"/>
              <w:left w:val="single" w:sz="4" w:space="0" w:color="000000"/>
              <w:bottom w:val="single" w:sz="4" w:space="0" w:color="000000"/>
              <w:right w:val="single" w:sz="4" w:space="0" w:color="000000"/>
            </w:tcBorders>
            <w:noWrap w:val="0"/>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宋体" w:hint="eastAsia"/>
                <w:kern w:val="0"/>
                <w:sz w:val="21"/>
                <w:szCs w:val="21"/>
              </w:rPr>
              <w:t>指定地点</w:t>
            </w:r>
          </w:p>
        </w:tc>
      </w:tr>
    </w:tbl>
    <w:p>
      <w:pPr>
        <w:keepNext w:val="0"/>
        <w:keepLines w:val="0"/>
        <w:pageBreakBefore w:val="0"/>
        <w:widowControl w:val="0"/>
        <w:kinsoku/>
        <w:wordWrap/>
        <w:overflowPunct/>
        <w:topLinePunct w:val="0"/>
        <w:autoSpaceDE/>
        <w:autoSpaceDN/>
        <w:bidi w:val="0"/>
        <w:adjustRightInd/>
        <w:snapToGrid/>
        <w:spacing w:before="156" w:beforeLines="50" w:line="360" w:lineRule="auto"/>
        <w:ind w:firstLine="420" w:firstLineChars="200"/>
        <w:textAlignment w:val="auto"/>
        <w:rPr>
          <w:rFonts w:ascii="宋体" w:hAnsi="宋体" w:hint="eastAsia"/>
          <w:szCs w:val="21"/>
        </w:rPr>
      </w:pPr>
      <w:r>
        <w:rPr>
          <w:rFonts w:ascii="宋体" w:hAnsi="宋体" w:hint="eastAsia"/>
          <w:szCs w:val="21"/>
        </w:rPr>
        <w:t>三、技术性能指标</w:t>
      </w:r>
    </w:p>
    <w:tbl>
      <w:tblPr>
        <w:tblStyle w:val="TableNormal"/>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291"/>
        <w:gridCol w:w="5206"/>
        <w:gridCol w:w="940"/>
      </w:tblGrid>
      <w:tr>
        <w:tblPrEx>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80"/>
        </w:trPr>
        <w:tc>
          <w:tcPr>
            <w:tcW w:w="2325" w:type="dxa"/>
            <w:noWrap w:val="0"/>
            <w:vAlign w:val="center"/>
          </w:tcPr>
          <w:p>
            <w:pPr>
              <w:widowControl/>
              <w:jc w:val="center"/>
              <w:textAlignment w:val="center"/>
              <w:rPr>
                <w:rFonts w:asciiTheme="minorEastAsia" w:hAnsiTheme="minorEastAsia" w:cstheme="minorEastAsia" w:hint="eastAsia"/>
                <w:b/>
                <w:bCs/>
                <w:szCs w:val="21"/>
              </w:rPr>
            </w:pPr>
            <w:r>
              <w:rPr>
                <w:rFonts w:asciiTheme="minorEastAsia" w:eastAsiaTheme="minorEastAsia" w:hAnsiTheme="minorEastAsia" w:cstheme="minorEastAsia" w:hint="eastAsia"/>
                <w:b/>
                <w:bCs/>
                <w:color w:val="000000"/>
                <w:kern w:val="0"/>
                <w:sz w:val="21"/>
                <w:szCs w:val="21"/>
                <w:lang w:bidi="ar"/>
              </w:rPr>
              <w:t>货物名称</w:t>
            </w:r>
          </w:p>
        </w:tc>
        <w:tc>
          <w:tcPr>
            <w:tcW w:w="5279" w:type="dxa"/>
            <w:noWrap w:val="0"/>
            <w:vAlign w:val="center"/>
          </w:tcPr>
          <w:p>
            <w:pPr>
              <w:widowControl/>
              <w:jc w:val="center"/>
              <w:textAlignment w:val="center"/>
              <w:rPr>
                <w:rFonts w:asciiTheme="minorEastAsia" w:hAnsiTheme="minorEastAsia" w:cstheme="minorEastAsia" w:hint="eastAsia"/>
                <w:b/>
                <w:bCs/>
                <w:szCs w:val="21"/>
              </w:rPr>
            </w:pPr>
            <w:r>
              <w:rPr>
                <w:rFonts w:asciiTheme="minorEastAsia" w:eastAsiaTheme="minorEastAsia" w:hAnsiTheme="minorEastAsia" w:cstheme="minorEastAsia" w:hint="eastAsia"/>
                <w:b/>
                <w:bCs/>
                <w:color w:val="000000"/>
                <w:kern w:val="0"/>
                <w:sz w:val="21"/>
                <w:szCs w:val="21"/>
                <w:lang w:bidi="ar"/>
              </w:rPr>
              <w:t>技术参数</w:t>
            </w:r>
          </w:p>
        </w:tc>
        <w:tc>
          <w:tcPr>
            <w:tcW w:w="946" w:type="dxa"/>
            <w:noWrap w:val="0"/>
            <w:vAlign w:val="center"/>
          </w:tcPr>
          <w:p>
            <w:pPr>
              <w:widowControl/>
              <w:jc w:val="center"/>
              <w:textAlignment w:val="center"/>
              <w:rPr>
                <w:rFonts w:asciiTheme="minorEastAsia" w:hAnsiTheme="minorEastAsia" w:cstheme="minorEastAsia" w:hint="eastAsia"/>
                <w:b/>
                <w:bCs/>
                <w:szCs w:val="21"/>
              </w:rPr>
            </w:pPr>
            <w:r>
              <w:rPr>
                <w:rFonts w:asciiTheme="minorEastAsia" w:eastAsiaTheme="minorEastAsia" w:hAnsiTheme="minorEastAsia" w:cstheme="minorEastAsia" w:hint="eastAsia"/>
                <w:b/>
                <w:bCs/>
                <w:color w:val="000000"/>
                <w:kern w:val="0"/>
                <w:sz w:val="21"/>
                <w:szCs w:val="21"/>
                <w:lang w:bidi="ar"/>
              </w:rPr>
              <w:t>数量</w:t>
            </w:r>
          </w:p>
        </w:tc>
      </w:tr>
      <w:tr>
        <w:tblPrEx>
          <w:tblW w:w="0" w:type="auto"/>
          <w:tblInd w:w="85" w:type="dxa"/>
          <w:tblCellMar>
            <w:top w:w="0" w:type="dxa"/>
            <w:left w:w="108" w:type="dxa"/>
            <w:bottom w:w="0" w:type="dxa"/>
            <w:right w:w="108" w:type="dxa"/>
          </w:tblCellMar>
        </w:tblPrEx>
        <w:tc>
          <w:tcPr>
            <w:tcW w:w="2325" w:type="dxa"/>
            <w:noWrap w:val="0"/>
            <w:vAlign w:val="center"/>
          </w:tcPr>
          <w:p>
            <w:pPr>
              <w:widowControl/>
              <w:jc w:val="center"/>
              <w:textAlignment w:val="center"/>
              <w:rPr>
                <w:rFonts w:asciiTheme="minorEastAsia" w:hAnsiTheme="minorEastAsia" w:cstheme="minorEastAsia" w:hint="eastAsia"/>
                <w:b/>
                <w:szCs w:val="21"/>
              </w:rPr>
            </w:pPr>
            <w:r>
              <w:rPr>
                <w:rFonts w:asciiTheme="minorEastAsia" w:eastAsiaTheme="minorEastAsia" w:hAnsiTheme="minorEastAsia" w:cstheme="minorEastAsia" w:hint="eastAsia"/>
                <w:color w:val="000000"/>
                <w:kern w:val="0"/>
                <w:sz w:val="21"/>
                <w:szCs w:val="21"/>
                <w:lang w:bidi="ar"/>
              </w:rPr>
              <w:t>增雨防雹火箭弹</w:t>
            </w:r>
          </w:p>
        </w:tc>
        <w:tc>
          <w:tcPr>
            <w:tcW w:w="5279" w:type="dxa"/>
            <w:noWrap w:val="0"/>
            <w:vAlign w:val="center"/>
          </w:tcPr>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1.配套类型：适用于现有火箭发射架，安全有保障。</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2.适用火箭架型</w:t>
            </w:r>
            <w:r>
              <w:rPr>
                <w:rFonts w:asciiTheme="minorEastAsia" w:eastAsiaTheme="minorEastAsia" w:hAnsiTheme="minorEastAsia" w:cstheme="minorEastAsia" w:hint="eastAsia"/>
                <w:color w:val="000000"/>
                <w:kern w:val="0"/>
                <w:sz w:val="21"/>
                <w:szCs w:val="21"/>
                <w:highlight w:val="none"/>
                <w:lang w:bidi="ar"/>
              </w:rPr>
              <w:t>号：QF3-Ⅱ型或QF6-Ⅲ型</w:t>
            </w:r>
            <w:r>
              <w:rPr>
                <w:rFonts w:asciiTheme="minorEastAsia" w:hAnsiTheme="minorEastAsia" w:cstheme="minorEastAsia" w:hint="eastAsia"/>
                <w:color w:val="000000"/>
                <w:kern w:val="0"/>
                <w:sz w:val="21"/>
                <w:szCs w:val="21"/>
                <w:highlight w:val="none"/>
                <w:lang w:val="en-US" w:eastAsia="zh-CN" w:bidi="ar"/>
              </w:rPr>
              <w:t>或TFQ-1型</w:t>
            </w:r>
            <w:r>
              <w:rPr>
                <w:rFonts w:asciiTheme="minorEastAsia" w:eastAsiaTheme="minorEastAsia" w:hAnsiTheme="minorEastAsia" w:cstheme="minorEastAsia" w:hint="eastAsia"/>
                <w:color w:val="000000"/>
                <w:kern w:val="0"/>
                <w:sz w:val="21"/>
                <w:szCs w:val="21"/>
                <w:highlight w:val="none"/>
                <w:lang w:bidi="ar"/>
              </w:rPr>
              <w:t>。</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3.海拔高度1000m，射角85°时：射高≥6300m，高度偏差≤±5%。</w:t>
            </w:r>
          </w:p>
          <w:p>
            <w:pPr>
              <w:widowControl/>
              <w:jc w:val="left"/>
              <w:textAlignment w:val="center"/>
              <w:rPr>
                <w:rFonts w:asciiTheme="minorEastAsia" w:hAnsiTheme="minorEastAsia" w:cstheme="minorEastAsia" w:hint="eastAsia"/>
                <w:szCs w:val="21"/>
              </w:rPr>
            </w:pPr>
            <w:r>
              <w:rPr>
                <w:rFonts w:asciiTheme="minorEastAsia" w:eastAsiaTheme="minorEastAsia" w:hAnsiTheme="minorEastAsia" w:cstheme="minorEastAsia" w:hint="eastAsia"/>
                <w:color w:val="000000"/>
                <w:kern w:val="0"/>
                <w:sz w:val="21"/>
                <w:szCs w:val="21"/>
                <w:lang w:bidi="ar"/>
              </w:rPr>
              <w:t>4.发射时主动段内角度偏差：≤±3°</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5.离轨速度：≥55m/s。</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6.火箭弹作用可靠性：≥99.5%。</w:t>
            </w:r>
          </w:p>
          <w:p>
            <w:pPr>
              <w:widowControl/>
              <w:jc w:val="left"/>
              <w:textAlignment w:val="center"/>
              <w:rPr>
                <w:rFonts w:asciiTheme="minorEastAsia" w:hAnsiTheme="minorEastAsia" w:cstheme="minorEastAsia" w:hint="eastAsia"/>
                <w:color w:val="000000"/>
                <w:kern w:val="0"/>
                <w:szCs w:val="21"/>
                <w:highlight w:val="yellow"/>
                <w:lang w:bidi="ar"/>
              </w:rPr>
            </w:pPr>
            <w:r>
              <w:rPr>
                <w:rFonts w:asciiTheme="minorEastAsia" w:eastAsiaTheme="minorEastAsia" w:hAnsiTheme="minorEastAsia" w:cstheme="minorEastAsia" w:hint="eastAsia"/>
                <w:color w:val="000000"/>
                <w:kern w:val="0"/>
                <w:sz w:val="21"/>
                <w:szCs w:val="21"/>
                <w:highlight w:val="yellow"/>
                <w:lang w:bidi="ar"/>
              </w:rPr>
              <w:t>#7.成核率（试验室内，－10℃时）：≥10</w:t>
            </w:r>
            <w:r>
              <w:rPr>
                <w:rFonts w:asciiTheme="minorEastAsia" w:eastAsiaTheme="minorEastAsia" w:hAnsiTheme="minorEastAsia" w:cstheme="minorEastAsia" w:hint="eastAsia"/>
                <w:color w:val="000000"/>
                <w:kern w:val="0"/>
                <w:sz w:val="21"/>
                <w:szCs w:val="21"/>
                <w:highlight w:val="yellow"/>
                <w:vertAlign w:val="superscript"/>
                <w:lang w:bidi="ar"/>
              </w:rPr>
              <w:t>12</w:t>
            </w:r>
            <w:r>
              <w:rPr>
                <w:rFonts w:asciiTheme="minorEastAsia" w:eastAsiaTheme="minorEastAsia" w:hAnsiTheme="minorEastAsia" w:cstheme="minorEastAsia" w:hint="eastAsia"/>
                <w:color w:val="000000"/>
                <w:kern w:val="0"/>
                <w:sz w:val="21"/>
                <w:szCs w:val="21"/>
                <w:highlight w:val="yellow"/>
                <w:lang w:bidi="ar"/>
              </w:rPr>
              <w:t>个每克</w:t>
            </w:r>
          </w:p>
          <w:p>
            <w:pPr>
              <w:widowControl/>
              <w:jc w:val="left"/>
              <w:rPr>
                <w:rFonts w:asciiTheme="minorEastAsia" w:hAnsiTheme="minorEastAsia" w:cstheme="minorEastAsia" w:hint="eastAsia"/>
                <w:color w:val="000000"/>
                <w:kern w:val="0"/>
                <w:szCs w:val="21"/>
                <w:highlight w:val="yellow"/>
                <w:lang w:bidi="ar"/>
              </w:rPr>
            </w:pPr>
            <w:r>
              <w:rPr>
                <w:rFonts w:asciiTheme="minorEastAsia" w:eastAsiaTheme="minorEastAsia" w:hAnsiTheme="minorEastAsia" w:cstheme="minorEastAsia" w:hint="eastAsia"/>
                <w:color w:val="000000"/>
                <w:kern w:val="0"/>
                <w:sz w:val="21"/>
                <w:szCs w:val="21"/>
                <w:highlight w:val="yellow"/>
                <w:lang w:bidi="ar"/>
              </w:rPr>
              <w:t>#8.催化剂燃烧时间:≥8s。</w:t>
            </w:r>
          </w:p>
          <w:p>
            <w:pPr>
              <w:widowControl/>
              <w:jc w:val="left"/>
              <w:textAlignment w:val="center"/>
              <w:rPr>
                <w:rFonts w:asciiTheme="minorEastAsia" w:hAnsiTheme="minorEastAsia" w:cstheme="minorEastAsia" w:hint="eastAsia"/>
                <w:color w:val="000000"/>
                <w:kern w:val="0"/>
                <w:szCs w:val="21"/>
                <w:highlight w:val="yellow"/>
                <w:lang w:bidi="ar"/>
              </w:rPr>
            </w:pPr>
            <w:r>
              <w:rPr>
                <w:rFonts w:asciiTheme="minorEastAsia" w:eastAsiaTheme="minorEastAsia" w:hAnsiTheme="minorEastAsia" w:cstheme="minorEastAsia" w:hint="eastAsia"/>
                <w:color w:val="000000"/>
                <w:kern w:val="0"/>
                <w:sz w:val="21"/>
                <w:szCs w:val="21"/>
                <w:highlight w:val="yellow"/>
                <w:lang w:bidi="ar"/>
              </w:rPr>
              <w:t>#9.残骸落地速度:≤10m/s。</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 xml:space="preserve">10.有防止非作业状态时的火箭弹被触发措施。   </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11.使用温度:－30～50 ℃。</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12.贮存温度:－40～50 ℃。</w:t>
            </w:r>
          </w:p>
          <w:p>
            <w:pPr>
              <w:widowControl/>
              <w:jc w:val="left"/>
              <w:textAlignment w:val="center"/>
              <w:rPr>
                <w:rFonts w:asciiTheme="minorEastAsia" w:hAnsiTheme="minorEastAsia" w:cstheme="minorEastAsia" w:hint="eastAsia"/>
                <w:color w:val="000000"/>
                <w:kern w:val="0"/>
                <w:szCs w:val="21"/>
                <w:highlight w:val="yellow"/>
                <w:lang w:bidi="ar"/>
              </w:rPr>
            </w:pPr>
            <w:r>
              <w:rPr>
                <w:rFonts w:asciiTheme="minorEastAsia" w:eastAsiaTheme="minorEastAsia" w:hAnsiTheme="minorEastAsia" w:cstheme="minorEastAsia" w:hint="eastAsia"/>
                <w:color w:val="000000"/>
                <w:kern w:val="0"/>
                <w:sz w:val="21"/>
                <w:szCs w:val="21"/>
                <w:highlight w:val="yellow"/>
                <w:lang w:bidi="ar"/>
              </w:rPr>
              <w:t>#13.贮存期:2年。</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14.有符合要求的二维码标识。</w:t>
            </w:r>
          </w:p>
        </w:tc>
        <w:tc>
          <w:tcPr>
            <w:tcW w:w="946" w:type="dxa"/>
            <w:noWrap w:val="0"/>
            <w:vAlign w:val="center"/>
          </w:tcPr>
          <w:p>
            <w:pPr>
              <w:widowControl/>
              <w:jc w:val="center"/>
              <w:outlineLvl w:val="1"/>
              <w:rPr>
                <w:rFonts w:asciiTheme="minorEastAsia" w:hAnsiTheme="minorEastAsia" w:cstheme="minorEastAsia" w:hint="default"/>
                <w:b/>
                <w:szCs w:val="21"/>
              </w:rPr>
            </w:pPr>
            <w:r>
              <w:rPr>
                <w:rFonts w:asciiTheme="minorEastAsia" w:hAnsiTheme="minorEastAsia" w:cstheme="minorEastAsia" w:hint="eastAsia"/>
                <w:color w:val="000000"/>
                <w:kern w:val="0"/>
                <w:sz w:val="21"/>
                <w:szCs w:val="21"/>
                <w:lang w:val="en-US" w:eastAsia="zh-CN" w:bidi="ar"/>
              </w:rPr>
              <w:t>1010</w:t>
            </w:r>
          </w:p>
        </w:tc>
      </w:tr>
      <w:tr>
        <w:tblPrEx>
          <w:tblW w:w="0" w:type="auto"/>
          <w:tblInd w:w="85" w:type="dxa"/>
          <w:tblCellMar>
            <w:top w:w="0" w:type="dxa"/>
            <w:left w:w="108" w:type="dxa"/>
            <w:bottom w:w="0" w:type="dxa"/>
            <w:right w:w="108" w:type="dxa"/>
          </w:tblCellMar>
        </w:tblPrEx>
        <w:trPr>
          <w:trHeight w:val="357"/>
        </w:trPr>
        <w:tc>
          <w:tcPr>
            <w:tcW w:w="2325" w:type="dxa"/>
            <w:noWrap w:val="0"/>
            <w:vAlign w:val="center"/>
          </w:tcPr>
          <w:p>
            <w:pPr>
              <w:widowControl/>
              <w:jc w:val="center"/>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地面焰条</w:t>
            </w:r>
          </w:p>
        </w:tc>
        <w:tc>
          <w:tcPr>
            <w:tcW w:w="5279" w:type="dxa"/>
            <w:noWrap w:val="0"/>
            <w:vAlign w:val="center"/>
          </w:tcPr>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1.管长：398±2mm；管径Φ46.5</w:t>
            </w:r>
            <w:r>
              <w:rPr>
                <w:rFonts w:asciiTheme="minorEastAsia" w:eastAsiaTheme="minorEastAsia" w:hAnsiTheme="minorEastAsia" w:cstheme="minorEastAsia" w:hint="eastAsia"/>
                <w:color w:val="000000"/>
                <w:kern w:val="0"/>
                <w:sz w:val="21"/>
                <w:szCs w:val="21"/>
                <w:lang w:bidi="ar"/>
              </w:rPr>
              <w:drawing>
                <wp:anchor distT="0" distB="0" distL="114300" distR="114300" simplePos="0" relativeHeight="251658240" behindDoc="0" locked="1" layoutInCell="1" allowOverlap="1">
                  <wp:simplePos x="0" y="0"/>
                  <wp:positionH relativeFrom="column">
                    <wp:posOffset>0</wp:posOffset>
                  </wp:positionH>
                  <wp:positionV relativeFrom="paragraph">
                    <wp:posOffset>0</wp:posOffset>
                  </wp:positionV>
                  <wp:extent cx="240665" cy="201295"/>
                  <wp:effectExtent l="0" t="0" r="6985" b="8255"/>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xmlns:r="http://schemas.openxmlformats.org/officeDocument/2006/relationships" r:embed="rId6"/>
                          <a:stretch>
                            <a:fillRect/>
                          </a:stretch>
                        </pic:blipFill>
                        <pic:spPr>
                          <a:xfrm>
                            <a:off x="0" y="0"/>
                            <a:ext cx="240665" cy="201295"/>
                          </a:xfrm>
                          <a:prstGeom prst="rect">
                            <a:avLst/>
                          </a:prstGeom>
                          <a:noFill/>
                          <a:ln>
                            <a:noFill/>
                          </a:ln>
                        </pic:spPr>
                      </pic:pic>
                    </a:graphicData>
                  </a:graphic>
                </wp:anchor>
              </w:drawing>
            </w:r>
            <w:r>
              <w:rPr>
                <w:rFonts w:asciiTheme="minorEastAsia" w:eastAsiaTheme="minorEastAsia" w:hAnsiTheme="minorEastAsia" w:cstheme="minorEastAsia" w:hint="eastAsia"/>
                <w:color w:val="000000"/>
                <w:kern w:val="0"/>
                <w:sz w:val="21"/>
                <w:szCs w:val="21"/>
                <w:lang w:bidi="ar"/>
              </w:rPr>
              <w:t>mm</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2.点燃方式：电点火</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3.电源电压：12V</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4.电点火电流：≥1A</w:t>
            </w:r>
          </w:p>
          <w:p>
            <w:pPr>
              <w:widowControl/>
              <w:jc w:val="left"/>
              <w:textAlignment w:val="center"/>
              <w:rPr>
                <w:rFonts w:asciiTheme="minorEastAsia" w:hAnsiTheme="minorEastAsia" w:cstheme="minorEastAsia" w:hint="eastAsia"/>
                <w:color w:val="000000"/>
                <w:kern w:val="0"/>
                <w:szCs w:val="21"/>
                <w:highlight w:val="yellow"/>
                <w:lang w:bidi="ar"/>
              </w:rPr>
            </w:pPr>
            <w:r>
              <w:rPr>
                <w:rFonts w:asciiTheme="minorEastAsia" w:eastAsiaTheme="minorEastAsia" w:hAnsiTheme="minorEastAsia" w:cstheme="minorEastAsia" w:hint="eastAsia"/>
                <w:color w:val="000000"/>
                <w:kern w:val="0"/>
                <w:sz w:val="21"/>
                <w:szCs w:val="21"/>
                <w:highlight w:val="yellow"/>
                <w:lang w:bidi="ar"/>
              </w:rPr>
              <w:t>#5.燃烧时间：4min～5min</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6.点火发烟率：≥98％</w:t>
            </w:r>
          </w:p>
        </w:tc>
        <w:tc>
          <w:tcPr>
            <w:tcW w:w="946" w:type="dxa"/>
            <w:noWrap w:val="0"/>
            <w:vAlign w:val="center"/>
          </w:tcPr>
          <w:p>
            <w:pPr>
              <w:widowControl/>
              <w:jc w:val="center"/>
              <w:outlineLvl w:val="1"/>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val="en-US" w:eastAsia="zh-CN" w:bidi="ar"/>
              </w:rPr>
              <w:t>150</w:t>
            </w:r>
            <w:r>
              <w:rPr>
                <w:rFonts w:asciiTheme="minorEastAsia" w:eastAsiaTheme="minorEastAsia" w:hAnsiTheme="minorEastAsia" w:cstheme="minorEastAsia" w:hint="eastAsia"/>
                <w:color w:val="000000"/>
                <w:kern w:val="0"/>
                <w:sz w:val="21"/>
                <w:szCs w:val="21"/>
                <w:lang w:bidi="ar"/>
              </w:rPr>
              <w:t>0</w:t>
            </w:r>
          </w:p>
        </w:tc>
      </w:tr>
      <w:tr>
        <w:tblPrEx>
          <w:tblW w:w="0" w:type="auto"/>
          <w:tblInd w:w="85" w:type="dxa"/>
          <w:tblCellMar>
            <w:top w:w="0" w:type="dxa"/>
            <w:left w:w="108" w:type="dxa"/>
            <w:bottom w:w="0" w:type="dxa"/>
            <w:right w:w="108" w:type="dxa"/>
          </w:tblCellMar>
        </w:tblPrEx>
        <w:tc>
          <w:tcPr>
            <w:tcW w:w="2325" w:type="dxa"/>
            <w:noWrap w:val="0"/>
            <w:vAlign w:val="center"/>
          </w:tcPr>
          <w:p>
            <w:pPr>
              <w:widowControl/>
              <w:jc w:val="center"/>
              <w:textAlignment w:val="center"/>
              <w:rPr>
                <w:rFonts w:asciiTheme="minorEastAsia" w:hAnsiTheme="minorEastAsia" w:cstheme="minorEastAsia" w:hint="eastAsia"/>
                <w:b/>
                <w:szCs w:val="21"/>
              </w:rPr>
            </w:pPr>
            <w:r>
              <w:rPr>
                <w:rFonts w:asciiTheme="minorEastAsia" w:eastAsiaTheme="minorEastAsia" w:hAnsiTheme="minorEastAsia" w:cstheme="minorEastAsia" w:hint="eastAsia"/>
                <w:color w:val="000000"/>
                <w:kern w:val="0"/>
                <w:sz w:val="21"/>
                <w:szCs w:val="21"/>
                <w:lang w:bidi="ar"/>
              </w:rPr>
              <w:t>飞机焰条</w:t>
            </w:r>
          </w:p>
        </w:tc>
        <w:tc>
          <w:tcPr>
            <w:tcW w:w="5279" w:type="dxa"/>
            <w:noWrap w:val="0"/>
            <w:vAlign w:val="center"/>
          </w:tcPr>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1.配套类型：适用于现有飞机作业系统，安全有保障</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 xml:space="preserve">2.管长：400mm  </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 xml:space="preserve">3.管径：φ46.5mm </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4.质量：1000±50g</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5.点燃方式：电点火</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6.使用电压：28V</w:t>
            </w:r>
          </w:p>
          <w:p>
            <w:pPr>
              <w:widowControl/>
              <w:jc w:val="left"/>
              <w:textAlignment w:val="center"/>
              <w:rPr>
                <w:rFonts w:asciiTheme="minorEastAsia" w:hAnsiTheme="minorEastAsia" w:cstheme="minorEastAsia" w:hint="eastAsia"/>
                <w:color w:val="000000"/>
                <w:kern w:val="0"/>
                <w:szCs w:val="21"/>
                <w:lang w:bidi="ar"/>
              </w:rPr>
            </w:pPr>
            <w:r>
              <w:rPr>
                <w:rFonts w:asciiTheme="minorEastAsia" w:eastAsiaTheme="minorEastAsia" w:hAnsiTheme="minorEastAsia" w:cstheme="minorEastAsia" w:hint="eastAsia"/>
                <w:color w:val="000000"/>
                <w:kern w:val="0"/>
                <w:sz w:val="21"/>
                <w:szCs w:val="21"/>
                <w:lang w:bidi="ar"/>
              </w:rPr>
              <w:t>7.点火电流：≥2.5A</w:t>
            </w:r>
          </w:p>
          <w:p>
            <w:pPr>
              <w:widowControl/>
              <w:jc w:val="left"/>
              <w:textAlignment w:val="center"/>
              <w:rPr>
                <w:rFonts w:asciiTheme="minorEastAsia" w:hAnsiTheme="minorEastAsia" w:cstheme="minorEastAsia" w:hint="eastAsia"/>
                <w:color w:val="000000"/>
                <w:kern w:val="0"/>
                <w:szCs w:val="21"/>
                <w:highlight w:val="yellow"/>
                <w:lang w:bidi="ar"/>
              </w:rPr>
            </w:pPr>
            <w:r>
              <w:rPr>
                <w:rFonts w:asciiTheme="minorEastAsia" w:eastAsiaTheme="minorEastAsia" w:hAnsiTheme="minorEastAsia" w:cstheme="minorEastAsia" w:hint="eastAsia"/>
                <w:color w:val="000000"/>
                <w:kern w:val="0"/>
                <w:sz w:val="21"/>
                <w:szCs w:val="21"/>
                <w:highlight w:val="yellow"/>
                <w:lang w:bidi="ar"/>
              </w:rPr>
              <w:t>#8.燃烧时间：地面燃烧5～6分钟，高空作业应为9～10分钟。</w:t>
            </w:r>
          </w:p>
          <w:p>
            <w:pPr>
              <w:widowControl/>
              <w:jc w:val="left"/>
              <w:textAlignment w:val="center"/>
              <w:rPr>
                <w:rFonts w:asciiTheme="minorEastAsia" w:hAnsiTheme="minorEastAsia" w:cstheme="minorEastAsia" w:hint="eastAsia"/>
                <w:b/>
                <w:szCs w:val="21"/>
              </w:rPr>
            </w:pPr>
            <w:r>
              <w:rPr>
                <w:rFonts w:asciiTheme="minorEastAsia" w:eastAsiaTheme="minorEastAsia" w:hAnsiTheme="minorEastAsia" w:cstheme="minorEastAsia" w:hint="eastAsia"/>
                <w:color w:val="000000"/>
                <w:kern w:val="0"/>
                <w:sz w:val="21"/>
                <w:szCs w:val="21"/>
                <w:lang w:bidi="ar"/>
              </w:rPr>
              <w:t>9.点火发烟率：≥98％</w:t>
            </w:r>
          </w:p>
        </w:tc>
        <w:tc>
          <w:tcPr>
            <w:tcW w:w="946" w:type="dxa"/>
            <w:noWrap w:val="0"/>
            <w:vAlign w:val="center"/>
          </w:tcPr>
          <w:p>
            <w:pPr>
              <w:widowControl/>
              <w:jc w:val="center"/>
              <w:outlineLvl w:val="1"/>
              <w:rPr>
                <w:rFonts w:asciiTheme="minorEastAsia" w:hAnsiTheme="minorEastAsia" w:cstheme="minorEastAsia" w:hint="eastAsia"/>
                <w:b/>
                <w:szCs w:val="21"/>
              </w:rPr>
            </w:pPr>
            <w:r>
              <w:rPr>
                <w:rFonts w:asciiTheme="minorEastAsia" w:eastAsiaTheme="minorEastAsia" w:hAnsiTheme="minorEastAsia" w:cstheme="minorEastAsia" w:hint="eastAsia"/>
                <w:color w:val="000000"/>
                <w:kern w:val="0"/>
                <w:sz w:val="21"/>
                <w:szCs w:val="21"/>
                <w:lang w:val="en-US" w:eastAsia="zh-CN" w:bidi="ar"/>
              </w:rPr>
              <w:t>120</w:t>
            </w:r>
            <w:r>
              <w:rPr>
                <w:rFonts w:asciiTheme="minorEastAsia" w:eastAsiaTheme="minorEastAsia" w:hAnsiTheme="minorEastAsia" w:cstheme="minorEastAsia" w:hint="eastAsia"/>
                <w:color w:val="000000"/>
                <w:kern w:val="0"/>
                <w:sz w:val="21"/>
                <w:szCs w:val="21"/>
                <w:lang w:bidi="ar"/>
              </w:rPr>
              <w:t>0</w:t>
            </w:r>
          </w:p>
        </w:tc>
      </w:tr>
    </w:tbl>
    <w:p>
      <w:pPr>
        <w:spacing w:line="360" w:lineRule="auto"/>
        <w:rPr>
          <w:rFonts w:ascii="宋体" w:hAnsi="宋体" w:hint="eastAsia"/>
          <w:szCs w:val="21"/>
        </w:rPr>
      </w:pPr>
    </w:p>
    <w:p>
      <w:pPr>
        <w:spacing w:line="360" w:lineRule="auto"/>
        <w:ind w:firstLine="420" w:firstLineChars="200"/>
        <w:rPr>
          <w:rFonts w:ascii="宋体" w:hAnsi="宋体" w:hint="eastAsia"/>
          <w:szCs w:val="21"/>
        </w:rPr>
      </w:pPr>
      <w:r>
        <w:rPr>
          <w:rFonts w:ascii="宋体" w:hAnsi="宋体" w:hint="eastAsia"/>
          <w:szCs w:val="21"/>
        </w:rPr>
        <w:t>四、检验考核要求</w:t>
      </w:r>
    </w:p>
    <w:p>
      <w:pPr>
        <w:spacing w:line="360" w:lineRule="auto"/>
        <w:ind w:firstLine="420" w:firstLineChars="200"/>
        <w:rPr>
          <w:rFonts w:ascii="宋体" w:hAnsi="宋体" w:hint="eastAsia"/>
          <w:szCs w:val="21"/>
        </w:rPr>
      </w:pPr>
      <w:r>
        <w:rPr>
          <w:rFonts w:ascii="宋体" w:hAnsi="宋体" w:hint="eastAsia"/>
          <w:szCs w:val="21"/>
        </w:rPr>
        <w:t>1、合同签订后</w:t>
      </w:r>
      <w:r>
        <w:rPr>
          <w:rFonts w:ascii="宋体" w:hAnsi="宋体" w:hint="eastAsia"/>
          <w:szCs w:val="21"/>
          <w:lang w:eastAsia="zh-CN"/>
        </w:rPr>
        <w:t>，</w:t>
      </w:r>
      <w:r>
        <w:rPr>
          <w:rFonts w:ascii="宋体" w:hAnsi="宋体" w:hint="eastAsia"/>
          <w:szCs w:val="21"/>
        </w:rPr>
        <w:t>中标供应商</w:t>
      </w:r>
      <w:r>
        <w:rPr>
          <w:rFonts w:ascii="宋体" w:hAnsi="宋体" w:hint="eastAsia"/>
          <w:szCs w:val="21"/>
          <w:lang w:val="en-US" w:eastAsia="zh-CN"/>
        </w:rPr>
        <w:t>应在4</w:t>
      </w:r>
      <w:r>
        <w:rPr>
          <w:rFonts w:ascii="宋体" w:hAnsi="宋体" w:hint="eastAsia"/>
          <w:szCs w:val="21"/>
        </w:rPr>
        <w:t>0个日历日内完成甲方所订购人影耗材的生产和出厂验收工作。验收依据相关的内容和要求，产品质量达到设计要求。</w:t>
      </w:r>
    </w:p>
    <w:p>
      <w:pPr>
        <w:spacing w:line="360" w:lineRule="auto"/>
        <w:ind w:firstLine="420" w:firstLineChars="200"/>
        <w:rPr>
          <w:rFonts w:ascii="宋体" w:hAnsi="宋体" w:hint="eastAsia"/>
          <w:szCs w:val="21"/>
        </w:rPr>
      </w:pPr>
      <w:r>
        <w:rPr>
          <w:rFonts w:ascii="宋体" w:hAnsi="宋体" w:hint="eastAsia"/>
          <w:szCs w:val="21"/>
        </w:rPr>
        <w:t xml:space="preserve">2、包装 </w:t>
      </w:r>
    </w:p>
    <w:p>
      <w:pPr>
        <w:spacing w:line="360" w:lineRule="auto"/>
        <w:ind w:firstLine="420" w:firstLineChars="200"/>
        <w:rPr>
          <w:rFonts w:ascii="宋体" w:hAnsi="宋体" w:hint="eastAsia"/>
          <w:szCs w:val="21"/>
        </w:rPr>
      </w:pPr>
      <w:r>
        <w:rPr>
          <w:rFonts w:ascii="宋体" w:hAnsi="宋体" w:hint="eastAsia"/>
          <w:szCs w:val="21"/>
        </w:rPr>
        <w:t xml:space="preserve">应按相关包装规范或者其他相关规定进行包装。 </w:t>
      </w:r>
    </w:p>
    <w:p>
      <w:pPr>
        <w:spacing w:line="360" w:lineRule="auto"/>
        <w:ind w:firstLine="420" w:firstLineChars="200"/>
        <w:rPr>
          <w:rFonts w:ascii="宋体" w:hAnsi="宋体" w:hint="eastAsia"/>
          <w:szCs w:val="21"/>
        </w:rPr>
      </w:pPr>
      <w:r>
        <w:rPr>
          <w:rFonts w:ascii="宋体" w:hAnsi="宋体" w:hint="eastAsia"/>
          <w:szCs w:val="21"/>
        </w:rPr>
        <w:t xml:space="preserve">3、运输 </w:t>
      </w:r>
    </w:p>
    <w:p>
      <w:pPr>
        <w:spacing w:line="360" w:lineRule="auto"/>
        <w:ind w:firstLine="420" w:firstLineChars="200"/>
        <w:rPr>
          <w:rFonts w:ascii="宋体" w:hAnsi="宋体" w:hint="eastAsia"/>
          <w:szCs w:val="21"/>
        </w:rPr>
      </w:pPr>
      <w:r>
        <w:rPr>
          <w:rFonts w:ascii="宋体" w:hAnsi="宋体" w:hint="eastAsia"/>
          <w:szCs w:val="21"/>
        </w:rPr>
        <w:t>出厂验收合格后，</w:t>
      </w:r>
      <w:r>
        <w:rPr>
          <w:rFonts w:ascii="宋体" w:hAnsi="宋体" w:hint="eastAsia"/>
          <w:szCs w:val="21"/>
          <w:lang w:val="en-US" w:eastAsia="zh-CN"/>
        </w:rPr>
        <w:t>采购人</w:t>
      </w:r>
      <w:r>
        <w:rPr>
          <w:rFonts w:ascii="宋体" w:hAnsi="宋体" w:hint="eastAsia"/>
          <w:szCs w:val="21"/>
        </w:rPr>
        <w:t>所订购的人影耗材由中标供应商代为存储、保管、配送。中标供应商在接到甲方配送通知单后，按照约定的时间、品种、数量将人影耗材用专用车辆将产品运输到</w:t>
      </w:r>
      <w:r>
        <w:rPr>
          <w:rFonts w:ascii="宋体" w:hAnsi="宋体" w:hint="eastAsia"/>
          <w:szCs w:val="21"/>
          <w:lang w:val="en-US" w:eastAsia="zh-CN"/>
        </w:rPr>
        <w:t>采购人</w:t>
      </w:r>
      <w:r>
        <w:rPr>
          <w:rFonts w:ascii="宋体" w:hAnsi="宋体" w:hint="eastAsia"/>
          <w:szCs w:val="21"/>
        </w:rPr>
        <w:t>指定的地点，运输过程应当遵守国家有关管理的法律、法规。</w:t>
      </w:r>
    </w:p>
    <w:p>
      <w:pPr>
        <w:spacing w:line="360" w:lineRule="auto"/>
        <w:ind w:firstLine="420" w:firstLineChars="200"/>
        <w:rPr>
          <w:rFonts w:ascii="宋体" w:hAnsi="宋体"/>
          <w:szCs w:val="21"/>
        </w:rPr>
      </w:pPr>
      <w:r>
        <w:rPr>
          <w:rFonts w:ascii="宋体" w:hAnsi="宋体" w:hint="eastAsia"/>
          <w:szCs w:val="21"/>
        </w:rPr>
        <w:t>4、到货验收。到货后用户检查包装并核对货物品种、数量以及完好性。未通过验收的货物，将不予接受。</w:t>
      </w:r>
    </w:p>
    <w:p>
      <w:pPr>
        <w:spacing w:line="360" w:lineRule="auto"/>
        <w:ind w:firstLine="420" w:firstLineChars="200"/>
        <w:rPr>
          <w:rFonts w:ascii="宋体" w:hAnsi="宋体" w:hint="eastAsia"/>
          <w:szCs w:val="21"/>
        </w:rPr>
      </w:pPr>
      <w:r>
        <w:rPr>
          <w:rFonts w:ascii="宋体" w:hAnsi="宋体" w:hint="eastAsia"/>
          <w:szCs w:val="21"/>
        </w:rPr>
        <w:t>五、技术服务和质保期服务要求</w:t>
      </w:r>
    </w:p>
    <w:p>
      <w:pPr>
        <w:spacing w:line="360" w:lineRule="auto"/>
        <w:ind w:firstLine="420" w:firstLineChars="200"/>
        <w:rPr>
          <w:rFonts w:ascii="宋体" w:hAnsi="宋体" w:hint="eastAsia"/>
          <w:szCs w:val="21"/>
        </w:rPr>
      </w:pPr>
      <w:r>
        <w:rPr>
          <w:rFonts w:ascii="宋体" w:hAnsi="宋体" w:hint="eastAsia"/>
          <w:szCs w:val="21"/>
        </w:rPr>
        <w:t xml:space="preserve">1、培训 </w:t>
      </w:r>
    </w:p>
    <w:p>
      <w:pPr>
        <w:spacing w:line="360" w:lineRule="auto"/>
        <w:ind w:firstLine="420" w:firstLineChars="200"/>
        <w:rPr>
          <w:rFonts w:ascii="宋体" w:hAnsi="宋体" w:hint="eastAsia"/>
          <w:szCs w:val="21"/>
        </w:rPr>
      </w:pPr>
      <w:r>
        <w:rPr>
          <w:rFonts w:ascii="宋体" w:hAnsi="宋体" w:hint="eastAsia"/>
          <w:szCs w:val="21"/>
        </w:rPr>
        <w:t xml:space="preserve">中标供应商应负责对采购单位人员进行专业培训，直至能完全操作。 </w:t>
      </w:r>
    </w:p>
    <w:p>
      <w:pPr>
        <w:spacing w:line="360" w:lineRule="auto"/>
        <w:ind w:firstLine="420" w:firstLineChars="200"/>
        <w:rPr>
          <w:rFonts w:ascii="宋体" w:hAnsi="宋体" w:hint="eastAsia"/>
          <w:szCs w:val="21"/>
        </w:rPr>
      </w:pPr>
      <w:r>
        <w:rPr>
          <w:rFonts w:ascii="宋体" w:hAnsi="宋体" w:hint="eastAsia"/>
          <w:szCs w:val="21"/>
        </w:rPr>
        <w:t xml:space="preserve">2、技术支持 </w:t>
      </w:r>
    </w:p>
    <w:p>
      <w:pPr>
        <w:spacing w:line="360" w:lineRule="auto"/>
        <w:ind w:firstLine="420" w:firstLineChars="200"/>
        <w:rPr>
          <w:rFonts w:ascii="宋体" w:hAnsi="宋体" w:hint="eastAsia"/>
          <w:szCs w:val="21"/>
        </w:rPr>
      </w:pPr>
      <w:r>
        <w:rPr>
          <w:rFonts w:ascii="宋体" w:hAnsi="宋体" w:hint="eastAsia"/>
          <w:szCs w:val="21"/>
        </w:rPr>
        <w:t xml:space="preserve">中标供应商提供服务电话、保障服务货物收发联系部门及人员的名称和联系方式。产品的更换按照采购单位要求在约定时间内完成。 </w:t>
      </w:r>
    </w:p>
    <w:p>
      <w:pPr>
        <w:spacing w:line="360" w:lineRule="auto"/>
        <w:ind w:firstLine="420" w:firstLineChars="200"/>
        <w:rPr>
          <w:rFonts w:ascii="宋体" w:hAnsi="宋体" w:hint="eastAsia"/>
          <w:szCs w:val="21"/>
        </w:rPr>
      </w:pPr>
      <w:r>
        <w:rPr>
          <w:rFonts w:ascii="宋体" w:hAnsi="宋体" w:hint="eastAsia"/>
          <w:szCs w:val="21"/>
        </w:rPr>
        <w:t xml:space="preserve">3、技术资料 </w:t>
      </w:r>
    </w:p>
    <w:p>
      <w:pPr>
        <w:spacing w:line="360" w:lineRule="auto"/>
        <w:ind w:firstLine="420" w:firstLineChars="200"/>
        <w:rPr>
          <w:rFonts w:ascii="宋体" w:hAnsi="宋体" w:hint="eastAsia"/>
          <w:szCs w:val="21"/>
        </w:rPr>
      </w:pPr>
      <w:r>
        <w:rPr>
          <w:rFonts w:ascii="宋体" w:hAnsi="宋体" w:hint="eastAsia"/>
          <w:szCs w:val="21"/>
        </w:rPr>
        <w:t xml:space="preserve">提供完整的技术资料，包括：性能参数、存储、运输、使用等安全保障手册；使用说明书及合同中要求的其他文件资料。 </w:t>
      </w:r>
    </w:p>
    <w:p>
      <w:pPr>
        <w:spacing w:line="360" w:lineRule="auto"/>
        <w:ind w:firstLine="420" w:firstLineChars="200"/>
        <w:rPr>
          <w:rFonts w:ascii="宋体" w:hAnsi="宋体" w:hint="eastAsia"/>
          <w:szCs w:val="21"/>
        </w:rPr>
      </w:pPr>
      <w:r>
        <w:rPr>
          <w:rFonts w:ascii="宋体" w:hAnsi="宋体" w:hint="eastAsia"/>
          <w:szCs w:val="21"/>
        </w:rPr>
        <w:t xml:space="preserve">4、质保期内服务内容 </w:t>
      </w:r>
    </w:p>
    <w:p>
      <w:pPr>
        <w:spacing w:line="360" w:lineRule="auto"/>
        <w:ind w:firstLine="420" w:firstLineChars="200"/>
        <w:rPr>
          <w:rFonts w:ascii="宋体" w:hAnsi="宋体" w:hint="eastAsia"/>
          <w:szCs w:val="21"/>
          <w:highlight w:val="yellow"/>
        </w:rPr>
      </w:pPr>
      <w:r>
        <w:rPr>
          <w:rFonts w:ascii="宋体" w:hAnsi="宋体" w:hint="eastAsia"/>
          <w:szCs w:val="21"/>
          <w:highlight w:val="yellow"/>
        </w:rPr>
        <w:t>（1）质保期为出厂验收后 3 年；</w:t>
      </w:r>
    </w:p>
    <w:p>
      <w:pPr>
        <w:spacing w:line="360" w:lineRule="auto"/>
        <w:ind w:firstLine="420" w:firstLineChars="200"/>
        <w:rPr>
          <w:rFonts w:ascii="宋体" w:hAnsi="宋体" w:hint="eastAsia"/>
          <w:szCs w:val="21"/>
        </w:rPr>
      </w:pPr>
      <w:r>
        <w:rPr>
          <w:rFonts w:ascii="宋体" w:hAnsi="宋体" w:hint="eastAsia"/>
          <w:szCs w:val="21"/>
        </w:rPr>
        <w:t>（2）因产品质量问题所造成的直接或间接损失由中标供应商负责，并且中标供应商应负责免费更换合格品；</w:t>
      </w:r>
    </w:p>
    <w:p>
      <w:pPr>
        <w:spacing w:line="360" w:lineRule="auto"/>
        <w:ind w:firstLine="420" w:firstLineChars="200"/>
        <w:rPr>
          <w:rFonts w:ascii="宋体" w:hAnsi="宋体" w:hint="eastAsia"/>
          <w:szCs w:val="21"/>
        </w:rPr>
      </w:pPr>
      <w:r>
        <w:rPr>
          <w:rFonts w:ascii="宋体" w:hAnsi="宋体" w:hint="eastAsia"/>
          <w:szCs w:val="21"/>
        </w:rPr>
        <w:t>（3）因产品质量原因造成人员伤亡等事故时，中标供应商应迅速赶赴现场，协助当地有关部门分析事故原因，承担应有的责任，并将产品质量原因分析报告报国务院气象主管机构。</w:t>
      </w:r>
    </w:p>
    <w:p>
      <w:pPr>
        <w:spacing w:line="360" w:lineRule="auto"/>
        <w:ind w:firstLine="420" w:firstLineChars="200"/>
        <w:rPr>
          <w:rFonts w:ascii="宋体" w:hAnsi="宋体" w:hint="eastAsia"/>
          <w:szCs w:val="21"/>
        </w:rPr>
      </w:pPr>
    </w:p>
    <w:p>
      <w:pPr>
        <w:spacing w:line="360" w:lineRule="auto"/>
        <w:ind w:firstLine="420" w:firstLineChars="200"/>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78"/>
        <w:gridCol w:w="2468"/>
        <w:gridCol w:w="784"/>
        <w:gridCol w:w="1090"/>
        <w:gridCol w:w="1243"/>
        <w:gridCol w:w="2033"/>
        <w:gridCol w:w="46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增雨防雹火箭</w:t>
            </w:r>
          </w:p>
        </w:tc>
        <w:tc>
          <w:tcPr/>
          <w:p>
            <w:pPr>
              <w:autoSpaceDE w:val="0"/>
              <w:jc w:val="center"/>
              <w:rPr>
                <w:rFonts w:asciiTheme="minorEastAsia" w:hAnsiTheme="minorEastAsia" w:cstheme="minorEastAsia"/>
                <w:kern w:val="0"/>
                <w:szCs w:val="21"/>
              </w:rPr>
            </w:pPr>
            <w:r>
              <w:t>1010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1,999,800.00</w:t>
            </w:r>
          </w:p>
        </w:tc>
        <w:tc>
          <w:tcPr/>
          <w:p>
            <w:pPr>
              <w:autoSpaceDE w:val="0"/>
              <w:jc w:val="center"/>
              <w:rPr>
                <w:rFonts w:asciiTheme="minorEastAsia" w:hAnsiTheme="minorEastAsia" w:cstheme="minorEastAsia" w:hint="eastAsia"/>
                <w:kern w:val="0"/>
                <w:szCs w:val="21"/>
              </w:rPr>
            </w:pPr>
            <w:r>
              <w:t>40个日历日内完成甲方所订购人影耗材的生产工作。</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机载焰条播撒系统（焰条、焰弹）</w:t>
            </w:r>
          </w:p>
        </w:tc>
        <w:tc>
          <w:tcPr/>
          <w:p>
            <w:pPr>
              <w:autoSpaceDE w:val="0"/>
              <w:jc w:val="center"/>
              <w:rPr>
                <w:rFonts w:asciiTheme="minorEastAsia" w:hAnsiTheme="minorEastAsia" w:cstheme="minorEastAsia"/>
                <w:kern w:val="0"/>
                <w:szCs w:val="21"/>
              </w:rPr>
            </w:pPr>
            <w:r>
              <w:t>1200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768,000.00</w:t>
            </w:r>
          </w:p>
        </w:tc>
        <w:tc>
          <w:tcPr/>
          <w:p>
            <w:pPr>
              <w:autoSpaceDE w:val="0"/>
              <w:jc w:val="center"/>
              <w:rPr>
                <w:rFonts w:asciiTheme="minorEastAsia" w:hAnsiTheme="minorEastAsia" w:cstheme="minorEastAsia" w:hint="eastAsia"/>
                <w:kern w:val="0"/>
                <w:szCs w:val="21"/>
              </w:rPr>
            </w:pPr>
            <w:r>
              <w:t>40个日历日内完成甲方所订购人影耗材的生产工作。</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地面焰条播撒系统（焰条、焰弹）</w:t>
            </w:r>
          </w:p>
        </w:tc>
        <w:tc>
          <w:tcPr/>
          <w:p>
            <w:pPr>
              <w:autoSpaceDE w:val="0"/>
              <w:jc w:val="center"/>
              <w:rPr>
                <w:rFonts w:asciiTheme="minorEastAsia" w:hAnsiTheme="minorEastAsia" w:cstheme="minorEastAsia"/>
                <w:kern w:val="0"/>
                <w:szCs w:val="21"/>
              </w:rPr>
            </w:pPr>
            <w:r>
              <w:t>1500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915,000.00</w:t>
            </w:r>
          </w:p>
        </w:tc>
        <w:tc>
          <w:tcPr/>
          <w:p>
            <w:pPr>
              <w:autoSpaceDE w:val="0"/>
              <w:jc w:val="center"/>
              <w:rPr>
                <w:rFonts w:asciiTheme="minorEastAsia" w:hAnsiTheme="minorEastAsia" w:cstheme="minorEastAsia" w:hint="eastAsia"/>
                <w:kern w:val="0"/>
                <w:szCs w:val="21"/>
              </w:rPr>
            </w:pPr>
            <w:r>
              <w:t>40个日历日内完成甲方所订购人影耗材的生产工作。</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3,682,800.00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27"/>
        <w:gridCol w:w="1999"/>
        <w:gridCol w:w="2204"/>
        <w:gridCol w:w="431"/>
        <w:gridCol w:w="974"/>
        <w:gridCol w:w="812"/>
        <w:gridCol w:w="701"/>
        <w:gridCol w:w="9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宁夏大气探测中心(001058017)</w:t>
            </w:r>
          </w:p>
        </w:tc>
        <w:tc>
          <w:tcPr/>
          <w:p>
            <w:r>
              <w:t>地面焰条播撒系统（焰条、焰弹）</w:t>
            </w:r>
          </w:p>
        </w:tc>
        <w:tc>
          <w:tcPr/>
          <w:p>
            <w:r>
              <w:t>1500</w:t>
            </w:r>
          </w:p>
        </w:tc>
        <w:tc>
          <w:tcPr/>
          <w:p>
            <w:r>
              <w:t>915000.00</w:t>
            </w:r>
          </w:p>
        </w:tc>
        <w:tc>
          <w:tcPr>
            <w:vMerge w:val="restart"/>
          </w:tcPr>
          <w:p>
            <w:r>
              <w:t xml:space="preserve">3088800.00  </w:t>
            </w:r>
          </w:p>
        </w:tc>
        <w:tc>
          <w:tcPr/>
          <w:p>
            <w:r>
              <w:t>宁夏</w:t>
            </w:r>
          </w:p>
        </w:tc>
        <w:tc>
          <w:tcPr/>
          <w:p>
            <w:r>
              <w:t>杨晨芳，0951-5029414</w:t>
            </w:r>
          </w:p>
        </w:tc>
      </w:tr>
      <w:tr>
        <w:tblPrEx>
          <w:tblW w:w="5000" w:type="pct"/>
          <w:tblCellMar>
            <w:left w:w="108" w:type="dxa"/>
            <w:right w:w="108" w:type="dxa"/>
          </w:tblCellMar>
        </w:tblPrEx>
        <w:tc>
          <w:tcPr/>
          <w:p>
            <w:r>
              <w:t>2</w:t>
            </w:r>
          </w:p>
        </w:tc>
        <w:tc>
          <w:tcPr>
            <w:vMerge/>
          </w:tcPr>
          <w:p>
            <w:r>
              <w:t>宁夏大气探测中心(001058017)</w:t>
            </w:r>
          </w:p>
        </w:tc>
        <w:tc>
          <w:tcPr/>
          <w:p>
            <w:r>
              <w:t>增雨防雹火箭</w:t>
            </w:r>
          </w:p>
        </w:tc>
        <w:tc>
          <w:tcPr/>
          <w:p>
            <w:r>
              <w:t>710</w:t>
            </w:r>
          </w:p>
        </w:tc>
        <w:tc>
          <w:tcPr/>
          <w:p>
            <w:r>
              <w:t>1405800.00</w:t>
            </w:r>
          </w:p>
        </w:tc>
        <w:tc>
          <w:tcPr>
            <w:vMerge/>
          </w:tcPr>
          <w:p>
            <w:r>
              <w:t xml:space="preserve">3088800.00  </w:t>
            </w:r>
          </w:p>
        </w:tc>
        <w:tc>
          <w:tcPr/>
          <w:p>
            <w:r>
              <w:t>宁夏</w:t>
            </w:r>
          </w:p>
        </w:tc>
        <w:tc>
          <w:tcPr/>
          <w:p>
            <w:r>
              <w:t>杨晨芳，0951-5029414</w:t>
            </w:r>
          </w:p>
        </w:tc>
      </w:tr>
      <w:tr>
        <w:tblPrEx>
          <w:tblW w:w="5000" w:type="pct"/>
          <w:tblCellMar>
            <w:left w:w="108" w:type="dxa"/>
            <w:right w:w="108" w:type="dxa"/>
          </w:tblCellMar>
        </w:tblPrEx>
        <w:tc>
          <w:tcPr/>
          <w:p>
            <w:r>
              <w:t>3</w:t>
            </w:r>
          </w:p>
        </w:tc>
        <w:tc>
          <w:tcPr>
            <w:vMerge/>
          </w:tcPr>
          <w:p>
            <w:r>
              <w:t>宁夏大气探测中心(001058017)</w:t>
            </w:r>
          </w:p>
        </w:tc>
        <w:tc>
          <w:tcPr/>
          <w:p>
            <w:r>
              <w:t>机载焰条播撒系统（焰条、焰弹）</w:t>
            </w:r>
          </w:p>
        </w:tc>
        <w:tc>
          <w:tcPr/>
          <w:p>
            <w:r>
              <w:t>1200</w:t>
            </w:r>
          </w:p>
        </w:tc>
        <w:tc>
          <w:tcPr/>
          <w:p>
            <w:r>
              <w:t>768000.00</w:t>
            </w:r>
          </w:p>
        </w:tc>
        <w:tc>
          <w:tcPr>
            <w:vMerge/>
          </w:tcPr>
          <w:p>
            <w:r>
              <w:t xml:space="preserve">3088800.00  </w:t>
            </w:r>
          </w:p>
        </w:tc>
        <w:tc>
          <w:tcPr/>
          <w:p>
            <w:r>
              <w:t>宁夏</w:t>
            </w:r>
          </w:p>
        </w:tc>
        <w:tc>
          <w:tcPr/>
          <w:p>
            <w:r>
              <w:t>杨晨芳，0951-5029414</w:t>
            </w:r>
          </w:p>
        </w:tc>
      </w:tr>
      <w:tr>
        <w:tblPrEx>
          <w:tblW w:w="5000" w:type="pct"/>
          <w:tblCellMar>
            <w:left w:w="108" w:type="dxa"/>
            <w:right w:w="108" w:type="dxa"/>
          </w:tblCellMar>
        </w:tblPrEx>
        <w:tc>
          <w:tcPr/>
          <w:p>
            <w:r>
              <w:t>4</w:t>
            </w:r>
          </w:p>
        </w:tc>
        <w:tc>
          <w:tcPr/>
          <w:p>
            <w:r>
              <w:t>海原县气象局(001058024013)</w:t>
            </w:r>
          </w:p>
        </w:tc>
        <w:tc>
          <w:tcPr/>
          <w:p>
            <w:r>
              <w:t>增雨防雹火箭</w:t>
            </w:r>
          </w:p>
        </w:tc>
        <w:tc>
          <w:tcPr/>
          <w:p>
            <w:r>
              <w:t>300</w:t>
            </w:r>
          </w:p>
        </w:tc>
        <w:tc>
          <w:tcPr/>
          <w:p>
            <w:r>
              <w:t>594000.00</w:t>
            </w:r>
          </w:p>
        </w:tc>
        <w:tc>
          <w:tcPr/>
          <w:p>
            <w:r>
              <w:t xml:space="preserve">594000.00 </w:t>
            </w:r>
          </w:p>
        </w:tc>
        <w:tc>
          <w:tcPr/>
          <w:p>
            <w:r>
              <w:t>海原县</w:t>
            </w:r>
          </w:p>
        </w:tc>
        <w:tc>
          <w:tcPr/>
          <w:p>
            <w:r>
              <w:t>白志清，0955-4015076</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1D1D7A">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1D1D7A">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F671B2">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D1D7A">
            <w:pPr>
              <w:rPr>
                <w:sz w:val="18"/>
                <w:szCs w:val="18"/>
              </w:rPr>
            </w:pPr>
            <w:r>
              <w:rPr>
                <w:rFonts w:hint="eastAsia"/>
                <w:sz w:val="18"/>
                <w:szCs w:val="18"/>
              </w:rPr>
              <w:t>序号</w:t>
            </w:r>
          </w:p>
        </w:tc>
        <w:tc>
          <w:tcPr>
            <w:tcW w:w="898" w:type="dxa"/>
            <w:vAlign w:val="center"/>
          </w:tcPr>
          <w:p w:rsidR="001D1D7A">
            <w:pPr>
              <w:jc w:val="center"/>
              <w:rPr>
                <w:sz w:val="18"/>
                <w:szCs w:val="18"/>
              </w:rPr>
            </w:pPr>
            <w:r>
              <w:rPr>
                <w:rFonts w:hint="eastAsia"/>
                <w:sz w:val="18"/>
                <w:szCs w:val="18"/>
              </w:rPr>
              <w:t>对应</w:t>
            </w:r>
          </w:p>
          <w:p w:rsidR="001D1D7A">
            <w:pPr>
              <w:jc w:val="center"/>
              <w:rPr>
                <w:sz w:val="18"/>
                <w:szCs w:val="18"/>
              </w:rPr>
            </w:pPr>
            <w:r>
              <w:rPr>
                <w:rFonts w:hint="eastAsia"/>
                <w:sz w:val="18"/>
                <w:szCs w:val="18"/>
              </w:rPr>
              <w:t>条款号</w:t>
            </w:r>
          </w:p>
        </w:tc>
        <w:tc>
          <w:tcPr>
            <w:tcW w:w="7347" w:type="dxa"/>
            <w:vAlign w:val="center"/>
          </w:tcPr>
          <w:p w:rsidR="001D1D7A">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F671B2">
        <w:tblPrEx>
          <w:tblW w:w="8789" w:type="dxa"/>
          <w:tblLayout w:type="fixed"/>
          <w:tblLook w:val="04A0"/>
        </w:tblPrEx>
        <w:trPr>
          <w:cantSplit/>
        </w:trPr>
        <w:tc>
          <w:tcPr>
            <w:tcW w:w="8789" w:type="dxa"/>
            <w:gridSpan w:val="3"/>
            <w:vAlign w:val="center"/>
          </w:tcPr>
          <w:p w:rsidR="001D1D7A">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F671B2">
        <w:tblPrEx>
          <w:tblW w:w="8789" w:type="dxa"/>
          <w:tblLayout w:type="fixed"/>
          <w:tblLook w:val="04A0"/>
        </w:tblPrEx>
        <w:trPr>
          <w:cantSplit/>
        </w:trPr>
        <w:tc>
          <w:tcPr>
            <w:tcW w:w="544" w:type="dxa"/>
            <w:vAlign w:val="center"/>
          </w:tcPr>
          <w:p w:rsidR="001D1D7A">
            <w:pPr>
              <w:numPr>
                <w:ilvl w:val="0"/>
                <w:numId w:val="13"/>
              </w:numPr>
              <w:rPr>
                <w:rFonts w:ascii="宋体" w:hAnsi="宋体"/>
                <w:sz w:val="18"/>
                <w:szCs w:val="18"/>
              </w:rPr>
            </w:pPr>
          </w:p>
        </w:tc>
        <w:tc>
          <w:tcPr>
            <w:tcW w:w="898" w:type="dxa"/>
            <w:vAlign w:val="center"/>
          </w:tcPr>
          <w:p w:rsidR="001D1D7A">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1D1D7A">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F671B2">
        <w:tblPrEx>
          <w:tblW w:w="8789" w:type="dxa"/>
          <w:tblLayout w:type="fixed"/>
          <w:tblLook w:val="04A0"/>
        </w:tblPrEx>
        <w:trPr>
          <w:cantSplit/>
        </w:trPr>
        <w:tc>
          <w:tcPr>
            <w:tcW w:w="8789" w:type="dxa"/>
            <w:gridSpan w:val="3"/>
            <w:vAlign w:val="center"/>
          </w:tcPr>
          <w:p w:rsidR="001D1D7A">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F671B2">
        <w:tblPrEx>
          <w:tblW w:w="8789" w:type="dxa"/>
          <w:tblLayout w:type="fixed"/>
          <w:tblLook w:val="04A0"/>
        </w:tblPrEx>
        <w:trPr>
          <w:cantSplit/>
        </w:trPr>
        <w:tc>
          <w:tcPr>
            <w:tcW w:w="544" w:type="dxa"/>
            <w:vAlign w:val="center"/>
          </w:tcPr>
          <w:p w:rsidR="001D1D7A">
            <w:pPr>
              <w:numPr>
                <w:ilvl w:val="0"/>
                <w:numId w:val="13"/>
              </w:numPr>
              <w:rPr>
                <w:rFonts w:ascii="宋体" w:hAnsi="宋体"/>
                <w:sz w:val="18"/>
                <w:szCs w:val="18"/>
              </w:rPr>
            </w:pPr>
          </w:p>
        </w:tc>
        <w:tc>
          <w:tcPr>
            <w:tcW w:w="898" w:type="dxa"/>
            <w:vAlign w:val="center"/>
          </w:tcPr>
          <w:p w:rsidR="001D1D7A">
            <w:pPr>
              <w:jc w:val="center"/>
              <w:rPr>
                <w:rFonts w:ascii="宋体" w:hAnsi="宋体"/>
                <w:sz w:val="18"/>
                <w:szCs w:val="18"/>
              </w:rPr>
            </w:pPr>
          </w:p>
        </w:tc>
        <w:tc>
          <w:tcPr>
            <w:tcW w:w="7347" w:type="dxa"/>
            <w:vAlign w:val="center"/>
          </w:tcPr>
          <w:p w:rsidR="001D1D7A">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1D1D7A">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rPr>
      </w:pPr>
      <w:r>
        <w:rPr>
          <w:rFonts w:ascii="Wingdings" w:hAnsi="Wingdings"/>
          <w:szCs w:val="21"/>
          <w:highlight w:val="none"/>
        </w:rPr>
        <w:sym w:font="Wingdings" w:char="F0FE"/>
      </w:r>
      <w:r>
        <w:rPr>
          <w:rFonts w:ascii="宋体" w:hAnsi="宋体" w:hint="eastAsia"/>
          <w:szCs w:val="21"/>
          <w:highlight w:val="none"/>
        </w:rPr>
        <w:t>分期付款：</w:t>
      </w:r>
    </w:p>
    <w:p>
      <w:pPr>
        <w:snapToGrid w:val="0"/>
        <w:spacing w:line="400" w:lineRule="exact"/>
        <w:ind w:firstLine="630" w:firstLineChars="300"/>
        <w:rPr>
          <w:highlight w:val="yellow"/>
        </w:rPr>
      </w:pPr>
      <w:r>
        <w:rPr>
          <w:rFonts w:hint="eastAsia"/>
          <w:highlight w:val="yellow"/>
        </w:rPr>
        <w:t>双方签署合同后1</w:t>
      </w:r>
      <w:r>
        <w:rPr>
          <w:rFonts w:hint="eastAsia"/>
          <w:highlight w:val="yellow"/>
          <w:lang w:val="en-US" w:eastAsia="zh-CN"/>
        </w:rPr>
        <w:t>5</w:t>
      </w:r>
      <w:r>
        <w:rPr>
          <w:rFonts w:hint="eastAsia"/>
          <w:highlight w:val="yellow"/>
        </w:rPr>
        <w:t>个工作日内，乙方向甲方出具符合国家财税规定的增值税普通发票，甲方向乙方支付合同总金额的80%</w:t>
      </w:r>
      <w:r>
        <w:rPr>
          <w:rFonts w:hint="eastAsia"/>
          <w:highlight w:val="yellow"/>
          <w:lang w:eastAsia="zh-CN"/>
        </w:rPr>
        <w:t>；</w:t>
      </w:r>
      <w:r>
        <w:rPr>
          <w:rFonts w:hint="eastAsia"/>
          <w:highlight w:val="yellow"/>
        </w:rPr>
        <w:t>乙方完成</w:t>
      </w:r>
      <w:r>
        <w:rPr>
          <w:rFonts w:hint="eastAsia"/>
          <w:highlight w:val="yellow"/>
          <w:lang w:val="en-US" w:eastAsia="zh-CN"/>
        </w:rPr>
        <w:t>合同约定人工影响天气耗材的</w:t>
      </w:r>
      <w:r>
        <w:rPr>
          <w:rFonts w:hint="eastAsia"/>
          <w:highlight w:val="yellow"/>
        </w:rPr>
        <w:t>生产任务，同时为甲方代存、保管并出具相关证明后，甲方向乙方支付合同总金额的20%。</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w:t>
            </w:r>
            <w:r>
              <w:rPr>
                <w:rFonts w:ascii="宋体" w:hAnsi="宋体" w:hint="eastAsia"/>
                <w:szCs w:val="21"/>
                <w:highlight w:val="none"/>
              </w:rPr>
              <w:t>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69"/>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楷体_GB2312"/>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1D7A"/>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