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江苏省“十四五”生态气象建设工程-城市微型雨量站</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江苏省气象探测中心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江苏省“十四五”生态气象建设工程-城市微型雨量站</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ZQCD-25392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合同签订后60天内交货；合同签订后180天内完成安装调试并具备验收条件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甲方指定地点</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2025年11月12日 00:00:00</w:t>
      </w:r>
      <w:bookmarkEnd w:id="26"/>
      <w:r>
        <w:rPr>
          <w:rFonts w:ascii="宋体" w:hint="eastAsia"/>
          <w:szCs w:val="21"/>
          <w:highlight w:val="none"/>
        </w:rPr>
        <w:t>至</w:t>
      </w:r>
      <w:bookmarkStart w:id="27" w:name="项目公告_signUpLastTime"/>
      <w:r>
        <w:rPr>
          <w:rFonts w:ascii="宋体" w:hint="eastAsia"/>
          <w:szCs w:val="21"/>
          <w:highlight w:val="none"/>
        </w:rPr>
        <w:t>2025年11月19日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2025年12月03日 14:00:00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陈龙光</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江苏省气象探测中心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何国安</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025-52698088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南京市建邺区雨顺路8号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江苏省气象探测中心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允许（仅针对以下产品：1、微型雨量站允许代理商投标）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（1）标的：微型雨量站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是，中标服务费：5.4万元。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665.000000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665.000000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3"/>
        <w:gridCol w:w="268"/>
        <w:gridCol w:w="1365"/>
        <w:gridCol w:w="268"/>
        <w:gridCol w:w="645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销售合同必须包括微型雨量站，每提供1份合同得1分，最多得3分。否则不得分。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售后服务方案（主观分）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cr/>
              <w:cr/>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需求理解及重难点分析   (主观分）</w:t>
            </w:r>
          </w:p>
        </w:tc>
        <w:tc>
          <w:tcPr/>
          <w:p>
            <w:r>
              <w:t>勾选打分</w:t>
            </w:r>
            <w:r>
              <w:t>(2)</w:t>
            </w:r>
          </w:p>
        </w:tc>
        <w:tc>
          <w:tcPr/>
          <w:p>
            <w:r>
              <w:t>评审标准：</w:t>
            </w:r>
          </w:p>
          <w:p>
            <w:r>
              <w:t>一档0分</w:t>
              <w:cr/>
              <w:t>二档0.5分</w:t>
              <w:cr/>
              <w:t>三档1分</w:t>
              <w:cr/>
              <w:t>四档2分</w:t>
            </w:r>
          </w:p>
          <w:p>
            <w:r>
              <w:t>评审标准说明：</w:t>
            </w:r>
          </w:p>
          <w:p>
            <w:r>
              <w:t>根据投标人对需求理解和重难点分析进行评分，具体评分标准如下：</w:t>
              <w:cr/>
              <w:t>一档：项目需求理解完全不符合项目要求，或未提供。</w:t>
              <w:cr/>
              <w:t>二档：对项目背景和现状理解片面，未能抓住重点、难点、关键技术；</w:t>
              <w:cr/>
              <w:t>三档：对项目背景和现状理解较为全面，能够抓住部分重点、难点、关键技术；</w:t>
              <w:cr/>
              <w:t>四档：对项目背景和现状理解全面，重点、难点、关键技术突出。</w:t>
            </w:r>
          </w:p>
          <w:p/>
        </w:tc>
      </w:tr>
      <w:tr>
        <w:tblPrEx>
          <w:tblW w:w="5000" w:type="pct"/>
          <w:tblCellMar>
            <w:left w:w="108" w:type="dxa"/>
            <w:right w:w="108" w:type="dxa"/>
          </w:tblCellMar>
        </w:tblPrEx>
        <w:tc>
          <w:tcPr/>
          <w:p>
            <w:r>
              <w:t>8</w:t>
            </w:r>
          </w:p>
        </w:tc>
        <w:tc>
          <w:tcPr>
            <w:vMerge/>
          </w:tcPr>
          <w:p>
            <w:r>
              <w:t>服务部分</w:t>
            </w:r>
          </w:p>
        </w:tc>
        <w:tc>
          <w:tcPr/>
          <w:p>
            <w:r>
              <w:t>交货期保证（客观分）</w:t>
            </w:r>
          </w:p>
        </w:tc>
        <w:tc>
          <w:tcPr/>
          <w:p>
            <w:r>
              <w:t>勾选打分</w:t>
            </w:r>
            <w:r>
              <w:t>(2)</w:t>
            </w:r>
          </w:p>
        </w:tc>
        <w:tc>
          <w:tcPr/>
          <w:p>
            <w:r>
              <w:t>评审标准：</w:t>
            </w:r>
          </w:p>
          <w:p>
            <w:r>
              <w:t>针对本项目采购的微型雨量站，承诺每提前5天交货的得1分，最多得2分。否则不得分。</w:t>
              <w:cr/>
              <w:t>需提供相关承诺函，并加盖投标人公章，否则不得分。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9</w:t>
            </w:r>
          </w:p>
        </w:tc>
        <w:tc>
          <w:tcPr>
            <w:vMerge/>
          </w:tcPr>
          <w:p>
            <w:r>
              <w:t>服务部分</w:t>
            </w:r>
          </w:p>
        </w:tc>
        <w:tc>
          <w:tcPr/>
          <w:p>
            <w:r>
              <w:t xml:space="preserve">  服务团队（客观分）</w:t>
            </w:r>
          </w:p>
        </w:tc>
        <w:tc>
          <w:tcPr/>
          <w:p>
            <w:r>
              <w:t>勾选打分</w:t>
            </w:r>
            <w:r>
              <w:t>(8)</w:t>
            </w:r>
          </w:p>
        </w:tc>
        <w:tc>
          <w:tcPr/>
          <w:p>
            <w:r>
              <w:t>评审标准：</w:t>
            </w:r>
          </w:p>
          <w:p>
            <w:r>
              <w:t>投标人为本项目拟派的服务团队中：</w:t>
              <w:cr/>
              <w:t>1、项目负责人具有电子信息/电子技术/机械工程/气象等相关专业高级及以上专业技术职称的，得2分；</w:t>
              <w:cr/>
              <w:t>2、技术负责人具有电子信息/电子技术/机械工程/气象等相关专业高级及以上专业技术职称的，得2分；</w:t>
              <w:cr/>
              <w:t>3、技术人员具有电子信息/电子技术/机械工程/气象等相关专业中级及以上专业技术职称的，每有一人得1分，最多得4分。</w:t>
              <w:cr/>
              <w:t>注：以上项目负责人/技术负责人/技术人员不重复计分。</w:t>
            </w:r>
          </w:p>
          <w:p>
            <w:r>
              <w:t>评审标准说明：</w:t>
            </w:r>
          </w:p>
          <w:p>
            <w:r>
              <w:t>项目负责人/技术负责人/技术人员之间不能有重复的人员。</w:t>
              <w:cr/>
              <w:t>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(39)</w:t>
            </w:r>
          </w:p>
        </w:tc>
        <w:tc>
          <w:tcPr/>
          <w:p>
            <w:r>
              <w:t>评审标准：</w:t>
            </w:r>
          </w:p>
          <w:p>
            <w:r>
              <w:t>对于表格中的技术性能指标， 每满足一项无标识指标（共5项），得3分；每满足一项加△项指标（共4项），得6分；满分39分。</w:t>
              <w:cr/>
            </w:r>
          </w:p>
          <w:p>
            <w:r>
              <w:t>评审标准说明：</w:t>
            </w:r>
          </w:p>
          <w:p>
            <w:r>
              <w:t>招标文件第四章项目需求中“三、设备配置和技术性能指标2.微型雨量站技术指标”需要在技术参数响应及偏离表中逐条作出响应。（所有技术指标需出具证明材料，包含检测报告或测试报告等）</w:t>
            </w:r>
          </w:p>
          <w:p/>
        </w:tc>
      </w:tr>
      <w:tr>
        <w:tblPrEx>
          <w:tblW w:w="5000" w:type="pct"/>
          <w:tblCellMar>
            <w:left w:w="108" w:type="dxa"/>
            <w:right w:w="108" w:type="dxa"/>
          </w:tblCellMar>
        </w:tblPrEx>
        <w:tc>
          <w:tcPr/>
          <w:p>
            <w:r>
              <w:t>11</w:t>
            </w:r>
          </w:p>
        </w:tc>
        <w:tc>
          <w:tcPr>
            <w:vMerge/>
          </w:tcPr>
          <w:p>
            <w:r>
              <w:t>技术部分</w:t>
            </w:r>
          </w:p>
        </w:tc>
        <w:tc>
          <w:tcPr/>
          <w:p>
            <w:r>
              <w:t xml:space="preserve"> 技术方案（主观分）</w:t>
            </w:r>
          </w:p>
        </w:tc>
        <w:tc>
          <w:tcPr/>
          <w:p>
            <w:r>
              <w:t>勾选打分</w:t>
            </w:r>
            <w:r>
              <w:t>(4)</w:t>
            </w:r>
          </w:p>
        </w:tc>
        <w:tc>
          <w:tcPr/>
          <w:p>
            <w:r>
              <w:t>评审标准：</w:t>
            </w:r>
          </w:p>
          <w:p>
            <w:r>
              <w:t>一档0分</w:t>
              <w:cr/>
              <w:t>二档1分</w:t>
              <w:cr/>
              <w:t>三档2分</w:t>
              <w:cr/>
              <w:t>四档4分</w:t>
            </w:r>
          </w:p>
          <w:p>
            <w:r>
              <w:t>评审标准说明：</w:t>
            </w:r>
          </w:p>
          <w:p>
            <w:r>
              <w:t>技术方案应包括但不限于实施方案（生产、运输、选址、安装、调试及试运行）、测试验收、应急预案等内容。根据投标人提供的技术方案进行评分，具体评分标准如下：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r>
          </w:p>
          <w:p/>
        </w:tc>
      </w:tr>
      <w:tr>
        <w:tblPrEx>
          <w:tblW w:w="5000" w:type="pct"/>
          <w:tblCellMar>
            <w:left w:w="108" w:type="dxa"/>
            <w:right w:w="108" w:type="dxa"/>
          </w:tblCellMar>
        </w:tblPrEx>
        <w:tc>
          <w:tcPr/>
          <w:p>
            <w:r>
              <w:t>12</w:t>
            </w:r>
          </w:p>
        </w:tc>
        <w:tc>
          <w:tcPr>
            <w:vMerge/>
          </w:tcPr>
          <w:p>
            <w:r>
              <w:t>技术部分</w:t>
            </w:r>
          </w:p>
        </w:tc>
        <w:tc>
          <w:tcPr/>
          <w:p>
            <w:r>
              <w:t>投标产品的环境适应性 （客观分）</w:t>
            </w:r>
          </w:p>
        </w:tc>
        <w:tc>
          <w:tcPr/>
          <w:p>
            <w:r>
              <w:t>勾选打分</w:t>
            </w:r>
            <w:r>
              <w:t>(3)</w:t>
            </w:r>
          </w:p>
        </w:tc>
        <w:tc>
          <w:tcPr/>
          <w:p>
            <w:r>
              <w:t>评审标准：</w:t>
            </w:r>
          </w:p>
          <w:p>
            <w:r>
              <w:t>针对微型雨量站设备，测试报告应涵盖高低温、盐雾、振动冲击等内容，每包含一项得1分，最多得3分。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13</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szCs w:val="21"/>
        </w:rPr>
      </w:pPr>
      <w:r>
        <w:rPr>
          <w:rFonts w:ascii="宋体" w:hAnsi="宋体" w:hint="eastAsia"/>
          <w:szCs w:val="21"/>
        </w:rPr>
        <w:t>一、项目概况及总体要求</w:t>
      </w:r>
    </w:p>
    <w:p>
      <w:pPr>
        <w:spacing w:line="360" w:lineRule="auto"/>
        <w:ind w:firstLine="420" w:firstLineChars="200"/>
        <w:rPr>
          <w:rFonts w:ascii="宋体" w:hAnsi="宋体" w:hint="eastAsia"/>
          <w:szCs w:val="21"/>
        </w:rPr>
      </w:pPr>
      <w:r>
        <w:rPr>
          <w:rFonts w:ascii="宋体" w:hAnsi="宋体" w:hint="eastAsia"/>
          <w:szCs w:val="21"/>
        </w:rPr>
        <w:t>本项目深入落实习近平总书记关于气象工作重要指示精神，落实《气象高质量发展纲要（2022-2035年）》中关于提升气象观测能力的要求，充分利用新兴探测技术、信息技术，提升我省地面气象观测的自动化和智能化水平。</w:t>
      </w:r>
    </w:p>
    <w:p>
      <w:pPr>
        <w:spacing w:line="360" w:lineRule="auto"/>
        <w:ind w:firstLine="420" w:firstLineChars="200"/>
        <w:rPr>
          <w:rFonts w:ascii="宋体" w:hAnsi="宋体"/>
          <w:szCs w:val="21"/>
        </w:rPr>
      </w:pPr>
      <w:r>
        <w:rPr>
          <w:rFonts w:ascii="宋体" w:hAnsi="宋体" w:hint="eastAsia"/>
          <w:szCs w:val="21"/>
        </w:rPr>
        <w:t>随着全球气候变化的影响，江苏地区的气象灾害发生频率和强度也有所增加。极端降雨事件时有发生，给当地的经济社会发展和人民生命财产安全带来了严峻挑战。因此，建设雨量站，加强对江苏地区雨量的监测和分析，对于应对气候变化、保障当地的经济社会发展和人民生命财产安全具有重要意义。</w:t>
      </w:r>
    </w:p>
    <w:p>
      <w:pPr>
        <w:spacing w:line="360" w:lineRule="auto"/>
        <w:ind w:firstLine="420" w:firstLineChars="200"/>
        <w:rPr>
          <w:rFonts w:ascii="宋体" w:hAnsi="宋体"/>
          <w:szCs w:val="21"/>
        </w:rPr>
      </w:pPr>
      <w:r>
        <w:rPr>
          <w:rFonts w:ascii="宋体" w:hAnsi="宋体" w:hint="eastAsia"/>
          <w:szCs w:val="21"/>
        </w:rPr>
        <w:t>二、设备需求一览表（见第七章 采购需求 附表）</w:t>
      </w:r>
    </w:p>
    <w:p>
      <w:pPr>
        <w:spacing w:line="360" w:lineRule="auto"/>
        <w:ind w:firstLine="420" w:firstLineChars="200"/>
        <w:rPr>
          <w:rFonts w:ascii="宋体" w:hAnsi="宋体"/>
          <w:szCs w:val="21"/>
        </w:rPr>
      </w:pPr>
      <w:r>
        <w:rPr>
          <w:rFonts w:ascii="宋体" w:hAnsi="宋体" w:hint="eastAsia"/>
          <w:szCs w:val="21"/>
        </w:rPr>
        <w:t>三、技术性能指标</w:t>
      </w:r>
    </w:p>
    <w:p>
      <w:pPr>
        <w:spacing w:line="360" w:lineRule="auto"/>
        <w:ind w:firstLine="420" w:firstLineChars="200"/>
        <w:rPr>
          <w:rFonts w:ascii="宋体" w:hAnsi="宋体"/>
          <w:szCs w:val="21"/>
        </w:rPr>
      </w:pPr>
      <w:r>
        <w:rPr>
          <w:rFonts w:ascii="宋体" w:hAnsi="宋体" w:hint="eastAsia"/>
          <w:szCs w:val="21"/>
        </w:rPr>
        <w:t>采购人应编制详细的技术性能指标并考虑以下因素：</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1.设备配置</w:t>
      </w:r>
    </w:p>
    <w:p>
      <w:pPr>
        <w:autoSpaceDE w:val="0"/>
        <w:autoSpaceDN w:val="0"/>
        <w:spacing w:line="360" w:lineRule="auto"/>
        <w:ind w:firstLine="480" w:firstLineChars="200"/>
        <w:rPr>
          <w:rFonts w:ascii="宋体" w:hAnsi="宋体" w:cs="宋体"/>
        </w:rPr>
      </w:pPr>
      <w:r>
        <w:rPr>
          <w:rFonts w:ascii="宋体" w:eastAsia="宋体" w:hAnsi="宋体" w:cs="宋体" w:hint="eastAsia"/>
          <w:sz w:val="24"/>
          <w:szCs w:val="24"/>
        </w:rPr>
        <w:t>本项目拟在全省城市内建设 532个微型雨量站。微型雨量站的观测项目和仪器配置见表1。</w:t>
      </w:r>
    </w:p>
    <w:p>
      <w:pPr>
        <w:spacing w:line="360" w:lineRule="auto"/>
        <w:ind w:firstLine="560"/>
        <w:jc w:val="center"/>
        <w:rPr>
          <w:rFonts w:ascii="宋体" w:hAnsi="宋体" w:cs="宋体"/>
          <w:color w:val="000000"/>
        </w:rPr>
      </w:pPr>
      <w:r>
        <w:rPr>
          <w:rFonts w:ascii="宋体" w:eastAsia="宋体" w:hAnsi="宋体" w:cs="宋体" w:hint="eastAsia"/>
          <w:color w:val="000000"/>
          <w:sz w:val="24"/>
          <w:szCs w:val="24"/>
        </w:rPr>
        <w:t>表1  微型雨量站观测项目和仪器配置表</w:t>
      </w:r>
    </w:p>
    <w:tbl>
      <w:tblPr>
        <w:tblStyle w:val="TableNormal"/>
        <w:tblW w:w="483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2"/>
        <w:gridCol w:w="2499"/>
        <w:gridCol w:w="3675"/>
      </w:tblGrid>
      <w:tr>
        <w:tblPrEx>
          <w:tblW w:w="483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08"/>
        </w:trPr>
        <w:tc>
          <w:tcPr>
            <w:tcW w:w="1256" w:type="pct"/>
            <w:vAlign w:val="center"/>
          </w:tcPr>
          <w:p>
            <w:pPr>
              <w:spacing w:line="360" w:lineRule="auto"/>
              <w:jc w:val="center"/>
              <w:rPr>
                <w:rFonts w:ascii="宋体" w:hAnsi="宋体" w:cs="宋体"/>
                <w:b/>
                <w:kern w:val="0"/>
              </w:rPr>
            </w:pPr>
            <w:r>
              <w:rPr>
                <w:rFonts w:ascii="宋体" w:eastAsia="宋体" w:hAnsi="宋体" w:cs="宋体" w:hint="eastAsia"/>
                <w:b/>
                <w:kern w:val="0"/>
                <w:sz w:val="24"/>
                <w:szCs w:val="24"/>
              </w:rPr>
              <w:t>观测项目</w:t>
            </w:r>
          </w:p>
        </w:tc>
        <w:tc>
          <w:tcPr>
            <w:tcW w:w="1515" w:type="pct"/>
            <w:vAlign w:val="center"/>
          </w:tcPr>
          <w:p>
            <w:pPr>
              <w:spacing w:line="360" w:lineRule="auto"/>
              <w:jc w:val="center"/>
              <w:rPr>
                <w:rFonts w:ascii="宋体" w:hAnsi="宋体" w:cs="宋体"/>
                <w:b/>
                <w:kern w:val="0"/>
              </w:rPr>
            </w:pPr>
            <w:r>
              <w:rPr>
                <w:rFonts w:ascii="宋体" w:eastAsia="宋体" w:hAnsi="宋体" w:cs="宋体" w:hint="eastAsia"/>
                <w:b/>
                <w:kern w:val="0"/>
                <w:sz w:val="24"/>
                <w:szCs w:val="24"/>
              </w:rPr>
              <w:t>传感器（数量）</w:t>
            </w:r>
          </w:p>
        </w:tc>
        <w:tc>
          <w:tcPr>
            <w:tcW w:w="2228" w:type="pct"/>
            <w:vAlign w:val="center"/>
          </w:tcPr>
          <w:p>
            <w:pPr>
              <w:spacing w:line="360" w:lineRule="auto"/>
              <w:jc w:val="center"/>
              <w:rPr>
                <w:rFonts w:ascii="宋体" w:hAnsi="宋体" w:cs="宋体"/>
                <w:b/>
                <w:kern w:val="0"/>
              </w:rPr>
            </w:pPr>
            <w:r>
              <w:rPr>
                <w:rFonts w:ascii="宋体" w:eastAsia="宋体" w:hAnsi="宋体" w:cs="宋体" w:hint="eastAsia"/>
                <w:b/>
                <w:kern w:val="0"/>
                <w:sz w:val="24"/>
                <w:szCs w:val="24"/>
              </w:rPr>
              <w:t>其他设备（数量）</w:t>
            </w:r>
          </w:p>
        </w:tc>
      </w:tr>
      <w:tr>
        <w:tblPrEx>
          <w:tblW w:w="4838" w:type="pct"/>
          <w:tblInd w:w="0" w:type="dxa"/>
          <w:tblCellMar>
            <w:top w:w="0" w:type="dxa"/>
            <w:left w:w="108" w:type="dxa"/>
            <w:bottom w:w="0" w:type="dxa"/>
            <w:right w:w="108" w:type="dxa"/>
          </w:tblCellMar>
        </w:tblPrEx>
        <w:trPr>
          <w:trHeight w:val="418"/>
        </w:trPr>
        <w:tc>
          <w:tcPr>
            <w:tcW w:w="1256" w:type="pct"/>
            <w:vAlign w:val="center"/>
          </w:tcPr>
          <w:p>
            <w:pPr>
              <w:spacing w:line="360" w:lineRule="auto"/>
              <w:jc w:val="center"/>
              <w:rPr>
                <w:rFonts w:ascii="宋体" w:hAnsi="宋体" w:cs="宋体"/>
                <w:color w:val="000000"/>
                <w:kern w:val="0"/>
              </w:rPr>
            </w:pPr>
            <w:r>
              <w:rPr>
                <w:rFonts w:ascii="宋体" w:eastAsia="宋体" w:hAnsi="宋体" w:cs="宋体" w:hint="eastAsia"/>
                <w:color w:val="000000"/>
                <w:kern w:val="0"/>
                <w:sz w:val="24"/>
                <w:szCs w:val="24"/>
              </w:rPr>
              <w:t>雨量</w:t>
            </w:r>
          </w:p>
        </w:tc>
        <w:tc>
          <w:tcPr>
            <w:tcW w:w="1515" w:type="pct"/>
            <w:vAlign w:val="center"/>
          </w:tcPr>
          <w:p>
            <w:pPr>
              <w:spacing w:line="360" w:lineRule="auto"/>
              <w:jc w:val="center"/>
              <w:rPr>
                <w:rFonts w:ascii="宋体" w:hAnsi="宋体" w:cs="宋体"/>
                <w:color w:val="000000"/>
                <w:kern w:val="0"/>
              </w:rPr>
            </w:pPr>
            <w:r>
              <w:rPr>
                <w:rFonts w:ascii="宋体" w:eastAsia="宋体" w:hAnsi="宋体" w:cs="宋体" w:hint="eastAsia"/>
                <w:color w:val="000000"/>
                <w:kern w:val="0"/>
                <w:sz w:val="24"/>
                <w:szCs w:val="24"/>
              </w:rPr>
              <w:t>测量模块（1）</w:t>
            </w:r>
          </w:p>
        </w:tc>
        <w:tc>
          <w:tcPr>
            <w:tcW w:w="2228" w:type="pct"/>
            <w:vAlign w:val="center"/>
          </w:tcPr>
          <w:p>
            <w:pPr>
              <w:spacing w:line="360" w:lineRule="auto"/>
              <w:jc w:val="center"/>
              <w:rPr>
                <w:rFonts w:ascii="宋体" w:hAnsi="宋体" w:cs="宋体"/>
                <w:color w:val="000000"/>
                <w:kern w:val="0"/>
              </w:rPr>
            </w:pPr>
            <w:r>
              <w:rPr>
                <w:rFonts w:ascii="宋体" w:eastAsia="宋体" w:hAnsi="宋体" w:cs="宋体" w:hint="eastAsia"/>
                <w:color w:val="000000"/>
                <w:kern w:val="0"/>
                <w:sz w:val="24"/>
                <w:szCs w:val="24"/>
              </w:rPr>
              <w:t>数据采集传送模块（1）</w:t>
            </w:r>
          </w:p>
          <w:p>
            <w:pPr>
              <w:spacing w:line="360" w:lineRule="auto"/>
              <w:jc w:val="center"/>
              <w:rPr>
                <w:rFonts w:ascii="宋体" w:hAnsi="宋体" w:cs="宋体"/>
                <w:color w:val="000000"/>
                <w:kern w:val="0"/>
              </w:rPr>
            </w:pPr>
            <w:r>
              <w:rPr>
                <w:rFonts w:ascii="宋体" w:eastAsia="宋体" w:hAnsi="宋体" w:cs="宋体" w:hint="eastAsia"/>
                <w:color w:val="000000"/>
                <w:kern w:val="0"/>
                <w:sz w:val="24"/>
                <w:szCs w:val="24"/>
              </w:rPr>
              <w:t>供电模块（1）</w:t>
            </w:r>
          </w:p>
          <w:p>
            <w:pPr>
              <w:spacing w:line="360" w:lineRule="auto"/>
              <w:jc w:val="center"/>
              <w:rPr>
                <w:rFonts w:ascii="宋体" w:hAnsi="宋体" w:cs="宋体"/>
                <w:color w:val="000000"/>
                <w:kern w:val="0"/>
              </w:rPr>
            </w:pPr>
            <w:r>
              <w:rPr>
                <w:rFonts w:ascii="宋体" w:eastAsia="宋体" w:hAnsi="宋体" w:cs="宋体" w:hint="eastAsia"/>
                <w:color w:val="000000"/>
                <w:kern w:val="0"/>
                <w:sz w:val="24"/>
                <w:szCs w:val="24"/>
              </w:rPr>
              <w:t>安装固定模块（1）</w:t>
            </w:r>
          </w:p>
        </w:tc>
      </w:tr>
    </w:tbl>
    <w:p>
      <w:pPr>
        <w:autoSpaceDE w:val="0"/>
        <w:autoSpaceDN w:val="0"/>
        <w:spacing w:line="360" w:lineRule="auto"/>
        <w:ind w:firstLine="420" w:firstLineChars="200"/>
        <w:rPr>
          <w:rFonts w:ascii="宋体" w:hAnsi="宋体" w:cs="宋体"/>
        </w:rPr>
      </w:pPr>
    </w:p>
    <w:p>
      <w:pPr>
        <w:autoSpaceDE w:val="0"/>
        <w:autoSpaceDN w:val="0"/>
        <w:spacing w:line="360" w:lineRule="auto"/>
        <w:ind w:firstLine="420" w:firstLineChars="200"/>
        <w:rPr>
          <w:rFonts w:ascii="宋体" w:hAnsi="宋体" w:cs="宋体"/>
        </w:rPr>
      </w:pPr>
    </w:p>
    <w:p>
      <w:pPr>
        <w:spacing w:line="360" w:lineRule="auto"/>
        <w:ind w:firstLine="480" w:firstLineChars="200"/>
        <w:rPr>
          <w:rFonts w:ascii="宋体" w:hAnsi="宋体" w:cs="宋体"/>
          <w:bCs/>
        </w:rPr>
      </w:pPr>
      <w:r>
        <w:rPr>
          <w:rFonts w:ascii="宋体" w:eastAsia="宋体" w:hAnsi="宋体" w:cs="宋体" w:hint="eastAsia"/>
          <w:bCs/>
          <w:sz w:val="24"/>
          <w:szCs w:val="24"/>
        </w:rPr>
        <w:t>2.微型雨量站技术指标如表2所示</w:t>
      </w:r>
    </w:p>
    <w:p>
      <w:pPr>
        <w:spacing w:line="360" w:lineRule="auto"/>
        <w:jc w:val="center"/>
        <w:rPr>
          <w:rFonts w:ascii="宋体" w:hAnsi="宋体" w:cs="宋体"/>
          <w:bCs/>
        </w:rPr>
      </w:pPr>
      <w:r>
        <w:rPr>
          <w:rFonts w:ascii="宋体" w:eastAsia="宋体" w:hAnsi="宋体" w:cs="宋体" w:hint="eastAsia"/>
          <w:bCs/>
          <w:sz w:val="24"/>
          <w:szCs w:val="24"/>
        </w:rPr>
        <w:t>表2 微型雨量站技术指标</w:t>
      </w:r>
    </w:p>
    <w:tbl>
      <w:tblPr>
        <w:tblStyle w:val="TableNormal0"/>
        <w:tblW w:w="0" w:type="auto"/>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
      <w:tblGrid>
        <w:gridCol w:w="3553"/>
        <w:gridCol w:w="4582"/>
      </w:tblGrid>
      <w:tr>
        <w:tblPrEx>
          <w:tblW w:w="0" w:type="auto"/>
          <w:tblInd w:w="5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0" w:type="dxa"/>
            <w:left w:w="0" w:type="dxa"/>
            <w:bottom w:w="0" w:type="dxa"/>
            <w:right w:w="0" w:type="dxa"/>
          </w:tblCellMar>
        </w:tblPrEx>
        <w:trPr>
          <w:trHeight w:val="405"/>
        </w:trPr>
        <w:tc>
          <w:tcPr>
            <w:tcW w:w="0" w:type="auto"/>
            <w:tcBorders>
              <w:top w:val="single" w:sz="10" w:space="0" w:color="000000"/>
              <w:left w:val="single" w:sz="10" w:space="0" w:color="000000"/>
            </w:tcBorders>
          </w:tcPr>
          <w:p>
            <w:pPr>
              <w:spacing w:line="360" w:lineRule="auto"/>
              <w:jc w:val="center"/>
              <w:rPr>
                <w:rFonts w:ascii="宋体" w:eastAsia="宋体" w:hAnsi="宋体" w:cs="宋体"/>
                <w:b/>
                <w:kern w:val="0"/>
              </w:rPr>
            </w:pPr>
            <w:r>
              <w:rPr>
                <w:rFonts w:ascii="宋体" w:eastAsia="宋体" w:hAnsi="宋体" w:cs="宋体" w:hint="eastAsia"/>
                <w:b/>
                <w:kern w:val="0"/>
                <w:sz w:val="24"/>
                <w:szCs w:val="24"/>
              </w:rPr>
              <w:t>项目</w:t>
            </w:r>
          </w:p>
        </w:tc>
        <w:tc>
          <w:tcPr>
            <w:tcW w:w="4582" w:type="dxa"/>
            <w:tcBorders>
              <w:top w:val="single" w:sz="10" w:space="0" w:color="000000"/>
              <w:right w:val="single" w:sz="10" w:space="0" w:color="000000"/>
            </w:tcBorders>
          </w:tcPr>
          <w:p>
            <w:pPr>
              <w:spacing w:line="360" w:lineRule="auto"/>
              <w:jc w:val="center"/>
              <w:rPr>
                <w:rFonts w:ascii="宋体" w:eastAsia="宋体" w:hAnsi="宋体" w:cs="宋体"/>
                <w:b/>
                <w:kern w:val="0"/>
              </w:rPr>
            </w:pPr>
            <w:r>
              <w:rPr>
                <w:rFonts w:ascii="宋体" w:eastAsia="宋体" w:hAnsi="宋体" w:cs="宋体" w:hint="eastAsia"/>
                <w:b/>
                <w:kern w:val="0"/>
                <w:sz w:val="24"/>
                <w:szCs w:val="24"/>
              </w:rPr>
              <w:t>技术指标</w:t>
            </w:r>
          </w:p>
        </w:tc>
      </w:tr>
      <w:tr>
        <w:tblPrEx>
          <w:tblW w:w="0" w:type="auto"/>
          <w:tblInd w:w="54" w:type="dxa"/>
          <w:tblCellMar>
            <w:top w:w="0" w:type="dxa"/>
            <w:left w:w="0" w:type="dxa"/>
            <w:bottom w:w="0" w:type="dxa"/>
            <w:right w:w="0" w:type="dxa"/>
          </w:tblCellMar>
        </w:tblPrEx>
        <w:trPr>
          <w:trHeight w:val="398"/>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分辨力</w:t>
            </w:r>
            <w:r>
              <w:rPr>
                <w:rFonts w:ascii="仿宋" w:eastAsia="仿宋" w:hAnsi="仿宋" w:cs="仿宋" w:hint="eastAsia"/>
                <w:color w:val="000000"/>
                <w:kern w:val="0"/>
                <w:sz w:val="24"/>
                <w:szCs w:val="24"/>
              </w:rPr>
              <w:t>△</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0.1mm</w:t>
            </w:r>
          </w:p>
        </w:tc>
      </w:tr>
      <w:tr>
        <w:tblPrEx>
          <w:tblW w:w="0" w:type="auto"/>
          <w:tblInd w:w="54" w:type="dxa"/>
          <w:tblCellMar>
            <w:top w:w="0" w:type="dxa"/>
            <w:left w:w="0" w:type="dxa"/>
            <w:bottom w:w="0" w:type="dxa"/>
            <w:right w:w="0" w:type="dxa"/>
          </w:tblCellMar>
        </w:tblPrEx>
        <w:trPr>
          <w:trHeight w:val="400"/>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雨强测量范围</w:t>
            </w:r>
            <w:r>
              <w:rPr>
                <w:rFonts w:ascii="仿宋" w:eastAsia="仿宋" w:hAnsi="仿宋" w:cs="仿宋" w:hint="eastAsia"/>
                <w:color w:val="000000"/>
                <w:kern w:val="0"/>
                <w:sz w:val="24"/>
                <w:szCs w:val="24"/>
              </w:rPr>
              <w:t>△</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0</w:t>
            </w:r>
            <w:r>
              <w:rPr>
                <w:rFonts w:ascii="宋体" w:eastAsia="宋体" w:hAnsi="宋体" w:cs="宋体" w:hint="eastAsia"/>
                <w:sz w:val="24"/>
                <w:szCs w:val="24"/>
              </w:rPr>
              <w:t>～</w:t>
            </w:r>
            <w:r>
              <w:rPr>
                <w:rFonts w:ascii="宋体" w:eastAsia="宋体" w:hAnsi="宋体" w:cs="宋体" w:hint="eastAsia"/>
                <w:color w:val="000000"/>
                <w:kern w:val="0"/>
                <w:sz w:val="24"/>
                <w:szCs w:val="24"/>
              </w:rPr>
              <w:t>4mm/min</w:t>
            </w:r>
          </w:p>
        </w:tc>
      </w:tr>
      <w:tr>
        <w:tblPrEx>
          <w:tblW w:w="0" w:type="auto"/>
          <w:tblInd w:w="54" w:type="dxa"/>
          <w:tblCellMar>
            <w:top w:w="0" w:type="dxa"/>
            <w:left w:w="0" w:type="dxa"/>
            <w:bottom w:w="0" w:type="dxa"/>
            <w:right w:w="0" w:type="dxa"/>
          </w:tblCellMar>
        </w:tblPrEx>
        <w:trPr>
          <w:trHeight w:val="600"/>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最大允许误差</w:t>
            </w:r>
            <w:r>
              <w:rPr>
                <w:rFonts w:ascii="仿宋" w:eastAsia="仿宋" w:hAnsi="仿宋" w:cs="仿宋" w:hint="eastAsia"/>
                <w:color w:val="000000"/>
                <w:kern w:val="0"/>
                <w:sz w:val="24"/>
                <w:szCs w:val="24"/>
              </w:rPr>
              <w:t>△</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±0.4mm(&lt;10mm)；±4%(&gt;10mm)(模拟</w:t>
            </w:r>
          </w:p>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信号)±3%(数字信号)</w:t>
            </w:r>
          </w:p>
        </w:tc>
      </w:tr>
      <w:tr>
        <w:tblPrEx>
          <w:tblW w:w="0" w:type="auto"/>
          <w:tblInd w:w="54" w:type="dxa"/>
          <w:tblCellMar>
            <w:top w:w="0" w:type="dxa"/>
            <w:left w:w="0" w:type="dxa"/>
            <w:bottom w:w="0" w:type="dxa"/>
            <w:right w:w="0" w:type="dxa"/>
          </w:tblCellMar>
        </w:tblPrEx>
        <w:trPr>
          <w:trHeight w:val="403"/>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环境温度</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0</w:t>
            </w:r>
            <w:r>
              <w:rPr>
                <w:rFonts w:ascii="宋体" w:eastAsia="宋体" w:hAnsi="宋体" w:cs="宋体" w:hint="eastAsia"/>
                <w:sz w:val="24"/>
                <w:szCs w:val="24"/>
              </w:rPr>
              <w:t>～</w:t>
            </w:r>
            <w:r>
              <w:rPr>
                <w:rFonts w:ascii="宋体" w:eastAsia="宋体" w:hAnsi="宋体" w:cs="宋体" w:hint="eastAsia"/>
                <w:color w:val="000000"/>
                <w:kern w:val="0"/>
                <w:sz w:val="24"/>
                <w:szCs w:val="24"/>
              </w:rPr>
              <w:t>60 ℃</w:t>
            </w:r>
          </w:p>
        </w:tc>
      </w:tr>
      <w:tr>
        <w:tblPrEx>
          <w:tblW w:w="0" w:type="auto"/>
          <w:tblInd w:w="54" w:type="dxa"/>
          <w:tblCellMar>
            <w:top w:w="0" w:type="dxa"/>
            <w:left w:w="0" w:type="dxa"/>
            <w:bottom w:w="0" w:type="dxa"/>
            <w:right w:w="0" w:type="dxa"/>
          </w:tblCellMar>
        </w:tblPrEx>
        <w:trPr>
          <w:trHeight w:val="1329"/>
        </w:trPr>
        <w:tc>
          <w:tcPr>
            <w:tcW w:w="3553" w:type="dxa"/>
            <w:tcBorders>
              <w:left w:val="single" w:sz="10" w:space="0" w:color="000000"/>
            </w:tcBorders>
          </w:tcPr>
          <w:p>
            <w:pPr>
              <w:spacing w:line="360" w:lineRule="auto"/>
              <w:jc w:val="center"/>
              <w:rPr>
                <w:rFonts w:ascii="宋体" w:eastAsia="宋体" w:hAnsi="宋体" w:cs="宋体"/>
                <w:color w:val="000000"/>
                <w:kern w:val="0"/>
              </w:rPr>
            </w:pPr>
          </w:p>
          <w:p>
            <w:pPr>
              <w:spacing w:line="360" w:lineRule="auto"/>
              <w:jc w:val="center"/>
              <w:rPr>
                <w:rFonts w:ascii="宋体" w:eastAsia="宋体" w:hAnsi="宋体" w:cs="宋体"/>
                <w:color w:val="000000"/>
                <w:kern w:val="0"/>
              </w:rPr>
            </w:pPr>
          </w:p>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输出方式</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方式 1 ：开关信号，电流&lt;0.5A，导通电阻 1000HM；</w:t>
            </w:r>
          </w:p>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方式 2：RS485，支持 AT 协议指令集；</w:t>
            </w:r>
          </w:p>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方式 3 ：SDI12 通信协议</w:t>
            </w:r>
          </w:p>
        </w:tc>
      </w:tr>
      <w:tr>
        <w:tblPrEx>
          <w:tblW w:w="0" w:type="auto"/>
          <w:tblInd w:w="54" w:type="dxa"/>
          <w:tblCellMar>
            <w:top w:w="0" w:type="dxa"/>
            <w:left w:w="0" w:type="dxa"/>
            <w:bottom w:w="0" w:type="dxa"/>
            <w:right w:w="0" w:type="dxa"/>
          </w:tblCellMar>
        </w:tblPrEx>
        <w:trPr>
          <w:trHeight w:val="403"/>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脉冲宽度</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≥30ms</w:t>
            </w:r>
          </w:p>
        </w:tc>
      </w:tr>
      <w:tr>
        <w:tblPrEx>
          <w:tblW w:w="0" w:type="auto"/>
          <w:tblInd w:w="54" w:type="dxa"/>
          <w:tblCellMar>
            <w:top w:w="0" w:type="dxa"/>
            <w:left w:w="0" w:type="dxa"/>
            <w:bottom w:w="0" w:type="dxa"/>
            <w:right w:w="0" w:type="dxa"/>
          </w:tblCellMar>
        </w:tblPrEx>
        <w:trPr>
          <w:trHeight w:val="403"/>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工作电压</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5</w:t>
            </w:r>
            <w:r>
              <w:rPr>
                <w:rFonts w:ascii="宋体" w:eastAsia="宋体" w:hAnsi="宋体" w:cs="宋体" w:hint="eastAsia"/>
                <w:sz w:val="24"/>
                <w:szCs w:val="24"/>
              </w:rPr>
              <w:t>～</w:t>
            </w:r>
            <w:r>
              <w:rPr>
                <w:rFonts w:ascii="宋体" w:eastAsia="宋体" w:hAnsi="宋体" w:cs="宋体" w:hint="eastAsia"/>
                <w:color w:val="000000"/>
                <w:kern w:val="0"/>
                <w:sz w:val="24"/>
                <w:szCs w:val="24"/>
              </w:rPr>
              <w:t>36VDC(宽电压输入支持)</w:t>
            </w:r>
          </w:p>
        </w:tc>
      </w:tr>
      <w:tr>
        <w:tblPrEx>
          <w:tblW w:w="0" w:type="auto"/>
          <w:tblInd w:w="54" w:type="dxa"/>
          <w:tblCellMar>
            <w:top w:w="0" w:type="dxa"/>
            <w:left w:w="0" w:type="dxa"/>
            <w:bottom w:w="0" w:type="dxa"/>
            <w:right w:w="0" w:type="dxa"/>
          </w:tblCellMar>
        </w:tblPrEx>
        <w:trPr>
          <w:trHeight w:val="424"/>
        </w:trPr>
        <w:tc>
          <w:tcPr>
            <w:tcW w:w="3553" w:type="dxa"/>
            <w:tcBorders>
              <w:lef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工作电流</w:t>
            </w:r>
          </w:p>
        </w:tc>
        <w:tc>
          <w:tcPr>
            <w:tcW w:w="4582" w:type="dxa"/>
            <w:tcBorders>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16mA@5V ；8mA@12V</w:t>
            </w:r>
          </w:p>
        </w:tc>
      </w:tr>
      <w:tr>
        <w:tblPrEx>
          <w:tblW w:w="0" w:type="auto"/>
          <w:tblInd w:w="54" w:type="dxa"/>
          <w:tblCellMar>
            <w:top w:w="0" w:type="dxa"/>
            <w:left w:w="0" w:type="dxa"/>
            <w:bottom w:w="0" w:type="dxa"/>
            <w:right w:w="0" w:type="dxa"/>
          </w:tblCellMar>
        </w:tblPrEx>
        <w:trPr>
          <w:trHeight w:val="424"/>
        </w:trPr>
        <w:tc>
          <w:tcPr>
            <w:tcW w:w="3553" w:type="dxa"/>
            <w:tcBorders>
              <w:left w:val="single" w:sz="10" w:space="0" w:color="000000"/>
              <w:bottom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兼容性</w:t>
            </w:r>
            <w:r>
              <w:rPr>
                <w:rFonts w:ascii="仿宋" w:eastAsia="仿宋" w:hAnsi="仿宋" w:cs="仿宋" w:hint="eastAsia"/>
                <w:color w:val="000000"/>
                <w:kern w:val="0"/>
                <w:sz w:val="24"/>
                <w:szCs w:val="24"/>
              </w:rPr>
              <w:t>△</w:t>
            </w:r>
          </w:p>
        </w:tc>
        <w:tc>
          <w:tcPr>
            <w:tcW w:w="4582" w:type="dxa"/>
            <w:tcBorders>
              <w:bottom w:val="single" w:sz="10" w:space="0" w:color="000000"/>
              <w:right w:val="single" w:sz="10" w:space="0" w:color="000000"/>
            </w:tcBorders>
          </w:tcPr>
          <w:p>
            <w:pPr>
              <w:spacing w:line="360" w:lineRule="auto"/>
              <w:jc w:val="center"/>
              <w:rPr>
                <w:rFonts w:ascii="宋体" w:eastAsia="宋体" w:hAnsi="宋体" w:cs="宋体"/>
                <w:color w:val="000000"/>
                <w:kern w:val="0"/>
              </w:rPr>
            </w:pPr>
            <w:r>
              <w:rPr>
                <w:rFonts w:ascii="宋体" w:eastAsia="宋体" w:hAnsi="宋体" w:cs="宋体" w:hint="eastAsia"/>
                <w:color w:val="000000"/>
                <w:kern w:val="0"/>
                <w:sz w:val="24"/>
                <w:szCs w:val="24"/>
              </w:rPr>
              <w:t>数据传输需兼容现有中心站平台</w:t>
            </w:r>
          </w:p>
        </w:tc>
      </w:tr>
    </w:tbl>
    <w:p>
      <w:pPr>
        <w:spacing w:line="360" w:lineRule="auto"/>
        <w:ind w:firstLine="480" w:firstLineChars="200"/>
        <w:rPr>
          <w:rFonts w:ascii="宋体" w:hAnsi="宋体" w:cs="宋体"/>
          <w:bCs/>
        </w:rPr>
      </w:pPr>
      <w:r>
        <w:rPr>
          <w:rFonts w:ascii="宋体" w:eastAsia="宋体" w:hAnsi="宋体" w:cs="宋体" w:hint="eastAsia"/>
          <w:bCs/>
          <w:sz w:val="24"/>
          <w:szCs w:val="24"/>
        </w:rPr>
        <w:t>3.系统组成结构</w:t>
      </w:r>
    </w:p>
    <w:p>
      <w:pPr>
        <w:spacing w:line="360" w:lineRule="auto"/>
        <w:ind w:firstLine="480" w:firstLineChars="200"/>
        <w:rPr>
          <w:rFonts w:ascii="宋体" w:hAnsi="宋体" w:cs="宋体"/>
          <w:bCs/>
        </w:rPr>
      </w:pPr>
      <w:r>
        <w:rPr>
          <w:rFonts w:ascii="宋体" w:eastAsia="宋体" w:hAnsi="宋体" w:cs="宋体" w:hint="eastAsia"/>
          <w:bCs/>
          <w:sz w:val="24"/>
          <w:szCs w:val="24"/>
        </w:rPr>
        <w:t>微型雨量站总体结构</w:t>
      </w:r>
    </w:p>
    <w:p>
      <w:pPr>
        <w:ind w:firstLine="640" w:firstLineChars="200"/>
        <w:rPr>
          <w:rFonts w:ascii="Calibri" w:eastAsia="黑体" w:hAnsi="Calibri"/>
          <w:kern w:val="0"/>
          <w:sz w:val="28"/>
          <w:szCs w:val="28"/>
        </w:rPr>
      </w:pPr>
      <w:r>
        <w:rPr>
          <w:rFonts w:ascii="Calibri" w:hAnsi="Calibri"/>
          <w:sz w:val="32"/>
          <w:szCs w:val="24"/>
        </w:rPr>
        <w:pict>
          <v:rect id="矩形 26" o:spid="_x0000_s1026" style="width:77.5pt;height:70.25pt;margin-top:29.1pt;margin-left:-0.7pt;mso-wrap-distance-bottom:0;mso-wrap-distance-left:9pt;mso-wrap-distance-right:9pt;mso-wrap-distance-top:0;position:absolute;v-text-anchor:top;z-index:251661312" filled="f" fillcolor="this" stroked="t" strokecolor="black" strokeweight="0.75pt"/>
        </w:pict>
      </w:r>
      <w:r>
        <w:rPr>
          <w:rFonts w:ascii="Calibri" w:hAnsi="Calibri"/>
          <w:sz w:val="32"/>
          <w:szCs w:val="24"/>
        </w:rPr>
        <w:pict>
          <v:rect id="矩形 28" o:spid="_x0000_s1027" style="width:70.45pt;height:70.25pt;margin-top:26.9pt;margin-left:314.6pt;mso-wrap-distance-bottom:0;mso-wrap-distance-left:9pt;mso-wrap-distance-right:9pt;mso-wrap-distance-top:0;position:absolute;v-text-anchor:top;z-index:251665408" filled="f" fillcolor="this" stroked="t" strokecolor="black" strokeweight="0.75pt"/>
        </w:pict>
      </w:r>
      <w:r>
        <w:rPr>
          <w:rFonts w:ascii="Calibri" w:hAnsi="Calibri"/>
          <w:sz w:val="32"/>
          <w:szCs w:val="24"/>
        </w:rPr>
        <w:pict>
          <v:rect id="矩形 27" o:spid="_x0000_s1028" style="width:70.45pt;height:70.25pt;margin-top:25.3pt;margin-left:161.85pt;mso-wrap-distance-bottom:0;mso-wrap-distance-left:9pt;mso-wrap-distance-right:9pt;mso-wrap-distance-top:0;position:absolute;v-text-anchor:top;z-index:251663360" filled="f" fillcolor="this" stroked="t" strokecolor="black" strokeweight="0.75pt"/>
        </w:pict>
      </w:r>
    </w:p>
    <w:p>
      <w:pPr>
        <w:spacing w:line="560" w:lineRule="exact"/>
        <w:ind w:firstLine="280" w:firstLineChars="100"/>
        <w:rPr>
          <w:rFonts w:ascii="仿宋_GB2312" w:eastAsia="仿宋_GB2312" w:hAnsi="仿宋_GB2312" w:cs="仿宋_GB2312"/>
          <w:b/>
          <w:kern w:val="0"/>
          <w:sz w:val="28"/>
          <w:szCs w:val="28"/>
        </w:rPr>
      </w:pPr>
      <w:r>
        <w:rPr>
          <w:sz w:val="28"/>
          <w:szCs w:val="24"/>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左右箭头 25" o:spid="_x0000_s1029" type="#_x0000_t69" style="width:69.25pt;height:7.1pt;margin-top:26.45pt;margin-left:235.45pt;flip:y;mso-wrap-distance-bottom:0;mso-wrap-distance-left:9pt;mso-wrap-distance-right:9pt;mso-wrap-distance-top:0;position:absolute;v-text-anchor:top;z-index:251664384" adj="1107" fillcolor="white" stroked="t" strokecolor="black" strokeweight="0.75pt"/>
        </w:pict>
      </w:r>
      <w:r>
        <w:rPr>
          <w:rFonts w:ascii="仿宋_GB2312" w:eastAsia="仿宋_GB2312" w:hAnsi="仿宋_GB2312" w:cs="仿宋_GB2312" w:hint="eastAsia"/>
          <w:b/>
          <w:kern w:val="0"/>
          <w:sz w:val="28"/>
          <w:szCs w:val="28"/>
        </w:rPr>
        <w:t>微型雨量     串口     主控单元     TTL     嵌入式</w:t>
      </w:r>
    </w:p>
    <w:p>
      <w:pPr>
        <w:spacing w:line="560" w:lineRule="exact"/>
        <w:ind w:firstLine="280" w:firstLineChars="100"/>
        <w:rPr>
          <w:rFonts w:ascii="仿宋_GB2312" w:eastAsia="仿宋_GB2312" w:hAnsi="仿宋_GB2312" w:cs="仿宋_GB2312"/>
          <w:b/>
          <w:kern w:val="0"/>
          <w:sz w:val="28"/>
          <w:szCs w:val="28"/>
        </w:rPr>
      </w:pPr>
      <w:r>
        <w:rPr>
          <w:rFonts w:hint="eastAsia"/>
          <w:sz w:val="28"/>
          <w:szCs w:val="24"/>
        </w:rPr>
        <w:pict>
          <v:shape id="左右箭头 24" o:spid="_x0000_s1030" type="#_x0000_t69" style="width:69.25pt;height:7.1pt;margin-top:0.1pt;margin-left:86pt;flip:y;mso-wrap-distance-bottom:0;mso-wrap-distance-left:9pt;mso-wrap-distance-right:9pt;mso-wrap-distance-top:0;position:absolute;v-text-anchor:top;z-index:251662336" adj="1107" fillcolor="white" stroked="t" strokecolor="black" strokeweight="0.75pt"/>
        </w:pict>
      </w:r>
      <w:r>
        <w:rPr>
          <w:rFonts w:ascii="仿宋_GB2312" w:eastAsia="仿宋_GB2312" w:hAnsi="仿宋_GB2312" w:cs="仿宋_GB2312" w:hint="eastAsia"/>
          <w:b/>
          <w:kern w:val="0"/>
          <w:sz w:val="28"/>
          <w:szCs w:val="28"/>
        </w:rPr>
        <w:t>测量仪       电源                 电源     DTU单元</w:t>
      </w:r>
    </w:p>
    <w:p>
      <w:pPr>
        <w:spacing w:line="560" w:lineRule="exact"/>
        <w:ind w:firstLine="280" w:firstLineChars="100"/>
        <w:rPr>
          <w:rFonts w:ascii="仿宋_GB2312" w:eastAsia="仿宋_GB2312" w:hAnsi="仿宋_GB2312" w:cs="仿宋_GB2312"/>
          <w:b/>
          <w:kern w:val="0"/>
          <w:sz w:val="28"/>
          <w:szCs w:val="28"/>
        </w:rPr>
      </w:pPr>
      <w:r>
        <w:rPr>
          <w:rFonts w:hint="eastAsia"/>
          <w:sz w:val="28"/>
          <w:szCs w:val="24"/>
        </w:rPr>
        <w:pict>
          <v:shape id="左右箭头 22" o:spid="_x0000_s1031" type="#_x0000_t69" style="width:31.65pt;height:6pt;margin-top:34.25pt;margin-left:328.35pt;flip:y;mso-wrap-distance-bottom:0;mso-wrap-distance-left:9pt;mso-wrap-distance-right:9pt;mso-wrap-distance-top:0;position:absolute;rotation:90;v-text-anchor:top;z-index:251660288" adj="2047" fillcolor="white" stroked="t" strokecolor="black" strokeweight="0.75pt"/>
        </w:pict>
      </w:r>
      <w:r>
        <w:rPr>
          <w:rFonts w:ascii="仿宋_GB2312" w:eastAsia="仿宋_GB2312" w:hAnsi="仿宋_GB2312" w:cs="仿宋_GB2312" w:hint="eastAsia"/>
          <w:b/>
          <w:kern w:val="0"/>
          <w:sz w:val="28"/>
          <w:szCs w:val="28"/>
        </w:rPr>
        <w:t xml:space="preserve">                                            </w:t>
      </w:r>
    </w:p>
    <w:p>
      <w:pPr>
        <w:spacing w:line="560" w:lineRule="exact"/>
        <w:ind w:firstLine="560" w:firstLineChars="200"/>
        <w:rPr>
          <w:rFonts w:ascii="仿宋" w:eastAsia="仿宋" w:hAnsi="仿宋"/>
          <w:b/>
          <w:kern w:val="0"/>
          <w:sz w:val="28"/>
          <w:szCs w:val="28"/>
        </w:rPr>
      </w:pPr>
      <w:r>
        <w:rPr>
          <w:rFonts w:ascii="仿宋_GB2312" w:eastAsia="仿宋_GB2312" w:hAnsi="仿宋_GB2312" w:cs="仿宋_GB2312" w:hint="eastAsia"/>
          <w:b/>
          <w:kern w:val="0"/>
          <w:sz w:val="28"/>
          <w:szCs w:val="28"/>
        </w:rPr>
        <w:t xml:space="preserve">                                              网络   </w:t>
      </w:r>
      <w:r>
        <w:rPr>
          <w:rFonts w:ascii="仿宋" w:eastAsia="仿宋" w:hAnsi="仿宋" w:cs="Times New Roman" w:hint="eastAsia"/>
          <w:b/>
          <w:kern w:val="0"/>
          <w:sz w:val="28"/>
          <w:szCs w:val="28"/>
        </w:rPr>
        <w:t xml:space="preserve">  </w:t>
      </w:r>
    </w:p>
    <w:p>
      <w:pPr>
        <w:spacing w:after="156" w:afterLines="50"/>
        <w:ind w:right="210" w:firstLine="420" w:firstLineChars="200"/>
        <w:rPr>
          <w:rFonts w:ascii="宋体" w:hAnsi="宋体"/>
          <w:kern w:val="0"/>
          <w:szCs w:val="28"/>
        </w:rPr>
      </w:pPr>
      <w:r>
        <w:rPr>
          <w:rFonts w:ascii="宋体" w:hAnsi="宋体" w:hint="eastAsia"/>
          <w:kern w:val="0"/>
          <w:szCs w:val="24"/>
        </w:rPr>
        <w:pict>
          <v:rect id="矩形 21" o:spid="_x0000_s1032" style="width:70.45pt;height:70.25pt;margin-top:14.7pt;margin-left:317.25pt;mso-wrap-distance-bottom:0;mso-wrap-distance-left:9pt;mso-wrap-distance-right:9pt;mso-wrap-distance-top:0;position:absolute;v-text-anchor:top;z-index:251666432" filled="f" fillcolor="this" stroked="t" strokecolor="black" strokeweight="0.75pt"/>
        </w:pict>
      </w:r>
    </w:p>
    <w:p>
      <w:pPr>
        <w:rPr>
          <w:rFonts w:ascii="宋体" w:hAnsi="宋体"/>
          <w:sz w:val="28"/>
          <w:szCs w:val="28"/>
        </w:rPr>
      </w:pPr>
      <w:r>
        <w:rPr>
          <w:rFonts w:ascii="宋体" w:eastAsia="宋体" w:hAnsi="宋体" w:hint="eastAsia"/>
          <w:sz w:val="28"/>
          <w:szCs w:val="28"/>
        </w:rPr>
        <w:t xml:space="preserve">                                              中心站</w:t>
      </w:r>
    </w:p>
    <w:p>
      <w:pPr>
        <w:rPr>
          <w:rFonts w:ascii="宋体" w:hAnsi="宋体"/>
          <w:sz w:val="28"/>
          <w:szCs w:val="28"/>
        </w:rPr>
      </w:pPr>
      <w:r>
        <w:rPr>
          <w:rFonts w:ascii="宋体" w:eastAsia="宋体" w:hAnsi="宋体" w:hint="eastAsia"/>
          <w:sz w:val="28"/>
          <w:szCs w:val="28"/>
        </w:rPr>
        <w:t xml:space="preserve">                                              SMOS</w:t>
      </w:r>
    </w:p>
    <w:p>
      <w:pPr>
        <w:spacing w:after="156" w:line="360" w:lineRule="auto"/>
        <w:ind w:left="420"/>
        <w:jc w:val="center"/>
        <w:rPr>
          <w:rFonts w:ascii="宋体" w:hAnsi="宋体" w:cs="宋体"/>
        </w:rPr>
      </w:pPr>
      <w:r>
        <w:rPr>
          <w:rFonts w:ascii="宋体" w:eastAsia="宋体" w:hAnsi="宋体" w:cs="宋体" w:hint="eastAsia"/>
          <w:sz w:val="24"/>
          <w:szCs w:val="24"/>
        </w:rPr>
        <w:t>图3 微型雨量站系统总体结构图</w:t>
      </w:r>
    </w:p>
    <w:p>
      <w:pPr>
        <w:spacing w:line="360" w:lineRule="auto"/>
        <w:ind w:firstLine="420" w:firstLineChars="200"/>
        <w:rPr>
          <w:rFonts w:ascii="宋体" w:hAnsi="宋体" w:cs="宋体"/>
          <w:bCs/>
        </w:rPr>
      </w:pPr>
    </w:p>
    <w:p>
      <w:pPr>
        <w:spacing w:line="360" w:lineRule="auto"/>
        <w:ind w:firstLine="480" w:firstLineChars="200"/>
        <w:rPr>
          <w:rFonts w:ascii="宋体" w:hAnsi="宋体" w:cs="宋体"/>
          <w:bCs/>
        </w:rPr>
      </w:pPr>
      <w:r>
        <w:rPr>
          <w:rFonts w:ascii="宋体" w:eastAsia="宋体" w:hAnsi="宋体" w:cs="宋体" w:hint="eastAsia"/>
          <w:bCs/>
          <w:sz w:val="24"/>
          <w:szCs w:val="24"/>
        </w:rPr>
        <w:t>4.微信雨量站传感器</w:t>
      </w:r>
    </w:p>
    <w:p>
      <w:pPr>
        <w:spacing w:line="360" w:lineRule="auto"/>
        <w:ind w:firstLine="480" w:firstLineChars="200"/>
        <w:rPr>
          <w:rFonts w:ascii="宋体" w:hAnsi="宋体" w:cs="宋体"/>
          <w:bCs/>
        </w:rPr>
      </w:pPr>
      <w:r>
        <w:rPr>
          <w:rFonts w:ascii="宋体" w:eastAsia="宋体" w:hAnsi="宋体" w:cs="宋体" w:hint="eastAsia"/>
          <w:bCs/>
          <w:sz w:val="24"/>
          <w:szCs w:val="24"/>
        </w:rPr>
        <w:t>4.1传感器性能</w:t>
      </w:r>
    </w:p>
    <w:p>
      <w:pPr>
        <w:spacing w:line="360" w:lineRule="auto"/>
        <w:ind w:firstLine="480" w:firstLineChars="200"/>
        <w:rPr>
          <w:rFonts w:ascii="宋体" w:hAnsi="宋体" w:cs="宋体"/>
          <w:bCs/>
        </w:rPr>
      </w:pPr>
      <w:r>
        <w:rPr>
          <w:rFonts w:ascii="宋体" w:eastAsia="宋体" w:hAnsi="宋体" w:cs="宋体" w:hint="eastAsia"/>
          <w:bCs/>
          <w:sz w:val="24"/>
          <w:szCs w:val="24"/>
        </w:rPr>
        <w:t>测量分辨力要求为0.1mm，最大允许误差±0.4mm，输出信号通过开关信号、RS485、蓝牙直接与数据采集系统连接。</w:t>
      </w:r>
    </w:p>
    <w:p>
      <w:pPr>
        <w:spacing w:line="360" w:lineRule="auto"/>
        <w:ind w:firstLine="480" w:firstLineChars="200"/>
        <w:rPr>
          <w:rFonts w:ascii="宋体" w:hAnsi="宋体" w:cs="宋体"/>
          <w:bCs/>
        </w:rPr>
      </w:pPr>
      <w:r>
        <w:rPr>
          <w:rFonts w:ascii="宋体" w:eastAsia="宋体" w:hAnsi="宋体" w:cs="宋体" w:hint="eastAsia"/>
          <w:bCs/>
          <w:sz w:val="24"/>
          <w:szCs w:val="24"/>
        </w:rPr>
        <w:t>4.2 安装场地要求</w:t>
      </w:r>
    </w:p>
    <w:p>
      <w:pPr>
        <w:spacing w:line="360" w:lineRule="auto"/>
        <w:ind w:firstLine="480" w:firstLineChars="200"/>
        <w:rPr>
          <w:rFonts w:ascii="宋体" w:hAnsi="宋体" w:cs="宋体"/>
          <w:bCs/>
        </w:rPr>
      </w:pPr>
      <w:r>
        <w:rPr>
          <w:rFonts w:ascii="宋体" w:eastAsia="宋体" w:hAnsi="宋体" w:cs="宋体" w:hint="eastAsia"/>
          <w:bCs/>
          <w:sz w:val="24"/>
          <w:szCs w:val="24"/>
        </w:rPr>
        <w:t>雨量传感器安装位置安装在固定支架上，承水口径保持水平，固定支架通过抱箍式固定至铁塔、城市路灯、建筑等立杆上，传感器线缆通过立杆引线至防水接线盒中汇总。</w:t>
      </w:r>
    </w:p>
    <w:p>
      <w:pPr>
        <w:spacing w:line="360" w:lineRule="auto"/>
        <w:ind w:firstLine="480" w:firstLineChars="200"/>
        <w:rPr>
          <w:rFonts w:ascii="宋体" w:hAnsi="宋体" w:cs="宋体"/>
          <w:bCs/>
        </w:rPr>
      </w:pPr>
      <w:r>
        <w:rPr>
          <w:rFonts w:ascii="宋体" w:eastAsia="宋体" w:hAnsi="宋体" w:cs="宋体" w:hint="eastAsia"/>
          <w:bCs/>
          <w:sz w:val="24"/>
          <w:szCs w:val="24"/>
        </w:rPr>
        <w:t>5.电源设备</w:t>
      </w:r>
    </w:p>
    <w:p>
      <w:pPr>
        <w:autoSpaceDE w:val="0"/>
        <w:autoSpaceDN w:val="0"/>
        <w:spacing w:line="360" w:lineRule="auto"/>
        <w:ind w:firstLine="480" w:firstLineChars="200"/>
        <w:jc w:val="left"/>
        <w:rPr>
          <w:rFonts w:ascii="宋体" w:hAnsi="宋体" w:cs="宋体"/>
          <w:bCs/>
        </w:rPr>
      </w:pPr>
      <w:r>
        <w:rPr>
          <w:rFonts w:ascii="宋体" w:eastAsia="宋体" w:hAnsi="宋体" w:cs="宋体" w:hint="eastAsia"/>
          <w:bCs/>
          <w:sz w:val="24"/>
          <w:szCs w:val="24"/>
        </w:rPr>
        <w:t>采用12V蓄电池为采集器等系统各组成部分供电，并配备交直流转换器和充放电装置，通过交流电源为蓄电池浮充电。组成结构见下示意图。</w:t>
      </w:r>
    </w:p>
    <w:p>
      <w:pPr>
        <w:autoSpaceDE w:val="0"/>
        <w:autoSpaceDN w:val="0"/>
        <w:spacing w:line="360" w:lineRule="auto"/>
        <w:ind w:firstLine="480" w:firstLineChars="200"/>
        <w:jc w:val="left"/>
        <w:rPr>
          <w:rFonts w:ascii="宋体" w:hAnsi="宋体" w:cs="宋体"/>
        </w:rPr>
      </w:pPr>
      <w:r>
        <w:rPr>
          <w:rFonts w:ascii="宋体" w:eastAsia="宋体" w:hAnsi="宋体" w:cs="宋体" w:hint="eastAsia"/>
          <w:sz w:val="24"/>
          <w:szCs w:val="24"/>
        </w:rPr>
        <w:t xml:space="preserve">     </w:t>
      </w:r>
      <w:r>
        <w:rPr>
          <w:rFonts w:ascii="宋体" w:hAnsi="宋体" w:cs="宋体" w:hint="eastAsia"/>
          <w:kern w:val="0"/>
          <w:sz w:val="24"/>
          <w:szCs w:val="24"/>
        </w:rPr>
        <w:pict>
          <v:group id="画布 1" o:spid="_x0000_s1033" editas="canvas" style="width:318pt;height:140.3pt;margin-top:0.25pt;margin-left:0;mso-height-relative:page;mso-width-relative:page;position:absolute;z-index:-251658240" coordsize="4038600,1781810">
            <o:lock v:ext="edit" aspectratio="f"/>
            <v:shape id="画布 1" o:spid="_x0000_s1034" style="width:4038600;height:1781810;position:absolute" coordsize="21600,21600" filled="f" stroked="f">
              <o:lock v:ext="edit" aspectratio="t"/>
            </v:shape>
            <v:shapetype id="_x0000_t202" coordsize="21600,21600" o:spt="202" path="m,l,21600r21600,l21600,xe">
              <v:stroke joinstyle="miter"/>
              <v:path gradientshapeok="t" o:connecttype="rect"/>
            </v:shapetype>
            <v:shape id="文本框 2" o:spid="_x0000_s1035" type="#_x0000_t202" style="width:709358;height:756138;left:1653160;position:absolute;top:175846;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交直流转换器</w:t>
                    </w:r>
                  </w:p>
                </w:txbxContent>
              </v:textbox>
            </v:shape>
            <v:shape id="文本框 3" o:spid="_x0000_s1036" type="#_x0000_t202" style="width:668331;height:750277;left:767972;position:absolute;top:164122;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交流防雷器</w:t>
                    </w:r>
                  </w:p>
                </w:txbxContent>
              </v:textbox>
            </v:shape>
            <v:shape id="文本框 4" o:spid="_x0000_s1037" type="#_x0000_t202" style="width:615774;height:767860;left:2596852;position:absolute;top:175847;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充放电装置</w:t>
                    </w:r>
                  </w:p>
                </w:txbxContent>
              </v:textbox>
            </v:shape>
            <v:shape id="文本框 5" o:spid="_x0000_s1038" type="#_x0000_t202" style="width:621638;height:509954;left:2596853;position:absolute;top:1178037;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蓄电池</w:t>
                    </w:r>
                  </w:p>
                </w:txbxContent>
              </v:textbox>
            </v:shape>
            <v:shapetype id="_x0000_t32" coordsize="21600,21600" o:spt="32" o:oned="t" path="m,l21600,21600e" filled="f">
              <v:path arrowok="t" fillok="f" o:connecttype="none"/>
              <o:lock v:ext="edit" shapetype="t"/>
            </v:shapetype>
            <v:shape id="直接箭头连接符 6" o:spid="_x0000_s1039" type="#_x0000_t32" style="width:597939;height:0;left:170011;position:absolute;top:539261" coordsize="21600,21600" filled="f" stroked="t" strokecolor="black">
              <v:stroke joinstyle="round" endarrow="block"/>
              <o:lock v:ext="edit" aspectratio="f"/>
            </v:shape>
            <v:shape id="文本框 7" o:spid="_x0000_s1040" type="#_x0000_t202" style="width:650733;height:234460;left:70350;position:absolute;top:298943;v-text-anchor:middle" coordsize="21600,21600" filled="f" stroked="f">
              <o:lock v:ext="edit" aspectratio="f"/>
              <v:textbox>
                <w:txbxContent>
                  <w:p>
                    <w:pPr>
                      <w:snapToGrid w:val="0"/>
                      <w:spacing w:line="0" w:lineRule="atLeast"/>
                      <w:jc w:val="center"/>
                      <w:rPr>
                        <w:rFonts w:ascii="宋体" w:hAnsi="宋体"/>
                        <w:szCs w:val="21"/>
                      </w:rPr>
                    </w:pPr>
                    <w:r>
                      <w:rPr>
                        <w:rFonts w:ascii="宋体" w:hAnsi="宋体" w:hint="eastAsia"/>
                        <w:szCs w:val="21"/>
                      </w:rPr>
                      <w:t>AC</w:t>
                    </w:r>
                    <w:r>
                      <w:rPr>
                        <w:rFonts w:ascii="宋体" w:hAnsi="宋体"/>
                        <w:szCs w:val="21"/>
                      </w:rPr>
                      <w:t>220V</w:t>
                    </w:r>
                  </w:p>
                </w:txbxContent>
              </v:textbox>
            </v:shape>
            <v:shape id="直接箭头连接符 8" o:spid="_x0000_s1041" type="#_x0000_t32" style="width:216874;height:2931;left:1436259;position:absolute;top:550984" coordsize="21600,21600" filled="f" stroked="t" strokecolor="black">
              <v:stroke joinstyle="round" endarrow="block"/>
              <o:lock v:ext="edit" aspectratio="f"/>
            </v:shape>
            <v:shape id="直接箭头连接符 9" o:spid="_x0000_s1042" type="#_x0000_t32" style="width:228535;height:345;left:2368317;position:absolute;top:559432" coordsize="21600,21600" filled="f" stroked="t" strokecolor="black">
              <v:stroke joinstyle="round" endarrow="block"/>
              <o:lock v:ext="edit" aspectratio="f"/>
            </v:shape>
            <v:shape id="直接箭头连接符 10" o:spid="_x0000_s1043" type="#_x0000_t32" style="width:680047;height:378;flip:y;left:3212626;position:absolute;top:559368" coordsize="21600,21600" filled="f" stroked="t" strokecolor="black">
              <v:stroke joinstyle="round" endarrow="block"/>
              <o:lock v:ext="edit" aspectratio="f"/>
            </v:shape>
            <v:shape id="直接箭头连接符 11" o:spid="_x0000_s1044" type="#_x0000_t32" style="width:24;height:234339;left:2907648;position:absolute;top:943633" coordsize="21600,21600" filled="f" stroked="t" strokecolor="black">
              <v:stroke joinstyle="round" startarrow="block" endarrow="block"/>
              <o:lock v:ext="edit" aspectratio="f"/>
            </v:shape>
            <v:shape id="文本框 12" o:spid="_x0000_s1045" type="#_x0000_t202" style="width:650733;height:234460;left:3241940;position:absolute;top:324970;v-text-anchor:middle" coordsize="21600,21600" filled="f" stroked="f">
              <o:lock v:ext="edit" aspectratio="f"/>
              <v:textbox>
                <w:txbxContent>
                  <w:p>
                    <w:pPr>
                      <w:snapToGrid w:val="0"/>
                      <w:spacing w:line="0" w:lineRule="atLeast"/>
                      <w:jc w:val="center"/>
                      <w:rPr>
                        <w:rFonts w:ascii="宋体" w:hAnsi="宋体"/>
                        <w:szCs w:val="21"/>
                      </w:rPr>
                    </w:pPr>
                    <w:r>
                      <w:rPr>
                        <w:rFonts w:ascii="宋体" w:hAnsi="宋体"/>
                        <w:szCs w:val="21"/>
                      </w:rPr>
                      <w:t>DC12V</w:t>
                    </w:r>
                  </w:p>
                </w:txbxContent>
              </v:textbox>
            </v:shape>
          </v:group>
        </w:pict>
      </w:r>
    </w:p>
    <w:p>
      <w:pPr>
        <w:autoSpaceDE w:val="0"/>
        <w:autoSpaceDN w:val="0"/>
        <w:spacing w:line="360" w:lineRule="auto"/>
        <w:ind w:firstLine="420" w:firstLineChars="200"/>
        <w:jc w:val="left"/>
        <w:rPr>
          <w:rFonts w:ascii="宋体" w:hAnsi="宋体" w:cs="宋体"/>
        </w:rPr>
      </w:pPr>
    </w:p>
    <w:p>
      <w:pPr>
        <w:autoSpaceDE w:val="0"/>
        <w:autoSpaceDN w:val="0"/>
        <w:spacing w:line="360" w:lineRule="auto"/>
        <w:ind w:firstLine="420" w:firstLineChars="200"/>
        <w:jc w:val="left"/>
        <w:rPr>
          <w:rFonts w:ascii="宋体" w:hAnsi="宋体" w:cs="宋体"/>
        </w:rPr>
      </w:pPr>
    </w:p>
    <w:p>
      <w:pPr>
        <w:autoSpaceDE w:val="0"/>
        <w:autoSpaceDN w:val="0"/>
        <w:spacing w:line="360" w:lineRule="auto"/>
        <w:ind w:firstLine="420" w:firstLineChars="200"/>
        <w:jc w:val="left"/>
        <w:rPr>
          <w:rFonts w:ascii="宋体" w:hAnsi="宋体" w:cs="宋体"/>
        </w:rPr>
      </w:pPr>
    </w:p>
    <w:p>
      <w:pPr>
        <w:autoSpaceDE w:val="0"/>
        <w:autoSpaceDN w:val="0"/>
        <w:spacing w:line="360" w:lineRule="auto"/>
        <w:ind w:firstLine="420" w:firstLineChars="200"/>
        <w:jc w:val="left"/>
        <w:rPr>
          <w:rFonts w:ascii="宋体" w:hAnsi="宋体" w:cs="宋体"/>
        </w:rPr>
      </w:pPr>
    </w:p>
    <w:p>
      <w:pPr>
        <w:spacing w:line="360" w:lineRule="auto"/>
        <w:ind w:firstLine="560"/>
        <w:rPr>
          <w:rFonts w:ascii="宋体" w:hAnsi="宋体" w:cs="宋体"/>
          <w:bCs/>
        </w:rPr>
      </w:pPr>
      <w:r>
        <w:rPr>
          <w:rFonts w:ascii="宋体" w:eastAsia="宋体" w:hAnsi="宋体" w:cs="宋体" w:hint="eastAsia"/>
          <w:bCs/>
          <w:sz w:val="24"/>
          <w:szCs w:val="24"/>
        </w:rPr>
        <w:t>6.通讯设备</w:t>
      </w:r>
    </w:p>
    <w:p>
      <w:pPr>
        <w:autoSpaceDE w:val="0"/>
        <w:autoSpaceDN w:val="0"/>
        <w:spacing w:line="360" w:lineRule="auto"/>
        <w:ind w:firstLine="480" w:firstLineChars="200"/>
        <w:jc w:val="left"/>
        <w:rPr>
          <w:rFonts w:ascii="宋体" w:hAnsi="宋体" w:cs="宋体"/>
        </w:rPr>
      </w:pPr>
      <w:r>
        <w:rPr>
          <w:rFonts w:ascii="宋体" w:eastAsia="宋体" w:hAnsi="宋体" w:cs="宋体" w:hint="eastAsia"/>
          <w:bCs/>
          <w:sz w:val="24"/>
          <w:szCs w:val="24"/>
        </w:rPr>
        <w:t>采集器与综合集成硬件控制器采用RS-232或RS-485方式进行通信传输。组成结构见下示意图。</w:t>
      </w:r>
    </w:p>
    <w:p>
      <w:pPr>
        <w:spacing w:line="360" w:lineRule="auto"/>
        <w:ind w:firstLine="560"/>
        <w:rPr>
          <w:rFonts w:ascii="宋体" w:hAnsi="宋体" w:cs="宋体"/>
          <w:bCs/>
        </w:rPr>
      </w:pPr>
    </w:p>
    <w:p>
      <w:pPr>
        <w:spacing w:line="360" w:lineRule="auto"/>
        <w:ind w:firstLine="560"/>
        <w:rPr>
          <w:rFonts w:ascii="宋体" w:hAnsi="宋体" w:cs="宋体"/>
          <w:bCs/>
        </w:rPr>
      </w:pPr>
    </w:p>
    <w:p>
      <w:pPr>
        <w:spacing w:line="360" w:lineRule="auto"/>
        <w:ind w:firstLine="560"/>
        <w:rPr>
          <w:rFonts w:ascii="宋体" w:hAnsi="宋体" w:cs="宋体"/>
          <w:bCs/>
        </w:rPr>
      </w:pPr>
      <w:r>
        <w:rPr>
          <w:rFonts w:ascii="宋体" w:hAnsi="宋体" w:cs="宋体" w:hint="eastAsia"/>
          <w:bCs/>
          <w:sz w:val="24"/>
          <w:szCs w:val="24"/>
        </w:rPr>
        <w:pict>
          <v:group id="画布 24" o:spid="_x0000_s1046" editas="canvas" style="width:392.2pt;height:196.75pt;margin-top:0.65pt;margin-left:0;mso-height-relative:page;mso-width-relative:page;position:absolute;z-index:-251657216" coordsize="4980940,2498725">
            <o:lock v:ext="edit" aspectratio="f"/>
            <v:shape id="画布 24" o:spid="_x0000_s1047" style="width:4980940;height:2498725;position:absolute" coordsize="21600,21600" filled="f" stroked="f">
              <o:lock v:ext="edit" aspectratio="t"/>
            </v:shape>
            <v:shape id="文本框 13" o:spid="_x0000_s1048" type="#_x0000_t202" style="width:591820;height:1687829;left:649605;position:absolute;top:354330;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采集器</w:t>
                    </w:r>
                  </w:p>
                </w:txbxContent>
              </v:textbox>
            </v:shape>
            <v:shape id="文本框 29" o:spid="_x0000_s1049" type="#_x0000_t202" style="width:615315;height:1696720;left:3754120;position:absolute;top:307975;v-text-anchor:middle" coordsize="21600,21600" filled="t" fillcolor="white" stroked="t" strokecolor="black">
              <v:stroke joinstyle="miter"/>
              <o:lock v:ext="edit" aspectratio="f"/>
              <v:textbox>
                <w:txbxContent>
                  <w:p>
                    <w:pPr>
                      <w:snapToGrid w:val="0"/>
                      <w:spacing w:line="0" w:lineRule="atLeast"/>
                      <w:jc w:val="center"/>
                      <w:rPr>
                        <w:rFonts w:ascii="Calibri" w:hAnsi="Calibri"/>
                        <w:szCs w:val="21"/>
                      </w:rPr>
                    </w:pPr>
                    <w:r>
                      <w:rPr>
                        <w:rFonts w:ascii="Calibri" w:hAnsi="Calibri" w:hint="eastAsia"/>
                        <w:szCs w:val="21"/>
                      </w:rPr>
                      <w:t>综合集成硬件控制器</w:t>
                    </w:r>
                  </w:p>
                </w:txbxContent>
              </v:textbox>
            </v:shape>
            <v:rect id="矩形 32" o:spid="_x0000_s1050" style="width:2098040;height:2272665;left:102870;position:absolute;top:12700;v-text-anchor:middle" coordsize="21600,21600" filled="f" stroked="t" strokecolor="black">
              <v:stroke joinstyle="miter"/>
              <o:lock v:ext="edit" aspectratio="f"/>
            </v:rect>
            <v:shape id="文本框 33" o:spid="_x0000_s1051" type="#_x0000_t202" style="width:767715;height:263525;left:846455;position:absolute;top:2068195;v-text-anchor:middle" coordsize="21600,21600" filled="f" stroked="f">
              <o:lock v:ext="edit" aspectratio="f"/>
              <v:textbox>
                <w:txbxContent>
                  <w:p>
                    <w:pPr>
                      <w:snapToGrid w:val="0"/>
                      <w:spacing w:line="0" w:lineRule="atLeast"/>
                      <w:jc w:val="center"/>
                      <w:rPr>
                        <w:rFonts w:ascii="宋体" w:hAnsi="宋体"/>
                        <w:szCs w:val="21"/>
                      </w:rPr>
                    </w:pPr>
                    <w:r>
                      <w:rPr>
                        <w:rFonts w:ascii="宋体" w:hAnsi="宋体" w:hint="eastAsia"/>
                        <w:szCs w:val="21"/>
                      </w:rPr>
                      <w:t>采集箱</w:t>
                    </w:r>
                  </w:p>
                </w:txbxContent>
              </v:textbox>
            </v:shape>
            <v:rect id="矩形 34" o:spid="_x0000_s1052" style="width:2098675;height:2272031;left:2894330;position:absolute;v-text-anchor:middle" coordsize="21600,21600" filled="f" stroked="t" strokecolor="black">
              <v:stroke joinstyle="miter"/>
              <o:lock v:ext="edit" aspectratio="f"/>
            </v:rect>
            <v:shape id="文本框 35" o:spid="_x0000_s1053" type="#_x0000_t202" style="width:1641231;height:314535;left:3261813;position:absolute;top:2060382;v-text-anchor:middle" coordsize="21600,21600" filled="f" stroked="f">
              <o:lock v:ext="edit" aspectratio="f"/>
              <v:textbox>
                <w:txbxContent>
                  <w:p>
                    <w:pPr>
                      <w:snapToGrid w:val="0"/>
                      <w:spacing w:line="0" w:lineRule="atLeast"/>
                      <w:jc w:val="center"/>
                      <w:rPr>
                        <w:rFonts w:ascii="Calibri" w:hAnsi="Calibri"/>
                        <w:szCs w:val="21"/>
                      </w:rPr>
                    </w:pPr>
                    <w:r>
                      <w:rPr>
                        <w:rFonts w:ascii="Calibri" w:hAnsi="Calibri" w:hint="eastAsia"/>
                        <w:szCs w:val="21"/>
                      </w:rPr>
                      <w:t>综合集成硬件控制器箱</w:t>
                    </w:r>
                  </w:p>
                </w:txbxContent>
              </v:textbox>
            </v:shape>
            <v:shape id="直接箭头连接符 74" o:spid="_x0000_s1054" type="#_x0000_t32" style="width:2230755;height:0;left:1375453;position:absolute;top:879993" coordsize="21600,21600" filled="f" stroked="t" strokecolor="black">
              <v:stroke joinstyle="round" startarrow="block" endarrow="block"/>
              <o:lock v:ext="edit" aspectratio="f"/>
            </v:shape>
            <v:shape id="文本框 77" o:spid="_x0000_s1055" type="#_x0000_t202" style="width:1174115;height:234950;left:1823720;position:absolute;top:630555;v-text-anchor:middle" coordsize="21600,21600" filled="f" stroked="f">
              <o:lock v:ext="edit" aspectratio="f"/>
              <v:textbox>
                <w:txbxContent>
                  <w:p>
                    <w:pPr>
                      <w:snapToGrid w:val="0"/>
                      <w:spacing w:line="0" w:lineRule="atLeast"/>
                      <w:jc w:val="center"/>
                      <w:rPr>
                        <w:rFonts w:ascii="宋体" w:hAnsi="宋体"/>
                        <w:b/>
                        <w:szCs w:val="21"/>
                      </w:rPr>
                    </w:pPr>
                    <w:r>
                      <w:rPr>
                        <w:rFonts w:ascii="宋体" w:hAnsi="宋体"/>
                        <w:b/>
                        <w:szCs w:val="21"/>
                      </w:rPr>
                      <w:t>RS-232/485</w:t>
                    </w:r>
                  </w:p>
                </w:txbxContent>
              </v:textbox>
            </v:shape>
          </v:group>
        </w:pict>
      </w:r>
    </w:p>
    <w:p>
      <w:pPr>
        <w:spacing w:line="360" w:lineRule="auto"/>
        <w:ind w:firstLine="560"/>
        <w:rPr>
          <w:rFonts w:ascii="宋体" w:hAnsi="宋体" w:cs="宋体"/>
          <w:bCs/>
        </w:rPr>
      </w:pPr>
    </w:p>
    <w:p>
      <w:pPr>
        <w:spacing w:line="360" w:lineRule="auto"/>
        <w:ind w:firstLine="560"/>
        <w:rPr>
          <w:rFonts w:ascii="宋体" w:hAnsi="宋体" w:cs="宋体"/>
          <w:bCs/>
        </w:rPr>
      </w:pPr>
    </w:p>
    <w:p>
      <w:pPr>
        <w:spacing w:line="360" w:lineRule="auto"/>
        <w:ind w:firstLine="560"/>
        <w:rPr>
          <w:rFonts w:ascii="宋体" w:hAnsi="宋体" w:cs="宋体"/>
          <w:bCs/>
        </w:rPr>
      </w:pPr>
    </w:p>
    <w:p>
      <w:pPr>
        <w:spacing w:line="360" w:lineRule="auto"/>
        <w:ind w:firstLine="560"/>
        <w:rPr>
          <w:rFonts w:ascii="宋体" w:hAnsi="宋体" w:cs="宋体"/>
          <w:bCs/>
        </w:rPr>
      </w:pPr>
    </w:p>
    <w:p>
      <w:pPr>
        <w:spacing w:line="360" w:lineRule="auto"/>
        <w:ind w:firstLine="560"/>
        <w:rPr>
          <w:rFonts w:ascii="宋体" w:hAnsi="宋体" w:cs="宋体"/>
          <w:bCs/>
        </w:rPr>
      </w:pPr>
    </w:p>
    <w:p>
      <w:pPr>
        <w:spacing w:line="360" w:lineRule="auto"/>
        <w:rPr>
          <w:rFonts w:ascii="宋体" w:hAnsi="宋体" w:cs="宋体"/>
          <w:bCs/>
        </w:rPr>
      </w:pPr>
    </w:p>
    <w:p>
      <w:pPr>
        <w:spacing w:line="360" w:lineRule="auto"/>
        <w:ind w:firstLine="560"/>
        <w:rPr>
          <w:rFonts w:ascii="宋体" w:hAnsi="宋体" w:cs="宋体"/>
          <w:bCs/>
        </w:rPr>
      </w:pPr>
    </w:p>
    <w:p>
      <w:pPr>
        <w:spacing w:line="360" w:lineRule="auto"/>
        <w:ind w:firstLine="560"/>
        <w:rPr>
          <w:rFonts w:ascii="宋体" w:hAnsi="宋体" w:cs="宋体"/>
          <w:bCs/>
        </w:rPr>
      </w:pPr>
      <w:r>
        <w:rPr>
          <w:rFonts w:ascii="宋体" w:eastAsia="宋体" w:hAnsi="宋体" w:cs="宋体" w:hint="eastAsia"/>
          <w:bCs/>
          <w:sz w:val="24"/>
          <w:szCs w:val="24"/>
        </w:rPr>
        <w:t>7.数据存储</w:t>
      </w:r>
    </w:p>
    <w:p>
      <w:pPr>
        <w:autoSpaceDE w:val="0"/>
        <w:autoSpaceDN w:val="0"/>
        <w:spacing w:line="360" w:lineRule="auto"/>
        <w:ind w:firstLine="480" w:firstLineChars="200"/>
        <w:jc w:val="left"/>
        <w:rPr>
          <w:rFonts w:ascii="宋体" w:hAnsi="宋体" w:cs="宋体"/>
          <w:bCs/>
        </w:rPr>
      </w:pPr>
      <w:r>
        <w:rPr>
          <w:rFonts w:ascii="宋体" w:eastAsia="宋体" w:hAnsi="宋体" w:cs="宋体" w:hint="eastAsia"/>
          <w:bCs/>
          <w:sz w:val="24"/>
          <w:szCs w:val="24"/>
        </w:rPr>
        <w:t>数据处理单元内部通常可存储30天分钟数据。存储的内容包括小时数据、分钟数据和运行监控数据、系统运行日志。</w:t>
      </w:r>
    </w:p>
    <w:p>
      <w:pPr>
        <w:spacing w:line="360" w:lineRule="auto"/>
        <w:ind w:firstLine="480" w:firstLineChars="200"/>
        <w:rPr>
          <w:rFonts w:ascii="宋体" w:hAnsi="宋体" w:cs="宋体"/>
          <w:bCs/>
        </w:rPr>
      </w:pPr>
      <w:r>
        <w:rPr>
          <w:rFonts w:ascii="宋体" w:eastAsia="宋体" w:hAnsi="宋体" w:cs="宋体" w:hint="eastAsia"/>
          <w:bCs/>
          <w:sz w:val="24"/>
          <w:szCs w:val="24"/>
        </w:rPr>
        <w:t>8.数据传输</w:t>
      </w:r>
    </w:p>
    <w:p>
      <w:pPr>
        <w:autoSpaceDE w:val="0"/>
        <w:autoSpaceDN w:val="0"/>
        <w:spacing w:line="360" w:lineRule="auto"/>
        <w:ind w:firstLine="480" w:firstLineChars="200"/>
        <w:jc w:val="left"/>
        <w:rPr>
          <w:rFonts w:ascii="宋体" w:hAnsi="宋体" w:cs="宋体"/>
          <w:bCs/>
        </w:rPr>
      </w:pPr>
      <w:r>
        <w:rPr>
          <w:rFonts w:ascii="宋体" w:eastAsia="宋体" w:hAnsi="宋体" w:cs="宋体" w:hint="eastAsia"/>
          <w:bCs/>
          <w:sz w:val="24"/>
          <w:szCs w:val="24"/>
        </w:rPr>
        <w:t>数据采集传送模块通过4G无线通讯通信传输至服务器采集数据系统，系统实时储存数据。</w:t>
      </w:r>
    </w:p>
    <w:p>
      <w:pPr>
        <w:autoSpaceDE w:val="0"/>
        <w:autoSpaceDN w:val="0"/>
        <w:spacing w:line="360" w:lineRule="auto"/>
        <w:ind w:firstLine="480" w:firstLineChars="200"/>
        <w:jc w:val="left"/>
        <w:rPr>
          <w:rFonts w:ascii="宋体" w:hAnsi="宋体" w:cs="宋体"/>
          <w:bCs/>
        </w:rPr>
      </w:pPr>
      <w:r>
        <w:rPr>
          <w:rFonts w:ascii="宋体" w:eastAsia="宋体" w:hAnsi="宋体" w:cs="宋体" w:hint="eastAsia"/>
          <w:bCs/>
          <w:sz w:val="24"/>
          <w:szCs w:val="24"/>
        </w:rPr>
        <w:t>9.供电系统</w:t>
      </w:r>
    </w:p>
    <w:p>
      <w:pPr>
        <w:autoSpaceDE w:val="0"/>
        <w:autoSpaceDN w:val="0"/>
        <w:spacing w:line="360" w:lineRule="auto"/>
        <w:ind w:firstLine="480" w:firstLineChars="200"/>
        <w:jc w:val="left"/>
        <w:rPr>
          <w:rFonts w:ascii="宋体" w:hAnsi="宋体" w:cs="宋体"/>
          <w:bCs/>
        </w:rPr>
      </w:pPr>
      <w:r>
        <w:rPr>
          <w:rFonts w:ascii="宋体" w:eastAsia="宋体" w:hAnsi="宋体" w:cs="宋体" w:hint="eastAsia"/>
          <w:bCs/>
          <w:sz w:val="24"/>
          <w:szCs w:val="24"/>
        </w:rPr>
        <w:t>太阳能供电系统由太阳能板、蓄电池、充放电管理电路、结构、防水接头和电源航插线缆组成。</w:t>
      </w:r>
    </w:p>
    <w:p>
      <w:pPr>
        <w:spacing w:line="360" w:lineRule="auto"/>
        <w:ind w:firstLine="420" w:firstLineChars="200"/>
        <w:rPr>
          <w:rFonts w:ascii="宋体" w:hAnsi="宋体"/>
          <w:szCs w:val="21"/>
        </w:rPr>
      </w:pPr>
      <w:r>
        <w:rPr>
          <w:rFonts w:ascii="宋体" w:hAnsi="宋体" w:hint="eastAsia"/>
          <w:szCs w:val="21"/>
        </w:rPr>
        <w:t>四、其他要求</w:t>
      </w:r>
    </w:p>
    <w:p>
      <w:pPr>
        <w:keepNext/>
        <w:keepLines/>
        <w:spacing w:before="260" w:after="260" w:line="360" w:lineRule="auto"/>
        <w:outlineLvl w:val="2"/>
        <w:rPr>
          <w:rFonts w:ascii="宋体" w:hAnsi="宋体" w:cs="宋体"/>
          <w:b/>
        </w:rPr>
      </w:pPr>
      <w:r>
        <w:rPr>
          <w:rFonts w:ascii="宋体" w:eastAsia="宋体" w:hAnsi="宋体" w:cs="宋体"/>
          <w:b/>
          <w:sz w:val="24"/>
          <w:szCs w:val="24"/>
        </w:rPr>
        <w:t>1</w:t>
      </w:r>
      <w:r>
        <w:rPr>
          <w:rFonts w:ascii="宋体" w:eastAsia="宋体" w:hAnsi="宋体" w:cs="宋体" w:hint="eastAsia"/>
          <w:b/>
          <w:sz w:val="24"/>
          <w:szCs w:val="24"/>
        </w:rPr>
        <w:t>.文件要求</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随同设备应提供用户手册（包含技术说明书和使用、操作说明）、质检报告、装箱清单等。</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从上述文件能够获得设备基本信息，制造或供货方的名称、地址和有效的通信联系方式、所有必要警告及注意事项，以及下列基本内容：</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1）介绍</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设备介绍和设备在现场可更换组件的逐项说明。</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设备额定工作条件，如：供电电压或电压范围，频率或频率范围，以及功率或电流的额定值；所有输入和输出连接的详细描述；为设备设计给定的环境条件范围。</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2）安装说明</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包括场地布置、定位和安装和调试要求，保护接地说明，与电源的连接，具体维护要求。</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3）操作</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包括在各种工作状态下，操作控制键的识别和使用，损耗材料更换的说明，清洁说明。</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4）维护</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包括设备在现场维护时需要的所有常规维护维修程序。由常规维护和详细维护流程组成。所有需要维护的项目名称及部件号、制造商都应逐一列出。</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5）部件清单</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包括：名称、参考标识、厂商代码和零件编号。</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6）图纸</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包括原理图、装配图、电器和机箱连接图。</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7）一般故障的判断和解决方法。</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rPr>
        <w:t>2.设备出厂</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2.1 外观应整洁，无损伤和形变，表面涂层无气泡、开裂、脱落等现象。</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2.2 保证所提供产品的数量、质量。</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2.3 出厂前要经买方人员严格测试和检查，确保设备能长期稳定、可靠地运行。</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rPr>
        <w:t>3.包装和运输要求</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3.1 中标人须在合同</w:t>
      </w:r>
      <w:r>
        <w:rPr>
          <w:rFonts w:ascii="宋体" w:hAnsi="宋体" w:cs="宋体" w:hint="eastAsia"/>
          <w:bCs/>
          <w:sz w:val="24"/>
          <w:szCs w:val="24"/>
        </w:rPr>
        <w:t>签订</w:t>
      </w:r>
      <w:r>
        <w:rPr>
          <w:rFonts w:ascii="宋体" w:eastAsia="宋体" w:hAnsi="宋体" w:cs="宋体" w:hint="eastAsia"/>
          <w:bCs/>
          <w:sz w:val="24"/>
          <w:szCs w:val="24"/>
        </w:rPr>
        <w:t>后</w:t>
      </w:r>
      <w:r>
        <w:rPr>
          <w:rFonts w:ascii="宋体" w:eastAsia="宋体" w:hAnsi="宋体" w:cs="宋体" w:hint="eastAsia"/>
          <w:bCs/>
          <w:sz w:val="24"/>
          <w:szCs w:val="24"/>
          <w:highlight w:val="yellow"/>
        </w:rPr>
        <w:t>60</w:t>
      </w:r>
      <w:r>
        <w:rPr>
          <w:rFonts w:ascii="宋体" w:eastAsia="宋体" w:hAnsi="宋体" w:cs="宋体" w:hint="eastAsia"/>
          <w:bCs/>
          <w:sz w:val="24"/>
          <w:szCs w:val="24"/>
        </w:rPr>
        <w:t>天内将设备运到</w:t>
      </w:r>
      <w:r>
        <w:rPr>
          <w:rFonts w:ascii="宋体" w:hAnsi="宋体" w:cs="宋体" w:hint="eastAsia"/>
          <w:bCs/>
          <w:sz w:val="24"/>
          <w:szCs w:val="24"/>
        </w:rPr>
        <w:t>采购人</w:t>
      </w:r>
      <w:r>
        <w:rPr>
          <w:rFonts w:ascii="宋体" w:eastAsia="宋体" w:hAnsi="宋体" w:cs="宋体" w:hint="eastAsia"/>
          <w:bCs/>
          <w:sz w:val="24"/>
          <w:szCs w:val="24"/>
        </w:rPr>
        <w:t>指定的地点，运费由中标人承担。</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3.2 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rPr>
        <w:t>4.</w:t>
      </w:r>
      <w:r>
        <w:rPr>
          <w:rFonts w:ascii="宋体" w:hAnsi="宋体" w:cs="宋体" w:hint="eastAsia"/>
          <w:b/>
          <w:sz w:val="24"/>
          <w:szCs w:val="24"/>
        </w:rPr>
        <w:t>选址、</w:t>
      </w:r>
      <w:r>
        <w:rPr>
          <w:rFonts w:ascii="宋体" w:eastAsia="宋体" w:hAnsi="宋体" w:cs="宋体" w:hint="eastAsia"/>
          <w:b/>
          <w:sz w:val="24"/>
          <w:szCs w:val="24"/>
        </w:rPr>
        <w:t>安装调试</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4.1</w:t>
      </w:r>
      <w:r>
        <w:rPr>
          <w:rFonts w:ascii="宋体" w:hAnsi="宋体" w:cs="宋体" w:hint="eastAsia"/>
          <w:bCs/>
          <w:sz w:val="24"/>
          <w:szCs w:val="24"/>
        </w:rPr>
        <w:t>中标人需</w:t>
      </w:r>
      <w:r>
        <w:rPr>
          <w:rFonts w:ascii="宋体" w:eastAsia="宋体" w:hAnsi="宋体" w:cs="宋体" w:hint="eastAsia"/>
          <w:bCs/>
          <w:sz w:val="24"/>
          <w:szCs w:val="24"/>
        </w:rPr>
        <w:t>在甲方现有选址的基础上，确定最终安装位置，安装位置需符合相关雨量观测环境的要求</w:t>
      </w:r>
      <w:r>
        <w:rPr>
          <w:rFonts w:ascii="宋体" w:hAnsi="宋体" w:cs="宋体" w:hint="eastAsia"/>
          <w:bCs/>
          <w:sz w:val="24"/>
          <w:szCs w:val="24"/>
        </w:rPr>
        <w:t>，选址费用包含在报价中</w:t>
      </w:r>
      <w:r>
        <w:rPr>
          <w:rFonts w:ascii="宋体" w:eastAsia="宋体" w:hAnsi="宋体" w:cs="宋体" w:hint="eastAsia"/>
          <w:bCs/>
          <w:sz w:val="24"/>
          <w:szCs w:val="24"/>
        </w:rPr>
        <w:t>。</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w:t>
      </w:r>
      <w:r>
        <w:rPr>
          <w:rFonts w:ascii="宋体" w:hAnsi="宋体" w:cs="宋体" w:hint="eastAsia"/>
          <w:bCs/>
          <w:sz w:val="24"/>
          <w:szCs w:val="24"/>
        </w:rPr>
        <w:t>2</w:t>
      </w:r>
      <w:r>
        <w:rPr>
          <w:rFonts w:ascii="宋体" w:eastAsia="宋体" w:hAnsi="宋体" w:cs="宋体" w:hint="eastAsia"/>
          <w:bCs/>
          <w:sz w:val="24"/>
          <w:szCs w:val="24"/>
        </w:rPr>
        <w:t xml:space="preserve"> 设备安装由中标人负责，在</w:t>
      </w:r>
      <w:r>
        <w:rPr>
          <w:rFonts w:ascii="宋体" w:hAnsi="宋体" w:cs="宋体" w:hint="eastAsia"/>
          <w:bCs/>
          <w:sz w:val="24"/>
          <w:szCs w:val="24"/>
        </w:rPr>
        <w:t>合同签订后180</w:t>
      </w:r>
      <w:r>
        <w:rPr>
          <w:rFonts w:ascii="宋体" w:eastAsia="宋体" w:hAnsi="宋体" w:cs="宋体" w:hint="eastAsia"/>
          <w:bCs/>
          <w:sz w:val="24"/>
          <w:szCs w:val="24"/>
          <w:highlight w:val="yellow"/>
        </w:rPr>
        <w:t>天</w:t>
      </w:r>
      <w:r>
        <w:rPr>
          <w:rFonts w:ascii="宋体" w:eastAsia="宋体" w:hAnsi="宋体" w:cs="宋体" w:hint="eastAsia"/>
          <w:bCs/>
          <w:sz w:val="24"/>
          <w:szCs w:val="24"/>
        </w:rPr>
        <w:t>内完成安装、调试。</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w:t>
      </w:r>
      <w:r>
        <w:rPr>
          <w:rFonts w:ascii="宋体" w:hAnsi="宋体" w:cs="宋体" w:hint="eastAsia"/>
          <w:bCs/>
          <w:sz w:val="24"/>
          <w:szCs w:val="24"/>
        </w:rPr>
        <w:t>3</w:t>
      </w:r>
      <w:r>
        <w:rPr>
          <w:rFonts w:ascii="宋体" w:eastAsia="宋体" w:hAnsi="宋体" w:cs="宋体" w:hint="eastAsia"/>
          <w:bCs/>
          <w:sz w:val="24"/>
          <w:szCs w:val="24"/>
        </w:rPr>
        <w:t xml:space="preserve"> 设备的基础建设（包括预埋件、防雷等基础建设）和设备安装由中标人负责。基础建设和安装调试费等相关费用均包含在报价中。</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w:t>
      </w:r>
      <w:r>
        <w:rPr>
          <w:rFonts w:ascii="宋体" w:hAnsi="宋体" w:cs="宋体" w:hint="eastAsia"/>
          <w:bCs/>
          <w:sz w:val="24"/>
          <w:szCs w:val="24"/>
        </w:rPr>
        <w:t>4</w:t>
      </w:r>
      <w:r>
        <w:rPr>
          <w:rFonts w:ascii="宋体" w:eastAsia="宋体" w:hAnsi="宋体" w:cs="宋体" w:hint="eastAsia"/>
          <w:bCs/>
          <w:sz w:val="24"/>
          <w:szCs w:val="24"/>
        </w:rPr>
        <w:t>设备安装调试过程中，中标人应作详细检验记录。安装调试结果应该符合</w:t>
      </w:r>
      <w:r>
        <w:rPr>
          <w:rFonts w:ascii="宋体" w:hAnsi="宋体" w:cs="宋体" w:hint="eastAsia"/>
          <w:bCs/>
          <w:sz w:val="24"/>
          <w:szCs w:val="24"/>
        </w:rPr>
        <w:t>雨量站技术指标</w:t>
      </w:r>
      <w:r>
        <w:rPr>
          <w:rFonts w:ascii="宋体" w:eastAsia="宋体" w:hAnsi="宋体" w:cs="宋体" w:hint="eastAsia"/>
          <w:bCs/>
          <w:sz w:val="24"/>
          <w:szCs w:val="24"/>
        </w:rPr>
        <w:t>的要求。检验记录应提供给采购人。</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4.</w:t>
      </w:r>
      <w:r>
        <w:rPr>
          <w:rFonts w:ascii="宋体" w:hAnsi="宋体" w:cs="宋体" w:hint="eastAsia"/>
          <w:bCs/>
          <w:sz w:val="24"/>
          <w:szCs w:val="24"/>
        </w:rPr>
        <w:t>5</w:t>
      </w:r>
      <w:r>
        <w:rPr>
          <w:rFonts w:ascii="宋体" w:eastAsia="宋体" w:hAnsi="宋体" w:cs="宋体" w:hint="eastAsia"/>
          <w:bCs/>
          <w:sz w:val="24"/>
          <w:szCs w:val="24"/>
        </w:rPr>
        <w:t>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keepNext/>
        <w:keepLines/>
        <w:spacing w:before="260" w:after="260" w:line="360" w:lineRule="auto"/>
        <w:outlineLvl w:val="2"/>
        <w:rPr>
          <w:rFonts w:ascii="宋体" w:hAnsi="宋体" w:cs="宋体"/>
          <w:b/>
          <w:bCs/>
        </w:rPr>
      </w:pPr>
      <w:r>
        <w:rPr>
          <w:rFonts w:ascii="宋体" w:eastAsia="宋体" w:hAnsi="宋体" w:cs="宋体" w:hint="eastAsia"/>
          <w:b/>
          <w:sz w:val="24"/>
          <w:szCs w:val="24"/>
        </w:rPr>
        <w:t>5.设备验收</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5.1 设备出厂前，采购人有权派人到工厂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5.2 设备安装、调试</w:t>
      </w:r>
      <w:r>
        <w:rPr>
          <w:rFonts w:ascii="宋体" w:hAnsi="宋体" w:cs="宋体" w:hint="eastAsia"/>
          <w:bCs/>
          <w:sz w:val="24"/>
          <w:szCs w:val="24"/>
        </w:rPr>
        <w:t>完成</w:t>
      </w:r>
      <w:r>
        <w:rPr>
          <w:rFonts w:ascii="宋体" w:eastAsia="宋体" w:hAnsi="宋体" w:cs="宋体" w:hint="eastAsia"/>
          <w:bCs/>
          <w:sz w:val="24"/>
          <w:szCs w:val="24"/>
        </w:rPr>
        <w:t>后，可进行</w:t>
      </w:r>
      <w:r>
        <w:rPr>
          <w:rFonts w:ascii="宋体" w:hAnsi="宋体" w:cs="宋体" w:hint="eastAsia"/>
          <w:bCs/>
          <w:sz w:val="24"/>
          <w:szCs w:val="24"/>
        </w:rPr>
        <w:t>现场</w:t>
      </w:r>
      <w:r>
        <w:rPr>
          <w:rFonts w:ascii="宋体" w:eastAsia="宋体" w:hAnsi="宋体" w:cs="宋体" w:hint="eastAsia"/>
          <w:bCs/>
          <w:sz w:val="24"/>
          <w:szCs w:val="24"/>
        </w:rPr>
        <w:t>验收。验收</w:t>
      </w:r>
      <w:r>
        <w:rPr>
          <w:rFonts w:ascii="宋体" w:hAnsi="宋体" w:cs="宋体" w:hint="eastAsia"/>
          <w:bCs/>
          <w:sz w:val="24"/>
          <w:szCs w:val="24"/>
        </w:rPr>
        <w:t>内容由采购人提出，</w:t>
      </w:r>
      <w:r>
        <w:rPr>
          <w:rFonts w:ascii="宋体" w:eastAsia="宋体" w:hAnsi="宋体" w:cs="宋体" w:hint="eastAsia"/>
          <w:bCs/>
          <w:sz w:val="24"/>
          <w:szCs w:val="24"/>
        </w:rPr>
        <w:t>经双方确认后形成验收文件作为验收依据。验收测试合格后，</w:t>
      </w:r>
      <w:r>
        <w:rPr>
          <w:rFonts w:ascii="宋体" w:hAnsi="宋体" w:cs="宋体" w:hint="eastAsia"/>
          <w:bCs/>
          <w:sz w:val="24"/>
          <w:szCs w:val="24"/>
        </w:rPr>
        <w:t>出具现场</w:t>
      </w:r>
      <w:r>
        <w:rPr>
          <w:rFonts w:ascii="宋体" w:eastAsia="宋体" w:hAnsi="宋体" w:cs="宋体" w:hint="eastAsia"/>
          <w:bCs/>
          <w:sz w:val="24"/>
          <w:szCs w:val="24"/>
        </w:rPr>
        <w:t>验收合格</w:t>
      </w:r>
      <w:r>
        <w:rPr>
          <w:rFonts w:ascii="宋体" w:hAnsi="宋体" w:cs="宋体" w:hint="eastAsia"/>
          <w:bCs/>
          <w:sz w:val="24"/>
          <w:szCs w:val="24"/>
        </w:rPr>
        <w:t>意见</w:t>
      </w:r>
      <w:r>
        <w:rPr>
          <w:rFonts w:ascii="宋体" w:eastAsia="宋体" w:hAnsi="宋体" w:cs="宋体" w:hint="eastAsia"/>
          <w:bCs/>
          <w:sz w:val="24"/>
          <w:szCs w:val="24"/>
        </w:rPr>
        <w:t>，设备进入试运行期。</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5.</w:t>
      </w:r>
      <w:r>
        <w:rPr>
          <w:rFonts w:ascii="宋体" w:hAnsi="宋体" w:cs="宋体" w:hint="eastAsia"/>
          <w:bCs/>
          <w:sz w:val="24"/>
          <w:szCs w:val="24"/>
        </w:rPr>
        <w:t xml:space="preserve">3 </w:t>
      </w:r>
      <w:r>
        <w:rPr>
          <w:rFonts w:ascii="宋体" w:eastAsia="宋体" w:hAnsi="宋体" w:cs="宋体" w:hint="eastAsia"/>
          <w:bCs/>
          <w:sz w:val="24"/>
          <w:szCs w:val="24"/>
        </w:rPr>
        <w:t>设备安装调试和试运行结束后，采购人组织</w:t>
      </w:r>
      <w:r>
        <w:rPr>
          <w:rFonts w:ascii="宋体" w:hAnsi="宋体" w:cs="宋体" w:hint="eastAsia"/>
          <w:bCs/>
          <w:sz w:val="24"/>
          <w:szCs w:val="24"/>
        </w:rPr>
        <w:t>合同</w:t>
      </w:r>
      <w:r>
        <w:rPr>
          <w:rFonts w:ascii="宋体" w:eastAsia="宋体" w:hAnsi="宋体" w:cs="宋体" w:hint="eastAsia"/>
          <w:bCs/>
          <w:sz w:val="24"/>
          <w:szCs w:val="24"/>
        </w:rPr>
        <w:t>验收。当满足以下条件时，采购人确认合同验收合格并签署合同验收合格意见：</w:t>
      </w:r>
    </w:p>
    <w:p>
      <w:pPr>
        <w:numPr>
          <w:ilvl w:val="0"/>
          <w:numId w:val="4"/>
        </w:numPr>
        <w:spacing w:line="360" w:lineRule="auto"/>
        <w:ind w:left="0" w:firstLine="480" w:firstLineChars="200"/>
        <w:jc w:val="left"/>
        <w:rPr>
          <w:rFonts w:ascii="宋体" w:hAnsi="宋体" w:cs="宋体"/>
          <w:bCs/>
        </w:rPr>
      </w:pPr>
      <w:r>
        <w:rPr>
          <w:rFonts w:ascii="宋体" w:eastAsia="宋体" w:hAnsi="宋体" w:cs="宋体" w:hint="eastAsia"/>
          <w:bCs/>
          <w:sz w:val="24"/>
          <w:szCs w:val="24"/>
        </w:rPr>
        <w:t>中标人已提供合同中签署的全部货物及完整技术资料；</w:t>
      </w:r>
    </w:p>
    <w:p>
      <w:pPr>
        <w:numPr>
          <w:ilvl w:val="0"/>
          <w:numId w:val="4"/>
        </w:numPr>
        <w:spacing w:line="360" w:lineRule="auto"/>
        <w:ind w:left="0" w:firstLine="480" w:firstLineChars="200"/>
        <w:jc w:val="left"/>
        <w:rPr>
          <w:rFonts w:ascii="宋体" w:hAnsi="宋体" w:cs="宋体"/>
          <w:bCs/>
        </w:rPr>
      </w:pPr>
      <w:r>
        <w:rPr>
          <w:rFonts w:ascii="宋体" w:eastAsia="宋体" w:hAnsi="宋体" w:cs="宋体" w:hint="eastAsia"/>
          <w:bCs/>
          <w:sz w:val="24"/>
          <w:szCs w:val="24"/>
        </w:rPr>
        <w:t>货物符合技术规格，性能满足要求；</w:t>
      </w:r>
    </w:p>
    <w:p>
      <w:pPr>
        <w:numPr>
          <w:ilvl w:val="0"/>
          <w:numId w:val="4"/>
        </w:numPr>
        <w:spacing w:line="360" w:lineRule="auto"/>
        <w:ind w:left="0" w:firstLine="480" w:firstLineChars="200"/>
        <w:jc w:val="left"/>
        <w:rPr>
          <w:rFonts w:ascii="宋体" w:hAnsi="宋体" w:cs="宋体"/>
          <w:bCs/>
        </w:rPr>
      </w:pPr>
      <w:r>
        <w:rPr>
          <w:rFonts w:ascii="宋体" w:eastAsia="宋体" w:hAnsi="宋体" w:cs="宋体" w:hint="eastAsia"/>
          <w:bCs/>
          <w:sz w:val="24"/>
          <w:szCs w:val="24"/>
        </w:rPr>
        <w:t>安装工程符合技术要求，系统性能满足要求，设备正常运行。</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rPr>
        <w:t>6.保修及售后服务</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 xml:space="preserve">6.1 </w:t>
      </w:r>
      <w:r>
        <w:rPr>
          <w:rFonts w:ascii="宋体" w:eastAsia="宋体" w:hAnsi="宋体" w:cs="宋体" w:hint="eastAsia"/>
          <w:bCs/>
          <w:sz w:val="24"/>
          <w:szCs w:val="24"/>
          <w:highlight w:val="yellow"/>
        </w:rPr>
        <w:t>设备供应商对所有设备提供自合同验收合格后</w:t>
      </w:r>
      <w:r>
        <w:rPr>
          <w:rFonts w:ascii="宋体" w:hAnsi="宋体" w:cs="宋体" w:hint="eastAsia"/>
          <w:bCs/>
          <w:sz w:val="24"/>
          <w:szCs w:val="24"/>
          <w:highlight w:val="yellow"/>
        </w:rPr>
        <w:t>5</w:t>
      </w:r>
      <w:r>
        <w:rPr>
          <w:rFonts w:ascii="宋体" w:eastAsia="宋体" w:hAnsi="宋体" w:cs="宋体" w:hint="eastAsia"/>
          <w:bCs/>
          <w:sz w:val="24"/>
          <w:szCs w:val="24"/>
          <w:highlight w:val="yellow"/>
        </w:rPr>
        <w:t>年的维保</w:t>
      </w:r>
      <w:r>
        <w:rPr>
          <w:rFonts w:ascii="宋体" w:eastAsia="宋体" w:hAnsi="宋体" w:cs="宋体" w:hint="eastAsia"/>
          <w:bCs/>
          <w:sz w:val="24"/>
          <w:szCs w:val="24"/>
        </w:rPr>
        <w:t>，需提供设备质保承诺函原件。保修期内因设备设计、质量出现问题，均由设备供应商即时无偿解决（包括更换器件）；</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6.2 合同</w:t>
      </w:r>
      <w:r>
        <w:rPr>
          <w:rFonts w:ascii="宋体" w:hAnsi="宋体" w:cs="宋体" w:hint="eastAsia"/>
          <w:bCs/>
          <w:sz w:val="24"/>
          <w:szCs w:val="24"/>
        </w:rPr>
        <w:t>签订</w:t>
      </w:r>
      <w:r>
        <w:rPr>
          <w:rFonts w:ascii="宋体" w:eastAsia="宋体" w:hAnsi="宋体" w:cs="宋体" w:hint="eastAsia"/>
          <w:bCs/>
          <w:sz w:val="24"/>
          <w:szCs w:val="24"/>
        </w:rPr>
        <w:t>后，中标人指定负责本工程的项目经理，负责协调中标人在项目全过程的各项工作，如工程进度、设备定制及设备供应、软件定制开发、图纸文件、包装运输、现场安装、调试验收等。</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 xml:space="preserve">6.3 </w:t>
      </w:r>
      <w:r>
        <w:rPr>
          <w:rFonts w:ascii="宋体" w:eastAsia="宋体" w:hAnsi="宋体" w:cs="宋体" w:hint="eastAsia"/>
          <w:bCs/>
          <w:sz w:val="24"/>
          <w:szCs w:val="24"/>
          <w:highlight w:val="yellow"/>
        </w:rPr>
        <w:t>免费维保期：</w:t>
      </w:r>
      <w:r>
        <w:rPr>
          <w:rFonts w:ascii="宋体" w:hAnsi="宋体" w:cs="宋体" w:hint="eastAsia"/>
          <w:bCs/>
          <w:sz w:val="24"/>
          <w:szCs w:val="24"/>
          <w:highlight w:val="yellow"/>
        </w:rPr>
        <w:t>五</w:t>
      </w:r>
      <w:r>
        <w:rPr>
          <w:rFonts w:ascii="宋体" w:eastAsia="宋体" w:hAnsi="宋体" w:cs="宋体" w:hint="eastAsia"/>
          <w:bCs/>
          <w:sz w:val="24"/>
          <w:szCs w:val="24"/>
          <w:highlight w:val="yellow"/>
        </w:rPr>
        <w:t>年</w:t>
      </w:r>
      <w:r>
        <w:rPr>
          <w:rFonts w:ascii="宋体" w:eastAsia="宋体" w:hAnsi="宋体" w:cs="宋体" w:hint="eastAsia"/>
          <w:bCs/>
          <w:sz w:val="24"/>
          <w:szCs w:val="24"/>
        </w:rPr>
        <w:t>。</w:t>
      </w:r>
      <w:r>
        <w:rPr>
          <w:rFonts w:ascii="宋体" w:eastAsia="宋体" w:hAnsi="宋体" w:cs="宋体" w:hint="eastAsia"/>
          <w:bCs/>
          <w:sz w:val="24"/>
          <w:szCs w:val="24"/>
          <w:lang w:val="zh-CN"/>
        </w:rPr>
        <w:t>维保含设备维修、每季度一次维护、每年2次</w:t>
      </w:r>
      <w:r>
        <w:rPr>
          <w:rFonts w:ascii="宋体" w:hAnsi="宋体" w:cs="宋体" w:hint="eastAsia"/>
          <w:bCs/>
          <w:sz w:val="24"/>
          <w:szCs w:val="24"/>
        </w:rPr>
        <w:t>现场</w:t>
      </w:r>
      <w:r>
        <w:rPr>
          <w:rFonts w:ascii="宋体" w:eastAsia="宋体" w:hAnsi="宋体" w:cs="宋体" w:hint="eastAsia"/>
          <w:bCs/>
          <w:sz w:val="24"/>
          <w:szCs w:val="24"/>
          <w:lang w:val="zh-CN"/>
        </w:rPr>
        <w:t>标校。</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在维保期内，设备供应商应提供详细的售后服务计划，内容包括售后服务方式、人员配置、服务期限、故障响应及维修时间、零配件供应方式等情况。设备供应商服务时间应为7×24小时，当设备或软件遭到损坏或出现故障时，要在用户报修之时起</w:t>
      </w:r>
      <w:r>
        <w:rPr>
          <w:rFonts w:ascii="宋体" w:eastAsia="宋体" w:hAnsi="宋体" w:cs="宋体" w:hint="eastAsia"/>
          <w:bCs/>
          <w:sz w:val="24"/>
          <w:szCs w:val="24"/>
          <w:highlight w:val="yellow"/>
        </w:rPr>
        <w:t>4</w:t>
      </w:r>
      <w:r>
        <w:rPr>
          <w:rFonts w:ascii="宋体" w:eastAsia="宋体" w:hAnsi="宋体" w:cs="宋体" w:hint="eastAsia"/>
          <w:bCs/>
          <w:sz w:val="24"/>
          <w:szCs w:val="24"/>
        </w:rPr>
        <w:t>小时内做出响应，并在</w:t>
      </w:r>
      <w:r>
        <w:rPr>
          <w:rFonts w:ascii="宋体" w:eastAsia="宋体" w:hAnsi="宋体" w:cs="宋体" w:hint="eastAsia"/>
          <w:bCs/>
          <w:sz w:val="24"/>
          <w:szCs w:val="24"/>
          <w:highlight w:val="yellow"/>
        </w:rPr>
        <w:t>36</w:t>
      </w:r>
      <w:r>
        <w:rPr>
          <w:rFonts w:ascii="宋体" w:eastAsia="宋体" w:hAnsi="宋体" w:cs="宋体" w:hint="eastAsia"/>
          <w:bCs/>
          <w:sz w:val="24"/>
          <w:szCs w:val="24"/>
        </w:rPr>
        <w:t>小时内到达现场，开展维修维护工作。维保期过后，设备供应商仍有义务提供技术服务（包括提供设备维护、备件等）。</w:t>
      </w:r>
    </w:p>
    <w:p>
      <w:pPr>
        <w:keepNext/>
        <w:keepLines/>
        <w:numPr>
          <w:ilvl w:val="0"/>
          <w:numId w:val="5"/>
        </w:numPr>
        <w:spacing w:before="260" w:after="260" w:line="360" w:lineRule="auto"/>
        <w:outlineLvl w:val="2"/>
        <w:rPr>
          <w:rFonts w:ascii="宋体" w:eastAsia="宋体" w:hAnsi="宋体" w:cs="宋体" w:hint="eastAsia"/>
          <w:b/>
        </w:rPr>
      </w:pPr>
      <w:r>
        <w:rPr>
          <w:rFonts w:ascii="宋体" w:eastAsia="宋体" w:hAnsi="宋体" w:cs="宋体" w:hint="eastAsia"/>
          <w:b/>
          <w:sz w:val="24"/>
          <w:szCs w:val="24"/>
          <w:lang w:val="en-US" w:eastAsia="zh-CN"/>
        </w:rPr>
        <w:t>项目团队</w:t>
      </w:r>
    </w:p>
    <w:p>
      <w:pPr>
        <w:keepNext/>
        <w:keepLines/>
        <w:numPr>
          <w:numId w:val="0"/>
        </w:numPr>
        <w:spacing w:before="260" w:after="260" w:line="360" w:lineRule="auto"/>
        <w:ind w:firstLine="420" w:firstLineChars="0"/>
        <w:outlineLvl w:val="9"/>
        <w:rPr>
          <w:rFonts w:ascii="宋体" w:eastAsia="宋体" w:hAnsi="宋体" w:cs="宋体" w:hint="eastAsia"/>
          <w:b w:val="0"/>
          <w:bCs/>
        </w:rPr>
      </w:pPr>
      <w:r>
        <w:rPr>
          <w:rFonts w:ascii="宋体" w:eastAsia="宋体" w:hAnsi="宋体" w:cs="宋体" w:hint="eastAsia"/>
          <w:b w:val="0"/>
          <w:bCs/>
          <w:sz w:val="24"/>
          <w:szCs w:val="24"/>
          <w:lang w:val="en-US" w:eastAsia="zh-CN"/>
        </w:rPr>
        <w:t>中标人应派遣有经验的技术人员实施现场技术服务,包括系统的安装、测试调试等售后服务、培训服务。中标人在施工、安装、调试等过程中必须接受采购人的监督。</w:t>
      </w:r>
    </w:p>
    <w:p>
      <w:pPr>
        <w:keepNext/>
        <w:keepLines/>
        <w:spacing w:before="260" w:after="260" w:line="360" w:lineRule="auto"/>
        <w:ind w:firstLine="420" w:firstLineChars="0"/>
        <w:outlineLvl w:val="9"/>
        <w:rPr>
          <w:rFonts w:ascii="宋体" w:eastAsia="宋体" w:hAnsi="宋体" w:cs="宋体" w:hint="eastAsia"/>
          <w:b w:val="0"/>
          <w:bCs/>
        </w:rPr>
      </w:pPr>
      <w:r>
        <w:rPr>
          <w:rFonts w:ascii="宋体" w:eastAsia="宋体" w:hAnsi="宋体" w:cs="宋体" w:hint="eastAsia"/>
          <w:b w:val="0"/>
          <w:bCs/>
          <w:sz w:val="24"/>
          <w:szCs w:val="24"/>
          <w:lang w:val="en-US" w:eastAsia="zh-CN"/>
        </w:rPr>
        <w:t>中标人应有一名项目负责人、技术负责人，以及若干技术人员具备有足够的项目实施及售后服务技术团队，具有气象设备保障经验，能够完成气象保障维修任务能力。</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lang w:val="en-US" w:eastAsia="zh-CN"/>
        </w:rPr>
        <w:t>8</w:t>
      </w:r>
      <w:r>
        <w:rPr>
          <w:rFonts w:ascii="宋体" w:eastAsia="宋体" w:hAnsi="宋体" w:cs="宋体" w:hint="eastAsia"/>
          <w:b/>
          <w:sz w:val="24"/>
          <w:szCs w:val="24"/>
        </w:rPr>
        <w:t>.技术培训</w:t>
      </w:r>
    </w:p>
    <w:p>
      <w:pPr>
        <w:spacing w:line="360" w:lineRule="auto"/>
        <w:ind w:firstLine="480" w:firstLineChars="200"/>
        <w:jc w:val="left"/>
        <w:rPr>
          <w:rFonts w:ascii="宋体" w:hAnsi="宋体" w:cs="宋体"/>
          <w:bCs/>
        </w:rPr>
      </w:pPr>
      <w:r>
        <w:rPr>
          <w:rFonts w:ascii="宋体" w:eastAsia="宋体" w:hAnsi="宋体" w:cs="宋体" w:hint="eastAsia"/>
          <w:bCs/>
          <w:sz w:val="24"/>
          <w:szCs w:val="24"/>
        </w:rPr>
        <w:t>中标人应免费提供每个用户单位2人次培训（达到熟练操作），免费向用户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p>
    <w:p>
      <w:pPr>
        <w:keepNext/>
        <w:keepLines/>
        <w:spacing w:before="260" w:after="260" w:line="360" w:lineRule="auto"/>
        <w:outlineLvl w:val="2"/>
        <w:rPr>
          <w:rFonts w:ascii="宋体" w:hAnsi="宋体" w:cs="宋体"/>
          <w:b/>
        </w:rPr>
      </w:pPr>
      <w:r>
        <w:rPr>
          <w:rFonts w:ascii="宋体" w:eastAsia="宋体" w:hAnsi="宋体" w:cs="宋体" w:hint="eastAsia"/>
          <w:b/>
          <w:sz w:val="24"/>
          <w:szCs w:val="24"/>
          <w:lang w:val="en-US" w:eastAsia="zh-CN"/>
        </w:rPr>
        <w:t>9</w:t>
      </w:r>
      <w:r>
        <w:rPr>
          <w:rFonts w:ascii="宋体" w:eastAsia="宋体" w:hAnsi="宋体" w:cs="宋体" w:hint="eastAsia"/>
          <w:b/>
          <w:sz w:val="24"/>
          <w:szCs w:val="24"/>
        </w:rPr>
        <w:t>.工程进度</w:t>
      </w:r>
    </w:p>
    <w:p>
      <w:pPr>
        <w:spacing w:line="360" w:lineRule="auto"/>
        <w:ind w:firstLine="480" w:firstLineChars="200"/>
        <w:jc w:val="left"/>
        <w:rPr>
          <w:rFonts w:ascii="宋体" w:hAnsi="宋体" w:cs="宋体"/>
          <w:bCs/>
        </w:rPr>
      </w:pPr>
      <w:r>
        <w:rPr>
          <w:rFonts w:ascii="宋体" w:eastAsia="宋体" w:hAnsi="宋体" w:cs="宋体" w:hint="eastAsia"/>
          <w:bCs/>
          <w:sz w:val="24"/>
          <w:szCs w:val="24"/>
          <w:lang w:val="en-US" w:eastAsia="zh-CN"/>
        </w:rPr>
        <w:t>9</w:t>
      </w:r>
      <w:r>
        <w:rPr>
          <w:rFonts w:ascii="宋体" w:eastAsia="宋体" w:hAnsi="宋体" w:cs="宋体" w:hint="eastAsia"/>
          <w:bCs/>
          <w:sz w:val="24"/>
          <w:szCs w:val="24"/>
        </w:rPr>
        <w:t xml:space="preserve">.1 </w:t>
      </w:r>
      <w:r>
        <w:rPr>
          <w:rFonts w:ascii="宋体" w:eastAsia="宋体" w:hAnsi="宋体" w:cs="宋体" w:hint="eastAsia"/>
          <w:bCs/>
          <w:sz w:val="24"/>
          <w:szCs w:val="24"/>
          <w:highlight w:val="yellow"/>
        </w:rPr>
        <w:t>合同签订后根据</w:t>
      </w:r>
      <w:r>
        <w:rPr>
          <w:rFonts w:ascii="宋体" w:hAnsi="宋体" w:cs="宋体" w:hint="eastAsia"/>
          <w:bCs/>
          <w:sz w:val="24"/>
          <w:szCs w:val="24"/>
          <w:highlight w:val="yellow"/>
        </w:rPr>
        <w:t>采购人</w:t>
      </w:r>
      <w:r>
        <w:rPr>
          <w:rFonts w:ascii="宋体" w:eastAsia="宋体" w:hAnsi="宋体" w:cs="宋体" w:hint="eastAsia"/>
          <w:bCs/>
          <w:sz w:val="24"/>
          <w:szCs w:val="24"/>
          <w:highlight w:val="yellow"/>
        </w:rPr>
        <w:t>的要求安排,交货期不超过60天</w:t>
      </w:r>
      <w:r>
        <w:rPr>
          <w:rFonts w:ascii="宋体" w:eastAsia="宋体" w:hAnsi="宋体" w:cs="宋体" w:hint="eastAsia"/>
          <w:bCs/>
          <w:sz w:val="24"/>
          <w:szCs w:val="24"/>
        </w:rPr>
        <w:t>。</w:t>
      </w:r>
    </w:p>
    <w:p>
      <w:pPr>
        <w:spacing w:line="360" w:lineRule="auto"/>
        <w:ind w:firstLine="480" w:firstLineChars="200"/>
        <w:jc w:val="left"/>
        <w:rPr>
          <w:rFonts w:ascii="宋体" w:hAnsi="宋体" w:cs="宋体"/>
          <w:bCs/>
        </w:rPr>
      </w:pPr>
      <w:r>
        <w:rPr>
          <w:rFonts w:ascii="宋体" w:eastAsia="宋体" w:hAnsi="宋体" w:cs="宋体" w:hint="eastAsia"/>
          <w:bCs/>
          <w:sz w:val="24"/>
          <w:szCs w:val="24"/>
          <w:lang w:val="en-US" w:eastAsia="zh-CN"/>
        </w:rPr>
        <w:t>9</w:t>
      </w:r>
      <w:r>
        <w:rPr>
          <w:rFonts w:ascii="宋体" w:eastAsia="宋体" w:hAnsi="宋体" w:cs="宋体" w:hint="eastAsia"/>
          <w:bCs/>
          <w:sz w:val="24"/>
          <w:szCs w:val="24"/>
        </w:rPr>
        <w:t>.2 设备到达安装现场后，收到</w:t>
      </w:r>
      <w:r>
        <w:rPr>
          <w:rFonts w:ascii="宋体" w:hAnsi="宋体" w:cs="宋体" w:hint="eastAsia"/>
          <w:bCs/>
          <w:sz w:val="24"/>
          <w:szCs w:val="24"/>
        </w:rPr>
        <w:t>采购人</w:t>
      </w:r>
      <w:r>
        <w:rPr>
          <w:rFonts w:ascii="宋体" w:eastAsia="宋体" w:hAnsi="宋体" w:cs="宋体" w:hint="eastAsia"/>
          <w:bCs/>
          <w:sz w:val="24"/>
          <w:szCs w:val="24"/>
        </w:rPr>
        <w:t>通知五日内到达现场，完成设备的安装、调测以及供电系统的联调工作设备安装由中标人负责，安装、调试时间在</w:t>
      </w:r>
      <w:r>
        <w:rPr>
          <w:rFonts w:ascii="宋体" w:eastAsia="宋体" w:hAnsi="宋体" w:cs="宋体" w:hint="eastAsia"/>
          <w:bCs/>
          <w:sz w:val="24"/>
          <w:szCs w:val="24"/>
          <w:highlight w:val="yellow"/>
        </w:rPr>
        <w:t>60天</w:t>
      </w:r>
      <w:r>
        <w:rPr>
          <w:rFonts w:ascii="宋体" w:eastAsia="宋体" w:hAnsi="宋体" w:cs="宋体" w:hint="eastAsia"/>
          <w:bCs/>
          <w:sz w:val="24"/>
          <w:szCs w:val="24"/>
        </w:rPr>
        <w:t>内完成。</w:t>
      </w:r>
    </w:p>
    <w:p>
      <w:pPr>
        <w:spacing w:line="360" w:lineRule="auto"/>
        <w:ind w:firstLine="480" w:firstLineChars="200"/>
        <w:jc w:val="left"/>
        <w:rPr>
          <w:rFonts w:ascii="宋体" w:hAnsi="宋体" w:cs="宋体"/>
          <w:bCs/>
        </w:rPr>
        <w:sectPr>
          <w:pgSz w:w="11906" w:h="16838"/>
          <w:pgMar w:top="1440" w:right="1800" w:bottom="1440" w:left="1800" w:header="851" w:footer="992" w:gutter="0"/>
          <w:cols w:num="1" w:space="425"/>
          <w:docGrid w:type="lines" w:linePitch="312" w:charSpace="0"/>
        </w:sectPr>
      </w:pPr>
      <w:r>
        <w:rPr>
          <w:rFonts w:ascii="宋体" w:eastAsia="宋体" w:hAnsi="宋体" w:cs="宋体" w:hint="eastAsia"/>
          <w:bCs/>
          <w:sz w:val="24"/>
          <w:szCs w:val="24"/>
          <w:lang w:val="en-US" w:eastAsia="zh-CN"/>
        </w:rPr>
        <w:t>9</w:t>
      </w:r>
      <w:r>
        <w:rPr>
          <w:rFonts w:ascii="宋体" w:eastAsia="宋体" w:hAnsi="宋体" w:cs="宋体" w:hint="eastAsia"/>
          <w:bCs/>
          <w:sz w:val="24"/>
          <w:szCs w:val="24"/>
        </w:rPr>
        <w:t>.3 中标人应根据</w:t>
      </w:r>
      <w:r>
        <w:rPr>
          <w:rFonts w:ascii="宋体" w:hAnsi="宋体" w:cs="宋体" w:hint="eastAsia"/>
          <w:bCs/>
          <w:sz w:val="24"/>
          <w:szCs w:val="24"/>
        </w:rPr>
        <w:t>采购人</w:t>
      </w:r>
      <w:r>
        <w:rPr>
          <w:rFonts w:ascii="宋体" w:eastAsia="宋体" w:hAnsi="宋体" w:cs="宋体" w:hint="eastAsia"/>
          <w:bCs/>
          <w:sz w:val="24"/>
          <w:szCs w:val="24"/>
        </w:rPr>
        <w:t>的工程进度要求，提出具体的工程进度安排。中标人应提交本项目的项目计划进度表。该计划进度表首先对本项目的工作内容进行分解，针对不同的工作内容提出相应的实施进度表，并提供相应的阶段性工作成果以及验收标准的建议。</w:t>
      </w:r>
    </w:p>
    <w:p>
      <w:pPr>
        <w:spacing w:line="360" w:lineRule="auto"/>
        <w:ind w:firstLine="560" w:firstLineChars="200"/>
        <w:jc w:val="left"/>
        <w:rPr>
          <w:rFonts w:ascii="宋体" w:hAnsi="宋体" w:cs="宋体"/>
          <w:bCs/>
          <w:sz w:val="28"/>
          <w:szCs w:val="28"/>
        </w:rPr>
      </w:pPr>
    </w:p>
    <w:p>
      <w:pPr>
        <w:spacing w:line="360" w:lineRule="auto"/>
        <w:jc w:val="left"/>
        <w:rPr>
          <w:rFonts w:ascii="宋体" w:hAnsi="宋体" w:cs="宋体"/>
          <w:bCs/>
          <w:sz w:val="28"/>
          <w:szCs w:val="28"/>
        </w:rPr>
      </w:pPr>
      <w:r>
        <w:rPr>
          <w:rFonts w:ascii="宋体" w:eastAsia="宋体" w:hAnsi="宋体" w:cs="宋体" w:hint="eastAsia"/>
          <w:bCs/>
          <w:sz w:val="28"/>
          <w:szCs w:val="28"/>
        </w:rPr>
        <w:t>附件：1</w:t>
      </w:r>
    </w:p>
    <w:tbl>
      <w:tblPr>
        <w:tblStyle w:val="TableNormal"/>
        <w:tblW w:w="13699" w:type="dxa"/>
        <w:jc w:val="center"/>
        <w:tblLayout w:type="fixed"/>
        <w:tblCellMar>
          <w:top w:w="0" w:type="dxa"/>
          <w:left w:w="108" w:type="dxa"/>
          <w:bottom w:w="0" w:type="dxa"/>
          <w:right w:w="108" w:type="dxa"/>
        </w:tblCellMar>
      </w:tblPr>
      <w:tblGrid>
        <w:gridCol w:w="629"/>
        <w:gridCol w:w="900"/>
        <w:gridCol w:w="990"/>
        <w:gridCol w:w="2265"/>
        <w:gridCol w:w="4440"/>
        <w:gridCol w:w="1584"/>
        <w:gridCol w:w="1536"/>
        <w:gridCol w:w="1355"/>
      </w:tblGrid>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序号</w:t>
            </w:r>
          </w:p>
        </w:tc>
        <w:tc>
          <w:tcPr>
            <w:tcW w:w="900"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市局</w:t>
            </w:r>
          </w:p>
        </w:tc>
        <w:tc>
          <w:tcPr>
            <w:tcW w:w="990"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区县</w:t>
            </w:r>
          </w:p>
        </w:tc>
        <w:tc>
          <w:tcPr>
            <w:tcW w:w="2265"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拟定站名</w:t>
            </w:r>
          </w:p>
        </w:tc>
        <w:tc>
          <w:tcPr>
            <w:tcW w:w="4440"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具体位置</w:t>
            </w:r>
          </w:p>
        </w:tc>
        <w:tc>
          <w:tcPr>
            <w:tcW w:w="1584"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经度（度分秒）</w:t>
            </w:r>
          </w:p>
        </w:tc>
        <w:tc>
          <w:tcPr>
            <w:tcW w:w="1536"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纬度（度分秒）</w:t>
            </w:r>
          </w:p>
        </w:tc>
        <w:tc>
          <w:tcPr>
            <w:tcW w:w="1355" w:type="dxa"/>
            <w:tcBorders>
              <w:top w:val="single" w:sz="8" w:space="0" w:color="000000"/>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拔海高度/m</w:t>
            </w:r>
          </w:p>
        </w:tc>
      </w:tr>
      <w:tr>
        <w:tblPrEx>
          <w:tblW w:w="13699" w:type="dxa"/>
          <w:jc w:val="center"/>
          <w:tblLayout w:type="fixed"/>
          <w:tblCellMar>
            <w:top w:w="0" w:type="dxa"/>
            <w:left w:w="108" w:type="dxa"/>
            <w:bottom w:w="0" w:type="dxa"/>
            <w:right w:w="108" w:type="dxa"/>
          </w:tblCellMar>
        </w:tblPrEx>
        <w:trPr>
          <w:trHeight w:val="90"/>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莫城管委会站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莫城街道办事处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120°45′12″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31°37′32″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白龙江站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白龙江防汛仓库</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120°43′11″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31°41′47″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寺路街站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虞山街道办事处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120°43′57″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尚湖社区站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尚湖社区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120°42′51″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31°39′5″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花溪站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花溪湖圩片区琴湖环城河闸边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120°46′25″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漕泾站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漕泾片区虞园新村2区耿泾塘边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120°45′59″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31°39′58″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张家港</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新城吾悦华府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新城吾悦华府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120°32′25″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31°20′20″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张家港</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百桥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百桥警务站附近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120°30′20″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31°50′49″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张家港</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福前</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福前小学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120°33′02″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31°54′34″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张家港</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农联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农联幼儿园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120°35′06″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31°52′46″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张家港</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云盘</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云盘小学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120°31′55″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31°52′25″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90"/>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娄江北闸站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太仓市天津路和娄江北路路口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121°07′26″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31°28′43″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张和泾东闸站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太仓市城厢镇东张河泾</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121°07′06″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31°23′57″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新荡茜节制闸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太仓市璜泾镇小塘湾</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121°08′56″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华北闸站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太仓市双凤镇三水刘园餐厅附近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121°02′35″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31°27′12″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90"/>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顾满泾套闸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太仓市浮桥镇万众路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121°11′11″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新塘闸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太仓市浮桥站埃克森美孚（太仓）石油有限公司附近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121°16′29″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31°33′49″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湖东社区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湖东社区楼顶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120°38′45″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31°13′11″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盛泽水利站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盛泽水利站楼顶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120°39′42″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30°52′38″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横扇办事处</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横扇办事处楼顶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120°32′03″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31°01′06″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南湖港闸站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南湖港闸站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120°40′15″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31°04′41″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划船港中桥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桃源和震泽交界处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120°29′49″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30°52′22″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吴江</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运河文化公园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运河文化公园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120°39′30″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31°09′37″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家天下社区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吴中区城南街道家天下社区楼顶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120°37′44″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31°13′56″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横泾北站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吴中区尧南社区居委会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120°32′13″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31°12′12″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金庭东站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吴中区林屋村田岸头</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120°19′16″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31°07′23″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藏书管委会</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吴中区穹窿山（藏书）管委会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120°27′24″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31°16′55″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甪直实验小学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吴中区甪直实验小学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120°50′25″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31°16′29″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胥口合丰村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吴中区合丰路106号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120°28′36″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31°14′44″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相城</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阳澄湖长溇港闸站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湘太路145号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120°44′00″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31°28′56″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相城</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黄埭东里河涵闸站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西塘河路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120°32′39″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31°25′19″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相城</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高铁心汇湖闸站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高铁新城陆巷街28号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120°38′27″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31°24′52″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相城</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元和田大港闸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元和街道阳澄湖东路102号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120°39′17″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31°22′05″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相城</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北桥冶长泾闸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北桥街道海达路8号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120°35′02″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31°30′08″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吴中中等专业学校</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吴中区越溪街道龙翔路333号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120°34'39″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31°11'43″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工业园区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国宾路大草坪</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苏州工业园区国宾路金鸡湖大道路口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120°41'34″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31°17'23″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工业园区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江滨公园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苏州工业园区星湖街与车郭路交叉口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120°43'58″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31°14'18″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昆山江浦地铁站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昆山市江浦地铁站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120°55′27″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31°22′57″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昆山皇冠假日酒店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昆山市玉山镇紫竹路699号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120°57′29″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31°24′15″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昆山东城大道下穿312国道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东城大道与312国道交叉口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121°03′50″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31°19′20″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城北大道下穿红杨路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城北大道与红杨路交叉口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120°55′22″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31°25′56″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新城路下穿铁路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新城路与铁路交叉口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120°52′03″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31°23′09″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机场路下穿古城路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机场路与古城路交叉口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120°53′59″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31°16′45″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昆山</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绿地大道下穿立交</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绿地大道与外青松公路交叉口东侧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121°09′26″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31°17′17″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浒关大码头</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高新区京杭运河边雅岸花园南侧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 30' 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22' 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枫桥森林消防中队</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高新区观音山路</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 30' 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18' 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新北胡家山</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新北区胡家山</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119°49′16.″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32°02′07″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西夏墅青城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西夏墅青城</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119°51′16″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新北富民锦园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富民锦园3</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119°49′39″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常泰高速14号</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常泰高速三期14</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新北安乐村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常州野田里</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31°55′53″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邱庄钟家塘</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邱庄钟家塘</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119°51′07″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31°54′35″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西夏墅太行山路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西夏墅太行山路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119°48′38″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31°57′02″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54</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新北吕墅</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新北区吕墅凯发光明基站机房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119°53′06″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31°51′32″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55</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新北区奥林匹克花园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奥林匹克花园北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31°51′27″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56</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新北沈家</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新北_沈家_宏站型</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31°53′49″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57</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新北卫星村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卫星村2组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120°08′41″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31°44′02″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58</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经开横林中心路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武进_横林天籁之夜大酒店_滴灌型</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120°05′08″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31°41′02″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59</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武进遥观渔庄</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遥观渔庄南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120°01′55″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60</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武进纺织工业园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武进纺织工业园搬迁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119°59′13″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31°43′04″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61</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武进大学新村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大学新村二区南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62</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武进卢家巷雅田村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卢家巷雅田村-2</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31°41′08″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63</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武进前黄菜场基站机房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武进区前黄菜场基站机房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119°57′08″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31°35′53″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64</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武进嘉泽三管塘</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嘉泽三管塘</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119°46′22″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65</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武进东安南星村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东安南星村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119°41′51″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31°35′10″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66</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金坛湖头大亭村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湖头大亭村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119°38′04″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31°37′25″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67</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金坛拓荡村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拓荡村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119°37′19″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31°47′35″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68</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武进夏溪</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夏溪三星搬迁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119°44′21″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31°44′42″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69</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金坛高铁三星路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高铁三星路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31°42′44″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70</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金坛蒋巷村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蒋巷村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31°42′25″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71</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金坛鑫春茶厂</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鑫春茶厂</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31°40′25″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72</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金坛社头岗头村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社头岗头村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31°36′23″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73</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金坛坞家站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金坛市坞家基站机房-2</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31°47′08″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74</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溧阳区</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溧阳方里</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方里搬迁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31°28′26″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75</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溧阳钱家岗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溧阳钱家岗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119°23′37″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31°22′46″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90"/>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76</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溧阳汤家塘村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汤家塘村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119°21′40″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31°18′21″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shd w:val="clear" w:color="auto" w:fill="auto"/>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77</w:t>
            </w:r>
          </w:p>
        </w:tc>
        <w:tc>
          <w:tcPr>
            <w:tcW w:w="90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shd w:val="clear" w:color="auto" w:fill="FFFFFF"/>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溧阳市天目湖镇崇塘村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溧阳市天目湖镇崇塘村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119°19′41″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31°18′50″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溧阳龙潭林场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龙潭林场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31°15′49″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溧阳社渚农场基站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溧阳市社渚农场基站机房-2</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119°15′58″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31°15′59″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溧阳梅岭天井山</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梅岭天井山南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31°11′18″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溧阳王家村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王家村-14</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31°10′07″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溧阳戴埠镇同关村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戴埠镇同关村栗树界村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119°32′26″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31°13′09″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溧阳邱家站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溧阳市邱家基站机房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119°10′20″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31°26′14″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溧阳南渡汤上</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南渡汤上</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119°18′12″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31°25′37″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溧阳曹山18湾</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曹山18湾东北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119°12′07″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31°32′33″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武进牛塘中心路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牛塘大街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31°43′46″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淮海路下穿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淮海路下穿通道北侧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33°39′4″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漓江路下穿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漓江路与芜湖路交叉口附近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33°38′0″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淮州中学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淮州路与长江路交叉口附近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33°38′38″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北京如意</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公园路与茂盛路交叉口附件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33°37′31″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中业慧谷</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长征路与南昌路交叉口附近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33°37′0″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淮海中学初中部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卫生路与幸福路交叉口附近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33°37′20″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振达钢管</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翔宇北道与钱江路交叉口附近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33°39′13″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渠北水利管理所站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淮安区淮城街道西长街72号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119°8'9″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文渠明清商业步行街站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文渠明清商业步行街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 xml:space="preserve"> 119°8'16″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33°30'20"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运西水利管理所站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淮安区新河大桥北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119°7'26"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33°27'30"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渠南水利管理所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淮安市淮安区石塘镇双拥街2号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119°9'15"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33°28'11"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南水关泵站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长安路周恩来纪念馆停车场对面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119°8'47"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33°31'12"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高良涧街道越城社区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淮安市洪泽区高良涧街道越城社区洪泽湖公交公司楼顶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118°50′21″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33°15′48″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洪泽开发区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淮安市洪泽区洞庭湖路开发区管委会南门路口指示牌</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118°52′17″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33°18′16″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高良涧街道惠民社区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淮安市洪泽区益寿路8号原洪泽区气象局办公楼楼顶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118°52′31″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33°17′24″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岔河镇东陈村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淮安市洪泽区岔河镇东陈村沈庄东北158米高标准农田示范基地</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33°17′21″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朱坝街道大刘村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淮安市洪泽区朱坝街道大刘村崔西庄129米土壤墒情监测站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洪泽区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三河镇新集村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淮安市洪泽区三河镇新集村村委会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118°55′54″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33°7′60″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百悦广场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涟水县红日大道与杭州路交叉口西南侧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119°18′19"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33°47′2"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泰山路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涟水县泰山路与涟州路交叉口东侧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47′27"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健康路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涟水县健康路与中山路交叉口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46′11"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军民中心村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涟水县军民中心村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47′53"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龙虾节广场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盱眙县龙虾节广场大楼楼顶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118°30′5″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32°59′58″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戚大山</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盱眙县戚大山森林防火监测点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118°30′13″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海通广场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盱眙县海通时代广场楼顶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118°31′13″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林总场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盱眙县林总场楼顶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118°30′16″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32°58′43″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自然资源局河桥分局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盱眙县自然资源局河桥分局院内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118°21′26″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32°55′12″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戴楼街道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淮安市金湖县崔庄路戴楼街道办事处楼顶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118°56′51″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33°01′01″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县政府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淮安市金湖县建设路109号县政府院内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119°00′55″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33°01′37″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农业农村局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淮安市金湖县神华东路95号农业农村局院内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119°02′35″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33°00′29″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太平排涝站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淮安市金湖县太平排涝站院内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119°03′02″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33°01′21″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市场监督管理局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淮安市金湖县衡阳南路33号市场监督管理局院内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33°00′49″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市民中心</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淮安市金湖县园林南路288号市民中心楼顶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119°00′38″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33°00′19″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开发区管委会</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淮安市金湖县金湖西路188号经济开发区管委会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118°58′44″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33°00′56″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科技公园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淮安市金湖县上郑路科技公园科技馆屋顶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33°01′53″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湖羊社区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淮安市金湖县金卞路复兴圩农场湖羊社区居民委员会院内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119°04′46″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32°55′55″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复兴圩农场委员会</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淮安市金湖县复兴圩农场同心东路与复兴北路交叉口农场委员会院内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119°15′34″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33°02′09″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运东农场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淮安市金湖县利农南路666号运东农场院内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119°03′08″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32°59′11″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刘圩卫生所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淮安市金湖县金塘路刘圩卫生所院内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119°09′12″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33°02′30″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黎城水利站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淮安市金湖县黎城水利站院内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119°01′02″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33°00′50″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城东交通停车场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城东交通停车场门口通讯塔</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120°9′36″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32°31′12″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二附中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二附中门口路灯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120°8′24″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32°31′12″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锦宸维景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锦宸维景门口通讯塔</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120°7′48″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32°31′12″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上海路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上海路178号路灯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120°7′12″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32°30′36″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新陈社区碧桂园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新陈社区碧桂园门口路灯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120°7′12″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体育公园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体育公园门口路灯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120°7′48″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消防救援局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消防救援局门口路灯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120°8′24″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姜堰宾馆</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姜堰宾馆门口路灯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120°9′10″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姜堰中学门口路灯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120°9′5″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32°30′12″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姜堰区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励才中学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励才中学门口路灯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120°9′34″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中西医结合医院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泰州市海陵区江州南路中西医结合医院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32°27'48"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人民公园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泰州市海陵区人民公园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32°27'50"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实验学校</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泰州市实验小学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32°28'02"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泰州市中医院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119°57'56"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32°28'27"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农牧科技职业学院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江苏农牧科技职业学院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32°27'50"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泰州学院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江苏省泰州学院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32°28'24"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中骏世纪城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泰州市中骏世纪城</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32°29'17"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泰州二中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泰州市第二中学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119°56'00"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城东小学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泰州市城东小学鼓楼路校区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119°55'04"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泰州市金鹰商场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32°29'59"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汽车西站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泰州市汽车客运西站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实验小学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泰州市海陵区实验小学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万达广场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泰州市海陵区万达广场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32°28'21"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汽车站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泰州市汽车站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119°54'18"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海陵区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老街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泰州市老街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32°29'04"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天虹广场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泰州市医药高新区天虹广场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119°54'28"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天德湖</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泰州市医药高新区天德湖公园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119°55'05"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泰州市泰州中学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人民医院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泰州市人民医院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万象城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泰州市万象城</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应急管理局站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泰州市高港区金港北路与通港西路交叉口东100米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32°19′56″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水岸帝景西站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泰州市高港区向阳北路811号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32°19′47″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高港实验小学站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泰州市高港区口岸街道春港东路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32°19′31″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扬子江中学站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泰州市高港区扬子江南路扬子江初级中学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32°17′24″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口岸雕花楼站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泰州市高港区口岸街道金港南路雕花楼景区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32°18′10″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高港区政府站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泰州市高港区口岸街道港城路8号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119°52′53″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32°19′9″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金通玉兰园站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泰州市高港区口岸街道港城东路天逸华府东南角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32°18′58″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环溪初级中学站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泰州市高港区环溪东路9号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32°20′31″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许庄中心小学站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泰州市高港区创业大道233号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32°21′21″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高港汽车北站站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泰州市高港区刁铺街道泰州大道西侧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32°21′26″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铜山区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刘塘闸桥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徐州市铜山区刘塘闸桥</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117°17'30"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34°06'33"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铜山区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邓庄闸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徐州市铜山区邓庄村北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117°24'42"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贾汪区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大坝湖</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徐州市贾汪区后坝村北大坝湖东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117°19'01"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贾汪区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西二排涝站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徐州市贾汪区高新路西银地市场东北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117°19'24"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贾汪区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佟村闸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徐州市贾汪区金凤路西佟村北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117°18'46"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34°17'06"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贾汪区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李井大沟闸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徐州市贾汪区李井村西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117°20'42"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鼓楼区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万寨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徐州市鼓楼区万寨村徐运新河丁万河交叉口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117°12′36"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鼓楼区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杨石大沟闸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徐州市鼓楼区荆山路北金水路西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117°14'46"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34°18'20"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鼓楼区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东三环截污闸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徐州市鼓楼区荆山路北东三环西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117°13'50"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34°18'13"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铁货街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徐州市云龙区铁货街东头雨水泵站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117°11′46″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34°15′45″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黄山街道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徐州市云龙区城东大道黄山街道办事处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117°14′08″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34°15′49″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翠屏山街道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徐州市云龙区云苑路翠屏山街道办事处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117°15′24″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一道中沟</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徐州市云龙区一道中沟补水泵站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117°16′23″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34°14′151″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张屯社区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徐州市云龙区富强路张屯社区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117°17′56″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34°13′17″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潘塘社区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徐州市云龙区104国道潘塘社区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117°19′07″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34°09′48″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冯庄闸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徐州市云龙区冯庄村东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117°15'19"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34°09'45"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曹山闸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徐州市云龙区曹山村东南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117°13'35"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34°10'44"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肖庄河闸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徐州市云龙区肖庄河与金沙路交叉</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117°18'13"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34°12'42"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张屯河闸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徐州市云龙区张屯河与金沙路交叉</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117°18'14"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34°13'14"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云龙区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一号路黄河放水闸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徐州市云龙区一号路东故黄河北岸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117°16'22"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34°14'15"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王窑河泵站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徐州市泉山区马山村西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117°05'33"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34°14'54"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新建闸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徐州市泉山区祥湖路南顺堤路东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117°05'03"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九龙湖闸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徐州市泉山区九里交警大队事故处理大厅南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117°06'36"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老牛河闸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徐州市泉山区薛桥村北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117°11'29"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34°21'19"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范山闸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徐州市泉山区范山村南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117°09'57"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34°23'13"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翟山大沟闸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徐州市泉山区欣欣路北翟山大沟与奎河交叉</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117°12'17"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34°12'11"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袁楼中沟闸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徐州市泉山区欣欣路南袁楼中沟与奎河交叉</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117°12'20"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34°12'05"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泉山区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姚庄大沟闸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徐州市泉山区姚庄路南姚庄大沟与奎河交叉</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117°12'24"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34°12'23"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大运河大黄山西朱村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徐州市经开区西朱村委会楼顶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117°19'11″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金山桥街道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徐州市经开区金山桥街道办事处楼顶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117°14'37"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东环街道刘湾村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徐州市经开区东环街道刘湾村村委会楼顶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117°14'23"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徐庄水利站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徐州市经开区徐庄水利站楼顶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117°27'16"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经开区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山黄村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徐州市经开区徐庄山黄村村委会楼顶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117°28'46"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34°12'14"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人民公园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徐州市新沂市市府路54号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118°21′6″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34°22′34″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钟吾公园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徐州市新沂市临沭路钟吾公园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118°21′58″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34°22′49″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邳州</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南大桥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徐州市邳州市京杭运河高架桥</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 57' 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 18' 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邳州</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邳州人民广场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徐州市邳州市解放路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 58' 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 19' 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邳州</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恒山路幼儿园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徐州市邳州市白马河路与恒山路交叉口东北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117°58'15"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34°21'26"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沛县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沛城街道汉台社区好人广场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徐州市沛县沛城街道汉台社区汤沐路好人广场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116°56′19″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34°43′40″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沛县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汉兴街道甄庄村青岛啤酒有限公司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徐州市沛县汉兴街道甄庄村汉旺路青岛啤酒有限公司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116°54′23″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34°43′47″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糖果花园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连云港市东海县富国路175号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34°33′26"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劝学里</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连云港市东海县花园路182号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118°46′32"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34°32′18"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高级中学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连云港市东海县富华路120号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34°32′14"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连云港市东海县徐海路42号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34°30′52"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西双湖风景区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连云港市东海县东堤路009号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118°43′56"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34°31′40"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水政监察大队</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江苏省连云港市灌南县X001(北环路)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119°18′56″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34°06′18″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水利局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江苏省连云港市灌南县灌河路行政集中办公区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119°19′37″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34°05′50″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硕项湖小学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江苏省连云港市灌南县长江路小学教育集团(硕项湖校区)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119°20′50″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34°04′50″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灌南县第二中学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江苏省连云港市灌南县新东北路16号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119°21′31″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34°06′13″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灌南县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国家电网充电站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连云港市灌南县西湖东路顺昌南苑东北侧约60米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34°05′53″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赣榆高铁站广场</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赣榆高铁站广场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119°06′42″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34°52′44″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城头农业标准化试验田</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城头农业标准化试验田</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34°52′23″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青口潜园公园</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青口潜园公园游客广场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119°04′28″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34°47′10″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赣榆客运站广场</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赣榆客运站广场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119°07′30″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34°51′14″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赣榆义塘路消防中队</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赣榆义塘路消防中队院内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119°06′50″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34°49′41″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连云区海棠</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连云区海棠北路东港中学校园内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34°44′56"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连岛环岛路</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连云港市连岛街道环岛路南大嘴段-苏马湾段</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34°44′59″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后云台隧道口</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中山路云台山隧道北出口两侧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119°26′54″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34°44′03″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连云区云山小学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连云区五羊路6号连云港市云山小学(西校区)内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119°21′20"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34°42′53"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海棠路涵洞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海棠路下穿陇海铁路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34°44′45"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灌云县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大伊山景区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连云港市灌云县大伊山景区内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119°14′38"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34°18′46"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灌云县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市民公园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连云港市灌云县市民公园内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119°14′45"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34°17′16"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灌云县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向阳大桥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连云港市灌云县向阳大桥东北侧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34°18′37"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灌云县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万达广场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连云港市灌云县万达广场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119°17′03"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灌云县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连云港市灌云县高铁站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119°18′46"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34°17′40"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桃花涧景区</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连云港市海州区锦屏镇桃花涧景区内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119°7′46″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34°31′54″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凤凰东山玉皇宫</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南城街道凤凰东山东南坡</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119°14′13″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34°34′01″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开发区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江庄村双山渡</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连云港市经济技术开发区中云街道江庄村双山渡</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34°41′06″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云台山景区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渔湾景区</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云台街道办事处渔湾景区内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119°19′54″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34°38′39″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云台山景区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马涧通道南坡坡顶</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云台街道丹霞村马涧通道南坡坡顶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119°14′29″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34°36′05″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云台山景区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花果山九龙桥</w:t>
            </w:r>
          </w:p>
        </w:tc>
        <w:tc>
          <w:tcPr>
            <w:tcW w:w="4440" w:type="dxa"/>
            <w:tcBorders>
              <w:top w:val="nil"/>
              <w:left w:val="single" w:sz="8" w:space="0" w:color="000000"/>
              <w:bottom w:val="single" w:sz="8" w:space="0" w:color="000000"/>
              <w:right w:val="single" w:sz="8" w:space="0" w:color="000000"/>
            </w:tcBorders>
            <w:noWrap/>
            <w:vAlign w:val="bottom"/>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花果山景区管理处九龙桥西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119°17′02″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34°38′27″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临洪大道下穿隧道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临洪河特大桥与临洪大道交界处，下穿242省道</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119°12′59"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34°45′17"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海滨大道涵洞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海滨大道过盐场路下穿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119°19′01"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34°45′58"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240</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花果山大道南延下穿</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花果山大道下穿宁连高速</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119°13′32"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34°35′49"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90"/>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花果山大道涵洞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花果山大道下穿陇海铁路涵洞</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119°13′54"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34°40′23"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振华路涵洞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振华路下穿宁连高速</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119°13′3"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34°38′01"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苏宁广场下穿</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海连路与通灌南路交叉口下穿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119°10′45"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34°35′53"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沈圩路涵洞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沈圩路下穿陇海铁路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119°10′01"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34°36′56"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江化路涵洞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江化路下穿陇海铁路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119°07′59"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34°35′52"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连云港</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海州区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徐新路下穿涵洞</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徐新路下穿徐圩铁路支线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34°34′02"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建邺区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莫愁湖公园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莫愁湖公园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32°02′24″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顶山街道泵站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坝子窑泵站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118°42′42″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顶山街道管委会</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江北新区管委会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118°39′57″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顶山街道胡桥路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胡桥路社区居委会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118°39′09″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顶山街道西庄</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西庄泵站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118°40′30″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沿江街道路西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路西社区居委会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118°42′49″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沿江街道复兴泵站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复兴泵站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118°43′58″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沿江街道引水河</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引水河泵站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32°8′04″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葛塘街道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园西路与紫艺路交汇处附近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118°43′23″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泰山街道龙盘路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龙盘路9号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118°40′19″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泰山街道朱家山</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朱家山河闸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118°43′43″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32°6′32″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研创园五里泵站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五里泵站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118°38′49″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研创园民主河</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巩固民主河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118°37′01″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江北新区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研创园芝麻河</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芝麻河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118°37′00″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雨花区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西善桥地铁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西善桥车辆基地（含西善桥基地联络线洞口）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118°41′14″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玄武区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新街口地铁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新街口站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118°47′17″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玄武区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大行宫地铁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大行宫站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118°47′41″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栖霞区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金马路地铁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金马路站（马群—金马路上下行隧道洞口）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118°54′23″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雨花区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明发地铁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明发广场站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118°48′01″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建邺区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元通地铁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元通站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118°43′17″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秦淮区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神机营地铁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神机营站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118°49′31″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六合区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方州广场地铁站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南京市六合区方州广场地铁站3号口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118°50′44″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32°21′40″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六合区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招兵桥堤岸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南京市六合区招后路招兵桥堤岸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118°49′08″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32°20′58″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六合区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湖荡路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南京市六合区湖荡路东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118°47′40″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32°17′33″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六合区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长岗水库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南京市六合区竹镇镇长岗水库</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118°36′14″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32°32′54″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六合区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北三水库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南京市六合区竹镇镇北三水库</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118°42′58″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32°31′20″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新北顺泵站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浦口区桥林街道石碛河右岸新北顺泵站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118°33′49″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上江府小区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浦口桥林街道金穗路31号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118°34′09″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31°58′07″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余家湾</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浦口区永宁街道余家湾遗址公园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118°35′27″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开发区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浦口区金鼎路35号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118°31′48″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浦口区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高新科工园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卓溪路12号金雁湖社区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118°59′39″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32°04′89″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江宁区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金竹花园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南京市江宁区金盛路金竹花园2幢楼顶或东门门口路灯杆</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118°49′34″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江宁区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优尚天地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南京市江宁区殷华街优尚天地楼顶或西门路灯杆</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118°49′40″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31°54′39″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江宁区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莱茵达路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南京市江宁区天元路南莱茵达路桥西侧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118°51′30″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31°51′30″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江宁区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曹村泵站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南京市江宁区秦淮路曹村泵站内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118°47′20″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31°57′20"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江宁区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小龙湾地铁站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南京市江宁区天元中路小龙湾地铁站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118°49′39″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31°55′53″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溧水幸庄站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溧水幸庄站出口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 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37' 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溧水无想山站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溧水无想山站出口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 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36' 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溧水中山湖站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溧水中山湖站出口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 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38' 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溧水车辆基地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溧水车辆基地内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 55' 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45' 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溧水孙家巷村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溧水孙家巷村村委会内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 56' 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 24' 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高淳区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藕丝闸站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藕丝堰管理局</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118°56′9″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31°25′42″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289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高淳区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永胜圩站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永胜圩2814渔场一分场南站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118°54′37″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31°16′24″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高淳区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永乐圩站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永乐圩新港一号排涝站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118°51′56″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31°24′39″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高淳区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胜利圩站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胜利圩局</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南京</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高淳区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孔家拐站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孔家拐电站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118°44′32″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31°17′57″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南通西站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南通市通州区平潮镇西站大道东侧南通西站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120°46′12″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32°06′31″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友谊桥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南通市崇川区人民中路与环城东路交叉口西北侧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120°52′31″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32°01′27″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文峰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南通市崇川区工农路与青年中路交叉口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120°53′22″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政务中心</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南通市崇川区工农南路与洪江路交叉口西侧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120°53′36″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体育公园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南通市崇川区青年中路与跃龙路交叉口东北侧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120°52′09″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图书馆</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南通市崇川区崇川路与海风街交叉口西南侧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120°54′10″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299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崇州大道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南通市崇川区崇州大道与崇川路交叉口西南侧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120°56′25″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静海大道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南通市崇川区静海大道与崇川路交叉口西南侧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120°57′02″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北大街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南通市崇川区北大街与永怡路交叉口北侧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120°51′60″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32°03′19″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大剧院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南通市崇川区静海大道与文兴路交叉口南侧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120°57′13″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31°58′08″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平东车辆段</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南通市通州区平潮镇经社路南通轨道交通集团有限公司平东车辆段</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120°45′48″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32°06′30″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小海停车场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南通市崇川区源兴路南通市公安局开发区分局小海派出所东南侧约250米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120°58′14″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航运学院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南通市崇川区星湖大道与通盛大道交叉口北侧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120°57′55″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31°55′40″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南通火车站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南通市崇川区永兴大道与北大街交叉口北侧南通站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120°51′50″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32°04′29″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南通东站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南通市通州区青年东路与通盛大道交叉口南侧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120°57′39″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先锋</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南通市通州区青年东路与富锋路交叉口北侧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120°59′42″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32°00′36″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永和路主所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南通市崇川区长和路与永兴路交叉口东南侧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120°48′00″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32°02′00″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河口唐闸公园区间风井</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南通市崇川区长泰路与永福路交叉口东南侧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120°48′23″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32°04′45″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普贤路十里坊区间风井</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南通市崇川区永和路与长青路交叉口东南侧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120°49′38″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32°03′12″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崇川区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紫琅湖能达商务区区间风井</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南通市崇川区源兴路与文兴路交叉口南侧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120°56′56″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光明村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村委会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121°15′15″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同盟村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村委会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121°14′30″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一社村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村委会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121°18′44″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32°7′9″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海晏村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村委会</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121°20′47″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纺织产业园大楼</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通州湾现代纺织产业园综合办公楼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121°23′29″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通州湾</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蓝海新材料项目部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蓝海新材料（通州湾）有限责任公司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121°26′0″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121°02′24″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甬金金属公司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通州区希望路111号（甬金金属科技有限公司楼顶）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121°03′36″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32°01′12″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如东开发区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如东县经济开发区淮河路 开发区水电站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121°10′44″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32°20′58″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古池社区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如东县掘港街道弹琴路26号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121°11′19″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32°18′28″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青园社区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如东县掘港街道青园北路8号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120°10′42″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32°18′38″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碧霞社区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如东县城中街道碧霞北路9号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121°10′44″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32°19′19″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东安闸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如东县大豫镇 海防线与如泰运河交界处西侧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32°16′19″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启东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振华重工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上海振华重工启东海洋工程股份有限公司码头</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121°50′18″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31°41′11″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启东</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吕四港开发区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吕四港经济开发区管理委员会院内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121°37′35″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32°45′23″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海门</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临江新区灵甸闸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南通市海门区临江新区灵甸闸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121°25′18″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31°50′25″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海门</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滨江街道浒通河闸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南通市海门区滨江街道浒通河闸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121°7′45″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31°47′53″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海门</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包场镇东灶港闸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南通市海门区包场镇东灶港闸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121°28′57″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海门</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常乐镇常乐闸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南通市海门区常乐镇常乐闸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121°15′9″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海门</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三星镇浒通河北闸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南通市海门区三星镇浒通河北闸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121°7′1″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31°59′24″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宿城区市残联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宿城区市残联楼顶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118°15′57"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33°58′19"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宿迁市地税局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宿迁市地税局楼顶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宿迁苏宿邻里中心</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宿迁苏宿邻里中心楼顶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118°13′13"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33°56′54"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宿迁市党校</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宿城党校汉源大酒店楼顶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118°15′22"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宿迁大厦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宿迁大厦楼顶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118°17′48"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宿迁学院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宿迁学院教学楼楼顶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118°17′27"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33°55′44"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兴鸿一品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宿城_兴鸿一品楼顶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118°15′35″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人民医院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宿迁市人民医院楼顶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118°17′38″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33°58′6″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富丽莱佳苑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富丽莱佳苑楼顶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118°15′57″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项王一期</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项王一期楼顶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118°15′50″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33°56′51″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绿洲豪庭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绿洲豪庭楼顶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118°19′26″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33°56′45″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义乌商贸城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义乌商贸城楼顶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118°16′28″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33°56′13″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市政府楼顶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宿城区政府楼顶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118°14′15″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黄河路小学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黄河路小学楼顶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33°55′22″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丽景名苑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宿迁丽景名苑楼顶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118°13′51″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33°56′7″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淮海职业技术学院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淮海职业技术学院楼顶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118°14′39″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33°54′20″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丽都水岸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丽都水岸楼顶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118°14′46″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楚街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超越神话楼顶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宝龙广场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宝龙广场楼顶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118°17′0″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宿城区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市气象局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市气象局楼顶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118°16′50″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33°57′36″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黄河故道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泗阳县黄河故道湿地风景区</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118°41′44″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33°43′45″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五里湖</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泗阳五里湖湿地公园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118°39′16″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33°43′20″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中华商城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泗阳县中华商城楼顶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118°40′41″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33°42′38″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双语小学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泗阳县双语实验小学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118°41′10″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33°43′31″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逸景嘉园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泗阳县逸景嘉园楼顶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118°42′31″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33°43′24″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359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桃园路中学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泗阳县桃园路中学楼顶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118°41′36″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33°44′46″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新庄居委会</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新庄居委会楼顶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118°11′48″</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33°27′8″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泗洪中大医院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泗洪中大医院楼顶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118°10′55″</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33°26′56″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古徐大道消防站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古徐大道消防站楼顶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118°13′11″</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33°26′33″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泗洪青阳小学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泗洪青阳小学楼顶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118°13′9″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33°27′53″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泗洪县妇产医院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泗洪县妇产医院楼顶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118°11′7″</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33°28′45″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泗洪县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大楼街道办事处</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大楼街道办事处楼顶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118°14′7″</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33°28′43″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青少年广场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宿迁市沭阳县青少年广场楼顶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118°47′10″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34°7′10″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县政府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宿迁市沭阳县人民政府楼顶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118°48′39″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34°07′1″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业事酒店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宿迁市沭阳县业事国际酒店楼顶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118°48′1″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34°7′38″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369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八角楼</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宿迁市沭阳县城内大街八角楼楼顶（吴印咸故居附近）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118°46′20″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34°8′6″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南关小学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宿迁市沭阳县南关小学楼顶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118°45′40″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34°6′10″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开发区实验小学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宿迁市沭阳县开发区实验小学楼顶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118°50′4″</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34°7′50″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沭中东校区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宿迁市沭阳县沭阳高级中学东校区楼顶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118°48′22″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34°5′35″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石庄_马口村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江阴市石庄镇扬子大道西侧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31°54'53"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利港施家村-2</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江阴市施家村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120°5'16"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31°53'40"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南闸工盛机械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江阴市南闸镇南焦路252-1</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120°11'46"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31°50'42"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江阴市南闸新庄变电所搬迁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江阴市南闸街道东新庄南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120°14'52"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31°49'55"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江阴市桐岐镇东后塘北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江阴市桐岐镇立新村东后塘北侧海港大道路边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120°13'31"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31°46'12"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璜塘戴家村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江阴市璜塘镇戴家村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120°21'24"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31°47'38"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江阴市周庄镇赵家浜南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江阴市周庄镇赵家浜电厂路与万泉路南侧河旁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120°24'51"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31°49'57"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周庄周东小学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江阴周市庄砂山大道蒋家桥南支七01电线杆南100米河旁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120°25'14"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31°51'57"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江阴市山观嘉禾服饰搬迁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江阴市城东街道东定路与黄岐路交叉口往西20米围墙边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120°20'31"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31°54'16"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江阴市长山港龙广场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江阴市长山石牌路石山路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120°20'21"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31°56'26"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宜兴市佳顺化工基站机房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宜兴市新庄街道佳顺化工内厂房大楼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119°54'41"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芳庄塘东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宜兴市徐舍镇人民中路邮堂村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119°36'6"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31°25'37"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宜兴市新街街道归径村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宜兴市新街街道归径村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119°40'48"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31°20'44"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东岳庵</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宜兴市南岳路东岳庵</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119°45'26"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31°19'56"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91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宜兴市新街街道铜山搬迁</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宜兴市新街街道铜山路铜山村往南150米处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119°42'42"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31°18'54"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静乐山泉铁塔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宜兴市丁蜀镇黄润坞珍稀植物种植专业合作社</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119°46'13"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31°17'19"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389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立新大队</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宜兴市立新大队</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119°46'59"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31°16'9"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三洞桥中铁塔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宜兴市丁蜀镇双桥村双龙路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119°51'59"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31°15'38"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宜兴市张渚镇茗岭北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宜兴市张渚镇茗兴纺织公司对面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119°38'5"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31°13'25"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宜兴市湖滏龙庙村基站机房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宜兴市x201县道旁湖滏篱笆园西北角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119°44'45"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31°11'59"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岭下铁塔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宜兴市张渚镇岭下村岭南路岭下村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119°39'54"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31°11'13"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太华北川</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宜兴市太华镇北川</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119°37'42"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31°10'8"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广石路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惠山区石塘湾镇广石路与惠澄大道交叉口新昌铁路西北面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120°13'50"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惠山区堰桥街道天一城西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无锡市惠山区堰桥街道天一城西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120°16'13"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洛社强巷</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无锡市惠山区洛社镇洛城大道晶华纺织厂2楼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120°12'43"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钱桥北2</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无锡市惠山区钱桥镇钱桥亿和盛化纤有限公司</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120°13'48"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31°37'21"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399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洋溪人家东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无锡市惠山区钱桥大道洋溪人家西南角绿化带内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120°12'23"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31°36'32"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洋溪人家南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无锡市惠山区钱桥镇香缇路与锡宜高速交叉口南侧30米绿化带内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31°36'31"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惠山双河新村搬迁南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无锡市惠山区双河新村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120°15'31"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31°36'19"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惠山区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锡澄高速02</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无锡市惠山区锡澄高速公路与张村路涵洞旁绿化带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120°19'47"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31°39'17"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梁溪区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红星桥落地景观塔</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无锡市南长区医药仓库内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120°17'22"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31°33'29"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新吴区旺庄街道卡特彼勒</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无锡市新吴区旺庄街道黄山路与汉江路交叉口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120°21'55"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31°32'34"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新吴区旺庄街道科技学院东北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无锡市科技职业学院东北角锡士路围墙边</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120°23'21"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31°31'21"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空港立交</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无锡市新区无锡技师钟楼八层楼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31°30'24"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新吴区新安街道北吴巷北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无锡市新吴区新安街道高浪路与菱湖大道交叉口</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120°21'10"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31°30'37"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宜家北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无锡市锡山区东亭街道团结路宜家家居西北侧靠河边空地</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120°23'12"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31°35'13"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锡山区安镇街道查桥先锋村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无锡市锡山区安镇街道查桥先锋村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120°25'33"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31°35'24"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锡山北宅宏站型</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无锡市锡沪路右拐上锡东大道路西面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120°28'10"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31°34'50"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谈村基站-2</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无锡市春风路春晖路十字路口北500米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120°24'46"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31°36'11"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锡山区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无锡芙蓉桥</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无锡市锡山区芙蓉二路芙蓉桥</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120°24'32"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31°38'9"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中南世纪城康城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盐城市亭湖区新河街道新墩社区南方向约17公里</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120°11′27″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33°19′31″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南洋机场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盐城市亭湖区青墩连接线与迎宾大道交汇处北500米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120°13′24″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33°26′25″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中华海棠园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盐城市亭湖区新都街道中华海棠园全覆盖</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120°12′25″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33°17′49″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盐城高铁站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盐城市亭湖区世纪大道通榆河大桥东覆盖周边区域</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120°11′23″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33°22′27″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奥林匹克花园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盐城市亭湖区机场路奥林匹克花园</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120°11′34″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33°25′50″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亭湖区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欧洲风情街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盐城市盐都区欧洲风情街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120°10′12″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33°20′44″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盐都区城南体育馆</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盐城市盐都区新都街道裕新东南方向约15公里</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120°10′26″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33°19′13″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盐都盐龙南夏庄</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盐城市盐都区盐龙街道古亭居委会南夏村南夏旧小学西北角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120°05′05″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33°20′05″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盐龙体育公园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江苏省盐城市盐都区潘黄街道西北方向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120°07′07″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盐都东山精密</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盐城市盐都区振兴大道和盐渎路路口西北角绿化带通信塔下，东山精密北门</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120°06′13″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33°18′20″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盐都万达广场通信塔换电站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盐城市盐都区腾飞路与惠民路交叉口向南通信塔下</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120°08′09″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33°22′07″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盐都吾悦广场南地块2幢楼1号站</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盐城市盐都区开创路与海洋路交叉路口往东北约50米源缘小区西北侧约150米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120°08′39″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33°18′21″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花园街道田舍村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盐城市阜宁县串场河大桥路147号田舍三组1楼机房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119°50′45"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33°44′18"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阜城街道缪黄村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阜宁县阜城镇缪黄村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119°44′22"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33°47′36"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花园街道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阜宁县开发区管委会后</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119°49′23"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33°46′23"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阜宁县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陈良镇滨湖村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江苏省盐城市阜宁县陈良镇成俊村西方向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119°45′48"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33°42′47"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东台市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五烈大同</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盐城市东台市五烈镇大同村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120°15′15"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32°53′02"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东台市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台东正团1楼机房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盐城市东台市城区阜东北路138号台东正团1楼机房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120°22′21"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32°54′35"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东台市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市话二分局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盐城市东台市话分局</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120°18′44"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32°52′08"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东台市</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东园新村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盐城市东台市东园新村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120°19′16"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32°50′27"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育才高中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滨海县育才高级中学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119°47′45″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34°00′12″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陈涛镇广垛村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盐城市滨海县陈涛乡大新北路141号陈涛广垛村1楼机房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34°00′39″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坎南丁字港船闸</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盐城市滨海县城区阜东南路183号丁字港船闸1楼机房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119°50′00″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33°58′23″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滨海县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东坎镇友好村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江苏省盐城市滨海县东坎镇友好西南方向约14公里</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119°47′40″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33°59′01″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大丰区梅花湾</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盐城市大丰区德丰二组</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120°26′40"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33°13′38"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打靶场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盐城市大丰区老打靶场只交塔</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120°28′39"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33°11′11"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439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大丰宝鑫集团</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盐城市大丰区防洪西站</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120°25′35"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33°11′46"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大中镇德丰村（德丰村部二）</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盐城市大丰区德丰村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120°25′34"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33°13′45"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建湖建湖电信宏站型</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建湖邮政局办公大楼五楼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119°47′43″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33°28′05″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荡中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建湖荡中镇邮电所内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119°41' 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33°29′60"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建湖钟庄构件厂</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建湖钟庄镇钟庄构件厂</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119°50′07"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33°32' 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玉人服饰</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建湖县玉人服饰厂西侧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119°48′44"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33°29' 01"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大自然公园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射阳县双拥路与红旗路交叉口东北角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120°15′39″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33°46′37″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温州装饰城</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射阳县双山路与德发大道交叉口西南角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120°14′12″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33°46′45″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射阳县人才市场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射阳县解放路双龙兴村南门</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120°14′27″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33°45′55″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射阳县新政府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射阳县幸福大道与纪元路交叉口东南角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120°19′30″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33°45′49″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449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响水县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化工园区东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盐城市响水县陈家港镇曹港小学院内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119°47′30"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34°21′14"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响水县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陈家港海安集六港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盐城市响水县陈家港六港卫生服务社旁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119°47′14"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34°19′26"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响水县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响水县小尖北1楼机房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盐城市响水县小尖镇解放南路147号小尖北1楼机房</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119°36′25"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34°09′24"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响水县</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大有淮河</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盐城市响水县淮河村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119°53′09"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34°11′09"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453</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星耀天地</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江苏省扬州市邗江区文昌西路525号星耀天地11号楼（扬州市气象局）</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119°23′85″</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32°22′46″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454</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润扬中路</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江苏省扬州市邗江区润扬中路98号（扬州市公安局）</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119°24′14″</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32°24′94″</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455</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扬子江中路</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水上搜救中心（运河边）</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119°25′16″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32°22′57″</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456</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市府巷</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扬州市邗江区文昌西路8号（扬州市人民政府）</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119°24′47″</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32°23′38″</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457</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梅岭街道</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江苏省扬州市梅岭街道办事处</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32°25′12″</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458</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广陵区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国庆路</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扬州市农业科技中心（江海学院南侧）</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119°26′25″</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32°23′40″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459</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广陵区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文昌大桥西</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江苏省扬州市广陵区文昌中路2号（扬州市住房和城乡建设局）</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119°28′26″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32°23′40″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460</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广陵区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河道处</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江苏省扬州市广陵区太平北路16号（扬州市城市河道管理处）</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119°28′19″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32°25′74″</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175"/>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461</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广陵区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软件园</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扬州市广陵区江城路与文昌东路交叉路口往西南约170米（生态科技新城政务服务中心）</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119°31′59″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32°23′57″</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462</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广陵区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航空馆</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江苏省扬州市广陵区杭集镇扬州航空馆（扬州航空馆）</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119°33′90″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32°24′21″</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463</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竹西街道办事处</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扬州市邗江区江平东路1号</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119°28′27″</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32°26′40″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464</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维经区管委会</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扬州市邗江区平山路123号</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119°24′50″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32°26′53″</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465</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槐泗镇政府</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扬州市邗江区振兴北路1号</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119°27′04″</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32°29′15″</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466</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运西中学</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扬州市邗江区通运路226号</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119°23′46″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32°17′55″</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467</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新盛街道办事处</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扬州市邗江区绿杨路596号</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119°22′23″</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32°23′10″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468</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邗江区</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杨庙镇政府</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扬州市邗江区翠岗路</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119°20′16″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32°25′18″</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469</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清水潭园区</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扬州市高邮市清水潭旅游区南部区域</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119°28′13″</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32°53′39″</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470</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三垛水务</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扬州市高邮市三垛水务站东南角</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119°39′15″</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32°49′28″</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471</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城南水务</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扬州市高邮市城南新区水务站东北角</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119°26′50″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32°43′06″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472</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入江口</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扬州市高邮市入江水道管理处南侧</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119°21′55″</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32°42′18″</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10</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473</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第二中学</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扬州市高邮市第二中学操场西南侧</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119°28′02″</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32°47′03″</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474</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高邮</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运河二桥</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扬州市高邮市运河二桥西北种植林</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119°25′16″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32°48′04″</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475</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灌区管理所</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扬州市宝应县灌区管理所院内</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20' 6"</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10' 11"</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476</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氾水老水务站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扬州市宝应县氾水老水务站院内</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24' 52"</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6' 16"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477</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小官庄水务站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扬州市宝应县小官庄水务站院内</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26' 44"</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10' 41"</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478</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水韵江南</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扬州市宝应县水韵江南35号楼楼顶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20' 59"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13' 26"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479</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牌楼社区</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扬州市宝应县牌楼社区老服务中心顶楼</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18' 30"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14' 4"</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480</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宝应县</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曹甸水务站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扬州市宝应县曹甸水务站楼顶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 24' 30"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33° 20' 50"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481</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大仪张家</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 xml:space="preserve">仪征市大仪镇张家村委会楼顶   </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119°12′91″</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32°33′36″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482</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月塘山郑</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仪征市月塘镇山郑村委会</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119°2′22″</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32°22′58″</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63</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483</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月塘六松</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仪征市月塘镇六松村委会</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119°6′59″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32°27′22″</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58</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484</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刘集古井</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仪征市刘集镇古井村委会</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119°16′58″</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32°27′43″</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485</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依利安达电子</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扬州依利安达电子有限公司楼顶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119°16′50″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32°14′52″</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24</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486</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水世界生态园</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仪征市枣林湾旅游度假区水世界生态园</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119°7′34″</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32°20′22″</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22</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487</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建乐闸站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江都区仙女镇滨河路建乐闸站廊桥上</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119°33′58″</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32°24′25″</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488</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玉带河闸站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江都区仙女镇芒稻河东岸路玉带河闸站廊桥上</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119°33′33″</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32°25′57″</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7</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489</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九龙闸站</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江都区仙女镇和平公路九龙闸站廊桥上</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119°35′11″</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32°23′37″</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490</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水务局</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江都区仙女镇金山路水务局楼顶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119°34′31″</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32°26′36″</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25</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491</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环境监察大队</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江都区仙女镇纺织路环境监察大队业务楼顶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119°34′39″</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32°25′40″</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21</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492</w:t>
            </w:r>
          </w:p>
        </w:tc>
        <w:tc>
          <w:tcPr>
            <w:tcW w:w="90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扬州</w:t>
            </w:r>
          </w:p>
        </w:tc>
        <w:tc>
          <w:tcPr>
            <w:tcW w:w="99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w:t>
            </w:r>
          </w:p>
        </w:tc>
        <w:tc>
          <w:tcPr>
            <w:tcW w:w="226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消防救援大队</w:t>
            </w:r>
          </w:p>
        </w:tc>
        <w:tc>
          <w:tcPr>
            <w:tcW w:w="4440"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江都区仙女镇乐和路消防救援大队业务楼顶</w:t>
            </w:r>
          </w:p>
        </w:tc>
        <w:tc>
          <w:tcPr>
            <w:tcW w:w="1584"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119°35′40″</w:t>
            </w:r>
          </w:p>
        </w:tc>
        <w:tc>
          <w:tcPr>
            <w:tcW w:w="1536"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32°25′04″</w:t>
            </w:r>
          </w:p>
        </w:tc>
        <w:tc>
          <w:tcPr>
            <w:tcW w:w="1355" w:type="dxa"/>
            <w:tcBorders>
              <w:top w:val="nil"/>
              <w:left w:val="single" w:sz="8" w:space="0" w:color="000000"/>
              <w:bottom w:val="single" w:sz="8" w:space="0" w:color="000000"/>
              <w:right w:val="single" w:sz="8" w:space="0" w:color="000000"/>
            </w:tcBorders>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26</w:t>
            </w: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谷阳绿美苗木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镇江市丹徒区华园路绿美苗木内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32°7′25″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金泉花园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镇江市金泉花园3期46栋楼顶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119°23′18″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32°13′84″</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金山</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镇江市润州区长江路金山老邮政楼6楼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三摆渡</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镇江市润州区京沪高铁北侧运粮河南侧田地</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蒋乔五洲山村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镇江市丹徒区扬溧高速与团山路交叉口东南480米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119°23′46″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宝盖路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镇江市润州区宝盖路</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119°25′51″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32°12′35″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499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润州外贸大厦</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镇江市润州区中山西路98号外贸大厦12楼</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119°25′45″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32°12′86″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运河路华城小区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江苏省镇江市市辖区运河路18号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119°26′32″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市政府</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镇江市政府西侧绿化带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镇江公安局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镇江市公安局办证大厅旁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32°10′21″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京口饭店</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江苏省镇江市丹徒区枣林路京口饭店楼顶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550"/>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天桥路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镇江市南徐大道与天桥路交口附近，天桥路045路灯杆</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119°27′90″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32°11′31″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五凤口立交</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镇江市官塘桥官塘绿苑1区7栋</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32°10′52″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八公洞</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镇江市南山风景区旅游学校大门对面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32°10′19″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远洋香奈</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远洋香奈1号楼（平山村西南）</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119°28′10″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32°9′50″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兴园路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江苏省镇江市丹徒区兴园路与恒园路交汇处向北200路东</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119°27′43″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32°6′40″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509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经五路</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江苏省镇江市京口区纬三路与经五路交叉口西北角</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119°29′24″</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京江路大二滩</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镇江市丹徒区京江路大二滩附近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119°27′12″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32°14′39″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学府路焦山路口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江苏省镇江市丹徒区市区江苏江学府路丹徒县医院</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32°11′40″</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古城路花山路口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镇江市古城路与花山路交叉口，001号路灯杆</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119°28′16″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滨水路梦溪路口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镇江市京口区滨水路8号阳光世纪花园西侧</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119°27′29″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32°13′38″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滨水路东吴路口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镇江市京口区滨水路（21号路灯杆）</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119°28′26″</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32°14′49″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长山水库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镇江市丹徒区长山水库西南角草地内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119°23′57″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32°7′23″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丰泽花园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江苏省镇江市京口区丰泽花园8栋楼顶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119°29′89″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32°12′41″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何家门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江苏省镇江市京口区长江村</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119°30′20″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32°12′48″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凯旋国际</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镇江市京口区凯旋国际5栋</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119°29′48″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32°11′51″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519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丁卯开利星空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镇江市京口区丁卯街道横山村西北方向锦荣大厦楼上</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119°31′13″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32°10′33″</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美林湾</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镇江市美林湾小区星卯路西侧绿化带区域内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119°29′17″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秀山路楚桥路口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镇江市丹徒区楚桥路秀山路交叉口东北方向40米</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119°30′59″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32°9′75″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京口区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丹徒区车管所</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江苏省镇江市丹徒区老车管所旁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119°27′59″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32°8′95″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523</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科苑华庭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江苏省镇江市丹徒区丹徒文化艺术活动中心内12层楼顶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119°25′50″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32°7′15″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524</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金山湖西</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江苏省镇江市润州区市区江苏江润州金山环湖路旁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119°24′18″</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32°13′27″</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525</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招隐寺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江苏省镇江市润州区南郊招隐山腰</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119°26′30″</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32°10′38″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526</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魏玛花园</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镇江市丹徒区金谷东路与金润大道交口东南绿化带</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119°26′23″</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32°8′29″</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527</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乔家门</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镇江市丹徒区扬溧高速和312国道交叉口西北约150m</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119°23′27″</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32°9′36″</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528</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五洲山茶场</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镇江市润州区戴家门收费站旁五洲山茶场内</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119°21′42″</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32°10′22″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529</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和平路街道</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江苏省镇江市润州区朱方路98号</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119°24′55″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32°12′18″</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530</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镇江新区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钻石铭苑</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镇江市大港新区钻石铭苑6、8、12栋楼顶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119°29′31″</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32°11′15″</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531</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润州区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南山西入口</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镇江市润州区南山西入口旁</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119°25′35″</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32°10′02″</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r>
        <w:tblPrEx>
          <w:tblW w:w="13699" w:type="dxa"/>
          <w:jc w:val="center"/>
          <w:tblLayout w:type="fixed"/>
          <w:tblCellMar>
            <w:top w:w="0" w:type="dxa"/>
            <w:left w:w="108" w:type="dxa"/>
            <w:bottom w:w="0" w:type="dxa"/>
            <w:right w:w="108" w:type="dxa"/>
          </w:tblCellMar>
        </w:tblPrEx>
        <w:trPr>
          <w:trHeight w:val="23"/>
          <w:jc w:val="center"/>
        </w:trPr>
        <w:tc>
          <w:tcPr>
            <w:tcW w:w="629"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532</w:t>
            </w:r>
          </w:p>
        </w:tc>
        <w:tc>
          <w:tcPr>
            <w:tcW w:w="90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w:t>
            </w:r>
          </w:p>
        </w:tc>
        <w:tc>
          <w:tcPr>
            <w:tcW w:w="99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w:t>
            </w:r>
          </w:p>
        </w:tc>
        <w:tc>
          <w:tcPr>
            <w:tcW w:w="226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丹徒区图书馆</w:t>
            </w:r>
          </w:p>
        </w:tc>
        <w:tc>
          <w:tcPr>
            <w:tcW w:w="4440"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镇江丹徒区图书馆附件七星会所宾馆楼顶</w:t>
            </w:r>
          </w:p>
        </w:tc>
        <w:tc>
          <w:tcPr>
            <w:tcW w:w="1584"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119°25′19″</w:t>
            </w:r>
          </w:p>
        </w:tc>
        <w:tc>
          <w:tcPr>
            <w:tcW w:w="1536"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r>
              <w:rPr>
                <w:rFonts w:ascii="宋体" w:eastAsia="宋体" w:hAnsi="宋体" w:cs="宋体" w:hint="eastAsia"/>
                <w:color w:val="000000"/>
                <w:kern w:val="0"/>
                <w:sz w:val="18"/>
                <w:szCs w:val="18"/>
                <w:lang w:bidi="ar"/>
              </w:rPr>
              <w:t>32°8′11″</w:t>
            </w:r>
          </w:p>
        </w:tc>
        <w:tc>
          <w:tcPr>
            <w:tcW w:w="1355" w:type="dxa"/>
            <w:tcBorders>
              <w:top w:val="nil"/>
              <w:left w:val="single" w:sz="8" w:space="0" w:color="000000"/>
              <w:bottom w:val="single" w:sz="8" w:space="0" w:color="000000"/>
              <w:right w:val="single" w:sz="8" w:space="0" w:color="000000"/>
            </w:tcBorders>
            <w:noWrap/>
            <w:vAlign w:val="center"/>
          </w:tcPr>
          <w:p>
            <w:pPr>
              <w:widowControl/>
              <w:textAlignment w:val="center"/>
              <w:rPr>
                <w:rFonts w:ascii="宋体" w:hAnsi="宋体" w:cs="宋体"/>
                <w:color w:val="000000"/>
                <w:kern w:val="0"/>
                <w:sz w:val="18"/>
                <w:szCs w:val="18"/>
                <w:lang w:bidi="ar"/>
              </w:rPr>
            </w:pPr>
          </w:p>
        </w:tc>
      </w:tr>
    </w:tbl>
    <w:p>
      <w:pPr>
        <w:spacing w:line="360" w:lineRule="auto"/>
        <w:ind w:firstLine="420" w:firstLineChars="200"/>
        <w:rPr>
          <w:rFonts w:ascii="宋体" w:hAnsi="宋体"/>
          <w:szCs w:val="21"/>
        </w:rPr>
      </w:pPr>
    </w:p>
    <w:p>
      <w:pPr>
        <w:spacing w:line="360" w:lineRule="auto"/>
        <w:ind w:firstLine="420" w:firstLineChars="200"/>
        <w:rPr>
          <w:rFonts w:ascii="宋体" w:eastAsia="宋体" w:hAnsi="宋体" w:cs="Times New Roman"/>
          <w:szCs w:val="21"/>
        </w:rPr>
      </w:pPr>
    </w:p>
    <w:p>
      <w:pPr>
        <w:spacing w:line="360" w:lineRule="auto"/>
        <w:rPr>
          <w:rFonts w:ascii="宋体" w:eastAsia="宋体" w:hAnsi="宋体" w:cs="Times New Roman"/>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554"/>
        <w:gridCol w:w="1086"/>
        <w:gridCol w:w="909"/>
        <w:gridCol w:w="1263"/>
        <w:gridCol w:w="1441"/>
        <w:gridCol w:w="909"/>
        <w:gridCol w:w="239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微型雨量站</w:t>
            </w:r>
          </w:p>
        </w:tc>
        <w:tc>
          <w:tcPr/>
          <w:p>
            <w:pPr>
              <w:autoSpaceDE w:val="0"/>
              <w:jc w:val="center"/>
              <w:rPr>
                <w:rFonts w:asciiTheme="minorEastAsia" w:hAnsiTheme="minorEastAsia" w:cstheme="minorEastAsia"/>
                <w:kern w:val="0"/>
                <w:szCs w:val="21"/>
              </w:rPr>
            </w:pPr>
            <w:r>
              <w:t>532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6,650,000.00</w:t>
            </w:r>
          </w:p>
        </w:tc>
        <w:tc>
          <w:tcPr/>
          <w:p>
            <w:pPr>
              <w:autoSpaceDE w:val="0"/>
              <w:jc w:val="center"/>
              <w:rPr>
                <w:rFonts w:asciiTheme="minorEastAsia" w:hAnsiTheme="minorEastAsia" w:cstheme="minorEastAsia" w:hint="eastAsia"/>
                <w:kern w:val="0"/>
                <w:szCs w:val="21"/>
              </w:rPr>
            </w:pPr>
            <w:r>
              <w:t>60天</w:t>
            </w:r>
          </w:p>
        </w:tc>
        <w:tc>
          <w:tcPr/>
          <w:p>
            <w:pPr>
              <w:autoSpaceDE w:val="0"/>
              <w:autoSpaceDN w:val="0"/>
              <w:adjustRightInd w:val="0"/>
              <w:spacing w:before="48"/>
              <w:ind w:right="-20"/>
              <w:jc w:val="center"/>
              <w:rPr>
                <w:rFonts w:asciiTheme="minorEastAsia" w:hAnsiTheme="minorEastAsia" w:cstheme="minorEastAsia"/>
                <w:kern w:val="0"/>
                <w:szCs w:val="21"/>
              </w:rPr>
            </w:pPr>
            <w:r>
              <w:t>含选址、安装调试、5年维保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6,650,000.00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69"/>
        <w:gridCol w:w="1594"/>
        <w:gridCol w:w="919"/>
        <w:gridCol w:w="469"/>
        <w:gridCol w:w="1069"/>
        <w:gridCol w:w="891"/>
        <w:gridCol w:w="1069"/>
        <w:gridCol w:w="204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探测中心(001040017)</w:t>
            </w:r>
          </w:p>
        </w:tc>
        <w:tc>
          <w:tcPr/>
          <w:p>
            <w:r>
              <w:t>微型雨量站</w:t>
            </w:r>
          </w:p>
        </w:tc>
        <w:tc>
          <w:tcPr/>
          <w:p>
            <w:r>
              <w:t>532</w:t>
            </w:r>
          </w:p>
        </w:tc>
        <w:tc>
          <w:tcPr/>
          <w:p>
            <w:r>
              <w:t>6650000.00</w:t>
            </w:r>
          </w:p>
        </w:tc>
        <w:tc>
          <w:tcPr/>
          <w:p>
            <w:r>
              <w:t xml:space="preserve">6650000.00  </w:t>
            </w:r>
          </w:p>
        </w:tc>
        <w:tc>
          <w:tcPr/>
          <w:p>
            <w:r>
              <w:t>甲方指定地点</w:t>
            </w:r>
          </w:p>
        </w:tc>
        <w:tc>
          <w:tcPr/>
          <w:p>
            <w:r>
              <w:t>含选址、安装调试、5年维保</w:t>
            </w: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b/>
          <w:sz w:val="30"/>
          <w:szCs w:val="30"/>
        </w:rPr>
        <w:sectPr>
          <w:pgSz w:w="11906" w:h="16838"/>
          <w:pgMar w:top="1440" w:right="1800" w:bottom="1440" w:left="1800" w:header="851" w:footer="992" w:gutter="0"/>
          <w:cols w:num="1" w:space="425"/>
          <w:docGrid w:type="lines" w:linePitch="312" w:charSpace="0"/>
        </w:sectPr>
      </w:pPr>
      <w:bookmarkEnd w:id="59"/>
    </w:p>
    <w:p>
      <w:pPr>
        <w:tabs>
          <w:tab w:val="left" w:pos="1573"/>
        </w:tabs>
        <w:adjustRightInd w:val="0"/>
        <w:snapToGrid w:val="0"/>
        <w:spacing w:line="360" w:lineRule="auto"/>
        <w:jc w:val="center"/>
        <w:outlineLvl w:val="1"/>
        <w:rPr>
          <w:b/>
          <w:bCs/>
          <w:sz w:val="30"/>
          <w:szCs w:val="30"/>
        </w:rPr>
      </w:pPr>
      <w:bookmarkStart w:id="68"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pPr>
              <w:tabs>
                <w:tab w:val="left" w:pos="709"/>
              </w:tabs>
              <w:spacing w:line="360" w:lineRule="auto"/>
              <w:jc w:val="left"/>
              <w:rPr>
                <w:rFonts w:ascii="宋体" w:hAnsi="宋体" w:cs="微软雅黑"/>
                <w:b/>
                <w:color w:val="0000FF"/>
                <w:kern w:val="0"/>
                <w:sz w:val="18"/>
                <w:szCs w:val="18"/>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5"/>
              </w:numPr>
              <w:rPr>
                <w:rFonts w:ascii="宋体" w:hAnsi="宋体"/>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6.1</w:t>
            </w:r>
          </w:p>
        </w:tc>
        <w:tc>
          <w:tcPr>
            <w:tcW w:w="7347" w:type="dxa"/>
            <w:vAlign w:val="center"/>
          </w:tcPr>
          <w:p>
            <w:pPr>
              <w:tabs>
                <w:tab w:val="left" w:pos="709"/>
              </w:tabs>
              <w:spacing w:line="360" w:lineRule="auto"/>
              <w:jc w:val="left"/>
              <w:rPr>
                <w:rFonts w:ascii="宋体" w:hAnsi="宋体"/>
                <w:sz w:val="18"/>
                <w:szCs w:val="18"/>
              </w:rPr>
            </w:pPr>
            <w:r>
              <w:rPr>
                <w:rFonts w:ascii="宋体" w:hAnsi="宋体" w:cs="微软雅黑" w:hint="eastAsia"/>
                <w:b/>
                <w:kern w:val="0"/>
                <w:sz w:val="18"/>
                <w:szCs w:val="18"/>
              </w:rPr>
              <w:t>设备供应商对所有设备提供自合同验收合格后5年的维保</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A4BE6">
      <w:pPr>
        <w:numPr>
          <w:ilvl w:val="0"/>
          <w:numId w:val="6"/>
        </w:numPr>
        <w:spacing w:line="360" w:lineRule="auto"/>
        <w:ind w:firstLine="3066" w:firstLineChars="1460"/>
        <w:jc w:val="left"/>
        <w:rPr>
          <w:b/>
          <w:bCs/>
          <w:szCs w:val="21"/>
        </w:rPr>
      </w:pPr>
      <w:bookmarkStart w:id="69" w:name="采购公告合同部分_ZBGGHT"/>
      <w:r>
        <w:rPr>
          <w:rFonts w:hint="eastAsia"/>
          <w:b/>
          <w:bCs/>
          <w:szCs w:val="21"/>
        </w:rPr>
        <w:t xml:space="preserve"> </w:t>
      </w:r>
      <w:r>
        <w:rPr>
          <w:rFonts w:hint="eastAsia"/>
          <w:b/>
          <w:bCs/>
          <w:szCs w:val="21"/>
        </w:rPr>
        <w:t>采购合同</w:t>
      </w:r>
    </w:p>
    <w:p w:rsidR="001A4BE6">
      <w:pPr>
        <w:spacing w:line="360" w:lineRule="auto"/>
        <w:ind w:left="1680" w:firstLine="420"/>
        <w:jc w:val="left"/>
        <w:rPr>
          <w:b/>
          <w:bCs/>
          <w:szCs w:val="21"/>
        </w:rPr>
      </w:pPr>
      <w:r>
        <w:rPr>
          <w:rFonts w:hint="eastAsia"/>
          <w:b/>
          <w:bCs/>
          <w:szCs w:val="21"/>
        </w:rPr>
        <w:t>必须明确合同金额支付条件及支付比例</w:t>
      </w:r>
    </w:p>
    <w:p w:rsidR="001A4BE6">
      <w:pPr>
        <w:pStyle w:val="BodyText"/>
        <w:spacing w:after="0"/>
        <w:jc w:val="center"/>
        <w:rPr>
          <w:rFonts w:ascii="宋体" w:hAnsi="宋体" w:cs="宋体"/>
          <w:b/>
          <w:bCs/>
          <w:spacing w:val="-20"/>
          <w:kern w:val="44"/>
          <w:sz w:val="48"/>
          <w:szCs w:val="48"/>
        </w:rPr>
      </w:pPr>
      <w:r>
        <w:rPr>
          <w:b/>
          <w:bCs/>
          <w:szCs w:val="21"/>
        </w:rPr>
        <w:br w:type="page"/>
      </w:r>
      <w:bookmarkStart w:id="70" w:name="_Toc3995"/>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p>
    <w:p w:rsidR="001A4BE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A4BE6">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A4BE6">
      <w:pPr>
        <w:rPr>
          <w:rFonts w:ascii="宋体" w:hAnsi="宋体" w:cs="宋体"/>
          <w:b/>
          <w:bCs/>
          <w:spacing w:val="-20"/>
          <w:kern w:val="44"/>
          <w:sz w:val="40"/>
          <w:szCs w:val="40"/>
        </w:rPr>
      </w:pPr>
    </w:p>
    <w:p w:rsidR="001A4BE6">
      <w:pPr>
        <w:rPr>
          <w:rFonts w:ascii="宋体" w:hAnsi="宋体" w:cs="宋体"/>
          <w:b/>
          <w:bCs/>
          <w:spacing w:val="-20"/>
          <w:kern w:val="44"/>
          <w:sz w:val="40"/>
          <w:szCs w:val="40"/>
        </w:rPr>
      </w:pPr>
    </w:p>
    <w:p w:rsidR="001A4BE6">
      <w:pPr>
        <w:rPr>
          <w:rFonts w:ascii="宋体" w:hAnsi="宋体" w:cs="宋体"/>
          <w:b/>
          <w:bCs/>
          <w:spacing w:val="-20"/>
          <w:kern w:val="44"/>
          <w:sz w:val="40"/>
          <w:szCs w:val="40"/>
        </w:rPr>
      </w:pPr>
    </w:p>
    <w:p w:rsidR="001A4BE6">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A4BE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A4BE6">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A4BE6">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A4BE6"/>
    <w:p w:rsidR="001A4BE6">
      <w:pPr>
        <w:rPr>
          <w:rFonts w:eastAsia="黑体"/>
          <w:sz w:val="44"/>
          <w:szCs w:val="44"/>
        </w:rPr>
      </w:pPr>
      <w:r>
        <w:rPr>
          <w:rFonts w:eastAsia="黑体"/>
          <w:sz w:val="44"/>
          <w:szCs w:val="44"/>
        </w:rPr>
        <w:br w:type="page"/>
      </w:r>
    </w:p>
    <w:p w:rsidR="001A4BE6">
      <w:pPr>
        <w:rPr>
          <w:rFonts w:eastAsia="黑体"/>
          <w:sz w:val="44"/>
          <w:szCs w:val="44"/>
        </w:rPr>
      </w:pPr>
    </w:p>
    <w:p w:rsidR="001A4BE6">
      <w:pPr>
        <w:rPr>
          <w:rFonts w:eastAsia="黑体"/>
          <w:sz w:val="44"/>
          <w:szCs w:val="44"/>
        </w:rPr>
      </w:pPr>
    </w:p>
    <w:p w:rsidR="001A4BE6">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A4BE6">
      <w:pPr>
        <w:ind w:firstLine="640" w:firstLineChars="200"/>
        <w:rPr>
          <w:rFonts w:ascii="仿宋_GB2312" w:eastAsia="仿宋_GB2312" w:hAnsi="仿宋_GB2312" w:cs="仿宋_GB2312"/>
          <w:sz w:val="32"/>
          <w:szCs w:val="32"/>
        </w:rPr>
      </w:pPr>
    </w:p>
    <w:p w:rsidR="001A4BE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本合同标准文本适用于购买现成货物的采购项目，不包括需要供应商定制开发、创新研发的货物采购项目。</w:t>
      </w:r>
    </w:p>
    <w:p w:rsidR="001A4BE6">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本合同标准文本为政府采购货物买卖合同编制提供参考，可以结合采购项目具体情况，对文本作必要的调整修订后使用。</w:t>
      </w:r>
    </w:p>
    <w:p w:rsidR="001A4BE6">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本合同标准文本各条款中，如涉及填写多家供应商、制造商，多种采购标的、分包主要内容等信息的，可根据采购项目具体情况添加信息项。</w:t>
      </w:r>
    </w:p>
    <w:p w:rsidR="001A4BE6">
      <w:pPr>
        <w:rPr>
          <w:rFonts w:eastAsia="黑体"/>
          <w:sz w:val="44"/>
          <w:szCs w:val="44"/>
        </w:rPr>
        <w:sectPr>
          <w:pgSz w:w="11906" w:h="16838"/>
          <w:pgMar w:top="1440" w:right="1800" w:bottom="1440" w:left="1800" w:header="851" w:footer="992" w:gutter="0"/>
          <w:cols w:space="425"/>
          <w:docGrid w:type="lines" w:linePitch="312"/>
        </w:sectPr>
      </w:pPr>
    </w:p>
    <w:p w:rsidR="001A4BE6">
      <w:pPr>
        <w:pStyle w:val="Heading2"/>
        <w:numPr>
          <w:ilvl w:val="0"/>
          <w:numId w:val="0"/>
        </w:numPr>
        <w:adjustRightInd w:val="0"/>
        <w:snapToGrid w:val="0"/>
        <w:spacing w:line="400" w:lineRule="exact"/>
        <w:jc w:val="center"/>
        <w:rPr>
          <w:rFonts w:ascii="黑体" w:hAnsi="华文中宋"/>
          <w:b w:val="0"/>
          <w:bCs w:val="0"/>
          <w:sz w:val="28"/>
          <w:szCs w:val="28"/>
        </w:rPr>
      </w:pPr>
      <w:bookmarkStart w:id="71" w:name="_Toc22209"/>
      <w:bookmarkEnd w:id="70"/>
      <w:r>
        <w:rPr>
          <w:rFonts w:ascii="黑体" w:hAnsi="黑体" w:hint="eastAsia"/>
          <w:b w:val="0"/>
          <w:bCs w:val="0"/>
          <w:sz w:val="28"/>
          <w:szCs w:val="28"/>
        </w:rPr>
        <w:t>第一节</w:t>
      </w:r>
      <w:r>
        <w:rPr>
          <w:rFonts w:ascii="黑体" w:hAnsi="黑体" w:hint="eastAsia"/>
          <w:b w:val="0"/>
          <w:bCs w:val="0"/>
          <w:sz w:val="28"/>
          <w:szCs w:val="28"/>
        </w:rPr>
        <w:t xml:space="preserve"> </w:t>
      </w:r>
      <w:r>
        <w:rPr>
          <w:rFonts w:ascii="黑体" w:hAnsi="华文中宋" w:hint="eastAsia"/>
          <w:b w:val="0"/>
          <w:bCs w:val="0"/>
          <w:sz w:val="28"/>
          <w:szCs w:val="28"/>
        </w:rPr>
        <w:t>政府采购合同协议书</w:t>
      </w:r>
      <w:bookmarkEnd w:id="71"/>
    </w:p>
    <w:p w:rsidR="001A4BE6">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w:t>
      </w:r>
      <w:r>
        <w:rPr>
          <w:rFonts w:ascii="宋体" w:hAnsi="宋体" w:hint="eastAsia"/>
          <w:szCs w:val="21"/>
        </w:rPr>
        <w:t>文件约定的合同甲方）</w:t>
      </w:r>
    </w:p>
    <w:p w:rsidR="001A4BE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1</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（供应商）</w:t>
      </w:r>
    </w:p>
    <w:p w:rsidR="001A4BE6">
      <w:pPr>
        <w:adjustRightInd w:val="0"/>
        <w:snapToGrid w:val="0"/>
        <w:spacing w:line="400" w:lineRule="exact"/>
        <w:rPr>
          <w:rFonts w:ascii="宋体" w:hAnsi="宋体"/>
          <w:szCs w:val="21"/>
        </w:rPr>
      </w:pPr>
      <w:r>
        <w:rPr>
          <w:rFonts w:ascii="宋体" w:hAnsi="宋体" w:hint="eastAsia"/>
          <w:szCs w:val="21"/>
        </w:rPr>
        <w:t>乙方</w:t>
      </w:r>
      <w:r>
        <w:rPr>
          <w:rFonts w:ascii="宋体" w:hAnsi="宋体" w:hint="eastAsia"/>
          <w:szCs w:val="21"/>
        </w:rPr>
        <w:t>2</w:t>
      </w:r>
      <w:r>
        <w:rPr>
          <w:rFonts w:ascii="宋体" w:hAnsi="宋体" w:hint="eastAsia"/>
          <w:szCs w:val="21"/>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A4BE6">
      <w:pPr>
        <w:spacing w:line="400" w:lineRule="exact"/>
      </w:pPr>
    </w:p>
    <w:p w:rsidR="001A4BE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依据《中华人民共和国民法典》、《中华人民共和国政府采购法》等有关的法律法规，以及本采购项目的招标</w:t>
      </w:r>
      <w:r>
        <w:rPr>
          <w:rFonts w:ascii="宋体" w:hAnsi="宋体" w:hint="eastAsia"/>
          <w:szCs w:val="21"/>
        </w:rPr>
        <w:t>/</w:t>
      </w:r>
      <w:r>
        <w:rPr>
          <w:rFonts w:ascii="宋体" w:hAnsi="宋体" w:hint="eastAsia"/>
          <w:szCs w:val="21"/>
        </w:rPr>
        <w:t>谈判文件等采购文件、乙方的</w:t>
      </w:r>
      <w:r>
        <w:rPr>
          <w:rFonts w:ascii="宋体" w:hAnsi="宋体" w:hint="eastAsia"/>
          <w:szCs w:val="21"/>
        </w:rPr>
        <w:t>《投标（响应）文件》及《中标（成交）通知书》，甲乙双方同意签订本合同。具体情况及要求如下：</w:t>
      </w:r>
      <w:r>
        <w:rPr>
          <w:rFonts w:ascii="宋体" w:hAnsi="宋体" w:hint="eastAsia"/>
          <w:szCs w:val="21"/>
        </w:rPr>
        <w:t xml:space="preserve">     </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A4BE6">
      <w:pPr>
        <w:pStyle w:val="BodyTextIndent"/>
        <w:numPr>
          <w:ilvl w:val="0"/>
          <w:numId w:val="8"/>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A4BE6">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w:t>
      </w:r>
      <w:r>
        <w:rPr>
          <w:rFonts w:ascii="宋体" w:hAnsi="宋体" w:hint="eastAsia"/>
          <w:szCs w:val="21"/>
        </w:rPr>
        <w:t>采购项目编号：</w:t>
      </w:r>
      <w:r>
        <w:rPr>
          <w:rFonts w:ascii="宋体" w:hAnsi="宋体"/>
          <w:szCs w:val="21"/>
          <w:u w:val="single"/>
        </w:rPr>
        <w:t xml:space="preserve">                                          </w:t>
      </w:r>
    </w:p>
    <w:p w:rsidR="001A4BE6">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）项目内容：</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 xml:space="preserve">     </w:t>
      </w:r>
      <w:r>
        <w:rPr>
          <w:rFonts w:ascii="宋体" w:hAnsi="宋体" w:hint="eastAsia"/>
          <w:szCs w:val="21"/>
        </w:rPr>
        <w:t>采购标的及数量（台</w:t>
      </w:r>
      <w:r>
        <w:rPr>
          <w:rFonts w:ascii="宋体" w:hAnsi="宋体" w:hint="eastAsia"/>
          <w:szCs w:val="21"/>
        </w:rPr>
        <w:t>/</w:t>
      </w:r>
      <w:r>
        <w:rPr>
          <w:rFonts w:ascii="宋体" w:hAnsi="宋体" w:hint="eastAsia"/>
          <w:szCs w:val="21"/>
        </w:rPr>
        <w:t>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A4BE6">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A4BE6">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采购标的的技术要求、商务要求具体见附件。</w:t>
      </w:r>
    </w:p>
    <w:p w:rsidR="001A4BE6">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A4BE6">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w:t>
      </w:r>
      <w:r>
        <w:rPr>
          <w:rFonts w:ascii="宋体" w:hAnsi="宋体" w:cs="宋体" w:hint="eastAsia"/>
          <w:szCs w:val="21"/>
        </w:rPr>
        <w:t>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w:t>
      </w:r>
      <w:r>
        <w:rPr>
          <w:rFonts w:ascii="宋体" w:hAnsi="宋体" w:cs="宋体" w:hint="eastAsia"/>
          <w:szCs w:val="21"/>
        </w:rPr>
        <w:t>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型号：</w:t>
      </w:r>
      <w:r>
        <w:rPr>
          <w:rFonts w:ascii="宋体" w:hAnsi="宋体" w:cs="宋体" w:hint="eastAsia"/>
          <w:szCs w:val="21"/>
          <w:u w:val="single"/>
        </w:rPr>
        <w:t xml:space="preserve">       </w:t>
      </w:r>
      <w:r>
        <w:rPr>
          <w:rFonts w:ascii="宋体" w:hAnsi="宋体" w:cs="宋体" w:hint="eastAsia"/>
          <w:szCs w:val="21"/>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关键部件：</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品牌：</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型号：</w:t>
      </w:r>
      <w:r>
        <w:rPr>
          <w:rFonts w:ascii="宋体" w:eastAsia="宋体" w:hAnsi="宋体" w:cs="宋体" w:hint="eastAsia"/>
          <w:sz w:val="21"/>
          <w:u w:val="single"/>
        </w:rPr>
        <w:t xml:space="preserve">       </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（注：关键部件是指财政部会同有关部门发布的政府采购需求标准规定的需要通过国家有关部门指定的测评机构开展的安全可靠测评的软硬件，如</w:t>
      </w:r>
      <w:r>
        <w:rPr>
          <w:rFonts w:ascii="宋体" w:eastAsia="宋体" w:hAnsi="宋体" w:cs="宋体" w:hint="eastAsia"/>
          <w:sz w:val="21"/>
        </w:rPr>
        <w:t>CPU</w:t>
      </w:r>
      <w:r>
        <w:rPr>
          <w:rFonts w:ascii="宋体" w:eastAsia="宋体" w:hAnsi="宋体" w:cs="宋体" w:hint="eastAsia"/>
          <w:sz w:val="21"/>
        </w:rPr>
        <w:t>芯片、操作系统、数据库等。）</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数量：</w:t>
      </w:r>
      <w:r>
        <w:rPr>
          <w:rFonts w:ascii="宋体" w:eastAsia="宋体" w:hAnsi="宋体" w:cs="宋体" w:hint="eastAsia"/>
          <w:sz w:val="21"/>
          <w:u w:val="single"/>
        </w:rPr>
        <w:t xml:space="preserve">    </w:t>
      </w:r>
      <w:r>
        <w:rPr>
          <w:rFonts w:ascii="宋体" w:eastAsia="宋体" w:hAnsi="宋体" w:cs="宋体" w:hint="eastAsia"/>
          <w:sz w:val="21"/>
        </w:rPr>
        <w:t xml:space="preserve"> </w:t>
      </w:r>
      <w:r>
        <w:rPr>
          <w:rFonts w:ascii="宋体" w:eastAsia="宋体" w:hAnsi="宋体" w:cs="宋体" w:hint="eastAsia"/>
          <w:sz w:val="21"/>
        </w:rPr>
        <w:t>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A4BE6">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政府集中采购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部门集中采购</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分散采购</w:t>
      </w:r>
    </w:p>
    <w:p w:rsidR="001A4BE6">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公开招标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邀请招标</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竞争性谈判</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竞争性磋商</w:t>
      </w:r>
    </w:p>
    <w:p w:rsidR="001A4BE6">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询价</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单一来源</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框架协议</w:t>
      </w: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A4BE6">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A4BE6">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是</w:t>
      </w: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pPr>
        <w:adjustRightInd w:val="0"/>
        <w:snapToGrid w:val="0"/>
        <w:spacing w:line="400" w:lineRule="exact"/>
        <w:rPr>
          <w:rFonts w:ascii="宋体" w:hAnsi="宋体"/>
          <w:iCs/>
          <w:szCs w:val="21"/>
        </w:rPr>
      </w:pPr>
      <w:r>
        <w:rPr>
          <w:rFonts w:ascii="宋体" w:hAnsi="宋体" w:hint="eastAsia"/>
          <w:szCs w:val="21"/>
        </w:rPr>
        <w:t xml:space="preserve">         </w:t>
      </w:r>
      <w:r>
        <w:rPr>
          <w:rFonts w:ascii="宋体" w:hAnsi="宋体" w:hint="eastAsia"/>
          <w:szCs w:val="21"/>
        </w:rPr>
        <w:t>本合同是否为专门面向中小企业的采购合同（中小企业预留合同）：</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rPr>
          <w:rFonts w:ascii="宋体" w:hAnsi="宋体"/>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是</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否</w:t>
      </w:r>
    </w:p>
    <w:p w:rsidR="001A4BE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rPr>
        <w:t>分包主要内容：</w:t>
      </w:r>
      <w:r>
        <w:rPr>
          <w:rFonts w:ascii="宋体" w:hAnsi="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制造商名称（如供应商和制造商不同，请分别填写）：</w:t>
      </w:r>
    </w:p>
    <w:p w:rsidR="001A4BE6">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宋体" w:hAnsi="宋体" w:hint="eastAsia"/>
          <w:szCs w:val="21"/>
        </w:rPr>
        <w:t>分包供应商</w:t>
      </w:r>
      <w:r>
        <w:rPr>
          <w:rFonts w:ascii="宋体" w:hAnsi="宋体" w:hint="eastAsia"/>
          <w:szCs w:val="21"/>
        </w:rPr>
        <w:t>/</w:t>
      </w:r>
      <w:r>
        <w:rPr>
          <w:rFonts w:ascii="宋体" w:hAnsi="宋体" w:hint="eastAsia"/>
          <w:szCs w:val="21"/>
        </w:rPr>
        <w:t>制造商类型（如果供应商和制造商不同，只填写制造商类型）：</w:t>
      </w:r>
    </w:p>
    <w:p w:rsidR="001A4BE6">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大型企业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中型企业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小微型企业</w:t>
      </w:r>
      <w:r>
        <w:rPr>
          <w:rFonts w:ascii="宋体" w:hAnsi="宋体" w:hint="eastAsia"/>
          <w:iCs/>
          <w:szCs w:val="21"/>
        </w:rPr>
        <w:t xml:space="preserve">  </w:t>
      </w:r>
    </w:p>
    <w:p w:rsidR="001A4BE6">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残疾人福利性单位</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监狱企业</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p>
    <w:p w:rsidR="001A4BE6">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是</w:t>
      </w:r>
      <w:r>
        <w:rPr>
          <w:rFonts w:ascii="宋体" w:hAnsi="宋体" w:cs="宋体" w:hint="eastAsia"/>
          <w:iCs/>
          <w:szCs w:val="21"/>
        </w:rPr>
        <w:t xml:space="preserve">       </w:t>
      </w:r>
      <w:r>
        <w:rPr>
          <w:rFonts w:ascii="Wingdings" w:hAnsi="Wingdings" w:cs="宋体"/>
          <w:iCs/>
          <w:szCs w:val="21"/>
        </w:rPr>
        <w:sym w:font="Wingdings" w:char="F0A8"/>
      </w:r>
      <w:r>
        <w:rPr>
          <w:rFonts w:ascii="宋体" w:hAnsi="宋体" w:cs="宋体" w:hint="eastAsia"/>
          <w:iCs/>
          <w:szCs w:val="21"/>
        </w:rPr>
        <w:t>否</w:t>
      </w:r>
    </w:p>
    <w:p w:rsidR="001A4BE6">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w:t>
      </w:r>
      <w:r>
        <w:rPr>
          <w:rFonts w:ascii="宋体" w:eastAsia="宋体" w:hAnsi="宋体" w:cs="宋体" w:hint="eastAsia"/>
          <w:sz w:val="21"/>
        </w:rPr>
        <w:t>外商投资企业类型：</w:t>
      </w:r>
      <w:r>
        <w:rPr>
          <w:rFonts w:ascii="Wingdings" w:eastAsia="宋体" w:hAnsi="Wingdings" w:cs="宋体"/>
          <w:iCs/>
          <w:sz w:val="21"/>
        </w:rPr>
        <w:sym w:font="Wingdings" w:char="F0A8"/>
      </w:r>
      <w:r>
        <w:rPr>
          <w:rFonts w:ascii="宋体" w:eastAsia="宋体" w:hAnsi="宋体" w:cs="宋体" w:hint="eastAsia"/>
          <w:sz w:val="21"/>
        </w:rPr>
        <w:t>全部由外国投资者投资</w:t>
      </w:r>
      <w:r>
        <w:rPr>
          <w:rFonts w:ascii="宋体" w:eastAsia="宋体" w:hAnsi="宋体" w:cs="宋体" w:hint="eastAsia"/>
          <w:sz w:val="21"/>
        </w:rPr>
        <w:t xml:space="preserve">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A4BE6">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金额：</w:t>
      </w:r>
      <w:r>
        <w:rPr>
          <w:rFonts w:ascii="宋体" w:hAnsi="宋体" w:cs="宋体" w:hint="eastAsia"/>
          <w:szCs w:val="21"/>
          <w:u w:val="single"/>
        </w:rPr>
        <w:t xml:space="preserve">        </w:t>
      </w:r>
    </w:p>
    <w:p w:rsidR="001A4BE6">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w:t>
      </w:r>
      <w:r>
        <w:rPr>
          <w:rFonts w:ascii="宋体" w:hAnsi="宋体" w:cs="宋体" w:hint="eastAsia"/>
          <w:szCs w:val="21"/>
        </w:rPr>
        <w:t>国别：</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hint="eastAsia"/>
          <w:szCs w:val="21"/>
        </w:rPr>
        <w:t xml:space="preserve">      </w:t>
      </w:r>
    </w:p>
    <w:p w:rsidR="001A4BE6">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0</w:t>
      </w:r>
      <w:r>
        <w:rPr>
          <w:rFonts w:ascii="宋体" w:hAnsi="宋体" w:hint="eastAsia"/>
          <w:szCs w:val="21"/>
        </w:rPr>
        <w:t>）是否涉及节能产品：</w:t>
      </w:r>
    </w:p>
    <w:p w:rsidR="001A4BE6">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是否涉及环境标志产品：</w:t>
      </w:r>
    </w:p>
    <w:p w:rsidR="001A4BE6">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A4BE6">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是否涉及绿色产品：</w:t>
      </w:r>
      <w:r>
        <w:rPr>
          <w:rFonts w:ascii="宋体" w:eastAsia="宋体" w:hAnsi="宋体" w:cs="Times New Roman" w:hint="eastAsia"/>
          <w:kern w:val="2"/>
          <w:sz w:val="21"/>
        </w:rPr>
        <w:t xml:space="preserve"> </w:t>
      </w:r>
    </w:p>
    <w:p w:rsidR="001A4BE6">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1A4BE6">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强制采购</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优先采购</w:t>
      </w:r>
      <w:r>
        <w:rPr>
          <w:rFonts w:ascii="宋体" w:hAnsi="宋体" w:hint="eastAsia"/>
          <w:iCs/>
          <w:szCs w:val="21"/>
        </w:rPr>
        <w:t xml:space="preserve">    </w:t>
      </w:r>
    </w:p>
    <w:p w:rsidR="001A4BE6">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A4BE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A4BE6">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是</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r>
        <w:rPr>
          <w:rFonts w:ascii="宋体" w:hAnsi="宋体" w:hint="eastAsia"/>
          <w:szCs w:val="21"/>
        </w:rPr>
        <w:t xml:space="preserve">      </w:t>
      </w:r>
      <w:r>
        <w:rPr>
          <w:rFonts w:ascii="Wingdings" w:hAnsi="Wingdings"/>
          <w:szCs w:val="21"/>
        </w:rPr>
        <w:sym w:font="Wingdings" w:char="F0A8"/>
      </w:r>
      <w:r>
        <w:rPr>
          <w:rFonts w:ascii="宋体" w:hAnsi="宋体" w:hint="eastAsia"/>
          <w:szCs w:val="21"/>
        </w:rPr>
        <w:t>不涉及</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）合同金额小写：</w:t>
      </w:r>
      <w:r>
        <w:rPr>
          <w:rFonts w:ascii="宋体" w:hAnsi="宋体" w:hint="eastAsia"/>
          <w:szCs w:val="21"/>
          <w:u w:val="single"/>
        </w:rPr>
        <w:t xml:space="preserve">                           </w:t>
      </w:r>
    </w:p>
    <w:p w:rsidR="001A4BE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A4BE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分包金额（如有）小写：</w:t>
      </w:r>
      <w:r>
        <w:rPr>
          <w:rFonts w:ascii="宋体" w:hAnsi="宋体" w:hint="eastAsia"/>
          <w:szCs w:val="21"/>
          <w:u w:val="single"/>
        </w:rPr>
        <w:t xml:space="preserve">                   </w:t>
      </w:r>
    </w:p>
    <w:p w:rsidR="001A4BE6">
      <w:pPr>
        <w:adjustRightInd w:val="0"/>
        <w:snapToGrid w:val="0"/>
        <w:spacing w:line="400" w:lineRule="exact"/>
        <w:rPr>
          <w:rFonts w:ascii="宋体" w:hAnsi="宋体"/>
          <w:szCs w:val="21"/>
          <w:u w:val="single"/>
        </w:rPr>
      </w:pPr>
      <w:r>
        <w:rPr>
          <w:rFonts w:ascii="宋体" w:hAnsi="宋体" w:hint="eastAsia"/>
          <w:szCs w:val="21"/>
        </w:rPr>
        <w:t xml:space="preserve">                     </w:t>
      </w:r>
      <w:r>
        <w:rPr>
          <w:rFonts w:ascii="宋体" w:hAnsi="宋体" w:hint="eastAsia"/>
          <w:szCs w:val="21"/>
        </w:rPr>
        <w:t>大写：</w:t>
      </w:r>
      <w:r>
        <w:rPr>
          <w:rFonts w:ascii="宋体" w:hAnsi="宋体" w:hint="eastAsia"/>
          <w:szCs w:val="21"/>
          <w:u w:val="single"/>
        </w:rPr>
        <w:t xml:space="preserve">                       </w:t>
      </w:r>
    </w:p>
    <w:p w:rsidR="001A4BE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（注：固定单价合同应填写单价和最高限价）</w:t>
      </w:r>
    </w:p>
    <w:p w:rsidR="001A4BE6">
      <w:pPr>
        <w:adjustRightInd w:val="0"/>
        <w:snapToGrid w:val="0"/>
        <w:spacing w:line="400" w:lineRule="exact"/>
        <w:rPr>
          <w:rFonts w:ascii="宋体" w:hAnsi="宋体"/>
          <w:szCs w:val="21"/>
        </w:rPr>
      </w:pPr>
      <w:r>
        <w:rPr>
          <w:rFonts w:ascii="宋体" w:hAnsi="宋体" w:hint="eastAsia"/>
          <w:szCs w:val="21"/>
        </w:rPr>
        <w:t xml:space="preserve">    </w:t>
      </w:r>
      <w:r>
        <w:rPr>
          <w:rFonts w:ascii="宋体" w:hAnsi="宋体" w:hint="eastAsia"/>
          <w:szCs w:val="21"/>
        </w:rPr>
        <w:t>（</w:t>
      </w:r>
      <w:r>
        <w:rPr>
          <w:rFonts w:ascii="宋体" w:hAnsi="宋体" w:hint="eastAsia"/>
          <w:szCs w:val="21"/>
        </w:rPr>
        <w:t>2</w:t>
      </w:r>
      <w:r>
        <w:rPr>
          <w:rFonts w:ascii="宋体" w:hAnsi="宋体" w:hint="eastAsia"/>
          <w:szCs w:val="21"/>
        </w:rPr>
        <w:t>）合同定价方式（采用组合定价方式的，可以勾选多项）：</w:t>
      </w:r>
    </w:p>
    <w:p w:rsidR="001A4BE6">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固定总价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固定单价</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固定费率</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成本补偿</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绩效激励</w:t>
      </w: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A4BE6">
      <w:pPr>
        <w:pStyle w:val="12"/>
        <w:spacing w:line="400" w:lineRule="exact"/>
      </w:pPr>
      <w:r>
        <w:rPr>
          <w:rFonts w:ascii="宋体" w:hAnsi="宋体" w:hint="eastAsia"/>
        </w:rPr>
        <w:t>（</w:t>
      </w:r>
      <w:r>
        <w:rPr>
          <w:rFonts w:ascii="宋体" w:hAnsi="宋体" w:hint="eastAsia"/>
        </w:rPr>
        <w:t>3</w:t>
      </w:r>
      <w:r>
        <w:rPr>
          <w:rFonts w:ascii="宋体" w:hAnsi="宋体" w:hint="eastAsia"/>
        </w:rPr>
        <w:t>）付款方式（按项目实际勾选填写）：</w:t>
      </w:r>
    </w:p>
    <w:p w:rsidR="001A4BE6">
      <w:pPr>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Pr>
          <w:rFonts w:ascii="宋体" w:hAnsi="宋体" w:hint="eastAsia"/>
          <w:szCs w:val="21"/>
          <w:u w:val="single"/>
        </w:rPr>
        <w:t>（应明确分期支付合同款项的各期比例和支付条件，各期支付条件应与分期履约验收情况挂钩）</w:t>
      </w:r>
      <w:r>
        <w:rPr>
          <w:rFonts w:ascii="宋体" w:hAnsi="宋体" w:hint="eastAsia"/>
          <w:szCs w:val="21"/>
          <w:u w:val="single"/>
        </w:rPr>
        <w:t xml:space="preserve"> </w:t>
      </w:r>
      <w:r>
        <w:rPr>
          <w:rFonts w:ascii="宋体" w:hAnsi="宋体" w:hint="eastAsia"/>
          <w:szCs w:val="21"/>
        </w:rPr>
        <w:t>，其中涉及预付款的：</w:t>
      </w:r>
      <w:r>
        <w:rPr>
          <w:rFonts w:ascii="宋体" w:hAnsi="宋体" w:hint="eastAsia"/>
          <w:szCs w:val="21"/>
          <w:u w:val="single"/>
        </w:rPr>
        <w:t xml:space="preserve"> </w:t>
      </w:r>
      <w:r>
        <w:rPr>
          <w:rFonts w:ascii="宋体" w:hAnsi="宋体" w:hint="eastAsia"/>
          <w:szCs w:val="21"/>
          <w:u w:val="single"/>
        </w:rPr>
        <w:t>（应明确预付款的支付比例和支付条件）</w:t>
      </w:r>
      <w:r>
        <w:rPr>
          <w:rFonts w:ascii="宋体" w:hAnsi="宋体" w:hint="eastAsia"/>
          <w:szCs w:val="21"/>
          <w:u w:val="single"/>
        </w:rPr>
        <w:t xml:space="preserve"> </w:t>
      </w:r>
    </w:p>
    <w:p w:rsidR="00261986" w:rsidRPr="00261986" w:rsidP="00261986">
      <w:pPr>
        <w:snapToGrid w:val="0"/>
        <w:spacing w:line="400" w:lineRule="exact"/>
        <w:ind w:firstLine="630" w:firstLineChars="300"/>
        <w:rPr>
          <w:rFonts w:ascii="宋体" w:hAnsi="宋体"/>
          <w:szCs w:val="21"/>
          <w:highlight w:val="yellow"/>
        </w:rPr>
      </w:pPr>
      <w:bookmarkStart w:id="72" w:name="_Hlk202829706"/>
      <w:r>
        <w:rPr>
          <w:rFonts w:ascii="宋体" w:hAnsi="宋体"/>
          <w:szCs w:val="21"/>
          <w:highlight w:val="yellow"/>
        </w:rPr>
        <w:t>1</w:t>
      </w:r>
      <w:r w:rsidRPr="00261986">
        <w:rPr>
          <w:rFonts w:ascii="宋体" w:hAnsi="宋体" w:hint="eastAsia"/>
          <w:szCs w:val="21"/>
          <w:highlight w:val="yellow"/>
        </w:rPr>
        <w:t>、合同生效后付款：双方签署合同后10个工作日内，甲方向乙方支付合同总金额的30%，即人民币                  元（大写）：          元（小写）；</w:t>
      </w:r>
    </w:p>
    <w:p w:rsidR="00261986" w:rsidRPr="00261986" w:rsidP="00261986">
      <w:pPr>
        <w:snapToGrid w:val="0"/>
        <w:spacing w:line="400" w:lineRule="exact"/>
        <w:ind w:firstLine="630" w:firstLineChars="300"/>
        <w:rPr>
          <w:rFonts w:ascii="宋体" w:hAnsi="宋体"/>
          <w:szCs w:val="21"/>
          <w:highlight w:val="yellow"/>
        </w:rPr>
      </w:pPr>
      <w:r>
        <w:rPr>
          <w:rFonts w:ascii="宋体" w:hAnsi="宋体"/>
          <w:szCs w:val="21"/>
          <w:highlight w:val="yellow"/>
        </w:rPr>
        <w:t>2</w:t>
      </w:r>
      <w:r w:rsidRPr="00261986">
        <w:rPr>
          <w:rFonts w:ascii="宋体" w:hAnsi="宋体" w:hint="eastAsia"/>
          <w:szCs w:val="21"/>
          <w:highlight w:val="yellow"/>
        </w:rPr>
        <w:t>、出厂测试合格后付款：双方签署出厂测试验收报告后10个工作日内，甲方向乙方支付合同总金额的30 %，即人民币                  元（大写）：          元（小写）；</w:t>
      </w:r>
    </w:p>
    <w:p w:rsidR="00261986" w:rsidRPr="00261986" w:rsidP="00261986">
      <w:pPr>
        <w:snapToGrid w:val="0"/>
        <w:spacing w:line="400" w:lineRule="exact"/>
        <w:ind w:firstLine="630" w:firstLineChars="300"/>
        <w:rPr>
          <w:rFonts w:ascii="宋体" w:hAnsi="宋体"/>
          <w:szCs w:val="21"/>
          <w:highlight w:val="yellow"/>
        </w:rPr>
      </w:pPr>
      <w:r>
        <w:rPr>
          <w:rFonts w:ascii="宋体" w:hAnsi="宋体"/>
          <w:szCs w:val="21"/>
          <w:highlight w:val="yellow"/>
        </w:rPr>
        <w:t>3</w:t>
      </w:r>
      <w:r w:rsidRPr="00261986">
        <w:rPr>
          <w:rFonts w:ascii="宋体" w:hAnsi="宋体" w:hint="eastAsia"/>
          <w:szCs w:val="21"/>
          <w:highlight w:val="yellow"/>
        </w:rPr>
        <w:t xml:space="preserve">、到货、现场安装测试后付款：双方签署现场安装测试验收报告后10个工作日内，甲方向乙方支付合同总金额的20%，即人民币                  元（大写）：          元（小写）； </w:t>
      </w:r>
    </w:p>
    <w:p w:rsidR="00261986" w:rsidRPr="00261986" w:rsidP="00261986">
      <w:pPr>
        <w:snapToGrid w:val="0"/>
        <w:spacing w:line="400" w:lineRule="exact"/>
        <w:ind w:firstLine="630" w:firstLineChars="300"/>
        <w:rPr>
          <w:rFonts w:ascii="宋体" w:hAnsi="宋体" w:hint="eastAsia"/>
          <w:szCs w:val="21"/>
        </w:rPr>
      </w:pPr>
      <w:r>
        <w:rPr>
          <w:rFonts w:ascii="宋体" w:hAnsi="宋体"/>
          <w:szCs w:val="21"/>
          <w:highlight w:val="yellow"/>
        </w:rPr>
        <w:t>4</w:t>
      </w:r>
      <w:r w:rsidRPr="00261986">
        <w:rPr>
          <w:rFonts w:ascii="宋体" w:hAnsi="宋体" w:hint="eastAsia"/>
          <w:szCs w:val="21"/>
          <w:highlight w:val="yellow"/>
        </w:rPr>
        <w:t>、业务验收通过后付款：业务验收通过后10个工作日内，甲方向乙方支付合同总金额的20%，即人民币                    元（大写）：          元（小写）。</w:t>
      </w:r>
      <w:bookmarkEnd w:id="72"/>
    </w:p>
    <w:p w:rsidR="001A4BE6">
      <w:pPr>
        <w:numPr>
          <w:ilvl w:val="0"/>
          <w:numId w:val="7"/>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A4BE6">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）履约地点</w:t>
      </w:r>
      <w:r>
        <w:rPr>
          <w:rFonts w:ascii="宋体" w:hAnsi="宋体" w:cs="宋体" w:hint="eastAsia"/>
          <w:bCs/>
          <w:szCs w:val="21"/>
        </w:rPr>
        <w:t>：</w:t>
      </w:r>
      <w:r>
        <w:rPr>
          <w:rFonts w:ascii="宋体" w:hAnsi="宋体" w:cs="宋体" w:hint="eastAsia"/>
          <w:szCs w:val="21"/>
          <w:u w:val="single"/>
        </w:rPr>
        <w:t xml:space="preserve">                             </w:t>
      </w:r>
    </w:p>
    <w:p w:rsidR="001A4BE6">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w:t>
      </w:r>
      <w:r>
        <w:rPr>
          <w:rFonts w:ascii="宋体" w:hAnsi="宋体" w:cs="宋体" w:hint="eastAsia"/>
          <w:bCs/>
          <w:szCs w:val="21"/>
        </w:rPr>
        <w:t>3</w:t>
      </w:r>
      <w:r>
        <w:rPr>
          <w:rFonts w:ascii="宋体" w:hAnsi="宋体" w:cs="宋体" w:hint="eastAsia"/>
          <w:bCs/>
          <w:szCs w:val="21"/>
        </w:rPr>
        <w:t>）履约担保：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否</w:t>
      </w:r>
    </w:p>
    <w:p w:rsidR="001A4BE6">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w:t>
      </w:r>
      <w:r>
        <w:rPr>
          <w:rFonts w:ascii="宋体" w:eastAsia="宋体" w:hAnsi="宋体" w:cs="宋体" w:hint="eastAsia"/>
          <w:sz w:val="21"/>
        </w:rPr>
        <w:t>收取履约保证金形式：</w:t>
      </w:r>
      <w:r>
        <w:rPr>
          <w:rFonts w:ascii="宋体" w:eastAsia="宋体" w:hAnsi="宋体" w:cs="宋体" w:hint="eastAsia"/>
          <w:bCs/>
          <w:sz w:val="21"/>
          <w:u w:val="single"/>
        </w:rPr>
        <w:t xml:space="preserve">                            </w:t>
      </w:r>
    </w:p>
    <w:p w:rsidR="001A4BE6">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sz w:val="21"/>
        </w:rPr>
        <w:t>收取履约保证金金额：</w:t>
      </w:r>
      <w:r>
        <w:rPr>
          <w:rFonts w:ascii="宋体" w:eastAsia="宋体" w:hAnsi="宋体" w:cs="宋体" w:hint="eastAsia"/>
          <w:bCs/>
          <w:sz w:val="21"/>
          <w:u w:val="single"/>
        </w:rPr>
        <w:t xml:space="preserve">                            </w:t>
      </w:r>
    </w:p>
    <w:p w:rsidR="001A4BE6">
      <w:pPr>
        <w:snapToGrid w:val="0"/>
        <w:spacing w:line="400" w:lineRule="exact"/>
        <w:ind w:firstLine="420" w:firstLineChars="200"/>
        <w:rPr>
          <w:rFonts w:ascii="宋体" w:hAnsi="宋体" w:cs="宋体"/>
        </w:rPr>
      </w:pPr>
      <w:r>
        <w:rPr>
          <w:rFonts w:ascii="宋体" w:hAnsi="宋体" w:cs="宋体" w:hint="eastAsia"/>
          <w:bCs/>
          <w:szCs w:val="21"/>
        </w:rPr>
        <w:t xml:space="preserve">    </w:t>
      </w:r>
      <w:r>
        <w:rPr>
          <w:rFonts w:ascii="宋体" w:hAnsi="宋体" w:cs="宋体" w:hint="eastAsia"/>
          <w:bCs/>
          <w:szCs w:val="21"/>
        </w:rPr>
        <w:t>履约担保期限：</w:t>
      </w:r>
      <w:r>
        <w:rPr>
          <w:rFonts w:ascii="宋体" w:hAnsi="宋体" w:cs="宋体" w:hint="eastAsia"/>
          <w:bCs/>
          <w:szCs w:val="21"/>
          <w:u w:val="single"/>
        </w:rPr>
        <w:t xml:space="preserve">                                  </w:t>
      </w:r>
    </w:p>
    <w:p w:rsidR="001A4BE6">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w:t>
      </w:r>
      <w:r>
        <w:rPr>
          <w:rFonts w:ascii="宋体" w:hAnsi="宋体" w:cs="宋体" w:hint="eastAsia"/>
          <w:bCs/>
          <w:szCs w:val="21"/>
        </w:rPr>
        <w:t>4</w:t>
      </w:r>
      <w:r>
        <w:rPr>
          <w:rFonts w:ascii="宋体" w:hAnsi="宋体" w:cs="宋体" w:hint="eastAsia"/>
          <w:bCs/>
          <w:szCs w:val="21"/>
        </w:rPr>
        <w:t>）分期履行要求：</w:t>
      </w:r>
      <w:r>
        <w:rPr>
          <w:rFonts w:ascii="宋体" w:hAnsi="宋体" w:cs="宋体" w:hint="eastAsia"/>
          <w:bCs/>
          <w:szCs w:val="21"/>
          <w:u w:val="single"/>
        </w:rPr>
        <w:t xml:space="preserve">                                                        </w:t>
      </w:r>
    </w:p>
    <w:p w:rsidR="001A4BE6">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w:t>
      </w:r>
      <w:r>
        <w:rPr>
          <w:rFonts w:ascii="宋体" w:hAnsi="宋体" w:cs="宋体" w:hint="eastAsia"/>
          <w:bCs/>
          <w:szCs w:val="21"/>
        </w:rPr>
        <w:t>5</w:t>
      </w:r>
      <w:r>
        <w:rPr>
          <w:rFonts w:ascii="宋体" w:hAnsi="宋体" w:cs="宋体" w:hint="eastAsia"/>
          <w:bCs/>
          <w:szCs w:val="21"/>
        </w:rPr>
        <w:t>）风险处置措施和替代方案：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A4BE6">
      <w:pPr>
        <w:numPr>
          <w:ilvl w:val="0"/>
          <w:numId w:val="9"/>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自行组织</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委托第三方组织</w:t>
      </w:r>
    </w:p>
    <w:p w:rsidR="001A4BE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验收主体：</w:t>
      </w:r>
      <w:r>
        <w:rPr>
          <w:rFonts w:ascii="宋体" w:hAnsi="宋体" w:hint="eastAsia"/>
          <w:bCs/>
          <w:szCs w:val="21"/>
          <w:u w:val="single"/>
        </w:rPr>
        <w:t xml:space="preserve">                  </w:t>
      </w:r>
    </w:p>
    <w:p w:rsidR="001A4BE6">
      <w:pPr>
        <w:adjustRightInd w:val="0"/>
        <w:snapToGrid w:val="0"/>
        <w:spacing w:line="400" w:lineRule="exact"/>
        <w:rPr>
          <w:rFonts w:ascii="宋体" w:hAnsi="宋体"/>
          <w:bCs/>
          <w:szCs w:val="21"/>
        </w:rPr>
      </w:pPr>
      <w:r>
        <w:rPr>
          <w:rFonts w:ascii="宋体" w:hAnsi="宋体" w:hint="eastAsia"/>
          <w:bCs/>
          <w:szCs w:val="21"/>
        </w:rPr>
        <w:t xml:space="preserve">        </w:t>
      </w:r>
      <w:r>
        <w:rPr>
          <w:rFonts w:ascii="宋体" w:hAnsi="宋体" w:hint="eastAsia"/>
          <w:bCs/>
          <w:szCs w:val="21"/>
        </w:rPr>
        <w:t>是否邀请本项目的其他供应商参加验收：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A4BE6">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A4BE6">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2</w:t>
      </w:r>
      <w:r>
        <w:rPr>
          <w:rFonts w:ascii="宋体" w:hAnsi="宋体" w:hint="eastAsia"/>
          <w:bCs/>
          <w:szCs w:val="21"/>
        </w:rPr>
        <w:t>）履约验收时间：</w:t>
      </w:r>
      <w:r>
        <w:rPr>
          <w:rFonts w:ascii="宋体" w:hAnsi="宋体" w:hint="eastAsia"/>
          <w:bCs/>
          <w:szCs w:val="21"/>
          <w:u w:val="single"/>
        </w:rPr>
        <w:t>（计划于何时验收</w:t>
      </w:r>
      <w:r>
        <w:rPr>
          <w:rFonts w:ascii="宋体" w:hAnsi="宋体" w:hint="eastAsia"/>
          <w:bCs/>
          <w:szCs w:val="21"/>
          <w:u w:val="single"/>
        </w:rPr>
        <w:t>/</w:t>
      </w:r>
      <w:r>
        <w:rPr>
          <w:rFonts w:ascii="宋体" w:hAnsi="宋体" w:hint="eastAsia"/>
          <w:bCs/>
          <w:szCs w:val="21"/>
          <w:u w:val="single"/>
        </w:rPr>
        <w:t>供应商提出验收申请之日起</w:t>
      </w:r>
      <w:r>
        <w:rPr>
          <w:rFonts w:ascii="宋体" w:hAnsi="宋体" w:hint="eastAsia"/>
          <w:bCs/>
          <w:szCs w:val="21"/>
          <w:u w:val="single"/>
        </w:rPr>
        <w:t xml:space="preserve">   </w:t>
      </w:r>
      <w:r>
        <w:rPr>
          <w:rFonts w:ascii="宋体" w:hAnsi="宋体" w:hint="eastAsia"/>
          <w:bCs/>
          <w:szCs w:val="21"/>
          <w:u w:val="single"/>
        </w:rPr>
        <w:t>日内组织验收）</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）履约验收方式：</w:t>
      </w:r>
      <w:r>
        <w:rPr>
          <w:rFonts w:ascii="Wingdings" w:hAnsi="Wingdings" w:cs="宋体"/>
          <w:szCs w:val="21"/>
        </w:rPr>
        <w:sym w:font="Wingdings" w:char="F0A8"/>
      </w:r>
      <w:r>
        <w:rPr>
          <w:rFonts w:ascii="宋体" w:hAnsi="宋体" w:hint="eastAsia"/>
          <w:bCs/>
          <w:szCs w:val="21"/>
        </w:rPr>
        <w:t>一次性验收</w:t>
      </w:r>
      <w:r>
        <w:rPr>
          <w:rFonts w:ascii="宋体" w:hAnsi="宋体" w:hint="eastAsia"/>
          <w:bCs/>
          <w:szCs w:val="21"/>
        </w:rPr>
        <w:t xml:space="preserve">         </w:t>
      </w:r>
    </w:p>
    <w:p w:rsidR="001A4BE6">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w:t>
      </w:r>
      <w:r>
        <w:rPr>
          <w:rFonts w:ascii="宋体" w:hAnsi="宋体" w:hint="eastAsia"/>
          <w:bCs/>
          <w:szCs w:val="21"/>
        </w:rPr>
        <w:t>/</w:t>
      </w:r>
      <w:r>
        <w:rPr>
          <w:rFonts w:ascii="宋体" w:hAnsi="宋体" w:hint="eastAsia"/>
          <w:bCs/>
          <w:szCs w:val="21"/>
        </w:rPr>
        <w:t>分项验收：</w:t>
      </w:r>
      <w:r>
        <w:rPr>
          <w:rFonts w:ascii="宋体" w:hAnsi="宋体" w:hint="eastAsia"/>
          <w:bCs/>
          <w:szCs w:val="21"/>
          <w:u w:val="single"/>
        </w:rPr>
        <w:t xml:space="preserve"> </w:t>
      </w:r>
      <w:r>
        <w:rPr>
          <w:rFonts w:ascii="宋体" w:hAnsi="宋体" w:hint="eastAsia"/>
          <w:bCs/>
          <w:szCs w:val="21"/>
          <w:u w:val="single"/>
        </w:rPr>
        <w:t>（应明确分期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）履约验收程序：</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5</w:t>
      </w:r>
      <w:r>
        <w:rPr>
          <w:rFonts w:ascii="宋体" w:hAnsi="宋体" w:hint="eastAsia"/>
          <w:bCs/>
          <w:szCs w:val="21"/>
        </w:rPr>
        <w:t>）履约验收的内容：</w:t>
      </w:r>
      <w:r>
        <w:rPr>
          <w:rFonts w:ascii="宋体" w:hAnsi="宋体" w:hint="eastAsia"/>
          <w:bCs/>
          <w:szCs w:val="21"/>
          <w:u w:val="single"/>
        </w:rPr>
        <w:t xml:space="preserve"> </w:t>
      </w:r>
      <w:r>
        <w:rPr>
          <w:rFonts w:ascii="宋体" w:hAnsi="宋体" w:hint="eastAsia"/>
          <w:bCs/>
          <w:szCs w:val="21"/>
          <w:u w:val="single"/>
        </w:rPr>
        <w:t>（应当包括每一项技术和商务要求的履约情况，特别是落实政府采购扶持中小企业，支持绿色发展和乡村振兴等政策情况）</w:t>
      </w:r>
      <w:r>
        <w:rPr>
          <w:rFonts w:ascii="宋体" w:hAnsi="宋体" w:hint="eastAsia"/>
          <w:bCs/>
          <w:szCs w:val="21"/>
          <w:u w:val="single"/>
        </w:rPr>
        <w:t xml:space="preserve">                          </w:t>
      </w:r>
      <w:r>
        <w:rPr>
          <w:rFonts w:ascii="宋体" w:hAnsi="宋体" w:hint="eastAsia"/>
          <w:bCs/>
          <w:szCs w:val="21"/>
          <w:u w:val="single"/>
        </w:rPr>
        <w:t xml:space="preserve">            </w:t>
      </w:r>
    </w:p>
    <w:p w:rsidR="001A4BE6">
      <w:pPr>
        <w:adjustRightInd w:val="0"/>
        <w:snapToGrid w:val="0"/>
        <w:spacing w:line="400" w:lineRule="exact"/>
        <w:ind w:firstLine="420" w:firstLineChars="200"/>
        <w:rPr>
          <w:rFonts w:ascii="宋体" w:hAnsi="宋体"/>
          <w:bCs/>
          <w:szCs w:val="21"/>
          <w:u w:val="single"/>
        </w:rPr>
      </w:pPr>
      <w:r>
        <w:rPr>
          <w:rFonts w:ascii="宋体" w:hAnsi="宋体" w:hint="eastAsia"/>
          <w:bCs/>
          <w:szCs w:val="21"/>
        </w:rPr>
        <w:t>（</w:t>
      </w:r>
      <w:r>
        <w:rPr>
          <w:rFonts w:ascii="宋体" w:hAnsi="宋体" w:hint="eastAsia"/>
          <w:bCs/>
          <w:szCs w:val="21"/>
        </w:rPr>
        <w:t>6</w:t>
      </w:r>
      <w:r>
        <w:rPr>
          <w:rFonts w:ascii="宋体" w:hAnsi="宋体" w:hint="eastAsia"/>
          <w:bCs/>
          <w:szCs w:val="21"/>
        </w:rPr>
        <w:t>）履约验收标准：</w:t>
      </w:r>
      <w:r>
        <w:rPr>
          <w:rFonts w:ascii="宋体" w:hAnsi="宋体" w:hint="eastAsia"/>
          <w:bCs/>
          <w:szCs w:val="21"/>
          <w:u w:val="single"/>
        </w:rPr>
        <w:t xml:space="preserve">                                         </w:t>
      </w:r>
    </w:p>
    <w:p w:rsidR="001A4BE6">
      <w:pPr>
        <w:pStyle w:val="AONormal"/>
        <w:ind w:firstLine="420"/>
        <w:rPr>
          <w:rFonts w:ascii="宋体" w:eastAsia="宋体" w:hAnsi="宋体" w:cs="宋体"/>
          <w:sz w:val="21"/>
        </w:rPr>
      </w:pPr>
      <w:r>
        <w:rPr>
          <w:rFonts w:ascii="宋体" w:eastAsia="宋体" w:hAnsi="宋体" w:cs="宋体" w:hint="eastAsia"/>
          <w:bCs/>
          <w:sz w:val="21"/>
        </w:rPr>
        <w:t>（</w:t>
      </w:r>
      <w:r>
        <w:rPr>
          <w:rFonts w:ascii="宋体" w:eastAsia="宋体" w:hAnsi="宋体" w:cs="宋体" w:hint="eastAsia"/>
          <w:bCs/>
          <w:sz w:val="21"/>
        </w:rPr>
        <w:t>7</w:t>
      </w:r>
      <w:r>
        <w:rPr>
          <w:rFonts w:ascii="宋体" w:eastAsia="宋体" w:hAnsi="宋体" w:cs="宋体" w:hint="eastAsia"/>
          <w:bCs/>
          <w:sz w:val="21"/>
        </w:rPr>
        <w:t>）是否以采购活动中供应商提供的样品作为参考：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是</w:t>
      </w:r>
      <w:r>
        <w:rPr>
          <w:rFonts w:ascii="宋体" w:eastAsia="宋体" w:hAnsi="宋体" w:cs="宋体" w:hint="eastAsia"/>
          <w:bCs/>
          <w:sz w:val="21"/>
        </w:rPr>
        <w:t xml:space="preserve">  </w:t>
      </w:r>
      <w:r>
        <w:rPr>
          <w:rFonts w:ascii="Wingdings" w:eastAsia="宋体" w:hAnsi="Wingdings" w:cs="宋体"/>
          <w:sz w:val="21"/>
        </w:rPr>
        <w:sym w:font="Wingdings" w:char="F0A8"/>
      </w:r>
      <w:r>
        <w:rPr>
          <w:rFonts w:ascii="宋体" w:eastAsia="宋体" w:hAnsi="宋体" w:cs="宋体" w:hint="eastAsia"/>
          <w:bCs/>
          <w:sz w:val="21"/>
        </w:rPr>
        <w:t>否</w:t>
      </w:r>
    </w:p>
    <w:p w:rsidR="001A4BE6">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w:t>
      </w:r>
      <w:r>
        <w:rPr>
          <w:rFonts w:ascii="宋体" w:hAnsi="宋体" w:cs="宋体" w:hint="eastAsia"/>
          <w:bCs/>
          <w:szCs w:val="21"/>
        </w:rPr>
        <w:t>8</w:t>
      </w:r>
      <w:r>
        <w:rPr>
          <w:rFonts w:ascii="宋体" w:hAnsi="宋体" w:cs="宋体" w:hint="eastAsia"/>
          <w:bCs/>
          <w:szCs w:val="21"/>
        </w:rPr>
        <w:t>）履约验收其他事项：</w:t>
      </w:r>
      <w:r>
        <w:rPr>
          <w:rFonts w:ascii="宋体" w:hAnsi="宋体" w:cs="宋体" w:hint="eastAsia"/>
          <w:bCs/>
          <w:szCs w:val="21"/>
          <w:u w:val="single"/>
        </w:rPr>
        <w:t xml:space="preserve">      </w:t>
      </w:r>
      <w:r>
        <w:rPr>
          <w:rFonts w:ascii="宋体" w:hAnsi="宋体" w:cs="宋体" w:hint="eastAsia"/>
          <w:bCs/>
          <w:szCs w:val="21"/>
          <w:u w:val="single"/>
        </w:rPr>
        <w:t>（产权过户登记等）</w:t>
      </w:r>
      <w:r>
        <w:rPr>
          <w:rFonts w:ascii="宋体" w:hAnsi="宋体" w:cs="宋体" w:hint="eastAsia"/>
          <w:bCs/>
          <w:szCs w:val="21"/>
          <w:u w:val="single"/>
        </w:rPr>
        <w:t xml:space="preserve">          </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）政府采购合同协议书及其变更、补充协议</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）政府采购合同专用条款</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）政府采购合同通用条款</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）中标（成交）通知书</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）投标（响应）文件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）采购文件</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hint="eastAsia"/>
          <w:szCs w:val="21"/>
        </w:rPr>
        <w:t>7</w:t>
      </w:r>
      <w:r>
        <w:rPr>
          <w:rFonts w:ascii="宋体" w:hAnsi="宋体" w:hint="eastAsia"/>
          <w:szCs w:val="21"/>
        </w:rPr>
        <w:t>）有关技术文件，图纸</w:t>
      </w:r>
    </w:p>
    <w:p w:rsidR="001A4BE6">
      <w:pPr>
        <w:pStyle w:val="AONormal"/>
        <w:ind w:firstLine="420"/>
        <w:rPr>
          <w:rFonts w:ascii="宋体" w:eastAsia="宋体" w:hAnsi="宋体" w:cs="宋体"/>
          <w:kern w:val="2"/>
          <w:sz w:val="21"/>
        </w:rPr>
      </w:pPr>
      <w:r>
        <w:rPr>
          <w:rFonts w:ascii="宋体" w:eastAsia="宋体" w:hAnsi="宋体" w:cs="宋体" w:hint="eastAsia"/>
          <w:sz w:val="21"/>
        </w:rPr>
        <w:t>（</w:t>
      </w:r>
      <w:r>
        <w:rPr>
          <w:rFonts w:ascii="宋体" w:eastAsia="宋体" w:hAnsi="宋体" w:cs="宋体" w:hint="eastAsia"/>
          <w:sz w:val="21"/>
        </w:rPr>
        <w:t>8</w:t>
      </w:r>
      <w:r>
        <w:rPr>
          <w:rFonts w:ascii="宋体" w:eastAsia="宋体" w:hAnsi="宋体" w:cs="宋体" w:hint="eastAsia"/>
          <w:sz w:val="21"/>
        </w:rPr>
        <w:t>）</w:t>
      </w:r>
      <w:r>
        <w:rPr>
          <w:rFonts w:ascii="宋体" w:eastAsia="宋体" w:hAnsi="宋体" w:cs="宋体" w:hint="eastAsia"/>
          <w:color w:val="000000"/>
          <w:kern w:val="2"/>
          <w:sz w:val="21"/>
        </w:rPr>
        <w:t>国家法律、行政法规和规章制度规定或合同约定的作为合同组成部分的其他文件</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A4BE6">
      <w:pPr>
        <w:numPr>
          <w:ilvl w:val="0"/>
          <w:numId w:val="7"/>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A4BE6">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A4BE6">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A4BE6">
      <w:r>
        <w:rPr>
          <w:rFonts w:hint="eastAsia"/>
        </w:rPr>
        <w:br w:type="page"/>
      </w:r>
    </w:p>
    <w:p w:rsidR="001A4BE6">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A4BE6">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A4BE6">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法定代表人</w:t>
            </w:r>
          </w:p>
          <w:p w:rsidR="001A4BE6">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法定代表人</w:t>
            </w:r>
          </w:p>
          <w:p w:rsidR="001A4BE6">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A4BE6">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A4BE6">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A4BE6">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A4BE6">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w:t>
      </w:r>
      <w:r>
        <w:rPr>
          <w:rFonts w:ascii="黑体" w:hAnsi="黑体" w:hint="eastAsia"/>
          <w:b w:val="0"/>
          <w:bCs w:val="0"/>
          <w:sz w:val="28"/>
          <w:szCs w:val="28"/>
        </w:rPr>
        <w:t xml:space="preserve"> </w:t>
      </w:r>
      <w:r>
        <w:rPr>
          <w:rFonts w:ascii="黑体" w:hAnsi="黑体" w:hint="eastAsia"/>
          <w:b w:val="0"/>
          <w:bCs w:val="0"/>
          <w:sz w:val="28"/>
          <w:szCs w:val="28"/>
        </w:rPr>
        <w:t>政府采购合同通用条款</w:t>
      </w:r>
      <w:bookmarkEnd w:id="73"/>
    </w:p>
    <w:p w:rsidR="001A4BE6">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w:t>
      </w:r>
      <w:r>
        <w:rPr>
          <w:rFonts w:ascii="宋体" w:hAnsi="宋体" w:hint="eastAsia"/>
          <w:color w:val="000000"/>
          <w:szCs w:val="21"/>
        </w:rPr>
        <w:t>合同当事人</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）采购人（以下称甲方）是指使用财政性资金，通过政府采购方式向供应商购买货物及其相关服务的国家机关、事业单位、团体组织。</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）供应商（以下称乙方）是指参加政府采购活动并且中标（成交），向采购人提供合同约定的货物及其相关服务的法人、非法人组织或者自然人。</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w:t>
      </w:r>
      <w:r>
        <w:rPr>
          <w:rFonts w:ascii="宋体" w:hAnsi="宋体" w:hint="eastAsia"/>
          <w:szCs w:val="21"/>
        </w:rPr>
        <w:t>本合同下列术语应解释为：</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）“合同价款”系指根据本合同规定乙方在全面履行合同义务后甲方应支付给乙方的价款。</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w:t>
      </w:r>
      <w:r>
        <w:rPr>
          <w:rFonts w:ascii="宋体" w:hAnsi="宋体" w:hint="eastAsia"/>
          <w:szCs w:val="21"/>
        </w:rPr>
        <w:t>3</w:t>
      </w:r>
      <w:r>
        <w:rPr>
          <w:rFonts w:ascii="宋体" w:hAnsi="宋体" w:hint="eastAsia"/>
          <w:szCs w:val="21"/>
        </w:rPr>
        <w:t>）“货物”系指乙方根据本合同规定须向甲方提供的各种形态和种类的物品，包括原材料、设备、产品（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4</w:t>
      </w:r>
      <w:r>
        <w:rPr>
          <w:rFonts w:ascii="宋体" w:hAnsi="宋体" w:hint="eastAsia"/>
          <w:color w:val="000000"/>
          <w:szCs w:val="21"/>
        </w:rPr>
        <w:t>）“</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5</w:t>
      </w:r>
      <w:r>
        <w:rPr>
          <w:rFonts w:ascii="宋体" w:hAnsi="宋体" w:hint="eastAsia"/>
          <w:color w:val="000000"/>
          <w:szCs w:val="21"/>
        </w:rPr>
        <w:t>）“分包”系指中标（成交）供应商按采购文件、投标（响应）文件的规定，根据分包意向协议，将中标（成交）项目中的部分履约内</w:t>
      </w:r>
      <w:r>
        <w:rPr>
          <w:rFonts w:ascii="宋体" w:hAnsi="宋体" w:hint="eastAsia"/>
          <w:color w:val="000000"/>
          <w:szCs w:val="21"/>
        </w:rPr>
        <w:t>容，分给具有相应资质条件的供应商履行合同的行为。</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6</w:t>
      </w:r>
      <w:r>
        <w:rPr>
          <w:rFonts w:ascii="宋体" w:hAnsi="宋体" w:hint="eastAsia"/>
          <w:color w:val="000000"/>
          <w:szCs w:val="21"/>
        </w:rPr>
        <w:t>）</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A4BE6">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w:t>
      </w:r>
      <w:r>
        <w:rPr>
          <w:rFonts w:ascii="宋体" w:hAnsi="宋体" w:hint="eastAsia"/>
          <w:color w:val="000000"/>
          <w:szCs w:val="21"/>
        </w:rPr>
        <w:t>7</w:t>
      </w:r>
      <w:r>
        <w:rPr>
          <w:rFonts w:ascii="宋体" w:hAnsi="宋体" w:hint="eastAsia"/>
          <w:color w:val="000000"/>
          <w:szCs w:val="21"/>
        </w:rPr>
        <w:t>）其他术语解释，见【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A4BE6">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A4BE6">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 xml:space="preserve">2.1 </w:t>
      </w:r>
      <w:r>
        <w:rPr>
          <w:rFonts w:ascii="宋体" w:hAnsi="宋体" w:hint="eastAsia"/>
          <w:color w:val="000000"/>
          <w:szCs w:val="21"/>
        </w:rPr>
        <w:t>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A4BE6">
      <w:pPr>
        <w:adjustRightInd w:val="0"/>
        <w:snapToGrid w:val="0"/>
        <w:spacing w:line="400" w:lineRule="exact"/>
        <w:jc w:val="left"/>
        <w:rPr>
          <w:rFonts w:ascii="宋体" w:hAnsi="宋体"/>
          <w:b/>
          <w:color w:val="000000"/>
        </w:rPr>
      </w:pPr>
      <w:r>
        <w:rPr>
          <w:rFonts w:ascii="宋体" w:hAnsi="宋体" w:hint="eastAsia"/>
          <w:b/>
          <w:color w:val="000000"/>
          <w:sz w:val="24"/>
        </w:rPr>
        <w:t xml:space="preserve">3. </w:t>
      </w:r>
      <w:r>
        <w:rPr>
          <w:rFonts w:ascii="宋体" w:hAnsi="宋体" w:hint="eastAsia"/>
          <w:b/>
          <w:color w:val="000000"/>
          <w:sz w:val="24"/>
        </w:rPr>
        <w:t>履行合同的时间、地点和方式</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4. </w:t>
      </w:r>
      <w:r>
        <w:rPr>
          <w:rFonts w:ascii="宋体" w:hAnsi="宋体" w:hint="eastAsia"/>
          <w:b/>
          <w:bCs/>
          <w:color w:val="000000"/>
          <w:sz w:val="24"/>
        </w:rPr>
        <w:t>甲方的权利和义务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w:t>
      </w:r>
      <w:r>
        <w:rPr>
          <w:rFonts w:ascii="宋体" w:hAnsi="宋体"/>
          <w:color w:val="000000"/>
          <w:szCs w:val="21"/>
        </w:rPr>
        <w:t>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w:t>
      </w:r>
      <w:r>
        <w:rPr>
          <w:rFonts w:ascii="宋体" w:hAnsi="宋体" w:hint="eastAsia"/>
          <w:color w:val="000000"/>
          <w:szCs w:val="21"/>
        </w:rPr>
        <w:t>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A4BE6">
      <w:pPr>
        <w:snapToGrid w:val="0"/>
        <w:spacing w:line="400" w:lineRule="exact"/>
        <w:ind w:firstLine="420" w:firstLineChars="200"/>
        <w:rPr>
          <w:rFonts w:eastAsia="华文楷体"/>
        </w:rPr>
      </w:pPr>
      <w:r>
        <w:rPr>
          <w:rFonts w:ascii="宋体" w:hAnsi="宋体"/>
          <w:color w:val="000000"/>
          <w:szCs w:val="21"/>
        </w:rPr>
        <w:t xml:space="preserve">4.4 </w:t>
      </w:r>
      <w:r>
        <w:rPr>
          <w:rFonts w:ascii="宋体" w:hAnsi="宋体"/>
          <w:color w:val="000000"/>
          <w:szCs w:val="21"/>
        </w:rPr>
        <w:t>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5. </w:t>
      </w:r>
      <w:r>
        <w:rPr>
          <w:rFonts w:ascii="宋体" w:hAnsi="宋体" w:hint="eastAsia"/>
          <w:b/>
          <w:bCs/>
          <w:color w:val="000000"/>
          <w:sz w:val="24"/>
        </w:rPr>
        <w:t>乙方的权利和义务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 xml:space="preserve">2 </w:t>
      </w:r>
      <w:r>
        <w:rPr>
          <w:rFonts w:ascii="宋体" w:hAnsi="宋体"/>
          <w:color w:val="000000"/>
          <w:szCs w:val="21"/>
        </w:rPr>
        <w:t>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A4BE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A4BE6">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A4BE6">
      <w:pPr>
        <w:numPr>
          <w:ilvl w:val="0"/>
          <w:numId w:val="11"/>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6.1 </w:t>
      </w:r>
      <w:r>
        <w:rPr>
          <w:rFonts w:ascii="宋体" w:hAnsi="宋体" w:hint="eastAsia"/>
          <w:color w:val="000000"/>
          <w:szCs w:val="21"/>
        </w:rPr>
        <w:t>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A4BE6">
      <w:pPr>
        <w:autoSpaceDE w:val="0"/>
        <w:autoSpaceDN w:val="0"/>
        <w:adjustRightInd w:val="0"/>
        <w:snapToGrid w:val="0"/>
        <w:spacing w:line="400" w:lineRule="exact"/>
        <w:ind w:firstLine="420" w:firstLineChars="200"/>
        <w:jc w:val="left"/>
      </w:pPr>
      <w:r>
        <w:rPr>
          <w:rFonts w:ascii="宋体" w:hAnsi="宋体" w:hint="eastAsia"/>
          <w:color w:val="000000"/>
          <w:szCs w:val="21"/>
        </w:rPr>
        <w:t xml:space="preserve">6.2 </w:t>
      </w:r>
      <w:r>
        <w:rPr>
          <w:rFonts w:ascii="宋体" w:hAnsi="宋体" w:hint="eastAsia"/>
          <w:color w:val="000000"/>
          <w:szCs w:val="21"/>
        </w:rPr>
        <w:t>甲乙双方按照合同约定顺序履行合同义务时，应当先履行一方未履行的，后履行一方有权拒绝其履行请求。先履行一方履行不符合约定的，后履行一方有权拒绝其相应的履行请求。</w:t>
      </w:r>
    </w:p>
    <w:p w:rsidR="001A4BE6">
      <w:pPr>
        <w:adjustRightInd w:val="0"/>
        <w:snapToGrid w:val="0"/>
        <w:spacing w:line="400" w:lineRule="exact"/>
        <w:jc w:val="left"/>
        <w:rPr>
          <w:rFonts w:ascii="宋体" w:hAnsi="宋体"/>
          <w:b/>
          <w:bCs/>
          <w:color w:val="000000"/>
        </w:rPr>
      </w:pPr>
      <w:r>
        <w:rPr>
          <w:rFonts w:ascii="宋体" w:hAnsi="宋体" w:hint="eastAsia"/>
          <w:b/>
          <w:bCs/>
          <w:color w:val="000000"/>
          <w:sz w:val="24"/>
        </w:rPr>
        <w:t xml:space="preserve">7. </w:t>
      </w:r>
      <w:r>
        <w:rPr>
          <w:rFonts w:ascii="宋体" w:hAnsi="宋体" w:hint="eastAsia"/>
          <w:b/>
          <w:bCs/>
          <w:color w:val="000000"/>
          <w:sz w:val="24"/>
        </w:rPr>
        <w:t>货物包装、运输、保险和交付要求</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7.1 </w:t>
      </w:r>
      <w:r>
        <w:rPr>
          <w:rFonts w:ascii="宋体" w:hAnsi="宋体" w:hint="eastAsia"/>
          <w:color w:val="000000"/>
          <w:szCs w:val="21"/>
        </w:rPr>
        <w:t>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7.2 </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A4BE6">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7.3 </w:t>
      </w:r>
      <w:r>
        <w:rPr>
          <w:rFonts w:ascii="宋体" w:hAnsi="宋体" w:hint="eastAsia"/>
          <w:color w:val="000000"/>
          <w:szCs w:val="21"/>
        </w:rPr>
        <w:t>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7.4 </w:t>
      </w:r>
      <w:r>
        <w:rPr>
          <w:rFonts w:ascii="宋体" w:hAnsi="宋体" w:hint="eastAsia"/>
          <w:color w:val="000000"/>
          <w:szCs w:val="21"/>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w:t>
      </w:r>
      <w:r>
        <w:rPr>
          <w:rFonts w:ascii="宋体" w:hAnsi="宋体" w:cs="宋体" w:hint="eastAsia"/>
          <w:color w:val="000000"/>
          <w:szCs w:val="21"/>
        </w:rPr>
        <w:t>货物运输装卸的注意事项，甲方配合乙方做好货物的接收工作。</w:t>
      </w:r>
    </w:p>
    <w:p w:rsidR="001A4BE6">
      <w:pPr>
        <w:pStyle w:val="AONormal"/>
        <w:ind w:firstLine="420"/>
        <w:rPr>
          <w:sz w:val="21"/>
        </w:rPr>
      </w:pPr>
      <w:r>
        <w:rPr>
          <w:rFonts w:ascii="宋体" w:eastAsia="宋体" w:hAnsi="宋体" w:cs="Times New Roman" w:hint="eastAsia"/>
          <w:color w:val="000000"/>
          <w:kern w:val="2"/>
          <w:sz w:val="21"/>
        </w:rPr>
        <w:t xml:space="preserve">7.6 </w:t>
      </w:r>
      <w:r>
        <w:rPr>
          <w:rFonts w:ascii="宋体" w:eastAsia="宋体" w:hAnsi="宋体" w:cs="Times New Roman" w:hint="eastAsia"/>
          <w:color w:val="000000"/>
          <w:kern w:val="2"/>
          <w:sz w:val="21"/>
        </w:rPr>
        <w:t>如因包装、运输问题导致货物损毁、丢失或者品质下降，甲方有权要求降价、换货、拒收部分或整批货物，由此产生的费用和损失，均由乙方承担。</w:t>
      </w:r>
    </w:p>
    <w:p w:rsidR="001A4BE6">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A4BE6">
      <w:pPr>
        <w:pStyle w:val="PlainText"/>
        <w:adjustRightInd w:val="0"/>
        <w:snapToGrid w:val="0"/>
        <w:spacing w:line="400" w:lineRule="exact"/>
        <w:ind w:firstLine="420" w:firstLineChars="200"/>
        <w:jc w:val="left"/>
        <w:rPr>
          <w:rFonts w:hAnsi="宋体"/>
          <w:b/>
        </w:rPr>
      </w:pPr>
      <w:r>
        <w:rPr>
          <w:rFonts w:hAnsi="宋体" w:hint="eastAsia"/>
        </w:rPr>
        <w:t xml:space="preserve">8.1 </w:t>
      </w:r>
      <w:r>
        <w:rPr>
          <w:rFonts w:hAnsi="宋体" w:hint="eastAsia"/>
        </w:rPr>
        <w:t>质量标准</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A4BE6">
      <w:pPr>
        <w:pStyle w:val="PlainText"/>
        <w:adjustRightInd w:val="0"/>
        <w:snapToGrid w:val="0"/>
        <w:spacing w:line="400" w:lineRule="exact"/>
        <w:ind w:firstLine="420" w:firstLineChars="200"/>
        <w:jc w:val="left"/>
        <w:rPr>
          <w:rFonts w:hAnsi="宋体"/>
        </w:rPr>
      </w:pPr>
      <w:r>
        <w:rPr>
          <w:rFonts w:hAnsi="宋体" w:hint="eastAsia"/>
        </w:rPr>
        <w:t>（</w:t>
      </w:r>
      <w:r>
        <w:rPr>
          <w:rFonts w:hAnsi="宋体" w:hint="eastAsia"/>
        </w:rPr>
        <w:t>2</w:t>
      </w:r>
      <w:r>
        <w:rPr>
          <w:rFonts w:hAnsi="宋体" w:hint="eastAsia"/>
        </w:rPr>
        <w:t>）采用中华人民共和国法定计量单位。</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）乙方所提供的货物应符合国家有关安全、环保、卫生的规定。</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）乙方应向甲方提交所提供货物的技术文件，包括相应的中文技术文件，如：产品目录、图纸、操作手册、使用说明、维护手册或服务指南等。上述文件应包装好随货物一同发运。</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8.2 </w:t>
      </w:r>
      <w:r>
        <w:rPr>
          <w:rFonts w:ascii="宋体" w:hAnsi="宋体" w:hint="eastAsia"/>
          <w:szCs w:val="21"/>
        </w:rPr>
        <w:t>保证</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）乙方应保证提供的货物完全符</w:t>
      </w:r>
      <w:r>
        <w:rPr>
          <w:rFonts w:ascii="宋体" w:hAnsi="宋体" w:hint="eastAsia"/>
          <w:szCs w:val="21"/>
        </w:rPr>
        <w:t>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）在质量保证期内所发现的缺陷，甲方应尽快以书面形式通知乙方。</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）在质量保证期内，如果货物的质量或规格与合同不符，或证实货物是有缺陷的，</w:t>
      </w:r>
      <w:r>
        <w:rPr>
          <w:rFonts w:ascii="宋体" w:hAnsi="宋体" w:hint="eastAsia"/>
          <w:szCs w:val="21"/>
        </w:rPr>
        <w:t>包括潜在的缺陷或使用不符合要求的材料等，甲方可以根据本合同第</w:t>
      </w:r>
      <w:r>
        <w:rPr>
          <w:rFonts w:ascii="宋体" w:hAnsi="宋体" w:hint="eastAsia"/>
          <w:szCs w:val="21"/>
        </w:rPr>
        <w:t>1</w:t>
      </w:r>
      <w:r>
        <w:rPr>
          <w:rFonts w:ascii="宋体" w:hAnsi="宋体" w:hint="eastAsia"/>
          <w:color w:val="000000"/>
          <w:szCs w:val="21"/>
        </w:rPr>
        <w:t>5</w:t>
      </w:r>
      <w:r>
        <w:rPr>
          <w:rFonts w:ascii="宋体" w:hAnsi="宋体" w:hint="eastAsia"/>
          <w:szCs w:val="21"/>
        </w:rPr>
        <w:t>.1</w:t>
      </w:r>
      <w:r>
        <w:rPr>
          <w:rFonts w:ascii="宋体" w:hAnsi="宋体" w:hint="eastAsia"/>
          <w:szCs w:val="21"/>
        </w:rPr>
        <w:t>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A4BE6">
      <w:pPr>
        <w:adjustRightInd w:val="0"/>
        <w:snapToGrid w:val="0"/>
        <w:spacing w:line="400" w:lineRule="exact"/>
        <w:ind w:firstLine="420" w:firstLineChars="200"/>
        <w:jc w:val="left"/>
      </w:pPr>
      <w:r>
        <w:rPr>
          <w:rFonts w:ascii="宋体" w:hAnsi="宋体" w:hint="eastAsia"/>
          <w:szCs w:val="21"/>
        </w:rPr>
        <w:t>（</w:t>
      </w:r>
      <w:r>
        <w:rPr>
          <w:rFonts w:ascii="宋体" w:hAnsi="宋体" w:hint="eastAsia"/>
          <w:szCs w:val="21"/>
        </w:rPr>
        <w:t>5</w:t>
      </w:r>
      <w:r>
        <w:rPr>
          <w:rFonts w:ascii="宋体" w:hAnsi="宋体" w:hint="eastAsia"/>
          <w:szCs w:val="21"/>
        </w:rPr>
        <w:t>）乙方在约定的时间内未能弥补缺陷，甲方可采取必要的补救措施，但其风险和费用将由乙方承担，甲方根据合同约定对乙方行使的其他权利不受影响。</w:t>
      </w:r>
    </w:p>
    <w:p w:rsidR="001A4BE6">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9.1 </w:t>
      </w:r>
      <w:r>
        <w:rPr>
          <w:rFonts w:ascii="宋体" w:hAnsi="宋体" w:hint="eastAsia"/>
          <w:color w:val="000000"/>
          <w:szCs w:val="21"/>
        </w:rPr>
        <w:t>乙方保证对其出售的货物享有合法的权利。</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A4BE6">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9.3 </w:t>
      </w:r>
      <w:r>
        <w:rPr>
          <w:rFonts w:ascii="宋体" w:hAnsi="宋体" w:hint="eastAsia"/>
          <w:color w:val="000000"/>
          <w:szCs w:val="21"/>
        </w:rPr>
        <w:t>如甲方使用上述货物构成对第三人侵权的，则由乙方承担全部责任。</w:t>
      </w:r>
    </w:p>
    <w:p w:rsidR="001A4BE6">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 xml:space="preserve">10. </w:t>
      </w:r>
      <w:r>
        <w:rPr>
          <w:rFonts w:ascii="宋体" w:hAnsi="宋体" w:hint="eastAsia"/>
          <w:b/>
          <w:bCs/>
          <w:color w:val="000000"/>
          <w:sz w:val="24"/>
        </w:rPr>
        <w:t>知识产权保护</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 xml:space="preserve">10.1 </w:t>
      </w:r>
      <w:r>
        <w:rPr>
          <w:rFonts w:ascii="宋体" w:hAnsi="宋体" w:hint="eastAsia"/>
          <w:color w:val="000000"/>
          <w:szCs w:val="21"/>
        </w:rPr>
        <w:t>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11. </w:t>
      </w:r>
      <w:r>
        <w:rPr>
          <w:rFonts w:ascii="宋体" w:hAnsi="宋体" w:hint="eastAsia"/>
          <w:b/>
          <w:bCs/>
          <w:sz w:val="24"/>
        </w:rPr>
        <w:t>保密义务</w:t>
      </w:r>
    </w:p>
    <w:p w:rsidR="001A4BE6">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 xml:space="preserve">11.1 </w:t>
      </w:r>
      <w:r>
        <w:rPr>
          <w:rFonts w:ascii="宋体" w:hAnsi="宋体" w:cs="宋体" w:hint="eastAsia"/>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ascii="宋体" w:hAnsi="宋体" w:cs="宋体" w:hint="eastAsia"/>
          <w:szCs w:val="15"/>
        </w:rPr>
        <w:t>密的信息由双方在</w:t>
      </w:r>
      <w:r>
        <w:rPr>
          <w:rFonts w:ascii="宋体" w:hAnsi="宋体" w:cs="宋体" w:hint="eastAsia"/>
          <w:b/>
          <w:bCs/>
          <w:szCs w:val="15"/>
        </w:rPr>
        <w:t>【政府采购合同专用条款】</w:t>
      </w:r>
      <w:r>
        <w:rPr>
          <w:rFonts w:ascii="宋体" w:hAnsi="宋体" w:cs="宋体" w:hint="eastAsia"/>
          <w:szCs w:val="15"/>
        </w:rPr>
        <w:t>中约定。</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12. </w:t>
      </w:r>
      <w:r>
        <w:rPr>
          <w:rFonts w:ascii="宋体" w:hAnsi="宋体" w:hint="eastAsia"/>
          <w:b/>
          <w:bCs/>
          <w:sz w:val="24"/>
        </w:rPr>
        <w:t>合同价款支付</w:t>
      </w:r>
    </w:p>
    <w:p w:rsidR="001A4BE6">
      <w:pPr>
        <w:numPr>
          <w:ilvl w:val="1"/>
          <w:numId w:val="12"/>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A4BE6">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w:t>
      </w:r>
      <w:r>
        <w:rPr>
          <w:rFonts w:ascii="宋体" w:eastAsia="宋体" w:hAnsi="宋体" w:hint="eastAsia"/>
          <w:szCs w:val="21"/>
        </w:rPr>
        <w:t>10</w:t>
      </w:r>
      <w:r>
        <w:rPr>
          <w:rFonts w:ascii="宋体" w:eastAsia="宋体" w:hAnsi="宋体" w:hint="eastAsia"/>
          <w:szCs w:val="21"/>
        </w:rPr>
        <w:t>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w:t>
      </w:r>
      <w:r>
        <w:rPr>
          <w:rFonts w:ascii="宋体" w:eastAsia="宋体" w:hAnsi="宋体" w:hint="eastAsia"/>
          <w:szCs w:val="21"/>
        </w:rPr>
        <w:t>政府采购合同专用条款</w:t>
      </w:r>
      <w:r>
        <w:rPr>
          <w:rFonts w:ascii="宋体" w:eastAsia="宋体" w:hAnsi="宋体" w:hint="eastAsia"/>
          <w:szCs w:val="21"/>
        </w:rPr>
        <w:t>】中</w:t>
      </w:r>
      <w:r>
        <w:rPr>
          <w:rFonts w:ascii="宋体" w:hAnsi="宋体" w:hint="eastAsia"/>
          <w:szCs w:val="21"/>
        </w:rPr>
        <w:t>约</w:t>
      </w:r>
      <w:r>
        <w:rPr>
          <w:rFonts w:ascii="宋体" w:eastAsia="宋体" w:hAnsi="宋体" w:hint="eastAsia"/>
          <w:szCs w:val="21"/>
        </w:rPr>
        <w:t>定。</w:t>
      </w:r>
    </w:p>
    <w:p w:rsidR="001A4BE6">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13.2 </w:t>
      </w:r>
      <w:r>
        <w:rPr>
          <w:rFonts w:ascii="宋体" w:hAnsi="宋体" w:hint="eastAsia"/>
          <w:szCs w:val="21"/>
        </w:rPr>
        <w:t>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A4BE6">
      <w:pPr>
        <w:spacing w:line="400" w:lineRule="exact"/>
        <w:ind w:firstLine="420"/>
      </w:pPr>
      <w:r>
        <w:rPr>
          <w:rFonts w:ascii="宋体" w:hAnsi="宋体" w:hint="eastAsia"/>
          <w:szCs w:val="21"/>
        </w:rPr>
        <w:t xml:space="preserve">13.3 </w:t>
      </w:r>
      <w:r>
        <w:rPr>
          <w:rFonts w:ascii="宋体" w:hAnsi="宋体" w:hint="eastAsia"/>
          <w:szCs w:val="21"/>
        </w:rPr>
        <w:t>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A4BE6">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除项目不涉及或采购活动中明确约定无须承担外，乙方还应提供下列服务：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）货物的现场移动</w:t>
      </w:r>
      <w:r>
        <w:rPr>
          <w:rFonts w:ascii="宋体" w:hAnsi="宋体" w:hint="eastAsia"/>
          <w:szCs w:val="21"/>
        </w:rPr>
        <w:t>、安装、调试、启动监督及技术支持；</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）提供货物组装和维修所需的专用工具和辅助材料；</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4</w:t>
      </w:r>
      <w:r>
        <w:rPr>
          <w:rFonts w:ascii="宋体" w:hAnsi="宋体" w:hint="eastAsia"/>
          <w:szCs w:val="21"/>
        </w:rPr>
        <w:t>）在制造商所在地或指定现场就货物的安装、启动、运营、维护、废弃处置等对甲方操作人员进行培训</w:t>
      </w:r>
      <w:r>
        <w:rPr>
          <w:rFonts w:ascii="宋体" w:hAnsi="宋体" w:cs="宋体" w:hint="eastAsia"/>
          <w:szCs w:val="15"/>
        </w:rPr>
        <w:t>；</w:t>
      </w:r>
    </w:p>
    <w:p w:rsidR="001A4BE6">
      <w:pPr>
        <w:pStyle w:val="AONormal"/>
        <w:ind w:firstLine="420"/>
        <w:rPr>
          <w:rFonts w:ascii="宋体" w:eastAsia="宋体" w:hAnsi="宋体" w:cs="宋体"/>
          <w:sz w:val="21"/>
        </w:rPr>
      </w:pPr>
      <w:r>
        <w:rPr>
          <w:rFonts w:ascii="宋体" w:eastAsia="宋体" w:hAnsi="宋体" w:cs="宋体" w:hint="eastAsia"/>
          <w:sz w:val="21"/>
        </w:rPr>
        <w:t>（</w:t>
      </w:r>
      <w:r>
        <w:rPr>
          <w:rFonts w:ascii="宋体" w:eastAsia="宋体" w:hAnsi="宋体" w:cs="宋体" w:hint="eastAsia"/>
          <w:sz w:val="21"/>
        </w:rPr>
        <w:t>5</w:t>
      </w:r>
      <w:r>
        <w:rPr>
          <w:rFonts w:ascii="宋体" w:eastAsia="宋体" w:hAnsi="宋体" w:cs="宋体" w:hint="eastAsia"/>
          <w:sz w:val="21"/>
        </w:rPr>
        <w:t>）依照法律、行政法规的规定或者按照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6</w:t>
      </w:r>
      <w:r>
        <w:rPr>
          <w:rFonts w:ascii="宋体" w:hAnsi="宋体" w:hint="eastAsia"/>
          <w:szCs w:val="21"/>
        </w:rPr>
        <w:t>）</w:t>
      </w:r>
      <w:r>
        <w:rPr>
          <w:rFonts w:ascii="宋体" w:hAnsi="宋体" w:hint="eastAsia"/>
          <w:b/>
          <w:szCs w:val="21"/>
        </w:rPr>
        <w:t>【政府采购合同专用条款】</w:t>
      </w:r>
      <w:r>
        <w:rPr>
          <w:rFonts w:ascii="宋体" w:hAnsi="宋体" w:hint="eastAsia"/>
          <w:szCs w:val="21"/>
        </w:rPr>
        <w:t>规定由乙方提供的其他服务。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14.2 </w:t>
      </w:r>
      <w:r>
        <w:rPr>
          <w:rFonts w:ascii="宋体" w:hAnsi="宋体" w:hint="eastAsia"/>
          <w:szCs w:val="21"/>
        </w:rPr>
        <w:t>乙方提供的售后服务的费用已包含在合同价款中，甲方不再另行支付。</w:t>
      </w:r>
    </w:p>
    <w:p w:rsidR="001A4BE6">
      <w:pPr>
        <w:adjustRightInd w:val="0"/>
        <w:snapToGrid w:val="0"/>
        <w:spacing w:line="400" w:lineRule="exact"/>
        <w:jc w:val="left"/>
        <w:rPr>
          <w:rFonts w:ascii="宋体" w:hAnsi="宋体"/>
          <w:b/>
          <w:bCs/>
        </w:rPr>
      </w:pPr>
      <w:r>
        <w:rPr>
          <w:rFonts w:ascii="宋体" w:hAnsi="宋体" w:hint="eastAsia"/>
          <w:b/>
          <w:bCs/>
          <w:sz w:val="24"/>
        </w:rPr>
        <w:t xml:space="preserve">15. </w:t>
      </w:r>
      <w:r>
        <w:rPr>
          <w:rFonts w:ascii="宋体" w:hAnsi="宋体" w:hint="eastAsia"/>
          <w:b/>
          <w:bCs/>
          <w:sz w:val="24"/>
        </w:rPr>
        <w:t>违约责任</w:t>
      </w:r>
    </w:p>
    <w:p w:rsidR="001A4BE6">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w:t>
      </w:r>
      <w:r>
        <w:rPr>
          <w:rFonts w:ascii="宋体" w:hAnsi="宋体" w:hint="eastAsia"/>
          <w:bCs/>
          <w:szCs w:val="21"/>
        </w:rPr>
        <w:t>质量瑕疵的违约责任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A4BE6">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 xml:space="preserve">15.2 </w:t>
      </w:r>
      <w:r>
        <w:rPr>
          <w:rFonts w:ascii="宋体" w:hAnsi="宋体" w:hint="eastAsia"/>
          <w:bCs/>
          <w:szCs w:val="21"/>
        </w:rPr>
        <w:t>迟延交货的违约责任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w:t>
      </w:r>
      <w:r>
        <w:rPr>
          <w:rFonts w:ascii="宋体" w:hAnsi="宋体" w:hint="eastAsia"/>
          <w:szCs w:val="21"/>
        </w:rPr>
        <w:t>补救措施。</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15.3 </w:t>
      </w:r>
      <w:r>
        <w:rPr>
          <w:rFonts w:ascii="宋体" w:hAnsi="宋体" w:hint="eastAsia"/>
          <w:szCs w:val="21"/>
        </w:rPr>
        <w:t>迟延支付的违约责任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A4BE6">
      <w:pPr>
        <w:adjustRightInd w:val="0"/>
        <w:snapToGrid w:val="0"/>
        <w:spacing w:line="400" w:lineRule="exact"/>
        <w:ind w:firstLine="420" w:firstLineChars="200"/>
        <w:jc w:val="left"/>
        <w:rPr>
          <w:rFonts w:ascii="宋体" w:hAnsi="宋体"/>
          <w:szCs w:val="21"/>
        </w:rPr>
      </w:pPr>
      <w:r>
        <w:rPr>
          <w:rFonts w:ascii="宋体" w:hAnsi="宋体" w:hint="eastAsia"/>
          <w:bCs/>
          <w:szCs w:val="21"/>
        </w:rPr>
        <w:t>15.4</w:t>
      </w:r>
      <w:r>
        <w:rPr>
          <w:rFonts w:ascii="宋体" w:hAnsi="宋体" w:hint="eastAsia"/>
          <w:bCs/>
          <w:szCs w:val="21"/>
        </w:rPr>
        <w:t>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A4BE6">
      <w:pPr>
        <w:numPr>
          <w:ilvl w:val="0"/>
          <w:numId w:val="13"/>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A4BE6">
      <w:pPr>
        <w:adjustRightInd w:val="0"/>
        <w:snapToGrid w:val="0"/>
        <w:spacing w:line="400" w:lineRule="exact"/>
        <w:jc w:val="left"/>
        <w:rPr>
          <w:rFonts w:ascii="宋体" w:hAnsi="宋体"/>
          <w:szCs w:val="21"/>
        </w:rPr>
      </w:pPr>
      <w:r>
        <w:rPr>
          <w:rFonts w:ascii="宋体" w:hAnsi="宋体" w:hint="eastAsia"/>
          <w:szCs w:val="21"/>
        </w:rPr>
        <w:t xml:space="preserve">    16.1</w:t>
      </w:r>
      <w:r>
        <w:rPr>
          <w:rFonts w:ascii="宋体" w:hAnsi="宋体" w:hint="eastAsia"/>
          <w:szCs w:val="21"/>
        </w:rPr>
        <w:t>合同的变更</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w:t>
      </w:r>
      <w:r>
        <w:rPr>
          <w:rFonts w:ascii="宋体" w:hAnsi="宋体" w:hint="eastAsia"/>
          <w:szCs w:val="21"/>
        </w:rPr>
        <w:t>10%</w:t>
      </w:r>
      <w:r>
        <w:rPr>
          <w:rFonts w:ascii="宋体" w:hAnsi="宋体" w:hint="eastAsia"/>
          <w:szCs w:val="21"/>
        </w:rPr>
        <w:t>的范围内追加与合同标的相同的货物，并就此与乙方协商一致后签订补充协议。</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16.2</w:t>
      </w:r>
      <w:r>
        <w:rPr>
          <w:rFonts w:ascii="宋体" w:hAnsi="宋体" w:hint="eastAsia"/>
          <w:szCs w:val="21"/>
        </w:rPr>
        <w:t>合同的中止</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）合同履行过程中因供应商就采购文件、采购过程或结果提起投诉的，甲方认为有必要的，可以中止合同的履行。</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）合同履行过程中，如果乙方出现以下情形之一的：</w:t>
      </w:r>
      <w:r>
        <w:rPr>
          <w:rFonts w:ascii="宋体" w:hAnsi="宋体" w:hint="eastAsia"/>
          <w:szCs w:val="21"/>
        </w:rPr>
        <w:t>1</w:t>
      </w:r>
      <w:r>
        <w:rPr>
          <w:rFonts w:ascii="宋体" w:hAnsi="宋体" w:hint="eastAsia"/>
          <w:szCs w:val="21"/>
        </w:rPr>
        <w:t>．经营状况严重恶化；</w:t>
      </w:r>
      <w:r>
        <w:rPr>
          <w:rFonts w:ascii="宋体" w:hAnsi="宋体" w:hint="eastAsia"/>
          <w:szCs w:val="21"/>
        </w:rPr>
        <w:t>2</w:t>
      </w:r>
      <w:r>
        <w:rPr>
          <w:rFonts w:ascii="宋体" w:hAnsi="宋体" w:hint="eastAsia"/>
          <w:szCs w:val="21"/>
        </w:rPr>
        <w:t>．转移财产、抽逃资金，以逃避债务；</w:t>
      </w:r>
      <w:r>
        <w:rPr>
          <w:rFonts w:ascii="宋体" w:hAnsi="宋体" w:hint="eastAsia"/>
          <w:szCs w:val="21"/>
        </w:rPr>
        <w:t>3</w:t>
      </w:r>
      <w:r>
        <w:rPr>
          <w:rFonts w:ascii="宋体" w:hAnsi="宋体" w:hint="eastAsia"/>
          <w:szCs w:val="21"/>
        </w:rPr>
        <w:t>．丧失商业信誉；</w:t>
      </w:r>
      <w:r>
        <w:rPr>
          <w:rFonts w:ascii="宋体" w:hAnsi="宋体" w:hint="eastAsia"/>
          <w:szCs w:val="21"/>
        </w:rPr>
        <w:t>4</w:t>
      </w:r>
      <w:r>
        <w:rPr>
          <w:rFonts w:ascii="宋体" w:hAnsi="宋体" w:hint="eastAsia"/>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ascii="宋体" w:hAnsi="宋体" w:hint="eastAsia"/>
          <w:szCs w:val="21"/>
        </w:rPr>
        <w:t>承担由此给甲方造成的损失。</w:t>
      </w:r>
    </w:p>
    <w:p w:rsidR="001A4BE6">
      <w:pPr>
        <w:pStyle w:val="AONormal"/>
        <w:ind w:firstLine="420"/>
        <w:jc w:val="both"/>
        <w:rPr>
          <w:sz w:val="21"/>
        </w:rPr>
      </w:pPr>
      <w:r>
        <w:rPr>
          <w:rFonts w:ascii="宋体" w:eastAsia="宋体" w:hAnsi="宋体" w:cs="宋体" w:hint="eastAsia"/>
          <w:sz w:val="21"/>
        </w:rPr>
        <w:t>（</w:t>
      </w:r>
      <w:r>
        <w:rPr>
          <w:rFonts w:ascii="宋体" w:eastAsia="宋体" w:hAnsi="宋体" w:cs="宋体" w:hint="eastAsia"/>
          <w:sz w:val="21"/>
        </w:rPr>
        <w:t>3</w:t>
      </w:r>
      <w:r>
        <w:rPr>
          <w:rFonts w:ascii="宋体" w:eastAsia="宋体" w:hAnsi="宋体" w:cs="宋体" w:hint="eastAsia"/>
          <w:sz w:val="21"/>
        </w:rPr>
        <w:t>）乙方分立、合并或者变更住所的，应当及时以书面形式告知甲方。乙方没有及时告知甲方，致使合同履行发生困难的，甲方可以中止合同履行并要求乙方承担由此给甲方造成的损失。</w:t>
      </w:r>
    </w:p>
    <w:p w:rsidR="001A4BE6">
      <w:pPr>
        <w:snapToGrid w:val="0"/>
        <w:spacing w:line="400" w:lineRule="exact"/>
        <w:ind w:firstLine="420" w:firstLineChars="200"/>
        <w:jc w:val="left"/>
      </w:pPr>
      <w:r>
        <w:rPr>
          <w:rFonts w:ascii="宋体" w:hAnsi="宋体" w:hint="eastAsia"/>
          <w:szCs w:val="21"/>
        </w:rPr>
        <w:t>（</w:t>
      </w:r>
      <w:r>
        <w:rPr>
          <w:rFonts w:ascii="宋体" w:hAnsi="宋体" w:hint="eastAsia"/>
          <w:szCs w:val="21"/>
        </w:rPr>
        <w:t>4</w:t>
      </w:r>
      <w:r>
        <w:rPr>
          <w:rFonts w:ascii="宋体" w:hAnsi="宋体" w:hint="eastAsia"/>
          <w:szCs w:val="21"/>
        </w:rPr>
        <w:t>）甲方不得以行政区划调整、政府换届、机构或者职能调整以及相关责任人更替为由中止合同。</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16.3</w:t>
      </w:r>
      <w:r>
        <w:rPr>
          <w:rFonts w:ascii="宋体" w:hAnsi="宋体" w:hint="eastAsia"/>
          <w:szCs w:val="21"/>
        </w:rPr>
        <w:t>合同的终止</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）合同因有效期限届满而终止；</w:t>
      </w:r>
    </w:p>
    <w:p w:rsidR="001A4BE6">
      <w:pPr>
        <w:snapToGrid w:val="0"/>
        <w:spacing w:line="400" w:lineRule="exact"/>
        <w:ind w:firstLine="420" w:firstLineChars="200"/>
        <w:rPr>
          <w:rFonts w:ascii="宋体" w:hAnsi="宋体" w:cs="宋体"/>
          <w:szCs w:val="21"/>
        </w:rPr>
      </w:pPr>
      <w:r>
        <w:rPr>
          <w:rFonts w:ascii="宋体" w:hAnsi="宋体" w:hint="eastAsia"/>
          <w:szCs w:val="21"/>
        </w:rPr>
        <w:t>（</w:t>
      </w:r>
      <w:r>
        <w:rPr>
          <w:rFonts w:ascii="宋体" w:hAnsi="宋体" w:hint="eastAsia"/>
          <w:szCs w:val="21"/>
        </w:rPr>
        <w:t>2</w:t>
      </w:r>
      <w:r>
        <w:rPr>
          <w:rFonts w:ascii="宋体" w:hAnsi="宋体" w:hint="eastAsia"/>
          <w:szCs w:val="21"/>
        </w:rPr>
        <w:t>）乙方未按合同约定履行，构成根本性违约的，甲方有权终止合同，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A4BE6">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A4BE6">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17. </w:t>
      </w:r>
      <w:r>
        <w:rPr>
          <w:rFonts w:ascii="宋体" w:hAnsi="宋体" w:hint="eastAsia"/>
          <w:b/>
          <w:bCs/>
          <w:sz w:val="24"/>
        </w:rPr>
        <w:t>合同分包</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17.1 </w:t>
      </w:r>
      <w:r>
        <w:rPr>
          <w:rFonts w:ascii="宋体" w:hAnsi="宋体" w:hint="eastAsia"/>
          <w:szCs w:val="21"/>
        </w:rPr>
        <w:t>乙方不得将合同转包给其他供应商。涉及合同分包的，乙方应根据采购文件和投标（响应）文件规定进行合同分包。</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17.2 </w:t>
      </w:r>
      <w:r>
        <w:rPr>
          <w:rFonts w:ascii="宋体" w:hAnsi="宋体" w:hint="eastAsia"/>
          <w:szCs w:val="21"/>
        </w:rPr>
        <w:t>乙方执行政府采购政策向中小企业依法分包的，乙方应当按采购文件和投标（响应）文件签订分包意向协议，分包意向协议属于本合同组成部分。</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18. </w:t>
      </w:r>
      <w:r>
        <w:rPr>
          <w:rFonts w:ascii="宋体" w:hAnsi="宋体" w:hint="eastAsia"/>
          <w:b/>
          <w:bCs/>
          <w:sz w:val="24"/>
        </w:rPr>
        <w:t>不可抗力</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18.1 </w:t>
      </w:r>
      <w:r>
        <w:rPr>
          <w:rFonts w:ascii="宋体" w:hAnsi="宋体" w:hint="eastAsia"/>
          <w:szCs w:val="21"/>
        </w:rPr>
        <w:t>不可抗力是指合同双方不能预见、不能避免且不能克服的客观</w:t>
      </w:r>
      <w:r>
        <w:rPr>
          <w:rFonts w:ascii="宋体" w:hAnsi="宋体" w:hint="eastAsia"/>
          <w:szCs w:val="21"/>
        </w:rPr>
        <w:t>情况。</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18.2 </w:t>
      </w:r>
      <w:r>
        <w:rPr>
          <w:rFonts w:ascii="宋体" w:hAnsi="宋体" w:hint="eastAsia"/>
          <w:szCs w:val="21"/>
        </w:rPr>
        <w:t>任何一方对由于不可抗力造成的部分或全部不能履行合同不承担违约责任。但迟延履行后发生不可抗力的，不能免除责任。</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18.3 </w:t>
      </w:r>
      <w:r>
        <w:rPr>
          <w:rFonts w:ascii="宋体" w:hAnsi="宋体" w:hint="eastAsia"/>
          <w:szCs w:val="21"/>
        </w:rPr>
        <w:t>遇有不可抗力的一方，应及时将事件情况以书面形式告知另一方，并在事件发生后及时向另一方提交合同不能履行或部分不能履行或需要延期履行的详细报告，以及证明不可抗力发生及其持续时间的证据。</w:t>
      </w:r>
    </w:p>
    <w:p w:rsidR="001A4BE6">
      <w:pPr>
        <w:autoSpaceDE w:val="0"/>
        <w:autoSpaceDN w:val="0"/>
        <w:adjustRightInd w:val="0"/>
        <w:snapToGrid w:val="0"/>
        <w:spacing w:line="400" w:lineRule="exact"/>
        <w:jc w:val="left"/>
        <w:rPr>
          <w:rFonts w:ascii="宋体" w:hAnsi="宋体"/>
          <w:b/>
          <w:bCs/>
        </w:rPr>
      </w:pPr>
      <w:r>
        <w:rPr>
          <w:rFonts w:ascii="宋体" w:hAnsi="宋体" w:hint="eastAsia"/>
          <w:b/>
          <w:bCs/>
          <w:sz w:val="24"/>
        </w:rPr>
        <w:t xml:space="preserve">19. </w:t>
      </w:r>
      <w:r>
        <w:rPr>
          <w:rFonts w:ascii="宋体" w:hAnsi="宋体" w:hint="eastAsia"/>
          <w:b/>
          <w:bCs/>
          <w:sz w:val="24"/>
        </w:rPr>
        <w:t>解决争议的方法</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19.1 </w:t>
      </w:r>
      <w:r>
        <w:rPr>
          <w:rFonts w:ascii="宋体" w:eastAsia="宋体" w:hAnsi="宋体" w:cs="宋体" w:hint="eastAsia"/>
          <w:sz w:val="21"/>
        </w:rPr>
        <w:t>因本合同及合同有关事项发生的争议，由甲乙双方友好协商解决。协商不成时，可以向有关组织申请调解。合同一方或双方不愿调解或调解不成的，可以通过仲裁或诉讼的方式解决争议。</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19.2 </w:t>
      </w:r>
      <w:r>
        <w:rPr>
          <w:rFonts w:ascii="宋体" w:eastAsia="宋体" w:hAnsi="宋体" w:cs="宋体" w:hint="eastAsia"/>
          <w:sz w:val="21"/>
        </w:rPr>
        <w:t>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19.3 </w:t>
      </w:r>
      <w:r>
        <w:rPr>
          <w:rFonts w:ascii="宋体" w:eastAsia="宋体" w:hAnsi="宋体" w:cs="宋体" w:hint="eastAsia"/>
          <w:sz w:val="21"/>
        </w:rPr>
        <w:t>如甲乙双方有争议的事项不影响合同其他部分的履行，在争议解决期间，合同其他部分应当继续履行。</w:t>
      </w:r>
    </w:p>
    <w:p w:rsidR="001A4BE6">
      <w:pPr>
        <w:autoSpaceDE w:val="0"/>
        <w:autoSpaceDN w:val="0"/>
        <w:adjustRightInd w:val="0"/>
        <w:snapToGrid w:val="0"/>
        <w:spacing w:line="400" w:lineRule="exact"/>
        <w:jc w:val="left"/>
        <w:rPr>
          <w:rFonts w:ascii="宋体" w:hAnsi="宋体"/>
        </w:rPr>
      </w:pPr>
      <w:r>
        <w:rPr>
          <w:rFonts w:ascii="宋体" w:hAnsi="宋体" w:hint="eastAsia"/>
          <w:b/>
          <w:sz w:val="24"/>
        </w:rPr>
        <w:t xml:space="preserve">20. </w:t>
      </w:r>
      <w:r>
        <w:rPr>
          <w:rFonts w:ascii="宋体" w:hAnsi="宋体" w:hint="eastAsia"/>
          <w:b/>
          <w:sz w:val="24"/>
        </w:rPr>
        <w:t>政府采</w:t>
      </w:r>
      <w:r>
        <w:rPr>
          <w:rFonts w:ascii="宋体" w:hAnsi="宋体" w:hint="eastAsia"/>
          <w:b/>
          <w:sz w:val="24"/>
        </w:rPr>
        <w:t>购政策</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A4BE6">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 xml:space="preserve">0.2 </w:t>
      </w:r>
      <w:r>
        <w:rPr>
          <w:rFonts w:ascii="宋体" w:hAnsi="宋体" w:hint="eastAsia"/>
          <w:szCs w:val="21"/>
        </w:rPr>
        <w:t>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A4BE6">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w:t>
      </w:r>
      <w:r>
        <w:rPr>
          <w:rFonts w:ascii="宋体" w:hAnsi="宋体" w:hint="eastAsia"/>
          <w:color w:val="auto"/>
          <w:szCs w:val="21"/>
        </w:rPr>
        <w:t>成部分。</w:t>
      </w:r>
    </w:p>
    <w:p w:rsidR="001A4BE6">
      <w:pPr>
        <w:autoSpaceDE w:val="0"/>
        <w:autoSpaceDN w:val="0"/>
        <w:adjustRightInd w:val="0"/>
        <w:snapToGrid w:val="0"/>
        <w:spacing w:line="400" w:lineRule="exact"/>
        <w:jc w:val="left"/>
        <w:rPr>
          <w:rFonts w:ascii="宋体" w:hAnsi="宋体"/>
          <w:b/>
        </w:rPr>
      </w:pPr>
      <w:r>
        <w:rPr>
          <w:rFonts w:ascii="宋体" w:hAnsi="宋体" w:hint="eastAsia"/>
          <w:b/>
          <w:sz w:val="24"/>
        </w:rPr>
        <w:t xml:space="preserve">21. </w:t>
      </w:r>
      <w:r>
        <w:rPr>
          <w:rFonts w:ascii="宋体" w:hAnsi="宋体" w:hint="eastAsia"/>
          <w:b/>
          <w:sz w:val="24"/>
        </w:rPr>
        <w:t>法律适用</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21.1 </w:t>
      </w:r>
      <w:r>
        <w:rPr>
          <w:rFonts w:ascii="宋体" w:eastAsia="宋体" w:hAnsi="宋体" w:cs="宋体" w:hint="eastAsia"/>
          <w:sz w:val="21"/>
        </w:rPr>
        <w:t>本合同的订立、生效、解释、履行及与本合同有关的争议解决，均适用法律、行政法规。</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21.2 </w:t>
      </w:r>
      <w:r>
        <w:rPr>
          <w:rFonts w:ascii="宋体" w:eastAsia="宋体" w:hAnsi="宋体" w:cs="宋体" w:hint="eastAsia"/>
          <w:sz w:val="21"/>
        </w:rPr>
        <w:t>本合同条款与法律、行政法规的强制性规定不一致的，双方当事人应按照法律、行政法规的强制性规定修改本合同的相关条款。</w:t>
      </w:r>
    </w:p>
    <w:p w:rsidR="001A4BE6">
      <w:pPr>
        <w:autoSpaceDE w:val="0"/>
        <w:autoSpaceDN w:val="0"/>
        <w:adjustRightInd w:val="0"/>
        <w:snapToGrid w:val="0"/>
        <w:spacing w:line="400" w:lineRule="exact"/>
        <w:jc w:val="left"/>
        <w:rPr>
          <w:rFonts w:ascii="宋体" w:hAnsi="宋体"/>
          <w:b/>
        </w:rPr>
      </w:pPr>
      <w:r>
        <w:rPr>
          <w:rFonts w:ascii="宋体" w:hAnsi="宋体" w:hint="eastAsia"/>
          <w:b/>
          <w:sz w:val="24"/>
        </w:rPr>
        <w:t xml:space="preserve">22. </w:t>
      </w:r>
      <w:r>
        <w:rPr>
          <w:rFonts w:ascii="宋体" w:hAnsi="宋体" w:hint="eastAsia"/>
          <w:b/>
          <w:sz w:val="24"/>
        </w:rPr>
        <w:t>通知</w:t>
      </w:r>
    </w:p>
    <w:p w:rsidR="001A4BE6">
      <w:pPr>
        <w:pStyle w:val="AONormal"/>
        <w:ind w:firstLine="420"/>
        <w:jc w:val="both"/>
        <w:rPr>
          <w:rFonts w:ascii="宋体" w:eastAsia="宋体" w:hAnsi="宋体" w:cs="宋体"/>
          <w:sz w:val="21"/>
        </w:rPr>
      </w:pPr>
      <w:r>
        <w:rPr>
          <w:rFonts w:ascii="宋体" w:eastAsia="宋体" w:hAnsi="宋体" w:cs="宋体" w:hint="eastAsia"/>
          <w:sz w:val="21"/>
        </w:rPr>
        <w:t xml:space="preserve">22.1 </w:t>
      </w:r>
      <w:r>
        <w:rPr>
          <w:rFonts w:ascii="宋体" w:eastAsia="宋体" w:hAnsi="宋体" w:cs="宋体" w:hint="eastAsia"/>
          <w:sz w:val="21"/>
        </w:rPr>
        <w:t>本合同任何一方向对方发出的通知、信件、数据电文等，应当发送至本合同第一部分《政府采购合同协议书》所约定的通讯地址、联系人、联系电话或电子邮箱。</w:t>
      </w:r>
    </w:p>
    <w:p w:rsidR="001A4BE6">
      <w:pPr>
        <w:pStyle w:val="AONormal"/>
        <w:ind w:firstLine="0" w:firstLineChars="0"/>
        <w:jc w:val="both"/>
        <w:rPr>
          <w:sz w:val="21"/>
        </w:rPr>
      </w:pPr>
      <w:r>
        <w:rPr>
          <w:rFonts w:ascii="宋体" w:eastAsia="宋体" w:hAnsi="宋体" w:cs="宋体" w:hint="eastAsia"/>
          <w:sz w:val="21"/>
        </w:rPr>
        <w:t xml:space="preserve">    22.2 </w:t>
      </w:r>
      <w:r>
        <w:rPr>
          <w:rFonts w:ascii="宋体" w:eastAsia="宋体" w:hAnsi="宋体" w:cs="宋体" w:hint="eastAsia"/>
          <w:sz w:val="21"/>
        </w:rPr>
        <w:t>一方当事人变更名称、住所、联系人、联系电话或电子邮箱等信息的，应当在变更后</w:t>
      </w:r>
      <w:r>
        <w:rPr>
          <w:rFonts w:ascii="宋体" w:eastAsia="宋体" w:hAnsi="宋体" w:cs="宋体" w:hint="eastAsia"/>
          <w:sz w:val="21"/>
        </w:rPr>
        <w:t>3</w:t>
      </w:r>
      <w:r>
        <w:rPr>
          <w:rFonts w:ascii="宋体" w:eastAsia="宋体" w:hAnsi="宋体" w:cs="宋体" w:hint="eastAsia"/>
          <w:sz w:val="21"/>
        </w:rPr>
        <w:t>日内及时书面通知对方，对方实际收到变更通知前的送达仍为有效送达。</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22.3</w:t>
      </w:r>
      <w:r>
        <w:rPr>
          <w:rFonts w:ascii="宋体" w:hAnsi="宋体" w:hint="eastAsia"/>
          <w:szCs w:val="21"/>
        </w:rPr>
        <w:t>本合同一方给另一方的通知均应采用书面形式，传真或快递送到本合同中规定的对方的地址和办理签收手续。</w:t>
      </w:r>
    </w:p>
    <w:p w:rsidR="001A4BE6">
      <w:pPr>
        <w:adjustRightInd w:val="0"/>
        <w:snapToGrid w:val="0"/>
        <w:spacing w:line="400" w:lineRule="exact"/>
        <w:ind w:firstLine="420" w:firstLineChars="200"/>
        <w:jc w:val="left"/>
        <w:rPr>
          <w:rFonts w:ascii="宋体" w:hAnsi="宋体"/>
          <w:szCs w:val="21"/>
        </w:rPr>
      </w:pPr>
      <w:r>
        <w:rPr>
          <w:rFonts w:ascii="宋体" w:hAnsi="宋体" w:hint="eastAsia"/>
          <w:szCs w:val="21"/>
        </w:rPr>
        <w:t>22.4</w:t>
      </w:r>
      <w:r>
        <w:rPr>
          <w:rFonts w:ascii="宋体" w:hAnsi="宋体" w:hint="eastAsia"/>
          <w:szCs w:val="21"/>
        </w:rPr>
        <w:t>通知以送达之日或通知书中规定的生效之日起生效，两者中以较迟之日为准。</w:t>
      </w:r>
    </w:p>
    <w:p w:rsidR="001A4BE6">
      <w:pPr>
        <w:numPr>
          <w:ilvl w:val="0"/>
          <w:numId w:val="14"/>
        </w:numPr>
        <w:adjustRightInd w:val="0"/>
        <w:snapToGrid w:val="0"/>
        <w:spacing w:line="400" w:lineRule="exact"/>
        <w:jc w:val="left"/>
        <w:rPr>
          <w:rFonts w:ascii="宋体" w:hAnsi="宋体"/>
          <w:b/>
          <w:bCs/>
        </w:rPr>
      </w:pPr>
      <w:r>
        <w:rPr>
          <w:rFonts w:ascii="宋体" w:hAnsi="宋体" w:hint="eastAsia"/>
          <w:b/>
          <w:bCs/>
          <w:sz w:val="24"/>
        </w:rPr>
        <w:t>合同未尽事项</w:t>
      </w:r>
    </w:p>
    <w:p w:rsidR="001A4BE6">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w:t>
      </w:r>
      <w:r>
        <w:rPr>
          <w:rFonts w:ascii="宋体" w:hAnsi="宋体" w:hint="eastAsia"/>
          <w:bCs/>
          <w:szCs w:val="21"/>
        </w:rPr>
        <w:t>合同未尽事项见</w:t>
      </w:r>
      <w:r>
        <w:rPr>
          <w:rFonts w:ascii="宋体" w:hAnsi="宋体" w:hint="eastAsia"/>
          <w:b/>
          <w:szCs w:val="21"/>
        </w:rPr>
        <w:t>【政府采购合同专用条款】</w:t>
      </w:r>
      <w:r>
        <w:rPr>
          <w:rFonts w:ascii="宋体" w:hAnsi="宋体" w:hint="eastAsia"/>
          <w:bCs/>
          <w:szCs w:val="21"/>
        </w:rPr>
        <w:t>。</w:t>
      </w:r>
    </w:p>
    <w:p w:rsidR="001A4BE6">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w:t>
      </w:r>
      <w:r>
        <w:rPr>
          <w:rFonts w:ascii="宋体" w:hAnsi="宋体" w:hint="eastAsia"/>
          <w:bCs/>
          <w:szCs w:val="21"/>
        </w:rPr>
        <w:t>合同附件与合同正文具有同等的法律效力。</w:t>
      </w:r>
      <w:bookmarkStart w:id="75" w:name="_Toc20313"/>
    </w:p>
    <w:p w:rsidR="001A4BE6">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A4BE6">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w:t>
      </w:r>
      <w:r>
        <w:rPr>
          <w:rFonts w:ascii="黑体" w:hAnsi="华文中宋" w:hint="eastAsia"/>
          <w:b w:val="0"/>
          <w:bCs w:val="0"/>
          <w:sz w:val="28"/>
          <w:szCs w:val="28"/>
        </w:rPr>
        <w:t xml:space="preserve"> </w:t>
      </w:r>
      <w:r>
        <w:rPr>
          <w:rFonts w:ascii="黑体" w:hAnsi="华文中宋" w:hint="eastAsia"/>
          <w:b w:val="0"/>
          <w:bCs w:val="0"/>
          <w:sz w:val="28"/>
          <w:szCs w:val="28"/>
        </w:rPr>
        <w:t>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w:t>
            </w:r>
            <w:r>
              <w:rPr>
                <w:rFonts w:ascii="宋体" w:hAnsi="宋体" w:hint="eastAsia"/>
                <w:szCs w:val="21"/>
              </w:rPr>
              <w:t>（</w:t>
            </w:r>
            <w:r>
              <w:rPr>
                <w:rFonts w:ascii="宋体" w:hAnsi="宋体" w:hint="eastAsia"/>
                <w:szCs w:val="21"/>
              </w:rPr>
              <w:t>7</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4.4</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履约验收中甲方提出异议或作出说明的期限</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4.6</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snapToGrid w:val="0"/>
              <w:jc w:val="center"/>
            </w:pPr>
            <w:r>
              <w:rPr>
                <w:rFonts w:ascii="宋体" w:hAnsi="宋体" w:hint="eastAsia"/>
                <w:szCs w:val="21"/>
              </w:rPr>
              <w:t>第</w:t>
            </w:r>
            <w:r>
              <w:rPr>
                <w:rFonts w:ascii="宋体" w:hAnsi="宋体" w:hint="eastAsia"/>
                <w:szCs w:val="21"/>
              </w:rPr>
              <w:t>5.4</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snapToGrid w:val="0"/>
              <w:jc w:val="center"/>
              <w:rPr>
                <w:rFonts w:ascii="宋体" w:hAnsi="宋体"/>
                <w:szCs w:val="21"/>
              </w:rPr>
            </w:pPr>
            <w:r>
              <w:rPr>
                <w:rFonts w:ascii="宋体" w:hAnsi="宋体" w:hint="eastAsia"/>
                <w:szCs w:val="21"/>
              </w:rPr>
              <w:t>第</w:t>
            </w:r>
            <w:r>
              <w:rPr>
                <w:rFonts w:ascii="宋体" w:hAnsi="宋体" w:hint="eastAsia"/>
                <w:szCs w:val="21"/>
              </w:rPr>
              <w:t>6.1</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7.1</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A4BE6"/>
        </w:tc>
      </w:tr>
      <w:tr>
        <w:tblPrEx>
          <w:tblW w:w="8519" w:type="dxa"/>
          <w:tblInd w:w="108" w:type="dxa"/>
          <w:tblLayout w:type="fixed"/>
          <w:tblLook w:val="04A0"/>
        </w:tblPrEx>
        <w:trPr>
          <w:trHeight w:val="667"/>
        </w:trPr>
        <w:tc>
          <w:tcPr>
            <w:tcW w:w="1607" w:type="dxa"/>
            <w:vMerge/>
            <w:vAlign w:val="center"/>
          </w:tcPr>
          <w:p w:rsidR="001A4BE6">
            <w:pPr>
              <w:adjustRightInd w:val="0"/>
              <w:snapToGrid w:val="0"/>
              <w:jc w:val="center"/>
              <w:rPr>
                <w:rFonts w:ascii="宋体" w:hAnsi="宋体"/>
                <w:szCs w:val="21"/>
              </w:rPr>
            </w:pPr>
          </w:p>
        </w:tc>
        <w:tc>
          <w:tcPr>
            <w:tcW w:w="1742" w:type="dxa"/>
            <w:vAlign w:val="center"/>
          </w:tcPr>
          <w:p w:rsidR="001A4BE6">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A4BE6"/>
        </w:tc>
      </w:tr>
      <w:tr>
        <w:tblPrEx>
          <w:tblW w:w="8519" w:type="dxa"/>
          <w:tblInd w:w="108" w:type="dxa"/>
          <w:tblLayout w:type="fixed"/>
          <w:tblLook w:val="04A0"/>
        </w:tblPrEx>
        <w:trPr>
          <w:trHeight w:val="772"/>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7.2</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A4BE6"/>
        </w:tc>
      </w:tr>
      <w:tr>
        <w:tblPrEx>
          <w:tblW w:w="8519" w:type="dxa"/>
          <w:tblInd w:w="108" w:type="dxa"/>
          <w:tblLayout w:type="fixed"/>
          <w:tblLook w:val="04A0"/>
        </w:tblPrEx>
        <w:trPr>
          <w:trHeight w:val="66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7.3</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A4BE6"/>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1</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A4BE6">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8.2</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货物质量缺陷</w:t>
            </w:r>
          </w:p>
          <w:p w:rsidR="001A4BE6">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snapToGrid w:val="0"/>
              <w:jc w:val="center"/>
              <w:rPr>
                <w:rFonts w:ascii="宋体" w:hAnsi="宋体" w:cs="宋体"/>
                <w:szCs w:val="21"/>
              </w:rPr>
            </w:pPr>
            <w:r>
              <w:rPr>
                <w:rFonts w:ascii="宋体" w:hAnsi="宋体" w:cs="宋体" w:hint="eastAsia"/>
                <w:szCs w:val="21"/>
              </w:rPr>
              <w:t>第二节</w:t>
            </w:r>
          </w:p>
          <w:p w:rsidR="001A4BE6">
            <w:pPr>
              <w:pStyle w:val="AONormal"/>
              <w:ind w:firstLine="0" w:firstLineChars="0"/>
              <w:jc w:val="center"/>
            </w:pPr>
            <w:r>
              <w:rPr>
                <w:rFonts w:ascii="宋体" w:eastAsia="宋体" w:hAnsi="宋体" w:cs="宋体" w:hint="eastAsia"/>
              </w:rPr>
              <w:t>第</w:t>
            </w:r>
            <w:r>
              <w:rPr>
                <w:rFonts w:ascii="宋体" w:eastAsia="宋体" w:hAnsi="宋体" w:cs="宋体" w:hint="eastAsia"/>
              </w:rPr>
              <w:t>11.1</w:t>
            </w:r>
            <w:r>
              <w:rPr>
                <w:rFonts w:ascii="宋体" w:eastAsia="宋体" w:hAnsi="宋体" w:cs="宋体" w:hint="eastAsia"/>
              </w:rPr>
              <w:t>款</w:t>
            </w:r>
          </w:p>
        </w:tc>
        <w:tc>
          <w:tcPr>
            <w:tcW w:w="1742" w:type="dxa"/>
            <w:vAlign w:val="center"/>
          </w:tcPr>
          <w:p w:rsidR="001A4BE6">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12.2</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13.2</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13.3</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3</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5</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14.1</w:t>
            </w:r>
            <w:r>
              <w:rPr>
                <w:rFonts w:ascii="宋体" w:hAnsi="宋体" w:hint="eastAsia"/>
                <w:szCs w:val="21"/>
              </w:rPr>
              <w:t>（</w:t>
            </w:r>
            <w:r>
              <w:rPr>
                <w:rFonts w:ascii="宋体" w:hAnsi="宋体" w:hint="eastAsia"/>
                <w:szCs w:val="21"/>
              </w:rPr>
              <w:t>6</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15.1</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A4BE6">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15.2</w:t>
            </w:r>
            <w:r>
              <w:rPr>
                <w:rFonts w:ascii="宋体" w:hAnsi="宋体" w:hint="eastAsia"/>
                <w:szCs w:val="21"/>
              </w:rPr>
              <w:t>（</w:t>
            </w:r>
            <w:r>
              <w:rPr>
                <w:rFonts w:ascii="宋体" w:hAnsi="宋体" w:hint="eastAsia"/>
                <w:szCs w:val="21"/>
              </w:rPr>
              <w:t>2</w:t>
            </w:r>
            <w:r>
              <w:rPr>
                <w:rFonts w:ascii="宋体" w:hAnsi="宋体" w:hint="eastAsia"/>
                <w:szCs w:val="21"/>
              </w:rPr>
              <w:t>）项</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15.3</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15.4</w:t>
            </w:r>
            <w:r>
              <w:rPr>
                <w:rFonts w:ascii="宋体" w:hAnsi="宋体" w:hint="eastAsia"/>
                <w:szCs w:val="21"/>
              </w:rPr>
              <w:t>款</w:t>
            </w:r>
          </w:p>
        </w:tc>
        <w:tc>
          <w:tcPr>
            <w:tcW w:w="1742" w:type="dxa"/>
            <w:tcBorders>
              <w:left w:val="single" w:sz="2" w:space="0" w:color="auto"/>
              <w:bottom w:val="single" w:sz="2" w:space="0" w:color="auto"/>
              <w:right w:val="single" w:sz="2" w:space="0" w:color="auto"/>
            </w:tcBorders>
            <w:vAlign w:val="center"/>
          </w:tcPr>
          <w:p w:rsidR="001A4BE6">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A4BE6">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19.2</w:t>
            </w:r>
            <w:r>
              <w:rPr>
                <w:rFonts w:ascii="宋体" w:hAnsi="宋体" w:hint="eastAsia"/>
                <w:szCs w:val="21"/>
              </w:rPr>
              <w:t>款</w:t>
            </w:r>
          </w:p>
        </w:tc>
        <w:tc>
          <w:tcPr>
            <w:tcW w:w="1742" w:type="dxa"/>
            <w:tcBorders>
              <w:top w:val="single" w:sz="2" w:space="0" w:color="auto"/>
              <w:left w:val="single" w:sz="2" w:space="0" w:color="auto"/>
              <w:right w:val="single" w:sz="2" w:space="0" w:color="auto"/>
            </w:tcBorders>
            <w:vAlign w:val="center"/>
          </w:tcPr>
          <w:p w:rsidR="001A4BE6">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A4BE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A4BE6">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w:t>
            </w:r>
            <w:r>
              <w:rPr>
                <w:rFonts w:ascii="宋体" w:hAnsi="宋体" w:cs="宋体" w:hint="eastAsia"/>
                <w:iCs/>
                <w:szCs w:val="21"/>
              </w:rPr>
              <w:t>1</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A4BE6">
            <w:pPr>
              <w:adjustRightInd w:val="0"/>
              <w:snapToGrid w:val="0"/>
              <w:jc w:val="left"/>
              <w:rPr>
                <w:rFonts w:ascii="宋体" w:hAnsi="宋体"/>
                <w:szCs w:val="21"/>
                <w:u w:val="single"/>
              </w:rPr>
            </w:pPr>
            <w:r>
              <w:rPr>
                <w:rFonts w:ascii="宋体" w:hAnsi="宋体" w:cs="宋体" w:hint="eastAsia"/>
                <w:iCs/>
                <w:szCs w:val="21"/>
              </w:rPr>
              <w:t>（</w:t>
            </w:r>
            <w:r>
              <w:rPr>
                <w:rFonts w:ascii="宋体" w:hAnsi="宋体" w:cs="宋体" w:hint="eastAsia"/>
                <w:iCs/>
                <w:szCs w:val="21"/>
              </w:rPr>
              <w:t>2</w:t>
            </w:r>
            <w:r>
              <w:rPr>
                <w:rFonts w:ascii="宋体" w:hAnsi="宋体" w:cs="宋体" w:hint="eastAsia"/>
                <w:iCs/>
                <w:szCs w:val="21"/>
              </w:rPr>
              <w:t>）向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A4BE6">
            <w:pPr>
              <w:adjustRightInd w:val="0"/>
              <w:snapToGrid w:val="0"/>
              <w:jc w:val="center"/>
              <w:rPr>
                <w:rFonts w:ascii="宋体" w:hAnsi="宋体"/>
                <w:szCs w:val="21"/>
              </w:rPr>
            </w:pPr>
            <w:r>
              <w:rPr>
                <w:rFonts w:ascii="宋体" w:hAnsi="宋体" w:hint="eastAsia"/>
                <w:szCs w:val="21"/>
              </w:rPr>
              <w:t>第二节</w:t>
            </w:r>
          </w:p>
          <w:p w:rsidR="001A4BE6">
            <w:pPr>
              <w:adjustRightInd w:val="0"/>
              <w:snapToGrid w:val="0"/>
              <w:jc w:val="center"/>
              <w:rPr>
                <w:rFonts w:ascii="宋体" w:hAnsi="宋体"/>
                <w:szCs w:val="21"/>
              </w:rPr>
            </w:pPr>
            <w:r>
              <w:rPr>
                <w:rFonts w:ascii="宋体" w:hAnsi="宋体" w:hint="eastAsia"/>
                <w:szCs w:val="21"/>
              </w:rPr>
              <w:t>第</w:t>
            </w:r>
            <w:r>
              <w:rPr>
                <w:rFonts w:ascii="宋体" w:hAnsi="宋体" w:hint="eastAsia"/>
                <w:szCs w:val="21"/>
              </w:rPr>
              <w:t>23.1</w:t>
            </w:r>
            <w:r>
              <w:rPr>
                <w:rFonts w:ascii="宋体" w:hAnsi="宋体" w:hint="eastAsia"/>
                <w:szCs w:val="21"/>
              </w:rPr>
              <w:t>款</w:t>
            </w:r>
          </w:p>
        </w:tc>
        <w:tc>
          <w:tcPr>
            <w:tcW w:w="1742" w:type="dxa"/>
            <w:vAlign w:val="center"/>
          </w:tcPr>
          <w:p w:rsidR="001A4BE6">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A4BE6">
            <w:pPr>
              <w:adjustRightInd w:val="0"/>
              <w:snapToGrid w:val="0"/>
              <w:jc w:val="left"/>
              <w:rPr>
                <w:rFonts w:ascii="宋体" w:hAnsi="宋体"/>
                <w:szCs w:val="21"/>
              </w:rPr>
            </w:pPr>
          </w:p>
        </w:tc>
      </w:tr>
    </w:tbl>
    <w:p w:rsidR="001A4BE6"/>
    <w:p w:rsidR="001A4BE6">
      <w:pPr>
        <w:rPr>
          <w:b/>
          <w:bCs/>
          <w:sz w:val="44"/>
          <w:szCs w:val="44"/>
        </w:rPr>
      </w:pPr>
    </w:p>
    <w:p w:rsidR="001A4BE6"/>
    <w:p w:rsidR="00A77B3E"/>
    <w:p w:rsidR="001A4BE6">
      <w:pPr>
        <w:numPr>
          <w:ilvl w:val="0"/>
          <w:numId w:val="6"/>
        </w:numPr>
        <w:spacing w:line="360" w:lineRule="auto"/>
        <w:ind w:firstLine="3066" w:firstLineChars="1460"/>
        <w:jc w:val="left"/>
        <w:rPr>
          <w:b/>
          <w:bCs/>
          <w:szCs w:val="21"/>
        </w:rPr>
      </w:pPr>
      <w:bookmarkEnd w:id="69"/>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Calibri">
    <w:altName w:val="微软雅黑"/>
    <w:panose1 w:val="020F0502020204030204"/>
    <w:charset w:val="00"/>
    <w:family w:val="swiss"/>
    <w:pitch w:val="variable"/>
    <w:sig w:usb0="E4002EFF" w:usb1="C200247B" w:usb2="00000009" w:usb3="00000000" w:csb0="200001FF" w:csb1="00000000"/>
  </w:font>
  <w:font w:name="Tahoma">
    <w:altName w:val="noto sans thai"/>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1"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幼圆">
    <w:panose1 w:val="02010509060101010101"/>
    <w:charset w:val="86"/>
    <w:family w:val="modern"/>
    <w:pitch w:val="default"/>
    <w:sig w:usb0="00000001" w:usb1="080E0000" w:usb2="00000000" w:usb3="00000000" w:csb0="00040000" w:csb1="00000000"/>
  </w:font>
  <w:font w:name="Songti SC">
    <w:altName w:val="宋体"/>
    <w:panose1 w:val="00000000000000000000"/>
    <w:charset w:val="86"/>
    <w:family w:val="auto"/>
    <w:pitch w:val="default"/>
    <w:sig w:usb0="00000000" w:usb1="00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Arial Unicode MS">
    <w:altName w:val="Times New Roman"/>
    <w:panose1 w:val="020B0604020202020204"/>
    <w:charset w:val="86"/>
    <w:family w:val="swiss"/>
    <w:pitch w:val="default"/>
    <w:sig w:usb0="00000000" w:usb1="00000000" w:usb2="0000003F" w:usb3="00000000" w:csb0="603F01FF" w:csb1="FFFF0000"/>
  </w:font>
  <w:font w:name="等线">
    <w:altName w:val="微软雅黑"/>
    <w:panose1 w:val="02010600030101010101"/>
    <w:charset w:val="86"/>
    <w:family w:val="auto"/>
    <w:pitch w:val="default"/>
    <w:sig w:usb0="00000000" w:usb1="00000000" w:usb2="00000016" w:usb3="00000000" w:csb0="0004000F" w:csb1="00000000"/>
  </w:font>
  <w:font w:name="DejaVu Sans">
    <w:panose1 w:val="020B0603030804020204"/>
    <w:charset w:val="00"/>
    <w:family w:val="auto"/>
    <w:pitch w:val="default"/>
    <w:sig w:usb0="E7006EFF" w:usb1="D200FDFF" w:usb2="0A246029" w:usb3="0400200C" w:csb0="600001FF" w:csb1="DFFF0000"/>
  </w:font>
  <w:font w:name="Microsoft YaHei">
    <w:panose1 w:val="020B0503020204020204"/>
    <w:charset w:val="86"/>
    <w:family w:val="auto"/>
    <w:pitch w:val="default"/>
    <w:sig w:usb0="80000287" w:usb1="280F3C52" w:usb2="00000016" w:usb3="00000000" w:csb0="0004001F" w:csb1="00000000"/>
  </w:font>
  <w:font w:name="noto sans thai">
    <w:panose1 w:val="020B0502040504020204"/>
    <w:charset w:val="00"/>
    <w:family w:val="auto"/>
    <w:pitch w:val="default"/>
    <w:sig w:usb0="81000063" w:usb1="00002000" w:usb2="00000000" w:usb3="00000000" w:csb0="00010001"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8B7BE43"/>
    <w:multiLevelType w:val="singleLevel"/>
    <w:tmpl w:val="B8B7BE43"/>
    <w:lvl w:ilvl="0">
      <w:start w:val="7"/>
      <w:numFmt w:val="decimal"/>
      <w:lvlText w:val="%1."/>
      <w:lvlJc w:val="left"/>
      <w:pPr>
        <w:tabs>
          <w:tab w:val="left" w:pos="312"/>
        </w:tabs>
      </w:p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53E5AC9"/>
    <w:multiLevelType w:val="multilevel"/>
    <w:tmpl w:val="653E5AC9"/>
    <w:lvl w:ilvl="0">
      <w:start w:val="1"/>
      <w:numFmt w:val="bullet"/>
      <w:lvlText w:val=""/>
      <w:lvlJc w:val="left"/>
      <w:pPr>
        <w:ind w:left="900" w:hanging="420"/>
      </w:pPr>
      <w:rPr>
        <w:rFonts w:ascii="Wingdings" w:hAnsi="Wingdings"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14">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13"/>
  </w:num>
  <w:num w:numId="5">
    <w:abstractNumId w:val="0"/>
  </w:num>
  <w:num w:numId="6">
    <w:abstractNumId w:val="12"/>
  </w:num>
  <w:num w:numId="7">
    <w:abstractNumId w:val="14"/>
  </w:num>
  <w:num w:numId="8">
    <w:abstractNumId w:val="2"/>
  </w:num>
  <w:num w:numId="9">
    <w:abstractNumId w:val="6"/>
  </w:num>
  <w:num w:numId="10">
    <w:abstractNumId w:val="4"/>
  </w:num>
  <w:num w:numId="11">
    <w:abstractNumId w:val="3"/>
  </w:num>
  <w:num w:numId="12">
    <w:abstractNumId w:val="11"/>
  </w:num>
  <w:num w:numId="13">
    <w:abstractNumId w:val="1"/>
  </w:num>
  <w:num w:numId="14">
    <w:abstractNumId w:val="5"/>
  </w:num>
  <w:num w:numId="15">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4BE6"/>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1986"/>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table" w:customStyle="1" w:styleId="TableNormal0">
    <w:name w:val="Table Normal_0"/>
    <w:qFormat/>
    <w:rPr>
      <w:lang w:eastAsia="zh-CN"/>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