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区域高分辨率模式协同研发支撑</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ZQCD-26002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中国气象局地球系统数值预报中心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区域高分辨率模式协同研发支撑</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ZQCD-26002</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12个月</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2026年01月12日 00:00:00</w:t>
      </w:r>
      <w:bookmarkEnd w:id="27"/>
      <w:r>
        <w:rPr>
          <w:rFonts w:ascii="宋体" w:hint="eastAsia"/>
          <w:szCs w:val="21"/>
          <w:highlight w:val="none"/>
        </w:rPr>
        <w:t>至</w:t>
      </w:r>
      <w:bookmarkStart w:id="28" w:name="项目公告_signUpLastTime"/>
      <w:r>
        <w:rPr>
          <w:rFonts w:ascii="宋体" w:hint="eastAsia"/>
          <w:szCs w:val="21"/>
          <w:highlight w:val="none"/>
        </w:rPr>
        <w:t>2026年01月19日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2026年02月03日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中国气象局地球系统数值预报中心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刘展</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010-58993340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中国气象局地球系统数值预报中心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（1）标的：区域高分辨率模式协同研发支撑，属于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是，代理服务费：3.8万元。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389.870000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389.870000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ISO9000系列质量管理体系认证；</w:t>
              <w:cr/>
              <w:t>2、投标人具有ISO20000信息技术服务管理体系认证；</w:t>
              <w:cr/>
              <w:t>3、投标人具有ISO27001信息安全管理体系认证；</w:t>
              <w:cr/>
              <w:t>4、知识产权管理体系认证；</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(12)</w:t>
            </w:r>
          </w:p>
        </w:tc>
        <w:tc>
          <w:tcPr/>
          <w:p>
            <w:r>
              <w:t>评审标准：</w:t>
            </w:r>
          </w:p>
          <w:p>
            <w:r>
              <w:t>投标人应组成本项目开发服务团队，团队组织结构清晰， 应设服务团队负责人（项目经 理）、技术负责人，人员专业背景齐全。具体如下：</w:t>
              <w:cr/>
              <w:t>1、团队人数至少9人，其中驻场人员至少4人。完全满足得3分，否则不得分。</w:t>
              <w:cr/>
              <w:t>2、团队负责人（项目经理）应有气象/计算机/软件等专业背景，具有PMP 证书（项目管理专业人员资格认证）或信息系统项目管理师（高级）证书，具有同类项目工作经验3年以上。完全满足得3分，否则不得分。</w:t>
              <w:cr/>
              <w:t>3、技术负责人必须具有3年以上相关项目软件设计/开发/集成经验。完全满足3分，否则不得分。</w:t>
              <w:cr/>
              <w:t>4、团队其他成员（除团队负责人和技术负责人外）中至少有5人以上应有气象/计算机/软件相关专业背景，其中至少4人有2年以上同类项目开发经历。完全满足得3分，否则不得分。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区间打分</w:t>
            </w:r>
            <w:r>
              <w:t>(5)</w:t>
            </w:r>
          </w:p>
        </w:tc>
        <w:tc>
          <w:tcPr/>
          <w:p>
            <w:r>
              <w:t>评审标准：</w:t>
            </w:r>
          </w:p>
          <w:p>
            <w:r>
              <w:t>提供书面承诺得5分。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软件功能开发需求分析（主观分）</w:t>
            </w:r>
          </w:p>
        </w:tc>
        <w:tc>
          <w:tcPr/>
          <w:p>
            <w:r>
              <w:t>勾选打分</w:t>
            </w:r>
            <w:r>
              <w:t>(4)</w:t>
            </w:r>
          </w:p>
        </w:tc>
        <w:tc>
          <w:tcPr/>
          <w:p>
            <w:r>
              <w:t>评审标准：</w:t>
            </w:r>
          </w:p>
          <w:p>
            <w:r>
              <w:t>一档 0 分</w:t>
              <w:cr/>
              <w:t xml:space="preserve">二档 1 分  </w:t>
              <w:cr/>
              <w:t>三档 2分</w:t>
              <w:cr/>
              <w:t>四档 4分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13</w:t>
            </w:r>
          </w:p>
        </w:tc>
        <w:tc>
          <w:tcPr>
            <w:vMerge/>
          </w:tcPr>
          <w:p>
            <w:r>
              <w:t>技术部分</w:t>
            </w:r>
          </w:p>
        </w:tc>
        <w:tc>
          <w:tcPr/>
          <w:p>
            <w:r>
              <w:t>模块设计技术方案（主观分）</w:t>
            </w:r>
          </w:p>
        </w:tc>
        <w:tc>
          <w:tcPr/>
          <w:p>
            <w:r>
              <w:t>区间打分</w:t>
            </w:r>
            <w:r>
              <w:t>(25)</w:t>
            </w:r>
          </w:p>
        </w:tc>
        <w:tc>
          <w:tcPr/>
          <w:p>
            <w:r>
              <w:t>评审标准：</w:t>
            </w:r>
          </w:p>
          <w:p>
            <w:r>
              <w:t>提交如下5个子系统建设内容的技术方案：</w:t>
              <w:cr/>
              <w:t>1、区域模式代码质量检测</w:t>
              <w:cr/>
              <w:t>2、区域模式研发原型快速测试验证</w:t>
              <w:cr/>
              <w:t>3、区域模式技术成果汇交集成</w:t>
              <w:cr/>
              <w:t>4、区域模式协同研发场景支撑</w:t>
              <w:cr/>
              <w:t>5、区域模式迭代研发任务管理</w:t>
              <w:cr/>
              <w:cr/>
              <w:t>以上每个子系统技术方案：</w:t>
              <w:cr/>
              <w:t>一档 0 分</w:t>
              <w:cr/>
              <w:t xml:space="preserve">二档 1分 </w:t>
              <w:cr/>
              <w:t xml:space="preserve">三档 3分 </w:t>
              <w:cr/>
              <w:t>四档 5分</w:t>
              <w:cr/>
              <w:t>以上共计5个子系统，满分25分。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eastAsiaTheme="minorEastAsia" w:cstheme="minorBidi" w:hint="eastAsia"/>
          <w:b/>
          <w:bCs w:val="0"/>
          <w:sz w:val="30"/>
          <w:szCs w:val="30"/>
        </w:rPr>
      </w:pPr>
      <w:r>
        <w:rPr>
          <w:bCs/>
          <w:szCs w:val="21"/>
          <w:highlight w:val="none"/>
        </w:rPr>
        <w:br w:type="page"/>
      </w:r>
      <w:bookmarkStart w:id="60" w:name="插入_采购需求书"/>
      <w:r>
        <w:rPr>
          <w:rFonts w:ascii="宋体" w:hAnsi="宋体" w:eastAsiaTheme="minorEastAsia" w:cstheme="minorBidi" w:hint="eastAsia"/>
          <w:b/>
          <w:sz w:val="30"/>
          <w:szCs w:val="30"/>
        </w:rPr>
        <w:t>第</w:t>
      </w:r>
      <w:r>
        <w:rPr>
          <w:rFonts w:ascii="宋体" w:hAnsi="宋体" w:eastAsiaTheme="minorEastAsia" w:cstheme="minorBidi" w:hint="eastAsia"/>
          <w:b/>
          <w:sz w:val="30"/>
          <w:szCs w:val="30"/>
          <w:lang w:eastAsia="zh-CN"/>
        </w:rPr>
        <w:t>七</w:t>
      </w:r>
      <w:r>
        <w:rPr>
          <w:rFonts w:ascii="宋体" w:hAnsi="宋体" w:eastAsiaTheme="minorEastAsia" w:cstheme="minorBidi" w:hint="eastAsia"/>
          <w:b/>
          <w:sz w:val="30"/>
          <w:szCs w:val="30"/>
        </w:rPr>
        <w:t xml:space="preserve">章  </w:t>
      </w:r>
      <w:r>
        <w:rPr>
          <w:rFonts w:ascii="宋体" w:hAnsi="宋体" w:eastAsiaTheme="minorEastAsia" w:cstheme="minorBidi" w:hint="eastAsia"/>
          <w:b/>
          <w:sz w:val="30"/>
          <w:szCs w:val="30"/>
          <w:lang w:eastAsia="zh-CN"/>
        </w:rPr>
        <w:t>采购需求</w:t>
      </w:r>
    </w:p>
    <w:p>
      <w:pPr>
        <w:snapToGrid w:val="0"/>
        <w:spacing w:line="360" w:lineRule="auto"/>
        <w:jc w:val="left"/>
        <w:rPr>
          <w:rFonts w:ascii="仿宋_GB2312" w:eastAsia="仿宋_GB2312" w:hAnsi="仿宋_GB2312" w:cs="仿宋_GB2312"/>
          <w:sz w:val="28"/>
          <w:szCs w:val="28"/>
          <w:highlight w:val="yellow"/>
        </w:rPr>
      </w:pPr>
    </w:p>
    <w:p>
      <w:pPr>
        <w:pStyle w:val="Heading4"/>
        <w:numPr>
          <w:ilvl w:val="0"/>
          <w:numId w:val="0"/>
        </w:numPr>
        <w:ind w:left="432" w:hanging="432"/>
      </w:pPr>
      <w:bookmarkStart w:id="61" w:name="_Toc7666"/>
      <w:bookmarkStart w:id="62" w:name="_Toc101190513"/>
      <w:bookmarkStart w:id="63" w:name="_Toc133591011"/>
      <w:r>
        <w:rPr>
          <w:rFonts w:ascii="宋体" w:eastAsia="宋体" w:hAnsi="宋体" w:cs="宋体" w:hint="eastAsia"/>
          <w:b/>
          <w:bCs/>
          <w:kern w:val="44"/>
          <w:sz w:val="24"/>
          <w:szCs w:val="24"/>
          <w:lang w:val="en-US" w:eastAsia="zh-CN" w:bidi="ar-SA"/>
        </w:rPr>
        <w:t>1</w:t>
      </w:r>
      <w:r>
        <w:rPr>
          <w:rFonts w:hint="eastAsia"/>
        </w:rPr>
        <w:t>项目</w:t>
      </w:r>
      <w:bookmarkEnd w:id="61"/>
      <w:bookmarkEnd w:id="62"/>
      <w:r>
        <w:rPr>
          <w:rFonts w:hint="eastAsia"/>
        </w:rPr>
        <w:t>概况</w:t>
      </w:r>
      <w:bookmarkEnd w:id="63"/>
    </w:p>
    <w:p>
      <w:pPr>
        <w:pStyle w:val="Heading5"/>
        <w:numPr>
          <w:numId w:val="0"/>
        </w:numPr>
      </w:pPr>
      <w:bookmarkStart w:id="64" w:name="_Toc133591012"/>
      <w:r>
        <w:rPr>
          <w:rFonts w:ascii="宋体" w:eastAsia="宋体" w:hAnsi="宋体" w:cs="宋体" w:hint="eastAsia"/>
          <w:b/>
          <w:bCs/>
          <w:kern w:val="2"/>
          <w:sz w:val="24"/>
          <w:szCs w:val="24"/>
          <w:lang w:val="en-US" w:eastAsia="zh-CN" w:bidi="ar-SA"/>
        </w:rPr>
        <w:t>1.1</w:t>
      </w:r>
      <w:r>
        <w:rPr>
          <w:rFonts w:hint="eastAsia"/>
        </w:rPr>
        <w:t>项目名称</w:t>
      </w:r>
      <w:bookmarkEnd w:id="64"/>
    </w:p>
    <w:p>
      <w:pPr>
        <w:pStyle w:val="NormalIndent"/>
        <w:adjustRightInd w:val="0"/>
        <w:snapToGrid w:val="0"/>
        <w:ind w:firstLine="480"/>
        <w:jc w:val="left"/>
      </w:pPr>
      <w:r>
        <w:rPr>
          <w:rFonts w:hint="eastAsia"/>
        </w:rPr>
        <w:t>区域高分辨率模式协同研发支撑。</w:t>
      </w:r>
    </w:p>
    <w:p>
      <w:pPr>
        <w:pStyle w:val="Heading5"/>
        <w:numPr>
          <w:numId w:val="0"/>
        </w:numPr>
      </w:pPr>
      <w:bookmarkStart w:id="65" w:name="_Toc133591013"/>
      <w:r>
        <w:rPr>
          <w:rFonts w:ascii="宋体" w:eastAsia="宋体" w:hAnsi="宋体" w:cs="宋体" w:hint="eastAsia"/>
          <w:b/>
          <w:bCs/>
          <w:kern w:val="2"/>
          <w:sz w:val="24"/>
          <w:szCs w:val="24"/>
          <w:lang w:val="en-US" w:eastAsia="zh-CN" w:bidi="ar-SA"/>
        </w:rPr>
        <w:t>1.2</w:t>
      </w:r>
      <w:r>
        <w:rPr>
          <w:rFonts w:hint="eastAsia"/>
        </w:rPr>
        <w:t>项目概述</w:t>
      </w:r>
      <w:bookmarkEnd w:id="65"/>
    </w:p>
    <w:p>
      <w:pPr>
        <w:pStyle w:val="NormalIndent"/>
        <w:adjustRightInd w:val="0"/>
        <w:snapToGrid w:val="0"/>
        <w:ind w:firstLine="480"/>
        <w:jc w:val="left"/>
      </w:pPr>
      <w:r>
        <w:rPr>
          <w:rFonts w:hint="eastAsia"/>
        </w:rPr>
        <w:t>通过本项目的建设，为统筹研发提供快捷高效的模式研发与运行调试支持服务，实现区域高分辨模式迭代研发任务的项目与成果管理。</w:t>
      </w:r>
    </w:p>
    <w:p>
      <w:pPr>
        <w:pStyle w:val="Heading4"/>
        <w:numPr>
          <w:ilvl w:val="0"/>
          <w:numId w:val="0"/>
        </w:numPr>
        <w:ind w:left="432" w:hanging="432"/>
        <w:rPr>
          <w:rFonts w:ascii="宋体" w:hAnsi="宋体" w:cs="宋体" w:hint="eastAsia"/>
          <w:kern w:val="44"/>
          <w:szCs w:val="24"/>
        </w:rPr>
      </w:pPr>
      <w:bookmarkStart w:id="66" w:name="_Toc101190515"/>
      <w:bookmarkEnd w:id="66"/>
      <w:bookmarkStart w:id="67" w:name="_Toc101184025"/>
      <w:bookmarkEnd w:id="67"/>
      <w:bookmarkStart w:id="68" w:name="_Toc20665"/>
      <w:bookmarkStart w:id="69" w:name="_Toc133591014"/>
      <w:bookmarkStart w:id="70" w:name="_Toc101190516"/>
      <w:r>
        <w:rPr>
          <w:rFonts w:ascii="宋体" w:eastAsia="宋体" w:hAnsi="宋体" w:cs="宋体" w:hint="eastAsia"/>
          <w:b/>
          <w:bCs/>
          <w:kern w:val="44"/>
          <w:sz w:val="24"/>
          <w:szCs w:val="24"/>
          <w:lang w:val="en-US" w:eastAsia="zh-CN" w:bidi="ar-SA"/>
        </w:rPr>
        <w:t>2</w:t>
      </w:r>
      <w:r>
        <w:rPr>
          <w:rFonts w:ascii="宋体" w:eastAsia="宋体" w:hAnsi="宋体" w:cs="宋体" w:hint="eastAsia"/>
          <w:kern w:val="44"/>
          <w:sz w:val="24"/>
          <w:szCs w:val="24"/>
        </w:rPr>
        <w:t>国家、行业相关标准规范</w:t>
      </w:r>
    </w:p>
    <w:p>
      <w:pPr>
        <w:pStyle w:val="Heading5"/>
        <w:numPr>
          <w:ilvl w:val="4"/>
          <w:numId w:val="0"/>
        </w:numPr>
        <w:rPr>
          <w:rFonts w:ascii="宋体" w:hAnsi="宋体" w:cs="宋体" w:hint="eastAsia"/>
          <w:sz w:val="24"/>
          <w:szCs w:val="24"/>
        </w:rPr>
      </w:pPr>
      <w:r>
        <w:rPr>
          <w:rFonts w:ascii="宋体" w:hAnsi="宋体" w:cs="宋体" w:hint="eastAsia"/>
          <w:sz w:val="24"/>
          <w:szCs w:val="24"/>
        </w:rPr>
        <w:t>2.1标准规范</w:t>
      </w:r>
    </w:p>
    <w:p>
      <w:pPr>
        <w:pStyle w:val="NormalIndent"/>
        <w:ind w:firstLine="480"/>
      </w:pPr>
      <w:r>
        <w:rPr>
          <w:rFonts w:hint="eastAsia"/>
        </w:rPr>
        <w:t xml:space="preserve">1)GBT 9385-2008 计算机软件需求规格说明规范 </w:t>
      </w:r>
    </w:p>
    <w:p>
      <w:pPr>
        <w:pStyle w:val="NormalIndent"/>
        <w:ind w:firstLine="480"/>
      </w:pPr>
      <w:r>
        <w:rPr>
          <w:rFonts w:hint="eastAsia"/>
        </w:rPr>
        <w:t xml:space="preserve">2)GBT 8567-2006 计算机软件文档编制规范     </w:t>
      </w:r>
    </w:p>
    <w:p>
      <w:pPr>
        <w:pStyle w:val="Heading5"/>
        <w:numPr>
          <w:ilvl w:val="4"/>
          <w:numId w:val="0"/>
        </w:numPr>
        <w:rPr>
          <w:rFonts w:ascii="宋体" w:hAnsi="宋体" w:cs="宋体" w:hint="eastAsia"/>
          <w:sz w:val="24"/>
          <w:szCs w:val="24"/>
        </w:rPr>
      </w:pPr>
      <w:r>
        <w:rPr>
          <w:rFonts w:ascii="宋体" w:hAnsi="宋体" w:cs="宋体" w:hint="eastAsia"/>
          <w:sz w:val="24"/>
          <w:szCs w:val="24"/>
        </w:rPr>
        <w:t>2.2国家法律法规</w:t>
      </w:r>
    </w:p>
    <w:p>
      <w:pPr>
        <w:pStyle w:val="NormalIndent"/>
        <w:ind w:firstLine="480"/>
      </w:pPr>
      <w:r>
        <w:rPr>
          <w:rFonts w:hint="eastAsia"/>
        </w:rPr>
        <w:t xml:space="preserve">1)《中华人民共和国政府采购法》            </w:t>
      </w:r>
    </w:p>
    <w:p>
      <w:pPr>
        <w:pStyle w:val="NormalIndent"/>
        <w:ind w:firstLine="480"/>
      </w:pPr>
      <w:r>
        <w:rPr>
          <w:rFonts w:hint="eastAsia"/>
        </w:rPr>
        <w:t xml:space="preserve">2)《中华人民共和国民法典》                </w:t>
      </w:r>
    </w:p>
    <w:p>
      <w:pPr>
        <w:pStyle w:val="Heading4"/>
        <w:numPr>
          <w:ilvl w:val="0"/>
          <w:numId w:val="0"/>
        </w:numPr>
        <w:ind w:left="432" w:hanging="432"/>
        <w:rPr>
          <w:rFonts w:ascii="宋体" w:hAnsi="宋体" w:cs="宋体" w:hint="eastAsia"/>
          <w:kern w:val="44"/>
          <w:szCs w:val="24"/>
        </w:rPr>
      </w:pPr>
      <w:r>
        <w:rPr>
          <w:rFonts w:ascii="宋体" w:eastAsia="宋体" w:hAnsi="宋体" w:cs="宋体" w:hint="eastAsia"/>
          <w:b/>
          <w:bCs/>
          <w:kern w:val="44"/>
          <w:sz w:val="24"/>
          <w:szCs w:val="24"/>
          <w:lang w:val="en-US" w:eastAsia="zh-CN" w:bidi="ar-SA"/>
        </w:rPr>
        <w:t>3</w:t>
      </w:r>
      <w:r>
        <w:rPr>
          <w:rFonts w:ascii="宋体" w:eastAsia="宋体" w:hAnsi="宋体" w:cs="宋体" w:hint="eastAsia"/>
          <w:kern w:val="44"/>
          <w:sz w:val="24"/>
          <w:szCs w:val="24"/>
        </w:rPr>
        <w:t>建设目标和内容</w:t>
      </w:r>
      <w:bookmarkEnd w:id="68"/>
      <w:bookmarkEnd w:id="69"/>
      <w:bookmarkEnd w:id="70"/>
    </w:p>
    <w:p>
      <w:pPr>
        <w:pStyle w:val="NormalIndent"/>
        <w:adjustRightInd w:val="0"/>
        <w:snapToGrid w:val="0"/>
        <w:ind w:firstLine="480"/>
        <w:jc w:val="left"/>
      </w:pPr>
      <w:r>
        <w:rPr>
          <w:rFonts w:hint="eastAsia"/>
        </w:rPr>
        <w:t>通过本项目的建设，建立区域高分辨模式代码质量检测、研发原型测试验证、多场景改进协同试验、技术汇交及迭代科技任务管理等功能，为统筹研发提供快捷高效的模式研发与运行调试支持服务，实现区域高分辨模式迭代研发任务的项目与成果管理。</w:t>
      </w:r>
    </w:p>
    <w:p>
      <w:pPr>
        <w:pStyle w:val="NormalIndent"/>
        <w:adjustRightInd w:val="0"/>
        <w:snapToGrid w:val="0"/>
        <w:ind w:firstLine="480"/>
        <w:jc w:val="left"/>
      </w:pPr>
      <w:r>
        <w:rPr>
          <w:rFonts w:hint="eastAsia"/>
        </w:rPr>
        <w:t>本项目建设内容包括以下5个方面：</w:t>
      </w:r>
    </w:p>
    <w:p>
      <w:pPr>
        <w:pStyle w:val="NormalIndent"/>
        <w:adjustRightInd w:val="0"/>
        <w:snapToGrid w:val="0"/>
        <w:ind w:firstLine="480"/>
        <w:jc w:val="left"/>
      </w:pPr>
      <w:r>
        <w:t>1）</w:t>
      </w:r>
      <w:r>
        <w:rPr>
          <w:rFonts w:hint="eastAsia"/>
        </w:rPr>
        <w:t>区域模式代码质量检测</w:t>
      </w:r>
    </w:p>
    <w:p>
      <w:pPr>
        <w:pStyle w:val="NormalIndent"/>
        <w:adjustRightInd w:val="0"/>
        <w:snapToGrid w:val="0"/>
        <w:ind w:firstLine="480"/>
        <w:jc w:val="left"/>
      </w:pPr>
      <w:r>
        <w:rPr>
          <w:rFonts w:hint="eastAsia"/>
        </w:rPr>
        <w:t>2）区域模式研发原型快速测试验证</w:t>
      </w:r>
    </w:p>
    <w:p>
      <w:pPr>
        <w:pStyle w:val="NormalIndent"/>
        <w:adjustRightInd w:val="0"/>
        <w:snapToGrid w:val="0"/>
        <w:ind w:firstLine="480"/>
        <w:jc w:val="left"/>
      </w:pPr>
      <w:r>
        <w:rPr>
          <w:rFonts w:hint="eastAsia"/>
        </w:rPr>
        <w:t>3）区域模式技术成果汇交集成</w:t>
      </w:r>
    </w:p>
    <w:p>
      <w:pPr>
        <w:pStyle w:val="NormalIndent"/>
        <w:adjustRightInd w:val="0"/>
        <w:snapToGrid w:val="0"/>
        <w:ind w:firstLine="480"/>
        <w:jc w:val="left"/>
      </w:pPr>
      <w:r>
        <w:rPr>
          <w:rFonts w:hint="eastAsia"/>
        </w:rPr>
        <w:t>4）区域模式协同研发场景支撑</w:t>
      </w:r>
    </w:p>
    <w:p>
      <w:pPr>
        <w:pStyle w:val="NormalIndent"/>
        <w:adjustRightInd w:val="0"/>
        <w:snapToGrid w:val="0"/>
        <w:ind w:firstLine="480"/>
        <w:jc w:val="left"/>
      </w:pPr>
      <w:r>
        <w:rPr>
          <w:rFonts w:hint="eastAsia"/>
        </w:rPr>
        <w:t>5）区域模式迭代研发任务管理</w:t>
      </w:r>
    </w:p>
    <w:p>
      <w:pPr>
        <w:pStyle w:val="Heading4"/>
        <w:numPr>
          <w:ilvl w:val="12"/>
          <w:numId w:val="0"/>
        </w:numPr>
        <w:tabs>
          <w:tab w:val="clear" w:pos="864"/>
        </w:tabs>
        <w:ind w:left="0" w:firstLine="0"/>
        <w:rPr>
          <w:rFonts w:ascii="宋体" w:hAnsi="宋体" w:cs="宋体" w:hint="eastAsia"/>
          <w:kern w:val="44"/>
          <w:szCs w:val="24"/>
        </w:rPr>
      </w:pPr>
      <w:bookmarkStart w:id="71" w:name="_Toc27157"/>
      <w:bookmarkStart w:id="72" w:name="_Toc133591015"/>
      <w:bookmarkStart w:id="73" w:name="_Toc101190517"/>
      <w:r>
        <w:rPr>
          <w:rFonts w:ascii="宋体" w:eastAsia="宋体" w:hAnsi="宋体" w:cs="宋体" w:hint="eastAsia"/>
          <w:b/>
          <w:bCs/>
          <w:kern w:val="44"/>
          <w:sz w:val="24"/>
          <w:szCs w:val="24"/>
          <w:lang w:val="en-US" w:eastAsia="zh-CN" w:bidi="ar-SA"/>
        </w:rPr>
        <w:t>4</w:t>
      </w:r>
      <w:r>
        <w:rPr>
          <w:rFonts w:ascii="宋体" w:eastAsia="宋体" w:hAnsi="宋体" w:cs="宋体" w:hint="eastAsia"/>
          <w:kern w:val="44"/>
          <w:sz w:val="24"/>
          <w:szCs w:val="24"/>
        </w:rPr>
        <w:t>技术规格和要求</w:t>
      </w:r>
      <w:bookmarkEnd w:id="71"/>
      <w:bookmarkEnd w:id="72"/>
      <w:bookmarkEnd w:id="73"/>
    </w:p>
    <w:p>
      <w:pPr>
        <w:pStyle w:val="Heading5"/>
        <w:numPr>
          <w:ilvl w:val="4"/>
          <w:numId w:val="0"/>
        </w:numPr>
        <w:rPr>
          <w:rFonts w:ascii="宋体" w:hAnsi="宋体" w:cs="宋体" w:hint="eastAsia"/>
          <w:sz w:val="24"/>
          <w:szCs w:val="24"/>
        </w:rPr>
      </w:pPr>
      <w:bookmarkStart w:id="74" w:name="_Toc27371"/>
      <w:bookmarkStart w:id="75" w:name="_Toc133591016"/>
      <w:bookmarkStart w:id="76" w:name="_Toc101190518"/>
      <w:r>
        <w:rPr>
          <w:rFonts w:ascii="宋体" w:eastAsia="宋体" w:hAnsi="宋体" w:cs="宋体" w:hint="eastAsia"/>
          <w:b/>
          <w:bCs/>
          <w:kern w:val="2"/>
          <w:sz w:val="24"/>
          <w:szCs w:val="24"/>
          <w:lang w:val="en-US" w:eastAsia="zh-CN" w:bidi="ar-SA"/>
        </w:rPr>
        <w:t>4.1</w:t>
      </w:r>
      <w:r>
        <w:rPr>
          <w:rFonts w:ascii="宋体" w:hAnsi="宋体" w:cs="宋体" w:hint="eastAsia"/>
          <w:sz w:val="24"/>
          <w:szCs w:val="24"/>
        </w:rPr>
        <w:t>区域模式代码质量检测</w:t>
      </w:r>
    </w:p>
    <w:bookmarkEnd w:id="74"/>
    <w:bookmarkEnd w:id="75"/>
    <w:bookmarkEnd w:id="76"/>
    <w:p>
      <w:pPr>
        <w:pStyle w:val="Heading6"/>
        <w:numPr>
          <w:ilvl w:val="12"/>
          <w:numId w:val="0"/>
        </w:numPr>
        <w:tabs>
          <w:tab w:val="clear" w:pos="1152"/>
        </w:tabs>
        <w:ind w:left="0" w:firstLine="0"/>
      </w:pPr>
      <w:r>
        <w:rPr>
          <w:rFonts w:ascii="Times New Roman" w:eastAsia="宋体" w:hAnsi="Times New Roman" w:cs="Times New Roman" w:hint="eastAsia"/>
          <w:b/>
          <w:bCs/>
          <w:kern w:val="2"/>
          <w:sz w:val="28"/>
          <w:szCs w:val="32"/>
          <w:lang w:val="en-US" w:eastAsia="zh-CN" w:bidi="ar-SA"/>
        </w:rPr>
        <w:t>4.1.1</w:t>
      </w:r>
      <w:r>
        <w:rPr>
          <w:rFonts w:hint="eastAsia"/>
        </w:rPr>
        <w:t>功能性要求</w:t>
      </w:r>
    </w:p>
    <w:p>
      <w:pPr>
        <w:pStyle w:val="NormalIndent"/>
        <w:adjustRightInd w:val="0"/>
        <w:snapToGrid w:val="0"/>
        <w:ind w:firstLine="480"/>
        <w:jc w:val="left"/>
      </w:pPr>
      <w:r>
        <w:rPr>
          <w:rFonts w:hint="eastAsia"/>
        </w:rPr>
        <w:t>区域模式代码静态分析模块：使用静态分析、抽象语法树等技术，检查区域模式代码是否有可读性、性能、不合乎编码规范等方面的缺陷。</w:t>
      </w:r>
    </w:p>
    <w:p>
      <w:pPr>
        <w:pStyle w:val="NormalIndent"/>
        <w:adjustRightInd w:val="0"/>
        <w:snapToGrid w:val="0"/>
        <w:ind w:firstLine="480"/>
        <w:jc w:val="left"/>
      </w:pPr>
      <w:r>
        <w:rPr>
          <w:rFonts w:hint="eastAsia"/>
        </w:rPr>
        <w:t>区域模式代码可移植性检测模块：分析区域模式的编译配置文件和源代码，检查在不同体系架构、操作系统和编译器及版本下无法成功编译和运行的风险、不符合数值程序编程语言语法标准、第三方库版本冲突等问题。</w:t>
      </w:r>
    </w:p>
    <w:p>
      <w:pPr>
        <w:pStyle w:val="NormalIndent"/>
        <w:adjustRightInd w:val="0"/>
        <w:snapToGrid w:val="0"/>
        <w:ind w:firstLine="480"/>
        <w:jc w:val="left"/>
      </w:pPr>
      <w:r>
        <w:rPr>
          <w:rFonts w:hint="eastAsia"/>
        </w:rPr>
        <w:t>区域模式代码质量报告生成模块：实现区域模式代码质量检测工具，对检测得到的代码缺陷，自动生成报告，支持查看详细和下载。</w:t>
      </w:r>
    </w:p>
    <w:p>
      <w:pPr>
        <w:pStyle w:val="NormalIndent"/>
        <w:adjustRightInd w:val="0"/>
        <w:snapToGrid w:val="0"/>
        <w:ind w:firstLine="480"/>
        <w:jc w:val="left"/>
      </w:pPr>
      <w:r>
        <w:rPr>
          <w:rFonts w:hint="eastAsia"/>
        </w:rPr>
        <w:t>区域模式代码并行增量检测模块：对区域模式不同代码源文件、以及不同用户提交的不同项目等，使用多线程/进程同时并行进行检测，汇总结果。实现区域模式代码质量检测功能与数值预报科创平台的集成。</w:t>
      </w:r>
    </w:p>
    <w:p>
      <w:pPr>
        <w:pStyle w:val="NormalIndent"/>
        <w:adjustRightInd w:val="0"/>
        <w:snapToGrid w:val="0"/>
        <w:ind w:firstLine="480"/>
        <w:jc w:val="left"/>
      </w:pPr>
      <w:r>
        <w:rPr>
          <w:rFonts w:hint="eastAsia"/>
        </w:rPr>
        <w:t>区域模式代码缺陷信息管理模块：对检测发现的区域模式代码缺陷进行管理，实现在前端界面中对它们的增删改查等管理操作，支持一键导出成PDF格式的报告。</w:t>
      </w:r>
    </w:p>
    <w:p>
      <w:pPr>
        <w:pStyle w:val="Heading6"/>
        <w:numPr>
          <w:ilvl w:val="12"/>
          <w:numId w:val="0"/>
        </w:numPr>
        <w:tabs>
          <w:tab w:val="clear" w:pos="1152"/>
        </w:tabs>
        <w:ind w:left="0" w:firstLine="0"/>
        <w:rPr>
          <w:rFonts w:hint="eastAsia"/>
          <w:sz w:val="28"/>
          <w:szCs w:val="32"/>
        </w:rPr>
      </w:pPr>
      <w:r>
        <w:rPr>
          <w:rFonts w:ascii="Times New Roman" w:eastAsia="宋体" w:hAnsi="Times New Roman" w:cs="Times New Roman" w:hint="eastAsia"/>
          <w:b/>
          <w:bCs/>
          <w:kern w:val="2"/>
          <w:sz w:val="28"/>
          <w:szCs w:val="32"/>
          <w:lang w:val="en-US" w:eastAsia="zh-CN" w:bidi="ar-SA"/>
        </w:rPr>
        <w:t>4.1.2</w:t>
      </w:r>
      <w:r>
        <w:rPr>
          <w:rFonts w:hint="eastAsia"/>
          <w:sz w:val="28"/>
          <w:szCs w:val="32"/>
        </w:rPr>
        <w:t>非功能性要求</w:t>
      </w:r>
    </w:p>
    <w:p>
      <w:pPr>
        <w:pStyle w:val="NormalIndent"/>
        <w:adjustRightInd w:val="0"/>
        <w:snapToGrid w:val="0"/>
        <w:ind w:firstLine="480"/>
        <w:jc w:val="left"/>
      </w:pPr>
      <w:r>
        <w:rPr>
          <w:rFonts w:hint="eastAsia"/>
        </w:rPr>
        <w:t>性能要求：模块应具备良好的响应速度和吞吐量，能够处理大规模代码库的检测任务。区域模式全量代码的检测时间&lt;12小时/次，增量检测时间&lt;15分钟/次；对区域模式代码缺陷检测的准确率&gt;90%；区域模式原型验证生成报告的时间&lt;1小时/次。</w:t>
      </w:r>
    </w:p>
    <w:p>
      <w:pPr>
        <w:pStyle w:val="NormalIndent"/>
        <w:adjustRightInd w:val="0"/>
        <w:snapToGrid w:val="0"/>
        <w:ind w:firstLine="480"/>
        <w:jc w:val="left"/>
      </w:pPr>
      <w:r>
        <w:rPr>
          <w:rFonts w:hint="eastAsia"/>
        </w:rPr>
        <w:t>可靠性要求：模块应稳定运行，避免因自身故障导致检测中断或者数据丢失。</w:t>
      </w:r>
    </w:p>
    <w:p>
      <w:pPr>
        <w:pStyle w:val="NormalIndent"/>
        <w:adjustRightInd w:val="0"/>
        <w:snapToGrid w:val="0"/>
        <w:ind w:firstLine="480"/>
        <w:jc w:val="left"/>
      </w:pPr>
      <w:r>
        <w:rPr>
          <w:rFonts w:hint="eastAsia"/>
        </w:rPr>
        <w:t>易用性要求：界面友好，操作简便，提供清晰的指导和帮助文档。</w:t>
      </w:r>
    </w:p>
    <w:p>
      <w:pPr>
        <w:pStyle w:val="NormalIndent"/>
        <w:adjustRightInd w:val="0"/>
        <w:snapToGrid w:val="0"/>
        <w:ind w:firstLine="480"/>
        <w:jc w:val="left"/>
      </w:pPr>
      <w:r>
        <w:rPr>
          <w:rFonts w:hint="eastAsia"/>
        </w:rPr>
        <w:t>可扩展性要求：模块应具备良好的扩展性，能够适应未来代码质量检测需求的变更和增长。</w:t>
      </w:r>
    </w:p>
    <w:p>
      <w:pPr>
        <w:pStyle w:val="Heading5"/>
        <w:numPr>
          <w:ilvl w:val="4"/>
          <w:numId w:val="0"/>
        </w:numPr>
        <w:rPr>
          <w:rFonts w:ascii="宋体" w:hAnsi="宋体" w:cs="宋体" w:hint="eastAsia"/>
          <w:sz w:val="24"/>
          <w:szCs w:val="24"/>
        </w:rPr>
      </w:pPr>
      <w:r>
        <w:rPr>
          <w:rFonts w:ascii="宋体" w:eastAsia="宋体" w:hAnsi="宋体" w:cs="宋体" w:hint="eastAsia"/>
          <w:b/>
          <w:bCs/>
          <w:kern w:val="2"/>
          <w:sz w:val="24"/>
          <w:szCs w:val="24"/>
          <w:lang w:val="en-US" w:eastAsia="zh-CN" w:bidi="ar-SA"/>
        </w:rPr>
        <w:t>4.2</w:t>
      </w:r>
      <w:r>
        <w:rPr>
          <w:rFonts w:ascii="宋体" w:hAnsi="宋体" w:cs="宋体" w:hint="eastAsia"/>
          <w:sz w:val="24"/>
          <w:szCs w:val="24"/>
        </w:rPr>
        <w:t>区域模式研发原型快速测试验证</w:t>
      </w:r>
    </w:p>
    <w:p>
      <w:pPr>
        <w:pStyle w:val="Heading6"/>
        <w:numPr>
          <w:ilvl w:val="12"/>
          <w:numId w:val="0"/>
        </w:numPr>
        <w:tabs>
          <w:tab w:val="clear" w:pos="1152"/>
        </w:tabs>
        <w:ind w:left="0" w:firstLine="0"/>
        <w:rPr>
          <w:rFonts w:hint="eastAsia"/>
          <w:sz w:val="28"/>
          <w:szCs w:val="32"/>
        </w:rPr>
      </w:pPr>
      <w:r>
        <w:rPr>
          <w:rFonts w:ascii="Times New Roman" w:eastAsia="宋体" w:hAnsi="Times New Roman" w:cs="Times New Roman" w:hint="eastAsia"/>
          <w:b/>
          <w:bCs/>
          <w:kern w:val="2"/>
          <w:sz w:val="28"/>
          <w:szCs w:val="32"/>
          <w:lang w:val="en-US" w:eastAsia="zh-CN" w:bidi="ar-SA"/>
        </w:rPr>
        <w:t>4.2.1</w:t>
      </w:r>
      <w:r>
        <w:rPr>
          <w:rFonts w:hint="eastAsia"/>
          <w:sz w:val="28"/>
          <w:szCs w:val="32"/>
        </w:rPr>
        <w:t>功能性要求</w:t>
      </w:r>
    </w:p>
    <w:p>
      <w:pPr>
        <w:pStyle w:val="NormalIndent"/>
        <w:ind w:firstLine="480"/>
      </w:pPr>
      <w:r>
        <w:rPr>
          <w:rFonts w:hint="eastAsia"/>
        </w:rPr>
        <w:t>区域模式原型试验配置工具模块：开发可视化界面，对区域模式原型试验进行配置，包括试验创建、参数配置，试验启动运行、原型系统结果快速验证报告等辅助管理界面。</w:t>
      </w:r>
    </w:p>
    <w:p>
      <w:pPr>
        <w:pStyle w:val="NormalIndent"/>
        <w:ind w:firstLine="480"/>
      </w:pPr>
      <w:r>
        <w:rPr>
          <w:rFonts w:hint="eastAsia"/>
        </w:rPr>
        <w:t>区域模式原型试验配置智能化生成模块：研究实现业务试验配置自动生成算法，根据业务试验配置描述，自动修改配置文件中的参数。</w:t>
      </w:r>
    </w:p>
    <w:p>
      <w:pPr>
        <w:pStyle w:val="NormalIndent"/>
        <w:ind w:firstLine="480"/>
      </w:pPr>
      <w:r>
        <w:rPr>
          <w:rFonts w:hint="eastAsia"/>
        </w:rPr>
        <w:t>区域模式原型运行模拟器模块：基于容器技术构建现有气象超算系统的模拟器，可以在本地的非超算环境中以最小的资源实现区域模式原型系统的小型试验，实现对系统有效性的初步快速验证。</w:t>
      </w:r>
    </w:p>
    <w:p>
      <w:pPr>
        <w:pStyle w:val="NormalIndent"/>
        <w:ind w:firstLine="480"/>
      </w:pPr>
      <w:r>
        <w:rPr>
          <w:rFonts w:hint="eastAsia"/>
        </w:rPr>
        <w:t>区域模式原型运行结果验证工具模块：指定区域模式原型系统版本和用于对照的基本版本，以及运行模拟器环境，提交试验配置文件后，启动原型系统的运行，对两个版本的预报结果进行比较，以PDF格式报告形式输出差异、评分信息及图表。</w:t>
      </w:r>
    </w:p>
    <w:p>
      <w:pPr>
        <w:pStyle w:val="NormalIndent"/>
        <w:ind w:firstLine="480"/>
      </w:pPr>
      <w:r>
        <w:rPr>
          <w:rFonts w:hint="eastAsia"/>
        </w:rPr>
        <w:t>区域模式原型运行结果一致性检测模块：基于统计算法对区域模式原型系统前后两个版本的结果进行比较，也可与业务模式和观测资料进行对比，检查其预测效果是否一致、同化是否有效以及检测预报效果有无提升。</w:t>
      </w:r>
    </w:p>
    <w:p>
      <w:pPr>
        <w:pStyle w:val="NormalIndent"/>
        <w:ind w:firstLine="480"/>
      </w:pPr>
      <w:r>
        <w:rPr>
          <w:rFonts w:hint="eastAsia"/>
        </w:rPr>
        <w:t>区域模式原型测试报告生成模块：对区域模式原型系统的实验结果进行快速验证之后，自动生成原型系统的结果可用性报告。</w:t>
      </w:r>
    </w:p>
    <w:p>
      <w:pPr>
        <w:pStyle w:val="Heading6"/>
        <w:numPr>
          <w:ilvl w:val="12"/>
          <w:numId w:val="0"/>
        </w:numPr>
        <w:tabs>
          <w:tab w:val="clear" w:pos="1152"/>
        </w:tabs>
        <w:ind w:left="0" w:firstLine="0"/>
      </w:pPr>
      <w:r>
        <w:rPr>
          <w:rFonts w:ascii="Times New Roman" w:eastAsia="宋体" w:hAnsi="Times New Roman" w:cs="Times New Roman" w:hint="eastAsia"/>
          <w:b/>
          <w:bCs/>
          <w:kern w:val="2"/>
          <w:sz w:val="28"/>
          <w:szCs w:val="32"/>
          <w:lang w:val="en-US" w:eastAsia="zh-CN" w:bidi="ar-SA"/>
        </w:rPr>
        <w:t>4.2.2</w:t>
      </w:r>
      <w:r>
        <w:rPr>
          <w:rFonts w:hint="eastAsia"/>
        </w:rPr>
        <w:t>非功能性要求</w:t>
      </w:r>
    </w:p>
    <w:p>
      <w:pPr>
        <w:pStyle w:val="NormalIndent"/>
        <w:adjustRightInd w:val="0"/>
        <w:snapToGrid w:val="0"/>
        <w:ind w:firstLine="480"/>
        <w:jc w:val="left"/>
      </w:pPr>
      <w:r>
        <w:rPr>
          <w:rFonts w:hint="eastAsia"/>
        </w:rPr>
        <w:t>性能要求：模块应具备良好的响应速度和稳定性，能够处理大规模数据和复杂计算任务。对区域模式原型结果验证的准确率&gt;90%。区域模式研发原型结果验证生成报告的时间&lt;8小时/次。</w:t>
      </w:r>
    </w:p>
    <w:p>
      <w:pPr>
        <w:pStyle w:val="NormalIndent"/>
        <w:adjustRightInd w:val="0"/>
        <w:snapToGrid w:val="0"/>
        <w:ind w:firstLine="480"/>
        <w:jc w:val="left"/>
      </w:pPr>
      <w:r>
        <w:rPr>
          <w:rFonts w:hint="eastAsia"/>
        </w:rPr>
        <w:t>易用性要求：界面友好，操作简便，提供清晰的指导和帮助文档。</w:t>
      </w:r>
    </w:p>
    <w:p>
      <w:pPr>
        <w:pStyle w:val="NormalIndent"/>
        <w:adjustRightInd w:val="0"/>
        <w:snapToGrid w:val="0"/>
        <w:ind w:firstLine="480"/>
        <w:jc w:val="left"/>
      </w:pPr>
      <w:r>
        <w:rPr>
          <w:rFonts w:hint="eastAsia"/>
        </w:rPr>
        <w:t>可扩展性要求：模块应具备良好的扩展性，能够适应未来区域模式研发需求的变化和增长。</w:t>
      </w:r>
    </w:p>
    <w:p>
      <w:pPr>
        <w:pStyle w:val="NormalIndent"/>
        <w:adjustRightInd w:val="0"/>
        <w:snapToGrid w:val="0"/>
        <w:ind w:firstLine="480"/>
        <w:jc w:val="left"/>
      </w:pPr>
      <w:r>
        <w:rPr>
          <w:rFonts w:hint="eastAsia"/>
        </w:rPr>
        <w:t>兼容性要求：支持多种操作系统和浏览器，确保不同用户环境下的正常使用。支持构建不少于2种超算系统模拟环境以运行区域模式研发原型的快速测试。</w:t>
      </w:r>
    </w:p>
    <w:p>
      <w:pPr>
        <w:pStyle w:val="Heading5"/>
        <w:numPr>
          <w:ilvl w:val="4"/>
          <w:numId w:val="0"/>
        </w:numPr>
        <w:rPr>
          <w:rFonts w:ascii="宋体" w:hAnsi="宋体" w:cs="宋体" w:hint="eastAsia"/>
          <w:sz w:val="24"/>
          <w:szCs w:val="24"/>
        </w:rPr>
      </w:pPr>
      <w:r>
        <w:rPr>
          <w:rFonts w:ascii="宋体" w:eastAsia="宋体" w:hAnsi="宋体" w:cs="宋体" w:hint="eastAsia"/>
          <w:b/>
          <w:bCs/>
          <w:kern w:val="2"/>
          <w:sz w:val="24"/>
          <w:szCs w:val="24"/>
          <w:lang w:val="en-US" w:eastAsia="zh-CN" w:bidi="ar-SA"/>
        </w:rPr>
        <w:t>4.3</w:t>
      </w:r>
      <w:r>
        <w:rPr>
          <w:rFonts w:ascii="宋体" w:hAnsi="宋体" w:cs="宋体" w:hint="eastAsia"/>
          <w:sz w:val="24"/>
          <w:szCs w:val="24"/>
        </w:rPr>
        <w:t>区域模式技术成果汇交集成</w:t>
      </w:r>
    </w:p>
    <w:p>
      <w:pPr>
        <w:pStyle w:val="Heading6"/>
        <w:numPr>
          <w:ilvl w:val="12"/>
          <w:numId w:val="0"/>
        </w:numPr>
        <w:tabs>
          <w:tab w:val="clear" w:pos="1152"/>
        </w:tabs>
        <w:ind w:left="0" w:firstLine="0"/>
        <w:rPr>
          <w:rFonts w:ascii="Times New Roman" w:eastAsia="宋体" w:hAnsi="Times New Roman" w:hint="eastAsia"/>
          <w:sz w:val="28"/>
          <w:szCs w:val="32"/>
        </w:rPr>
      </w:pPr>
      <w:r>
        <w:rPr>
          <w:rFonts w:ascii="Times New Roman" w:eastAsia="宋体" w:hAnsi="Times New Roman" w:cs="Times New Roman" w:hint="eastAsia"/>
          <w:b/>
          <w:bCs/>
          <w:kern w:val="2"/>
          <w:sz w:val="28"/>
          <w:szCs w:val="32"/>
          <w:lang w:val="en-US" w:eastAsia="zh-CN" w:bidi="ar-SA"/>
        </w:rPr>
        <w:t>4.3.1</w:t>
      </w:r>
      <w:r>
        <w:rPr>
          <w:rFonts w:ascii="Times New Roman" w:eastAsia="宋体" w:hAnsi="Times New Roman" w:hint="eastAsia"/>
          <w:sz w:val="28"/>
          <w:szCs w:val="32"/>
        </w:rPr>
        <w:t>功能性要求</w:t>
      </w:r>
    </w:p>
    <w:p>
      <w:pPr>
        <w:pStyle w:val="NormalIndent"/>
        <w:adjustRightInd w:val="0"/>
        <w:snapToGrid w:val="0"/>
        <w:ind w:firstLine="480"/>
        <w:jc w:val="left"/>
      </w:pPr>
      <w:r>
        <w:rPr>
          <w:rFonts w:hint="eastAsia"/>
        </w:rPr>
        <w:t>区域模式候选成果库建立模块：建立区域模式候选成果专题库，通过将其作为技术成果汇交源，将各类候选技术成果进行分类与有序归档。</w:t>
      </w:r>
    </w:p>
    <w:p>
      <w:pPr>
        <w:pStyle w:val="NormalIndent"/>
        <w:adjustRightInd w:val="0"/>
        <w:snapToGrid w:val="0"/>
        <w:ind w:firstLine="480"/>
        <w:jc w:val="left"/>
      </w:pPr>
      <w:r>
        <w:rPr>
          <w:rFonts w:hint="eastAsia"/>
        </w:rPr>
        <w:t>区域模式代码成果提交模块：提供区域模式代码成果提交功能，推动科研专家将个人代码成果上传至统一代码仓库。</w:t>
      </w:r>
    </w:p>
    <w:p>
      <w:pPr>
        <w:pStyle w:val="NormalIndent"/>
        <w:adjustRightInd w:val="0"/>
        <w:snapToGrid w:val="0"/>
        <w:ind w:firstLine="480"/>
        <w:jc w:val="left"/>
      </w:pPr>
      <w:r>
        <w:rPr>
          <w:rFonts w:hint="eastAsia"/>
        </w:rPr>
        <w:t>区域模式个人集成试验模块：建设区域模式个人集成试验功能，专门为统筹研发专家打造基于代码仓库的便捷集成试验运行与调试服务。</w:t>
      </w:r>
    </w:p>
    <w:p>
      <w:pPr>
        <w:pStyle w:val="NormalIndent"/>
        <w:adjustRightInd w:val="0"/>
        <w:snapToGrid w:val="0"/>
        <w:ind w:firstLine="480"/>
        <w:jc w:val="left"/>
      </w:pPr>
      <w:r>
        <w:rPr>
          <w:rFonts w:hint="eastAsia"/>
        </w:rPr>
        <w:t>区域模式汇总集成试验模块：建设区域模式汇总集成试验功能，为统筹研发成果整合相关人员提供基于代码仓库的便捷集成试验运行雨调试服务。</w:t>
      </w:r>
    </w:p>
    <w:p>
      <w:pPr>
        <w:pStyle w:val="NormalIndent"/>
        <w:adjustRightInd w:val="0"/>
        <w:snapToGrid w:val="0"/>
        <w:ind w:firstLine="480"/>
        <w:jc w:val="left"/>
      </w:pPr>
      <w:r>
        <w:rPr>
          <w:rFonts w:hint="eastAsia"/>
        </w:rPr>
        <w:t>集成试验评估分析模块：建设集成试验评估分析功能，以个人集成试验或汇总集成试验的运行结果为基础，能为科研专家赋予全面且深入的预报效果评估与分析能力。</w:t>
      </w:r>
    </w:p>
    <w:p>
      <w:pPr>
        <w:pStyle w:val="NormalIndent"/>
        <w:adjustRightInd w:val="0"/>
        <w:snapToGrid w:val="0"/>
        <w:ind w:firstLine="480"/>
        <w:jc w:val="left"/>
      </w:pPr>
      <w:r>
        <w:rPr>
          <w:rFonts w:hint="eastAsia"/>
        </w:rPr>
        <w:t>区域模式成果审核模块：建设区域模式成果审核功能，为统筹研发的科研专家提交的技术成果提供审核服务。</w:t>
      </w:r>
    </w:p>
    <w:p>
      <w:pPr>
        <w:pStyle w:val="NormalIndent"/>
        <w:adjustRightInd w:val="0"/>
        <w:snapToGrid w:val="0"/>
        <w:ind w:firstLine="480"/>
        <w:jc w:val="left"/>
      </w:pPr>
      <w:r>
        <w:rPr>
          <w:rFonts w:hint="eastAsia"/>
        </w:rPr>
        <w:t>区域模式成果汇交入库模块：提供区域模式成果汇交入库功能，此功能聚焦于为审核通过后统筹研发技术成果提供向区域模式候选成果库的汇交服务。</w:t>
      </w:r>
    </w:p>
    <w:p>
      <w:pPr>
        <w:pStyle w:val="Heading6"/>
        <w:numPr>
          <w:ilvl w:val="12"/>
          <w:numId w:val="0"/>
        </w:numPr>
        <w:tabs>
          <w:tab w:val="clear" w:pos="1152"/>
        </w:tabs>
        <w:ind w:left="0" w:firstLine="0"/>
        <w:rPr>
          <w:rFonts w:ascii="Times New Roman" w:eastAsia="宋体" w:hAnsi="Times New Roman" w:hint="eastAsia"/>
          <w:sz w:val="28"/>
          <w:szCs w:val="32"/>
        </w:rPr>
      </w:pPr>
      <w:r>
        <w:rPr>
          <w:rFonts w:ascii="Times New Roman" w:eastAsia="宋体" w:hAnsi="Times New Roman" w:cs="Times New Roman" w:hint="eastAsia"/>
          <w:b/>
          <w:bCs/>
          <w:kern w:val="2"/>
          <w:sz w:val="28"/>
          <w:szCs w:val="32"/>
          <w:lang w:val="en-US" w:eastAsia="zh-CN" w:bidi="ar-SA"/>
        </w:rPr>
        <w:t>4.3.2</w:t>
      </w:r>
      <w:r>
        <w:rPr>
          <w:rFonts w:ascii="Times New Roman" w:eastAsia="宋体" w:hAnsi="Times New Roman" w:hint="eastAsia"/>
          <w:sz w:val="28"/>
          <w:szCs w:val="32"/>
        </w:rPr>
        <w:t>非功能性要求</w:t>
      </w:r>
    </w:p>
    <w:p>
      <w:pPr>
        <w:pStyle w:val="NormalIndent"/>
        <w:adjustRightInd w:val="0"/>
        <w:snapToGrid w:val="0"/>
        <w:ind w:firstLine="480"/>
        <w:jc w:val="left"/>
      </w:pPr>
      <w:r>
        <w:rPr>
          <w:rFonts w:hint="eastAsia"/>
        </w:rPr>
        <w:t>性能要求：模块应具备高效的响应速度，能够处理大规模数据和复杂计算任务，确保在规定时间内完成各项操作。系统在95％的情况下，系统响应时间≤2秒；可满足≥500个用户并发请求。</w:t>
      </w:r>
    </w:p>
    <w:p>
      <w:pPr>
        <w:pStyle w:val="NormalIndent"/>
        <w:adjustRightInd w:val="0"/>
        <w:snapToGrid w:val="0"/>
        <w:ind w:firstLine="480"/>
        <w:jc w:val="left"/>
      </w:pPr>
      <w:r>
        <w:rPr>
          <w:rFonts w:hint="eastAsia"/>
        </w:rPr>
        <w:t>易用性要求：界面设计简洁明了，操作流程应清晰易懂，提供详细的操作指南与说明文档，方便用户的使用。</w:t>
      </w:r>
    </w:p>
    <w:p>
      <w:pPr>
        <w:pStyle w:val="NormalIndent"/>
        <w:adjustRightInd w:val="0"/>
        <w:snapToGrid w:val="0"/>
        <w:ind w:firstLine="480"/>
        <w:jc w:val="left"/>
      </w:pPr>
      <w:r>
        <w:rPr>
          <w:rFonts w:hint="eastAsia"/>
        </w:rPr>
        <w:t>可靠性要求：模块应具备高可靠性，确保在长时间运行过程中不出现数据丢失、系统崩溃等问题，保障技术成果的安全。</w:t>
      </w:r>
    </w:p>
    <w:p>
      <w:pPr>
        <w:pStyle w:val="NormalIndent"/>
        <w:adjustRightInd w:val="0"/>
        <w:snapToGrid w:val="0"/>
        <w:ind w:firstLine="480"/>
        <w:jc w:val="left"/>
      </w:pPr>
      <w:r>
        <w:rPr>
          <w:rFonts w:hint="eastAsia"/>
        </w:rPr>
        <w:t>可扩展性要求：模块应具备良好的可扩展性，能够适应未来区域模式研发需求的变化，方便添加新的功能和模块。</w:t>
      </w:r>
    </w:p>
    <w:p>
      <w:pPr>
        <w:pStyle w:val="NormalIndent"/>
        <w:adjustRightInd w:val="0"/>
        <w:snapToGrid w:val="0"/>
        <w:ind w:firstLine="480"/>
        <w:jc w:val="left"/>
      </w:pPr>
      <w:r>
        <w:rPr>
          <w:rFonts w:hint="eastAsia"/>
        </w:rPr>
        <w:t>兼容性要求：支持多种操作系统和浏览器，确保在不同用户环境下的正常使用。</w:t>
      </w:r>
    </w:p>
    <w:p>
      <w:pPr>
        <w:pStyle w:val="Heading5"/>
        <w:numPr>
          <w:ilvl w:val="4"/>
          <w:numId w:val="0"/>
        </w:numPr>
        <w:rPr>
          <w:rFonts w:ascii="宋体" w:hAnsi="宋体" w:cs="宋体" w:hint="eastAsia"/>
          <w:sz w:val="24"/>
          <w:szCs w:val="24"/>
        </w:rPr>
      </w:pPr>
      <w:r>
        <w:rPr>
          <w:rFonts w:ascii="宋体" w:eastAsia="宋体" w:hAnsi="宋体" w:cs="宋体" w:hint="eastAsia"/>
          <w:b/>
          <w:bCs/>
          <w:kern w:val="2"/>
          <w:sz w:val="24"/>
          <w:szCs w:val="24"/>
          <w:lang w:val="en-US" w:eastAsia="zh-CN" w:bidi="ar-SA"/>
        </w:rPr>
        <w:t>4.4</w:t>
      </w:r>
      <w:r>
        <w:rPr>
          <w:rFonts w:ascii="宋体" w:hAnsi="宋体" w:cs="宋体" w:hint="eastAsia"/>
          <w:sz w:val="24"/>
          <w:szCs w:val="24"/>
        </w:rPr>
        <w:t>区域模式协同研发场景支撑</w:t>
      </w:r>
    </w:p>
    <w:p>
      <w:pPr>
        <w:pStyle w:val="Heading6"/>
        <w:numPr>
          <w:ilvl w:val="12"/>
          <w:numId w:val="0"/>
        </w:numPr>
        <w:tabs>
          <w:tab w:val="clear" w:pos="1152"/>
        </w:tabs>
        <w:ind w:left="0" w:firstLine="0"/>
        <w:rPr>
          <w:rFonts w:ascii="Times New Roman" w:eastAsia="宋体" w:hAnsi="Times New Roman" w:hint="eastAsia"/>
          <w:sz w:val="28"/>
          <w:szCs w:val="32"/>
        </w:rPr>
      </w:pPr>
      <w:r>
        <w:rPr>
          <w:rFonts w:ascii="Times New Roman" w:eastAsia="宋体" w:hAnsi="Times New Roman" w:cs="Times New Roman" w:hint="eastAsia"/>
          <w:b/>
          <w:bCs/>
          <w:kern w:val="2"/>
          <w:sz w:val="28"/>
          <w:szCs w:val="32"/>
          <w:lang w:val="en-US" w:eastAsia="zh-CN" w:bidi="ar-SA"/>
        </w:rPr>
        <w:t>4.4.1</w:t>
      </w:r>
      <w:r>
        <w:rPr>
          <w:rFonts w:ascii="Times New Roman" w:eastAsia="宋体" w:hAnsi="Times New Roman" w:hint="eastAsia"/>
          <w:sz w:val="28"/>
          <w:szCs w:val="32"/>
        </w:rPr>
        <w:t>功能性要求</w:t>
      </w:r>
    </w:p>
    <w:p>
      <w:pPr>
        <w:pStyle w:val="NormalIndent"/>
        <w:adjustRightInd w:val="0"/>
        <w:snapToGrid w:val="0"/>
        <w:ind w:firstLine="480"/>
        <w:jc w:val="left"/>
      </w:pPr>
      <w:r>
        <w:rPr>
          <w:rFonts w:hint="eastAsia"/>
        </w:rPr>
        <w:t>区域模式研发版本配置模块：提供灵活、强大的区域模式研发版本配置能力，为专家提供自由地配置不同的研发模式版本的功能。</w:t>
      </w:r>
    </w:p>
    <w:p>
      <w:pPr>
        <w:pStyle w:val="NormalIndent"/>
        <w:adjustRightInd w:val="0"/>
        <w:snapToGrid w:val="0"/>
        <w:ind w:firstLine="480"/>
        <w:jc w:val="left"/>
      </w:pPr>
      <w:r>
        <w:rPr>
          <w:rFonts w:hint="eastAsia"/>
        </w:rPr>
        <w:t>区域模式背景场驱动定制模块：提供区域模式背景场驱动的定制能力，为统筹研发专家带来高度灵活且个性化的模式背景场定制功能。</w:t>
      </w:r>
    </w:p>
    <w:p>
      <w:pPr>
        <w:pStyle w:val="NormalIndent"/>
        <w:adjustRightInd w:val="0"/>
        <w:snapToGrid w:val="0"/>
        <w:ind w:firstLine="480"/>
        <w:jc w:val="left"/>
      </w:pPr>
      <w:r>
        <w:rPr>
          <w:rFonts w:hint="eastAsia"/>
        </w:rPr>
        <w:t>区域模式预报区域推荐配置模块：提供针对区域模式预报区域推荐配置能力。专家能够依据具体的科研目标，以及实际应用场景，按需配置不同模式试验的预报范围。</w:t>
      </w:r>
    </w:p>
    <w:p>
      <w:pPr>
        <w:pStyle w:val="NormalIndent"/>
        <w:adjustRightInd w:val="0"/>
        <w:snapToGrid w:val="0"/>
        <w:ind w:firstLine="480"/>
        <w:jc w:val="left"/>
      </w:pPr>
      <w:r>
        <w:rPr>
          <w:rFonts w:hint="eastAsia"/>
        </w:rPr>
        <w:t>区域模式研发运行流程定制模块：提供针对区域模式研发运行流程的定制能力，让统筹研发专家能够灵活应对研发需求。</w:t>
      </w:r>
    </w:p>
    <w:p>
      <w:pPr>
        <w:pStyle w:val="NormalIndent"/>
        <w:adjustRightInd w:val="0"/>
        <w:snapToGrid w:val="0"/>
        <w:ind w:firstLine="480"/>
        <w:jc w:val="left"/>
      </w:pPr>
      <w:r>
        <w:rPr>
          <w:rFonts w:hint="eastAsia"/>
        </w:rPr>
        <w:t>区域模式研发参数化配置模块：提供针对区域模式研发参数化的配置能力，全力支持统筹研发专家在模式试验中按需定制多样化的运行参数化方案。</w:t>
      </w:r>
    </w:p>
    <w:p>
      <w:pPr>
        <w:pStyle w:val="NormalIndent"/>
        <w:adjustRightInd w:val="0"/>
        <w:snapToGrid w:val="0"/>
        <w:ind w:firstLine="480"/>
        <w:jc w:val="left"/>
      </w:pPr>
      <w:r>
        <w:rPr>
          <w:rFonts w:hint="eastAsia"/>
        </w:rPr>
        <w:t>区域模式研发多超算系统集成模块：提供的区域模式研发多超算系统集成选择能力，满足模式试验在不同超算系统上的运行需求。</w:t>
      </w:r>
    </w:p>
    <w:p>
      <w:pPr>
        <w:pStyle w:val="NormalIndent"/>
        <w:adjustRightInd w:val="0"/>
        <w:snapToGrid w:val="0"/>
        <w:ind w:firstLine="480"/>
        <w:jc w:val="left"/>
      </w:pPr>
      <w:r>
        <w:rPr>
          <w:rFonts w:hint="eastAsia"/>
        </w:rPr>
        <w:t>区域模式试验结果输出配置模块：提供区域模式试验结果输出配置能力。满足专家在进行科研时，不同的分析目标和研究成果展示要求。</w:t>
      </w:r>
    </w:p>
    <w:p>
      <w:pPr>
        <w:pStyle w:val="NormalIndent"/>
        <w:adjustRightInd w:val="0"/>
        <w:snapToGrid w:val="0"/>
        <w:ind w:firstLine="480"/>
        <w:jc w:val="left"/>
      </w:pPr>
      <w:r>
        <w:rPr>
          <w:rFonts w:hint="eastAsia"/>
        </w:rPr>
        <w:t>区域模式试验结果可视化配置模块：提供针对区域模式实验结果可视化配置服务，能将复杂的预报数据转化为直观、易懂的可视化结果。</w:t>
      </w:r>
    </w:p>
    <w:p>
      <w:pPr>
        <w:pStyle w:val="Heading6"/>
        <w:numPr>
          <w:ilvl w:val="12"/>
          <w:numId w:val="0"/>
        </w:numPr>
        <w:tabs>
          <w:tab w:val="clear" w:pos="1152"/>
        </w:tabs>
        <w:ind w:left="0" w:firstLine="0"/>
        <w:rPr>
          <w:rFonts w:ascii="Times New Roman" w:eastAsia="宋体" w:hAnsi="Times New Roman" w:hint="eastAsia"/>
          <w:sz w:val="28"/>
          <w:szCs w:val="32"/>
        </w:rPr>
      </w:pPr>
      <w:r>
        <w:rPr>
          <w:rFonts w:ascii="Times New Roman" w:eastAsia="宋体" w:hAnsi="Times New Roman" w:cs="Times New Roman" w:hint="eastAsia"/>
          <w:b/>
          <w:bCs/>
          <w:kern w:val="2"/>
          <w:sz w:val="28"/>
          <w:szCs w:val="32"/>
          <w:lang w:val="en-US" w:eastAsia="zh-CN" w:bidi="ar-SA"/>
        </w:rPr>
        <w:t>4.4.2</w:t>
      </w:r>
      <w:r>
        <w:rPr>
          <w:rFonts w:ascii="Times New Roman" w:eastAsia="宋体" w:hAnsi="Times New Roman" w:hint="eastAsia"/>
          <w:sz w:val="28"/>
          <w:szCs w:val="32"/>
        </w:rPr>
        <w:t>非功能性要求</w:t>
      </w:r>
    </w:p>
    <w:p>
      <w:pPr>
        <w:pStyle w:val="NormalIndent"/>
        <w:adjustRightInd w:val="0"/>
        <w:snapToGrid w:val="0"/>
        <w:ind w:firstLine="480"/>
        <w:jc w:val="left"/>
      </w:pPr>
      <w:r>
        <w:rPr>
          <w:rFonts w:hint="eastAsia"/>
        </w:rPr>
        <w:t>易用性要求：用户界面友好，各模块的操作界面设计简洁、直观，符合科研专家日常使用习惯。系统应提供详细的操作引导和提示信息。提供完整的用户操作手册和技术文档。</w:t>
      </w:r>
    </w:p>
    <w:p>
      <w:pPr>
        <w:pStyle w:val="NormalIndent"/>
        <w:adjustRightInd w:val="0"/>
        <w:snapToGrid w:val="0"/>
        <w:ind w:firstLine="480"/>
        <w:jc w:val="left"/>
      </w:pPr>
      <w:r>
        <w:rPr>
          <w:rFonts w:hint="eastAsia"/>
        </w:rPr>
        <w:t>灵活性要求：配置选项丰富，各模块应提供丰富多样的配置选项，以满足不同科研目标和实际应用场景的需求。</w:t>
      </w:r>
    </w:p>
    <w:p>
      <w:pPr>
        <w:pStyle w:val="NormalIndent"/>
        <w:adjustRightInd w:val="0"/>
        <w:snapToGrid w:val="0"/>
        <w:ind w:firstLine="480"/>
        <w:jc w:val="left"/>
      </w:pPr>
      <w:r>
        <w:rPr>
          <w:rFonts w:hint="eastAsia"/>
        </w:rPr>
        <w:t>性能要求：各模块在执行配置操作时，应具备快速的响应能力。对于简单的配置操作，系统应在瞬间完成响应。对于较为复杂的配置任务，也应在合理的时间内（不超过5秒）给出响应结果，</w:t>
      </w:r>
      <w:r>
        <w:rPr>
          <w:rFonts w:ascii="宋体" w:hAnsi="宋体" w:hint="eastAsia"/>
          <w:lang w:bidi="ar"/>
        </w:rPr>
        <w:t>系统平均响应时间≤5秒；可满足≥300个用户并发请求；在超算资源允许的情况下支持同时提交至少50个区域高分辨率模式试验；系统需提供7*24小时不间断服务，周故障率少于2次/周。</w:t>
      </w:r>
    </w:p>
    <w:p>
      <w:pPr>
        <w:pStyle w:val="NormalIndent"/>
        <w:adjustRightInd w:val="0"/>
        <w:snapToGrid w:val="0"/>
        <w:ind w:firstLine="480"/>
        <w:jc w:val="left"/>
      </w:pPr>
      <w:r>
        <w:rPr>
          <w:rFonts w:hint="eastAsia"/>
        </w:rPr>
        <w:t>安全性要求：系统应采取严格的数据安全措施，确保科研专家在配置过程中涉及的各类数据的安全性和保密性。建立完善的访问控制机制，对不同级别的用户设置相应的访问权限。系统应具备完善的安全防护体系，能够有效抵御各种网络攻击，定期进行安全漏洞扫描和修复，确保系统始终处于安全可靠的运行状态。</w:t>
      </w:r>
    </w:p>
    <w:p>
      <w:pPr>
        <w:pStyle w:val="Heading5"/>
        <w:numPr>
          <w:ilvl w:val="4"/>
          <w:numId w:val="0"/>
        </w:numPr>
        <w:rPr>
          <w:rFonts w:ascii="宋体" w:hAnsi="宋体" w:cs="宋体" w:hint="eastAsia"/>
          <w:sz w:val="24"/>
          <w:szCs w:val="24"/>
        </w:rPr>
      </w:pPr>
      <w:r>
        <w:rPr>
          <w:rFonts w:ascii="宋体" w:eastAsia="宋体" w:hAnsi="宋体" w:cs="宋体" w:hint="eastAsia"/>
          <w:b/>
          <w:bCs/>
          <w:kern w:val="2"/>
          <w:sz w:val="24"/>
          <w:szCs w:val="24"/>
          <w:lang w:val="en-US" w:eastAsia="zh-CN" w:bidi="ar-SA"/>
        </w:rPr>
        <w:t>4.5</w:t>
      </w:r>
      <w:r>
        <w:rPr>
          <w:rFonts w:ascii="宋体" w:hAnsi="宋体" w:cs="宋体" w:hint="eastAsia"/>
          <w:sz w:val="24"/>
          <w:szCs w:val="24"/>
        </w:rPr>
        <w:t>区域模式迭代研发任务管理</w:t>
      </w:r>
    </w:p>
    <w:p>
      <w:pPr>
        <w:pStyle w:val="Heading6"/>
        <w:numPr>
          <w:ilvl w:val="12"/>
          <w:numId w:val="0"/>
        </w:numPr>
        <w:tabs>
          <w:tab w:val="clear" w:pos="1152"/>
        </w:tabs>
        <w:ind w:left="0" w:firstLine="0"/>
        <w:rPr>
          <w:rFonts w:ascii="Times New Roman" w:eastAsia="宋体" w:hAnsi="Times New Roman" w:hint="eastAsia"/>
          <w:sz w:val="28"/>
          <w:szCs w:val="32"/>
        </w:rPr>
      </w:pPr>
      <w:r>
        <w:rPr>
          <w:rFonts w:ascii="Times New Roman" w:eastAsia="宋体" w:hAnsi="Times New Roman" w:cs="Times New Roman" w:hint="eastAsia"/>
          <w:b/>
          <w:bCs/>
          <w:kern w:val="2"/>
          <w:sz w:val="28"/>
          <w:szCs w:val="32"/>
          <w:lang w:val="en-US" w:eastAsia="zh-CN" w:bidi="ar-SA"/>
        </w:rPr>
        <w:t>4.5.1</w:t>
      </w:r>
      <w:r>
        <w:rPr>
          <w:rFonts w:ascii="Times New Roman" w:eastAsia="宋体" w:hAnsi="Times New Roman" w:hint="eastAsia"/>
          <w:sz w:val="28"/>
          <w:szCs w:val="32"/>
        </w:rPr>
        <w:t>功能性要求</w:t>
      </w:r>
    </w:p>
    <w:p>
      <w:pPr>
        <w:pStyle w:val="NormalIndent"/>
        <w:adjustRightInd w:val="0"/>
        <w:snapToGrid w:val="0"/>
        <w:ind w:firstLine="480"/>
        <w:jc w:val="left"/>
        <w:rPr>
          <w:rFonts w:hint="eastAsia"/>
        </w:rPr>
      </w:pPr>
      <w:r>
        <w:rPr>
          <w:rFonts w:ascii="Times New Roman" w:hAnsi="Times New Roman" w:hint="eastAsia"/>
        </w:rPr>
        <w:t>科研项目管理模块：管理科研项目的全生命周期，包括立项、执行、验收等环节。支持项目计划制定、进度跟踪、文档归档及查询。提供项目审批流程管理、项目技术报告审批流程管理、任务分配与监控功能，确保科研项目按计划推进，并支持项目验收与结题管理。并在首页展示科研项目概览信息（如项目总数、成果数量、人员动态等），提供快捷入口（如新建项目、查看报告、管理成果等），并实时显示系统通知、待办任务和预警信息。</w:t>
      </w:r>
    </w:p>
    <w:p>
      <w:pPr>
        <w:pStyle w:val="NormalIndent"/>
        <w:adjustRightInd w:val="0"/>
        <w:snapToGrid w:val="0"/>
        <w:ind w:firstLine="480"/>
        <w:jc w:val="left"/>
        <w:rPr>
          <w:rFonts w:hint="eastAsia"/>
        </w:rPr>
      </w:pPr>
      <w:r>
        <w:rPr>
          <w:rFonts w:ascii="Times New Roman" w:hAnsi="Times New Roman" w:hint="eastAsia"/>
        </w:rPr>
        <w:t>工程项目管理模块：管理工程类项目和外协任务类项目的实施过程，涵盖项目计划制定、进度监控、资源管理及验收交付。支持工程文档管理，实时监控工程进度，确保项目按计划完成，提供项目审批流程管理、项目技术报告审批流程管理、并提供工程验收与交付管理功能。并在首页展示工程项目和外协项目概览信息（如项目总数、成果数量、人员动态等），提供快捷入口（如新建项目、查看报告、管理成果等），并实时显示系统通知、待办任务和预警信息。</w:t>
      </w:r>
    </w:p>
    <w:p>
      <w:pPr>
        <w:pStyle w:val="NormalIndent"/>
        <w:adjustRightInd w:val="0"/>
        <w:snapToGrid w:val="0"/>
        <w:ind w:firstLine="480"/>
        <w:jc w:val="left"/>
        <w:rPr>
          <w:rFonts w:hint="eastAsia"/>
        </w:rPr>
      </w:pPr>
      <w:r>
        <w:rPr>
          <w:rFonts w:ascii="Times New Roman" w:hAnsi="Times New Roman" w:hint="eastAsia"/>
        </w:rPr>
        <w:t>业务项目管理模块：管理业务类项目的实施与成果，包括需求分析、项目规划、执行监控及成果评估。提供项目审批流程管理、项目技术报告审批流程管理、支持业务项目文档管理，实时监控项目进展，提升业务项目执行效率。并在首页展示业务项目概览信息（如项目总数、成果数量、人员动态等），提供快捷入口（如新建项目、查看报告、管理成果等），并实时显示系统通知、待办任务和预警信息。</w:t>
      </w:r>
    </w:p>
    <w:p>
      <w:pPr>
        <w:pStyle w:val="NormalIndent"/>
        <w:adjustRightInd w:val="0"/>
        <w:snapToGrid w:val="0"/>
        <w:ind w:firstLine="480"/>
        <w:jc w:val="left"/>
        <w:rPr>
          <w:rFonts w:hint="eastAsia"/>
        </w:rPr>
      </w:pPr>
      <w:r>
        <w:rPr>
          <w:rFonts w:ascii="Times New Roman" w:hAnsi="Times New Roman" w:hint="eastAsia"/>
        </w:rPr>
        <w:t>科研成果管理模块：管理科研项目产生的成果，如论文、专利、软件著作权等。支持成果登记、分类、检索及展示功能，提供科研成果归档与共享服务，便于科研人员查询与利用。并在首页展示科研项目成果信息，提供快捷入口，并实时显示系统通知、待办任务和预警信息。</w:t>
      </w:r>
    </w:p>
    <w:p>
      <w:pPr>
        <w:pStyle w:val="NormalIndent"/>
        <w:adjustRightInd w:val="0"/>
        <w:snapToGrid w:val="0"/>
        <w:ind w:firstLine="480"/>
        <w:jc w:val="left"/>
        <w:rPr>
          <w:rFonts w:hint="eastAsia"/>
        </w:rPr>
      </w:pPr>
      <w:r>
        <w:rPr>
          <w:rFonts w:ascii="Times New Roman" w:hAnsi="Times New Roman" w:hint="eastAsia"/>
        </w:rPr>
        <w:t>工程成果管理模块：管理工程项目和和外协任务项目的成果，如设计方案、施工成果、验收报告等。支持工程成果登记、分类、检索及展示功能，提供工程成果归档与共享服务，便于工程人员查询与利用。并在首页展示工程项目和外协项目成果信息，提供快捷入口，并实时显示系统通知、待办任务和预警信息。</w:t>
      </w:r>
    </w:p>
    <w:p>
      <w:pPr>
        <w:pStyle w:val="NormalIndent"/>
        <w:adjustRightInd w:val="0"/>
        <w:snapToGrid w:val="0"/>
        <w:ind w:firstLine="480"/>
        <w:jc w:val="left"/>
        <w:rPr>
          <w:rFonts w:hint="eastAsia"/>
        </w:rPr>
      </w:pPr>
      <w:r>
        <w:rPr>
          <w:rFonts w:ascii="Times New Roman" w:hAnsi="Times New Roman" w:hint="eastAsia"/>
        </w:rPr>
        <w:t>重要业务指标监测模块：面向监测与展示业务项目的关键指标。支持指标数据采集、计算与可视化展示（如图表、仪表盘），提供指标异常预警与趋势分析功能，帮助管理者及时掌握业务动态。并在首页展示重要业务指标监测数据，提供快捷入口。</w:t>
      </w:r>
    </w:p>
    <w:p>
      <w:pPr>
        <w:pStyle w:val="NormalIndent"/>
        <w:adjustRightInd w:val="0"/>
        <w:snapToGrid w:val="0"/>
        <w:ind w:firstLine="480"/>
        <w:jc w:val="left"/>
      </w:pPr>
    </w:p>
    <w:p>
      <w:pPr>
        <w:pStyle w:val="Heading6"/>
        <w:numPr>
          <w:ilvl w:val="12"/>
          <w:numId w:val="0"/>
        </w:numPr>
        <w:tabs>
          <w:tab w:val="clear" w:pos="1152"/>
        </w:tabs>
        <w:ind w:left="0" w:firstLine="0"/>
        <w:rPr>
          <w:rFonts w:ascii="Times New Roman" w:eastAsia="宋体" w:hAnsi="Times New Roman" w:hint="eastAsia"/>
          <w:sz w:val="28"/>
          <w:szCs w:val="32"/>
        </w:rPr>
      </w:pPr>
      <w:r>
        <w:rPr>
          <w:rFonts w:ascii="Times New Roman" w:eastAsia="宋体" w:hAnsi="Times New Roman" w:cs="Times New Roman" w:hint="eastAsia"/>
          <w:b/>
          <w:bCs/>
          <w:kern w:val="2"/>
          <w:sz w:val="28"/>
          <w:szCs w:val="32"/>
          <w:lang w:val="en-US" w:eastAsia="zh-CN" w:bidi="ar-SA"/>
        </w:rPr>
        <w:t>4.5.2</w:t>
      </w:r>
      <w:r>
        <w:rPr>
          <w:rFonts w:ascii="Times New Roman" w:eastAsia="宋体" w:hAnsi="Times New Roman" w:hint="eastAsia"/>
          <w:sz w:val="28"/>
          <w:szCs w:val="32"/>
        </w:rPr>
        <w:t>非功能性要求</w:t>
      </w:r>
    </w:p>
    <w:p>
      <w:pPr>
        <w:pStyle w:val="NormalIndent"/>
        <w:adjustRightInd w:val="0"/>
        <w:snapToGrid w:val="0"/>
        <w:ind w:firstLine="480"/>
        <w:jc w:val="left"/>
        <w:rPr>
          <w:rFonts w:ascii="宋体" w:hAnsi="宋体" w:cs="Abyssinica SIL"/>
        </w:rPr>
      </w:pPr>
      <w:r>
        <w:rPr>
          <w:rFonts w:ascii="宋体" w:hAnsi="宋体" w:cs="Abyssinica SIL" w:hint="eastAsia"/>
        </w:rPr>
        <w:t>性能：系统在95％的情况下，系统响应时间≤2秒，最长不能超过5秒，由于某种原因导致文件或报文传输失败应在2-5秒内向请求者发出信息提示；可满足≥500个用户并发请求；</w:t>
      </w:r>
    </w:p>
    <w:p>
      <w:pPr>
        <w:pStyle w:val="NormalIndent"/>
        <w:adjustRightInd w:val="0"/>
        <w:snapToGrid w:val="0"/>
        <w:ind w:firstLine="480"/>
        <w:jc w:val="left"/>
        <w:rPr>
          <w:rFonts w:ascii="宋体" w:hAnsi="宋体" w:cs="Abyssinica SIL"/>
        </w:rPr>
      </w:pPr>
      <w:r>
        <w:rPr>
          <w:rFonts w:ascii="宋体" w:hAnsi="宋体" w:cs="Abyssinica SIL" w:hint="eastAsia"/>
        </w:rPr>
        <w:t>稳定性：软件运行需要提供7×24小时不间断服务，因此，软件系统须具有较高的可靠性和故障后快速恢复的能力。具体要求如下：应用软件开发中严格遵循软件工程国标的开发、测试和集成规范。在支撑平台可靠性的保证下，关键高可用业务系统在3分钟内恢复运行状态。7*24小时业务运行期间，发生故障间隔时间不小于1个月。</w:t>
      </w:r>
    </w:p>
    <w:p>
      <w:pPr>
        <w:pStyle w:val="NormalIndent"/>
        <w:adjustRightInd w:val="0"/>
        <w:snapToGrid w:val="0"/>
        <w:ind w:firstLine="480"/>
        <w:jc w:val="left"/>
        <w:rPr>
          <w:rFonts w:ascii="宋体" w:hAnsi="宋体" w:cs="Abyssinica SIL"/>
        </w:rPr>
      </w:pPr>
      <w:r>
        <w:rPr>
          <w:rFonts w:ascii="宋体" w:hAnsi="宋体" w:cs="Abyssinica SIL" w:hint="eastAsia"/>
        </w:rPr>
        <w:t>数据安全性：能够保证接收和发送的数据完全一致，并保证不同系统之间数据交换的及时性和准确性。在Internet上传递的敏感信息需要使用安全的加密机制进行加密。能够合理利用数据库权限控制机制以及数据冗余方式保证应用数据的安全性。</w:t>
      </w:r>
    </w:p>
    <w:p>
      <w:pPr>
        <w:pStyle w:val="NormalIndent"/>
        <w:adjustRightInd w:val="0"/>
        <w:snapToGrid w:val="0"/>
        <w:ind w:firstLine="480"/>
        <w:jc w:val="left"/>
        <w:rPr>
          <w:rFonts w:ascii="宋体" w:hAnsi="宋体" w:cs="Abyssinica SIL"/>
        </w:rPr>
      </w:pPr>
      <w:r>
        <w:rPr>
          <w:rFonts w:ascii="宋体" w:hAnsi="宋体" w:cs="Abyssinica SIL" w:hint="eastAsia"/>
        </w:rPr>
        <w:t>可扩展性：各个功能模块具有良好扩展性，支持未来5年的业务应用。</w:t>
      </w:r>
    </w:p>
    <w:p>
      <w:pPr>
        <w:pStyle w:val="Heading4"/>
        <w:numPr>
          <w:ilvl w:val="12"/>
          <w:numId w:val="0"/>
        </w:numPr>
        <w:tabs>
          <w:tab w:val="clear" w:pos="864"/>
        </w:tabs>
        <w:ind w:left="0" w:firstLine="0"/>
        <w:rPr>
          <w:rFonts w:ascii="宋体" w:hAnsi="宋体" w:cs="宋体" w:hint="eastAsia"/>
          <w:kern w:val="44"/>
          <w:szCs w:val="24"/>
        </w:rPr>
      </w:pPr>
      <w:bookmarkStart w:id="77" w:name="_Toc13393"/>
      <w:bookmarkStart w:id="78" w:name="_Toc101190548"/>
      <w:bookmarkStart w:id="79" w:name="_Toc133591040"/>
      <w:r>
        <w:rPr>
          <w:rFonts w:ascii="宋体" w:eastAsia="宋体" w:hAnsi="宋体" w:cs="宋体" w:hint="eastAsia"/>
          <w:b/>
          <w:bCs/>
          <w:kern w:val="44"/>
          <w:sz w:val="24"/>
          <w:szCs w:val="24"/>
          <w:lang w:val="en-US" w:eastAsia="zh-CN" w:bidi="ar-SA"/>
        </w:rPr>
        <w:t>5</w:t>
      </w:r>
      <w:r>
        <w:rPr>
          <w:rFonts w:ascii="宋体" w:eastAsia="宋体" w:hAnsi="宋体" w:cs="宋体" w:hint="eastAsia"/>
          <w:kern w:val="44"/>
          <w:sz w:val="24"/>
          <w:szCs w:val="24"/>
        </w:rPr>
        <w:t>进度要求</w:t>
      </w:r>
      <w:bookmarkEnd w:id="77"/>
      <w:bookmarkEnd w:id="78"/>
      <w:bookmarkEnd w:id="79"/>
    </w:p>
    <w:p>
      <w:pPr>
        <w:pStyle w:val="NormalIndent"/>
        <w:adjustRightInd w:val="0"/>
        <w:snapToGrid w:val="0"/>
        <w:ind w:firstLine="480"/>
        <w:jc w:val="left"/>
      </w:pPr>
      <w:bookmarkStart w:id="80" w:name="_Toc101190549"/>
      <w:bookmarkStart w:id="81" w:name="_Toc109"/>
      <w:bookmarkStart w:id="82" w:name="_Toc133591041"/>
      <w:r>
        <w:rPr>
          <w:rFonts w:hint="eastAsia"/>
        </w:rPr>
        <w:t>项目总体进度要求于合同生效之日（标记为T）起</w:t>
      </w:r>
      <w:r>
        <w:t>1</w:t>
      </w:r>
      <w:r>
        <w:rPr>
          <w:rFonts w:hint="eastAsia"/>
        </w:rPr>
        <w:t>年内完成项目全部内容建设，并成功实现系统应用运行。为了能够有效的控制项目的质量，现将各阶段进度初步分解如下：</w:t>
      </w:r>
    </w:p>
    <w:p>
      <w:pPr>
        <w:pStyle w:val="NormalIndent"/>
        <w:adjustRightInd w:val="0"/>
        <w:snapToGrid w:val="0"/>
        <w:ind w:firstLine="480"/>
        <w:jc w:val="left"/>
      </w:pPr>
      <w:r>
        <w:rPr>
          <w:rFonts w:hint="eastAsia"/>
        </w:rPr>
        <w:t>（</w:t>
      </w:r>
      <w:r>
        <w:t>1</w:t>
      </w:r>
      <w:r>
        <w:rPr>
          <w:rFonts w:hint="eastAsia"/>
        </w:rPr>
        <w:t>）需求分析和概要设计：合同签订T</w:t>
      </w:r>
      <w:r>
        <w:t>+2</w:t>
      </w:r>
      <w:r>
        <w:rPr>
          <w:rFonts w:hint="eastAsia"/>
        </w:rPr>
        <w:t>月内完成软件定制开发的需求分析，完成软件定制开发的概要设计，通过甲方组织的需求分析和概要设计评审。</w:t>
      </w:r>
    </w:p>
    <w:p>
      <w:pPr>
        <w:pStyle w:val="NormalIndent"/>
        <w:adjustRightInd w:val="0"/>
        <w:snapToGrid w:val="0"/>
        <w:ind w:firstLine="480"/>
        <w:jc w:val="left"/>
      </w:pPr>
      <w:r>
        <w:rPr>
          <w:rFonts w:hint="eastAsia"/>
        </w:rPr>
        <w:t>（</w:t>
      </w:r>
      <w:r>
        <w:t>3</w:t>
      </w:r>
      <w:r>
        <w:rPr>
          <w:rFonts w:hint="eastAsia"/>
        </w:rPr>
        <w:t>）系统开发：T</w:t>
      </w:r>
      <w:r>
        <w:t>+5</w:t>
      </w:r>
      <w:r>
        <w:rPr>
          <w:rFonts w:hint="eastAsia"/>
        </w:rPr>
        <w:t>月内完成软件的定制开发。</w:t>
      </w:r>
    </w:p>
    <w:p>
      <w:pPr>
        <w:pStyle w:val="NormalIndent"/>
        <w:adjustRightInd w:val="0"/>
        <w:snapToGrid w:val="0"/>
        <w:ind w:firstLine="480"/>
        <w:jc w:val="left"/>
      </w:pPr>
      <w:r>
        <w:rPr>
          <w:rFonts w:hint="eastAsia"/>
        </w:rPr>
        <w:t>（</w:t>
      </w:r>
      <w:r>
        <w:t>4</w:t>
      </w:r>
      <w:r>
        <w:rPr>
          <w:rFonts w:hint="eastAsia"/>
        </w:rPr>
        <w:t>）系统测试及集成部署：T</w:t>
      </w:r>
      <w:r>
        <w:t>+7</w:t>
      </w:r>
      <w:r>
        <w:rPr>
          <w:rFonts w:hint="eastAsia"/>
        </w:rPr>
        <w:t>月内完成系统的测试及集成部署工作。</w:t>
      </w:r>
    </w:p>
    <w:p>
      <w:pPr>
        <w:pStyle w:val="NormalIndent"/>
        <w:adjustRightInd w:val="0"/>
        <w:snapToGrid w:val="0"/>
        <w:ind w:firstLine="480"/>
        <w:jc w:val="left"/>
      </w:pPr>
      <w:r>
        <w:rPr>
          <w:rFonts w:hint="eastAsia"/>
        </w:rPr>
        <w:t>（</w:t>
      </w:r>
      <w:r>
        <w:t>5</w:t>
      </w:r>
      <w:r>
        <w:rPr>
          <w:rFonts w:hint="eastAsia"/>
        </w:rPr>
        <w:t>）项目初验：T</w:t>
      </w:r>
      <w:r>
        <w:t>+9</w:t>
      </w:r>
      <w:r>
        <w:rPr>
          <w:rFonts w:hint="eastAsia"/>
        </w:rPr>
        <w:t>月内提交软件定制开发的测试通过版本，完成项目初步验收。</w:t>
      </w:r>
    </w:p>
    <w:p>
      <w:pPr>
        <w:pStyle w:val="NormalIndent"/>
        <w:adjustRightInd w:val="0"/>
        <w:snapToGrid w:val="0"/>
        <w:ind w:firstLine="480"/>
        <w:jc w:val="left"/>
      </w:pPr>
      <w:r>
        <w:rPr>
          <w:rFonts w:hint="eastAsia"/>
        </w:rPr>
        <w:t>（</w:t>
      </w:r>
      <w:r>
        <w:t>6</w:t>
      </w:r>
      <w:r>
        <w:rPr>
          <w:rFonts w:hint="eastAsia"/>
        </w:rPr>
        <w:t>）项目试运行：T</w:t>
      </w:r>
      <w:r>
        <w:t>+11</w:t>
      </w:r>
      <w:r>
        <w:rPr>
          <w:rFonts w:hint="eastAsia"/>
        </w:rPr>
        <w:t>月内，完成系统试运行。</w:t>
      </w:r>
    </w:p>
    <w:p>
      <w:pPr>
        <w:pStyle w:val="NormalIndent"/>
        <w:adjustRightInd w:val="0"/>
        <w:snapToGrid w:val="0"/>
        <w:ind w:firstLine="480"/>
        <w:jc w:val="left"/>
      </w:pPr>
      <w:r>
        <w:rPr>
          <w:rFonts w:hint="eastAsia"/>
        </w:rPr>
        <w:t>（</w:t>
      </w:r>
      <w:r>
        <w:t>7</w:t>
      </w:r>
      <w:r>
        <w:rPr>
          <w:rFonts w:hint="eastAsia"/>
        </w:rPr>
        <w:t>）项目终验：T</w:t>
      </w:r>
      <w:r>
        <w:t>+12</w:t>
      </w:r>
      <w:r>
        <w:rPr>
          <w:rFonts w:hint="eastAsia"/>
        </w:rPr>
        <w:t>月内完成项目合同验收。</w:t>
      </w:r>
    </w:p>
    <w:p>
      <w:pPr>
        <w:pStyle w:val="Heading4"/>
        <w:numPr>
          <w:ilvl w:val="12"/>
          <w:numId w:val="0"/>
        </w:numPr>
        <w:tabs>
          <w:tab w:val="clear" w:pos="864"/>
        </w:tabs>
        <w:ind w:left="0" w:firstLine="0"/>
        <w:rPr>
          <w:rFonts w:ascii="宋体" w:hAnsi="宋体" w:cs="宋体" w:hint="eastAsia"/>
          <w:kern w:val="44"/>
          <w:szCs w:val="24"/>
        </w:rPr>
      </w:pPr>
      <w:r>
        <w:rPr>
          <w:rFonts w:ascii="宋体" w:eastAsia="宋体" w:hAnsi="宋体" w:cs="宋体" w:hint="eastAsia"/>
          <w:b/>
          <w:bCs/>
          <w:kern w:val="44"/>
          <w:sz w:val="24"/>
          <w:szCs w:val="24"/>
          <w:lang w:val="en-US" w:eastAsia="zh-CN" w:bidi="ar-SA"/>
        </w:rPr>
        <w:t>6</w:t>
      </w:r>
      <w:r>
        <w:rPr>
          <w:rFonts w:ascii="宋体" w:eastAsia="宋体" w:hAnsi="宋体" w:cs="宋体" w:hint="eastAsia"/>
          <w:kern w:val="44"/>
          <w:sz w:val="24"/>
          <w:szCs w:val="24"/>
        </w:rPr>
        <w:t>交付</w:t>
      </w:r>
      <w:bookmarkEnd w:id="80"/>
      <w:bookmarkEnd w:id="81"/>
      <w:r>
        <w:rPr>
          <w:rFonts w:ascii="宋体" w:eastAsia="宋体" w:hAnsi="宋体" w:cs="宋体" w:hint="eastAsia"/>
          <w:kern w:val="44"/>
          <w:sz w:val="24"/>
          <w:szCs w:val="24"/>
        </w:rPr>
        <w:t>内容</w:t>
      </w:r>
      <w:bookmarkEnd w:id="82"/>
    </w:p>
    <w:p>
      <w:pPr>
        <w:pStyle w:val="NormalIndent"/>
        <w:adjustRightInd w:val="0"/>
        <w:snapToGrid w:val="0"/>
        <w:ind w:firstLine="480"/>
        <w:jc w:val="left"/>
      </w:pPr>
      <w:r>
        <w:rPr>
          <w:rFonts w:hint="eastAsia"/>
        </w:rPr>
        <w:t>（1）软件交付物</w:t>
      </w:r>
    </w:p>
    <w:tbl>
      <w:tblPr>
        <w:tblStyle w:val="TableNormal"/>
        <w:tblW w:w="84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811"/>
        <w:gridCol w:w="6663"/>
      </w:tblGrid>
      <w:tr>
        <w:tblPrEx>
          <w:tblW w:w="84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1811" w:type="dxa"/>
            <w:shd w:val="pct10" w:color="auto" w:fill="auto"/>
            <w:vAlign w:val="center"/>
          </w:tcPr>
          <w:p>
            <w:pPr>
              <w:pStyle w:val="B"/>
              <w:spacing w:before="156" w:beforeLines="50" w:line="360" w:lineRule="auto"/>
              <w:rPr>
                <w:rFonts w:asciiTheme="minorEastAsia" w:eastAsiaTheme="minorEastAsia" w:hAnsiTheme="minorEastAsia"/>
              </w:rPr>
            </w:pPr>
            <w:r>
              <w:rPr>
                <w:rFonts w:asciiTheme="minorEastAsia" w:eastAsiaTheme="minorEastAsia" w:hAnsiTheme="minorEastAsia" w:hint="eastAsia"/>
              </w:rPr>
              <w:t>序号</w:t>
            </w:r>
          </w:p>
        </w:tc>
        <w:tc>
          <w:tcPr>
            <w:tcW w:w="6663" w:type="dxa"/>
            <w:shd w:val="pct10" w:color="auto" w:fill="auto"/>
            <w:vAlign w:val="center"/>
          </w:tcPr>
          <w:p>
            <w:pPr>
              <w:pStyle w:val="B"/>
              <w:spacing w:before="156" w:beforeLines="50" w:line="360" w:lineRule="auto"/>
              <w:rPr>
                <w:rFonts w:asciiTheme="minorEastAsia" w:eastAsiaTheme="minorEastAsia" w:hAnsiTheme="minorEastAsia"/>
              </w:rPr>
            </w:pPr>
            <w:r>
              <w:rPr>
                <w:rFonts w:asciiTheme="minorEastAsia" w:eastAsiaTheme="minorEastAsia" w:hAnsiTheme="minorEastAsia" w:hint="eastAsia"/>
              </w:rPr>
              <w:t>产品名称</w:t>
            </w:r>
          </w:p>
        </w:tc>
      </w:tr>
      <w:tr>
        <w:tblPrEx>
          <w:tblW w:w="8474" w:type="dxa"/>
          <w:jc w:val="center"/>
          <w:tblLayout w:type="fixed"/>
          <w:tblCellMar>
            <w:top w:w="0" w:type="dxa"/>
            <w:left w:w="108" w:type="dxa"/>
            <w:bottom w:w="0" w:type="dxa"/>
            <w:right w:w="108" w:type="dxa"/>
          </w:tblCellMar>
        </w:tblPrEx>
        <w:trPr>
          <w:jc w:val="center"/>
        </w:trPr>
        <w:tc>
          <w:tcPr>
            <w:tcW w:w="1811" w:type="dxa"/>
            <w:vAlign w:val="center"/>
          </w:tcPr>
          <w:p>
            <w:pPr>
              <w:snapToGrid w:val="0"/>
              <w:spacing w:before="156" w:beforeLines="50"/>
              <w:rPr>
                <w:rFonts w:asciiTheme="minorEastAsia" w:eastAsiaTheme="minorEastAsia" w:hAnsiTheme="minorEastAsia"/>
                <w:szCs w:val="21"/>
              </w:rPr>
            </w:pPr>
            <w:r>
              <w:rPr>
                <w:rFonts w:asciiTheme="minorEastAsia" w:eastAsiaTheme="minorEastAsia" w:hAnsiTheme="minorEastAsia" w:hint="eastAsia"/>
                <w:szCs w:val="21"/>
              </w:rPr>
              <w:t>1</w:t>
            </w:r>
          </w:p>
        </w:tc>
        <w:tc>
          <w:tcPr>
            <w:tcW w:w="6663" w:type="dxa"/>
            <w:vAlign w:val="center"/>
          </w:tcPr>
          <w:p>
            <w:pPr>
              <w:pStyle w:val="Default"/>
              <w:jc w:val="both"/>
              <w:rPr>
                <w:rFonts w:asciiTheme="minorEastAsia" w:eastAsiaTheme="minorEastAsia" w:hAnsiTheme="minorEastAsia"/>
                <w:sz w:val="21"/>
                <w:szCs w:val="21"/>
              </w:rPr>
            </w:pPr>
            <w:r>
              <w:rPr>
                <w:rFonts w:asciiTheme="minorEastAsia" w:eastAsiaTheme="minorEastAsia" w:hAnsiTheme="minorEastAsia" w:hint="eastAsia"/>
                <w:sz w:val="21"/>
                <w:szCs w:val="21"/>
              </w:rPr>
              <w:t>区域高分辨率模式协同研发支撑项目源代码及程序说明</w:t>
            </w:r>
          </w:p>
        </w:tc>
      </w:tr>
    </w:tbl>
    <w:p>
      <w:pPr>
        <w:pStyle w:val="NormalIndent"/>
        <w:adjustRightInd w:val="0"/>
        <w:snapToGrid w:val="0"/>
        <w:ind w:firstLine="480"/>
        <w:jc w:val="left"/>
      </w:pPr>
      <w:r>
        <w:rPr>
          <w:rFonts w:hint="eastAsia"/>
        </w:rPr>
        <w:t>（2）文档交付物</w:t>
      </w:r>
    </w:p>
    <w:tbl>
      <w:tblPr>
        <w:tblStyle w:val="TableNormal"/>
        <w:tblW w:w="86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951"/>
        <w:gridCol w:w="4457"/>
        <w:gridCol w:w="2199"/>
      </w:tblGrid>
      <w:tr>
        <w:tblPrEx>
          <w:tblW w:w="86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1951" w:type="dxa"/>
            <w:shd w:val="pct10" w:color="auto" w:fill="auto"/>
            <w:vAlign w:val="center"/>
          </w:tcPr>
          <w:p>
            <w:pPr>
              <w:pStyle w:val="B"/>
              <w:snapToGrid w:val="0"/>
              <w:rPr>
                <w:rFonts w:asciiTheme="minorEastAsia" w:eastAsiaTheme="minorEastAsia" w:hAnsiTheme="minorEastAsia"/>
              </w:rPr>
            </w:pPr>
            <w:r>
              <w:rPr>
                <w:rFonts w:asciiTheme="minorEastAsia" w:eastAsiaTheme="minorEastAsia" w:hAnsiTheme="minorEastAsia" w:hint="eastAsia"/>
              </w:rPr>
              <w:t>工作内容</w:t>
            </w:r>
          </w:p>
        </w:tc>
        <w:tc>
          <w:tcPr>
            <w:tcW w:w="4457" w:type="dxa"/>
            <w:shd w:val="pct10" w:color="auto" w:fill="auto"/>
            <w:vAlign w:val="center"/>
          </w:tcPr>
          <w:p>
            <w:pPr>
              <w:pStyle w:val="B"/>
              <w:snapToGrid w:val="0"/>
              <w:rPr>
                <w:rFonts w:asciiTheme="minorEastAsia" w:eastAsiaTheme="minorEastAsia" w:hAnsiTheme="minorEastAsia"/>
              </w:rPr>
            </w:pPr>
            <w:r>
              <w:rPr>
                <w:rFonts w:asciiTheme="minorEastAsia" w:eastAsiaTheme="minorEastAsia" w:hAnsiTheme="minorEastAsia" w:hint="eastAsia"/>
              </w:rPr>
              <w:t>技术文档</w:t>
            </w:r>
          </w:p>
        </w:tc>
        <w:tc>
          <w:tcPr>
            <w:tcW w:w="2199" w:type="dxa"/>
            <w:shd w:val="pct10" w:color="auto" w:fill="auto"/>
            <w:vAlign w:val="center"/>
          </w:tcPr>
          <w:p>
            <w:pPr>
              <w:pStyle w:val="B"/>
              <w:snapToGrid w:val="0"/>
              <w:rPr>
                <w:rFonts w:asciiTheme="minorEastAsia" w:eastAsiaTheme="minorEastAsia" w:hAnsiTheme="minorEastAsia"/>
              </w:rPr>
            </w:pPr>
            <w:r>
              <w:rPr>
                <w:rFonts w:asciiTheme="minorEastAsia" w:eastAsiaTheme="minorEastAsia" w:hAnsiTheme="minorEastAsia" w:hint="eastAsia"/>
              </w:rPr>
              <w:t>管理文档</w:t>
            </w:r>
          </w:p>
        </w:tc>
      </w:tr>
      <w:tr>
        <w:tblPrEx>
          <w:tblW w:w="8607" w:type="dxa"/>
          <w:jc w:val="center"/>
          <w:tblLayout w:type="fixed"/>
          <w:tblCellMar>
            <w:top w:w="0" w:type="dxa"/>
            <w:left w:w="108" w:type="dxa"/>
            <w:bottom w:w="0" w:type="dxa"/>
            <w:right w:w="108" w:type="dxa"/>
          </w:tblCellMar>
        </w:tblPrEx>
        <w:trPr>
          <w:jc w:val="center"/>
        </w:trPr>
        <w:tc>
          <w:tcPr>
            <w:tcW w:w="1951"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启动</w:t>
            </w:r>
          </w:p>
        </w:tc>
        <w:tc>
          <w:tcPr>
            <w:tcW w:w="4457" w:type="dxa"/>
            <w:vAlign w:val="center"/>
          </w:tcPr>
          <w:p>
            <w:pPr>
              <w:snapToGrid w:val="0"/>
              <w:jc w:val="center"/>
              <w:rPr>
                <w:rFonts w:asciiTheme="minorEastAsia" w:eastAsiaTheme="minorEastAsia" w:hAnsiTheme="minorEastAsia"/>
                <w:szCs w:val="21"/>
              </w:rPr>
            </w:pPr>
          </w:p>
        </w:tc>
        <w:tc>
          <w:tcPr>
            <w:tcW w:w="2199" w:type="dxa"/>
            <w:vAlign w:val="center"/>
          </w:tcPr>
          <w:p>
            <w:pPr>
              <w:pStyle w:val="Default"/>
              <w:jc w:val="center"/>
              <w:rPr>
                <w:rFonts w:asciiTheme="minorEastAsia" w:eastAsiaTheme="minorEastAsia" w:hAnsiTheme="minorEastAsia" w:hint="default"/>
                <w:sz w:val="21"/>
                <w:szCs w:val="21"/>
              </w:rPr>
            </w:pPr>
            <w:r>
              <w:rPr>
                <w:rFonts w:asciiTheme="minorEastAsia" w:eastAsiaTheme="minorEastAsia" w:hAnsiTheme="minorEastAsia" w:hint="eastAsia"/>
                <w:sz w:val="21"/>
                <w:szCs w:val="21"/>
              </w:rPr>
              <w:t>项目实施方案</w:t>
            </w:r>
            <w:r>
              <w:rPr>
                <w:rFonts w:asciiTheme="minorEastAsia" w:eastAsiaTheme="minorEastAsia" w:hAnsiTheme="minorEastAsia" w:hint="eastAsia"/>
                <w:sz w:val="21"/>
                <w:szCs w:val="21"/>
              </w:rPr>
              <w:br/>
            </w:r>
            <w:r>
              <w:rPr>
                <w:rFonts w:asciiTheme="minorEastAsia" w:eastAsiaTheme="minorEastAsia" w:hAnsiTheme="minorEastAsia" w:hint="eastAsia"/>
                <w:sz w:val="21"/>
                <w:szCs w:val="21"/>
                <w:lang w:val="en-US" w:eastAsia="zh-CN"/>
              </w:rPr>
              <w:t>项目软件开发计划</w:t>
            </w:r>
          </w:p>
        </w:tc>
      </w:tr>
      <w:tr>
        <w:tblPrEx>
          <w:tblW w:w="8607" w:type="dxa"/>
          <w:jc w:val="center"/>
          <w:tblLayout w:type="fixed"/>
          <w:tblCellMar>
            <w:top w:w="0" w:type="dxa"/>
            <w:left w:w="108" w:type="dxa"/>
            <w:bottom w:w="0" w:type="dxa"/>
            <w:right w:w="108" w:type="dxa"/>
          </w:tblCellMar>
        </w:tblPrEx>
        <w:trPr>
          <w:jc w:val="center"/>
        </w:trPr>
        <w:tc>
          <w:tcPr>
            <w:tcW w:w="1951" w:type="dxa"/>
            <w:vAlign w:val="center"/>
          </w:tcPr>
          <w:p>
            <w:pPr>
              <w:snapToGrid w:val="0"/>
              <w:jc w:val="center"/>
              <w:rPr>
                <w:rFonts w:asciiTheme="minorEastAsia" w:eastAsiaTheme="minorEastAsia" w:hAnsiTheme="minorEastAsia" w:hint="default"/>
                <w:szCs w:val="21"/>
              </w:rPr>
            </w:pPr>
            <w:r>
              <w:rPr>
                <w:rFonts w:asciiTheme="minorEastAsia" w:eastAsiaTheme="minorEastAsia" w:hAnsiTheme="minorEastAsia" w:hint="eastAsia"/>
                <w:szCs w:val="21"/>
                <w:lang w:val="en-US" w:eastAsia="zh-CN"/>
              </w:rPr>
              <w:t>安全保密方案</w:t>
            </w:r>
          </w:p>
        </w:tc>
        <w:tc>
          <w:tcPr>
            <w:tcW w:w="4457" w:type="dxa"/>
            <w:vAlign w:val="center"/>
          </w:tcPr>
          <w:p>
            <w:pPr>
              <w:snapToGrid w:val="0"/>
              <w:jc w:val="center"/>
              <w:rPr>
                <w:rFonts w:asciiTheme="minorEastAsia" w:eastAsiaTheme="minorEastAsia" w:hAnsiTheme="minorEastAsia"/>
                <w:szCs w:val="21"/>
              </w:rPr>
            </w:pPr>
          </w:p>
        </w:tc>
        <w:tc>
          <w:tcPr>
            <w:tcW w:w="2199" w:type="dxa"/>
            <w:vAlign w:val="center"/>
          </w:tcPr>
          <w:p>
            <w:pPr>
              <w:pStyle w:val="Default"/>
              <w:jc w:val="center"/>
              <w:rPr>
                <w:rFonts w:asciiTheme="minorEastAsia" w:eastAsiaTheme="minorEastAsia" w:hAnsiTheme="minorEastAsia" w:hint="default"/>
                <w:sz w:val="21"/>
                <w:szCs w:val="21"/>
              </w:rPr>
            </w:pPr>
            <w:r>
              <w:rPr>
                <w:rFonts w:asciiTheme="minorEastAsia" w:eastAsiaTheme="minorEastAsia" w:hAnsiTheme="minorEastAsia" w:hint="eastAsia"/>
                <w:sz w:val="21"/>
                <w:szCs w:val="21"/>
                <w:lang w:val="en-US" w:eastAsia="zh-CN"/>
              </w:rPr>
              <w:t>安全保密方案</w:t>
            </w:r>
          </w:p>
        </w:tc>
      </w:tr>
      <w:tr>
        <w:tblPrEx>
          <w:tblW w:w="8607" w:type="dxa"/>
          <w:jc w:val="center"/>
          <w:tblLayout w:type="fixed"/>
          <w:tblCellMar>
            <w:top w:w="0" w:type="dxa"/>
            <w:left w:w="108" w:type="dxa"/>
            <w:bottom w:w="0" w:type="dxa"/>
            <w:right w:w="108" w:type="dxa"/>
          </w:tblCellMar>
        </w:tblPrEx>
        <w:trPr>
          <w:jc w:val="center"/>
        </w:trPr>
        <w:tc>
          <w:tcPr>
            <w:tcW w:w="1951"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需求分析</w:t>
            </w:r>
          </w:p>
        </w:tc>
        <w:tc>
          <w:tcPr>
            <w:tcW w:w="4457" w:type="dxa"/>
            <w:vAlign w:val="center"/>
          </w:tcPr>
          <w:p>
            <w:pPr>
              <w:snapToGrid w:val="0"/>
              <w:jc w:val="center"/>
              <w:rPr>
                <w:rFonts w:asciiTheme="minorEastAsia" w:eastAsiaTheme="minorEastAsia" w:hAnsiTheme="minorEastAsia" w:hint="eastAsia"/>
                <w:szCs w:val="21"/>
              </w:rPr>
            </w:pPr>
            <w:r>
              <w:rPr>
                <w:rFonts w:asciiTheme="minorEastAsia" w:eastAsiaTheme="minorEastAsia" w:hAnsiTheme="minorEastAsia" w:hint="eastAsia"/>
                <w:sz w:val="21"/>
                <w:szCs w:val="21"/>
                <w:lang w:val="en-US" w:eastAsia="zh-CN"/>
              </w:rPr>
              <w:t>用户需求说明书</w:t>
            </w:r>
          </w:p>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软件需求规格说明书</w:t>
            </w:r>
          </w:p>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数据需求规格说明书</w:t>
            </w:r>
          </w:p>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接口需求规格说明书</w:t>
            </w:r>
          </w:p>
        </w:tc>
        <w:tc>
          <w:tcPr>
            <w:tcW w:w="2199" w:type="dxa"/>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概要设计</w:t>
            </w:r>
          </w:p>
        </w:tc>
        <w:tc>
          <w:tcPr>
            <w:tcW w:w="4457" w:type="dxa"/>
            <w:vAlign w:val="center"/>
          </w:tcPr>
          <w:p>
            <w:pPr>
              <w:snapToGrid w:val="0"/>
              <w:jc w:val="center"/>
              <w:rPr>
                <w:rFonts w:asciiTheme="minorEastAsia" w:eastAsiaTheme="minorEastAsia" w:hAnsiTheme="minorEastAsia" w:hint="eastAsia"/>
                <w:szCs w:val="21"/>
              </w:rPr>
            </w:pPr>
            <w:r>
              <w:rPr>
                <w:rFonts w:asciiTheme="minorEastAsia" w:eastAsiaTheme="minorEastAsia" w:hAnsiTheme="minorEastAsia" w:hint="eastAsia"/>
                <w:szCs w:val="21"/>
              </w:rPr>
              <w:t>概要设计</w:t>
            </w:r>
            <w:r>
              <w:rPr>
                <w:rFonts w:asciiTheme="minorEastAsia" w:eastAsiaTheme="minorEastAsia" w:hAnsiTheme="minorEastAsia" w:hint="eastAsia"/>
                <w:szCs w:val="21"/>
                <w:lang w:val="en-US" w:eastAsia="zh-CN"/>
              </w:rPr>
              <w:t>方案</w:t>
            </w:r>
          </w:p>
        </w:tc>
        <w:tc>
          <w:tcPr>
            <w:tcW w:w="2199" w:type="dxa"/>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Merge w:val="restart"/>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测试</w:t>
            </w: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测试方案</w:t>
            </w:r>
          </w:p>
        </w:tc>
        <w:tc>
          <w:tcPr>
            <w:tcW w:w="2199" w:type="dxa"/>
            <w:vMerge w:val="restart"/>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Merge/>
            <w:vAlign w:val="center"/>
          </w:tcPr>
          <w:p>
            <w:pPr>
              <w:snapToGrid w:val="0"/>
              <w:jc w:val="center"/>
              <w:rPr>
                <w:rFonts w:asciiTheme="minorEastAsia" w:eastAsiaTheme="minorEastAsia" w:hAnsiTheme="minorEastAsia"/>
                <w:szCs w:val="21"/>
              </w:rPr>
            </w:pPr>
          </w:p>
        </w:tc>
        <w:tc>
          <w:tcPr>
            <w:tcW w:w="4457" w:type="dxa"/>
            <w:vAlign w:val="center"/>
          </w:tcPr>
          <w:p>
            <w:pPr>
              <w:snapToGrid w:val="0"/>
              <w:jc w:val="center"/>
              <w:rPr>
                <w:rFonts w:asciiTheme="minorEastAsia" w:eastAsiaTheme="minorEastAsia" w:hAnsiTheme="minorEastAsia" w:hint="default"/>
                <w:szCs w:val="21"/>
              </w:rPr>
            </w:pPr>
            <w:r>
              <w:rPr>
                <w:rFonts w:asciiTheme="minorEastAsia" w:eastAsiaTheme="minorEastAsia" w:hAnsiTheme="minorEastAsia" w:hint="eastAsia"/>
                <w:szCs w:val="21"/>
              </w:rPr>
              <w:t>测试报告</w:t>
            </w:r>
            <w:r>
              <w:rPr>
                <w:rFonts w:asciiTheme="minorEastAsia" w:eastAsiaTheme="minorEastAsia" w:hAnsiTheme="minorEastAsia" w:hint="eastAsia"/>
                <w:szCs w:val="21"/>
                <w:lang w:val="en-US" w:eastAsia="zh-CN"/>
              </w:rPr>
              <w:t>及专家意见</w:t>
            </w:r>
          </w:p>
        </w:tc>
        <w:tc>
          <w:tcPr>
            <w:tcW w:w="2199" w:type="dxa"/>
            <w:vMerge/>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trHeight w:val="343"/>
          <w:jc w:val="center"/>
        </w:trPr>
        <w:tc>
          <w:tcPr>
            <w:tcW w:w="1951" w:type="dxa"/>
            <w:vMerge w:val="restart"/>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初验</w:t>
            </w: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用户手册（含操作手册，系统维护与故障处理指南）</w:t>
            </w:r>
          </w:p>
        </w:tc>
        <w:tc>
          <w:tcPr>
            <w:tcW w:w="2199" w:type="dxa"/>
            <w:vMerge w:val="restart"/>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trHeight w:val="343"/>
          <w:jc w:val="center"/>
        </w:trPr>
        <w:tc>
          <w:tcPr>
            <w:tcW w:w="1951" w:type="dxa"/>
            <w:vMerge/>
            <w:vAlign w:val="center"/>
          </w:tcPr>
          <w:p>
            <w:pPr>
              <w:snapToGrid w:val="0"/>
              <w:jc w:val="center"/>
              <w:rPr>
                <w:rFonts w:asciiTheme="minorEastAsia" w:eastAsiaTheme="minorEastAsia" w:hAnsiTheme="minorEastAsia" w:hint="eastAsia"/>
                <w:szCs w:val="21"/>
              </w:rPr>
            </w:pPr>
          </w:p>
        </w:tc>
        <w:tc>
          <w:tcPr>
            <w:tcW w:w="4457" w:type="dxa"/>
            <w:vAlign w:val="center"/>
          </w:tcPr>
          <w:p>
            <w:pPr>
              <w:snapToGrid w:val="0"/>
              <w:jc w:val="center"/>
              <w:rPr>
                <w:rFonts w:asciiTheme="minorEastAsia" w:eastAsiaTheme="minorEastAsia" w:hAnsiTheme="minorEastAsia" w:hint="eastAsia"/>
                <w:szCs w:val="21"/>
              </w:rPr>
            </w:pPr>
            <w:r>
              <w:rPr>
                <w:rFonts w:asciiTheme="minorEastAsia" w:eastAsiaTheme="minorEastAsia" w:hAnsiTheme="minorEastAsia" w:hint="eastAsia"/>
                <w:sz w:val="21"/>
                <w:szCs w:val="21"/>
                <w:lang w:val="en-US" w:eastAsia="zh-CN"/>
              </w:rPr>
              <w:t>详细设计方案</w:t>
            </w:r>
          </w:p>
        </w:tc>
        <w:tc>
          <w:tcPr>
            <w:tcW w:w="2199" w:type="dxa"/>
            <w:vMerge/>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Merge/>
            <w:vAlign w:val="center"/>
          </w:tcPr>
          <w:p>
            <w:pPr>
              <w:snapToGrid w:val="0"/>
              <w:jc w:val="center"/>
              <w:rPr>
                <w:rFonts w:asciiTheme="minorEastAsia" w:eastAsiaTheme="minorEastAsia" w:hAnsiTheme="minorEastAsia"/>
                <w:szCs w:val="21"/>
              </w:rPr>
            </w:pP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系统安装部署手册</w:t>
            </w:r>
          </w:p>
        </w:tc>
        <w:tc>
          <w:tcPr>
            <w:tcW w:w="2199" w:type="dxa"/>
            <w:vMerge/>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Merge/>
            <w:vAlign w:val="center"/>
          </w:tcPr>
          <w:p>
            <w:pPr>
              <w:snapToGrid w:val="0"/>
              <w:jc w:val="center"/>
              <w:rPr>
                <w:rFonts w:asciiTheme="minorEastAsia" w:eastAsiaTheme="minorEastAsia" w:hAnsiTheme="minorEastAsia"/>
                <w:szCs w:val="21"/>
              </w:rPr>
            </w:pPr>
          </w:p>
        </w:tc>
        <w:tc>
          <w:tcPr>
            <w:tcW w:w="4457" w:type="dxa"/>
            <w:vAlign w:val="center"/>
          </w:tcPr>
          <w:p>
            <w:pPr>
              <w:snapToGrid w:val="0"/>
              <w:jc w:val="center"/>
              <w:rPr>
                <w:rFonts w:asciiTheme="minorEastAsia" w:eastAsiaTheme="minorEastAsia" w:hAnsiTheme="minorEastAsia" w:hint="eastAsia"/>
                <w:szCs w:val="21"/>
              </w:rPr>
            </w:pPr>
            <w:r>
              <w:rPr>
                <w:rFonts w:asciiTheme="minorEastAsia" w:eastAsiaTheme="minorEastAsia" w:hAnsiTheme="minorEastAsia" w:hint="eastAsia"/>
                <w:szCs w:val="21"/>
              </w:rPr>
              <w:t>软件</w:t>
            </w:r>
            <w:r>
              <w:rPr>
                <w:rFonts w:asciiTheme="minorEastAsia" w:eastAsiaTheme="minorEastAsia" w:hAnsiTheme="minorEastAsia" w:hint="eastAsia"/>
                <w:szCs w:val="21"/>
                <w:lang w:val="en-US" w:eastAsia="zh-CN"/>
              </w:rPr>
              <w:t>源</w:t>
            </w:r>
            <w:r>
              <w:rPr>
                <w:rFonts w:asciiTheme="minorEastAsia" w:eastAsiaTheme="minorEastAsia" w:hAnsiTheme="minorEastAsia" w:hint="eastAsia"/>
                <w:szCs w:val="21"/>
              </w:rPr>
              <w:t>程序及</w:t>
            </w:r>
            <w:r>
              <w:rPr>
                <w:rFonts w:asciiTheme="minorEastAsia" w:eastAsiaTheme="minorEastAsia" w:hAnsiTheme="minorEastAsia" w:hint="eastAsia"/>
                <w:szCs w:val="21"/>
                <w:lang w:val="en-US" w:eastAsia="zh-CN"/>
              </w:rPr>
              <w:t>程序说明</w:t>
            </w:r>
          </w:p>
        </w:tc>
        <w:tc>
          <w:tcPr>
            <w:tcW w:w="2199" w:type="dxa"/>
            <w:vMerge/>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Merge/>
            <w:vAlign w:val="center"/>
          </w:tcPr>
          <w:p>
            <w:pPr>
              <w:snapToGrid w:val="0"/>
              <w:jc w:val="center"/>
              <w:rPr>
                <w:rFonts w:asciiTheme="minorEastAsia" w:eastAsiaTheme="minorEastAsia" w:hAnsiTheme="minorEastAsia"/>
                <w:szCs w:val="21"/>
              </w:rPr>
            </w:pP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技术总结（包括技术亮点成果等）</w:t>
            </w:r>
          </w:p>
        </w:tc>
        <w:tc>
          <w:tcPr>
            <w:tcW w:w="2199" w:type="dxa"/>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Merge w:val="restart"/>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试运行</w:t>
            </w: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试运行记录</w:t>
            </w:r>
          </w:p>
        </w:tc>
        <w:tc>
          <w:tcPr>
            <w:tcW w:w="2199" w:type="dxa"/>
            <w:vMerge w:val="restart"/>
            <w:vAlign w:val="center"/>
          </w:tcPr>
          <w:p>
            <w:pPr>
              <w:snapToGrid w:val="0"/>
              <w:jc w:val="center"/>
              <w:rPr>
                <w:rFonts w:asciiTheme="minorEastAsia" w:eastAsiaTheme="minorEastAsia" w:hAnsiTheme="minorEastAsia" w:hint="default"/>
                <w:szCs w:val="21"/>
              </w:rPr>
            </w:pPr>
            <w:r>
              <w:rPr>
                <w:rFonts w:asciiTheme="minorEastAsia" w:eastAsiaTheme="minorEastAsia" w:hAnsiTheme="minorEastAsia" w:hint="eastAsia"/>
                <w:szCs w:val="21"/>
                <w:lang w:val="en-US" w:eastAsia="zh-CN"/>
              </w:rPr>
              <w:t>试运行总结报告</w:t>
            </w:r>
          </w:p>
        </w:tc>
      </w:tr>
      <w:tr>
        <w:tblPrEx>
          <w:tblW w:w="8607" w:type="dxa"/>
          <w:jc w:val="center"/>
          <w:tblLayout w:type="fixed"/>
          <w:tblCellMar>
            <w:top w:w="0" w:type="dxa"/>
            <w:left w:w="108" w:type="dxa"/>
            <w:bottom w:w="0" w:type="dxa"/>
            <w:right w:w="108" w:type="dxa"/>
          </w:tblCellMar>
        </w:tblPrEx>
        <w:trPr>
          <w:jc w:val="center"/>
        </w:trPr>
        <w:tc>
          <w:tcPr>
            <w:tcW w:w="1951" w:type="dxa"/>
            <w:vMerge/>
            <w:vAlign w:val="center"/>
          </w:tcPr>
          <w:p>
            <w:pPr>
              <w:snapToGrid w:val="0"/>
              <w:jc w:val="center"/>
              <w:rPr>
                <w:rFonts w:asciiTheme="minorEastAsia" w:eastAsiaTheme="minorEastAsia" w:hAnsiTheme="minorEastAsia" w:hint="eastAsia"/>
                <w:szCs w:val="21"/>
              </w:rPr>
            </w:pPr>
          </w:p>
        </w:tc>
        <w:tc>
          <w:tcPr>
            <w:tcW w:w="4457" w:type="dxa"/>
            <w:vAlign w:val="center"/>
          </w:tcPr>
          <w:p>
            <w:pPr>
              <w:snapToGrid w:val="0"/>
              <w:jc w:val="center"/>
              <w:rPr>
                <w:rFonts w:asciiTheme="minorEastAsia" w:eastAsiaTheme="minorEastAsia" w:hAnsiTheme="minorEastAsia" w:hint="default"/>
                <w:szCs w:val="21"/>
              </w:rPr>
            </w:pPr>
            <w:r>
              <w:rPr>
                <w:rFonts w:asciiTheme="minorEastAsia" w:eastAsiaTheme="minorEastAsia" w:hAnsiTheme="minorEastAsia" w:hint="eastAsia"/>
                <w:szCs w:val="21"/>
                <w:lang w:val="en-US" w:eastAsia="zh-CN"/>
              </w:rPr>
              <w:t>试运行方案（含应急保障预案）</w:t>
            </w:r>
          </w:p>
        </w:tc>
        <w:tc>
          <w:tcPr>
            <w:tcW w:w="2199" w:type="dxa"/>
            <w:vMerge/>
            <w:vAlign w:val="center"/>
          </w:tcPr>
          <w:p>
            <w:pPr>
              <w:snapToGrid w:val="0"/>
              <w:jc w:val="center"/>
              <w:rPr>
                <w:rFonts w:asciiTheme="minorEastAsia" w:eastAsiaTheme="minorEastAsia" w:hAnsiTheme="minorEastAsia" w:hint="default"/>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Merge/>
            <w:vAlign w:val="center"/>
          </w:tcPr>
          <w:p>
            <w:pPr>
              <w:snapToGrid w:val="0"/>
              <w:jc w:val="center"/>
              <w:rPr>
                <w:rFonts w:asciiTheme="minorEastAsia" w:eastAsiaTheme="minorEastAsia" w:hAnsiTheme="minorEastAsia"/>
                <w:szCs w:val="21"/>
              </w:rPr>
            </w:pP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试运行评估报告</w:t>
            </w:r>
          </w:p>
        </w:tc>
        <w:tc>
          <w:tcPr>
            <w:tcW w:w="2199" w:type="dxa"/>
            <w:vMerge/>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jc w:val="center"/>
        </w:trPr>
        <w:tc>
          <w:tcPr>
            <w:tcW w:w="1951"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培训</w:t>
            </w: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培训教程</w:t>
            </w:r>
          </w:p>
        </w:tc>
        <w:tc>
          <w:tcPr>
            <w:tcW w:w="2199" w:type="dxa"/>
            <w:vAlign w:val="center"/>
          </w:tcPr>
          <w:p>
            <w:pPr>
              <w:snapToGrid w:val="0"/>
              <w:jc w:val="center"/>
              <w:rPr>
                <w:rFonts w:asciiTheme="minorEastAsia" w:eastAsiaTheme="minorEastAsia" w:hAnsiTheme="minorEastAsia" w:hint="eastAsia"/>
                <w:szCs w:val="21"/>
              </w:rPr>
            </w:pPr>
            <w:r>
              <w:rPr>
                <w:rFonts w:asciiTheme="minorEastAsia" w:eastAsiaTheme="minorEastAsia" w:hAnsiTheme="minorEastAsia" w:hint="eastAsia"/>
                <w:szCs w:val="21"/>
              </w:rPr>
              <w:t>培训计划</w:t>
            </w:r>
          </w:p>
          <w:p>
            <w:pPr>
              <w:snapToGrid w:val="0"/>
              <w:jc w:val="center"/>
              <w:rPr>
                <w:rFonts w:asciiTheme="minorEastAsia" w:eastAsiaTheme="minorEastAsia" w:hAnsiTheme="minorEastAsia" w:hint="default"/>
                <w:szCs w:val="21"/>
              </w:rPr>
            </w:pPr>
            <w:r>
              <w:rPr>
                <w:rFonts w:asciiTheme="minorEastAsia" w:eastAsiaTheme="minorEastAsia" w:hAnsiTheme="minorEastAsia" w:hint="eastAsia"/>
                <w:szCs w:val="21"/>
                <w:lang w:val="en-US" w:eastAsia="zh-CN"/>
              </w:rPr>
              <w:t>培训记录</w:t>
            </w:r>
          </w:p>
          <w:p>
            <w:pPr>
              <w:snapToGrid w:val="0"/>
              <w:jc w:val="center"/>
              <w:rPr>
                <w:rFonts w:asciiTheme="minorEastAsia" w:eastAsiaTheme="minorEastAsia" w:hAnsiTheme="minorEastAsia" w:hint="default"/>
                <w:szCs w:val="21"/>
              </w:rPr>
            </w:pPr>
            <w:r>
              <w:rPr>
                <w:rFonts w:asciiTheme="minorEastAsia" w:eastAsiaTheme="minorEastAsia" w:hAnsiTheme="minorEastAsia" w:hint="eastAsia"/>
                <w:szCs w:val="21"/>
                <w:lang w:val="en-US" w:eastAsia="zh-CN"/>
              </w:rPr>
              <w:t>培训总结报告</w:t>
            </w:r>
          </w:p>
        </w:tc>
      </w:tr>
      <w:tr>
        <w:tblPrEx>
          <w:tblW w:w="8607" w:type="dxa"/>
          <w:jc w:val="center"/>
          <w:tblLayout w:type="fixed"/>
          <w:tblCellMar>
            <w:top w:w="0" w:type="dxa"/>
            <w:left w:w="108" w:type="dxa"/>
            <w:bottom w:w="0" w:type="dxa"/>
            <w:right w:w="108" w:type="dxa"/>
          </w:tblCellMar>
        </w:tblPrEx>
        <w:trPr>
          <w:trHeight w:val="442"/>
          <w:jc w:val="center"/>
        </w:trPr>
        <w:tc>
          <w:tcPr>
            <w:tcW w:w="1951" w:type="dxa"/>
            <w:vMerge w:val="restart"/>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终验</w:t>
            </w: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工作报告</w:t>
            </w:r>
          </w:p>
        </w:tc>
        <w:tc>
          <w:tcPr>
            <w:tcW w:w="2199" w:type="dxa"/>
            <w:vMerge w:val="restart"/>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终验申请</w:t>
            </w:r>
          </w:p>
          <w:p>
            <w:pPr>
              <w:snapToGrid w:val="0"/>
              <w:jc w:val="center"/>
              <w:rPr>
                <w:rFonts w:asciiTheme="minorEastAsia" w:eastAsiaTheme="minorEastAsia" w:hAnsiTheme="minorEastAsia"/>
                <w:szCs w:val="21"/>
              </w:rPr>
            </w:pPr>
            <w:r>
              <w:rPr>
                <w:rFonts w:asciiTheme="minorEastAsia" w:eastAsiaTheme="minorEastAsia" w:hAnsiTheme="minorEastAsia"/>
                <w:szCs w:val="21"/>
              </w:rPr>
              <w:t>终验报告</w:t>
            </w:r>
          </w:p>
        </w:tc>
      </w:tr>
      <w:tr>
        <w:tblPrEx>
          <w:tblW w:w="8607" w:type="dxa"/>
          <w:jc w:val="center"/>
          <w:tblLayout w:type="fixed"/>
          <w:tblCellMar>
            <w:top w:w="0" w:type="dxa"/>
            <w:left w:w="108" w:type="dxa"/>
            <w:bottom w:w="0" w:type="dxa"/>
            <w:right w:w="108" w:type="dxa"/>
          </w:tblCellMar>
        </w:tblPrEx>
        <w:trPr>
          <w:trHeight w:val="447"/>
          <w:jc w:val="center"/>
        </w:trPr>
        <w:tc>
          <w:tcPr>
            <w:tcW w:w="1951" w:type="dxa"/>
            <w:vMerge/>
            <w:vAlign w:val="center"/>
          </w:tcPr>
          <w:p>
            <w:pPr>
              <w:snapToGrid w:val="0"/>
              <w:jc w:val="center"/>
              <w:rPr>
                <w:rFonts w:asciiTheme="minorEastAsia" w:eastAsiaTheme="minorEastAsia" w:hAnsiTheme="minorEastAsia"/>
                <w:szCs w:val="21"/>
              </w:rPr>
            </w:pPr>
          </w:p>
        </w:tc>
        <w:tc>
          <w:tcPr>
            <w:tcW w:w="4457" w:type="dxa"/>
            <w:vAlign w:val="center"/>
          </w:tcPr>
          <w:p>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技术报告</w:t>
            </w:r>
          </w:p>
        </w:tc>
        <w:tc>
          <w:tcPr>
            <w:tcW w:w="2199" w:type="dxa"/>
            <w:vMerge/>
            <w:vAlign w:val="center"/>
          </w:tcPr>
          <w:p>
            <w:pPr>
              <w:snapToGrid w:val="0"/>
              <w:jc w:val="center"/>
              <w:rPr>
                <w:rFonts w:asciiTheme="minorEastAsia" w:eastAsiaTheme="minorEastAsia" w:hAnsiTheme="minorEastAsia"/>
                <w:szCs w:val="21"/>
              </w:rPr>
            </w:pPr>
          </w:p>
        </w:tc>
      </w:tr>
      <w:tr>
        <w:tblPrEx>
          <w:tblW w:w="8607" w:type="dxa"/>
          <w:jc w:val="center"/>
          <w:tblLayout w:type="fixed"/>
          <w:tblCellMar>
            <w:top w:w="0" w:type="dxa"/>
            <w:left w:w="108" w:type="dxa"/>
            <w:bottom w:w="0" w:type="dxa"/>
            <w:right w:w="108" w:type="dxa"/>
          </w:tblCellMar>
        </w:tblPrEx>
        <w:trPr>
          <w:trHeight w:val="447"/>
          <w:jc w:val="center"/>
        </w:trPr>
        <w:tc>
          <w:tcPr>
            <w:tcW w:w="1951" w:type="dxa"/>
            <w:vMerge/>
            <w:vAlign w:val="center"/>
          </w:tcPr>
          <w:p>
            <w:pPr>
              <w:snapToGrid w:val="0"/>
              <w:jc w:val="center"/>
              <w:rPr>
                <w:rFonts w:asciiTheme="minorEastAsia" w:eastAsiaTheme="minorEastAsia" w:hAnsiTheme="minorEastAsia"/>
                <w:szCs w:val="21"/>
              </w:rPr>
            </w:pPr>
          </w:p>
        </w:tc>
        <w:tc>
          <w:tcPr>
            <w:tcW w:w="4457" w:type="dxa"/>
            <w:vAlign w:val="center"/>
          </w:tcPr>
          <w:p>
            <w:pPr>
              <w:snapToGrid w:val="0"/>
              <w:jc w:val="center"/>
              <w:rPr>
                <w:rFonts w:asciiTheme="minorEastAsia" w:eastAsiaTheme="minorEastAsia" w:hAnsiTheme="minorEastAsia" w:hint="default"/>
                <w:szCs w:val="21"/>
              </w:rPr>
            </w:pPr>
            <w:r>
              <w:rPr>
                <w:rFonts w:asciiTheme="minorEastAsia" w:eastAsiaTheme="minorEastAsia" w:hAnsiTheme="minorEastAsia" w:hint="eastAsia"/>
                <w:szCs w:val="21"/>
                <w:lang w:val="en-US" w:eastAsia="zh-CN"/>
              </w:rPr>
              <w:t>用户报告</w:t>
            </w:r>
          </w:p>
        </w:tc>
        <w:tc>
          <w:tcPr>
            <w:tcW w:w="2199" w:type="dxa"/>
            <w:vMerge/>
            <w:vAlign w:val="center"/>
          </w:tcPr>
          <w:p>
            <w:pPr>
              <w:snapToGrid w:val="0"/>
              <w:jc w:val="center"/>
              <w:rPr>
                <w:rFonts w:asciiTheme="minorEastAsia" w:eastAsiaTheme="minorEastAsia" w:hAnsiTheme="minorEastAsia"/>
                <w:szCs w:val="21"/>
              </w:rPr>
            </w:pPr>
          </w:p>
        </w:tc>
      </w:tr>
    </w:tbl>
    <w:p>
      <w:pPr>
        <w:pStyle w:val="NormalIndent"/>
        <w:adjustRightInd w:val="0"/>
        <w:snapToGrid w:val="0"/>
        <w:ind w:firstLine="480"/>
        <w:jc w:val="left"/>
      </w:pPr>
    </w:p>
    <w:p>
      <w:pPr>
        <w:pStyle w:val="Heading4"/>
        <w:numPr>
          <w:ilvl w:val="12"/>
          <w:numId w:val="0"/>
        </w:numPr>
        <w:tabs>
          <w:tab w:val="clear" w:pos="864"/>
        </w:tabs>
        <w:ind w:left="0" w:firstLine="0"/>
        <w:rPr>
          <w:rFonts w:ascii="宋体" w:hAnsi="宋体" w:cs="宋体" w:hint="eastAsia"/>
          <w:kern w:val="44"/>
          <w:szCs w:val="24"/>
        </w:rPr>
      </w:pPr>
      <w:bookmarkStart w:id="83" w:name="_Toc133591042"/>
      <w:bookmarkStart w:id="84" w:name="_Toc27746"/>
      <w:bookmarkStart w:id="85" w:name="_Toc101190550"/>
      <w:r>
        <w:rPr>
          <w:rFonts w:ascii="宋体" w:eastAsia="宋体" w:hAnsi="宋体" w:cs="宋体" w:hint="eastAsia"/>
          <w:b/>
          <w:bCs/>
          <w:kern w:val="44"/>
          <w:sz w:val="24"/>
          <w:szCs w:val="24"/>
          <w:lang w:val="en-US" w:eastAsia="zh-CN" w:bidi="ar-SA"/>
        </w:rPr>
        <w:t>7</w:t>
      </w:r>
      <w:r>
        <w:rPr>
          <w:rFonts w:ascii="宋体" w:eastAsia="宋体" w:hAnsi="宋体" w:cs="宋体" w:hint="eastAsia"/>
          <w:kern w:val="44"/>
          <w:sz w:val="24"/>
          <w:szCs w:val="24"/>
        </w:rPr>
        <w:t>软件移交</w:t>
      </w:r>
      <w:bookmarkEnd w:id="83"/>
    </w:p>
    <w:p>
      <w:pPr>
        <w:pStyle w:val="NormalIndent"/>
        <w:adjustRightInd w:val="0"/>
        <w:snapToGrid w:val="0"/>
        <w:ind w:firstLine="480"/>
        <w:jc w:val="left"/>
      </w:pPr>
      <w:r>
        <w:rPr>
          <w:rFonts w:hint="eastAsia"/>
        </w:rPr>
        <w:t>软件产品验收通过后，承制方必须按验收评审意见，做好后续工作，并在得到验收委员会或其指定人员认可后，按合同书要求，将软件产品移交给交办方。具体要求如下：</w:t>
      </w:r>
    </w:p>
    <w:p>
      <w:pPr>
        <w:pStyle w:val="NormalIndent"/>
        <w:adjustRightInd w:val="0"/>
        <w:snapToGrid w:val="0"/>
        <w:ind w:firstLine="480"/>
        <w:jc w:val="left"/>
      </w:pPr>
      <w:r>
        <w:t xml:space="preserve">1. </w:t>
      </w:r>
      <w:r>
        <w:rPr>
          <w:rFonts w:hint="eastAsia"/>
        </w:rPr>
        <w:t>交接双方应按验收大纲的要求做好移交</w:t>
      </w:r>
      <w:r>
        <w:t>/</w:t>
      </w:r>
      <w:r>
        <w:rPr>
          <w:rFonts w:hint="eastAsia"/>
        </w:rPr>
        <w:t>接收的准备工作，成立相应的组织，指定软件产品交接的负责人；</w:t>
      </w:r>
    </w:p>
    <w:p>
      <w:pPr>
        <w:pStyle w:val="NormalIndent"/>
        <w:adjustRightInd w:val="0"/>
        <w:snapToGrid w:val="0"/>
        <w:ind w:firstLine="480"/>
        <w:jc w:val="left"/>
      </w:pPr>
      <w:r>
        <w:t xml:space="preserve">2. </w:t>
      </w:r>
      <w:r>
        <w:rPr>
          <w:rFonts w:hint="eastAsia"/>
        </w:rPr>
        <w:t>承制方根据合同规定提出软件产品移交项目清单，在验收委员会的审定与监督下，逐项核实并移交给交办方。移交结束后形成产品移交文件，并由双方签署完整的移交项目清单。</w:t>
      </w:r>
    </w:p>
    <w:p>
      <w:pPr>
        <w:pStyle w:val="NormalIndent"/>
        <w:adjustRightInd w:val="0"/>
        <w:snapToGrid w:val="0"/>
        <w:ind w:firstLine="480"/>
        <w:jc w:val="left"/>
      </w:pPr>
      <w:r>
        <w:t xml:space="preserve">3. </w:t>
      </w:r>
      <w:r>
        <w:rPr>
          <w:rFonts w:hint="eastAsia"/>
        </w:rPr>
        <w:t>产品移交文件应包括以下内容：移交项目的名称、数量和装载媒体等的详细说明；移交的时间，地点和交接负责人的签名等。</w:t>
      </w:r>
    </w:p>
    <w:p>
      <w:pPr>
        <w:pStyle w:val="Heading4"/>
        <w:numPr>
          <w:ilvl w:val="12"/>
          <w:numId w:val="0"/>
        </w:numPr>
        <w:tabs>
          <w:tab w:val="clear" w:pos="864"/>
        </w:tabs>
        <w:ind w:left="0" w:firstLine="0"/>
        <w:rPr>
          <w:rFonts w:ascii="宋体" w:hAnsi="宋体" w:cs="宋体" w:hint="eastAsia"/>
          <w:kern w:val="44"/>
          <w:szCs w:val="24"/>
        </w:rPr>
      </w:pPr>
      <w:bookmarkStart w:id="86" w:name="_Toc133591043"/>
      <w:r>
        <w:rPr>
          <w:rFonts w:ascii="宋体" w:eastAsia="宋体" w:hAnsi="宋体" w:cs="宋体" w:hint="eastAsia"/>
          <w:b/>
          <w:bCs/>
          <w:kern w:val="44"/>
          <w:sz w:val="24"/>
          <w:szCs w:val="24"/>
          <w:lang w:val="en-US" w:eastAsia="zh-CN" w:bidi="ar-SA"/>
        </w:rPr>
        <w:t>8</w:t>
      </w:r>
      <w:r>
        <w:rPr>
          <w:rFonts w:ascii="宋体" w:eastAsia="宋体" w:hAnsi="宋体" w:cs="宋体" w:hint="eastAsia"/>
          <w:kern w:val="44"/>
          <w:sz w:val="24"/>
          <w:szCs w:val="24"/>
        </w:rPr>
        <w:t>项目评审验收标准</w:t>
      </w:r>
      <w:bookmarkEnd w:id="86"/>
    </w:p>
    <w:p>
      <w:pPr>
        <w:pStyle w:val="NormalIndent"/>
        <w:adjustRightInd w:val="0"/>
        <w:snapToGrid w:val="0"/>
        <w:ind w:firstLine="480"/>
        <w:jc w:val="left"/>
      </w:pPr>
      <w:r>
        <w:rPr>
          <w:rFonts w:hint="eastAsia"/>
        </w:rPr>
        <w:t>通过采购人组织的需求评审后形成项目评审验收方案，制订出一套明确的可操作性的评价指标，作为采购人评价维护工作的标准，用于本项目的评审和验收。</w:t>
      </w:r>
    </w:p>
    <w:p>
      <w:pPr>
        <w:pStyle w:val="Heading4"/>
        <w:numPr>
          <w:ilvl w:val="12"/>
          <w:numId w:val="0"/>
        </w:numPr>
        <w:tabs>
          <w:tab w:val="clear" w:pos="864"/>
        </w:tabs>
        <w:ind w:left="0" w:firstLine="0"/>
        <w:rPr>
          <w:rFonts w:ascii="宋体" w:hAnsi="宋体" w:cs="宋体" w:hint="eastAsia"/>
          <w:kern w:val="44"/>
          <w:szCs w:val="24"/>
        </w:rPr>
      </w:pPr>
      <w:bookmarkStart w:id="87" w:name="_Toc133591044"/>
      <w:r>
        <w:rPr>
          <w:rFonts w:ascii="宋体" w:eastAsia="宋体" w:hAnsi="宋体" w:cs="宋体" w:hint="eastAsia"/>
          <w:b/>
          <w:bCs/>
          <w:kern w:val="44"/>
          <w:sz w:val="24"/>
          <w:szCs w:val="24"/>
          <w:lang w:val="en-US" w:eastAsia="zh-CN" w:bidi="ar-SA"/>
        </w:rPr>
        <w:t>9</w:t>
      </w:r>
      <w:r>
        <w:rPr>
          <w:rFonts w:ascii="宋体" w:eastAsia="宋体" w:hAnsi="宋体" w:cs="宋体" w:hint="eastAsia"/>
          <w:kern w:val="44"/>
          <w:sz w:val="24"/>
          <w:szCs w:val="24"/>
        </w:rPr>
        <w:t>项目组织与管理要求</w:t>
      </w:r>
      <w:bookmarkEnd w:id="84"/>
      <w:bookmarkEnd w:id="85"/>
      <w:bookmarkEnd w:id="87"/>
    </w:p>
    <w:p>
      <w:pPr>
        <w:pStyle w:val="NormalIndent"/>
        <w:adjustRightInd w:val="0"/>
        <w:snapToGrid w:val="0"/>
        <w:ind w:firstLine="480"/>
        <w:jc w:val="left"/>
      </w:pPr>
      <w:bookmarkStart w:id="88" w:name="_Toc22752"/>
      <w:bookmarkStart w:id="89" w:name="_Toc101190553"/>
      <w:r>
        <w:rPr>
          <w:rFonts w:hint="eastAsia"/>
        </w:rPr>
        <w:t>1）编制软件开发实施进度计划并组织实施</w:t>
      </w:r>
    </w:p>
    <w:p>
      <w:pPr>
        <w:pStyle w:val="NormalIndent"/>
        <w:adjustRightInd w:val="0"/>
        <w:snapToGrid w:val="0"/>
        <w:ind w:firstLine="480"/>
        <w:jc w:val="left"/>
      </w:pPr>
      <w:r>
        <w:rPr>
          <w:rFonts w:hint="eastAsia"/>
        </w:rPr>
        <w:t>提供软件开发实施计划。</w:t>
      </w:r>
    </w:p>
    <w:p>
      <w:pPr>
        <w:pStyle w:val="NormalIndent"/>
        <w:adjustRightInd w:val="0"/>
        <w:snapToGrid w:val="0"/>
        <w:ind w:firstLine="480"/>
        <w:jc w:val="left"/>
      </w:pPr>
      <w:r>
        <w:rPr>
          <w:rFonts w:hint="eastAsia"/>
        </w:rPr>
        <w:t>每周向采购人提供工作实施进展情况，并提出相关建议。</w:t>
      </w:r>
    </w:p>
    <w:p>
      <w:pPr>
        <w:pStyle w:val="NormalIndent"/>
        <w:adjustRightInd w:val="0"/>
        <w:snapToGrid w:val="0"/>
        <w:ind w:firstLine="480"/>
        <w:jc w:val="left"/>
      </w:pPr>
      <w:r>
        <w:rPr>
          <w:rFonts w:hint="eastAsia"/>
        </w:rPr>
        <w:t>解决软件开发实施过程中出现的各种技术问题。</w:t>
      </w:r>
    </w:p>
    <w:p>
      <w:pPr>
        <w:pStyle w:val="NormalIndent"/>
        <w:adjustRightInd w:val="0"/>
        <w:snapToGrid w:val="0"/>
        <w:ind w:firstLine="480"/>
        <w:jc w:val="left"/>
      </w:pPr>
      <w:r>
        <w:rPr>
          <w:rFonts w:hint="eastAsia"/>
        </w:rPr>
        <w:t>协助采购人处理实施过程中出现的质量事故。</w:t>
      </w:r>
    </w:p>
    <w:p>
      <w:pPr>
        <w:pStyle w:val="NormalIndent"/>
        <w:adjustRightInd w:val="0"/>
        <w:snapToGrid w:val="0"/>
        <w:ind w:firstLine="480"/>
        <w:jc w:val="left"/>
      </w:pPr>
      <w:r>
        <w:rPr>
          <w:rFonts w:hint="eastAsia"/>
        </w:rPr>
        <w:t>计划周密，当项目建设过程中出现变化时，要能及时做出调整。</w:t>
      </w:r>
    </w:p>
    <w:p>
      <w:pPr>
        <w:pStyle w:val="NormalIndent"/>
        <w:adjustRightInd w:val="0"/>
        <w:snapToGrid w:val="0"/>
        <w:ind w:firstLine="480"/>
        <w:jc w:val="left"/>
      </w:pPr>
      <w:r>
        <w:rPr>
          <w:rFonts w:hint="eastAsia"/>
        </w:rPr>
        <w:t>要有规范的进度管理机制。</w:t>
      </w:r>
    </w:p>
    <w:p>
      <w:pPr>
        <w:pStyle w:val="NormalIndent"/>
        <w:adjustRightInd w:val="0"/>
        <w:snapToGrid w:val="0"/>
        <w:ind w:firstLine="480"/>
        <w:jc w:val="left"/>
      </w:pPr>
      <w:r>
        <w:rPr>
          <w:rFonts w:hint="eastAsia"/>
        </w:rPr>
        <w:t>2）进行项目开发的日常组织、管理、协调</w:t>
      </w:r>
    </w:p>
    <w:p>
      <w:pPr>
        <w:pStyle w:val="NormalIndent"/>
        <w:adjustRightInd w:val="0"/>
        <w:snapToGrid w:val="0"/>
        <w:ind w:firstLine="480"/>
        <w:jc w:val="left"/>
      </w:pPr>
      <w:r>
        <w:rPr>
          <w:rFonts w:hint="eastAsia"/>
        </w:rPr>
        <w:t>参加采购人组织与项目建设有关的各类会议。</w:t>
      </w:r>
    </w:p>
    <w:p>
      <w:pPr>
        <w:pStyle w:val="NormalIndent"/>
        <w:adjustRightInd w:val="0"/>
        <w:snapToGrid w:val="0"/>
        <w:ind w:firstLine="480"/>
        <w:jc w:val="left"/>
      </w:pPr>
      <w:r>
        <w:rPr>
          <w:rFonts w:hint="eastAsia"/>
        </w:rPr>
        <w:t>要遵循相应的项目管理规范，并有相应的项目管理文档。</w:t>
      </w:r>
    </w:p>
    <w:p>
      <w:pPr>
        <w:pStyle w:val="NormalIndent"/>
        <w:adjustRightInd w:val="0"/>
        <w:snapToGrid w:val="0"/>
        <w:ind w:firstLine="480"/>
        <w:jc w:val="left"/>
      </w:pPr>
      <w:r>
        <w:rPr>
          <w:rFonts w:hint="eastAsia"/>
        </w:rPr>
        <w:t>对项目建设任务中出现的调整，要及时做出安排，并尊重采购人的安排。</w:t>
      </w:r>
    </w:p>
    <w:p>
      <w:pPr>
        <w:pStyle w:val="Heading4"/>
        <w:numPr>
          <w:ilvl w:val="12"/>
          <w:numId w:val="0"/>
        </w:numPr>
        <w:tabs>
          <w:tab w:val="clear" w:pos="864"/>
        </w:tabs>
        <w:ind w:left="0" w:firstLine="0"/>
        <w:rPr>
          <w:rFonts w:ascii="宋体" w:hAnsi="宋体" w:cs="宋体" w:hint="eastAsia"/>
          <w:kern w:val="44"/>
          <w:szCs w:val="24"/>
        </w:rPr>
      </w:pPr>
      <w:bookmarkStart w:id="90" w:name="_Toc133591045"/>
      <w:r>
        <w:rPr>
          <w:rFonts w:ascii="宋体" w:eastAsia="宋体" w:hAnsi="宋体" w:cs="宋体" w:hint="eastAsia"/>
          <w:b/>
          <w:bCs/>
          <w:kern w:val="44"/>
          <w:sz w:val="24"/>
          <w:szCs w:val="24"/>
          <w:lang w:val="en-US" w:eastAsia="zh-CN" w:bidi="ar-SA"/>
        </w:rPr>
        <w:t>10</w:t>
      </w:r>
      <w:r>
        <w:rPr>
          <w:rFonts w:ascii="宋体" w:eastAsia="宋体" w:hAnsi="宋体" w:cs="宋体" w:hint="eastAsia"/>
          <w:kern w:val="44"/>
          <w:sz w:val="24"/>
          <w:szCs w:val="24"/>
        </w:rPr>
        <w:t>项目的人员及组织机构要求</w:t>
      </w:r>
      <w:bookmarkEnd w:id="88"/>
      <w:bookmarkEnd w:id="89"/>
      <w:bookmarkEnd w:id="90"/>
    </w:p>
    <w:p>
      <w:pPr>
        <w:pStyle w:val="NormalIndent"/>
        <w:adjustRightInd w:val="0"/>
        <w:snapToGrid w:val="0"/>
        <w:ind w:firstLine="480"/>
        <w:jc w:val="left"/>
      </w:pPr>
      <w:bookmarkStart w:id="91" w:name="_Toc31869"/>
      <w:bookmarkStart w:id="92" w:name="_Toc101190554"/>
      <w:bookmarkStart w:id="93" w:name="_Toc14445899"/>
      <w:bookmarkStart w:id="94" w:name="_Toc6725"/>
      <w:r>
        <w:rPr>
          <w:rFonts w:hint="eastAsia"/>
        </w:rPr>
        <w:t>中标人必须成立合理的组织机构，建立健全保障设计、开发工作顺利实施的各项管理制度和质量保证体系，安排好足够的高素质人才参加本项目工作。</w:t>
      </w:r>
    </w:p>
    <w:p>
      <w:pPr>
        <w:pStyle w:val="NormalIndent"/>
        <w:adjustRightInd w:val="0"/>
        <w:snapToGrid w:val="0"/>
        <w:ind w:firstLine="480"/>
        <w:jc w:val="left"/>
      </w:pPr>
      <w:r>
        <w:rPr>
          <w:rFonts w:hint="eastAsia"/>
        </w:rPr>
        <w:t>团队组织结构清晰，应设服务团队负责人（项目经理）、技术负责人，人员专业背景齐全。在组织机构中应明确各岗位的职责、任职资格及成果，确保项目顺利实施，技术人员必须具有数值预报/软件/数据支撑平台类相关项目软件设计、开发和集成支持经验，能够与用户进行良好的沟通。</w:t>
      </w:r>
    </w:p>
    <w:p>
      <w:pPr>
        <w:pStyle w:val="NormalIndent"/>
        <w:adjustRightInd w:val="0"/>
        <w:snapToGrid w:val="0"/>
        <w:ind w:firstLine="480"/>
        <w:jc w:val="left"/>
      </w:pPr>
      <w:r>
        <w:rPr>
          <w:rFonts w:hint="eastAsia"/>
        </w:rPr>
        <w:t>中标人应确保服务于本项目的核心技术人员及主要开发人员稳定，组建不少于9人的核心团队，未经采购人允许不得调整核心团队成员，采购人有权要求更换中标人项目团队成员。</w:t>
      </w:r>
    </w:p>
    <w:p>
      <w:pPr>
        <w:pStyle w:val="NormalIndent"/>
        <w:adjustRightInd w:val="0"/>
        <w:snapToGrid w:val="0"/>
        <w:ind w:firstLine="480"/>
        <w:jc w:val="left"/>
      </w:pPr>
      <w:r>
        <w:rPr>
          <w:rFonts w:hint="eastAsia"/>
        </w:rPr>
        <w:t>中标人需安排项目组至少4人进行驻场开发及实施，直至通过项目终验。</w:t>
      </w:r>
    </w:p>
    <w:p>
      <w:pPr>
        <w:pStyle w:val="Heading4"/>
        <w:numPr>
          <w:ilvl w:val="12"/>
          <w:numId w:val="0"/>
        </w:numPr>
        <w:tabs>
          <w:tab w:val="clear" w:pos="864"/>
        </w:tabs>
        <w:ind w:left="0" w:firstLine="0"/>
        <w:rPr>
          <w:rFonts w:ascii="宋体" w:hAnsi="宋体" w:cs="宋体" w:hint="eastAsia"/>
          <w:kern w:val="44"/>
          <w:szCs w:val="24"/>
        </w:rPr>
      </w:pPr>
      <w:bookmarkStart w:id="95" w:name="_Toc133591046"/>
      <w:r>
        <w:rPr>
          <w:rFonts w:ascii="宋体" w:eastAsia="宋体" w:hAnsi="宋体" w:cs="宋体" w:hint="eastAsia"/>
          <w:b/>
          <w:bCs/>
          <w:kern w:val="44"/>
          <w:sz w:val="24"/>
          <w:szCs w:val="24"/>
          <w:lang w:val="en-US" w:eastAsia="zh-CN" w:bidi="ar-SA"/>
        </w:rPr>
        <w:t>11</w:t>
      </w:r>
      <w:r>
        <w:rPr>
          <w:rFonts w:ascii="宋体" w:hAnsi="宋体" w:cs="宋体" w:hint="eastAsia"/>
          <w:kern w:val="44"/>
          <w:szCs w:val="24"/>
        </w:rPr>
        <w:t>培训要求</w:t>
      </w:r>
      <w:bookmarkEnd w:id="91"/>
      <w:bookmarkEnd w:id="92"/>
      <w:bookmarkEnd w:id="93"/>
      <w:bookmarkEnd w:id="94"/>
      <w:bookmarkEnd w:id="95"/>
    </w:p>
    <w:p>
      <w:pPr>
        <w:pStyle w:val="NormalIndent"/>
        <w:numPr>
          <w:ilvl w:val="0"/>
          <w:numId w:val="5"/>
        </w:numPr>
        <w:adjustRightInd w:val="0"/>
        <w:snapToGrid w:val="0"/>
        <w:ind w:firstLine="480"/>
        <w:jc w:val="left"/>
      </w:pPr>
      <w:bookmarkStart w:id="96" w:name="_Toc101190555"/>
      <w:bookmarkStart w:id="97" w:name="_Toc14445900"/>
      <w:bookmarkStart w:id="98" w:name="_Toc24642"/>
      <w:bookmarkStart w:id="99" w:name="_Toc26300"/>
      <w:r>
        <w:rPr>
          <w:rFonts w:hint="eastAsia"/>
        </w:rPr>
        <w:t>培训方式应包括现场培训和集中培训，并应在进行培训之前向采购人提交一份详细的培训计划。</w:t>
      </w:r>
    </w:p>
    <w:p>
      <w:pPr>
        <w:pStyle w:val="NormalIndent"/>
        <w:numPr>
          <w:ilvl w:val="0"/>
          <w:numId w:val="5"/>
        </w:numPr>
        <w:adjustRightInd w:val="0"/>
        <w:snapToGrid w:val="0"/>
        <w:ind w:firstLine="480"/>
        <w:jc w:val="left"/>
      </w:pPr>
      <w:r>
        <w:rPr>
          <w:rFonts w:hint="eastAsia"/>
        </w:rPr>
        <w:t>中标人应以培训目标的实现为目的组织培训，确保每一位系统使用人员能够独立、熟练地完成操作，保证系统用户能够独立处理软件系统故障和进行简单的功能调整。</w:t>
      </w:r>
    </w:p>
    <w:p>
      <w:pPr>
        <w:pStyle w:val="NormalIndent"/>
        <w:numPr>
          <w:ilvl w:val="0"/>
          <w:numId w:val="5"/>
        </w:numPr>
        <w:adjustRightInd w:val="0"/>
        <w:snapToGrid w:val="0"/>
        <w:ind w:firstLine="480"/>
        <w:jc w:val="left"/>
      </w:pPr>
      <w:r>
        <w:rPr>
          <w:rFonts w:hint="eastAsia"/>
        </w:rPr>
        <w:t>集中培训地点由采购人根据本项目实际情况确定，确保培训次数不少于1次，每次培训时间不少于0.5天，具体培训时间由采购人与中标人根据项目进展情况协商确定。</w:t>
      </w:r>
    </w:p>
    <w:p>
      <w:pPr>
        <w:pStyle w:val="NormalIndent"/>
        <w:numPr>
          <w:ilvl w:val="0"/>
          <w:numId w:val="5"/>
        </w:numPr>
        <w:adjustRightInd w:val="0"/>
        <w:snapToGrid w:val="0"/>
        <w:ind w:firstLine="480"/>
        <w:jc w:val="left"/>
      </w:pPr>
      <w:r>
        <w:rPr>
          <w:rFonts w:hint="eastAsia"/>
        </w:rPr>
        <w:t>中标人负责为培训搭建所需的环境，并提供培训教材等相关用品。</w:t>
      </w:r>
    </w:p>
    <w:p>
      <w:pPr>
        <w:pStyle w:val="NormalIndent"/>
        <w:numPr>
          <w:ilvl w:val="0"/>
          <w:numId w:val="5"/>
        </w:numPr>
        <w:adjustRightInd w:val="0"/>
        <w:snapToGrid w:val="0"/>
        <w:ind w:firstLine="480"/>
        <w:jc w:val="left"/>
      </w:pPr>
      <w:r>
        <w:rPr>
          <w:rFonts w:hint="eastAsia"/>
        </w:rPr>
        <w:t>中标人承担培训产生的食宿、场地、教师等一切费用。</w:t>
      </w:r>
    </w:p>
    <w:p>
      <w:pPr>
        <w:pStyle w:val="Heading4"/>
        <w:numPr>
          <w:ilvl w:val="12"/>
          <w:numId w:val="0"/>
        </w:numPr>
        <w:tabs>
          <w:tab w:val="clear" w:pos="864"/>
        </w:tabs>
        <w:ind w:left="0" w:firstLine="0"/>
        <w:rPr>
          <w:rFonts w:ascii="宋体" w:hAnsi="宋体" w:cs="宋体" w:hint="eastAsia"/>
          <w:kern w:val="44"/>
          <w:szCs w:val="24"/>
        </w:rPr>
      </w:pPr>
      <w:bookmarkStart w:id="100" w:name="_Toc133591047"/>
      <w:r>
        <w:rPr>
          <w:rFonts w:ascii="宋体" w:eastAsia="宋体" w:hAnsi="宋体" w:cs="宋体" w:hint="eastAsia"/>
          <w:b/>
          <w:bCs/>
          <w:kern w:val="44"/>
          <w:sz w:val="24"/>
          <w:szCs w:val="24"/>
          <w:lang w:val="en-US" w:eastAsia="zh-CN" w:bidi="ar-SA"/>
        </w:rPr>
        <w:t>12</w:t>
      </w:r>
      <w:r>
        <w:rPr>
          <w:rFonts w:ascii="宋体" w:hAnsi="宋体" w:cs="宋体" w:hint="eastAsia"/>
          <w:kern w:val="44"/>
          <w:szCs w:val="24"/>
        </w:rPr>
        <w:t>安全保密要求</w:t>
      </w:r>
      <w:bookmarkEnd w:id="96"/>
      <w:bookmarkEnd w:id="97"/>
      <w:bookmarkEnd w:id="98"/>
      <w:bookmarkEnd w:id="99"/>
      <w:bookmarkEnd w:id="100"/>
    </w:p>
    <w:p>
      <w:pPr>
        <w:pStyle w:val="NormalIndent"/>
        <w:adjustRightInd w:val="0"/>
        <w:snapToGrid w:val="0"/>
        <w:ind w:firstLine="480"/>
        <w:jc w:val="left"/>
      </w:pPr>
      <w:bookmarkStart w:id="101" w:name="_Toc101190556"/>
      <w:bookmarkStart w:id="102" w:name="_Toc12405"/>
      <w:bookmarkStart w:id="103" w:name="_Toc25812"/>
      <w:bookmarkStart w:id="104" w:name="_Toc14445901"/>
      <w:r>
        <w:rPr>
          <w:rFonts w:hint="eastAsia"/>
        </w:rPr>
        <w:t>投标人必须对项目技术文件以及由采购人提供的所有内部材料、技术文档和信息予以保密。投标人必须遵守与采购人签订的保密协议，未经采购人书面许可，投标人不得以任何形式向第三方透露本项目标书以及本项目的任何内容。</w:t>
      </w:r>
    </w:p>
    <w:p>
      <w:pPr>
        <w:pStyle w:val="Heading4"/>
        <w:numPr>
          <w:ilvl w:val="12"/>
          <w:numId w:val="0"/>
        </w:numPr>
        <w:tabs>
          <w:tab w:val="clear" w:pos="864"/>
        </w:tabs>
        <w:ind w:left="0" w:firstLine="0"/>
        <w:rPr>
          <w:rFonts w:ascii="宋体" w:hAnsi="宋体" w:cs="宋体" w:hint="eastAsia"/>
          <w:kern w:val="44"/>
          <w:szCs w:val="24"/>
        </w:rPr>
      </w:pPr>
      <w:bookmarkStart w:id="105" w:name="_Toc133591048"/>
      <w:r>
        <w:rPr>
          <w:rFonts w:ascii="宋体" w:eastAsia="宋体" w:hAnsi="宋体" w:cs="宋体" w:hint="eastAsia"/>
          <w:b/>
          <w:bCs/>
          <w:kern w:val="44"/>
          <w:sz w:val="24"/>
          <w:szCs w:val="24"/>
          <w:lang w:val="en-US" w:eastAsia="zh-CN" w:bidi="ar-SA"/>
        </w:rPr>
        <w:t>13</w:t>
      </w:r>
      <w:r>
        <w:rPr>
          <w:rFonts w:ascii="宋体" w:hAnsi="宋体" w:cs="宋体" w:hint="eastAsia"/>
          <w:kern w:val="44"/>
          <w:szCs w:val="24"/>
        </w:rPr>
        <w:t>售后服务要求</w:t>
      </w:r>
      <w:bookmarkEnd w:id="101"/>
      <w:bookmarkEnd w:id="102"/>
      <w:bookmarkEnd w:id="103"/>
      <w:bookmarkEnd w:id="104"/>
      <w:bookmarkEnd w:id="105"/>
    </w:p>
    <w:p>
      <w:pPr>
        <w:pStyle w:val="NormalIndent"/>
        <w:adjustRightInd w:val="0"/>
        <w:snapToGrid w:val="0"/>
        <w:ind w:firstLine="480"/>
        <w:jc w:val="left"/>
      </w:pPr>
      <w:bookmarkStart w:id="106" w:name="_Toc101190557"/>
      <w:bookmarkStart w:id="107" w:name="_Toc27149"/>
      <w:bookmarkStart w:id="108" w:name="_Toc16326"/>
      <w:bookmarkStart w:id="109" w:name="_Toc14445902"/>
      <w:r>
        <w:rPr>
          <w:rFonts w:hint="eastAsia"/>
        </w:rPr>
        <w:t>本次招标要求投标人从项目通过终验之日起提供为期至少3年的质量保证期，2人免费驻现场技术支持服务，驻场人员应为系统开发主要人员。</w:t>
      </w:r>
    </w:p>
    <w:p>
      <w:pPr>
        <w:pStyle w:val="NormalIndent"/>
        <w:adjustRightInd w:val="0"/>
        <w:snapToGrid w:val="0"/>
        <w:ind w:firstLine="480"/>
        <w:jc w:val="left"/>
      </w:pPr>
      <w:r>
        <w:rPr>
          <w:rFonts w:hint="eastAsia"/>
        </w:rPr>
        <w:t>系统发生异常情况，在接到招标人的通知后，中标人技术人员应提供7*24小时的服务响应，随时进行电话应答；1小时内完成远程登录诊断；在2小时内到达现场解决疑难。</w:t>
      </w:r>
    </w:p>
    <w:p>
      <w:pPr>
        <w:pStyle w:val="NormalIndent"/>
        <w:adjustRightInd w:val="0"/>
        <w:snapToGrid w:val="0"/>
        <w:ind w:firstLine="480"/>
        <w:jc w:val="left"/>
      </w:pPr>
      <w:r>
        <w:rPr>
          <w:rFonts w:hint="eastAsia"/>
        </w:rPr>
        <w:t>质量保证期后，中标人仍应根据合同要求向招标人提供技术服务，以合理价格提供软件功能改进技术服务。</w:t>
      </w:r>
    </w:p>
    <w:p>
      <w:pPr>
        <w:pStyle w:val="NormalIndent"/>
        <w:adjustRightInd w:val="0"/>
        <w:snapToGrid w:val="0"/>
        <w:ind w:firstLine="480"/>
        <w:jc w:val="left"/>
      </w:pPr>
      <w:r>
        <w:rPr>
          <w:rFonts w:hint="eastAsia"/>
        </w:rPr>
        <w:t>质量保证期间的维护服务不收取任何额外费用，质量保证期后按合同约定进行维护。</w:t>
      </w:r>
    </w:p>
    <w:p>
      <w:pPr>
        <w:pStyle w:val="Heading4"/>
        <w:numPr>
          <w:ilvl w:val="12"/>
          <w:numId w:val="0"/>
        </w:numPr>
        <w:tabs>
          <w:tab w:val="clear" w:pos="864"/>
        </w:tabs>
        <w:ind w:left="0" w:firstLine="0"/>
        <w:rPr>
          <w:rFonts w:ascii="宋体" w:hAnsi="宋体" w:cs="宋体" w:hint="eastAsia"/>
          <w:kern w:val="44"/>
          <w:szCs w:val="24"/>
        </w:rPr>
      </w:pPr>
      <w:bookmarkStart w:id="110" w:name="_Toc133591049"/>
      <w:r>
        <w:rPr>
          <w:rFonts w:ascii="宋体" w:eastAsia="宋体" w:hAnsi="宋体" w:cs="宋体" w:hint="eastAsia"/>
          <w:b/>
          <w:bCs/>
          <w:kern w:val="44"/>
          <w:sz w:val="24"/>
          <w:szCs w:val="24"/>
          <w:lang w:val="en-US" w:eastAsia="zh-CN" w:bidi="ar-SA"/>
        </w:rPr>
        <w:t>14</w:t>
      </w:r>
      <w:r>
        <w:rPr>
          <w:rFonts w:ascii="宋体" w:hAnsi="宋体" w:cs="宋体" w:hint="eastAsia"/>
          <w:kern w:val="44"/>
          <w:szCs w:val="24"/>
        </w:rPr>
        <w:t>知识产权</w:t>
      </w:r>
      <w:bookmarkEnd w:id="106"/>
      <w:bookmarkEnd w:id="107"/>
      <w:bookmarkEnd w:id="108"/>
      <w:bookmarkEnd w:id="109"/>
      <w:r>
        <w:rPr>
          <w:rFonts w:ascii="宋体" w:hAnsi="宋体" w:cs="宋体" w:hint="eastAsia"/>
          <w:kern w:val="44"/>
          <w:szCs w:val="24"/>
        </w:rPr>
        <w:t>原则</w:t>
      </w:r>
      <w:bookmarkEnd w:id="110"/>
    </w:p>
    <w:p>
      <w:pPr>
        <w:pStyle w:val="NormalIndent"/>
        <w:adjustRightInd w:val="0"/>
        <w:snapToGrid w:val="0"/>
        <w:ind w:firstLine="480"/>
        <w:jc w:val="left"/>
      </w:pPr>
      <w:r>
        <w:rPr>
          <w:rFonts w:hint="eastAsia"/>
        </w:rPr>
        <w:t>1）符合法律规定及当事人约定的原则</w:t>
      </w:r>
    </w:p>
    <w:p>
      <w:pPr>
        <w:pStyle w:val="NormalIndent"/>
        <w:adjustRightInd w:val="0"/>
        <w:snapToGrid w:val="0"/>
        <w:ind w:firstLine="480"/>
        <w:jc w:val="left"/>
      </w:pPr>
      <w:r>
        <w:rPr>
          <w:rFonts w:hint="eastAsia"/>
        </w:rPr>
        <w:t>任何相关事项均应当符合法律规定，及应当符合当事人的约定。</w:t>
      </w:r>
    </w:p>
    <w:p>
      <w:pPr>
        <w:pStyle w:val="NormalIndent"/>
        <w:adjustRightInd w:val="0"/>
        <w:snapToGrid w:val="0"/>
        <w:ind w:firstLine="480"/>
        <w:jc w:val="left"/>
      </w:pPr>
      <w:r>
        <w:rPr>
          <w:rFonts w:hint="eastAsia"/>
        </w:rPr>
        <w:t>2）开发成果归属清晰原则</w:t>
      </w:r>
    </w:p>
    <w:p>
      <w:pPr>
        <w:pStyle w:val="NormalIndent"/>
        <w:adjustRightInd w:val="0"/>
        <w:snapToGrid w:val="0"/>
        <w:ind w:firstLine="480"/>
        <w:jc w:val="left"/>
      </w:pPr>
      <w:r>
        <w:rPr>
          <w:rFonts w:hint="eastAsia"/>
        </w:rPr>
        <w:t>全部及/或任何部分的相关知识产权，包括源代码、相关权益，归采购人所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pPr>
        <w:pStyle w:val="NormalIndent"/>
        <w:adjustRightInd w:val="0"/>
        <w:snapToGrid w:val="0"/>
        <w:ind w:firstLine="480"/>
        <w:jc w:val="left"/>
      </w:pPr>
      <w:r>
        <w:rPr>
          <w:rFonts w:hint="eastAsia"/>
        </w:rPr>
        <w:t>3）保护知识产权原则</w:t>
      </w:r>
    </w:p>
    <w:p>
      <w:pPr>
        <w:pStyle w:val="NormalIndent"/>
        <w:adjustRightInd w:val="0"/>
        <w:snapToGrid w:val="0"/>
        <w:ind w:firstLine="480"/>
        <w:jc w:val="left"/>
      </w:pPr>
      <w:r>
        <w:rPr>
          <w:rFonts w:hint="eastAsia"/>
        </w:rPr>
        <w:t>投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pPr>
        <w:pStyle w:val="Heading4"/>
        <w:numPr>
          <w:ilvl w:val="12"/>
          <w:numId w:val="0"/>
        </w:numPr>
        <w:tabs>
          <w:tab w:val="clear" w:pos="864"/>
        </w:tabs>
        <w:ind w:left="0" w:firstLine="0"/>
        <w:rPr>
          <w:rFonts w:ascii="宋体" w:hAnsi="宋体" w:cs="宋体" w:hint="eastAsia"/>
          <w:kern w:val="44"/>
          <w:szCs w:val="24"/>
        </w:rPr>
      </w:pPr>
      <w:bookmarkStart w:id="111" w:name="_Toc133591050"/>
      <w:r>
        <w:rPr>
          <w:rFonts w:ascii="宋体" w:eastAsia="宋体" w:hAnsi="宋体" w:cs="宋体" w:hint="eastAsia"/>
          <w:b/>
          <w:bCs/>
          <w:kern w:val="44"/>
          <w:sz w:val="24"/>
          <w:szCs w:val="24"/>
          <w:lang w:val="en-US" w:eastAsia="zh-CN" w:bidi="ar-SA"/>
        </w:rPr>
        <w:t>15</w:t>
      </w:r>
      <w:r>
        <w:rPr>
          <w:rFonts w:ascii="宋体" w:hAnsi="宋体" w:cs="宋体" w:hint="eastAsia"/>
          <w:kern w:val="44"/>
          <w:szCs w:val="24"/>
        </w:rPr>
        <w:t>提供技术咨询等其他相关服务</w:t>
      </w:r>
      <w:bookmarkEnd w:id="111"/>
    </w:p>
    <w:p>
      <w:pPr>
        <w:pStyle w:val="NormalIndent"/>
        <w:adjustRightInd w:val="0"/>
        <w:snapToGrid w:val="0"/>
        <w:ind w:firstLine="480"/>
        <w:jc w:val="left"/>
      </w:pPr>
      <w:r>
        <w:rPr>
          <w:rFonts w:hint="eastAsia"/>
        </w:rPr>
        <w:t>为采购人提供与本项目设计、开发和集成有关的各类技术咨询服务。</w:t>
      </w:r>
    </w:p>
    <w:p>
      <w:pPr>
        <w:pStyle w:val="NormalIndent"/>
        <w:adjustRightInd w:val="0"/>
        <w:snapToGrid w:val="0"/>
        <w:ind w:firstLine="480"/>
        <w:jc w:val="left"/>
      </w:pPr>
      <w:r>
        <w:rPr>
          <w:rFonts w:hint="eastAsia"/>
        </w:rPr>
        <w:t>在系统的运行维护阶段提供技术支持。对运行过程中出现的新问题提供建议和解决方案。</w:t>
      </w:r>
    </w:p>
    <w:p>
      <w:pPr>
        <w:pStyle w:val="NormalIndent"/>
        <w:adjustRightInd w:val="0"/>
        <w:snapToGrid w:val="0"/>
        <w:ind w:firstLine="480"/>
        <w:jc w:val="left"/>
      </w:pPr>
      <w:r>
        <w:rPr>
          <w:rFonts w:hint="eastAsia"/>
        </w:rPr>
        <w:t>提供其他与项目相关的服务。</w:t>
      </w:r>
    </w:p>
    <w:p>
      <w:pPr>
        <w:pStyle w:val="NormalIndent"/>
        <w:adjustRightInd w:val="0"/>
        <w:snapToGrid w:val="0"/>
        <w:ind w:firstLine="480"/>
        <w:jc w:val="left"/>
      </w:pPr>
      <w:r>
        <w:rPr>
          <w:rFonts w:hint="eastAsia"/>
        </w:rPr>
        <w:t>积极协助配合采购人开展与项目有关的工作。</w:t>
      </w:r>
    </w:p>
    <w:p>
      <w:pPr>
        <w:pStyle w:val="NormalIndent"/>
        <w:adjustRightInd w:val="0"/>
        <w:snapToGrid w:val="0"/>
        <w:ind w:firstLine="480"/>
        <w:jc w:val="left"/>
      </w:pPr>
      <w:r>
        <w:rPr>
          <w:rFonts w:hint="eastAsia"/>
        </w:rPr>
        <w:t>技术支持工作需要及时、有效，充分满足项目建设的需求。</w:t>
      </w:r>
    </w:p>
    <w:p>
      <w:pPr>
        <w:pStyle w:val="NormalIndent"/>
        <w:adjustRightInd w:val="0"/>
        <w:snapToGrid w:val="0"/>
        <w:ind w:firstLine="480"/>
        <w:jc w:val="left"/>
      </w:pPr>
    </w:p>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112"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11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rPr>
          <w:rFonts w:hint="eastAsia"/>
        </w:rPr>
      </w:pPr>
      <w:bookmarkStart w:id="113" w:name="采购公告合同部分_ZBGGHT"/>
      <w:r>
        <w:rPr>
          <w:rFonts w:hint="eastAsia"/>
        </w:rPr>
        <w:t>合同编号：</w:t>
      </w:r>
    </w:p>
    <w:p>
      <w:pPr>
        <w:jc w:val="center"/>
      </w:pPr>
    </w:p>
    <w:p>
      <w:pPr>
        <w:jc w:val="center"/>
      </w:pPr>
    </w:p>
    <w:p>
      <w:pPr>
        <w:jc w:val="center"/>
      </w:pPr>
    </w:p>
    <w:p>
      <w:pPr>
        <w:jc w:val="center"/>
      </w:pP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lang w:val="en-US" w:eastAsia="zh-CN"/>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lang w:val="en-US" w:eastAsia="zh-CN"/>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ind w:firstLine="0" w:firstLineChars="0"/>
        <w:jc w:val="center"/>
        <w:rPr>
          <w:rFonts w:hint="eastAsia"/>
        </w:rPr>
      </w:pPr>
      <w:r>
        <w:br w:type="page"/>
      </w:r>
    </w:p>
    <w:p>
      <w:pPr>
        <w:spacing w:line="480" w:lineRule="auto"/>
      </w:pPr>
      <w:r>
        <w:rPr>
          <w:rFonts w:hint="eastAsia"/>
          <w:lang w:val="en-US" w:eastAsia="zh-CN"/>
        </w:rPr>
        <w:t>委托方（</w:t>
      </w:r>
      <w:r>
        <w:rPr>
          <w:rFonts w:hint="eastAsia"/>
        </w:rPr>
        <w:t>甲方</w:t>
      </w:r>
      <w:r>
        <w:rPr>
          <w:rFonts w:hint="eastAsia"/>
          <w:lang w:val="en-US" w:eastAsia="zh-CN"/>
        </w:rPr>
        <w:t>）</w:t>
      </w:r>
      <w:r>
        <w:rPr>
          <w:rFonts w:hint="eastAsia"/>
        </w:rPr>
        <w:t xml:space="preserve">：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6"/>
        </w:numPr>
        <w:ind w:hanging="420"/>
        <w:jc w:val="left"/>
        <w:rPr>
          <w:sz w:val="24"/>
          <w:szCs w:val="24"/>
        </w:rPr>
      </w:pPr>
      <w:bookmarkStart w:id="114" w:name="_Toc150439537"/>
      <w:r>
        <w:rPr>
          <w:rFonts w:hint="eastAsia"/>
          <w:sz w:val="24"/>
          <w:szCs w:val="24"/>
        </w:rPr>
        <w:t>项目内容及概况</w:t>
      </w:r>
      <w:bookmarkEnd w:id="114"/>
      <w:r>
        <w:rPr>
          <w:rFonts w:hint="eastAsia"/>
          <w:sz w:val="24"/>
          <w:szCs w:val="24"/>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1"/>
        <w:gridCol w:w="142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pPr>
            <w:r>
              <w:rPr>
                <w:rFonts w:hint="eastAsia"/>
                <w:sz w:val="24"/>
                <w:szCs w:val="24"/>
              </w:rPr>
              <w:t>名称</w:t>
            </w:r>
          </w:p>
        </w:tc>
        <w:tc>
          <w:tcPr>
            <w:tcW w:w="415" w:type="pct"/>
            <w:noWrap w:val="0"/>
            <w:vAlign w:val="top"/>
          </w:tcPr>
          <w:p>
            <w:pPr>
              <w:jc w:val="left"/>
            </w:pPr>
            <w:r>
              <w:rPr>
                <w:rFonts w:hint="eastAsia"/>
                <w:sz w:val="24"/>
                <w:szCs w:val="24"/>
              </w:rPr>
              <w:t>数量</w:t>
            </w:r>
          </w:p>
        </w:tc>
        <w:tc>
          <w:tcPr>
            <w:tcW w:w="440" w:type="pct"/>
            <w:noWrap w:val="0"/>
            <w:vAlign w:val="top"/>
          </w:tcPr>
          <w:p>
            <w:pPr>
              <w:jc w:val="left"/>
            </w:pPr>
            <w:r>
              <w:rPr>
                <w:rFonts w:hint="eastAsia"/>
                <w:sz w:val="24"/>
                <w:szCs w:val="24"/>
              </w:rPr>
              <w:t>单位</w:t>
            </w:r>
          </w:p>
        </w:tc>
        <w:tc>
          <w:tcPr>
            <w:tcW w:w="833" w:type="pct"/>
            <w:noWrap w:val="0"/>
            <w:vAlign w:val="top"/>
          </w:tcPr>
          <w:p>
            <w:pPr>
              <w:jc w:val="left"/>
            </w:pPr>
            <w:r>
              <w:rPr>
                <w:rFonts w:hint="eastAsia"/>
                <w:sz w:val="24"/>
                <w:szCs w:val="24"/>
              </w:rPr>
              <w:t>单价（元）</w:t>
            </w:r>
          </w:p>
        </w:tc>
        <w:tc>
          <w:tcPr>
            <w:tcW w:w="834" w:type="pct"/>
            <w:noWrap w:val="0"/>
            <w:vAlign w:val="top"/>
          </w:tcPr>
          <w:p>
            <w:pPr>
              <w:jc w:val="left"/>
            </w:pPr>
            <w:r>
              <w:rPr>
                <w:rFonts w:hint="eastAsia"/>
                <w:sz w:val="24"/>
                <w:szCs w:val="24"/>
              </w:rPr>
              <w:t>合计（元）</w:t>
            </w:r>
          </w:p>
        </w:tc>
        <w:tc>
          <w:tcPr>
            <w:tcW w:w="834" w:type="pct"/>
            <w:noWrap w:val="0"/>
            <w:vAlign w:val="top"/>
          </w:tcPr>
          <w:p>
            <w:pPr>
              <w:jc w:val="left"/>
            </w:pPr>
            <w:r>
              <w:rPr>
                <w:rFonts w:hint="eastAsia"/>
                <w:sz w:val="24"/>
                <w:szCs w:val="24"/>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pPr>
          </w:p>
        </w:tc>
        <w:tc>
          <w:tcPr>
            <w:tcW w:w="415" w:type="pct"/>
            <w:noWrap w:val="0"/>
            <w:vAlign w:val="top"/>
          </w:tcPr>
          <w:p>
            <w:pPr>
              <w:jc w:val="left"/>
            </w:pPr>
          </w:p>
        </w:tc>
        <w:tc>
          <w:tcPr>
            <w:tcW w:w="440" w:type="pct"/>
            <w:noWrap w:val="0"/>
            <w:vAlign w:val="top"/>
          </w:tcPr>
          <w:p>
            <w:pPr>
              <w:jc w:val="left"/>
            </w:pPr>
          </w:p>
        </w:tc>
        <w:tc>
          <w:tcPr>
            <w:tcW w:w="833" w:type="pct"/>
            <w:noWrap w:val="0"/>
            <w:vAlign w:val="top"/>
          </w:tcPr>
          <w:p>
            <w:pPr>
              <w:jc w:val="left"/>
            </w:pPr>
          </w:p>
        </w:tc>
        <w:tc>
          <w:tcPr>
            <w:tcW w:w="834" w:type="pct"/>
            <w:noWrap w:val="0"/>
            <w:vAlign w:val="top"/>
          </w:tcPr>
          <w:p>
            <w:pPr>
              <w:jc w:val="left"/>
            </w:pPr>
          </w:p>
        </w:tc>
        <w:tc>
          <w:tcPr>
            <w:tcW w:w="834" w:type="pct"/>
            <w:noWrap w:val="0"/>
            <w:vAlign w:val="top"/>
          </w:tcPr>
          <w:p>
            <w:pPr>
              <w:jc w:val="left"/>
            </w:pPr>
          </w:p>
        </w:tc>
      </w:tr>
      <w:tr>
        <w:tblPrEx>
          <w:tblW w:w="5000" w:type="pct"/>
          <w:tblInd w:w="0" w:type="dxa"/>
          <w:tblCellMar>
            <w:top w:w="0" w:type="dxa"/>
            <w:left w:w="108" w:type="dxa"/>
            <w:bottom w:w="0" w:type="dxa"/>
            <w:right w:w="108" w:type="dxa"/>
          </w:tblCellMar>
        </w:tblPrEx>
        <w:tc>
          <w:tcPr>
            <w:tcW w:w="1644" w:type="pct"/>
            <w:noWrap w:val="0"/>
            <w:vAlign w:val="top"/>
          </w:tcPr>
          <w:p>
            <w:pPr>
              <w:jc w:val="left"/>
            </w:pPr>
          </w:p>
        </w:tc>
        <w:tc>
          <w:tcPr>
            <w:tcW w:w="415" w:type="pct"/>
            <w:noWrap w:val="0"/>
            <w:vAlign w:val="top"/>
          </w:tcPr>
          <w:p>
            <w:pPr>
              <w:jc w:val="left"/>
            </w:pPr>
          </w:p>
        </w:tc>
        <w:tc>
          <w:tcPr>
            <w:tcW w:w="440" w:type="pct"/>
            <w:noWrap w:val="0"/>
            <w:vAlign w:val="top"/>
          </w:tcPr>
          <w:p>
            <w:pPr>
              <w:jc w:val="left"/>
            </w:pPr>
          </w:p>
        </w:tc>
        <w:tc>
          <w:tcPr>
            <w:tcW w:w="833" w:type="pct"/>
            <w:noWrap w:val="0"/>
            <w:vAlign w:val="top"/>
          </w:tcPr>
          <w:p>
            <w:pPr>
              <w:jc w:val="left"/>
            </w:pPr>
          </w:p>
        </w:tc>
        <w:tc>
          <w:tcPr>
            <w:tcW w:w="834" w:type="pct"/>
            <w:noWrap w:val="0"/>
            <w:vAlign w:val="top"/>
          </w:tcPr>
          <w:p>
            <w:pPr>
              <w:jc w:val="left"/>
            </w:pPr>
          </w:p>
        </w:tc>
        <w:tc>
          <w:tcPr>
            <w:tcW w:w="834" w:type="pct"/>
            <w:noWrap w:val="0"/>
            <w:vAlign w:val="top"/>
          </w:tcPr>
          <w:p>
            <w:pPr>
              <w:jc w:val="left"/>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6"/>
        </w:numPr>
        <w:ind w:hanging="420"/>
        <w:jc w:val="left"/>
        <w:rPr>
          <w:rFonts w:hint="eastAsia"/>
          <w:sz w:val="24"/>
          <w:szCs w:val="24"/>
        </w:rPr>
      </w:pPr>
      <w:bookmarkStart w:id="115" w:name="_Toc150434187"/>
      <w:bookmarkEnd w:id="115"/>
      <w:bookmarkStart w:id="116" w:name="_Toc150434283"/>
      <w:bookmarkEnd w:id="116"/>
      <w:bookmarkStart w:id="117" w:name="_Toc150439539"/>
      <w:bookmarkEnd w:id="117"/>
      <w:bookmarkStart w:id="118" w:name="_Toc150439540"/>
      <w:r>
        <w:rPr>
          <w:rFonts w:hint="eastAsia"/>
          <w:sz w:val="24"/>
          <w:szCs w:val="24"/>
        </w:rPr>
        <w:t>项目相关标准</w:t>
      </w:r>
      <w:bookmarkEnd w:id="118"/>
    </w:p>
    <w:p>
      <w:pPr>
        <w:numPr>
          <w:ilvl w:val="0"/>
          <w:numId w:val="7"/>
        </w:numPr>
        <w:ind w:left="0" w:firstLine="480" w:firstLineChars="200"/>
        <w:jc w:val="left"/>
      </w:pPr>
      <w:r>
        <w:rPr>
          <w:rFonts w:hint="eastAsia"/>
          <w:sz w:val="24"/>
          <w:szCs w:val="24"/>
        </w:rPr>
        <w:t>技术标准</w:t>
      </w:r>
    </w:p>
    <w:p>
      <w:pPr>
        <w:numPr>
          <w:ilvl w:val="0"/>
          <w:numId w:val="8"/>
        </w:numPr>
        <w:ind w:left="0" w:firstLine="480" w:firstLineChars="200"/>
        <w:jc w:val="left"/>
      </w:pPr>
      <w:r>
        <w:rPr>
          <w:rFonts w:hint="eastAsia"/>
          <w:sz w:val="24"/>
          <w:szCs w:val="24"/>
        </w:rPr>
        <w:t>国家政策文件</w:t>
      </w:r>
    </w:p>
    <w:p>
      <w:pPr>
        <w:numPr>
          <w:ilvl w:val="1"/>
          <w:numId w:val="7"/>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7"/>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pPr>
      <w:r>
        <w:rPr>
          <w:rFonts w:hint="eastAsia"/>
          <w:sz w:val="24"/>
          <w:szCs w:val="24"/>
        </w:rPr>
        <w:t>省厅政策文件</w:t>
      </w:r>
    </w:p>
    <w:p>
      <w:pPr>
        <w:numPr>
          <w:ilvl w:val="0"/>
          <w:numId w:val="9"/>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9"/>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pPr>
      <w:r>
        <w:rPr>
          <w:rFonts w:hint="eastAsia"/>
          <w:sz w:val="24"/>
          <w:szCs w:val="24"/>
        </w:rPr>
        <w:t>地区政策文件</w:t>
      </w:r>
    </w:p>
    <w:p>
      <w:pPr>
        <w:numPr>
          <w:ilvl w:val="1"/>
          <w:numId w:val="8"/>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8"/>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标准规范</w:t>
      </w:r>
    </w:p>
    <w:p>
      <w:pPr>
        <w:numPr>
          <w:ilvl w:val="0"/>
          <w:numId w:val="10"/>
        </w:numPr>
        <w:ind w:left="0" w:firstLine="480" w:firstLineChars="200"/>
        <w:jc w:val="left"/>
        <w:rPr>
          <w:rFonts w:hint="eastAsia"/>
          <w:u w:val="single"/>
        </w:rPr>
      </w:pPr>
      <w:r>
        <w:rPr>
          <w:rFonts w:hint="eastAsia"/>
          <w:sz w:val="24"/>
          <w:szCs w:val="24"/>
          <w:u w:val="single"/>
        </w:rPr>
        <w:t xml:space="preserve">                     </w:t>
      </w:r>
    </w:p>
    <w:p>
      <w:pPr>
        <w:numPr>
          <w:ilvl w:val="0"/>
          <w:numId w:val="10"/>
        </w:numPr>
        <w:ind w:left="0" w:firstLine="480" w:firstLineChars="200"/>
        <w:jc w:val="left"/>
        <w:rPr>
          <w:rFonts w:hint="eastAsia"/>
          <w:u w:val="single"/>
        </w:rPr>
      </w:pPr>
      <w:r>
        <w:rPr>
          <w:rFonts w:hint="eastAsia"/>
          <w:sz w:val="24"/>
          <w:szCs w:val="24"/>
          <w:u w:val="single"/>
        </w:rPr>
        <w:t xml:space="preserve">                     </w:t>
      </w:r>
    </w:p>
    <w:p>
      <w:pPr>
        <w:numPr>
          <w:ilvl w:val="0"/>
          <w:numId w:val="7"/>
        </w:numPr>
        <w:ind w:left="0" w:firstLine="480" w:firstLineChars="200"/>
        <w:jc w:val="left"/>
      </w:pPr>
      <w:r>
        <w:rPr>
          <w:rFonts w:hint="eastAsia"/>
          <w:sz w:val="24"/>
          <w:szCs w:val="24"/>
        </w:rPr>
        <w:t>国家法律法规</w:t>
      </w:r>
    </w:p>
    <w:p>
      <w:pPr>
        <w:numPr>
          <w:ilvl w:val="0"/>
          <w:numId w:val="11"/>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1"/>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1"/>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7"/>
        </w:numPr>
        <w:ind w:left="0" w:firstLine="480" w:firstLineChars="200"/>
        <w:jc w:val="left"/>
      </w:pPr>
      <w:r>
        <w:rPr>
          <w:rFonts w:hint="eastAsia"/>
          <w:sz w:val="24"/>
          <w:szCs w:val="24"/>
        </w:rPr>
        <w:t>气象部门管理制度</w:t>
      </w:r>
    </w:p>
    <w:p>
      <w:pPr>
        <w:numPr>
          <w:ilvl w:val="0"/>
          <w:numId w:val="12"/>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2"/>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2"/>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2"/>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2"/>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2"/>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2"/>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2"/>
        </w:numPr>
        <w:ind w:left="0" w:firstLine="480" w:firstLineChars="200"/>
        <w:jc w:val="left"/>
        <w:rPr>
          <w:u w:val="single"/>
        </w:rPr>
      </w:pPr>
      <w:r>
        <w:rPr>
          <w:rFonts w:hint="eastAsia"/>
          <w:sz w:val="24"/>
          <w:szCs w:val="24"/>
          <w:u w:val="single"/>
          <w:lang w:val="en-US" w:eastAsia="zh-CN"/>
        </w:rPr>
        <w:t xml:space="preserve">   </w:t>
      </w:r>
      <w:r>
        <w:rPr>
          <w:rFonts w:hint="eastAsia"/>
          <w:sz w:val="24"/>
          <w:szCs w:val="24"/>
          <w:u w:val="single"/>
        </w:rPr>
        <w:t xml:space="preserve">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6"/>
        </w:numPr>
        <w:ind w:hanging="420"/>
        <w:jc w:val="left"/>
        <w:rPr>
          <w:rFonts w:hint="eastAsia"/>
          <w:sz w:val="24"/>
          <w:szCs w:val="24"/>
        </w:rPr>
      </w:pPr>
      <w:bookmarkStart w:id="119" w:name="_Toc150439541"/>
      <w:bookmarkEnd w:id="119"/>
      <w:bookmarkStart w:id="120" w:name="_Toc150439542"/>
      <w:r>
        <w:rPr>
          <w:rFonts w:hint="eastAsia"/>
          <w:sz w:val="24"/>
          <w:szCs w:val="24"/>
        </w:rPr>
        <w:t>组成本合同的文件</w:t>
      </w:r>
      <w:bookmarkEnd w:id="120"/>
    </w:p>
    <w:p>
      <w:pPr>
        <w:numPr>
          <w:ilvl w:val="0"/>
          <w:numId w:val="13"/>
        </w:numPr>
        <w:ind w:left="0" w:firstLine="480" w:firstLineChars="200"/>
        <w:jc w:val="left"/>
        <w:rPr>
          <w:rFonts w:hint="eastAsia"/>
        </w:rPr>
      </w:pPr>
      <w:r>
        <w:rPr>
          <w:rFonts w:hint="eastAsia"/>
          <w:sz w:val="24"/>
          <w:szCs w:val="24"/>
        </w:rPr>
        <w:t>本合同；</w:t>
      </w:r>
    </w:p>
    <w:p>
      <w:pPr>
        <w:numPr>
          <w:ilvl w:val="0"/>
          <w:numId w:val="13"/>
        </w:numPr>
        <w:ind w:left="0" w:firstLine="480" w:firstLineChars="200"/>
        <w:jc w:val="left"/>
      </w:pPr>
      <w:r>
        <w:rPr>
          <w:rFonts w:hint="eastAsia"/>
          <w:sz w:val="24"/>
          <w:szCs w:val="24"/>
        </w:rPr>
        <w:t>中标通知书、招标文件、投标文件等；</w:t>
      </w:r>
    </w:p>
    <w:p>
      <w:pPr>
        <w:numPr>
          <w:ilvl w:val="0"/>
          <w:numId w:val="13"/>
        </w:numPr>
        <w:ind w:left="0" w:firstLine="480" w:firstLineChars="200"/>
        <w:jc w:val="left"/>
      </w:pPr>
      <w:r>
        <w:rPr>
          <w:rFonts w:hint="eastAsia"/>
          <w:sz w:val="24"/>
          <w:szCs w:val="24"/>
        </w:rPr>
        <w:t>与履行本合同有关、经双方依法签字盖章确认后的下列技术文件：</w:t>
      </w:r>
    </w:p>
    <w:p>
      <w:pPr>
        <w:numPr>
          <w:ilvl w:val="0"/>
          <w:numId w:val="14"/>
        </w:numPr>
        <w:ind w:hanging="5"/>
        <w:jc w:val="left"/>
        <w:rPr>
          <w:rFonts w:hint="eastAsia"/>
        </w:rPr>
      </w:pPr>
      <w:r>
        <w:rPr>
          <w:rFonts w:hint="eastAsia"/>
          <w:sz w:val="24"/>
          <w:szCs w:val="24"/>
        </w:rPr>
        <w:t>技术背景资料；</w:t>
      </w:r>
    </w:p>
    <w:p>
      <w:pPr>
        <w:numPr>
          <w:ilvl w:val="0"/>
          <w:numId w:val="14"/>
        </w:numPr>
        <w:ind w:hanging="5"/>
        <w:jc w:val="left"/>
        <w:rPr>
          <w:rFonts w:hint="eastAsia"/>
        </w:rPr>
      </w:pPr>
      <w:r>
        <w:rPr>
          <w:rFonts w:hint="eastAsia"/>
          <w:sz w:val="24"/>
          <w:szCs w:val="24"/>
        </w:rPr>
        <w:t>可行性论证报告；</w:t>
      </w:r>
    </w:p>
    <w:p>
      <w:pPr>
        <w:numPr>
          <w:ilvl w:val="0"/>
          <w:numId w:val="14"/>
        </w:numPr>
        <w:ind w:hanging="5"/>
        <w:jc w:val="left"/>
        <w:rPr>
          <w:rFonts w:hint="eastAsia"/>
        </w:rPr>
      </w:pPr>
      <w:r>
        <w:rPr>
          <w:rFonts w:hint="eastAsia"/>
          <w:sz w:val="24"/>
          <w:szCs w:val="24"/>
        </w:rPr>
        <w:t>技术评价报告；</w:t>
      </w:r>
    </w:p>
    <w:p>
      <w:pPr>
        <w:numPr>
          <w:ilvl w:val="0"/>
          <w:numId w:val="14"/>
        </w:numPr>
        <w:ind w:hanging="5"/>
        <w:jc w:val="left"/>
        <w:rPr>
          <w:rFonts w:hint="eastAsia"/>
        </w:rPr>
      </w:pPr>
      <w:r>
        <w:rPr>
          <w:rFonts w:hint="eastAsia"/>
          <w:sz w:val="24"/>
          <w:szCs w:val="24"/>
        </w:rPr>
        <w:t>技术标准和规范；</w:t>
      </w:r>
    </w:p>
    <w:p>
      <w:pPr>
        <w:numPr>
          <w:ilvl w:val="0"/>
          <w:numId w:val="14"/>
        </w:numPr>
        <w:ind w:hanging="5"/>
        <w:jc w:val="left"/>
        <w:rPr>
          <w:rFonts w:hint="eastAsia"/>
        </w:rPr>
      </w:pPr>
      <w:r>
        <w:rPr>
          <w:sz w:val="24"/>
          <w:szCs w:val="24"/>
        </w:rPr>
        <w:t>……</w:t>
      </w:r>
    </w:p>
    <w:p>
      <w:pPr>
        <w:numPr>
          <w:ilvl w:val="0"/>
          <w:numId w:val="13"/>
        </w:numPr>
        <w:ind w:left="0" w:firstLine="480" w:firstLineChars="200"/>
        <w:jc w:val="left"/>
      </w:pPr>
      <w:r>
        <w:rPr>
          <w:rFonts w:hint="eastAsia"/>
          <w:sz w:val="24"/>
          <w:szCs w:val="24"/>
        </w:rPr>
        <w:t>安全保密承诺书（签字盖章）；</w:t>
      </w:r>
    </w:p>
    <w:p>
      <w:pPr>
        <w:numPr>
          <w:ilvl w:val="0"/>
          <w:numId w:val="13"/>
        </w:numPr>
        <w:ind w:left="0" w:firstLine="480" w:firstLineChars="200"/>
        <w:jc w:val="left"/>
      </w:pPr>
      <w:r>
        <w:rPr>
          <w:rFonts w:hint="eastAsia"/>
          <w:sz w:val="24"/>
          <w:szCs w:val="24"/>
        </w:rPr>
        <w:t>安全保密协议（签字盖章）；</w:t>
      </w:r>
    </w:p>
    <w:p>
      <w:pPr>
        <w:numPr>
          <w:ilvl w:val="0"/>
          <w:numId w:val="13"/>
        </w:numPr>
        <w:ind w:left="0" w:firstLine="480" w:firstLineChars="200"/>
        <w:jc w:val="left"/>
      </w:pPr>
      <w:r>
        <w:rPr>
          <w:rFonts w:hint="eastAsia"/>
          <w:sz w:val="24"/>
          <w:szCs w:val="24"/>
        </w:rPr>
        <w:t>乙方就该项目实施情况接受甲方监督检查的承诺书（签字盖章）；</w:t>
      </w:r>
    </w:p>
    <w:p>
      <w:pPr>
        <w:numPr>
          <w:ilvl w:val="0"/>
          <w:numId w:val="13"/>
        </w:numPr>
        <w:ind w:left="0" w:firstLine="480" w:firstLineChars="200"/>
        <w:jc w:val="left"/>
        <w:rPr>
          <w:rFonts w:hint="eastAsia"/>
        </w:rPr>
      </w:pPr>
      <w:r>
        <w:rPr>
          <w:rFonts w:hint="eastAsia"/>
          <w:sz w:val="24"/>
          <w:szCs w:val="24"/>
        </w:rPr>
        <w:t>统筹集约承诺书（签字盖章）；</w:t>
      </w:r>
    </w:p>
    <w:p>
      <w:pPr>
        <w:numPr>
          <w:ilvl w:val="0"/>
          <w:numId w:val="13"/>
        </w:numPr>
        <w:ind w:left="0"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6"/>
        </w:numPr>
        <w:ind w:hanging="420"/>
        <w:jc w:val="left"/>
        <w:rPr>
          <w:rFonts w:hint="eastAsia"/>
          <w:sz w:val="24"/>
          <w:szCs w:val="24"/>
        </w:rPr>
      </w:pPr>
      <w:bookmarkStart w:id="121" w:name="_Toc150439545"/>
      <w:r>
        <w:rPr>
          <w:rFonts w:hint="eastAsia"/>
          <w:sz w:val="24"/>
          <w:szCs w:val="24"/>
        </w:rPr>
        <w:t>合同履行地点、合同服务期</w:t>
      </w:r>
      <w:bookmarkEnd w:id="121"/>
    </w:p>
    <w:p>
      <w:pPr>
        <w:numPr>
          <w:ilvl w:val="0"/>
          <w:numId w:val="15"/>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5"/>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6"/>
        </w:numPr>
        <w:ind w:hanging="420"/>
        <w:rPr>
          <w:rFonts w:hint="eastAsia"/>
          <w:sz w:val="24"/>
          <w:szCs w:val="24"/>
        </w:rPr>
      </w:pPr>
      <w:bookmarkStart w:id="122" w:name="_Toc150439547"/>
      <w:r>
        <w:rPr>
          <w:rFonts w:hint="eastAsia"/>
          <w:sz w:val="24"/>
          <w:szCs w:val="24"/>
        </w:rPr>
        <w:t>服务范围及内容</w:t>
      </w:r>
      <w:bookmarkEnd w:id="122"/>
    </w:p>
    <w:p>
      <w:pPr>
        <w:ind w:firstLine="480" w:firstLineChars="200"/>
      </w:pPr>
      <w:r>
        <w:rPr>
          <w:rFonts w:hint="eastAsia"/>
          <w:sz w:val="24"/>
          <w:szCs w:val="24"/>
        </w:rPr>
        <w:t>本合同研究开发项目的要求如下：</w:t>
      </w:r>
    </w:p>
    <w:p>
      <w:pPr>
        <w:numPr>
          <w:ilvl w:val="0"/>
          <w:numId w:val="16"/>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16"/>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6"/>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17"/>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个月，自本合同生效之日起算,</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6"/>
        </w:numPr>
        <w:ind w:hanging="420"/>
        <w:rPr>
          <w:rFonts w:hint="eastAsia"/>
          <w:sz w:val="24"/>
          <w:szCs w:val="24"/>
        </w:rPr>
      </w:pPr>
      <w:bookmarkStart w:id="123" w:name="_Toc150424370"/>
      <w:bookmarkEnd w:id="123"/>
      <w:bookmarkStart w:id="124" w:name="_Toc150434291"/>
      <w:bookmarkEnd w:id="124"/>
      <w:bookmarkStart w:id="125" w:name="_Toc150434195"/>
      <w:bookmarkEnd w:id="125"/>
      <w:bookmarkStart w:id="126" w:name="_Toc150439548"/>
      <w:bookmarkEnd w:id="126"/>
      <w:bookmarkStart w:id="127" w:name="_Toc150439549"/>
      <w:r>
        <w:rPr>
          <w:rFonts w:hint="eastAsia"/>
          <w:sz w:val="24"/>
          <w:szCs w:val="24"/>
        </w:rPr>
        <w:t>乙方的权利与义务</w:t>
      </w:r>
      <w:bookmarkEnd w:id="127"/>
    </w:p>
    <w:p>
      <w:pPr>
        <w:numPr>
          <w:ilvl w:val="0"/>
          <w:numId w:val="18"/>
        </w:numPr>
        <w:ind w:left="0" w:firstLine="480" w:firstLineChars="200"/>
        <w:rPr>
          <w:rFonts w:hint="eastAsia"/>
        </w:rPr>
      </w:pPr>
      <w:r>
        <w:rPr>
          <w:rFonts w:hint="eastAsia"/>
          <w:sz w:val="24"/>
          <w:szCs w:val="24"/>
        </w:rPr>
        <w:t>为保证履行合同，乙方承诺以下事项：</w:t>
      </w:r>
    </w:p>
    <w:p>
      <w:pPr>
        <w:numPr>
          <w:ilvl w:val="0"/>
          <w:numId w:val="19"/>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19"/>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19"/>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19"/>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19"/>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19"/>
        </w:numPr>
        <w:ind w:left="0" w:firstLine="480" w:firstLineChars="200"/>
        <w:rPr>
          <w:rFonts w:hint="eastAsia"/>
          <w:u w:val="single"/>
        </w:rPr>
      </w:pPr>
      <w:r>
        <w:rPr>
          <w:rFonts w:hint="eastAsia"/>
          <w:sz w:val="24"/>
          <w:szCs w:val="24"/>
          <w:u w:val="single"/>
        </w:rPr>
        <w:t xml:space="preserve">                                                                     </w:t>
      </w:r>
    </w:p>
    <w:p>
      <w:pPr>
        <w:numPr>
          <w:ilvl w:val="0"/>
          <w:numId w:val="18"/>
        </w:numPr>
        <w:ind w:left="0" w:firstLine="480" w:firstLineChars="200"/>
        <w:rPr>
          <w:rFonts w:hint="eastAsia"/>
        </w:rPr>
      </w:pPr>
      <w:r>
        <w:rPr>
          <w:rFonts w:hint="eastAsia"/>
          <w:sz w:val="24"/>
          <w:szCs w:val="24"/>
        </w:rPr>
        <w:t>对非驻场软件开发，乙方承诺以下事项：</w:t>
      </w:r>
    </w:p>
    <w:p>
      <w:pPr>
        <w:numPr>
          <w:ilvl w:val="0"/>
          <w:numId w:val="20"/>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0"/>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0"/>
        </w:numPr>
        <w:ind w:left="0" w:firstLine="480" w:firstLineChars="200"/>
        <w:rPr>
          <w:rFonts w:hint="eastAsia"/>
          <w:u w:val="single"/>
        </w:rPr>
      </w:pPr>
      <w:r>
        <w:rPr>
          <w:rFonts w:hint="eastAsia"/>
          <w:sz w:val="24"/>
          <w:szCs w:val="24"/>
          <w:u w:val="single"/>
        </w:rPr>
        <w:t xml:space="preserve">不存在规避监管的情形。                                                </w:t>
      </w:r>
    </w:p>
    <w:p>
      <w:pPr>
        <w:numPr>
          <w:ilvl w:val="0"/>
          <w:numId w:val="18"/>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18"/>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1"/>
        </w:numPr>
        <w:ind w:hanging="5"/>
        <w:jc w:val="left"/>
      </w:pPr>
      <w:r>
        <w:rPr>
          <w:rFonts w:hint="eastAsia"/>
          <w:sz w:val="24"/>
          <w:szCs w:val="24"/>
        </w:rPr>
        <w:t>项目功能清单；</w:t>
      </w:r>
    </w:p>
    <w:p>
      <w:pPr>
        <w:numPr>
          <w:ilvl w:val="0"/>
          <w:numId w:val="21"/>
        </w:numPr>
        <w:ind w:hanging="5"/>
        <w:jc w:val="left"/>
        <w:rPr>
          <w:rFonts w:hint="eastAsia"/>
        </w:rPr>
      </w:pPr>
      <w:r>
        <w:rPr>
          <w:rFonts w:hint="eastAsia"/>
          <w:sz w:val="24"/>
          <w:szCs w:val="24"/>
        </w:rPr>
        <w:t>项目实施方案。</w:t>
      </w:r>
    </w:p>
    <w:p>
      <w:pPr>
        <w:numPr>
          <w:ilvl w:val="0"/>
          <w:numId w:val="18"/>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2"/>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2"/>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2"/>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18"/>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18"/>
        </w:numPr>
        <w:ind w:left="0" w:firstLine="480" w:firstLineChars="200"/>
        <w:rPr>
          <w:rFonts w:hint="eastAsia"/>
        </w:rPr>
      </w:pPr>
      <w:r>
        <w:rPr>
          <w:rFonts w:hint="eastAsia"/>
          <w:sz w:val="24"/>
          <w:szCs w:val="24"/>
        </w:rPr>
        <w:t>乙方应接受甲方对本项目执行工作的监督、检查和评价。</w:t>
      </w:r>
    </w:p>
    <w:p>
      <w:pPr>
        <w:numPr>
          <w:ilvl w:val="0"/>
          <w:numId w:val="18"/>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18"/>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8"/>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18"/>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6"/>
        </w:numPr>
        <w:ind w:left="0" w:firstLine="480" w:firstLineChars="200"/>
        <w:rPr>
          <w:sz w:val="24"/>
          <w:szCs w:val="24"/>
        </w:rPr>
      </w:pPr>
      <w:bookmarkStart w:id="128" w:name="_Toc150434293"/>
      <w:bookmarkEnd w:id="128"/>
      <w:bookmarkStart w:id="129" w:name="_Toc150439550"/>
      <w:bookmarkEnd w:id="129"/>
      <w:bookmarkStart w:id="130" w:name="_Toc150434197"/>
      <w:bookmarkEnd w:id="130"/>
      <w:bookmarkStart w:id="131" w:name="_Toc150424372"/>
      <w:bookmarkEnd w:id="131"/>
      <w:bookmarkStart w:id="132" w:name="_Toc150439565"/>
      <w:r>
        <w:rPr>
          <w:rFonts w:hint="eastAsia"/>
          <w:sz w:val="24"/>
          <w:szCs w:val="24"/>
        </w:rPr>
        <w:t>甲方</w:t>
      </w:r>
      <w:r>
        <w:rPr>
          <w:sz w:val="24"/>
          <w:szCs w:val="24"/>
        </w:rPr>
        <w:t>的权利与义务</w:t>
      </w:r>
      <w:bookmarkEnd w:id="132"/>
    </w:p>
    <w:p>
      <w:pPr>
        <w:numPr>
          <w:ilvl w:val="0"/>
          <w:numId w:val="23"/>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4"/>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4"/>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4"/>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3"/>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3"/>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3"/>
        </w:numPr>
        <w:ind w:left="0" w:firstLine="480" w:firstLineChars="200"/>
        <w:rPr>
          <w:spacing w:val="7"/>
        </w:rPr>
      </w:pPr>
      <w:r>
        <w:rPr>
          <w:rFonts w:hint="eastAsia"/>
          <w:sz w:val="24"/>
          <w:szCs w:val="24"/>
        </w:rPr>
        <w:t>甲方必须遵守国家法律法规及气象部门管理制度的要求。</w:t>
      </w:r>
    </w:p>
    <w:p>
      <w:pPr>
        <w:numPr>
          <w:ilvl w:val="0"/>
          <w:numId w:val="23"/>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6"/>
        </w:numPr>
        <w:ind w:left="0" w:firstLine="480" w:firstLineChars="200"/>
        <w:rPr>
          <w:sz w:val="24"/>
          <w:szCs w:val="24"/>
        </w:rPr>
      </w:pPr>
      <w:r>
        <w:rPr>
          <w:rFonts w:hint="eastAsia"/>
          <w:sz w:val="24"/>
          <w:szCs w:val="24"/>
        </w:rPr>
        <w:t>知识产权归属</w:t>
      </w:r>
    </w:p>
    <w:p>
      <w:pPr>
        <w:numPr>
          <w:ilvl w:val="0"/>
          <w:numId w:val="25"/>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5"/>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5"/>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5"/>
        </w:numPr>
        <w:ind w:left="0" w:firstLine="480" w:firstLineChars="200"/>
      </w:pPr>
      <w:r>
        <w:rPr>
          <w:sz w:val="24"/>
          <w:szCs w:val="24"/>
        </w:rPr>
        <w:t>乙方利用研究开发经费所购置与研究开发工作有关的设备、器材、资料等财产，归甲方所有。</w:t>
      </w:r>
    </w:p>
    <w:p>
      <w:pPr>
        <w:numPr>
          <w:ilvl w:val="0"/>
          <w:numId w:val="25"/>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5"/>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5"/>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6"/>
        </w:numPr>
        <w:ind w:left="0" w:firstLine="480" w:firstLineChars="200"/>
        <w:rPr>
          <w:rFonts w:hint="eastAsia"/>
          <w:sz w:val="24"/>
          <w:szCs w:val="24"/>
        </w:rPr>
      </w:pPr>
      <w:r>
        <w:rPr>
          <w:rFonts w:hint="eastAsia"/>
          <w:sz w:val="24"/>
          <w:szCs w:val="24"/>
        </w:rPr>
        <w:t>项目联系人及相关约定</w:t>
      </w:r>
    </w:p>
    <w:p>
      <w:pPr>
        <w:numPr>
          <w:ilvl w:val="0"/>
          <w:numId w:val="26"/>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27"/>
        </w:numPr>
        <w:ind w:hanging="5"/>
        <w:rPr>
          <w:rFonts w:hint="eastAsia"/>
          <w:u w:val="single"/>
        </w:rPr>
      </w:pPr>
      <w:r>
        <w:rPr>
          <w:rFonts w:hint="eastAsia"/>
          <w:sz w:val="24"/>
          <w:szCs w:val="24"/>
          <w:u w:val="single"/>
        </w:rPr>
        <w:t xml:space="preserve">                                                            ；</w:t>
      </w:r>
    </w:p>
    <w:p>
      <w:pPr>
        <w:numPr>
          <w:ilvl w:val="0"/>
          <w:numId w:val="27"/>
        </w:numPr>
        <w:ind w:hanging="5"/>
        <w:rPr>
          <w:rFonts w:hint="eastAsia"/>
          <w:u w:val="single"/>
        </w:rPr>
      </w:pPr>
      <w:r>
        <w:rPr>
          <w:rFonts w:hint="eastAsia"/>
          <w:sz w:val="24"/>
          <w:szCs w:val="24"/>
          <w:u w:val="single"/>
        </w:rPr>
        <w:t xml:space="preserve">                                                            ； </w:t>
      </w:r>
    </w:p>
    <w:p>
      <w:pPr>
        <w:numPr>
          <w:ilvl w:val="0"/>
          <w:numId w:val="27"/>
        </w:numPr>
        <w:ind w:hanging="5"/>
        <w:rPr>
          <w:u w:val="single"/>
        </w:rPr>
      </w:pPr>
      <w:r>
        <w:rPr>
          <w:rFonts w:hint="eastAsia"/>
          <w:sz w:val="24"/>
          <w:szCs w:val="24"/>
          <w:u w:val="single"/>
        </w:rPr>
        <w:t xml:space="preserve">                                                            ；</w:t>
      </w:r>
    </w:p>
    <w:p>
      <w:pPr>
        <w:numPr>
          <w:ilvl w:val="0"/>
          <w:numId w:val="27"/>
        </w:numPr>
        <w:ind w:hanging="5"/>
        <w:rPr>
          <w:rFonts w:hint="eastAsia"/>
          <w:u w:val="single"/>
        </w:rPr>
      </w:pPr>
      <w:r>
        <w:rPr>
          <w:rFonts w:hint="eastAsia"/>
          <w:sz w:val="24"/>
          <w:szCs w:val="24"/>
          <w:u w:val="single"/>
        </w:rPr>
        <w:t xml:space="preserve">                                                            。</w:t>
      </w:r>
    </w:p>
    <w:p>
      <w:pPr>
        <w:numPr>
          <w:ilvl w:val="0"/>
          <w:numId w:val="26"/>
        </w:numPr>
        <w:ind w:left="0" w:firstLine="480" w:firstLineChars="200"/>
        <w:rPr>
          <w:rFonts w:hint="eastAsia"/>
        </w:rPr>
      </w:pPr>
      <w:r>
        <w:rPr>
          <w:rFonts w:hint="eastAsia"/>
          <w:sz w:val="24"/>
          <w:szCs w:val="24"/>
        </w:rPr>
        <w:t>联系人变更约定</w:t>
      </w:r>
    </w:p>
    <w:p>
      <w:pPr>
        <w:numPr>
          <w:ilvl w:val="0"/>
          <w:numId w:val="28"/>
        </w:numPr>
        <w:ind w:left="5" w:firstLine="415"/>
      </w:pPr>
      <w:r>
        <w:rPr>
          <w:sz w:val="24"/>
          <w:szCs w:val="24"/>
        </w:rPr>
        <w:t>一方变更项目联系人的，应当及时以书面形式通知另一方。未及时通知并影响本合同履行或造成损失的，应承担相应的责任。</w:t>
      </w:r>
    </w:p>
    <w:p>
      <w:pPr>
        <w:numPr>
          <w:ilvl w:val="0"/>
          <w:numId w:val="28"/>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28"/>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6"/>
        </w:numPr>
        <w:ind w:left="0" w:firstLine="480" w:firstLineChars="200"/>
        <w:rPr>
          <w:sz w:val="24"/>
          <w:szCs w:val="24"/>
        </w:rPr>
      </w:pPr>
      <w:bookmarkStart w:id="133" w:name="_Toc150439567"/>
      <w:r>
        <w:rPr>
          <w:rFonts w:hint="eastAsia"/>
          <w:sz w:val="24"/>
          <w:szCs w:val="24"/>
        </w:rPr>
        <w:t>项目交付</w:t>
      </w:r>
      <w:bookmarkEnd w:id="133"/>
    </w:p>
    <w:p>
      <w:pPr>
        <w:numPr>
          <w:ilvl w:val="0"/>
          <w:numId w:val="29"/>
        </w:numPr>
        <w:ind w:left="0" w:firstLine="480" w:firstLineChars="200"/>
        <w:rPr>
          <w:rFonts w:hint="eastAsia"/>
        </w:rPr>
      </w:pPr>
      <w:r>
        <w:rPr>
          <w:rFonts w:hint="eastAsia"/>
          <w:sz w:val="24"/>
          <w:szCs w:val="24"/>
        </w:rPr>
        <w:t>乙方应当按以下方式向甲方交付研究开发成果：</w:t>
      </w:r>
    </w:p>
    <w:p>
      <w:pPr>
        <w:numPr>
          <w:ilvl w:val="0"/>
          <w:numId w:val="30"/>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0"/>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0"/>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29"/>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1"/>
        </w:numPr>
        <w:ind w:left="0" w:firstLine="480" w:firstLineChars="200"/>
        <w:rPr>
          <w:rFonts w:hint="eastAsia"/>
        </w:rPr>
      </w:pPr>
      <w:r>
        <w:rPr>
          <w:rFonts w:hint="eastAsia"/>
          <w:sz w:val="24"/>
          <w:szCs w:val="24"/>
        </w:rPr>
        <w:t>确保达到系统正常运行条件和相关技术标准及业务要求；</w:t>
      </w:r>
    </w:p>
    <w:p>
      <w:pPr>
        <w:numPr>
          <w:ilvl w:val="0"/>
          <w:numId w:val="31"/>
        </w:numPr>
        <w:ind w:left="0" w:firstLine="480" w:firstLineChars="200"/>
        <w:rPr>
          <w:rFonts w:hint="eastAsia"/>
        </w:rPr>
      </w:pPr>
      <w:r>
        <w:rPr>
          <w:rFonts w:hint="eastAsia"/>
          <w:sz w:val="24"/>
          <w:szCs w:val="24"/>
        </w:rPr>
        <w:t>系统数据达到规范要求，运行正常；</w:t>
      </w:r>
    </w:p>
    <w:p>
      <w:pPr>
        <w:numPr>
          <w:ilvl w:val="0"/>
          <w:numId w:val="31"/>
        </w:numPr>
        <w:ind w:left="0" w:firstLine="480" w:firstLineChars="200"/>
        <w:rPr>
          <w:rFonts w:hint="eastAsia"/>
        </w:rPr>
      </w:pPr>
      <w:r>
        <w:rPr>
          <w:rFonts w:hint="eastAsia"/>
          <w:sz w:val="24"/>
          <w:szCs w:val="24"/>
        </w:rPr>
        <w:t>系统运行保证安全稳定；</w:t>
      </w:r>
    </w:p>
    <w:p>
      <w:pPr>
        <w:numPr>
          <w:ilvl w:val="0"/>
          <w:numId w:val="31"/>
        </w:numPr>
        <w:ind w:left="0" w:firstLine="480" w:firstLineChars="200"/>
        <w:rPr>
          <w:rFonts w:hint="eastAsia"/>
        </w:rPr>
      </w:pPr>
      <w:r>
        <w:rPr>
          <w:rFonts w:hint="eastAsia"/>
          <w:sz w:val="24"/>
          <w:szCs w:val="24"/>
        </w:rPr>
        <w:t>平台业务运行机制要完整。</w:t>
      </w:r>
    </w:p>
    <w:p>
      <w:pPr>
        <w:numPr>
          <w:ilvl w:val="0"/>
          <w:numId w:val="29"/>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6"/>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2"/>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3"/>
        </w:numPr>
        <w:ind w:hanging="5"/>
        <w:rPr>
          <w:rFonts w:hint="eastAsia"/>
        </w:rPr>
      </w:pPr>
      <w:r>
        <w:rPr>
          <w:rFonts w:hint="eastAsia"/>
          <w:sz w:val="24"/>
          <w:szCs w:val="24"/>
          <w:u w:val="single"/>
        </w:rPr>
        <w:t xml:space="preserve">                                                            </w:t>
      </w:r>
      <w:r>
        <w:rPr>
          <w:rFonts w:hint="eastAsia"/>
          <w:sz w:val="24"/>
          <w:szCs w:val="24"/>
        </w:rPr>
        <w:t>;</w:t>
      </w:r>
    </w:p>
    <w:p>
      <w:pPr>
        <w:numPr>
          <w:ilvl w:val="0"/>
          <w:numId w:val="33"/>
        </w:numPr>
        <w:ind w:hanging="5"/>
        <w:rPr>
          <w:rFonts w:hint="eastAsia"/>
        </w:rPr>
      </w:pPr>
      <w:r>
        <w:rPr>
          <w:rFonts w:hint="eastAsia"/>
          <w:sz w:val="24"/>
          <w:szCs w:val="24"/>
          <w:u w:val="single"/>
        </w:rPr>
        <w:t xml:space="preserve">                                                            </w:t>
      </w:r>
      <w:r>
        <w:rPr>
          <w:rFonts w:hint="eastAsia"/>
          <w:sz w:val="24"/>
          <w:szCs w:val="24"/>
        </w:rPr>
        <w:t>;</w:t>
      </w:r>
    </w:p>
    <w:p>
      <w:pPr>
        <w:numPr>
          <w:ilvl w:val="0"/>
          <w:numId w:val="33"/>
        </w:numPr>
        <w:ind w:hanging="5"/>
        <w:rPr>
          <w:rFonts w:hint="eastAsia"/>
        </w:rPr>
      </w:pPr>
      <w:r>
        <w:rPr>
          <w:rFonts w:hint="eastAsia"/>
          <w:sz w:val="24"/>
          <w:szCs w:val="24"/>
          <w:u w:val="single"/>
        </w:rPr>
        <w:t xml:space="preserve">                                                            </w:t>
      </w:r>
      <w:r>
        <w:rPr>
          <w:rFonts w:hint="eastAsia"/>
          <w:sz w:val="24"/>
          <w:szCs w:val="24"/>
        </w:rPr>
        <w:t>;</w:t>
      </w:r>
    </w:p>
    <w:p>
      <w:pPr>
        <w:numPr>
          <w:ilvl w:val="0"/>
          <w:numId w:val="33"/>
        </w:numPr>
        <w:ind w:hanging="5"/>
        <w:rPr>
          <w:rFonts w:hint="eastAsia"/>
        </w:rPr>
      </w:pPr>
      <w:r>
        <w:rPr>
          <w:rFonts w:hint="eastAsia"/>
          <w:sz w:val="24"/>
          <w:szCs w:val="24"/>
          <w:u w:val="single"/>
        </w:rPr>
        <w:t xml:space="preserve">                                                            。</w:t>
      </w:r>
    </w:p>
    <w:p>
      <w:pPr>
        <w:numPr>
          <w:ilvl w:val="0"/>
          <w:numId w:val="32"/>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2"/>
        </w:numPr>
        <w:tabs>
          <w:tab w:val="left" w:pos="720"/>
        </w:tabs>
        <w:ind w:left="0" w:firstLine="480" w:firstLineChars="200"/>
        <w:rPr>
          <w:rFonts w:hint="eastAsia"/>
        </w:rPr>
      </w:pPr>
      <w:r>
        <w:rPr>
          <w:rFonts w:hint="eastAsia"/>
          <w:sz w:val="24"/>
          <w:szCs w:val="24"/>
        </w:rPr>
        <w:t>履约保证金或履约保函</w:t>
      </w:r>
    </w:p>
    <w:p>
      <w:pPr>
        <w:numPr>
          <w:ilvl w:val="0"/>
          <w:numId w:val="34"/>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4"/>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4"/>
        </w:numPr>
        <w:tabs>
          <w:tab w:val="left" w:pos="720"/>
        </w:tabs>
        <w:ind w:left="0" w:firstLine="420"/>
        <w:rPr>
          <w:rFonts w:hint="eastAsia"/>
        </w:rPr>
      </w:pPr>
      <w:r>
        <w:rPr>
          <w:rFonts w:hint="eastAsia"/>
          <w:sz w:val="24"/>
          <w:szCs w:val="24"/>
        </w:rPr>
        <w:t>履约保证金应用本合同货币。</w:t>
      </w:r>
    </w:p>
    <w:p>
      <w:pPr>
        <w:numPr>
          <w:ilvl w:val="0"/>
          <w:numId w:val="32"/>
        </w:numPr>
        <w:tabs>
          <w:tab w:val="left" w:pos="720"/>
        </w:tabs>
        <w:ind w:left="0" w:firstLine="480" w:firstLineChars="200"/>
      </w:pPr>
      <w:r>
        <w:rPr>
          <w:rFonts w:hint="eastAsia"/>
          <w:sz w:val="24"/>
          <w:szCs w:val="24"/>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甲方开户银行名称、地址和账号为：</w:t>
            </w:r>
          </w:p>
        </w:tc>
        <w:tc>
          <w:tcPr>
            <w:tcW w:w="2500" w:type="pct"/>
            <w:noWrap w:val="0"/>
            <w:vAlign w:val="top"/>
          </w:tcPr>
          <w:p>
            <w:pPr>
              <w:tabs>
                <w:tab w:val="left" w:pos="720"/>
              </w:tabs>
              <w:ind w:firstLine="200"/>
              <w:rPr>
                <w:rFonts w:hint="eastAsia"/>
              </w:rPr>
            </w:pPr>
            <w:r>
              <w:rPr>
                <w:rFonts w:hint="eastAsia"/>
                <w:sz w:val="24"/>
                <w:szCs w:val="24"/>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开户银行：</w:t>
            </w:r>
          </w:p>
        </w:tc>
        <w:tc>
          <w:tcPr>
            <w:tcW w:w="2500" w:type="pct"/>
            <w:noWrap w:val="0"/>
            <w:vAlign w:val="top"/>
          </w:tcPr>
          <w:p>
            <w:pPr>
              <w:tabs>
                <w:tab w:val="left" w:pos="720"/>
              </w:tabs>
              <w:ind w:firstLine="200"/>
              <w:rPr>
                <w:rFonts w:hint="eastAsia"/>
              </w:rPr>
            </w:pPr>
            <w:r>
              <w:rPr>
                <w:rFonts w:hint="eastAsia"/>
                <w:sz w:val="24"/>
                <w:szCs w:val="24"/>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地址：</w:t>
            </w:r>
          </w:p>
        </w:tc>
        <w:tc>
          <w:tcPr>
            <w:tcW w:w="2500" w:type="pct"/>
            <w:noWrap w:val="0"/>
            <w:vAlign w:val="top"/>
          </w:tcPr>
          <w:p>
            <w:pPr>
              <w:tabs>
                <w:tab w:val="left" w:pos="720"/>
              </w:tabs>
              <w:ind w:firstLine="200"/>
              <w:rPr>
                <w:rFonts w:hint="eastAsia"/>
              </w:rPr>
            </w:pPr>
            <w:r>
              <w:rPr>
                <w:rFonts w:hint="eastAsia"/>
                <w:sz w:val="24"/>
                <w:szCs w:val="24"/>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账号：</w:t>
            </w:r>
          </w:p>
        </w:tc>
        <w:tc>
          <w:tcPr>
            <w:tcW w:w="2500" w:type="pct"/>
            <w:noWrap w:val="0"/>
            <w:vAlign w:val="top"/>
          </w:tcPr>
          <w:p>
            <w:pPr>
              <w:tabs>
                <w:tab w:val="left" w:pos="720"/>
              </w:tabs>
              <w:ind w:firstLine="200"/>
              <w:rPr>
                <w:rFonts w:hint="eastAsia"/>
              </w:rPr>
            </w:pPr>
            <w:r>
              <w:rPr>
                <w:rFonts w:hint="eastAsia"/>
                <w:sz w:val="24"/>
                <w:szCs w:val="24"/>
              </w:rPr>
              <w:t>账号：</w:t>
            </w:r>
          </w:p>
        </w:tc>
      </w:tr>
    </w:tbl>
    <w:p>
      <w:pPr>
        <w:numPr>
          <w:ilvl w:val="0"/>
          <w:numId w:val="32"/>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5"/>
        </w:numPr>
        <w:tabs>
          <w:tab w:val="left" w:pos="720"/>
        </w:tabs>
        <w:ind w:left="0" w:firstLine="420"/>
        <w:rPr>
          <w:rFonts w:hint="eastAsia"/>
        </w:rPr>
      </w:pPr>
      <w:r>
        <w:rPr>
          <w:rFonts w:hint="eastAsia"/>
          <w:sz w:val="24"/>
          <w:szCs w:val="24"/>
        </w:rPr>
        <w:t>乙方丧失继续完成本合同的基本条件或能力时；</w:t>
      </w:r>
    </w:p>
    <w:p>
      <w:pPr>
        <w:numPr>
          <w:ilvl w:val="0"/>
          <w:numId w:val="35"/>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5"/>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5"/>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6"/>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6"/>
        </w:numPr>
        <w:ind w:left="0" w:firstLine="480" w:firstLineChars="200"/>
        <w:rPr>
          <w:sz w:val="24"/>
          <w:szCs w:val="24"/>
        </w:rPr>
      </w:pPr>
      <w:bookmarkStart w:id="134" w:name="_Toc150439568"/>
      <w:bookmarkEnd w:id="134"/>
      <w:bookmarkStart w:id="135" w:name="_Toc150434215"/>
      <w:bookmarkEnd w:id="135"/>
      <w:bookmarkStart w:id="136" w:name="_Toc150434311"/>
      <w:bookmarkEnd w:id="136"/>
      <w:bookmarkStart w:id="137" w:name="_Toc150424390"/>
      <w:bookmarkEnd w:id="137"/>
      <w:bookmarkStart w:id="138" w:name="_Toc150439569"/>
      <w:r>
        <w:rPr>
          <w:rFonts w:hint="eastAsia"/>
          <w:sz w:val="24"/>
          <w:szCs w:val="24"/>
        </w:rPr>
        <w:t>项目验收</w:t>
      </w:r>
      <w:bookmarkEnd w:id="138"/>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36"/>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36"/>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36"/>
        </w:numPr>
        <w:ind w:left="0" w:firstLine="420"/>
        <w:rPr>
          <w:rFonts w:hint="eastAsia"/>
          <w:u w:val="single"/>
        </w:rPr>
      </w:pPr>
      <w:r>
        <w:rPr>
          <w:rFonts w:hint="eastAsia"/>
          <w:sz w:val="24"/>
          <w:szCs w:val="24"/>
          <w:u w:val="single"/>
        </w:rPr>
        <w:t xml:space="preserve">全部源代码（电子版）及说明；                                   </w:t>
      </w:r>
    </w:p>
    <w:p>
      <w:pPr>
        <w:numPr>
          <w:ilvl w:val="0"/>
          <w:numId w:val="36"/>
        </w:numPr>
        <w:ind w:left="0" w:firstLine="420"/>
        <w:rPr>
          <w:rFonts w:hint="eastAsia"/>
          <w:u w:val="single"/>
        </w:rPr>
      </w:pPr>
      <w:r>
        <w:rPr>
          <w:rFonts w:hint="eastAsia"/>
          <w:sz w:val="24"/>
          <w:szCs w:val="24"/>
          <w:u w:val="single"/>
        </w:rPr>
        <w:t xml:space="preserve">试运行方案、记录、报告、试运行改进报告                         </w:t>
      </w:r>
    </w:p>
    <w:p>
      <w:pPr>
        <w:numPr>
          <w:ilvl w:val="0"/>
          <w:numId w:val="36"/>
        </w:numPr>
        <w:ind w:left="0" w:firstLine="420"/>
        <w:rPr>
          <w:rFonts w:hint="eastAsia"/>
          <w:u w:val="single"/>
        </w:rPr>
      </w:pPr>
      <w:r>
        <w:rPr>
          <w:rFonts w:hint="eastAsia"/>
          <w:sz w:val="24"/>
          <w:szCs w:val="24"/>
          <w:u w:val="single"/>
        </w:rPr>
        <w:t xml:space="preserve">合同验收文件、开发总结报告、交接清单                           </w:t>
      </w:r>
    </w:p>
    <w:p>
      <w:pPr>
        <w:numPr>
          <w:ilvl w:val="0"/>
          <w:numId w:val="36"/>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6"/>
        </w:numPr>
        <w:ind w:left="0" w:firstLine="480" w:firstLineChars="200"/>
        <w:rPr>
          <w:sz w:val="24"/>
          <w:szCs w:val="24"/>
        </w:rPr>
      </w:pPr>
      <w:bookmarkStart w:id="139" w:name="_Toc150439566"/>
      <w:r>
        <w:rPr>
          <w:rFonts w:hint="eastAsia"/>
          <w:sz w:val="24"/>
          <w:szCs w:val="24"/>
        </w:rPr>
        <w:t>质量保证</w:t>
      </w:r>
      <w:bookmarkEnd w:id="139"/>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37"/>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37"/>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37"/>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37"/>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7"/>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6"/>
        </w:numPr>
        <w:ind w:left="0" w:firstLine="480" w:firstLineChars="200"/>
        <w:rPr>
          <w:sz w:val="24"/>
          <w:szCs w:val="24"/>
        </w:rPr>
      </w:pPr>
      <w:bookmarkStart w:id="140" w:name="_Toc150434250"/>
      <w:bookmarkEnd w:id="140"/>
      <w:bookmarkStart w:id="141" w:name="_Toc150439603"/>
      <w:bookmarkEnd w:id="141"/>
      <w:bookmarkStart w:id="142" w:name="_Toc150434346"/>
      <w:bookmarkEnd w:id="142"/>
      <w:bookmarkStart w:id="143" w:name="_Toc150424425"/>
      <w:bookmarkEnd w:id="143"/>
      <w:bookmarkStart w:id="144" w:name="_Toc150439612"/>
      <w:r>
        <w:rPr>
          <w:rFonts w:hint="eastAsia"/>
          <w:sz w:val="24"/>
          <w:szCs w:val="24"/>
        </w:rPr>
        <w:t>保密条款（保密协议）</w:t>
      </w:r>
      <w:bookmarkEnd w:id="144"/>
    </w:p>
    <w:p>
      <w:pPr>
        <w:ind w:firstLine="480" w:firstLineChars="200"/>
        <w:rPr>
          <w:rFonts w:hint="eastAsia"/>
        </w:rPr>
      </w:pPr>
      <w:r>
        <w:rPr>
          <w:rFonts w:hint="eastAsia"/>
          <w:sz w:val="24"/>
          <w:szCs w:val="24"/>
        </w:rPr>
        <w:t>甲方因履行本合同应遵守的保密义务如下：</w:t>
      </w:r>
    </w:p>
    <w:p>
      <w:pPr>
        <w:numPr>
          <w:ilvl w:val="0"/>
          <w:numId w:val="38"/>
        </w:numPr>
        <w:ind w:left="0" w:firstLine="480" w:firstLineChars="200"/>
        <w:rPr>
          <w:rFonts w:hint="eastAsia"/>
        </w:rPr>
      </w:pPr>
      <w:bookmarkStart w:id="145"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38"/>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38"/>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38"/>
        </w:numPr>
        <w:ind w:left="0" w:firstLine="480" w:firstLineChars="200"/>
        <w:rPr>
          <w:rFonts w:hint="eastAsia"/>
        </w:rPr>
      </w:pPr>
      <w:r>
        <w:rPr>
          <w:rFonts w:hint="eastAsia"/>
          <w:sz w:val="24"/>
          <w:szCs w:val="24"/>
        </w:rPr>
        <w:t>泄密责任：</w:t>
      </w:r>
      <w:r>
        <w:rPr>
          <w:rFonts w:hint="eastAsia"/>
          <w:sz w:val="24"/>
          <w:szCs w:val="24"/>
          <w:u w:val="single"/>
        </w:rPr>
        <w:t xml:space="preserve">                                                 。</w:t>
      </w:r>
    </w:p>
    <w:bookmarkEnd w:id="145"/>
    <w:p>
      <w:pPr>
        <w:ind w:firstLine="480" w:firstLineChars="200"/>
      </w:pPr>
      <w:r>
        <w:rPr>
          <w:rFonts w:hint="eastAsia"/>
          <w:sz w:val="24"/>
          <w:szCs w:val="24"/>
        </w:rPr>
        <w:t>乙方因履行本合同应遵守的保密义务如下：</w:t>
      </w:r>
    </w:p>
    <w:p>
      <w:pPr>
        <w:numPr>
          <w:ilvl w:val="0"/>
          <w:numId w:val="39"/>
        </w:numPr>
        <w:ind w:left="0" w:firstLine="480" w:firstLineChars="200"/>
        <w:rPr>
          <w:rFonts w:hint="eastAsia"/>
        </w:rPr>
      </w:pPr>
      <w:r>
        <w:rPr>
          <w:rFonts w:hint="eastAsia"/>
          <w:sz w:val="24"/>
          <w:szCs w:val="24"/>
        </w:rPr>
        <w:t>保密内容（包括技术信息和经营信息）：</w:t>
      </w:r>
    </w:p>
    <w:p>
      <w:pPr>
        <w:numPr>
          <w:ilvl w:val="0"/>
          <w:numId w:val="40"/>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0"/>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0"/>
        </w:numPr>
        <w:ind w:left="0" w:firstLine="420"/>
        <w:rPr>
          <w:u w:val="single"/>
        </w:rPr>
      </w:pPr>
      <w:r>
        <w:rPr>
          <w:rFonts w:hint="eastAsia"/>
          <w:sz w:val="24"/>
          <w:szCs w:val="24"/>
          <w:u w:val="single"/>
        </w:rPr>
        <w:t xml:space="preserve">涉及国家秘密和安全的 ，依照有关保密规定执行。                          </w:t>
      </w:r>
    </w:p>
    <w:p>
      <w:pPr>
        <w:numPr>
          <w:ilvl w:val="0"/>
          <w:numId w:val="39"/>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39"/>
        </w:numPr>
        <w:ind w:left="0" w:firstLine="480" w:firstLineChars="200"/>
        <w:rPr>
          <w:rFonts w:hint="eastAsia"/>
        </w:rPr>
      </w:pPr>
      <w:r>
        <w:rPr>
          <w:rFonts w:hint="eastAsia"/>
          <w:sz w:val="24"/>
          <w:szCs w:val="24"/>
        </w:rPr>
        <w:t>保密期限：</w:t>
      </w:r>
      <w:bookmarkStart w:id="146" w:name="_Hlk150343509"/>
      <w:r>
        <w:rPr>
          <w:rFonts w:hint="eastAsia"/>
          <w:sz w:val="24"/>
          <w:szCs w:val="24"/>
          <w:u w:val="single"/>
        </w:rPr>
        <w:t xml:space="preserve">      本条规定持续有效，不因本合同终止或解除而失效  </w:t>
      </w:r>
      <w:bookmarkEnd w:id="146"/>
    </w:p>
    <w:p>
      <w:pPr>
        <w:numPr>
          <w:ilvl w:val="0"/>
          <w:numId w:val="39"/>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6"/>
        </w:numPr>
        <w:ind w:left="0" w:firstLine="480" w:firstLineChars="200"/>
        <w:rPr>
          <w:sz w:val="24"/>
          <w:szCs w:val="24"/>
        </w:rPr>
      </w:pPr>
      <w:bookmarkStart w:id="147" w:name="_Toc150439618"/>
      <w:r>
        <w:rPr>
          <w:rFonts w:hint="eastAsia"/>
          <w:sz w:val="24"/>
          <w:szCs w:val="24"/>
        </w:rPr>
        <w:t>违约</w:t>
      </w:r>
      <w:r>
        <w:rPr>
          <w:sz w:val="24"/>
          <w:szCs w:val="24"/>
        </w:rPr>
        <w:t>责任及赔偿</w:t>
      </w:r>
      <w:bookmarkEnd w:id="147"/>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1"/>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1"/>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1"/>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1"/>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1"/>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1"/>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1"/>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1"/>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6"/>
        </w:numPr>
        <w:ind w:left="0" w:firstLine="480" w:firstLineChars="200"/>
        <w:rPr>
          <w:sz w:val="24"/>
          <w:szCs w:val="24"/>
        </w:rPr>
      </w:pPr>
      <w:bookmarkStart w:id="148" w:name="_Toc150439619"/>
      <w:r>
        <w:rPr>
          <w:rFonts w:hint="eastAsia"/>
          <w:sz w:val="24"/>
          <w:szCs w:val="24"/>
        </w:rPr>
        <w:t>争议的解决</w:t>
      </w:r>
      <w:bookmarkEnd w:id="148"/>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6"/>
        </w:numPr>
        <w:ind w:left="0" w:firstLine="0"/>
        <w:rPr>
          <w:sz w:val="24"/>
          <w:szCs w:val="24"/>
        </w:rPr>
      </w:pPr>
      <w:bookmarkStart w:id="149" w:name="_Toc150439621"/>
      <w:r>
        <w:rPr>
          <w:rFonts w:hint="eastAsia"/>
          <w:sz w:val="24"/>
          <w:szCs w:val="24"/>
        </w:rPr>
        <w:t>不可抗力</w:t>
      </w:r>
      <w:bookmarkEnd w:id="149"/>
    </w:p>
    <w:p>
      <w:pPr>
        <w:numPr>
          <w:ilvl w:val="0"/>
          <w:numId w:val="42"/>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3"/>
        </w:numPr>
        <w:ind w:hanging="5"/>
        <w:rPr>
          <w:rFonts w:hint="eastAsia"/>
        </w:rPr>
      </w:pPr>
      <w:r>
        <w:rPr>
          <w:rFonts w:hint="eastAsia"/>
          <w:sz w:val="24"/>
          <w:szCs w:val="24"/>
        </w:rPr>
        <w:t>本合同项目在现有技术水平条件下具有足够的难度；</w:t>
      </w:r>
    </w:p>
    <w:p>
      <w:pPr>
        <w:numPr>
          <w:ilvl w:val="0"/>
          <w:numId w:val="43"/>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2"/>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2"/>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4"/>
        </w:numPr>
        <w:ind w:hanging="5"/>
        <w:rPr>
          <w:rFonts w:hint="eastAsia"/>
        </w:rPr>
      </w:pPr>
      <w:r>
        <w:rPr>
          <w:rFonts w:hint="eastAsia"/>
          <w:sz w:val="24"/>
          <w:szCs w:val="24"/>
        </w:rPr>
        <w:t>因发生不可抗力或技术风险；</w:t>
      </w:r>
    </w:p>
    <w:p>
      <w:pPr>
        <w:numPr>
          <w:ilvl w:val="0"/>
          <w:numId w:val="44"/>
        </w:numPr>
        <w:ind w:hanging="5"/>
        <w:rPr>
          <w:rFonts w:hint="eastAsia"/>
        </w:rPr>
      </w:pPr>
      <w:r>
        <w:rPr>
          <w:rFonts w:hint="eastAsia"/>
          <w:sz w:val="24"/>
          <w:szCs w:val="24"/>
        </w:rPr>
        <w:t>因一方未按约定履行合同义务支付款项的；</w:t>
      </w:r>
    </w:p>
    <w:p>
      <w:pPr>
        <w:numPr>
          <w:ilvl w:val="0"/>
          <w:numId w:val="44"/>
        </w:numPr>
        <w:ind w:hanging="5"/>
        <w:rPr>
          <w:rFonts w:hint="eastAsia"/>
        </w:rPr>
      </w:pPr>
      <w:r>
        <w:rPr>
          <w:rFonts w:hint="eastAsia"/>
          <w:sz w:val="24"/>
          <w:szCs w:val="24"/>
        </w:rPr>
        <w:t>因一方未按期完成合同约定的项目开发任务。</w:t>
      </w:r>
    </w:p>
    <w:p>
      <w:pPr>
        <w:pStyle w:val="Heading2"/>
        <w:numPr>
          <w:ilvl w:val="0"/>
          <w:numId w:val="6"/>
        </w:numPr>
        <w:ind w:left="0" w:firstLine="480" w:firstLineChars="200"/>
        <w:rPr>
          <w:rFonts w:hint="eastAsia"/>
          <w:sz w:val="24"/>
          <w:szCs w:val="24"/>
        </w:rPr>
      </w:pPr>
      <w:bookmarkStart w:id="150" w:name="_Toc150439624"/>
      <w:r>
        <w:rPr>
          <w:rFonts w:hint="eastAsia"/>
          <w:sz w:val="24"/>
          <w:szCs w:val="24"/>
        </w:rPr>
        <w:t>本合同的变更</w:t>
      </w:r>
      <w:bookmarkEnd w:id="150"/>
    </w:p>
    <w:p>
      <w:pPr>
        <w:numPr>
          <w:ilvl w:val="0"/>
          <w:numId w:val="45"/>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5"/>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6"/>
        </w:numPr>
        <w:ind w:left="0" w:firstLine="480" w:firstLineChars="200"/>
        <w:rPr>
          <w:sz w:val="24"/>
          <w:szCs w:val="24"/>
        </w:rPr>
      </w:pPr>
      <w:bookmarkStart w:id="151" w:name="_Toc150434266"/>
      <w:bookmarkEnd w:id="151"/>
      <w:bookmarkStart w:id="152" w:name="_Toc150424441"/>
      <w:bookmarkEnd w:id="152"/>
      <w:bookmarkStart w:id="153" w:name="_Toc150439622"/>
      <w:bookmarkEnd w:id="153"/>
      <w:bookmarkStart w:id="154" w:name="_Toc150434362"/>
      <w:bookmarkEnd w:id="154"/>
      <w:bookmarkStart w:id="155" w:name="_Toc150439623"/>
      <w:r>
        <w:rPr>
          <w:rFonts w:hint="eastAsia"/>
          <w:sz w:val="24"/>
          <w:szCs w:val="24"/>
        </w:rPr>
        <w:t>其它</w:t>
      </w:r>
      <w:bookmarkEnd w:id="155"/>
    </w:p>
    <w:p>
      <w:pPr>
        <w:ind w:left="420" w:leftChars="200"/>
      </w:pPr>
      <w:r>
        <w:rPr>
          <w:rFonts w:hint="eastAsia"/>
          <w:sz w:val="24"/>
          <w:szCs w:val="24"/>
        </w:rPr>
        <w:t>本合同未尽事宜，由双方协商后按有关程序办理，并以书面形式进行确定。</w:t>
      </w:r>
    </w:p>
    <w:p>
      <w:pPr>
        <w:pStyle w:val="Heading2"/>
        <w:numPr>
          <w:ilvl w:val="0"/>
          <w:numId w:val="6"/>
        </w:numPr>
        <w:ind w:left="0" w:firstLine="480" w:firstLineChars="200"/>
        <w:rPr>
          <w:rFonts w:hint="eastAsia"/>
          <w:sz w:val="24"/>
          <w:szCs w:val="24"/>
        </w:rPr>
      </w:pPr>
      <w:bookmarkStart w:id="156" w:name="_Toc150439626"/>
      <w:r>
        <w:rPr>
          <w:rFonts w:hint="eastAsia"/>
          <w:sz w:val="24"/>
          <w:szCs w:val="24"/>
        </w:rPr>
        <w:t>合同生效</w:t>
      </w:r>
      <w:bookmarkEnd w:id="156"/>
    </w:p>
    <w:p>
      <w:pPr>
        <w:numPr>
          <w:ilvl w:val="0"/>
          <w:numId w:val="46"/>
        </w:numPr>
        <w:ind w:left="0" w:firstLine="480" w:firstLineChars="200"/>
      </w:pPr>
      <w:r>
        <w:rPr>
          <w:rFonts w:hint="eastAsia"/>
          <w:sz w:val="24"/>
          <w:szCs w:val="24"/>
        </w:rPr>
        <w:t>本合同经双方法定代表人或授权代表签字并加盖公章之日起生效，至质保期结束终止。</w:t>
      </w:r>
    </w:p>
    <w:p>
      <w:pPr>
        <w:numPr>
          <w:ilvl w:val="0"/>
          <w:numId w:val="46"/>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法定代表人/授权代表：</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法定代表人/授权代表：</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drawing>
          <wp:inline distT="0" distB="0" distL="114300" distR="114300">
            <wp:extent cx="5272405" cy="8616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xmlns:r="http://schemas.openxmlformats.org/officeDocument/2006/relationships" r:embed="rId15"/>
                    <a:stretch>
                      <a:fillRect/>
                    </a:stretch>
                  </pic:blipFill>
                  <pic:spPr>
                    <a:xfrm>
                      <a:off x="0" y="0"/>
                      <a:ext cx="5272405" cy="8616950"/>
                    </a:xfrm>
                    <a:prstGeom prst="rect">
                      <a:avLst/>
                    </a:prstGeom>
                    <a:noFill/>
                    <a:ln>
                      <a:noFill/>
                    </a:ln>
                  </pic:spPr>
                </pic:pic>
              </a:graphicData>
            </a:graphic>
          </wp:inline>
        </w:drawing>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w:t>
      </w:r>
      <w:r>
        <w:rPr>
          <w:rFonts w:hint="eastAsia"/>
          <w:kern w:val="0"/>
          <w:sz w:val="24"/>
          <w:szCs w:val="24"/>
          <w:lang w:val="en-US" w:eastAsia="zh-CN"/>
        </w:rPr>
        <w:t xml:space="preserve">               </w:t>
      </w:r>
      <w:r>
        <w:rPr>
          <w:rFonts w:hint="eastAsia"/>
          <w:kern w:val="0"/>
          <w:sz w:val="24"/>
          <w:szCs w:val="24"/>
        </w:rPr>
        <w:t>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w:t>
      </w:r>
      <w:r>
        <w:rPr>
          <w:rFonts w:hint="eastAsia"/>
          <w:sz w:val="24"/>
          <w:szCs w:val="24"/>
          <w:lang w:val="en-US" w:eastAsia="zh-CN"/>
        </w:rPr>
        <w:t xml:space="preserve"> </w:t>
      </w:r>
      <w:r>
        <w:rPr>
          <w:rFonts w:hint="eastAsia"/>
          <w:sz w:val="24"/>
          <w:szCs w:val="24"/>
        </w:rPr>
        <w:t>（盖章）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57" w:name="_Hlk99802248"/>
    </w:p>
    <w:p>
      <w:pPr>
        <w:jc w:val="center"/>
        <w:rPr>
          <w:rFonts w:hint="eastAsia"/>
          <w:spacing w:val="-16"/>
          <w:sz w:val="44"/>
          <w:szCs w:val="44"/>
        </w:rPr>
      </w:pPr>
      <w:r>
        <w:rPr>
          <w:rFonts w:hint="eastAsia"/>
          <w:spacing w:val="-16"/>
          <w:sz w:val="44"/>
          <w:szCs w:val="44"/>
        </w:rPr>
        <w:t>安全保密承诺书</w:t>
      </w:r>
      <w:bookmarkEnd w:id="157"/>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w:t>
      </w:r>
      <w:r>
        <w:rPr>
          <w:rFonts w:hint="eastAsia"/>
          <w:sz w:val="24"/>
          <w:szCs w:val="24"/>
          <w:lang w:val="en-US" w:eastAsia="zh-CN"/>
        </w:rPr>
        <w:t>印发</w:t>
      </w:r>
      <w:r>
        <w:rPr>
          <w:rFonts w:hint="eastAsia"/>
          <w:sz w:val="24"/>
          <w:szCs w:val="24"/>
        </w:rPr>
        <w:t>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云+端”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sectPr>
          <w:footerReference w:type="default" r:id="rId16"/>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p w:rsidR="00A77B3E"/>
    <w:p>
      <w:pPr>
        <w:spacing w:line="360" w:lineRule="auto"/>
        <w:ind w:firstLine="3066" w:firstLineChars="1460"/>
        <w:jc w:val="left"/>
        <w:rPr>
          <w:b/>
          <w:bCs/>
          <w:szCs w:val="21"/>
          <w:highlight w:val="none"/>
        </w:rPr>
      </w:pPr>
      <w:bookmarkEnd w:id="113"/>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default" r:id="rId19"/>
      <w:headerReference w:type="first" r:id="rId20"/>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Arial Unicode MS">
    <w:altName w:val="宋体"/>
    <w:panose1 w:val="020B0604020202020204"/>
    <w:charset w:val="86"/>
    <w:family w:val="swiss"/>
    <w:pitch w:val="default"/>
    <w:sig w:usb0="00000000" w:usb1="00000000" w:usb2="0000003F" w:usb3="00000000" w:csb0="603F01FF" w:csb1="FFFF0000"/>
  </w:font>
  <w:font w:name="'宋体">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byssinica SIL">
    <w:altName w:val="Segoe Print"/>
    <w:panose1 w:val="00000000000000000000"/>
    <w:charset w:val="00"/>
    <w:family w:val="auto"/>
    <w:pitch w:val="default"/>
    <w:sig w:usb0="00000000" w:usb1="00000000" w:usb2="00000828" w:usb3="00000000" w:csb0="2000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3120"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1" type="#_x0000_t136" style="width:554.05pt;height:33.2pt;margin-top:0;margin-left:0;mso-height-relative:page;mso-position-horizontal:center;mso-position-horizontal-relative:margin;mso-position-vertical:center;mso-position-vertical-relative:margin;mso-width-relative:page;position:absolute;rotation:-45;z-index:-251658240" coordsize="21600,21600" adj="10800" filled="t" fillcolor="silver" stroked="f">
          <v:fill opacity="13107f"/>
          <v:textpath style="font-family:黑体;font-size:36pt;v-same-letter-heights:f;v-text-align:center" trim="t" fitpath="t" xscale="f" string="极端灾害性天气短临预警能力提升工程项目"/>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3" type="#_x0000_t136" style="width:567.75pt;height:51.6pt;margin-top:0;margin-left:0;mso-position-horizontal:center;mso-position-horizontal-relative:margin;mso-position-vertical:center;mso-position-vertical-relative:margin;mso-wrap-style:square;position:absolute;rotation:315;z-index:-251655168" o:allowincell="f" fillcolor="silver" stroked="f">
          <v:fill opacity="0.5"/>
          <v:stroke linestyle="single"/>
          <v:textpath style="font-family:宋体;font-size:8pt" string="中国气象局政府采购中心"/>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4"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2FD97BA9"/>
    <w:multiLevelType w:val="multilevel"/>
    <w:tmpl w:val="2FD97BA9"/>
    <w:lvl w:ilvl="0">
      <w:start w:val="1"/>
      <w:numFmt w:val="decimal"/>
      <w:pStyle w:val="Heading1"/>
      <w:lvlText w:val="%1"/>
      <w:lvlJc w:val="left"/>
      <w:pPr>
        <w:tabs>
          <w:tab w:val="left" w:pos="432"/>
        </w:tabs>
        <w:ind w:left="432" w:hanging="432"/>
      </w:pPr>
      <w:rPr>
        <w:rFonts w:hint="eastAsia"/>
        <w:b/>
        <w:i w:val="0"/>
        <w:sz w:val="28"/>
        <w:szCs w:val="28"/>
      </w:rPr>
    </w:lvl>
    <w:lvl w:ilvl="1">
      <w:start w:val="3"/>
      <w:numFmt w:val="decimal"/>
      <w:lvlText w:val="%1.%2"/>
      <w:lvlJc w:val="left"/>
      <w:pPr>
        <w:tabs>
          <w:tab w:val="left" w:pos="576"/>
        </w:tabs>
        <w:ind w:left="576" w:hanging="576"/>
      </w:pPr>
      <w:rPr>
        <w:rFonts w:hint="eastAsia"/>
        <w:b/>
        <w:i w:val="0"/>
        <w:color w:val="auto"/>
        <w:sz w:val="24"/>
        <w:szCs w:val="24"/>
      </w:rPr>
    </w:lvl>
    <w:lvl w:ilvl="2">
      <w:start w:val="1"/>
      <w:numFmt w:val="decimal"/>
      <w:pStyle w:val="Heading3"/>
      <w:lvlText w:val="%1.%2.%3"/>
      <w:lvlJc w:val="left"/>
      <w:pPr>
        <w:tabs>
          <w:tab w:val="left" w:pos="720"/>
        </w:tabs>
        <w:ind w:left="720" w:hanging="720"/>
      </w:pPr>
      <w:rPr>
        <w:rFonts w:hint="eastAsia"/>
        <w:b/>
        <w:i w:val="0"/>
        <w:sz w:val="24"/>
        <w:szCs w:val="24"/>
      </w:rPr>
    </w:lvl>
    <w:lvl w:ilvl="3">
      <w:start w:val="1"/>
      <w:numFmt w:val="decimal"/>
      <w:pStyle w:val="Heading4"/>
      <w:lvlText w:val="%1.%2.%3.%4"/>
      <w:lvlJc w:val="left"/>
      <w:pPr>
        <w:tabs>
          <w:tab w:val="left" w:pos="864"/>
        </w:tabs>
        <w:ind w:left="864" w:hanging="864"/>
      </w:pPr>
      <w:rPr>
        <w:rFonts w:ascii="Times New Roman" w:hAnsi="Times New Roman" w:cs="Times New Roman" w:hint="eastAsia"/>
        <w:i w:val="0"/>
        <w:iCs w:val="0"/>
        <w:caps w:val="0"/>
        <w:smallCaps w:val="0"/>
        <w:strike w:val="0"/>
        <w:dstrike w:val="0"/>
        <w:vanish w:val="0"/>
        <w:color w:val="000000"/>
        <w:spacing w:val="0"/>
        <w:position w:val="0"/>
        <w:u w:val="none"/>
        <w:vertAlign w:val="baseline"/>
      </w:rPr>
    </w:lvl>
    <w:lvl w:ilvl="4">
      <w:start w:val="1"/>
      <w:numFmt w:val="decimal"/>
      <w:pStyle w:val="Heading5"/>
      <w:lvlText w:val="%1.%2.%3.%4.%5"/>
      <w:lvlJc w:val="left"/>
      <w:pPr>
        <w:tabs>
          <w:tab w:val="left" w:pos="2852"/>
        </w:tabs>
        <w:ind w:left="2852" w:hanging="1008"/>
      </w:pPr>
      <w:rPr>
        <w:rFonts w:hint="eastAsia"/>
        <w:b/>
        <w:i w:val="0"/>
        <w:sz w:val="24"/>
        <w:szCs w:val="24"/>
      </w:rPr>
    </w:lvl>
    <w:lvl w:ilvl="5">
      <w:start w:val="1"/>
      <w:numFmt w:val="decimal"/>
      <w:pStyle w:val="Heading6"/>
      <w:lvlText w:val="%1.%2.%3.%4.%5.%6"/>
      <w:lvlJc w:val="left"/>
      <w:pPr>
        <w:tabs>
          <w:tab w:val="left" w:pos="1152"/>
        </w:tabs>
        <w:ind w:left="1152" w:hanging="1152"/>
      </w:pPr>
      <w:rPr>
        <w:rFonts w:hint="eastAsia"/>
        <w:b w:val="0"/>
        <w:i w:val="0"/>
        <w:sz w:val="24"/>
        <w:szCs w:val="24"/>
      </w:rPr>
    </w:lvl>
    <w:lvl w:ilvl="6">
      <w:start w:val="1"/>
      <w:numFmt w:val="decimal"/>
      <w:pStyle w:val="Heading7"/>
      <w:lvlText w:val="%1.%2.%3.%4.%5.%6.%7"/>
      <w:lvlJc w:val="left"/>
      <w:pPr>
        <w:tabs>
          <w:tab w:val="left" w:pos="1296"/>
        </w:tabs>
        <w:ind w:left="1296" w:hanging="1296"/>
      </w:pPr>
      <w:rPr>
        <w:rFonts w:hint="eastAsia"/>
      </w:rPr>
    </w:lvl>
    <w:lvl w:ilvl="7">
      <w:start w:val="1"/>
      <w:numFmt w:val="decimal"/>
      <w:pStyle w:val="Heading8"/>
      <w:lvlText w:val="%1.%2.%3.%4.%5.%6.%7.%8"/>
      <w:lvlJc w:val="left"/>
      <w:pPr>
        <w:tabs>
          <w:tab w:val="left" w:pos="1440"/>
        </w:tabs>
        <w:ind w:left="1440" w:hanging="1440"/>
      </w:pPr>
      <w:rPr>
        <w:rFonts w:hint="eastAsia"/>
      </w:rPr>
    </w:lvl>
    <w:lvl w:ilvl="8">
      <w:start w:val="1"/>
      <w:numFmt w:val="decimal"/>
      <w:pStyle w:val="Heading9"/>
      <w:lvlText w:val="%1.%2.%3.%4.%5.%6.%7.%8.%9"/>
      <w:lvlJc w:val="left"/>
      <w:pPr>
        <w:tabs>
          <w:tab w:val="left" w:pos="1584"/>
        </w:tabs>
        <w:ind w:left="1584" w:hanging="1584"/>
      </w:pPr>
      <w:rPr>
        <w:rFonts w:hint="eastAsia"/>
      </w:rPr>
    </w:lvl>
  </w:abstractNum>
  <w:abstractNum w:abstractNumId="26">
    <w:nsid w:val="3C55F7E4"/>
    <w:multiLevelType w:val="singleLevel"/>
    <w:tmpl w:val="3C55F7E4"/>
    <w:lvl w:ilvl="0">
      <w:start w:val="1"/>
      <w:numFmt w:val="decimal"/>
      <w:suff w:val="nothing"/>
      <w:lvlText w:val="%1）"/>
      <w:lvlJc w:val="left"/>
    </w:lvl>
  </w:abstractNum>
  <w:abstractNum w:abstractNumId="27">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C7A993F"/>
    <w:multiLevelType w:val="singleLevel"/>
    <w:tmpl w:val="4C7A993F"/>
    <w:lvl w:ilvl="0">
      <w:start w:val="1"/>
      <w:numFmt w:val="decimal"/>
      <w:lvlText w:val="%1)"/>
      <w:lvlJc w:val="left"/>
      <w:pPr>
        <w:ind w:left="425" w:hanging="425"/>
      </w:pPr>
      <w:rPr>
        <w:rFonts w:hint="default"/>
      </w:rPr>
    </w:lvl>
  </w:abstractNum>
  <w:abstractNum w:abstractNumId="31">
    <w:nsid w:val="57FFC18B"/>
    <w:multiLevelType w:val="singleLevel"/>
    <w:tmpl w:val="57FFC18B"/>
    <w:lvl w:ilvl="0">
      <w:start w:val="1"/>
      <w:numFmt w:val="decimal"/>
      <w:lvlText w:val="%1)"/>
      <w:lvlJc w:val="left"/>
      <w:pPr>
        <w:ind w:left="425" w:hanging="425"/>
      </w:pPr>
      <w:rPr>
        <w:rFonts w:hint="default"/>
      </w:rPr>
    </w:lvl>
  </w:abstractNum>
  <w:abstractNum w:abstractNumId="32">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4">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5">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8">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9F8DDAB"/>
    <w:multiLevelType w:val="singleLevel"/>
    <w:tmpl w:val="79F8DDAB"/>
    <w:lvl w:ilvl="0">
      <w:start w:val="1"/>
      <w:numFmt w:val="decimal"/>
      <w:lvlText w:val="%1)"/>
      <w:lvlJc w:val="left"/>
      <w:pPr>
        <w:ind w:left="425" w:hanging="425"/>
      </w:pPr>
      <w:rPr>
        <w:rFonts w:hint="default"/>
      </w:rPr>
    </w:lvl>
  </w:abstractNum>
  <w:abstractNum w:abstractNumId="42">
    <w:nsid w:val="7BF79D3F"/>
    <w:multiLevelType w:val="singleLevel"/>
    <w:tmpl w:val="7BF79D3F"/>
    <w:lvl w:ilvl="0">
      <w:start w:val="1"/>
      <w:numFmt w:val="decimal"/>
      <w:lvlText w:val="%1)"/>
      <w:lvlJc w:val="left"/>
      <w:pPr>
        <w:ind w:left="425" w:hanging="425"/>
      </w:pPr>
      <w:rPr>
        <w:rFonts w:hint="default"/>
      </w:rPr>
    </w:lvl>
  </w:abstractNum>
  <w:abstractNum w:abstractNumId="43">
    <w:nsid w:val="7FAFA353"/>
    <w:multiLevelType w:val="singleLevel"/>
    <w:tmpl w:val="7FAFA353"/>
    <w:lvl w:ilvl="0">
      <w:start w:val="1"/>
      <w:numFmt w:val="decimal"/>
      <w:lvlText w:val="%1)"/>
      <w:lvlJc w:val="left"/>
      <w:pPr>
        <w:ind w:left="425" w:hanging="425"/>
      </w:pPr>
      <w:rPr>
        <w:rFonts w:hint="default"/>
      </w:rPr>
    </w:lvl>
  </w:abstractNum>
  <w:abstractNum w:abstractNumId="44">
    <w:nsid w:val="7FDAC479"/>
    <w:multiLevelType w:val="singleLevel"/>
    <w:tmpl w:val="7FDAC479"/>
    <w:lvl w:ilvl="0">
      <w:start w:val="1"/>
      <w:numFmt w:val="decimal"/>
      <w:lvlText w:val="%1)"/>
      <w:lvlJc w:val="left"/>
      <w:pPr>
        <w:ind w:left="425" w:hanging="425"/>
      </w:pPr>
      <w:rPr>
        <w:rFonts w:hint="default"/>
      </w:rPr>
    </w:lvl>
  </w:abstractNum>
  <w:abstractNum w:abstractNumId="45">
    <w:nsid w:val="7FF73EAD"/>
    <w:multiLevelType w:val="singleLevel"/>
    <w:tmpl w:val="7FF73EAD"/>
    <w:lvl w:ilvl="0">
      <w:start w:val="1"/>
      <w:numFmt w:val="decimal"/>
      <w:lvlText w:val="%1)"/>
      <w:lvlJc w:val="left"/>
      <w:pPr>
        <w:ind w:left="425" w:hanging="425"/>
      </w:pPr>
      <w:rPr>
        <w:rFonts w:hint="default"/>
      </w:rPr>
    </w:lvl>
  </w:abstractNum>
  <w:abstractNum w:abstractNumId="46">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25"/>
  </w:num>
  <w:num w:numId="5">
    <w:abstractNumId w:val="26"/>
  </w:num>
  <w:num w:numId="6">
    <w:abstractNumId w:val="22"/>
  </w:num>
  <w:num w:numId="7">
    <w:abstractNumId w:val="37"/>
  </w:num>
  <w:num w:numId="8">
    <w:abstractNumId w:val="21"/>
  </w:num>
  <w:num w:numId="9">
    <w:abstractNumId w:val="40"/>
  </w:num>
  <w:num w:numId="10">
    <w:abstractNumId w:val="2"/>
  </w:num>
  <w:num w:numId="11">
    <w:abstractNumId w:val="45"/>
  </w:num>
  <w:num w:numId="12">
    <w:abstractNumId w:val="5"/>
  </w:num>
  <w:num w:numId="13">
    <w:abstractNumId w:val="36"/>
  </w:num>
  <w:num w:numId="14">
    <w:abstractNumId w:val="11"/>
  </w:num>
  <w:num w:numId="15">
    <w:abstractNumId w:val="35"/>
  </w:num>
  <w:num w:numId="16">
    <w:abstractNumId w:val="34"/>
  </w:num>
  <w:num w:numId="17">
    <w:abstractNumId w:val="16"/>
  </w:num>
  <w:num w:numId="18">
    <w:abstractNumId w:val="39"/>
  </w:num>
  <w:num w:numId="19">
    <w:abstractNumId w:val="1"/>
  </w:num>
  <w:num w:numId="20">
    <w:abstractNumId w:val="41"/>
  </w:num>
  <w:num w:numId="21">
    <w:abstractNumId w:val="42"/>
  </w:num>
  <w:num w:numId="22">
    <w:abstractNumId w:val="31"/>
  </w:num>
  <w:num w:numId="23">
    <w:abstractNumId w:val="24"/>
  </w:num>
  <w:num w:numId="24">
    <w:abstractNumId w:val="7"/>
  </w:num>
  <w:num w:numId="25">
    <w:abstractNumId w:val="0"/>
  </w:num>
  <w:num w:numId="26">
    <w:abstractNumId w:val="19"/>
  </w:num>
  <w:num w:numId="27">
    <w:abstractNumId w:val="43"/>
  </w:num>
  <w:num w:numId="28">
    <w:abstractNumId w:val="30"/>
  </w:num>
  <w:num w:numId="29">
    <w:abstractNumId w:val="27"/>
  </w:num>
  <w:num w:numId="30">
    <w:abstractNumId w:val="44"/>
  </w:num>
  <w:num w:numId="31">
    <w:abstractNumId w:val="6"/>
  </w:num>
  <w:num w:numId="32">
    <w:abstractNumId w:val="38"/>
  </w:num>
  <w:num w:numId="33">
    <w:abstractNumId w:val="8"/>
  </w:num>
  <w:num w:numId="34">
    <w:abstractNumId w:val="4"/>
  </w:num>
  <w:num w:numId="35">
    <w:abstractNumId w:val="46"/>
  </w:num>
  <w:num w:numId="36">
    <w:abstractNumId w:val="10"/>
  </w:num>
  <w:num w:numId="37">
    <w:abstractNumId w:val="29"/>
  </w:num>
  <w:num w:numId="38">
    <w:abstractNumId w:val="32"/>
  </w:num>
  <w:num w:numId="39">
    <w:abstractNumId w:val="18"/>
  </w:num>
  <w:num w:numId="40">
    <w:abstractNumId w:val="12"/>
  </w:num>
  <w:num w:numId="41">
    <w:abstractNumId w:val="20"/>
  </w:num>
  <w:num w:numId="42">
    <w:abstractNumId w:val="33"/>
  </w:num>
  <w:num w:numId="43">
    <w:abstractNumId w:val="3"/>
  </w:num>
  <w:num w:numId="44">
    <w:abstractNumId w:val="9"/>
  </w:num>
  <w:num w:numId="45">
    <w:abstractNumId w:val="15"/>
  </w:num>
  <w:num w:numId="46">
    <w:abstractNumId w:val="28"/>
  </w:num>
  <w:num w:numId="4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qFormat/>
    <w:pPr>
      <w:keepNext/>
      <w:keepLines/>
      <w:numPr>
        <w:ilvl w:val="4"/>
        <w:numId w:val="4"/>
      </w:numPr>
      <w:spacing w:before="280" w:after="290" w:line="372" w:lineRule="auto"/>
      <w:outlineLvl w:val="4"/>
    </w:pPr>
    <w:rPr>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qFormat/>
    <w:pPr>
      <w:keepNext/>
      <w:keepLines/>
      <w:numPr>
        <w:ilvl w:val="6"/>
        <w:numId w:val="4"/>
      </w:numPr>
      <w:tabs>
        <w:tab w:val="left" w:pos="1429"/>
      </w:tabs>
      <w:spacing w:before="240" w:after="64" w:line="317" w:lineRule="auto"/>
      <w:outlineLvl w:val="6"/>
    </w:pPr>
    <w:rPr>
      <w:b/>
      <w:bCs/>
      <w:sz w:val="24"/>
      <w:szCs w:val="24"/>
    </w:rPr>
  </w:style>
  <w:style w:type="paragraph" w:styleId="Heading8">
    <w:name w:val="heading 8"/>
    <w:basedOn w:val="Normal"/>
    <w:next w:val="Normal"/>
    <w:link w:val="8"/>
    <w:uiPriority w:val="9"/>
    <w:qFormat/>
    <w:pPr>
      <w:keepNext/>
      <w:keepLines/>
      <w:numPr>
        <w:ilvl w:val="7"/>
        <w:numId w:val="4"/>
      </w:numPr>
      <w:tabs>
        <w:tab w:val="left" w:pos="1789"/>
      </w:tabs>
      <w:spacing w:before="240" w:after="64" w:line="317" w:lineRule="auto"/>
      <w:outlineLvl w:val="7"/>
    </w:pPr>
    <w:rPr>
      <w:rFonts w:ascii="Arial" w:eastAsia="黑体" w:hAnsi="Arial"/>
      <w:sz w:val="24"/>
      <w:szCs w:val="24"/>
    </w:rPr>
  </w:style>
  <w:style w:type="paragraph" w:styleId="Heading9">
    <w:name w:val="heading 9"/>
    <w:basedOn w:val="Normal"/>
    <w:next w:val="NormalIndent"/>
    <w:link w:val="9"/>
    <w:uiPriority w:val="9"/>
    <w:qFormat/>
    <w:pPr>
      <w:keepNext/>
      <w:keepLines/>
      <w:numPr>
        <w:ilvl w:val="8"/>
        <w:numId w:val="4"/>
      </w:numPr>
      <w:spacing w:before="240" w:after="64" w:line="317" w:lineRule="auto"/>
      <w:outlineLvl w:val="8"/>
    </w:pPr>
    <w:rPr>
      <w:rFonts w:ascii="Arial" w:eastAsia="黑体" w:hAnsi="Arial"/>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7">
    <w:name w:val="标题 7 字符"/>
    <w:link w:val="Heading7"/>
    <w:uiPriority w:val="9"/>
    <w:qFormat/>
    <w:rPr>
      <w:b/>
      <w:bCs/>
      <w:kern w:val="2"/>
      <w:sz w:val="24"/>
      <w:szCs w:val="24"/>
    </w:rPr>
  </w:style>
  <w:style w:type="character" w:customStyle="1" w:styleId="8">
    <w:name w:val="标题 8 字符"/>
    <w:link w:val="Heading8"/>
    <w:uiPriority w:val="9"/>
    <w:qFormat/>
    <w:rPr>
      <w:rFonts w:ascii="Arial" w:eastAsia="黑体" w:hAnsi="Arial"/>
      <w:kern w:val="2"/>
      <w:sz w:val="24"/>
      <w:szCs w:val="24"/>
    </w:rPr>
  </w:style>
  <w:style w:type="paragraph" w:styleId="NormalIndent">
    <w:name w:val="Normal Indent"/>
    <w:basedOn w:val="Normal"/>
    <w:link w:val="a2"/>
    <w:qFormat/>
    <w:pPr>
      <w:spacing w:line="360" w:lineRule="auto"/>
      <w:ind w:firstLine="420" w:firstLineChars="200"/>
    </w:pPr>
    <w:rPr>
      <w:sz w:val="24"/>
      <w:szCs w:val="24"/>
    </w:rPr>
  </w:style>
  <w:style w:type="character" w:customStyle="1" w:styleId="a2">
    <w:name w:val="正文缩进 字符"/>
    <w:link w:val="NormalIndent"/>
    <w:qFormat/>
    <w:rPr>
      <w:kern w:val="2"/>
      <w:sz w:val="24"/>
      <w:szCs w:val="24"/>
    </w:rPr>
  </w:style>
  <w:style w:type="character" w:customStyle="1" w:styleId="9">
    <w:name w:val="标题 9 字符"/>
    <w:link w:val="Heading9"/>
    <w:uiPriority w:val="9"/>
    <w:qFormat/>
    <w:rPr>
      <w:rFonts w:ascii="Arial" w:eastAsia="黑体" w:hAnsi="Arial"/>
      <w:kern w:val="2"/>
      <w:sz w:val="21"/>
    </w:rPr>
  </w:style>
  <w:style w:type="character" w:customStyle="1" w:styleId="5">
    <w:name w:val="标题 5 字符"/>
    <w:link w:val="Heading5"/>
    <w:qFormat/>
    <w:rPr>
      <w:b/>
      <w:bCs/>
      <w:kern w:val="2"/>
      <w:sz w:val="28"/>
      <w:szCs w:val="28"/>
    </w:rPr>
  </w:style>
  <w:style w:type="paragraph" w:customStyle="1" w:styleId="B">
    <w:name w:val="B表头样式"/>
    <w:next w:val="Normal"/>
    <w:qFormat/>
    <w:pPr>
      <w:jc w:val="center"/>
    </w:pPr>
    <w:rPr>
      <w:rFonts w:ascii="Calibri" w:eastAsia="黑体" w:hAnsi="Calibri" w:cs="Calibri"/>
      <w:b/>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