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首都气象应急调度平台项目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首都气象应急调度平台项目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ZQCD-25371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自签订之日起一年</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2025年11月18日 00:00:00</w:t>
      </w:r>
      <w:bookmarkEnd w:id="27"/>
      <w:r>
        <w:rPr>
          <w:rFonts w:ascii="宋体" w:hint="eastAsia"/>
          <w:szCs w:val="21"/>
          <w:highlight w:val="none"/>
        </w:rPr>
        <w:t>至</w:t>
      </w:r>
      <w:bookmarkStart w:id="28" w:name="项目公告_signUpLastTime"/>
      <w:r>
        <w:rPr>
          <w:rFonts w:ascii="宋体" w:hint="eastAsia"/>
          <w:szCs w:val="21"/>
          <w:highlight w:val="none"/>
        </w:rPr>
        <w:t>2025年11月21日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2025年12月04日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韩丰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010-68408785</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属于软件和信息技术服务业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是，代理服务费：3.3万元。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321.750000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321.750000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1"/>
        <w:gridCol w:w="248"/>
        <w:gridCol w:w="1068"/>
        <w:gridCol w:w="248"/>
        <w:gridCol w:w="728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ISO9000系列或GJB9001C-2017质量管理体系认证；</w:t>
              <w:cr/>
              <w:t>2、投标人具有ISO20000信息技术服务管理体系认证；</w:t>
              <w:cr/>
              <w:t>3、投标人具有ISO27001信息安全管理体系认证；</w:t>
              <w:cr/>
              <w:t>4、投标人具有武器装备科研生产单位保密资格证书二级（含）以上资质得1.5分，</w:t>
              <w:cr/>
              <w:t>以上1-3每有一个证书得0.5分，4有证书得1.5分。满分3分。否则不得分。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1、需提供投标人的合同（必须包括合同首页、金额页、标的页、签字盖章页）复印件并加盖投标人公章。</w:t>
              <w:cr/>
              <w:t>2、合同签署日期为投标截止日前三年内。如合同无签署日期无效。</w:t>
              <w:cr/>
              <w:t>3、合同标的必须包括气象\海洋\环境\水文地理等地球科学领域相关业务平台建设开发。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1份用户满意度证明得3分，最多得6分。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(14)</w:t>
            </w:r>
          </w:p>
        </w:tc>
        <w:tc>
          <w:tcPr/>
          <w:p>
            <w:r>
              <w:t>评审标准：</w:t>
            </w:r>
          </w:p>
          <w:p>
            <w:r>
              <w:t>1、拟派项目负责人具有计算机、电子、软件工程等专业高级职称的得 5 分；具有计算机、电子、软件工程等专业中级技术职称的得 2.5 分。</w:t>
              <w:cr/>
              <w:t>2、拟投入本项目的专门开发服务团队人数在11人及以上，且至少8人具有计算机、电子、软件工程等专业背景，得 9分；人数 8-10人，且至少 6人具有计算机、电子、软件工程等专业背景，得 4分。其他情况不得分。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投标人为事业单位、社会团体，且无社保证明的，附人事部门出具的在职证明，并加盖投标人公章。）。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投标人应提供满足采购需求的培训方案。具体标准评分如下：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三档0.75分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二档0.5分</w:t>
              <w:cr/>
              <w:t>三档0.75分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决策气象服务移动端开发解决方案（主观分）</w:t>
            </w:r>
          </w:p>
        </w:tc>
        <w:tc>
          <w:tcPr/>
          <w:p>
            <w:r>
              <w:t>勾选打分</w:t>
            </w:r>
            <w:r>
              <w:t>(5)</w:t>
            </w:r>
          </w:p>
        </w:tc>
        <w:tc>
          <w:tcPr/>
          <w:p>
            <w:r>
              <w:t>评审标准：</w:t>
            </w:r>
          </w:p>
          <w:p>
            <w:r>
              <w:t>一档0分</w:t>
              <w:cr/>
              <w:t>二档1分</w:t>
              <w:cr/>
              <w:t>三档3分</w:t>
              <w:cr/>
              <w:t>四档5分</w:t>
              <w:cr/>
              <w:cr/>
            </w:r>
          </w:p>
          <w:p>
            <w:r>
              <w:t>评审标准说明：</w:t>
            </w:r>
          </w:p>
          <w:p>
            <w:r>
              <w:t>“决策气象服务移动端”，需覆盖多设备形态。</w:t>
              <w:cr/>
              <w:t>评分标准如下：</w:t>
              <w:cr/>
              <w:t>一档：未提供或不符合要求。</w:t>
              <w:cr/>
              <w:t>二档：提出了移动端的方案，但技术路线不清晰或存在明确缺陷。</w:t>
              <w:cr/>
              <w:t>三档：明确提出了移动端的开发和适配方案。采用跨平台框架进行开发。</w:t>
              <w:cr/>
              <w:t>四档：明确声明移动端均采用原生开发方案。充分阐述了选择原生开发的理由：最佳性能、最流畅动效、一致的系统原生体验等。</w:t>
              <w:cr/>
            </w:r>
          </w:p>
          <w:p/>
        </w:tc>
      </w:tr>
      <w:tr>
        <w:tblPrEx>
          <w:tblW w:w="5000" w:type="pct"/>
          <w:tblCellMar>
            <w:left w:w="108" w:type="dxa"/>
            <w:right w:w="108" w:type="dxa"/>
          </w:tblCellMar>
        </w:tblPrEx>
        <w:tc>
          <w:tcPr/>
          <w:p>
            <w:r>
              <w:t>20</w:t>
            </w:r>
          </w:p>
        </w:tc>
        <w:tc>
          <w:tcPr>
            <w:vMerge/>
          </w:tcPr>
          <w:p>
            <w:r>
              <w:t>技术部分</w:t>
            </w:r>
          </w:p>
        </w:tc>
        <w:tc>
          <w:tcPr/>
          <w:p>
            <w:r>
              <w:t>数字决策支撑平台网页版技术解决方案（主观分</w:t>
            </w:r>
          </w:p>
        </w:tc>
        <w:tc>
          <w:tcPr/>
          <w:p>
            <w:r>
              <w:t>勾选打分</w:t>
            </w:r>
            <w:r>
              <w:t>(5)</w:t>
            </w:r>
          </w:p>
        </w:tc>
        <w:tc>
          <w:tcPr/>
          <w:p>
            <w:r>
              <w:t>评审标准：</w:t>
            </w:r>
          </w:p>
          <w:p>
            <w:r>
              <w:t>一档0分</w:t>
              <w:cr/>
              <w:t>二档1分</w:t>
              <w:cr/>
              <w:t>三档3分</w:t>
              <w:cr/>
              <w:t>四档5分</w:t>
              <w:cr/>
            </w:r>
          </w:p>
          <w:p>
            <w:r>
              <w:t>评审标准说明：</w:t>
            </w:r>
          </w:p>
          <w:p>
            <w:r>
              <w:t>网站技术解决方案，主要从服务端和呈现段的技术方案进行评估。</w:t>
              <w:cr/>
              <w:t>评分标准如下：</w:t>
              <w:cr/>
              <w:t>一档：未提供。</w:t>
              <w:cr/>
              <w:t>二档：提供了基础的、静态化的页面开发方案，但技术栈陈旧或未形成完整应用。</w:t>
              <w:cr/>
              <w:t>三档：采用主流、成熟的前后端技术栈，并实现基础的地图功能集成，明确了后端技术，前后端分离架构，并通过RESTful API进行数据交互。</w:t>
              <w:cr/>
              <w:t>四档：满足三档情况下，基于CME框架接口标准与天擎标准的国省数据应用服务接口（数据检索、数据查询等）组件和CME地图渲染组件。</w:t>
              <w:cr/>
            </w:r>
          </w:p>
          <w:p/>
        </w:tc>
      </w:tr>
      <w:tr>
        <w:tblPrEx>
          <w:tblW w:w="5000" w:type="pct"/>
          <w:tblCellMar>
            <w:left w:w="108" w:type="dxa"/>
            <w:right w:w="108" w:type="dxa"/>
          </w:tblCellMar>
        </w:tblPrEx>
        <w:tc>
          <w:tcPr/>
          <w:p>
            <w:r>
              <w:t>21</w:t>
            </w:r>
          </w:p>
        </w:tc>
        <w:tc>
          <w:tcPr>
            <w:vMerge/>
          </w:tcPr>
          <w:p>
            <w:r>
              <w:t>技术部分</w:t>
            </w:r>
          </w:p>
        </w:tc>
        <w:tc>
          <w:tcPr/>
          <w:p>
            <w:r>
              <w:t>大语言模型智能预报助手解决方案（主观分）</w:t>
            </w:r>
          </w:p>
        </w:tc>
        <w:tc>
          <w:tcPr/>
          <w:p>
            <w:r>
              <w:t>勾选打分</w:t>
            </w:r>
            <w:r>
              <w:t>(5)</w:t>
            </w:r>
          </w:p>
        </w:tc>
        <w:tc>
          <w:tcPr/>
          <w:p>
            <w:r>
              <w:t>评审标准：</w:t>
            </w:r>
          </w:p>
          <w:p>
            <w:r>
              <w:t>一档0分</w:t>
              <w:cr/>
              <w:t>二档1分</w:t>
              <w:cr/>
              <w:t>三档3分</w:t>
              <w:cr/>
              <w:t>四档5分</w:t>
              <w:cr/>
            </w:r>
          </w:p>
          <w:p>
            <w:r>
              <w:t>评审标准说明：</w:t>
            </w:r>
          </w:p>
          <w:p>
            <w:r>
              <w:t>该功能为专业预报员提供基于实时气象数据生成专业的预报文案。</w:t>
              <w:cr/>
              <w:t>评分标准如下：</w:t>
              <w:cr/>
              <w:t>一档：未提供。</w:t>
              <w:cr/>
              <w:t>二档：基于通用大语言模型直接调用，未针对气象领域微调。仅支持单轮文本问答，无法处理专业术语。无数据接入能力，无法关联实时气象数据。</w:t>
              <w:cr/>
              <w:t>三档：基于气象领域数据对模型进行微调支持多轮对话。理解基础气象术语，可生成简单预报文案。对接基础数据接口（如站点观测数据），回答时可引用实时数据。</w:t>
              <w:cr/>
              <w:t>四档：支持专业预报员级对话，基于气象领域数据对模型进行微调支持多轮对话。理解基础气象术语，可生成复杂预报文案。对接基础数据接口，回答时可引用实时数据，并有较好的效果。</w:t>
              <w:cr/>
            </w:r>
          </w:p>
          <w:p/>
        </w:tc>
      </w:tr>
      <w:tr>
        <w:tblPrEx>
          <w:tblW w:w="5000" w:type="pct"/>
          <w:tblCellMar>
            <w:left w:w="108" w:type="dxa"/>
            <w:right w:w="108" w:type="dxa"/>
          </w:tblCellMar>
        </w:tblPrEx>
        <w:tc>
          <w:tcPr/>
          <w:p>
            <w:r>
              <w:t>22</w:t>
            </w:r>
          </w:p>
        </w:tc>
        <w:tc>
          <w:tcPr>
            <w:vMerge/>
          </w:tcPr>
          <w:p>
            <w:r>
              <w:t>技术部分</w:t>
            </w:r>
          </w:p>
        </w:tc>
        <w:tc>
          <w:tcPr/>
          <w:p>
            <w:r>
              <w:t>提供完整设计稿（主观分）</w:t>
            </w:r>
          </w:p>
        </w:tc>
        <w:tc>
          <w:tcPr/>
          <w:p>
            <w:r>
              <w:t>勾选打分</w:t>
            </w:r>
            <w:r>
              <w:t>(5)</w:t>
            </w:r>
          </w:p>
        </w:tc>
        <w:tc>
          <w:tcPr/>
          <w:p>
            <w:r>
              <w:t>评审标准：</w:t>
            </w:r>
          </w:p>
          <w:p>
            <w:r>
              <w:t>一档0分</w:t>
              <w:cr/>
              <w:t>二档1分</w:t>
              <w:cr/>
              <w:t>三档3分</w:t>
              <w:cr/>
              <w:t>四档5分</w:t>
              <w:cr/>
            </w:r>
          </w:p>
          <w:p>
            <w:r>
              <w:t>评审标准说明：</w:t>
            </w:r>
          </w:p>
          <w:p>
            <w:r>
              <w:t>能够提前提供项目设计需求。</w:t>
              <w:cr/>
              <w:t>评分标准如下：</w:t>
              <w:cr/>
              <w:t>一档：未提出。</w:t>
              <w:cr/>
              <w:t>二档：只提供了风格设计稿。</w:t>
              <w:cr/>
              <w:t>三档：提供了部分功能的设计稿。</w:t>
              <w:cr/>
              <w:t>四档：提供项目整体设计方案，并对大部分需求完成功能设计，且带有大多数细节设计。</w:t>
              <w:cr/>
            </w:r>
          </w:p>
          <w:p/>
        </w:tc>
      </w:tr>
      <w:tr>
        <w:tblPrEx>
          <w:tblW w:w="5000" w:type="pct"/>
          <w:tblCellMar>
            <w:left w:w="108" w:type="dxa"/>
            <w:right w:w="108" w:type="dxa"/>
          </w:tblCellMar>
        </w:tblPrEx>
        <w:tc>
          <w:tcPr/>
          <w:p>
            <w:r>
              <w:t>23</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cr/>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24</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25</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adjustRightInd w:val="0"/>
        <w:snapToGrid w:val="0"/>
        <w:ind w:firstLine="602"/>
        <w:jc w:val="center"/>
        <w:outlineLvl w:val="1"/>
        <w:rPr>
          <w:b/>
          <w:sz w:val="30"/>
          <w:szCs w:val="30"/>
        </w:rPr>
      </w:pPr>
      <w:r>
        <w:rPr>
          <w:bCs/>
          <w:szCs w:val="21"/>
          <w:highlight w:val="none"/>
        </w:rPr>
        <w:br w:type="page"/>
      </w:r>
      <w:bookmarkStart w:id="60" w:name="插入_采购需求书"/>
      <w:r>
        <w:rPr>
          <w:rFonts w:hint="eastAsia"/>
          <w:b/>
          <w:sz w:val="30"/>
          <w:szCs w:val="30"/>
        </w:rPr>
        <w:t>第</w:t>
      </w:r>
      <w:r>
        <w:rPr>
          <w:rFonts w:hint="eastAsia"/>
          <w:b/>
          <w:sz w:val="30"/>
          <w:szCs w:val="30"/>
          <w:lang w:eastAsia="zh-CN"/>
        </w:rPr>
        <w:t>七</w:t>
      </w:r>
      <w:r>
        <w:rPr>
          <w:rFonts w:hint="eastAsia"/>
          <w:b/>
          <w:sz w:val="30"/>
          <w:szCs w:val="30"/>
        </w:rPr>
        <w:t>章  采购需求</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pPr>
      <w:r>
        <w:rPr>
          <w:rFonts w:ascii="宋体" w:eastAsia="宋体" w:hAnsi="宋体" w:hint="eastAsia"/>
          <w:w w:val="95"/>
          <w:lang w:val="en-US" w:eastAsia="zh-CN"/>
        </w:rPr>
        <w:t>7</w:t>
      </w:r>
      <w:r>
        <w:rPr>
          <w:rFonts w:ascii="宋体" w:eastAsia="宋体" w:hAnsi="宋体" w:hint="eastAsia"/>
          <w:w w:val="95"/>
        </w:rPr>
        <w:t>.1项目建设内容</w:t>
      </w:r>
    </w:p>
    <w:p>
      <w:pPr>
        <w:widowControl/>
        <w:ind w:firstLine="560"/>
        <w:jc w:val="left"/>
        <w:rPr>
          <w:highlight w:val="none"/>
        </w:rPr>
      </w:pPr>
      <w:r>
        <w:rPr>
          <w:rFonts w:hint="eastAsia"/>
        </w:rPr>
        <w:t>建设数字化、智能化</w:t>
      </w:r>
      <w:r>
        <w:rPr>
          <w:rFonts w:hint="eastAsia"/>
          <w:highlight w:val="none"/>
        </w:rPr>
        <w:t>、场景化的气象决策信息综合分析移动端和</w:t>
      </w:r>
      <w:r>
        <w:rPr>
          <w:highlight w:val="none"/>
        </w:rPr>
        <w:t>Web</w:t>
      </w:r>
      <w:r>
        <w:rPr>
          <w:rFonts w:hint="eastAsia"/>
          <w:highlight w:val="none"/>
        </w:rPr>
        <w:t>应用终端，实现多源气象观测的显示分析、数字化预报预警产品的显示分析、多种预报预警决策产品的综合研判、任意点智网</w:t>
      </w:r>
      <w:r>
        <w:rPr>
          <w:highlight w:val="none"/>
        </w:rPr>
        <w:t>2.0</w:t>
      </w:r>
      <w:r>
        <w:rPr>
          <w:rFonts w:hint="eastAsia"/>
          <w:highlight w:val="none"/>
        </w:rPr>
        <w:t>产品展示和决策服务产品靶向推送等功能。研发分场景的气象决策信息综合分析移动端专业版、智慧版、指挥平板（</w:t>
      </w:r>
      <w:r>
        <w:rPr>
          <w:highlight w:val="none"/>
        </w:rPr>
        <w:t>PAD</w:t>
      </w:r>
      <w:r>
        <w:rPr>
          <w:rFonts w:hint="eastAsia"/>
          <w:highlight w:val="none"/>
        </w:rPr>
        <w:t>）和数字化决策服务支撑平台（Web版），提升面向高级别决策支持、高级别值班调度、部门间信息共享的应急调度信息化支撑能力。</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highlight w:val="none"/>
        </w:rPr>
      </w:pPr>
      <w:r>
        <w:rPr>
          <w:rFonts w:ascii="宋体" w:eastAsia="宋体" w:hAnsi="宋体" w:hint="eastAsia"/>
          <w:w w:val="95"/>
          <w:highlight w:val="none"/>
          <w:lang w:val="en-US" w:eastAsia="zh-CN"/>
        </w:rPr>
        <w:t>7</w:t>
      </w:r>
      <w:r>
        <w:rPr>
          <w:rFonts w:ascii="宋体" w:eastAsia="宋体" w:hAnsi="宋体" w:hint="eastAsia"/>
          <w:w w:val="95"/>
          <w:highlight w:val="none"/>
        </w:rPr>
        <w:t>.2项目建设规模</w:t>
      </w:r>
    </w:p>
    <w:p>
      <w:pPr>
        <w:widowControl/>
        <w:ind w:firstLine="560"/>
        <w:jc w:val="left"/>
      </w:pPr>
      <w:r>
        <w:rPr>
          <w:highlight w:val="none"/>
        </w:rPr>
        <w:t>本项目</w:t>
      </w:r>
      <w:r>
        <w:rPr>
          <w:rFonts w:hint="eastAsia"/>
          <w:highlight w:val="none"/>
        </w:rPr>
        <w:t>研发分场景的气象决策信息综合分析移动端专业版、智慧版、指挥平板（</w:t>
      </w:r>
      <w:r>
        <w:rPr>
          <w:highlight w:val="none"/>
        </w:rPr>
        <w:t>PAD</w:t>
      </w:r>
      <w:r>
        <w:rPr>
          <w:rFonts w:hint="eastAsia"/>
          <w:highlight w:val="none"/>
        </w:rPr>
        <w:t>）和数字化决策服务支撑平台（Web版），提升面向高级别决策支持、高级别值班调度、部门间信息共享的应急调度信息化支撑能力。部分产</w:t>
      </w:r>
      <w:r>
        <w:rPr>
          <w:rFonts w:hint="eastAsia"/>
        </w:rPr>
        <w:t>品</w:t>
      </w:r>
      <w:r>
        <w:t>基于天擎的产品标准化等应用软件部署在国家级基础设施资源池中，纳入气象大数据云平台统一管理，面向全国气象部门提供服务。</w:t>
      </w:r>
      <w:r>
        <w:rPr>
          <w:rFonts w:hint="eastAsia"/>
        </w:rPr>
        <w:t>多个终端应用除了部署在气象内网和互联网环境以外，需要部署在政务内网以及相关安全管控网络环境。</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val="en-US" w:eastAsia="zh-CN"/>
        </w:rPr>
        <w:t>7</w:t>
      </w:r>
      <w:r>
        <w:rPr>
          <w:rFonts w:ascii="宋体" w:eastAsia="宋体" w:hAnsi="宋体" w:hint="eastAsia"/>
          <w:w w:val="95"/>
        </w:rPr>
        <w:t>.3详细技术指标</w:t>
      </w:r>
    </w:p>
    <w:p>
      <w:pPr>
        <w:pStyle w:val="Heading3"/>
        <w:ind w:left="1048"/>
        <w:rPr>
          <w:w w:val="95"/>
        </w:rPr>
      </w:pPr>
      <w:bookmarkStart w:id="61" w:name="_Toc196641727"/>
      <w:bookmarkStart w:id="62" w:name="_Toc139877727"/>
      <w:r>
        <w:rPr>
          <w:rFonts w:hint="eastAsia"/>
          <w:w w:val="95"/>
          <w:lang w:val="en-US" w:eastAsia="zh-CN"/>
        </w:rPr>
        <w:t>7</w:t>
      </w:r>
      <w:r>
        <w:rPr>
          <w:rFonts w:hint="eastAsia"/>
          <w:w w:val="95"/>
        </w:rPr>
        <w:t>.3.1功能概述</w:t>
      </w:r>
      <w:bookmarkEnd w:id="61"/>
      <w:bookmarkEnd w:id="62"/>
    </w:p>
    <w:p>
      <w:pPr>
        <w:widowControl/>
        <w:ind w:firstLine="560"/>
        <w:jc w:val="left"/>
      </w:pPr>
      <w:r>
        <w:rPr>
          <w:rFonts w:hint="eastAsia"/>
        </w:rPr>
        <w:t>项目研发分场景的气象决策信息综合分析移动专业版、智慧版、指挥平板（</w:t>
      </w:r>
      <w:r>
        <w:t>PAD</w:t>
      </w:r>
      <w:r>
        <w:rPr>
          <w:rFonts w:hint="eastAsia"/>
        </w:rPr>
        <w:t>）和数字化决策服务支撑平台（Web版），具体内容如下：</w:t>
      </w:r>
    </w:p>
    <w:p>
      <w:pPr>
        <w:widowControl/>
        <w:ind w:firstLine="560"/>
        <w:jc w:val="left"/>
      </w:pPr>
      <w:r>
        <w:t>App</w:t>
      </w:r>
      <w:r>
        <w:rPr>
          <w:rFonts w:hint="eastAsia"/>
        </w:rPr>
        <w:t>专业版：九宫格版本，面向气象部门决策领导和决策服务人员，支撑气象专业人员的决策气象服务场景。专业版包括全部站点的观测数据、全种类的决策服务产品、多要素的数字化预报预警产品和多要素的智能网格预报。</w:t>
      </w:r>
    </w:p>
    <w:p>
      <w:pPr>
        <w:widowControl/>
        <w:ind w:firstLine="560"/>
        <w:jc w:val="left"/>
      </w:pPr>
      <w:r>
        <w:t>App</w:t>
      </w:r>
      <w:r>
        <w:rPr>
          <w:rFonts w:hint="eastAsia"/>
        </w:rPr>
        <w:t>智慧版：以地图为主界面的智慧版，用户通过</w:t>
      </w:r>
      <w:r>
        <w:t>GIS</w:t>
      </w:r>
      <w:r>
        <w:rPr>
          <w:rFonts w:hint="eastAsia"/>
        </w:rPr>
        <w:t>地图控件检索数据，支撑其他部分的专业决策服务气象信息场景。智慧版包括全国</w:t>
      </w:r>
      <w:r>
        <w:t>2400</w:t>
      </w:r>
      <w:r>
        <w:rPr>
          <w:rFonts w:hint="eastAsia"/>
        </w:rPr>
        <w:t>个国家站的观测数据、基于行业相关和用户所关心的决策服务产品、常规预报要素的数字化预报预警产品和常规预报要素的智能网格预报。</w:t>
      </w:r>
    </w:p>
    <w:p>
      <w:pPr>
        <w:widowControl/>
        <w:ind w:firstLine="560"/>
        <w:jc w:val="left"/>
        <w:rPr>
          <w:highlight w:val="none"/>
        </w:rPr>
      </w:pPr>
      <w:r>
        <w:t>App</w:t>
      </w:r>
      <w:r>
        <w:rPr>
          <w:rFonts w:hint="eastAsia"/>
        </w:rPr>
        <w:t xml:space="preserve"> </w:t>
      </w:r>
      <w:r>
        <w:t>Pad</w:t>
      </w:r>
      <w:r>
        <w:rPr>
          <w:rFonts w:hint="eastAsia"/>
        </w:rPr>
        <w:t>版：结合</w:t>
      </w:r>
      <w:r>
        <w:t>Pad</w:t>
      </w:r>
      <w:r>
        <w:rPr>
          <w:rFonts w:hint="eastAsia"/>
        </w:rPr>
        <w:t>的交互习惯和界面设计风格，开发决策气象服务</w:t>
      </w:r>
      <w:r>
        <w:t>Pad</w:t>
      </w:r>
      <w:r>
        <w:rPr>
          <w:rFonts w:hint="eastAsia"/>
        </w:rPr>
        <w:t>版</w:t>
      </w:r>
      <w:r>
        <w:t>App</w:t>
      </w:r>
      <w:r>
        <w:rPr>
          <w:rFonts w:hint="eastAsia"/>
        </w:rPr>
        <w:t>，支撑气象部门的决策领导现场指挥调度应用场景。以</w:t>
      </w:r>
      <w:r>
        <w:t>GIS</w:t>
      </w:r>
      <w:r>
        <w:rPr>
          <w:rFonts w:hint="eastAsia"/>
        </w:rPr>
        <w:t>结合图表的形式实现数据的显示分析。</w:t>
      </w:r>
      <w:r>
        <w:t>Pad</w:t>
      </w:r>
      <w:r>
        <w:rPr>
          <w:rFonts w:hint="eastAsia"/>
        </w:rPr>
        <w:t>版包括全部站点的观测数据、全种类的决策服务产品、多要素的数字化预报预警产品和多要素的智能网格预报。</w:t>
      </w:r>
    </w:p>
    <w:p>
      <w:pPr>
        <w:widowControl/>
        <w:ind w:firstLine="560"/>
        <w:jc w:val="left"/>
        <w:rPr>
          <w:highlight w:val="none"/>
        </w:rPr>
      </w:pPr>
      <w:bookmarkStart w:id="63" w:name="_Hlk196142984"/>
      <w:r>
        <w:rPr>
          <w:rFonts w:hint="eastAsia"/>
          <w:highlight w:val="none"/>
        </w:rPr>
        <w:t>数字化决策服务支撑平台:面向重要党政机关部门工作人员支撑现场决策</w:t>
      </w:r>
      <w:r>
        <w:rPr>
          <w:highlight w:val="none"/>
        </w:rPr>
        <w:t>辅助</w:t>
      </w:r>
      <w:r>
        <w:rPr>
          <w:rFonts w:hint="eastAsia"/>
          <w:highlight w:val="none"/>
        </w:rPr>
        <w:t>应用场景。基于</w:t>
      </w:r>
      <w:r>
        <w:rPr>
          <w:highlight w:val="none"/>
        </w:rPr>
        <w:t>Web</w:t>
      </w:r>
      <w:r>
        <w:rPr>
          <w:rFonts w:hint="eastAsia"/>
          <w:highlight w:val="none"/>
        </w:rPr>
        <w:t>建设数字化决策服务支撑平台，包括全部站点的观测数据、全种类的决策服务产品、多要素的数字化预报预警产品和多要素的智能网格预报。</w:t>
      </w:r>
    </w:p>
    <w:bookmarkEnd w:id="63"/>
    <w:p>
      <w:pPr>
        <w:pStyle w:val="Heading3"/>
        <w:ind w:left="1048"/>
        <w:rPr>
          <w:w w:val="95"/>
        </w:rPr>
      </w:pPr>
      <w:bookmarkStart w:id="64" w:name="_Toc427659035"/>
      <w:bookmarkEnd w:id="64"/>
      <w:bookmarkStart w:id="65" w:name="_Toc196641728"/>
      <w:bookmarkStart w:id="66" w:name="_Toc139877728"/>
      <w:r>
        <w:rPr>
          <w:rFonts w:hint="eastAsia"/>
          <w:w w:val="95"/>
          <w:lang w:val="en-US" w:eastAsia="zh-CN"/>
        </w:rPr>
        <w:t>7</w:t>
      </w:r>
      <w:r>
        <w:rPr>
          <w:rFonts w:hint="eastAsia"/>
          <w:w w:val="95"/>
        </w:rPr>
        <w:t>.3.2接口</w:t>
      </w:r>
      <w:bookmarkEnd w:id="65"/>
      <w:bookmarkEnd w:id="66"/>
      <w:r>
        <w:rPr>
          <w:rFonts w:hint="eastAsia"/>
          <w:w w:val="95"/>
        </w:rPr>
        <w:t>设计</w:t>
      </w:r>
    </w:p>
    <w:p>
      <w:pPr>
        <w:widowControl/>
        <w:ind w:firstLine="560"/>
        <w:jc w:val="left"/>
      </w:pPr>
      <w:r>
        <w:rPr>
          <w:rFonts w:hint="eastAsia"/>
        </w:rPr>
        <w:t>该子系统接口分为外部接口、内部接口和分发接口。</w:t>
      </w:r>
    </w:p>
    <w:p>
      <w:pPr>
        <w:widowControl/>
        <w:ind w:firstLine="560"/>
        <w:jc w:val="left"/>
      </w:pPr>
      <w:r>
        <w:rPr>
          <w:rFonts w:hint="eastAsia"/>
        </w:rPr>
        <w:t>主要实现与气象大数据云平台中的实时资料库和数据存储系统进行对接。内部接口是子系统各个模块之间的数据交换接口，主要采用数据文件访问接口。分发接口主要用于子系统产品的对外分发。</w:t>
      </w:r>
    </w:p>
    <w:p>
      <w:pPr>
        <w:widowControl/>
        <w:ind w:firstLine="560"/>
        <w:jc w:val="left"/>
      </w:pPr>
      <w:r>
        <w:rPr>
          <w:rFonts w:hint="eastAsia"/>
        </w:rPr>
        <w:t>（</w:t>
      </w:r>
      <w:r>
        <w:t>1</w:t>
      </w:r>
      <w:r>
        <w:rPr>
          <w:rFonts w:hint="eastAsia"/>
        </w:rPr>
        <w:t>）数据接口</w:t>
      </w:r>
    </w:p>
    <w:p>
      <w:pPr>
        <w:widowControl/>
        <w:ind w:firstLine="560"/>
        <w:jc w:val="left"/>
      </w:pPr>
      <w:r>
        <w:rPr>
          <w:rFonts w:hint="eastAsia"/>
        </w:rPr>
        <w:t>该接口是外部接口，负责与气象大数据云平台和产品库等进行数据访问，实现实时资料检索获取功能，该部分数据读取采用现有业务预报系统中读取程序。具体分为以下几类：</w:t>
      </w:r>
    </w:p>
    <w:p>
      <w:pPr>
        <w:widowControl/>
        <w:ind w:firstLine="560"/>
        <w:jc w:val="left"/>
      </w:pPr>
      <w:r>
        <w:rPr>
          <w:rFonts w:hint="eastAsia"/>
        </w:rPr>
        <w:t>（</w:t>
      </w:r>
      <w:r>
        <w:t>2</w:t>
      </w:r>
      <w:r>
        <w:rPr>
          <w:rFonts w:hint="eastAsia"/>
        </w:rPr>
        <w:t>）格点资料接口</w:t>
      </w:r>
    </w:p>
    <w:p>
      <w:pPr>
        <w:widowControl/>
        <w:ind w:firstLine="560"/>
        <w:jc w:val="left"/>
      </w:pPr>
      <w:r>
        <w:rPr>
          <w:rFonts w:hint="eastAsia"/>
        </w:rPr>
        <w:t>该资料采用集约化数据环境支撑的数据</w:t>
      </w:r>
      <w:r>
        <w:t>,</w:t>
      </w:r>
      <w:r>
        <w:rPr>
          <w:rFonts w:hint="eastAsia"/>
        </w:rPr>
        <w:t>接口根据存储格点的格式解析读取数据表中的格点信息。</w:t>
      </w:r>
    </w:p>
    <w:p>
      <w:pPr>
        <w:widowControl/>
        <w:ind w:firstLine="560"/>
        <w:jc w:val="left"/>
      </w:pPr>
      <w:r>
        <w:rPr>
          <w:rFonts w:hint="eastAsia"/>
        </w:rPr>
        <w:t>（</w:t>
      </w:r>
      <w:r>
        <w:t>3</w:t>
      </w:r>
      <w:r>
        <w:rPr>
          <w:rFonts w:hint="eastAsia"/>
        </w:rPr>
        <w:t>）交互符号数据资料接口</w:t>
      </w:r>
    </w:p>
    <w:p>
      <w:pPr>
        <w:widowControl/>
        <w:ind w:firstLine="560"/>
        <w:jc w:val="left"/>
      </w:pPr>
      <w:r>
        <w:rPr>
          <w:rFonts w:hint="eastAsia"/>
        </w:rPr>
        <w:t>交互符号采用</w:t>
      </w:r>
      <w:r>
        <w:t>MICAPS</w:t>
      </w:r>
      <w:r>
        <w:rPr>
          <w:rFonts w:hint="eastAsia"/>
        </w:rPr>
        <w:t>的</w:t>
      </w:r>
      <w:r>
        <w:t>14</w:t>
      </w:r>
      <w:r>
        <w:rPr>
          <w:rFonts w:hint="eastAsia"/>
        </w:rPr>
        <w:t>类编码格式，该格式是一个通用的交互符号存储格式，能够存储各种交互符号。根据符号表可以从数据中读取各种交互符号。</w:t>
      </w:r>
    </w:p>
    <w:p>
      <w:pPr>
        <w:widowControl/>
        <w:ind w:firstLine="560"/>
        <w:jc w:val="left"/>
      </w:pPr>
      <w:r>
        <w:rPr>
          <w:rFonts w:hint="eastAsia"/>
        </w:rPr>
        <w:t>（</w:t>
      </w:r>
      <w:r>
        <w:t>4</w:t>
      </w:r>
      <w:r>
        <w:rPr>
          <w:rFonts w:hint="eastAsia"/>
        </w:rPr>
        <w:t>）数据共享服务接口</w:t>
      </w:r>
    </w:p>
    <w:p>
      <w:pPr>
        <w:widowControl/>
        <w:ind w:firstLine="560"/>
        <w:jc w:val="left"/>
      </w:pPr>
      <w:r>
        <w:rPr>
          <w:rFonts w:hint="eastAsia"/>
        </w:rPr>
        <w:t>该接口为外部接口，负责该子系统输出产品数据与外部数据管理系统的对接，提供产品检验，诊断等的应用层系统的服务。接口模块通过数据传输或拷贝，入库</w:t>
      </w:r>
      <w:r>
        <w:t>API</w:t>
      </w:r>
      <w:r>
        <w:rPr>
          <w:rFonts w:hint="eastAsia"/>
        </w:rPr>
        <w:t>调用等方式进入数据存储共享平台。</w:t>
      </w:r>
    </w:p>
    <w:p>
      <w:pPr>
        <w:widowControl/>
        <w:ind w:firstLine="560"/>
        <w:jc w:val="left"/>
      </w:pPr>
      <w:r>
        <w:rPr>
          <w:rFonts w:hint="eastAsia"/>
        </w:rPr>
        <w:t>（</w:t>
      </w:r>
      <w:r>
        <w:t>5</w:t>
      </w:r>
      <w:r>
        <w:rPr>
          <w:rFonts w:hint="eastAsia"/>
        </w:rPr>
        <w:t>）交互产品接口</w:t>
      </w:r>
    </w:p>
    <w:p>
      <w:pPr>
        <w:widowControl/>
        <w:ind w:firstLine="560"/>
        <w:jc w:val="left"/>
      </w:pPr>
      <w:r>
        <w:rPr>
          <w:rFonts w:hint="eastAsia"/>
        </w:rPr>
        <w:t>该接口为系统框架接口，负责自定义交互工具，实现子系统与框架的交互。接口模块通过注册、继承等方式自定义交互产品。</w:t>
      </w:r>
    </w:p>
    <w:p>
      <w:pPr>
        <w:widowControl/>
        <w:ind w:firstLine="560"/>
        <w:jc w:val="left"/>
      </w:pPr>
      <w:r>
        <w:rPr>
          <w:rFonts w:hint="eastAsia"/>
        </w:rPr>
        <w:t>（</w:t>
      </w:r>
      <w:r>
        <w:t>6</w:t>
      </w:r>
      <w:r>
        <w:rPr>
          <w:rFonts w:hint="eastAsia"/>
        </w:rPr>
        <w:t>）地理信息接口</w:t>
      </w:r>
    </w:p>
    <w:p>
      <w:pPr>
        <w:widowControl/>
        <w:ind w:firstLine="560"/>
        <w:jc w:val="left"/>
      </w:pPr>
      <w:r>
        <w:rPr>
          <w:rFonts w:hint="eastAsia"/>
        </w:rPr>
        <w:t>该接口为内部接口，负责实现地理信息数据与精细化要素资料的区域判定，是为精细化预报产品生成提供区域定位的接口。</w:t>
      </w:r>
    </w:p>
    <w:p>
      <w:pPr>
        <w:widowControl/>
        <w:ind w:firstLine="560"/>
        <w:jc w:val="left"/>
      </w:pPr>
      <w:r>
        <w:rPr>
          <w:rFonts w:hint="eastAsia"/>
        </w:rPr>
        <w:t>（</w:t>
      </w:r>
      <w:r>
        <w:t>7</w:t>
      </w:r>
      <w:r>
        <w:rPr>
          <w:rFonts w:hint="eastAsia"/>
        </w:rPr>
        <w:t>）现有接口的兼容与复用</w:t>
      </w:r>
    </w:p>
    <w:p>
      <w:pPr>
        <w:widowControl/>
        <w:ind w:firstLine="560"/>
        <w:jc w:val="left"/>
        <w:rPr>
          <w:rFonts w:ascii="宋体" w:hAnsi="宋体"/>
        </w:rPr>
      </w:pPr>
      <w:r>
        <w:rPr>
          <w:rFonts w:hint="eastAsia"/>
        </w:rPr>
        <w:t>能够兼容现有接口格式，根据需要对现有接口进行复用，无法复用应沿用现有接口格式规范做到标准规则统一。</w:t>
      </w:r>
    </w:p>
    <w:p>
      <w:pPr>
        <w:pStyle w:val="Heading3"/>
        <w:ind w:left="1048"/>
        <w:rPr>
          <w:w w:val="95"/>
        </w:rPr>
      </w:pPr>
      <w:r>
        <w:rPr>
          <w:rFonts w:hint="eastAsia"/>
          <w:w w:val="95"/>
          <w:lang w:eastAsia="zh-CN"/>
        </w:rPr>
        <w:t>7</w:t>
      </w:r>
      <w:r>
        <w:rPr>
          <w:w w:val="95"/>
        </w:rPr>
        <w:t>.3.3</w:t>
      </w:r>
      <w:bookmarkStart w:id="67" w:name="_Toc139877731"/>
      <w:bookmarkStart w:id="68" w:name="_Toc196641731"/>
      <w:r>
        <w:rPr>
          <w:rFonts w:hint="eastAsia"/>
          <w:w w:val="95"/>
        </w:rPr>
        <w:t>建设功能</w:t>
      </w:r>
      <w:bookmarkEnd w:id="67"/>
      <w:bookmarkEnd w:id="68"/>
    </w:p>
    <w:p>
      <w:pPr>
        <w:widowControl/>
        <w:ind w:firstLine="560"/>
        <w:jc w:val="left"/>
      </w:pPr>
      <w:r>
        <w:rPr>
          <w:rFonts w:hint="eastAsia"/>
        </w:rPr>
        <w:t>（</w:t>
      </w:r>
      <w:r>
        <w:t>1</w:t>
      </w:r>
      <w:r>
        <w:rPr>
          <w:rFonts w:hint="eastAsia"/>
        </w:rPr>
        <w:t>）首都气象服务区域快速定位模块</w:t>
      </w:r>
    </w:p>
    <w:p>
      <w:pPr>
        <w:widowControl/>
        <w:ind w:firstLine="560"/>
        <w:jc w:val="left"/>
      </w:pPr>
      <w:r>
        <w:rPr>
          <w:rFonts w:hint="eastAsia"/>
        </w:rPr>
        <w:t>基于首都高精度矢量地图服务，实现行政边界、标注、主要河流公路等矢量地图服务请求，定制化显示地理信息；支持保障区范围快速定位及锁定功能，实现重点区域、灾害点位以及应急处理范围的快速锁定功能，快速集成锁定区域范围内的地理信息、人口经济信息等</w:t>
      </w:r>
    </w:p>
    <w:p>
      <w:pPr>
        <w:widowControl/>
        <w:ind w:firstLine="560"/>
        <w:jc w:val="left"/>
      </w:pPr>
      <w:r>
        <w:rPr>
          <w:rFonts w:hint="eastAsia"/>
        </w:rPr>
        <w:t>（</w:t>
      </w:r>
      <w:r>
        <w:t>2</w:t>
      </w:r>
      <w:r>
        <w:rPr>
          <w:rFonts w:hint="eastAsia"/>
        </w:rPr>
        <w:t>）首都决策气象基础数据服务模块</w:t>
      </w:r>
    </w:p>
    <w:p>
      <w:pPr>
        <w:widowControl/>
        <w:ind w:firstLine="560"/>
        <w:jc w:val="left"/>
      </w:pPr>
      <w:r>
        <w:rPr>
          <w:rFonts w:hint="eastAsia"/>
        </w:rPr>
        <w:t>基于天擎发布外网基础数据服务，实现降水、气温、大风、环境等自动站要素、雷达卫星等格点产品和各类预报预警产品数据访问服务</w:t>
      </w:r>
    </w:p>
    <w:p>
      <w:pPr>
        <w:widowControl/>
        <w:ind w:firstLine="560"/>
        <w:jc w:val="left"/>
      </w:pPr>
      <w:r>
        <w:rPr>
          <w:rFonts w:hint="eastAsia"/>
        </w:rPr>
        <w:t>（</w:t>
      </w:r>
      <w:r>
        <w:t>3</w:t>
      </w:r>
      <w:r>
        <w:rPr>
          <w:rFonts w:hint="eastAsia"/>
        </w:rPr>
        <w:t>）各类决策服务产品预处理和数据服务模块</w:t>
      </w:r>
    </w:p>
    <w:p>
      <w:pPr>
        <w:widowControl/>
        <w:ind w:firstLine="560"/>
        <w:jc w:val="left"/>
      </w:pPr>
      <w:r>
        <w:rPr>
          <w:rFonts w:hint="eastAsia"/>
        </w:rPr>
        <w:t>实现</w:t>
      </w:r>
      <w:r>
        <w:t>Word</w:t>
      </w:r>
      <w:r>
        <w:rPr>
          <w:rFonts w:hint="eastAsia"/>
        </w:rPr>
        <w:t>，</w:t>
      </w:r>
      <w:r>
        <w:t>PDF</w:t>
      </w:r>
      <w:r>
        <w:rPr>
          <w:rFonts w:hint="eastAsia"/>
        </w:rPr>
        <w:t>，</w:t>
      </w:r>
      <w:r>
        <w:t>XML</w:t>
      </w:r>
      <w:r>
        <w:rPr>
          <w:rFonts w:hint="eastAsia"/>
        </w:rPr>
        <w:t>，服务图片等多种格式的决策服务产品预处理，发布标准的决策产品数据服务。支持包括，预警快报，台风快讯，公报的产品的加工处理。</w:t>
      </w:r>
    </w:p>
    <w:p>
      <w:pPr>
        <w:widowControl/>
        <w:ind w:firstLine="560"/>
        <w:jc w:val="left"/>
      </w:pPr>
      <w:r>
        <w:rPr>
          <w:rFonts w:hint="eastAsia"/>
        </w:rPr>
        <w:t>（</w:t>
      </w:r>
      <w:r>
        <w:t>4</w:t>
      </w:r>
      <w:r>
        <w:rPr>
          <w:rFonts w:hint="eastAsia"/>
        </w:rPr>
        <w:t>）用户分级分类管理模块</w:t>
      </w:r>
    </w:p>
    <w:p>
      <w:pPr>
        <w:widowControl/>
        <w:ind w:firstLine="560"/>
        <w:jc w:val="left"/>
      </w:pPr>
      <w:r>
        <w:rPr>
          <w:rFonts w:hint="eastAsia"/>
        </w:rPr>
        <w:t>对国省用户进行实名化分级分类管理。按用户级别进行分级管理，如决策领导，决策首席等。按用户所属行业进行分类管理，如气象部门决策领导、相关部门决策领导、应急部决策领导和水利部决策领导等。实现用户的信息维护和权限管理。</w:t>
      </w:r>
    </w:p>
    <w:p>
      <w:pPr>
        <w:widowControl/>
        <w:ind w:firstLine="560"/>
        <w:jc w:val="left"/>
      </w:pPr>
      <w:r>
        <w:rPr>
          <w:rFonts w:hint="eastAsia"/>
        </w:rPr>
        <w:t>（</w:t>
      </w:r>
      <w:r>
        <w:t>5</w:t>
      </w:r>
      <w:r>
        <w:rPr>
          <w:rFonts w:hint="eastAsia"/>
        </w:rPr>
        <w:t>）日志分析和用户画像模块</w:t>
      </w:r>
    </w:p>
    <w:p>
      <w:pPr>
        <w:widowControl/>
        <w:ind w:firstLine="560"/>
        <w:jc w:val="left"/>
      </w:pPr>
      <w:r>
        <w:rPr>
          <w:rFonts w:hint="eastAsia"/>
        </w:rPr>
        <w:t>完善日志收集模块，记录每个用户访问</w:t>
      </w:r>
      <w:r>
        <w:t xml:space="preserve"> </w:t>
      </w:r>
      <w:r>
        <w:rPr>
          <w:rFonts w:hint="eastAsia"/>
        </w:rPr>
        <w:t>应用软件</w:t>
      </w:r>
      <w:r>
        <w:t xml:space="preserve"> </w:t>
      </w:r>
      <w:r>
        <w:rPr>
          <w:rFonts w:hint="eastAsia"/>
        </w:rPr>
        <w:t>的时间、频率、使用的设备等信息。统计各个页面的访问量、停留时间等数据，了解用户行为，分析用户画像。</w:t>
      </w:r>
    </w:p>
    <w:p>
      <w:pPr>
        <w:widowControl/>
        <w:ind w:firstLine="560"/>
        <w:jc w:val="left"/>
      </w:pPr>
      <w:r>
        <w:rPr>
          <w:rFonts w:hint="eastAsia"/>
        </w:rPr>
        <w:t>（</w:t>
      </w:r>
      <w:r>
        <w:t>6</w:t>
      </w:r>
      <w:r>
        <w:rPr>
          <w:rFonts w:hint="eastAsia"/>
        </w:rPr>
        <w:t>）基于</w:t>
      </w:r>
      <w:r>
        <w:t>GIS</w:t>
      </w:r>
      <w:r>
        <w:rPr>
          <w:rFonts w:hint="eastAsia"/>
        </w:rPr>
        <w:t>的格点数据显示和要素叠加模块</w:t>
      </w:r>
    </w:p>
    <w:p>
      <w:pPr>
        <w:widowControl/>
        <w:ind w:firstLine="560"/>
        <w:jc w:val="left"/>
      </w:pPr>
      <w:r>
        <w:rPr>
          <w:rFonts w:hint="eastAsia"/>
        </w:rPr>
        <w:t>实现基于</w:t>
      </w:r>
      <w:r>
        <w:t>GIS</w:t>
      </w:r>
      <w:r>
        <w:rPr>
          <w:rFonts w:hint="eastAsia"/>
        </w:rPr>
        <w:t>的雷达拼图数据矢量化显示，支持主地图叠加显示回波格点、降水、气温、大风环境等观测站点数据和闪电等矢量化数据。</w:t>
      </w:r>
    </w:p>
    <w:p>
      <w:pPr>
        <w:widowControl/>
        <w:ind w:firstLine="560"/>
        <w:jc w:val="left"/>
      </w:pPr>
      <w:r>
        <w:rPr>
          <w:rFonts w:hint="eastAsia"/>
        </w:rPr>
        <w:t>（</w:t>
      </w:r>
      <w:r>
        <w:t>7</w:t>
      </w:r>
      <w:r>
        <w:rPr>
          <w:rFonts w:hint="eastAsia"/>
        </w:rPr>
        <w:t>）首都决策气象服务产品集成应用模块</w:t>
      </w:r>
      <w:r>
        <w:tab/>
      </w:r>
    </w:p>
    <w:p>
      <w:pPr>
        <w:widowControl/>
        <w:ind w:firstLine="560"/>
        <w:jc w:val="left"/>
      </w:pPr>
      <w:r>
        <w:rPr>
          <w:rFonts w:hint="eastAsia"/>
        </w:rPr>
        <w:t>完善首都决策气象信息的收集和定制应用。增加水情监测、灾害信息，面雨量、风险预报和影响预报等决策服务产品。</w:t>
      </w:r>
    </w:p>
    <w:p>
      <w:pPr>
        <w:widowControl/>
        <w:ind w:firstLine="560"/>
        <w:jc w:val="left"/>
      </w:pPr>
      <w:r>
        <w:rPr>
          <w:rFonts w:hint="eastAsia"/>
        </w:rPr>
        <w:t>（</w:t>
      </w:r>
      <w:r>
        <w:t>8</w:t>
      </w:r>
      <w:r>
        <w:rPr>
          <w:rFonts w:hint="eastAsia"/>
        </w:rPr>
        <w:t>）决策产品靶向推送模块</w:t>
      </w:r>
    </w:p>
    <w:p>
      <w:pPr>
        <w:widowControl/>
        <w:ind w:firstLine="560"/>
        <w:jc w:val="left"/>
      </w:pPr>
      <w:r>
        <w:rPr>
          <w:rFonts w:hint="eastAsia"/>
        </w:rPr>
        <w:t>基于用户分类智能识别不同部委重点关注产品，实现相关决策产品的靶向投放和预报预警产品的定制显示。增加决策服务材料的针对性，减少重复，无关材料的重复推送。</w:t>
      </w:r>
    </w:p>
    <w:p>
      <w:pPr>
        <w:widowControl/>
        <w:ind w:firstLine="560"/>
        <w:jc w:val="left"/>
      </w:pPr>
      <w:r>
        <w:rPr>
          <w:rFonts w:hint="eastAsia"/>
        </w:rPr>
        <w:t>（</w:t>
      </w:r>
      <w:r>
        <w:t>9</w:t>
      </w:r>
      <w:r>
        <w:rPr>
          <w:rFonts w:hint="eastAsia"/>
        </w:rPr>
        <w:t>）基于位置的实况和国省智能数字预报服务模块</w:t>
      </w:r>
    </w:p>
    <w:p>
      <w:pPr>
        <w:widowControl/>
        <w:ind w:firstLine="560"/>
        <w:jc w:val="left"/>
      </w:pPr>
      <w:r>
        <w:rPr>
          <w:rFonts w:hint="eastAsia"/>
        </w:rPr>
        <w:t>基于用户位置，采用自动定位追踪技术实现格点实况和智能数字预报服务，包括分钟级降水、逐时、逐日智能数字预报。研发国省数字智能预报组件，分别显示国家指导报和北京订正报的智能数字预报结果。</w:t>
      </w:r>
    </w:p>
    <w:p>
      <w:pPr>
        <w:widowControl/>
        <w:ind w:firstLine="560"/>
        <w:jc w:val="left"/>
      </w:pPr>
      <w:r>
        <w:rPr>
          <w:rFonts w:hint="eastAsia"/>
        </w:rPr>
        <w:t>（</w:t>
      </w:r>
      <w:r>
        <w:t>10</w:t>
      </w:r>
      <w:r>
        <w:rPr>
          <w:rFonts w:hint="eastAsia"/>
        </w:rPr>
        <w:t>）台风路径模块</w:t>
      </w:r>
    </w:p>
    <w:p>
      <w:pPr>
        <w:widowControl/>
        <w:ind w:firstLine="560"/>
        <w:jc w:val="left"/>
      </w:pPr>
      <w:r>
        <w:rPr>
          <w:rFonts w:hint="eastAsia"/>
        </w:rPr>
        <w:t>实现台风路径实况和预报产品矢量化显示分析模块，支持叠加回波、降水等自动站要素，协助决策领导分析受台风残留环流影响的北京天气情况。</w:t>
      </w:r>
    </w:p>
    <w:p>
      <w:pPr>
        <w:widowControl/>
        <w:ind w:firstLine="560"/>
        <w:jc w:val="left"/>
      </w:pPr>
      <w:r>
        <w:rPr>
          <w:rFonts w:hint="eastAsia"/>
        </w:rPr>
        <w:t>（</w:t>
      </w:r>
      <w:r>
        <w:t>11</w:t>
      </w:r>
      <w:r>
        <w:rPr>
          <w:rFonts w:hint="eastAsia"/>
        </w:rPr>
        <w:t>）实况预报一体化分析模块</w:t>
      </w:r>
    </w:p>
    <w:p>
      <w:pPr>
        <w:widowControl/>
        <w:ind w:firstLine="560"/>
        <w:jc w:val="left"/>
      </w:pPr>
      <w:r>
        <w:rPr>
          <w:rFonts w:hint="eastAsia"/>
        </w:rPr>
        <w:t>通过时间轴串联雷达回波实况数据和雷达回波外推预报数据，实现实况和预报的一体化分析。支持历史和预报的动画播放等，直观展示天气系统的移动趋势和影响范围。</w:t>
      </w:r>
    </w:p>
    <w:p>
      <w:pPr>
        <w:widowControl/>
        <w:ind w:firstLine="560"/>
        <w:jc w:val="left"/>
      </w:pPr>
      <w:r>
        <w:rPr>
          <w:rFonts w:hint="eastAsia"/>
        </w:rPr>
        <w:t>（</w:t>
      </w:r>
      <w:r>
        <w:t>12</w:t>
      </w:r>
      <w:r>
        <w:rPr>
          <w:rFonts w:hint="eastAsia"/>
        </w:rPr>
        <w:t>）异常数据标记和异常站点过滤模块</w:t>
      </w:r>
    </w:p>
    <w:p>
      <w:pPr>
        <w:widowControl/>
        <w:ind w:firstLine="560"/>
        <w:jc w:val="left"/>
      </w:pPr>
      <w:r>
        <w:rPr>
          <w:rFonts w:hint="eastAsia"/>
        </w:rPr>
        <w:t>将不满足空间一致性和时间一致性的自动站观测数据，在地图和时序图中标记异常，并给出异常原因。增加临时黑名单功能，实现异常站点的过滤。</w:t>
      </w:r>
    </w:p>
    <w:p>
      <w:pPr>
        <w:widowControl/>
        <w:ind w:firstLine="560"/>
        <w:jc w:val="left"/>
      </w:pPr>
      <w:r>
        <w:rPr>
          <w:rFonts w:hint="eastAsia"/>
        </w:rPr>
        <w:t>（</w:t>
      </w:r>
      <w:r>
        <w:t>13</w:t>
      </w:r>
      <w:r>
        <w:rPr>
          <w:rFonts w:hint="eastAsia"/>
        </w:rPr>
        <w:t>）关键数据监控模块</w:t>
      </w:r>
    </w:p>
    <w:p>
      <w:pPr>
        <w:widowControl/>
        <w:ind w:firstLine="560"/>
        <w:jc w:val="left"/>
      </w:pPr>
      <w:r>
        <w:rPr>
          <w:rFonts w:hint="eastAsia"/>
        </w:rPr>
        <w:t>实现重点数据源监视、决策服务产品制作监视和产品更新流程监视，保障首都气象应急调度信息化支撑平台数据稳定性。</w:t>
      </w:r>
    </w:p>
    <w:p>
      <w:pPr>
        <w:widowControl/>
        <w:ind w:firstLine="560"/>
        <w:jc w:val="left"/>
      </w:pPr>
      <w:r>
        <w:rPr>
          <w:rFonts w:hint="eastAsia"/>
        </w:rPr>
        <w:t>（</w:t>
      </w:r>
      <w:r>
        <w:t>14</w:t>
      </w:r>
      <w:r>
        <w:rPr>
          <w:rFonts w:hint="eastAsia"/>
        </w:rPr>
        <w:t>）自动告警模块</w:t>
      </w:r>
    </w:p>
    <w:p>
      <w:pPr>
        <w:widowControl/>
        <w:ind w:firstLine="560"/>
        <w:jc w:val="left"/>
      </w:pPr>
      <w:r>
        <w:rPr>
          <w:rFonts w:hint="eastAsia"/>
        </w:rPr>
        <w:t>制定自动告警策略，消费采集的数据源更新、数字化产品制作、产品传输、栏目更新、服务器运行状态等信息，实现监控信息统一显示，故障信息发布自动告警，提供短信告警、微信提醒等多种告警方式。</w:t>
      </w:r>
    </w:p>
    <w:p>
      <w:pPr>
        <w:widowControl/>
        <w:ind w:firstLine="560"/>
        <w:jc w:val="left"/>
      </w:pPr>
      <w:r>
        <w:rPr>
          <w:rFonts w:hint="eastAsia"/>
        </w:rPr>
        <w:t>（</w:t>
      </w:r>
      <w:r>
        <w:t>15</w:t>
      </w:r>
      <w:r>
        <w:rPr>
          <w:rFonts w:hint="eastAsia"/>
        </w:rPr>
        <w:t>）灾害性天气预报预警数据接入模块</w:t>
      </w:r>
    </w:p>
    <w:p>
      <w:pPr>
        <w:widowControl/>
        <w:ind w:firstLine="560"/>
        <w:jc w:val="left"/>
      </w:pPr>
      <w:r>
        <w:rPr>
          <w:rFonts w:hint="eastAsia"/>
        </w:rPr>
        <w:t>基于气象大数据云平台，构建预报预警数据接入、格式转换和数据应用服务发布。</w:t>
      </w:r>
    </w:p>
    <w:p>
      <w:pPr>
        <w:widowControl/>
        <w:ind w:firstLine="560"/>
        <w:jc w:val="left"/>
      </w:pPr>
      <w:r>
        <w:rPr>
          <w:rFonts w:hint="eastAsia"/>
        </w:rPr>
        <w:t>（</w:t>
      </w:r>
      <w:r>
        <w:t>16</w:t>
      </w:r>
      <w:r>
        <w:rPr>
          <w:rFonts w:hint="eastAsia"/>
        </w:rPr>
        <w:t>）实况数据接入模块</w:t>
      </w:r>
    </w:p>
    <w:p>
      <w:pPr>
        <w:widowControl/>
        <w:ind w:firstLine="560"/>
        <w:jc w:val="left"/>
      </w:pPr>
      <w:r>
        <w:rPr>
          <w:rFonts w:hint="eastAsia"/>
        </w:rPr>
        <w:t>基于气象大数据云平台，构建满足首都气象决策服务应用需求的分钟、小时、日等各类站点、雷达、云图实况数据接入、格式转换和数据应用服务发布。</w:t>
      </w:r>
    </w:p>
    <w:p>
      <w:pPr>
        <w:widowControl/>
        <w:ind w:firstLine="560"/>
        <w:jc w:val="left"/>
      </w:pPr>
      <w:r>
        <w:rPr>
          <w:rFonts w:hint="eastAsia"/>
        </w:rPr>
        <w:t>（</w:t>
      </w:r>
      <w:r>
        <w:t>17</w:t>
      </w:r>
      <w:r>
        <w:rPr>
          <w:rFonts w:hint="eastAsia"/>
        </w:rPr>
        <w:t>）社会数据接入模块</w:t>
      </w:r>
    </w:p>
    <w:p>
      <w:pPr>
        <w:widowControl/>
        <w:ind w:firstLine="560"/>
        <w:jc w:val="left"/>
      </w:pPr>
      <w:r>
        <w:rPr>
          <w:rFonts w:hint="eastAsia"/>
        </w:rPr>
        <w:t>分析整理决策气象服务系统所需要的社会数据，并设计读取和写入接口，基于气象大数据服务平台，利用规范的接口构建各类社会数据接入、格式转换和数据应用服务发布。</w:t>
      </w:r>
    </w:p>
    <w:p>
      <w:pPr>
        <w:widowControl/>
        <w:ind w:firstLine="560"/>
        <w:jc w:val="left"/>
      </w:pPr>
      <w:r>
        <w:rPr>
          <w:rFonts w:hint="eastAsia"/>
        </w:rPr>
        <w:t>（</w:t>
      </w:r>
      <w:r>
        <w:t>18</w:t>
      </w:r>
      <w:r>
        <w:rPr>
          <w:rFonts w:hint="eastAsia"/>
        </w:rPr>
        <w:t>）暴雨天气分析模块</w:t>
      </w:r>
    </w:p>
    <w:p>
      <w:pPr>
        <w:widowControl/>
        <w:ind w:firstLine="560"/>
        <w:jc w:val="left"/>
      </w:pPr>
      <w:r>
        <w:rPr>
          <w:rFonts w:hint="eastAsia"/>
        </w:rPr>
        <w:t>设计或引入多种分析算法，按暴雨所产生的影响范围分析，用户可以分析到其影响到的区、县、乡镇等行政区域，并可对分析出的影响区域信息作进一步的统计输出，最终形成首都暴雨数据分析组件。</w:t>
      </w:r>
    </w:p>
    <w:p>
      <w:pPr>
        <w:widowControl/>
        <w:ind w:firstLine="560"/>
        <w:jc w:val="left"/>
      </w:pPr>
      <w:r>
        <w:rPr>
          <w:rFonts w:hint="eastAsia"/>
        </w:rPr>
        <w:t>（</w:t>
      </w:r>
      <w:r>
        <w:t>19</w:t>
      </w:r>
      <w:r>
        <w:rPr>
          <w:rFonts w:hint="eastAsia"/>
        </w:rPr>
        <w:t>）高温天气分析模块</w:t>
      </w:r>
    </w:p>
    <w:p>
      <w:pPr>
        <w:widowControl/>
        <w:ind w:firstLine="560"/>
        <w:jc w:val="left"/>
      </w:pPr>
      <w:r>
        <w:rPr>
          <w:rFonts w:hint="eastAsia"/>
        </w:rPr>
        <w:t>设计或引入多种分析算法，按高温所产生的影响范围分析，用户可以分析到其影响到的区、县、乡镇等行政区域，并可对分析出的影响区域信息作进一步的统计输出，最终形成首都高温数据分析组件。</w:t>
      </w:r>
    </w:p>
    <w:p>
      <w:pPr>
        <w:widowControl/>
        <w:ind w:firstLine="560"/>
        <w:jc w:val="left"/>
      </w:pPr>
      <w:r>
        <w:rPr>
          <w:rFonts w:hint="eastAsia"/>
        </w:rPr>
        <w:t>（</w:t>
      </w:r>
      <w:r>
        <w:t>20</w:t>
      </w:r>
      <w:r>
        <w:rPr>
          <w:rFonts w:hint="eastAsia"/>
        </w:rPr>
        <w:t>）寒潮天气分析模块</w:t>
      </w:r>
    </w:p>
    <w:p>
      <w:pPr>
        <w:widowControl/>
        <w:ind w:firstLine="560"/>
        <w:jc w:val="left"/>
      </w:pPr>
      <w:r>
        <w:rPr>
          <w:rFonts w:hint="eastAsia"/>
        </w:rPr>
        <w:t>设计或引入多种分析算法，按寒潮所产生的影响范围分析，用户可以分析到其影响到的区、县、乡镇等行政区域，并可对分析出的影响区域信息作进一步的统计输出，最终形成首都寒潮数据分析组件。</w:t>
      </w:r>
    </w:p>
    <w:p>
      <w:pPr>
        <w:widowControl/>
        <w:ind w:firstLine="560"/>
        <w:jc w:val="left"/>
      </w:pPr>
      <w:r>
        <w:rPr>
          <w:rFonts w:hint="eastAsia"/>
        </w:rPr>
        <w:t>（</w:t>
      </w:r>
      <w:r>
        <w:t>21</w:t>
      </w:r>
      <w:r>
        <w:rPr>
          <w:rFonts w:hint="eastAsia"/>
        </w:rPr>
        <w:t>）靶向服务综合智能分析模块</w:t>
      </w:r>
    </w:p>
    <w:p>
      <w:pPr>
        <w:widowControl/>
        <w:ind w:firstLine="560"/>
        <w:jc w:val="left"/>
      </w:pPr>
      <w:r>
        <w:rPr>
          <w:rFonts w:hint="eastAsia"/>
        </w:rPr>
        <w:t>分析决策气象各项专题服务需求，总结重大活动保障、突发性灾害响应等专题服务的流程，构建空间、时间、要素多维一体化专题决策气象大数据智能分析应用组件。</w:t>
      </w:r>
    </w:p>
    <w:p>
      <w:pPr>
        <w:widowControl/>
        <w:ind w:firstLine="560"/>
        <w:jc w:val="left"/>
      </w:pPr>
      <w:r>
        <w:rPr>
          <w:rFonts w:hint="eastAsia"/>
        </w:rPr>
        <w:t>（</w:t>
      </w:r>
      <w:r>
        <w:t>22</w:t>
      </w:r>
      <w:r>
        <w:rPr>
          <w:rFonts w:hint="eastAsia"/>
        </w:rPr>
        <w:t>）首都暴雨灾害影响分析场景服务模块</w:t>
      </w:r>
    </w:p>
    <w:p>
      <w:pPr>
        <w:widowControl/>
        <w:ind w:firstLine="560"/>
        <w:jc w:val="left"/>
      </w:pPr>
      <w:r>
        <w:rPr>
          <w:rFonts w:hint="eastAsia"/>
        </w:rPr>
        <w:t>分析暴雨过程天气服务特点，接入综合的实况以及预报信息，设计暴雨综合材料制作流程，以情景模拟的方式挖掘出暴雨灾害分析影响的相关内容，并并结合地理信息、社会经济、人口等各种信息，实现一张图式流程化自动实现综合决策气象暴雨服务材料的制作和场景模拟。</w:t>
      </w:r>
    </w:p>
    <w:p>
      <w:pPr>
        <w:widowControl/>
        <w:ind w:firstLine="560"/>
        <w:jc w:val="left"/>
      </w:pPr>
      <w:r>
        <w:rPr>
          <w:rFonts w:hint="eastAsia"/>
        </w:rPr>
        <w:t>（</w:t>
      </w:r>
      <w:r>
        <w:t>23</w:t>
      </w:r>
      <w:r>
        <w:rPr>
          <w:rFonts w:hint="eastAsia"/>
        </w:rPr>
        <w:t>）高温灾害影响分析场景服务模块</w:t>
      </w:r>
    </w:p>
    <w:p>
      <w:pPr>
        <w:widowControl/>
        <w:ind w:firstLine="560"/>
        <w:jc w:val="left"/>
      </w:pPr>
      <w:r>
        <w:rPr>
          <w:rFonts w:hint="eastAsia"/>
        </w:rPr>
        <w:t>整理和高温相关的各种气象资料，分析高温过程天气服务特点，接入综合的实况以及预报信息，设计高温综合材料制作流程，以情景模拟的方式挖掘出高温灾害分析影响的相关内容，并结合地理信息、社会经济、人口等各种信息，实现一张图式流程化自动实现综合决策气象高温服务材料的制作和场景模拟。</w:t>
      </w:r>
    </w:p>
    <w:p>
      <w:pPr>
        <w:widowControl/>
        <w:ind w:firstLine="560"/>
        <w:jc w:val="left"/>
      </w:pPr>
      <w:r>
        <w:rPr>
          <w:rFonts w:hint="eastAsia"/>
        </w:rPr>
        <w:t>（</w:t>
      </w:r>
      <w:r>
        <w:t>24</w:t>
      </w:r>
      <w:r>
        <w:rPr>
          <w:rFonts w:hint="eastAsia"/>
        </w:rPr>
        <w:t>）大风降温灾害影响分析场景服务模块</w:t>
      </w:r>
    </w:p>
    <w:p>
      <w:pPr>
        <w:widowControl/>
        <w:ind w:firstLine="560"/>
        <w:jc w:val="left"/>
      </w:pPr>
      <w:r>
        <w:rPr>
          <w:rFonts w:hint="eastAsia"/>
        </w:rPr>
        <w:t>整理和大风降温相关的各种气象资料，分析大风降温过程天气服务特点，接入综合的实况以及预报信息，设计大风降温综合材料制作流程，以情景模拟的方式挖掘出大风降温灾害分析影响的相关内容，并结合地理信息、社会经济、人口等各种信息，实现一张图式流程化自动实现综合决策气象大风降温服务材料的制作和场景模拟。</w:t>
      </w:r>
    </w:p>
    <w:p>
      <w:pPr>
        <w:widowControl/>
        <w:ind w:firstLine="560"/>
        <w:jc w:val="left"/>
      </w:pPr>
      <w:r>
        <w:rPr>
          <w:rFonts w:hint="eastAsia"/>
        </w:rPr>
        <w:t>（</w:t>
      </w:r>
      <w:r>
        <w:t>25</w:t>
      </w:r>
      <w:r>
        <w:rPr>
          <w:rFonts w:hint="eastAsia"/>
        </w:rPr>
        <w:t>）首都泥石流灾害影响分析场景服务模块</w:t>
      </w:r>
    </w:p>
    <w:p>
      <w:pPr>
        <w:widowControl/>
        <w:ind w:firstLine="560"/>
        <w:jc w:val="left"/>
      </w:pPr>
      <w:r>
        <w:rPr>
          <w:rFonts w:hint="eastAsia"/>
        </w:rPr>
        <w:t>收集泥石流灾害影响相关的各方面信息，建立泥石流灾害相关的气象资料库，背景资料库，影响指标等，设计泥石流综合材料制作流程，以情景模拟的方式挖掘和展现出泥石流灾害分析影响的相关内容。</w:t>
      </w:r>
    </w:p>
    <w:p>
      <w:pPr>
        <w:widowControl/>
        <w:ind w:firstLine="560"/>
        <w:jc w:val="left"/>
      </w:pPr>
      <w:r>
        <w:rPr>
          <w:rFonts w:hint="eastAsia"/>
        </w:rPr>
        <w:t>（</w:t>
      </w:r>
      <w:r>
        <w:t>26</w:t>
      </w:r>
      <w:r>
        <w:rPr>
          <w:rFonts w:hint="eastAsia"/>
        </w:rPr>
        <w:t>）防灾减灾综合分析模块</w:t>
      </w:r>
    </w:p>
    <w:p>
      <w:pPr>
        <w:widowControl/>
        <w:ind w:firstLine="560"/>
        <w:jc w:val="left"/>
      </w:pPr>
      <w:r>
        <w:rPr>
          <w:rFonts w:hint="eastAsia"/>
        </w:rPr>
        <w:t>采用大数据统计分析方法，对首都监测预警设备、堤坝、水库、避雷设施分布等工程性防灾减灾措施，以及灾害预警信息的发布速度、居民的防灾减灾意识，进行综合分析，构建首都防灾减灾综合场景服务模块功能。</w:t>
      </w:r>
    </w:p>
    <w:p>
      <w:pPr>
        <w:widowControl/>
        <w:ind w:firstLine="560"/>
        <w:jc w:val="left"/>
      </w:pPr>
      <w:r>
        <w:rPr>
          <w:rFonts w:hint="eastAsia"/>
        </w:rPr>
        <w:t>（</w:t>
      </w:r>
      <w:r>
        <w:t>27</w:t>
      </w:r>
      <w:r>
        <w:rPr>
          <w:rFonts w:hint="eastAsia"/>
        </w:rPr>
        <w:t>）专业版应用软件场景设计模块</w:t>
      </w:r>
    </w:p>
    <w:p>
      <w:pPr>
        <w:widowControl/>
        <w:ind w:firstLine="560"/>
        <w:jc w:val="left"/>
      </w:pPr>
      <w:r>
        <w:rPr>
          <w:rFonts w:hint="eastAsia"/>
        </w:rPr>
        <w:t>研发首都决策气象服务应用软件专业版，面向气象部门决策首席，提供专业气象实时分析和预报预警服务信息的业务应用场景。</w:t>
      </w:r>
    </w:p>
    <w:p>
      <w:pPr>
        <w:widowControl/>
        <w:ind w:firstLine="560"/>
        <w:jc w:val="left"/>
      </w:pPr>
      <w:r>
        <w:rPr>
          <w:rFonts w:hint="eastAsia"/>
        </w:rPr>
        <w:t>（</w:t>
      </w:r>
      <w:r>
        <w:t>28</w:t>
      </w:r>
      <w:r>
        <w:rPr>
          <w:rFonts w:hint="eastAsia"/>
        </w:rPr>
        <w:t>）专业版应用软件可视化功能模块</w:t>
      </w:r>
    </w:p>
    <w:p>
      <w:pPr>
        <w:widowControl/>
        <w:ind w:firstLine="560"/>
        <w:jc w:val="left"/>
      </w:pPr>
      <w:r>
        <w:rPr>
          <w:rFonts w:hint="eastAsia"/>
        </w:rPr>
        <w:t>实现综合分析结果可视化展示、专业全面的预报预警产品和决策气象服务检索和显示分析等功能。</w:t>
      </w:r>
    </w:p>
    <w:p>
      <w:pPr>
        <w:widowControl/>
        <w:ind w:firstLine="560"/>
        <w:jc w:val="left"/>
      </w:pPr>
      <w:r>
        <w:rPr>
          <w:rFonts w:hint="eastAsia"/>
        </w:rPr>
        <w:t>（</w:t>
      </w:r>
      <w:r>
        <w:t>29</w:t>
      </w:r>
      <w:r>
        <w:rPr>
          <w:rFonts w:hint="eastAsia"/>
        </w:rPr>
        <w:t>）智慧版应用软件场景设计模块</w:t>
      </w:r>
    </w:p>
    <w:p>
      <w:pPr>
        <w:widowControl/>
        <w:ind w:firstLine="560"/>
        <w:jc w:val="left"/>
      </w:pPr>
      <w:r>
        <w:rPr>
          <w:rFonts w:hint="eastAsia"/>
        </w:rPr>
        <w:t>研发首都决策气象服务应用软件智慧版，面向政府部门领导，提供快速调度指挥决策应用场景。</w:t>
      </w:r>
    </w:p>
    <w:p>
      <w:pPr>
        <w:widowControl/>
        <w:ind w:firstLine="560"/>
        <w:jc w:val="left"/>
      </w:pPr>
      <w:r>
        <w:rPr>
          <w:rFonts w:hint="eastAsia"/>
        </w:rPr>
        <w:t>（</w:t>
      </w:r>
      <w:r>
        <w:t>30</w:t>
      </w:r>
      <w:r>
        <w:rPr>
          <w:rFonts w:hint="eastAsia"/>
        </w:rPr>
        <w:t>）智慧版应用软件智能推送模块</w:t>
      </w:r>
    </w:p>
    <w:p>
      <w:pPr>
        <w:widowControl/>
        <w:ind w:firstLine="560"/>
        <w:jc w:val="left"/>
      </w:pPr>
      <w:r>
        <w:rPr>
          <w:rFonts w:hint="eastAsia"/>
        </w:rPr>
        <w:t>实现对不同行业用户的决策服务靶向投放和智能推送等功能。</w:t>
      </w:r>
    </w:p>
    <w:p>
      <w:pPr>
        <w:widowControl/>
        <w:ind w:firstLine="560"/>
        <w:jc w:val="left"/>
      </w:pPr>
      <w:r>
        <w:rPr>
          <w:rFonts w:hint="eastAsia"/>
        </w:rPr>
        <w:t>（</w:t>
      </w:r>
      <w:r>
        <w:t>31</w:t>
      </w:r>
      <w:r>
        <w:rPr>
          <w:rFonts w:hint="eastAsia"/>
        </w:rPr>
        <w:t>）指挥终端场景设计模块</w:t>
      </w:r>
    </w:p>
    <w:p>
      <w:pPr>
        <w:widowControl/>
        <w:ind w:firstLine="560"/>
        <w:jc w:val="left"/>
      </w:pPr>
      <w:r>
        <w:rPr>
          <w:rFonts w:hint="eastAsia"/>
        </w:rPr>
        <w:t>基于标准化的数据服务和应用组件，研发首都决策气象服务指挥终端，适配平板电脑的横板屏幕，保障决策领导现场指挥调度，决策材料分析等应用场景。</w:t>
      </w:r>
    </w:p>
    <w:p>
      <w:pPr>
        <w:widowControl/>
        <w:ind w:firstLine="560"/>
        <w:jc w:val="left"/>
      </w:pPr>
      <w:r>
        <w:rPr>
          <w:rFonts w:hint="eastAsia"/>
        </w:rPr>
        <w:t>（</w:t>
      </w:r>
      <w:r>
        <w:t>32</w:t>
      </w:r>
      <w:r>
        <w:rPr>
          <w:rFonts w:hint="eastAsia"/>
        </w:rPr>
        <w:t>）系统维护和系统安全防护模块</w:t>
      </w:r>
    </w:p>
    <w:p>
      <w:pPr>
        <w:widowControl/>
        <w:ind w:firstLine="560"/>
        <w:jc w:val="left"/>
      </w:pPr>
      <w:r>
        <w:rPr>
          <w:rFonts w:hint="eastAsia"/>
        </w:rPr>
        <w:t>实现重点数据源监视、决策服务产品制作监视和产品更新流程监视，保障首都气象应急调度信息化支撑平台数据稳定性。启用云安全功能，对</w:t>
      </w:r>
      <w:r>
        <w:t>DDOS</w:t>
      </w:r>
      <w:r>
        <w:rPr>
          <w:rFonts w:hint="eastAsia"/>
        </w:rPr>
        <w:t>、挖矿、勒索病毒等恶意程序实时防护，防</w:t>
      </w:r>
      <w:r>
        <w:t>0day</w:t>
      </w:r>
      <w:r>
        <w:rPr>
          <w:rFonts w:hint="eastAsia"/>
        </w:rPr>
        <w:t>攻击，实现病毒扫描和日志分析，实现恶意文件检测和网页放篡改等功能。</w:t>
      </w:r>
    </w:p>
    <w:p>
      <w:pPr>
        <w:widowControl/>
        <w:ind w:firstLine="560"/>
        <w:jc w:val="left"/>
      </w:pPr>
      <w:r>
        <w:rPr>
          <w:rFonts w:hint="eastAsia"/>
        </w:rPr>
        <w:t>（</w:t>
      </w:r>
      <w:r>
        <w:t>33</w:t>
      </w:r>
      <w:r>
        <w:rPr>
          <w:rFonts w:hint="eastAsia"/>
        </w:rPr>
        <w:t>）大语言模型的人工智能应用模块</w:t>
      </w:r>
    </w:p>
    <w:p>
      <w:pPr>
        <w:widowControl/>
        <w:ind w:firstLine="560"/>
        <w:jc w:val="left"/>
      </w:pPr>
      <w:r>
        <w:rPr>
          <w:rFonts w:hint="eastAsia"/>
        </w:rPr>
        <w:t>实现天气公报类文字产品的摘要生成、气象类的文本翻译，基于大语言模型的各类实况预报信息的信息提取，综合决策信息的信息归纳与热点提示，人机交互功能的智能优化，基于气象信息的图表产品生成的等功能。</w:t>
      </w:r>
    </w:p>
    <w:p>
      <w:pPr>
        <w:pStyle w:val="Heading3"/>
        <w:ind w:left="1048"/>
        <w:rPr>
          <w:w w:val="95"/>
        </w:rPr>
      </w:pPr>
      <w:bookmarkStart w:id="69" w:name="_Toc139877742"/>
      <w:bookmarkStart w:id="70" w:name="_Toc196641735"/>
      <w:r>
        <w:rPr>
          <w:rFonts w:hint="eastAsia"/>
          <w:w w:val="95"/>
          <w:lang w:eastAsia="zh-CN"/>
        </w:rPr>
        <w:t>7</w:t>
      </w:r>
      <w:r>
        <w:rPr>
          <w:rFonts w:hint="eastAsia"/>
          <w:w w:val="95"/>
        </w:rPr>
        <w:t>.3.4环境</w:t>
      </w:r>
      <w:bookmarkEnd w:id="69"/>
      <w:bookmarkEnd w:id="70"/>
      <w:r>
        <w:rPr>
          <w:rFonts w:hint="eastAsia"/>
          <w:w w:val="95"/>
        </w:rPr>
        <w:t>指标</w:t>
      </w:r>
    </w:p>
    <w:p>
      <w:pPr>
        <w:widowControl/>
        <w:ind w:firstLine="560"/>
        <w:jc w:val="left"/>
      </w:pPr>
      <w:bookmarkStart w:id="71" w:name="_Toc196641736"/>
      <w:bookmarkStart w:id="72" w:name="_Toc139877743"/>
      <w:r>
        <w:t>1</w:t>
      </w:r>
      <w:r>
        <w:rPr>
          <w:rFonts w:hint="eastAsia"/>
        </w:rPr>
        <w:t>、硬件环境</w:t>
      </w:r>
      <w:bookmarkEnd w:id="71"/>
      <w:bookmarkEnd w:id="72"/>
    </w:p>
    <w:p>
      <w:pPr>
        <w:widowControl/>
        <w:ind w:firstLine="560"/>
        <w:jc w:val="left"/>
      </w:pPr>
      <w:r>
        <w:rPr>
          <w:rFonts w:hint="eastAsia"/>
        </w:rPr>
        <w:t>系统应采用分布式体系结构，并实现负载均衡调度。</w:t>
      </w:r>
    </w:p>
    <w:p>
      <w:pPr>
        <w:widowControl/>
        <w:ind w:firstLine="560"/>
        <w:jc w:val="left"/>
      </w:pPr>
      <w:bookmarkStart w:id="73" w:name="_Toc196641737"/>
      <w:bookmarkStart w:id="74" w:name="_Toc139877744"/>
      <w:r>
        <w:t>2</w:t>
      </w:r>
      <w:r>
        <w:rPr>
          <w:rFonts w:hint="eastAsia"/>
        </w:rPr>
        <w:t>、软件环境</w:t>
      </w:r>
      <w:bookmarkEnd w:id="73"/>
      <w:bookmarkEnd w:id="74"/>
    </w:p>
    <w:p>
      <w:pPr>
        <w:widowControl/>
        <w:ind w:firstLine="560"/>
        <w:jc w:val="left"/>
      </w:pPr>
      <w:r>
        <w:rPr>
          <w:rFonts w:hint="eastAsia"/>
        </w:rPr>
        <w:t>操作系统：系统后台运行环境支持国产操作系统（比如中标麒麟）或者</w:t>
      </w:r>
      <w:r>
        <w:t>Ubuntu16.04</w:t>
      </w:r>
      <w:r>
        <w:rPr>
          <w:rFonts w:hint="eastAsia"/>
        </w:rPr>
        <w:t>、</w:t>
      </w:r>
      <w:r>
        <w:t>Ubuntu18.04</w:t>
      </w:r>
      <w:r>
        <w:rPr>
          <w:rFonts w:hint="eastAsia"/>
        </w:rPr>
        <w:t>、</w:t>
      </w:r>
      <w:r>
        <w:t>RedHat7.3</w:t>
      </w:r>
      <w:r>
        <w:rPr>
          <w:rFonts w:hint="eastAsia"/>
        </w:rPr>
        <w:t>等系统，部署环境支持气象大数据云平台。</w:t>
      </w:r>
    </w:p>
    <w:p>
      <w:pPr>
        <w:widowControl/>
        <w:ind w:firstLine="560"/>
        <w:jc w:val="left"/>
      </w:pPr>
      <w:r>
        <w:rPr>
          <w:rFonts w:hint="eastAsia"/>
        </w:rPr>
        <w:t>程序设计语言：</w:t>
      </w:r>
      <w:r>
        <w:t>Windows</w:t>
      </w:r>
      <w:r>
        <w:rPr>
          <w:rFonts w:hint="eastAsia"/>
        </w:rPr>
        <w:t>平台配置</w:t>
      </w:r>
      <w:r>
        <w:t>Python</w:t>
      </w:r>
      <w:r>
        <w:rPr>
          <w:rFonts w:hint="eastAsia"/>
        </w:rPr>
        <w:t>、</w:t>
      </w:r>
      <w:r>
        <w:t>Java</w:t>
      </w:r>
      <w:r>
        <w:rPr>
          <w:rFonts w:hint="eastAsia"/>
        </w:rPr>
        <w:t>、</w:t>
      </w:r>
      <w:r>
        <w:t>Javascript</w:t>
      </w:r>
      <w:r>
        <w:rPr>
          <w:rFonts w:hint="eastAsia"/>
        </w:rPr>
        <w:t>、</w:t>
      </w:r>
      <w:r>
        <w:t>swift</w:t>
      </w:r>
      <w:r>
        <w:rPr>
          <w:rFonts w:hint="eastAsia"/>
        </w:rPr>
        <w:t>、</w:t>
      </w:r>
      <w:r>
        <w:t>C</w:t>
      </w:r>
      <w:r>
        <w:rPr>
          <w:rFonts w:hint="eastAsia"/>
        </w:rPr>
        <w:t>等程序设计语言与开发工具；</w:t>
      </w:r>
    </w:p>
    <w:p>
      <w:pPr>
        <w:widowControl/>
        <w:ind w:firstLine="560"/>
        <w:jc w:val="left"/>
      </w:pPr>
      <w:r>
        <w:rPr>
          <w:rFonts w:hint="eastAsia"/>
        </w:rPr>
        <w:t>文件共享软件：采用数据共享软件实现服务器之间的文件系统的共享。</w:t>
      </w:r>
    </w:p>
    <w:p>
      <w:pPr>
        <w:widowControl/>
        <w:ind w:firstLine="560"/>
        <w:jc w:val="left"/>
      </w:pPr>
      <w:bookmarkStart w:id="75" w:name="_Toc196641738"/>
      <w:bookmarkStart w:id="76" w:name="_Toc139877745"/>
      <w:r>
        <w:t>3</w:t>
      </w:r>
      <w:r>
        <w:rPr>
          <w:rFonts w:hint="eastAsia"/>
        </w:rPr>
        <w:t>、开发场所</w:t>
      </w:r>
      <w:bookmarkEnd w:id="75"/>
      <w:bookmarkEnd w:id="76"/>
    </w:p>
    <w:p>
      <w:pPr>
        <w:widowControl/>
        <w:ind w:firstLine="560"/>
        <w:jc w:val="left"/>
      </w:pPr>
      <w:r>
        <w:rPr>
          <w:rFonts w:hint="eastAsia"/>
        </w:rPr>
        <w:t>承建方在充分了解系统需求后，建设方需在甲方指定地点驻场承担建设任务。</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.4技术性能指标</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pStyle w:val="Heading3"/>
        <w:ind w:firstLine="613"/>
        <w:rPr>
          <w:w w:val="95"/>
        </w:rPr>
      </w:pPr>
      <w:r>
        <w:rPr>
          <w:rFonts w:hint="eastAsia"/>
          <w:w w:val="95"/>
          <w:lang w:eastAsia="zh-CN"/>
        </w:rPr>
        <w:t>7</w:t>
      </w:r>
      <w:r>
        <w:rPr>
          <w:w w:val="95"/>
        </w:rPr>
        <w:t>.4.1</w:t>
      </w:r>
      <w:r>
        <w:rPr>
          <w:rFonts w:hint="eastAsia"/>
          <w:w w:val="95"/>
        </w:rPr>
        <w:t>稳定性要求</w:t>
      </w:r>
    </w:p>
    <w:p>
      <w:pPr>
        <w:ind w:firstLine="560"/>
      </w:pPr>
      <w:r>
        <w:rPr>
          <w:rFonts w:hint="eastAsia"/>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pPr>
        <w:ind w:firstLine="560"/>
      </w:pPr>
      <w:r>
        <w:rPr>
          <w:rFonts w:hint="eastAsia"/>
        </w:rPr>
        <w:t>本系统需要提供</w:t>
      </w:r>
      <w:r>
        <w:t>7</w:t>
      </w:r>
      <w:r>
        <w:rPr>
          <w:rFonts w:hint="eastAsia"/>
        </w:rPr>
        <w:t>×</w:t>
      </w:r>
      <w:r>
        <w:t>24</w:t>
      </w:r>
      <w:r>
        <w:rPr>
          <w:rFonts w:hint="eastAsia"/>
        </w:rPr>
        <w:t>小时不间断服务，因此，无论是计算机硬件系统还是软件系统都必须具有较高的可靠性和故障后快速恢复的能力。具体要求如下：</w:t>
      </w:r>
    </w:p>
    <w:p>
      <w:pPr>
        <w:ind w:firstLine="560"/>
      </w:pPr>
      <w:r>
        <w:rPr>
          <w:rFonts w:hint="eastAsia"/>
        </w:rPr>
        <w:t>（1）应用软件开发中严格遵循软件工程国标的开发、测试和集成规范，达到数据服务业务成功率</w:t>
      </w:r>
      <w:r>
        <w:t>99.9%</w:t>
      </w:r>
      <w:r>
        <w:rPr>
          <w:rFonts w:hint="eastAsia"/>
        </w:rPr>
        <w:t>的指标。</w:t>
      </w:r>
    </w:p>
    <w:p>
      <w:pPr>
        <w:ind w:firstLine="560"/>
      </w:pPr>
      <w:r>
        <w:rPr>
          <w:rFonts w:hint="eastAsia"/>
        </w:rPr>
        <w:t>（2）在支撑平台可靠性的保证下，关键高可用业务系统在</w:t>
      </w:r>
      <w:r>
        <w:t>30</w:t>
      </w:r>
      <w:r>
        <w:rPr>
          <w:rFonts w:hint="eastAsia"/>
        </w:rPr>
        <w:t>分钟内恢复运行状态。</w:t>
      </w:r>
    </w:p>
    <w:p>
      <w:pPr>
        <w:pStyle w:val="Heading3"/>
        <w:ind w:firstLine="613"/>
        <w:rPr>
          <w:w w:val="95"/>
        </w:rPr>
      </w:pPr>
      <w:r>
        <w:rPr>
          <w:rFonts w:hint="eastAsia"/>
          <w:w w:val="95"/>
          <w:lang w:eastAsia="zh-CN"/>
        </w:rPr>
        <w:t>7</w:t>
      </w:r>
      <w:r>
        <w:rPr>
          <w:w w:val="95"/>
        </w:rPr>
        <w:t>.4.2</w:t>
      </w:r>
      <w:r>
        <w:rPr>
          <w:rFonts w:hint="eastAsia"/>
          <w:w w:val="95"/>
        </w:rPr>
        <w:t>标准化要求</w:t>
      </w:r>
    </w:p>
    <w:p>
      <w:pPr>
        <w:ind w:firstLine="560"/>
      </w:pPr>
      <w:r>
        <w:rPr>
          <w:rFonts w:hint="eastAsia"/>
        </w:rPr>
        <w:t>在操作方式、运行环境、与其他软件的接口以及开发计划等发生变化时，应具有相应的适应能力。</w:t>
      </w:r>
    </w:p>
    <w:p>
      <w:pPr>
        <w:ind w:firstLine="560"/>
      </w:pPr>
      <w:r>
        <w:rPr>
          <w:rFonts w:hint="eastAsia"/>
        </w:rPr>
        <w:t>系统遵循开放的标准和技术、标准的软件接口开发，采用集群技术提供高可用性，支持异构平台。</w:t>
      </w:r>
    </w:p>
    <w:p>
      <w:pPr>
        <w:pStyle w:val="Heading3"/>
        <w:ind w:firstLine="613"/>
        <w:rPr>
          <w:w w:val="95"/>
        </w:rPr>
      </w:pPr>
      <w:r>
        <w:rPr>
          <w:rFonts w:hint="eastAsia"/>
          <w:w w:val="95"/>
          <w:lang w:eastAsia="zh-CN"/>
        </w:rPr>
        <w:t>7</w:t>
      </w:r>
      <w:r>
        <w:rPr>
          <w:w w:val="95"/>
        </w:rPr>
        <w:t>.4.3</w:t>
      </w:r>
      <w:r>
        <w:rPr>
          <w:rFonts w:hint="eastAsia"/>
          <w:w w:val="95"/>
        </w:rPr>
        <w:t>兼容性要求</w:t>
      </w:r>
    </w:p>
    <w:p>
      <w:pPr>
        <w:ind w:firstLine="560"/>
      </w:pPr>
      <w:r>
        <w:rPr>
          <w:rFonts w:hint="eastAsia"/>
        </w:rPr>
        <w:t>系统软件及平台建设应基本保持与前期版本兼容，保留主要的界面布局和操作方式，简化现有模块向新版本框架移植，基础算法以C/C++/</w:t>
      </w:r>
      <w:r>
        <w:t>P</w:t>
      </w:r>
      <w:r>
        <w:rPr>
          <w:rFonts w:hint="eastAsia"/>
        </w:rPr>
        <w:t>yhton</w:t>
      </w:r>
      <w:r>
        <w:t>/Java</w:t>
      </w:r>
      <w:r>
        <w:rPr>
          <w:rFonts w:hint="eastAsia"/>
        </w:rPr>
        <w:t xml:space="preserve"> 实现，便于在气象大数据云平台上的快速移植；用户界面及交互操作使用 </w:t>
      </w:r>
      <w:r>
        <w:t>HTML5/</w:t>
      </w:r>
      <w:r>
        <w:rPr>
          <w:rFonts w:hint="eastAsia"/>
        </w:rPr>
        <w:t>C#实现，便于利用客户端框架进行功能实现。</w:t>
      </w:r>
    </w:p>
    <w:p>
      <w:pPr>
        <w:pStyle w:val="Heading3"/>
        <w:ind w:firstLine="613"/>
        <w:rPr>
          <w:w w:val="95"/>
        </w:rPr>
      </w:pPr>
      <w:r>
        <w:rPr>
          <w:rFonts w:hint="eastAsia"/>
          <w:w w:val="95"/>
          <w:lang w:eastAsia="zh-CN"/>
        </w:rPr>
        <w:t>7</w:t>
      </w:r>
      <w:r>
        <w:rPr>
          <w:w w:val="95"/>
        </w:rPr>
        <w:t>.4.4</w:t>
      </w:r>
      <w:r>
        <w:rPr>
          <w:rFonts w:hint="eastAsia"/>
          <w:w w:val="95"/>
        </w:rPr>
        <w:t>可维护性要求</w:t>
      </w:r>
    </w:p>
    <w:p>
      <w:pPr>
        <w:ind w:firstLine="560"/>
      </w:pPr>
      <w:r>
        <w:rPr>
          <w:rFonts w:hint="eastAsia"/>
        </w:rPr>
        <w:t>系统软件架构设计应便于软件升级，在不对软件进行大幅调整的情况下可以进行在线升级；离线状态下提供补丁包的方式进行升级；系统各模块之间应保持松耦合，便于各部分独立维护和升级。</w:t>
      </w:r>
    </w:p>
    <w:p>
      <w:pPr>
        <w:pStyle w:val="Heading3"/>
        <w:ind w:firstLine="613"/>
        <w:rPr>
          <w:w w:val="95"/>
        </w:rPr>
      </w:pPr>
      <w:r>
        <w:rPr>
          <w:rFonts w:hint="eastAsia"/>
          <w:w w:val="95"/>
          <w:lang w:eastAsia="zh-CN"/>
        </w:rPr>
        <w:t>7</w:t>
      </w:r>
      <w:r>
        <w:rPr>
          <w:w w:val="95"/>
        </w:rPr>
        <w:t>.4.</w:t>
      </w:r>
      <w:r>
        <w:rPr>
          <w:rFonts w:hint="eastAsia"/>
          <w:w w:val="95"/>
        </w:rPr>
        <w:t>5易用性要求</w:t>
      </w:r>
    </w:p>
    <w:p>
      <w:pPr>
        <w:ind w:firstLine="560"/>
      </w:pPr>
      <w:r>
        <w:rPr>
          <w:rFonts w:hint="eastAsia"/>
        </w:rPr>
        <w:t>在日常的业务运行中，每天</w:t>
      </w:r>
      <w:r>
        <w:t>24</w:t>
      </w:r>
      <w:r>
        <w:rPr>
          <w:rFonts w:hint="eastAsia"/>
        </w:rPr>
        <w:t>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ind w:firstLine="560"/>
      </w:pPr>
      <w:r>
        <w:rPr>
          <w:rFonts w:hint="eastAsia"/>
        </w:rPr>
        <w:t>（1）易理解性标准：</w:t>
      </w:r>
    </w:p>
    <w:p>
      <w:pPr>
        <w:ind w:firstLine="560"/>
      </w:pPr>
      <w:r>
        <w:rPr>
          <w:rFonts w:hint="eastAsi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pPr>
        <w:ind w:firstLine="560"/>
      </w:pPr>
      <w:r>
        <w:rPr>
          <w:rFonts w:hint="eastAsia"/>
        </w:rPr>
        <w:t>软件运行期内的各种监视显示信息是自描述的和图形、图像（二维、三维）化的，与软件的逻辑概念和业务的物理概念是一致的和易于理解的。</w:t>
      </w:r>
    </w:p>
    <w:p>
      <w:pPr>
        <w:ind w:firstLine="560"/>
      </w:pPr>
      <w:r>
        <w:rPr>
          <w:rFonts w:hint="eastAsia"/>
        </w:rPr>
        <w:t>（2）易学性标准：</w:t>
      </w:r>
    </w:p>
    <w:p>
      <w:pPr>
        <w:ind w:firstLine="560"/>
      </w:pPr>
      <w:r>
        <w:rPr>
          <w:rFonts w:hint="eastAsia"/>
        </w:rPr>
        <w:t>用户手册准确无误、易读易懂，能够帮助一般用户很快地了解和使用系统。</w:t>
      </w:r>
    </w:p>
    <w:p>
      <w:pPr>
        <w:ind w:firstLine="560"/>
      </w:pPr>
      <w:r>
        <w:rPr>
          <w:rFonts w:hint="eastAsia"/>
        </w:rPr>
        <w:t>（3）易操作性标准：</w:t>
      </w:r>
    </w:p>
    <w:p>
      <w:pPr>
        <w:ind w:firstLine="560"/>
      </w:pPr>
      <w:r>
        <w:rPr>
          <w:rFonts w:hint="eastAsia"/>
        </w:rPr>
        <w:t>操作界面是图形化的，且具有菜单和快捷键等多种方式；</w:t>
      </w:r>
    </w:p>
    <w:p>
      <w:pPr>
        <w:ind w:firstLine="560"/>
      </w:pPr>
      <w:r>
        <w:rPr>
          <w:rFonts w:hint="eastAsia"/>
        </w:rPr>
        <w:t>操作命令或菜单选择是可导引的，即可引导用户输入正确、完整的命令或完成正确的菜单选择。</w:t>
      </w:r>
    </w:p>
    <w:p>
      <w:pPr>
        <w:pStyle w:val="Heading3"/>
        <w:ind w:firstLine="613"/>
        <w:rPr>
          <w:w w:val="95"/>
        </w:rPr>
      </w:pPr>
      <w:r>
        <w:rPr>
          <w:rFonts w:hint="eastAsia"/>
          <w:w w:val="95"/>
          <w:lang w:eastAsia="zh-CN"/>
        </w:rPr>
        <w:t>7</w:t>
      </w:r>
      <w:r>
        <w:rPr>
          <w:w w:val="95"/>
        </w:rPr>
        <w:t>.4.</w:t>
      </w:r>
      <w:r>
        <w:rPr>
          <w:rFonts w:hint="eastAsia"/>
          <w:w w:val="95"/>
        </w:rPr>
        <w:t>6可扩展性要求</w:t>
      </w:r>
    </w:p>
    <w:p>
      <w:pPr>
        <w:ind w:firstLine="560"/>
      </w:pPr>
      <w:r>
        <w:rPr>
          <w:rFonts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pPr>
        <w:pStyle w:val="Heading3"/>
        <w:ind w:firstLine="613"/>
        <w:rPr>
          <w:b w:val="0"/>
          <w:bCs w:val="0"/>
          <w:w w:val="95"/>
        </w:rPr>
      </w:pPr>
      <w:bookmarkStart w:id="77" w:name="_Hlk198027018"/>
      <w:r>
        <w:rPr>
          <w:rFonts w:hint="eastAsia"/>
          <w:w w:val="95"/>
          <w:lang w:eastAsia="zh-CN"/>
        </w:rPr>
        <w:t>7</w:t>
      </w:r>
      <w:r>
        <w:rPr>
          <w:w w:val="95"/>
        </w:rPr>
        <w:t>.4.</w:t>
      </w:r>
      <w:r>
        <w:rPr>
          <w:rFonts w:hint="eastAsia"/>
          <w:w w:val="95"/>
        </w:rPr>
        <w:t>7集约化要求</w:t>
      </w:r>
    </w:p>
    <w:p>
      <w:pPr>
        <w:ind w:firstLine="560"/>
      </w:pPr>
      <w:r>
        <w:rPr>
          <w:rFonts w:hint="eastAsia"/>
        </w:rPr>
        <w:t>采用“云+端”的技术架构，后台算法、服务、数据由CME结合气象大数据云平台统一管理，基础硬件资源由气象大数据云平台、气象虚拟化资源池提供所需的基础资源支撑，系统运行所需要气象数据的存储环境、底层支撑软件、采集调度处理分发、学习训练环境等应用软件，均复用气象信息中心已有成果，不再单独建设。。</w:t>
      </w:r>
    </w:p>
    <w:p>
      <w:pPr>
        <w:ind w:firstLine="560"/>
        <w:rPr>
          <w:highlight w:val="none"/>
        </w:rPr>
      </w:pPr>
      <w:r>
        <w:rPr>
          <w:rFonts w:hint="eastAsia"/>
        </w:rPr>
        <w:t>本项目建设的各业务分系统需要与CME进行集约化建设、组件化设计。在系统建设过程中，充分复用气象中心已有的CME系统的已有成果，并进行复用功能组件化封装，灵活设计支撑</w:t>
      </w:r>
      <w:r>
        <w:rPr>
          <w:rFonts w:hint="eastAsia"/>
          <w:highlight w:val="none"/>
        </w:rPr>
        <w:t>业务应用。</w:t>
      </w:r>
    </w:p>
    <w:p>
      <w:pPr>
        <w:ind w:firstLine="560"/>
        <w:rPr>
          <w:highlight w:val="none"/>
        </w:rPr>
      </w:pPr>
      <w:r>
        <w:rPr>
          <w:rFonts w:hint="eastAsia"/>
          <w:highlight w:val="none"/>
        </w:rPr>
        <w:t>系统统一设计开放应用框架，通过组件化集成的方式，实现首都气象决策服务应用支撑；并通过开放性的设计，支持现有业务组件的应用以及新组件的融入。</w:t>
      </w:r>
      <w:bookmarkEnd w:id="77"/>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highlight w:val="none"/>
        </w:rPr>
      </w:pPr>
      <w:bookmarkStart w:id="78" w:name="_Hlk198027039"/>
      <w:r>
        <w:rPr>
          <w:rFonts w:ascii="宋体" w:eastAsia="宋体" w:hAnsi="宋体" w:hint="eastAsia"/>
          <w:w w:val="95"/>
          <w:highlight w:val="none"/>
          <w:lang w:eastAsia="zh-CN"/>
        </w:rPr>
        <w:t>7</w:t>
      </w:r>
      <w:r>
        <w:rPr>
          <w:rFonts w:ascii="宋体" w:eastAsia="宋体" w:hAnsi="宋体" w:hint="eastAsia"/>
          <w:w w:val="95"/>
          <w:highlight w:val="none"/>
        </w:rPr>
        <w:t>.5 规范化要求</w:t>
      </w:r>
    </w:p>
    <w:p>
      <w:pPr>
        <w:ind w:firstLine="560"/>
        <w:rPr>
          <w:highlight w:val="none"/>
        </w:rPr>
      </w:pPr>
      <w:r>
        <w:rPr>
          <w:rFonts w:hint="eastAsia"/>
          <w:highlight w:val="none"/>
        </w:rPr>
        <w:t>在首都气象应急调度平台项目建设中，为确保开发工作的规范性、高效性以及与气象中心一体化平台</w:t>
      </w:r>
      <w:r>
        <w:rPr>
          <w:highlight w:val="none"/>
        </w:rPr>
        <w:t xml:space="preserve"> CME </w:t>
      </w:r>
      <w:r>
        <w:rPr>
          <w:rFonts w:hint="eastAsia"/>
          <w:highlight w:val="none"/>
        </w:rPr>
        <w:t>的深度融合，需将</w:t>
      </w:r>
      <w:r>
        <w:rPr>
          <w:highlight w:val="none"/>
        </w:rPr>
        <w:t xml:space="preserve"> CME </w:t>
      </w:r>
      <w:r>
        <w:rPr>
          <w:rFonts w:hint="eastAsia"/>
          <w:highlight w:val="none"/>
        </w:rPr>
        <w:t>开发流程作为重要的开发规范贯穿项目始终。具体内容如下：</w:t>
      </w:r>
    </w:p>
    <w:p>
      <w:pPr>
        <w:ind w:firstLine="560"/>
      </w:pPr>
      <w:r>
        <w:rPr>
          <w:rFonts w:hint="eastAsia"/>
          <w:lang w:eastAsia="zh-CN"/>
        </w:rPr>
        <w:t>7</w:t>
      </w:r>
      <w:r>
        <w:t xml:space="preserve">.5.1 </w:t>
      </w:r>
      <w:r>
        <w:rPr>
          <w:rFonts w:hint="eastAsia"/>
        </w:rPr>
        <w:t>基础框架迁移阶段规范</w:t>
      </w:r>
      <w:r>
        <w:t>​</w:t>
      </w:r>
    </w:p>
    <w:p>
      <w:pPr>
        <w:ind w:firstLine="560"/>
      </w:pPr>
      <w:r>
        <w:rPr>
          <w:rFonts w:hint="eastAsia"/>
          <w:lang w:eastAsia="zh-CN"/>
        </w:rPr>
        <w:t>7</w:t>
      </w:r>
      <w:r>
        <w:t xml:space="preserve">.5.1.1 </w:t>
      </w:r>
      <w:r>
        <w:rPr>
          <w:rFonts w:hint="eastAsia"/>
        </w:rPr>
        <w:t>前端微应用拆分与接入</w:t>
      </w:r>
      <w:r>
        <w:t>​</w:t>
      </w:r>
    </w:p>
    <w:p>
      <w:pPr>
        <w:ind w:firstLine="560"/>
      </w:pPr>
      <w:r>
        <w:rPr>
          <w:rFonts w:hint="eastAsia"/>
        </w:rPr>
        <w:t>依据业务功能特性，将现有前端系统拆分为不同微应用。明确各微应用的功能定位与边界，使其各自独立运行又能协同工作。按照</w:t>
      </w:r>
      <w:r>
        <w:t xml:space="preserve"> CME </w:t>
      </w:r>
      <w:r>
        <w:rPr>
          <w:rFonts w:hint="eastAsia"/>
        </w:rPr>
        <w:t>前端相关规范，对微应用进行初始化环境配置、组件适配和路由系统调整，确保前端界面在风格和交互上保持统一。</w:t>
      </w:r>
      <w:r>
        <w:t>​</w:t>
      </w:r>
    </w:p>
    <w:p>
      <w:pPr>
        <w:ind w:firstLine="560"/>
      </w:pPr>
      <w:r>
        <w:rPr>
          <w:rFonts w:hint="eastAsia"/>
          <w:lang w:eastAsia="zh-CN"/>
        </w:rPr>
        <w:t>7</w:t>
      </w:r>
      <w:r>
        <w:t xml:space="preserve">.5.1.2 </w:t>
      </w:r>
      <w:r>
        <w:rPr>
          <w:rFonts w:hint="eastAsia"/>
        </w:rPr>
        <w:t>后端服务重构与标准化</w:t>
      </w:r>
      <w:r>
        <w:t>​</w:t>
      </w:r>
    </w:p>
    <w:p>
      <w:pPr>
        <w:ind w:firstLine="560"/>
      </w:pPr>
      <w:r>
        <w:rPr>
          <w:rFonts w:hint="eastAsia"/>
        </w:rPr>
        <w:t>将后端服务架构迁移至符合</w:t>
      </w:r>
      <w:r>
        <w:t xml:space="preserve"> CME </w:t>
      </w:r>
      <w:r>
        <w:rPr>
          <w:rFonts w:hint="eastAsia"/>
        </w:rPr>
        <w:t>要求的框架。对现有接口进行改造，统一接口标准，保障服务访问安全。建立标准化的数据访问管理机制，优化数据操作流程。同时，规范项目的依赖管理、配置管理和日志管理，实现后端开发工程的标准化建设。</w:t>
      </w:r>
      <w:r>
        <w:t>​</w:t>
      </w:r>
    </w:p>
    <w:p>
      <w:pPr>
        <w:ind w:firstLine="560"/>
      </w:pPr>
      <w:r>
        <w:rPr>
          <w:rFonts w:hint="eastAsia"/>
          <w:lang w:eastAsia="zh-CN"/>
        </w:rPr>
        <w:t>7</w:t>
      </w:r>
      <w:r>
        <w:t xml:space="preserve">.5.1.3 </w:t>
      </w:r>
      <w:r>
        <w:rPr>
          <w:rFonts w:hint="eastAsia"/>
        </w:rPr>
        <w:t>质量保障与联调机制</w:t>
      </w:r>
      <w:r>
        <w:t>​</w:t>
      </w:r>
    </w:p>
    <w:p>
      <w:pPr>
        <w:ind w:firstLine="560"/>
      </w:pPr>
      <w:r>
        <w:rPr>
          <w:rFonts w:hint="eastAsia"/>
        </w:rPr>
        <w:t>建立前端和后端的质量检测机制，通过多轮测试检查功能完整性、性能表现和兼容性。采用合理的开发模式，规划前后端联调流程，利用模拟服务等手段提升开发效率，并制定完善的问题处理和版本发布策略，确保联调工作顺利进行。</w:t>
      </w:r>
      <w:r>
        <w:t>​</w:t>
      </w:r>
    </w:p>
    <w:p>
      <w:pPr>
        <w:ind w:firstLine="560"/>
      </w:pPr>
      <w:r>
        <w:rPr>
          <w:rFonts w:hint="eastAsia"/>
          <w:lang w:eastAsia="zh-CN"/>
        </w:rPr>
        <w:t>7</w:t>
      </w:r>
      <w:r>
        <w:t xml:space="preserve">.5.2 </w:t>
      </w:r>
      <w:r>
        <w:rPr>
          <w:rFonts w:hint="eastAsia"/>
        </w:rPr>
        <w:t>数据服务整合阶段规范</w:t>
      </w:r>
      <w:r>
        <w:t>​</w:t>
      </w:r>
    </w:p>
    <w:p>
      <w:pPr>
        <w:ind w:firstLine="560"/>
      </w:pPr>
      <w:r>
        <w:rPr>
          <w:rFonts w:hint="eastAsia"/>
        </w:rPr>
        <w:t>以</w:t>
      </w:r>
      <w:r>
        <w:t xml:space="preserve"> CME </w:t>
      </w:r>
      <w:r>
        <w:rPr>
          <w:rFonts w:hint="eastAsia"/>
        </w:rPr>
        <w:t>数字预报基座服务作为统一数据源开展开发工作。遵循</w:t>
      </w:r>
      <w:r>
        <w:t xml:space="preserve"> CME </w:t>
      </w:r>
      <w:r>
        <w:rPr>
          <w:rFonts w:hint="eastAsia"/>
        </w:rPr>
        <w:t>数据服务规范，对各类气象相关数据进行清洗、转换和标准化处理，构建统一的数据存储模型。为不同业务组件提供标准化的数据接口，实现数据的统一管理与高效共享，满足各业务场景的数据使用需求。</w:t>
      </w:r>
      <w:r>
        <w:t>​</w:t>
      </w:r>
    </w:p>
    <w:p>
      <w:pPr>
        <w:ind w:firstLine="560"/>
      </w:pPr>
      <w:r>
        <w:rPr>
          <w:rFonts w:hint="eastAsia"/>
          <w:lang w:eastAsia="zh-CN"/>
        </w:rPr>
        <w:t>7</w:t>
      </w:r>
      <w:r>
        <w:t xml:space="preserve">.5.3 </w:t>
      </w:r>
      <w:r>
        <w:rPr>
          <w:rFonts w:hint="eastAsia"/>
        </w:rPr>
        <w:t>算法服务开发阶段规范</w:t>
      </w:r>
      <w:r>
        <w:t>​</w:t>
      </w:r>
    </w:p>
    <w:p>
      <w:pPr>
        <w:ind w:firstLine="560"/>
      </w:pPr>
      <w:r>
        <w:rPr>
          <w:rFonts w:hint="eastAsia"/>
        </w:rPr>
        <w:t>按照</w:t>
      </w:r>
      <w:r>
        <w:t xml:space="preserve"> CME </w:t>
      </w:r>
      <w:r>
        <w:rPr>
          <w:rFonts w:hint="eastAsia"/>
        </w:rPr>
        <w:t>算法规范开发相关算法。对算法进行标准化封装，形成统一的接口形式。将封装好的算法注册并提交至</w:t>
      </w:r>
      <w:r>
        <w:t xml:space="preserve"> CME </w:t>
      </w:r>
      <w:r>
        <w:rPr>
          <w:rFonts w:hint="eastAsia"/>
        </w:rPr>
        <w:t>算法仓库，完成算法部署，利用平台调度功能合理分配资源，保障算法稳定运行。</w:t>
      </w:r>
      <w:r>
        <w:t>​</w:t>
      </w:r>
    </w:p>
    <w:p>
      <w:pPr>
        <w:ind w:firstLine="560"/>
      </w:pPr>
      <w:r>
        <w:rPr>
          <w:rFonts w:hint="eastAsia"/>
          <w:lang w:eastAsia="zh-CN"/>
        </w:rPr>
        <w:t>7</w:t>
      </w:r>
      <w:r>
        <w:t xml:space="preserve">.5.4 </w:t>
      </w:r>
      <w:r>
        <w:rPr>
          <w:rFonts w:hint="eastAsia"/>
        </w:rPr>
        <w:t>业务组件开发阶段规范</w:t>
      </w:r>
      <w:r>
        <w:t>​</w:t>
      </w:r>
    </w:p>
    <w:p>
      <w:pPr>
        <w:ind w:firstLine="560"/>
      </w:pPr>
      <w:r>
        <w:rPr>
          <w:rFonts w:hint="eastAsia"/>
        </w:rPr>
        <w:t>基于</w:t>
      </w:r>
      <w:r>
        <w:t xml:space="preserve"> CME </w:t>
      </w:r>
      <w:r>
        <w:rPr>
          <w:rFonts w:hint="eastAsia"/>
        </w:rPr>
        <w:t>前端引擎，按照组件开发规范进行业务组件开发。遵循组件化设计原则，提高组件的复用性和可维护性。开发完成后，将业务组件上传至</w:t>
      </w:r>
      <w:r>
        <w:t xml:space="preserve"> CME </w:t>
      </w:r>
      <w:r>
        <w:rPr>
          <w:rFonts w:hint="eastAsia"/>
        </w:rPr>
        <w:t>组件仓库，按分类标准进行注册与发布，并做好组件的版本更新和维护工作。</w:t>
      </w:r>
      <w:r>
        <w:t>​</w:t>
      </w:r>
    </w:p>
    <w:p>
      <w:pPr>
        <w:ind w:firstLine="560"/>
      </w:pPr>
      <w:r>
        <w:rPr>
          <w:rFonts w:hint="eastAsia"/>
          <w:lang w:eastAsia="zh-CN"/>
        </w:rPr>
        <w:t>7</w:t>
      </w:r>
      <w:r>
        <w:t xml:space="preserve">.5.5 </w:t>
      </w:r>
      <w:r>
        <w:rPr>
          <w:rFonts w:hint="eastAsia"/>
        </w:rPr>
        <w:t>应用场景集成阶段规范</w:t>
      </w:r>
      <w:r>
        <w:t>​</w:t>
      </w:r>
    </w:p>
    <w:p>
      <w:pPr>
        <w:ind w:firstLine="560"/>
      </w:pPr>
      <w:r>
        <w:rPr>
          <w:rFonts w:hint="eastAsia"/>
        </w:rPr>
        <w:t>结合项目业务需求和</w:t>
      </w:r>
      <w:r>
        <w:t xml:space="preserve"> CME </w:t>
      </w:r>
      <w:r>
        <w:rPr>
          <w:rFonts w:hint="eastAsia"/>
        </w:rPr>
        <w:t>框架要求，设计业务流程，将各个业务组件进行整合。通过配置化方式实现组件间的数据交互与功能协作，构建统一的前端应用场景，为用户提供便捷、高效的业务操作体验。</w:t>
      </w:r>
      <w:r>
        <w:t>​</w:t>
      </w:r>
    </w:p>
    <w:p>
      <w:pPr>
        <w:ind w:firstLine="560"/>
      </w:pPr>
      <w:r>
        <w:rPr>
          <w:rFonts w:hint="eastAsia"/>
          <w:lang w:eastAsia="zh-CN"/>
        </w:rPr>
        <w:t>7</w:t>
      </w:r>
      <w:r>
        <w:t xml:space="preserve">.5.6 </w:t>
      </w:r>
      <w:r>
        <w:rPr>
          <w:rFonts w:hint="eastAsia"/>
        </w:rPr>
        <w:t>统一运行管理规范</w:t>
      </w:r>
      <w:r>
        <w:t>​</w:t>
      </w:r>
    </w:p>
    <w:p>
      <w:pPr>
        <w:ind w:firstLine="560"/>
      </w:pPr>
      <w:r>
        <w:rPr>
          <w:rFonts w:hint="eastAsia"/>
        </w:rPr>
        <w:t>将开发完成的前端应用和后端算法纳入气象中心</w:t>
      </w:r>
      <w:r>
        <w:t>CME</w:t>
      </w:r>
      <w:r>
        <w:rPr>
          <w:rFonts w:hint="eastAsia"/>
        </w:rPr>
        <w:t>业务集群进行集中管理，实现对业务流程、数据应用、算法运行等方面的全面监控。引入</w:t>
      </w:r>
      <w:r>
        <w:t xml:space="preserve">DevOps </w:t>
      </w:r>
      <w:r>
        <w:rPr>
          <w:rFonts w:hint="eastAsia"/>
        </w:rPr>
        <w:t>（可持续化集成）流程后：开发人员提交代码气象中心</w:t>
      </w:r>
      <w:r>
        <w:t>GIT</w:t>
      </w:r>
      <w:r>
        <w:rPr>
          <w:rFonts w:hint="eastAsia"/>
        </w:rPr>
        <w:t>仓库后，进行自动化构建和测试；测试通过后，将代码部署到测试环境进一步检测；再次通过测试后，部署到生产环境，并采用合适的部署策略保障业务连续性；同时，实时收集运行数据，分析系统问题并反馈给开发团队，推动系统持续优化。</w:t>
      </w:r>
      <w:bookmarkEnd w:id="78"/>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.6设计约束与要求</w:t>
      </w:r>
    </w:p>
    <w:p>
      <w:pPr>
        <w:ind w:firstLine="560"/>
      </w:pPr>
      <w:r>
        <w:rPr>
          <w:rFonts w:hint="eastAsia"/>
        </w:rPr>
        <w:t>1</w:t>
      </w:r>
      <w:r>
        <w:t>、</w:t>
      </w:r>
      <w:r>
        <w:rPr>
          <w:rFonts w:hint="eastAsia"/>
        </w:rPr>
        <w:t>所有资源建设，应来自于“天擎”大数据云平台资源池或国家气象中心本地资源池。</w:t>
      </w:r>
    </w:p>
    <w:p>
      <w:pPr>
        <w:ind w:firstLine="560"/>
      </w:pPr>
      <w:r>
        <w:rPr>
          <w:rFonts w:hint="eastAsia"/>
        </w:rPr>
        <w:t>2、采用成熟可靠的技术、遵循通用开放的标准，构建安全、可靠、实时、易用的服务平台；</w:t>
      </w:r>
    </w:p>
    <w:p>
      <w:pPr>
        <w:ind w:firstLine="560"/>
      </w:pPr>
      <w:r>
        <w:t>3、B/S</w:t>
      </w:r>
      <w:r>
        <w:rPr>
          <w:rFonts w:hint="eastAsia"/>
        </w:rPr>
        <w:t>系统采用</w:t>
      </w:r>
      <w:r>
        <w:t>JAVAEE</w:t>
      </w:r>
      <w:r>
        <w:rPr>
          <w:rFonts w:hint="eastAsia"/>
        </w:rPr>
        <w:t>（</w:t>
      </w:r>
      <w:r>
        <w:t>J2EE</w:t>
      </w:r>
      <w:r>
        <w:rPr>
          <w:rFonts w:hint="eastAsia"/>
        </w:rPr>
        <w:t>）技术架构，系统界面采用浏览器方式；</w:t>
      </w:r>
    </w:p>
    <w:p>
      <w:pPr>
        <w:ind w:firstLine="560"/>
      </w:pPr>
      <w:r>
        <w:rPr>
          <w:rFonts w:hint="eastAsia"/>
        </w:rPr>
        <w:t>4、在技术实现上要满足系统后台运行环境支持国产操作系统（比如中标麒麟）；系统部署</w:t>
      </w:r>
      <w:r>
        <w:t>支持气象大数据云平台</w:t>
      </w:r>
      <w:r>
        <w:rPr>
          <w:rFonts w:hint="eastAsia"/>
        </w:rPr>
        <w:t>；</w:t>
      </w:r>
    </w:p>
    <w:p>
      <w:pPr>
        <w:ind w:firstLine="560"/>
      </w:pPr>
      <w:r>
        <w:t>5、</w:t>
      </w:r>
      <w:r>
        <w:rPr>
          <w:rFonts w:hint="eastAsia"/>
        </w:rPr>
        <w:t>支持并兼容</w:t>
      </w:r>
      <w:r>
        <w:t>Chrome</w:t>
      </w:r>
      <w:r>
        <w:rPr>
          <w:rFonts w:hint="eastAsia"/>
        </w:rPr>
        <w:t>、</w:t>
      </w:r>
      <w:r>
        <w:t>Firefox</w:t>
      </w:r>
      <w:r>
        <w:rPr>
          <w:rFonts w:hint="eastAsia"/>
        </w:rPr>
        <w:t>等主流浏览器的最新版本；</w:t>
      </w:r>
    </w:p>
    <w:p>
      <w:pPr>
        <w:ind w:firstLine="560"/>
      </w:pPr>
      <w:r>
        <w:rPr>
          <w:rFonts w:hint="eastAsia"/>
        </w:rPr>
        <w:t>6、提供包括功能接口和轻量级数据计算服务接口的接口服务，功能接口部署在虚拟资源池，轻量级数据计算服务接口部署在天擎容器云。针对大量的数据服务或计算服务业务需求，需通过计算服务接口实现，即加工流水线实现；</w:t>
      </w:r>
    </w:p>
    <w:p>
      <w:pPr>
        <w:ind w:firstLine="560"/>
      </w:pPr>
      <w:r>
        <w:rPr>
          <w:rFonts w:hint="eastAsia"/>
        </w:rPr>
        <w:t>7、算法要求集成在业务应用的微服务中，该业务应用应在</w:t>
      </w:r>
      <w:r>
        <w:t>CME</w:t>
      </w:r>
      <w:r>
        <w:rPr>
          <w:rFonts w:hint="eastAsia"/>
        </w:rPr>
        <w:t>开发脚手架的基础上开发。</w:t>
      </w:r>
    </w:p>
    <w:p>
      <w:pPr>
        <w:ind w:firstLine="560"/>
      </w:pP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.7技术团队要求</w:t>
      </w:r>
    </w:p>
    <w:p>
      <w:pPr>
        <w:ind w:firstLine="560"/>
      </w:pPr>
      <w:r>
        <w:rPr>
          <w:rFonts w:hint="eastAsia"/>
        </w:rPr>
        <w:t>由于项目规模较大，专业性和技术性强，供应商应具有一定的专业技术资质资格和业绩条件，有能力完成项目的建设并保证后续的运行维护和系统升级服务。</w:t>
      </w:r>
    </w:p>
    <w:p>
      <w:pPr>
        <w:ind w:firstLine="560"/>
      </w:pPr>
      <w:r>
        <w:rPr>
          <w:rFonts w:hint="eastAsia"/>
        </w:rPr>
        <w:t>由于本项目建设内容复杂且建设周期相对较长，需要有一定实力的团队驻场服务并在建设期专职负责本项目建设，因此需要一定的技术团队实力，项目经理和团队人员都需要具有一定的经验和技术能力。</w:t>
      </w:r>
    </w:p>
    <w:p>
      <w:pPr>
        <w:ind w:firstLine="560"/>
      </w:pPr>
      <w:r>
        <w:rPr>
          <w:rFonts w:hint="eastAsia"/>
        </w:rPr>
        <w:t>投标人必须成立合理的组织机构，建立健全保障设计、开发工作顺利实施的各项管理制度和质量保证体系，安排好足够的高素质人才参加本项目工作。</w:t>
      </w:r>
    </w:p>
    <w:p>
      <w:pPr>
        <w:ind w:firstLine="560"/>
      </w:pPr>
      <w:r>
        <w:rPr>
          <w:rFonts w:hint="eastAsia"/>
        </w:rPr>
        <w:t>在组织机构中应明确各岗位的职责、任职资格及成果，确保项目顺利实施，应分别配备有项目经理、技术负责人承担本项目工作。</w:t>
      </w:r>
    </w:p>
    <w:p>
      <w:pPr>
        <w:ind w:firstLine="560"/>
      </w:pPr>
      <w:r>
        <w:rPr>
          <w:rFonts w:hint="eastAsia"/>
        </w:rPr>
        <w:t>投标人应确保服务于本项目的核心技术人员及主要开发人员稳定，团队人数至少8人，驻场不少于3人。未经甲方允许不得调整核心团队成员，甲方有权要求更换投标人项目团队成员。</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.8项目实施进度要求</w:t>
      </w:r>
    </w:p>
    <w:p>
      <w:pPr>
        <w:ind w:firstLine="560"/>
      </w:pPr>
      <w:r>
        <w:rPr>
          <w:rFonts w:hint="eastAsia"/>
        </w:rPr>
        <w:t>本项目建设周期为</w:t>
      </w:r>
      <w:r>
        <w:t>12</w:t>
      </w:r>
      <w:r>
        <w:rPr>
          <w:rFonts w:hint="eastAsia"/>
        </w:rPr>
        <w:t>个月，试运行</w:t>
      </w:r>
      <w:r>
        <w:t>6</w:t>
      </w:r>
      <w:r>
        <w:rPr>
          <w:rFonts w:hint="eastAsia"/>
        </w:rPr>
        <w:t>个月。</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.9软件交付物要求</w:t>
      </w:r>
    </w:p>
    <w:p>
      <w:pPr>
        <w:pStyle w:val="NormalIndent"/>
        <w:spacing w:before="50" w:after="50"/>
        <w:ind w:firstLine="480"/>
        <w:rPr>
          <w:sz w:val="24"/>
        </w:rPr>
      </w:pPr>
      <w:r>
        <w:rPr>
          <w:rFonts w:hint="eastAsia"/>
          <w:sz w:val="24"/>
        </w:rPr>
        <w:t>（</w:t>
      </w:r>
      <w:r>
        <w:rPr>
          <w:sz w:val="24"/>
        </w:rPr>
        <w:t>1</w:t>
      </w:r>
      <w:r>
        <w:rPr>
          <w:rFonts w:hint="eastAsia"/>
          <w:sz w:val="24"/>
        </w:rPr>
        <w:t>）产品交付物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1421"/>
        <w:gridCol w:w="7260"/>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jc w:val="center"/>
        </w:trPr>
        <w:tc>
          <w:tcPr>
            <w:tcW w:w="1421" w:type="dxa"/>
            <w:shd w:val="pct10" w:color="auto" w:fill="auto"/>
          </w:tcPr>
          <w:p>
            <w:pPr>
              <w:jc w:val="center"/>
            </w:pPr>
            <w:r>
              <w:rPr>
                <w:rFonts w:hint="eastAsia"/>
              </w:rPr>
              <w:t>序号</w:t>
            </w:r>
          </w:p>
        </w:tc>
        <w:tc>
          <w:tcPr>
            <w:tcW w:w="7260" w:type="dxa"/>
            <w:shd w:val="pct10" w:color="auto" w:fill="auto"/>
          </w:tcPr>
          <w:p>
            <w:pPr>
              <w:jc w:val="center"/>
            </w:pPr>
            <w:r>
              <w:rPr>
                <w:rFonts w:hint="eastAsia"/>
              </w:rPr>
              <w:t>产品名称</w:t>
            </w:r>
          </w:p>
        </w:tc>
      </w:tr>
      <w:tr>
        <w:tblPrEx>
          <w:tblW w:w="0" w:type="auto"/>
          <w:jc w:val="center"/>
          <w:tblCellMar>
            <w:top w:w="0" w:type="dxa"/>
            <w:left w:w="108" w:type="dxa"/>
            <w:bottom w:w="0" w:type="dxa"/>
            <w:right w:w="108" w:type="dxa"/>
          </w:tblCellMar>
        </w:tblPrEx>
        <w:trPr>
          <w:jc w:val="center"/>
        </w:trPr>
        <w:tc>
          <w:tcPr>
            <w:tcW w:w="1421" w:type="dxa"/>
          </w:tcPr>
          <w:p>
            <w:pPr>
              <w:ind w:firstLine="560"/>
            </w:pPr>
            <w:r>
              <w:t>1</w:t>
            </w:r>
          </w:p>
        </w:tc>
        <w:tc>
          <w:tcPr>
            <w:tcW w:w="7260" w:type="dxa"/>
          </w:tcPr>
          <w:p>
            <w:pPr>
              <w:jc w:val="center"/>
            </w:pPr>
            <w:r>
              <w:rPr>
                <w:rFonts w:hint="eastAsia"/>
              </w:rPr>
              <w:t>应用软件安装包</w:t>
            </w:r>
          </w:p>
        </w:tc>
      </w:tr>
      <w:tr>
        <w:tblPrEx>
          <w:tblW w:w="0" w:type="auto"/>
          <w:jc w:val="center"/>
          <w:tblCellMar>
            <w:top w:w="0" w:type="dxa"/>
            <w:left w:w="108" w:type="dxa"/>
            <w:bottom w:w="0" w:type="dxa"/>
            <w:right w:w="108" w:type="dxa"/>
          </w:tblCellMar>
        </w:tblPrEx>
        <w:trPr>
          <w:jc w:val="center"/>
        </w:trPr>
        <w:tc>
          <w:tcPr>
            <w:tcW w:w="1421" w:type="dxa"/>
          </w:tcPr>
          <w:p>
            <w:pPr>
              <w:ind w:firstLine="560"/>
            </w:pPr>
            <w:r>
              <w:t>2</w:t>
            </w:r>
          </w:p>
        </w:tc>
        <w:tc>
          <w:tcPr>
            <w:tcW w:w="7260" w:type="dxa"/>
          </w:tcPr>
          <w:p>
            <w:pPr>
              <w:jc w:val="center"/>
            </w:pPr>
            <w:r>
              <w:rPr>
                <w:rFonts w:hint="eastAsia"/>
              </w:rPr>
              <w:t>源代码、工程文件及程序说明</w:t>
            </w:r>
          </w:p>
        </w:tc>
      </w:tr>
    </w:tbl>
    <w:p>
      <w:pPr>
        <w:pStyle w:val="NormalIndent"/>
        <w:spacing w:before="312" w:beforeLines="100" w:after="50"/>
        <w:ind w:firstLine="480"/>
        <w:rPr>
          <w:sz w:val="24"/>
        </w:rPr>
      </w:pPr>
      <w:r>
        <w:rPr>
          <w:rFonts w:hint="eastAsia"/>
          <w:sz w:val="24"/>
        </w:rPr>
        <w:t>（</w:t>
      </w:r>
      <w:r>
        <w:rPr>
          <w:sz w:val="24"/>
        </w:rPr>
        <w:t>2</w:t>
      </w:r>
      <w:r>
        <w:rPr>
          <w:rFonts w:hint="eastAsia"/>
          <w:sz w:val="24"/>
        </w:rPr>
        <w:t>）文档交付物</w:t>
      </w:r>
    </w:p>
    <w:tbl>
      <w:tblPr>
        <w:tblStyle w:val="TableNormal"/>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3533"/>
        <w:gridCol w:w="4687"/>
      </w:tblGrid>
      <w:tr>
        <w:tblPrEx>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shd w:val="pct10" w:color="auto" w:fill="auto"/>
            <w:vAlign w:val="center"/>
          </w:tcPr>
          <w:p>
            <w:pPr>
              <w:jc w:val="center"/>
            </w:pPr>
            <w:r>
              <w:rPr>
                <w:rFonts w:hint="eastAsia"/>
              </w:rPr>
              <w:t>工作内容</w:t>
            </w:r>
          </w:p>
        </w:tc>
        <w:tc>
          <w:tcPr>
            <w:tcW w:w="2851" w:type="pct"/>
            <w:tcBorders>
              <w:top w:val="single" w:sz="4" w:space="0" w:color="000000"/>
              <w:left w:val="single" w:sz="4" w:space="0" w:color="000000"/>
              <w:bottom w:val="single" w:sz="4" w:space="0" w:color="000000"/>
              <w:right w:val="single" w:sz="4" w:space="0" w:color="000000"/>
            </w:tcBorders>
            <w:shd w:val="pct10" w:color="auto" w:fill="auto"/>
            <w:vAlign w:val="center"/>
          </w:tcPr>
          <w:p>
            <w:pPr>
              <w:ind w:firstLine="27" w:firstLineChars="13"/>
              <w:jc w:val="center"/>
            </w:pPr>
            <w:r>
              <w:rPr>
                <w:rFonts w:hint="eastAsia"/>
              </w:rPr>
              <w:t>技术文档</w:t>
            </w:r>
          </w:p>
        </w:tc>
      </w:tr>
      <w:tr>
        <w:tblPrEx>
          <w:tblW w:w="4565" w:type="pct"/>
          <w:jc w:val="center"/>
          <w:tblCellMar>
            <w:top w:w="0" w:type="dxa"/>
            <w:left w:w="108" w:type="dxa"/>
            <w:bottom w:w="0" w:type="dxa"/>
            <w:right w:w="108" w:type="dxa"/>
          </w:tblCellMar>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vAlign w:val="center"/>
          </w:tcPr>
          <w:p>
            <w:pPr>
              <w:jc w:val="center"/>
            </w:pPr>
            <w:r>
              <w:rPr>
                <w:rFonts w:hint="eastAsia"/>
              </w:rPr>
              <w:t>需求分析</w:t>
            </w: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软件需求规格说明书</w:t>
            </w:r>
          </w:p>
        </w:tc>
      </w:tr>
      <w:tr>
        <w:tblPrEx>
          <w:tblW w:w="4565" w:type="pct"/>
          <w:jc w:val="center"/>
          <w:tblCellMar>
            <w:top w:w="0" w:type="dxa"/>
            <w:left w:w="108" w:type="dxa"/>
            <w:bottom w:w="0" w:type="dxa"/>
            <w:right w:w="108" w:type="dxa"/>
          </w:tblCellMar>
        </w:tblPrEx>
        <w:trPr>
          <w:trHeight w:val="586"/>
          <w:jc w:val="center"/>
        </w:trPr>
        <w:tc>
          <w:tcPr>
            <w:tcW w:w="2149" w:type="pct"/>
            <w:vMerge w:val="restart"/>
            <w:tcBorders>
              <w:top w:val="single" w:sz="4" w:space="0" w:color="000000"/>
              <w:left w:val="single" w:sz="4" w:space="0" w:color="000000"/>
              <w:right w:val="single" w:sz="4" w:space="0" w:color="000000"/>
            </w:tcBorders>
            <w:vAlign w:val="center"/>
          </w:tcPr>
          <w:p>
            <w:pPr>
              <w:jc w:val="center"/>
            </w:pPr>
            <w:r>
              <w:rPr>
                <w:rFonts w:hint="eastAsia"/>
              </w:rPr>
              <w:t>设计和开发</w:t>
            </w: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概要设计说明书</w:t>
            </w:r>
          </w:p>
        </w:tc>
      </w:tr>
      <w:tr>
        <w:tblPrEx>
          <w:tblW w:w="4565" w:type="pct"/>
          <w:jc w:val="center"/>
          <w:tblCellMar>
            <w:top w:w="0" w:type="dxa"/>
            <w:left w:w="108" w:type="dxa"/>
            <w:bottom w:w="0" w:type="dxa"/>
            <w:right w:w="108" w:type="dxa"/>
          </w:tblCellMar>
        </w:tblPrEx>
        <w:trPr>
          <w:trHeight w:val="586"/>
          <w:jc w:val="center"/>
        </w:trPr>
        <w:tc>
          <w:tcPr>
            <w:tcW w:w="2149" w:type="pct"/>
            <w:vMerge/>
            <w:tcBorders>
              <w:left w:val="single" w:sz="4" w:space="0" w:color="000000"/>
              <w:bottom w:val="single" w:sz="4" w:space="0" w:color="000000"/>
              <w:right w:val="single" w:sz="4" w:space="0" w:color="000000"/>
            </w:tcBorders>
            <w:vAlign w:val="center"/>
          </w:tcPr>
          <w:p>
            <w:pPr>
              <w:jc w:val="center"/>
            </w:pP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详细设计说明书</w:t>
            </w:r>
          </w:p>
        </w:tc>
      </w:tr>
      <w:tr>
        <w:tblPrEx>
          <w:tblW w:w="4565" w:type="pct"/>
          <w:jc w:val="center"/>
          <w:tblCellMar>
            <w:top w:w="0" w:type="dxa"/>
            <w:left w:w="108" w:type="dxa"/>
            <w:bottom w:w="0" w:type="dxa"/>
            <w:right w:w="108" w:type="dxa"/>
          </w:tblCellMar>
        </w:tblPrEx>
        <w:trPr>
          <w:trHeight w:val="586"/>
          <w:jc w:val="center"/>
        </w:trPr>
        <w:tc>
          <w:tcPr>
            <w:tcW w:w="2149" w:type="pct"/>
            <w:vMerge w:val="restart"/>
            <w:tcBorders>
              <w:top w:val="single" w:sz="4" w:space="0" w:color="000000"/>
              <w:left w:val="single" w:sz="4" w:space="0" w:color="000000"/>
              <w:bottom w:val="single" w:sz="4" w:space="0" w:color="000000"/>
              <w:right w:val="single" w:sz="4" w:space="0" w:color="000000"/>
            </w:tcBorders>
            <w:vAlign w:val="center"/>
          </w:tcPr>
          <w:p>
            <w:pPr>
              <w:jc w:val="center"/>
            </w:pPr>
            <w:r>
              <w:rPr>
                <w:rFonts w:hint="eastAsia"/>
              </w:rPr>
              <w:t>测试</w:t>
            </w: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软件系统测试方案</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jc w:val="center"/>
            </w:pPr>
          </w:p>
        </w:tc>
        <w:tc>
          <w:tcPr>
            <w:tcW w:w="2851" w:type="pct"/>
            <w:tcBorders>
              <w:top w:val="single" w:sz="4" w:space="0" w:color="000000"/>
              <w:left w:val="single" w:sz="4" w:space="0" w:color="000000"/>
              <w:bottom w:val="single" w:sz="4" w:space="0" w:color="000000"/>
              <w:right w:val="single" w:sz="4" w:space="0" w:color="000000"/>
            </w:tcBorders>
            <w:vAlign w:val="center"/>
          </w:tcPr>
          <w:p>
            <w:pPr>
              <w:spacing w:before="156" w:beforeLines="50" w:after="156" w:afterLines="50"/>
              <w:ind w:firstLine="27" w:firstLineChars="13"/>
              <w:jc w:val="center"/>
            </w:pPr>
            <w:r>
              <w:rPr>
                <w:rFonts w:hint="eastAsia"/>
              </w:rPr>
              <w:t>软件系统测试报告</w:t>
            </w:r>
          </w:p>
        </w:tc>
      </w:tr>
      <w:tr>
        <w:tblPrEx>
          <w:tblW w:w="4565" w:type="pct"/>
          <w:jc w:val="center"/>
          <w:tblCellMar>
            <w:top w:w="0" w:type="dxa"/>
            <w:left w:w="108" w:type="dxa"/>
            <w:bottom w:w="0" w:type="dxa"/>
            <w:right w:w="108" w:type="dxa"/>
          </w:tblCellMar>
        </w:tblPrEx>
        <w:trPr>
          <w:trHeight w:val="601"/>
          <w:jc w:val="center"/>
        </w:trPr>
        <w:tc>
          <w:tcPr>
            <w:tcW w:w="2149" w:type="pct"/>
            <w:vMerge w:val="restart"/>
            <w:tcBorders>
              <w:top w:val="single" w:sz="4" w:space="0" w:color="000000"/>
              <w:left w:val="single" w:sz="4" w:space="0" w:color="000000"/>
              <w:bottom w:val="single" w:sz="4" w:space="0" w:color="000000"/>
              <w:right w:val="single" w:sz="4" w:space="0" w:color="000000"/>
            </w:tcBorders>
            <w:vAlign w:val="center"/>
          </w:tcPr>
          <w:p>
            <w:pPr>
              <w:jc w:val="center"/>
            </w:pPr>
            <w:r>
              <w:rPr>
                <w:rFonts w:hint="eastAsia"/>
              </w:rPr>
              <w:t>试运行</w:t>
            </w: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用户手册</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jc w:val="center"/>
            </w:pPr>
          </w:p>
        </w:tc>
        <w:tc>
          <w:tcPr>
            <w:tcW w:w="2851" w:type="pct"/>
            <w:tcBorders>
              <w:top w:val="single" w:sz="4" w:space="0" w:color="000000"/>
              <w:left w:val="single" w:sz="4" w:space="0" w:color="000000"/>
              <w:bottom w:val="single" w:sz="4" w:space="0" w:color="000000"/>
              <w:right w:val="single" w:sz="4" w:space="0" w:color="000000"/>
            </w:tcBorders>
            <w:vAlign w:val="center"/>
          </w:tcPr>
          <w:p>
            <w:pPr>
              <w:spacing w:before="156" w:beforeLines="50" w:after="156" w:afterLines="50"/>
              <w:ind w:firstLine="27" w:firstLineChars="13"/>
              <w:jc w:val="center"/>
            </w:pPr>
            <w:r>
              <w:rPr>
                <w:rFonts w:hint="eastAsia"/>
              </w:rPr>
              <w:t>软件程序及模块清单</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jc w:val="center"/>
            </w:pPr>
          </w:p>
        </w:tc>
        <w:tc>
          <w:tcPr>
            <w:tcW w:w="2851" w:type="pct"/>
            <w:tcBorders>
              <w:top w:val="single" w:sz="4" w:space="0" w:color="000000"/>
              <w:left w:val="single" w:sz="4" w:space="0" w:color="000000"/>
              <w:bottom w:val="single" w:sz="4" w:space="0" w:color="000000"/>
              <w:right w:val="single" w:sz="4" w:space="0" w:color="000000"/>
            </w:tcBorders>
            <w:vAlign w:val="center"/>
          </w:tcPr>
          <w:p>
            <w:pPr>
              <w:spacing w:before="156" w:beforeLines="50" w:after="156" w:afterLines="50"/>
              <w:ind w:firstLine="27" w:firstLineChars="13"/>
              <w:jc w:val="center"/>
            </w:pPr>
            <w:r>
              <w:rPr>
                <w:rFonts w:hint="eastAsia"/>
              </w:rPr>
              <w:t>试运行方案</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jc w:val="center"/>
            </w:pPr>
          </w:p>
        </w:tc>
        <w:tc>
          <w:tcPr>
            <w:tcW w:w="2851" w:type="pct"/>
            <w:tcBorders>
              <w:top w:val="single" w:sz="4" w:space="0" w:color="000000"/>
              <w:left w:val="single" w:sz="4" w:space="0" w:color="000000"/>
              <w:bottom w:val="single" w:sz="4" w:space="0" w:color="000000"/>
              <w:right w:val="single" w:sz="4" w:space="0" w:color="000000"/>
            </w:tcBorders>
            <w:vAlign w:val="center"/>
          </w:tcPr>
          <w:p>
            <w:pPr>
              <w:spacing w:before="156" w:beforeLines="50" w:after="156" w:afterLines="50"/>
              <w:ind w:firstLine="27" w:firstLineChars="13"/>
              <w:jc w:val="center"/>
            </w:pPr>
            <w:r>
              <w:rPr>
                <w:rFonts w:hint="eastAsia"/>
              </w:rPr>
              <w:t>试运行报告</w:t>
            </w:r>
          </w:p>
        </w:tc>
      </w:tr>
      <w:tr>
        <w:tblPrEx>
          <w:tblW w:w="4565" w:type="pct"/>
          <w:jc w:val="center"/>
          <w:tblCellMar>
            <w:top w:w="0" w:type="dxa"/>
            <w:left w:w="108" w:type="dxa"/>
            <w:bottom w:w="0" w:type="dxa"/>
            <w:right w:w="108" w:type="dxa"/>
          </w:tblCellMar>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vAlign w:val="center"/>
          </w:tcPr>
          <w:p>
            <w:pPr>
              <w:jc w:val="center"/>
            </w:pPr>
            <w:r>
              <w:rPr>
                <w:rFonts w:hint="eastAsia"/>
              </w:rPr>
              <w:t>培训</w:t>
            </w: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培训教程</w:t>
            </w:r>
          </w:p>
        </w:tc>
      </w:tr>
      <w:tr>
        <w:tblPrEx>
          <w:tblW w:w="4565" w:type="pct"/>
          <w:jc w:val="center"/>
          <w:tblCellMar>
            <w:top w:w="0" w:type="dxa"/>
            <w:left w:w="108" w:type="dxa"/>
            <w:bottom w:w="0" w:type="dxa"/>
            <w:right w:w="108" w:type="dxa"/>
          </w:tblCellMar>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vAlign w:val="center"/>
          </w:tcPr>
          <w:p>
            <w:pPr>
              <w:jc w:val="center"/>
            </w:pPr>
            <w:r>
              <w:rPr>
                <w:rFonts w:hint="eastAsia"/>
              </w:rPr>
              <w:t>终验</w:t>
            </w:r>
          </w:p>
        </w:tc>
        <w:tc>
          <w:tcPr>
            <w:tcW w:w="2851" w:type="pct"/>
            <w:tcBorders>
              <w:top w:val="single" w:sz="4" w:space="0" w:color="000000"/>
              <w:left w:val="single" w:sz="4" w:space="0" w:color="000000"/>
              <w:bottom w:val="single" w:sz="4" w:space="0" w:color="000000"/>
              <w:right w:val="single" w:sz="4" w:space="0" w:color="000000"/>
            </w:tcBorders>
            <w:vAlign w:val="center"/>
          </w:tcPr>
          <w:p>
            <w:pPr>
              <w:ind w:firstLine="27" w:firstLineChars="13"/>
              <w:jc w:val="center"/>
            </w:pPr>
            <w:r>
              <w:rPr>
                <w:rFonts w:hint="eastAsia"/>
              </w:rPr>
              <w:t>项目资料移交清单</w:t>
            </w:r>
          </w:p>
          <w:p>
            <w:pPr>
              <w:ind w:firstLine="27" w:firstLineChars="13"/>
              <w:jc w:val="center"/>
            </w:pPr>
            <w:r>
              <w:rPr>
                <w:rFonts w:hint="eastAsia"/>
              </w:rPr>
              <w:t>工作报告</w:t>
            </w:r>
          </w:p>
          <w:p>
            <w:pPr>
              <w:ind w:firstLine="27" w:firstLineChars="13"/>
              <w:jc w:val="center"/>
            </w:pPr>
            <w:r>
              <w:rPr>
                <w:rFonts w:hint="eastAsia"/>
              </w:rPr>
              <w:t>技术报告</w:t>
            </w:r>
          </w:p>
          <w:p>
            <w:pPr>
              <w:ind w:firstLine="27" w:firstLineChars="13"/>
              <w:jc w:val="center"/>
            </w:pPr>
            <w:r>
              <w:rPr>
                <w:rFonts w:hint="eastAsia"/>
              </w:rPr>
              <w:t>运维方案</w:t>
            </w:r>
          </w:p>
        </w:tc>
      </w:tr>
    </w:tbl>
    <w:p>
      <w:pPr>
        <w:spacing w:before="50" w:after="50"/>
        <w:ind w:firstLine="560"/>
      </w:pPr>
      <w:r>
        <w:rPr>
          <w:rFonts w:hint="eastAsia"/>
          <w:szCs w:val="24"/>
        </w:rPr>
        <w:t>（3）程序交付前所需的第三方测试报告</w:t>
      </w:r>
    </w:p>
    <w:p>
      <w:pPr>
        <w:spacing w:before="50" w:after="50"/>
        <w:ind w:firstLine="560"/>
      </w:pPr>
      <w:r>
        <w:rPr>
          <w:rFonts w:hint="eastAsia"/>
          <w:szCs w:val="24"/>
        </w:rPr>
        <w:t>程序交付前，应提供具备相关资质的第三方评估公司出具的测试报告，包括但不限于：软件测试报告、安全测评报告、渗透测试报告、按去哪漏洞扫描报告、代码审计报告。</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.10培训要求</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spacing w:before="50" w:after="50"/>
        <w:ind w:firstLine="560"/>
      </w:pPr>
      <w:r>
        <w:rPr>
          <w:rFonts w:hint="eastAsia"/>
          <w:szCs w:val="24"/>
        </w:rPr>
        <w:t>（1）投标人应在培训之前向甲方提交一份详细的培训计划。组织成立有经验的授课讲师团队，精心准备培训教材及相关技术手册和用户使用说明，并负责培训工作的组织实施，相关培训方案需提交项监理单位审核确认，以确保培训内容全面覆盖业务需求。</w:t>
      </w:r>
    </w:p>
    <w:p>
      <w:pPr>
        <w:spacing w:before="50" w:after="50"/>
        <w:ind w:firstLine="560"/>
      </w:pPr>
      <w:r>
        <w:rPr>
          <w:rFonts w:hint="eastAsia"/>
          <w:szCs w:val="24"/>
        </w:rPr>
        <w:t>（2）投标人应以培训目标的实现为目的组织培训，确保每一位系统使用人员能够独立、熟练地完成操作，保证系统用户能够独立处理软件系统故障和进行简单的功能调整。</w:t>
      </w:r>
    </w:p>
    <w:p>
      <w:pPr>
        <w:spacing w:before="50" w:after="50"/>
        <w:ind w:firstLine="560"/>
      </w:pPr>
      <w:r>
        <w:rPr>
          <w:rFonts w:hint="eastAsia"/>
          <w:szCs w:val="24"/>
        </w:rPr>
        <w:t>（3）集中培训地点由甲方根据本项目实际情况确定，具体培训时间由甲方与投标人根据项目进展情况协商确定。</w:t>
      </w:r>
    </w:p>
    <w:p>
      <w:pPr>
        <w:spacing w:before="50" w:after="50"/>
        <w:ind w:firstLine="560"/>
      </w:pPr>
      <w:r>
        <w:rPr>
          <w:rFonts w:hint="eastAsia"/>
          <w:szCs w:val="24"/>
        </w:rPr>
        <w:t>（4）投标人负责为培训搭建所需的环境，并提供培训教材等相关用品。</w:t>
      </w:r>
    </w:p>
    <w:p>
      <w:pPr>
        <w:spacing w:before="50" w:after="50"/>
        <w:ind w:firstLine="560"/>
      </w:pPr>
      <w:r>
        <w:rPr>
          <w:rFonts w:hint="eastAsia"/>
          <w:szCs w:val="24"/>
        </w:rPr>
        <w:t>（5）投标人承担培训产生的场地、教师等一切费用。</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bookmarkStart w:id="79" w:name="_Toc196641751"/>
      <w:bookmarkStart w:id="80" w:name="_Toc139877757"/>
      <w:r>
        <w:rPr>
          <w:rFonts w:ascii="宋体" w:eastAsia="宋体" w:hAnsi="宋体" w:hint="eastAsia"/>
          <w:w w:val="95"/>
          <w:lang w:eastAsia="zh-CN"/>
        </w:rPr>
        <w:t>7</w:t>
      </w:r>
      <w:r>
        <w:rPr>
          <w:rFonts w:ascii="宋体" w:eastAsia="宋体" w:hAnsi="宋体" w:hint="eastAsia"/>
          <w:w w:val="95"/>
        </w:rPr>
        <w:t>.11测试要求</w:t>
      </w:r>
      <w:bookmarkEnd w:id="79"/>
      <w:bookmarkEnd w:id="80"/>
    </w:p>
    <w:p>
      <w:pPr>
        <w:spacing w:before="50" w:after="50"/>
        <w:ind w:firstLine="560"/>
      </w:pPr>
      <w:bookmarkStart w:id="81" w:name="_Toc194063657"/>
      <w:bookmarkStart w:id="82" w:name="_Toc495849805"/>
      <w:bookmarkStart w:id="83" w:name="_Toc495635147"/>
      <w:bookmarkStart w:id="84" w:name="_Toc515351881"/>
      <w:bookmarkStart w:id="85" w:name="_Toc161475281"/>
      <w:bookmarkStart w:id="86" w:name="_Toc45787774"/>
      <w:bookmarkStart w:id="87" w:name="_Toc196641752"/>
      <w:bookmarkStart w:id="88" w:name="_Toc139877758"/>
      <w:bookmarkStart w:id="89" w:name="_Toc503164412"/>
      <w:bookmarkStart w:id="90" w:name="_Toc536589540"/>
      <w:bookmarkStart w:id="91" w:name="_Toc499431088"/>
      <w:bookmarkStart w:id="92" w:name="_Toc138148081"/>
      <w:bookmarkStart w:id="93" w:name="_Toc496774333"/>
      <w:bookmarkStart w:id="94" w:name="_Toc170888297"/>
      <w:bookmarkStart w:id="95" w:name="_Toc193624392"/>
      <w:bookmarkStart w:id="96" w:name="_Toc45787952"/>
      <w:bookmarkStart w:id="97" w:name="_Toc303095687"/>
      <w:bookmarkStart w:id="98" w:name="_Toc201134394"/>
      <w:r>
        <w:rPr>
          <w:rFonts w:hint="eastAsia"/>
          <w:szCs w:val="24"/>
        </w:rPr>
        <w:t>1、</w:t>
      </w:r>
      <w:r>
        <w:rPr>
          <w:szCs w:val="24"/>
        </w:rPr>
        <w:t>被测试对象</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spacing w:before="50" w:after="50"/>
        <w:ind w:firstLine="560"/>
      </w:pPr>
      <w:r>
        <w:rPr>
          <w:szCs w:val="24"/>
        </w:rPr>
        <w:t>用户级的测试，被测试对象的最小单位为CSC。因此，可以确定的被测试对象有两级（类）：</w:t>
      </w:r>
    </w:p>
    <w:p>
      <w:pPr>
        <w:spacing w:before="50" w:after="50"/>
        <w:ind w:firstLine="560"/>
      </w:pPr>
      <w:r>
        <w:rPr>
          <w:szCs w:val="24"/>
        </w:rPr>
        <w:t>CSC级：</w:t>
      </w:r>
      <w:r>
        <w:rPr>
          <w:rFonts w:hint="eastAsia"/>
          <w:szCs w:val="24"/>
        </w:rPr>
        <w:t>系统</w:t>
      </w:r>
      <w:r>
        <w:rPr>
          <w:szCs w:val="24"/>
        </w:rPr>
        <w:t>中的每一个功能部件；</w:t>
      </w:r>
    </w:p>
    <w:p>
      <w:pPr>
        <w:spacing w:before="50" w:after="50"/>
        <w:ind w:firstLine="560"/>
      </w:pPr>
      <w:r>
        <w:rPr>
          <w:szCs w:val="24"/>
        </w:rPr>
        <w:t>CSCI级：</w:t>
      </w:r>
      <w:r>
        <w:rPr>
          <w:rFonts w:hint="eastAsia"/>
          <w:szCs w:val="24"/>
        </w:rPr>
        <w:t>系统中的每个软件配置项。</w:t>
      </w:r>
    </w:p>
    <w:p>
      <w:pPr>
        <w:spacing w:before="50" w:after="50"/>
        <w:ind w:firstLine="560"/>
      </w:pPr>
      <w:bookmarkStart w:id="99" w:name="_Toc303095688"/>
      <w:bookmarkStart w:id="100" w:name="_Toc201134395"/>
      <w:bookmarkStart w:id="101" w:name="_Toc194063658"/>
      <w:bookmarkStart w:id="102" w:name="_Toc196641753"/>
      <w:bookmarkStart w:id="103" w:name="_Toc138148082"/>
      <w:bookmarkStart w:id="104" w:name="_Toc161475282"/>
      <w:bookmarkStart w:id="105" w:name="_Toc139877759"/>
      <w:bookmarkStart w:id="106" w:name="_Toc170888298"/>
      <w:bookmarkStart w:id="107" w:name="_Toc193624393"/>
      <w:r>
        <w:rPr>
          <w:rFonts w:hint="eastAsia"/>
          <w:szCs w:val="24"/>
        </w:rPr>
        <w:t>2、</w:t>
      </w:r>
      <w:r>
        <w:rPr>
          <w:szCs w:val="24"/>
        </w:rPr>
        <w:t>测试方法</w:t>
      </w:r>
      <w:bookmarkEnd w:id="99"/>
      <w:bookmarkEnd w:id="100"/>
      <w:bookmarkEnd w:id="101"/>
      <w:bookmarkEnd w:id="102"/>
      <w:bookmarkEnd w:id="103"/>
      <w:bookmarkEnd w:id="104"/>
      <w:bookmarkEnd w:id="105"/>
      <w:bookmarkEnd w:id="106"/>
      <w:bookmarkEnd w:id="107"/>
    </w:p>
    <w:p>
      <w:pPr>
        <w:spacing w:before="50" w:after="50"/>
        <w:ind w:firstLine="560"/>
      </w:pPr>
      <w:bookmarkStart w:id="108" w:name="_Toc499431089"/>
      <w:bookmarkStart w:id="109" w:name="_Toc45787775"/>
      <w:bookmarkStart w:id="110" w:name="_Toc45787953"/>
      <w:bookmarkStart w:id="111" w:name="_Toc495849806"/>
      <w:bookmarkStart w:id="112" w:name="_Toc503164413"/>
      <w:bookmarkStart w:id="113" w:name="_Toc536589541"/>
      <w:bookmarkStart w:id="114" w:name="_Toc495635154"/>
      <w:bookmarkStart w:id="115" w:name="_Toc496774334"/>
      <w:bookmarkStart w:id="116" w:name="_Toc515351882"/>
      <w:r>
        <w:rPr>
          <w:rFonts w:hint="eastAsia"/>
          <w:szCs w:val="24"/>
        </w:rPr>
        <w:t>（</w:t>
      </w:r>
      <w:r>
        <w:rPr>
          <w:szCs w:val="24"/>
        </w:rPr>
        <w:t>1</w:t>
      </w:r>
      <w:r>
        <w:rPr>
          <w:rFonts w:hint="eastAsia"/>
          <w:szCs w:val="24"/>
        </w:rPr>
        <w:t>）</w:t>
      </w:r>
      <w:r>
        <w:rPr>
          <w:szCs w:val="24"/>
        </w:rPr>
        <w:t>自底向上和自顶向下的测试</w:t>
      </w:r>
      <w:bookmarkEnd w:id="108"/>
      <w:bookmarkEnd w:id="109"/>
      <w:bookmarkEnd w:id="110"/>
      <w:bookmarkEnd w:id="111"/>
      <w:bookmarkEnd w:id="112"/>
      <w:bookmarkEnd w:id="113"/>
      <w:bookmarkEnd w:id="114"/>
      <w:bookmarkEnd w:id="115"/>
      <w:bookmarkEnd w:id="116"/>
    </w:p>
    <w:p>
      <w:pPr>
        <w:spacing w:before="50" w:after="50"/>
        <w:ind w:firstLine="560"/>
      </w:pPr>
      <w:bookmarkStart w:id="117" w:name="_Toc45630898"/>
      <w:bookmarkEnd w:id="117"/>
      <w:r>
        <w:rPr>
          <w:szCs w:val="24"/>
        </w:rPr>
        <w:t>自底向上的测试是指各级部件的验证确认测试必须逐级完成。要求：</w:t>
      </w:r>
    </w:p>
    <w:p>
      <w:pPr>
        <w:spacing w:before="50" w:after="50"/>
        <w:ind w:firstLine="560"/>
      </w:pPr>
      <w:r>
        <w:rPr>
          <w:szCs w:val="24"/>
        </w:rPr>
        <w:t>软件内部验证确认测试步骤： 软件模块、软件单元、部件、软件配置项、项目分步严格按质量控制标准测试。</w:t>
      </w:r>
    </w:p>
    <w:p>
      <w:pPr>
        <w:spacing w:before="50" w:after="50"/>
        <w:ind w:firstLine="560"/>
      </w:pPr>
      <w:r>
        <w:rPr>
          <w:szCs w:val="24"/>
        </w:rPr>
        <w:t>系统验证确认测试步骤：按软件单元、软件配置项、分系统、系统四级测试步骤，逐级达到额定指标后才能转入下一阶段测试，测试中要有严格的质量控制。</w:t>
      </w:r>
    </w:p>
    <w:p>
      <w:pPr>
        <w:spacing w:before="50" w:after="50"/>
        <w:ind w:firstLine="560"/>
      </w:pPr>
      <w:r>
        <w:rPr>
          <w:szCs w:val="24"/>
        </w:rPr>
        <w:t>在实际操作中允许采取自顶向下和自底向上的混合策略。</w:t>
      </w:r>
    </w:p>
    <w:p>
      <w:pPr>
        <w:spacing w:before="50" w:after="50"/>
        <w:ind w:firstLine="560"/>
      </w:pPr>
      <w:bookmarkStart w:id="118" w:name="_Toc87149005"/>
      <w:r>
        <w:rPr>
          <w:rFonts w:hint="eastAsia"/>
          <w:szCs w:val="24"/>
        </w:rPr>
        <w:t>（</w:t>
      </w:r>
      <w:r>
        <w:rPr>
          <w:szCs w:val="24"/>
        </w:rPr>
        <w:t>2</w:t>
      </w:r>
      <w:r>
        <w:rPr>
          <w:rFonts w:hint="eastAsia"/>
          <w:szCs w:val="24"/>
        </w:rPr>
        <w:t>）</w:t>
      </w:r>
      <w:r>
        <w:rPr>
          <w:szCs w:val="24"/>
        </w:rPr>
        <w:t>定量测试要求</w:t>
      </w:r>
      <w:bookmarkEnd w:id="118"/>
    </w:p>
    <w:p>
      <w:pPr>
        <w:spacing w:before="50" w:after="50"/>
        <w:ind w:firstLine="560"/>
      </w:pPr>
      <w:r>
        <w:rPr>
          <w:szCs w:val="24"/>
        </w:rPr>
        <w:t>测试应达到软件功能的定性、定量要求，</w:t>
      </w:r>
      <w:r>
        <w:rPr>
          <w:rFonts w:hint="eastAsia"/>
          <w:szCs w:val="24"/>
        </w:rPr>
        <w:t>完成系统</w:t>
      </w:r>
      <w:r>
        <w:rPr>
          <w:szCs w:val="24"/>
        </w:rPr>
        <w:t>第三方测试</w:t>
      </w:r>
      <w:r>
        <w:rPr>
          <w:rFonts w:hint="eastAsia"/>
          <w:szCs w:val="24"/>
        </w:rPr>
        <w:t>。</w:t>
      </w:r>
    </w:p>
    <w:p>
      <w:pPr>
        <w:spacing w:before="50" w:after="50"/>
        <w:ind w:firstLine="560"/>
      </w:pPr>
      <w:bookmarkStart w:id="119" w:name="_Toc194063659"/>
      <w:bookmarkStart w:id="120" w:name="_Toc87149007"/>
      <w:bookmarkStart w:id="121" w:name="_Toc138148083"/>
      <w:bookmarkStart w:id="122" w:name="_Toc193624394"/>
      <w:bookmarkStart w:id="123" w:name="_Toc170888299"/>
      <w:bookmarkStart w:id="124" w:name="_Toc139877760"/>
      <w:bookmarkStart w:id="125" w:name="_Toc303095689"/>
      <w:bookmarkStart w:id="126" w:name="_Toc201134396"/>
      <w:bookmarkStart w:id="127" w:name="_Toc161475283"/>
      <w:bookmarkStart w:id="128" w:name="_Toc196641754"/>
      <w:r>
        <w:rPr>
          <w:rFonts w:hint="eastAsia"/>
          <w:szCs w:val="24"/>
        </w:rPr>
        <w:t>3、</w:t>
      </w:r>
      <w:r>
        <w:rPr>
          <w:szCs w:val="24"/>
        </w:rPr>
        <w:t>软件测试记录与报告要求</w:t>
      </w:r>
      <w:bookmarkEnd w:id="119"/>
      <w:bookmarkEnd w:id="120"/>
      <w:bookmarkEnd w:id="121"/>
      <w:bookmarkEnd w:id="122"/>
      <w:bookmarkEnd w:id="123"/>
      <w:bookmarkEnd w:id="124"/>
      <w:bookmarkEnd w:id="125"/>
      <w:bookmarkEnd w:id="126"/>
      <w:bookmarkEnd w:id="127"/>
      <w:bookmarkEnd w:id="128"/>
    </w:p>
    <w:p>
      <w:pPr>
        <w:spacing w:before="50" w:after="50"/>
        <w:ind w:firstLine="560"/>
        <w:rPr>
          <w:szCs w:val="28"/>
        </w:rPr>
      </w:pPr>
      <w:r>
        <w:rPr>
          <w:szCs w:val="28"/>
        </w:rPr>
        <w:t>软件测试过程中必须做好记录。内容要求是：</w:t>
      </w:r>
    </w:p>
    <w:p>
      <w:pPr>
        <w:widowControl/>
        <w:numPr>
          <w:ilvl w:val="0"/>
          <w:numId w:val="5"/>
        </w:numPr>
        <w:ind w:firstLine="480"/>
        <w:jc w:val="left"/>
        <w:rPr>
          <w:rFonts w:ascii="宋体" w:hAnsi="宋体" w:cs="宋体"/>
          <w:kern w:val="0"/>
          <w:szCs w:val="28"/>
        </w:rPr>
      </w:pPr>
      <w:r>
        <w:rPr>
          <w:rFonts w:ascii="宋体" w:hAnsi="宋体" w:cs="宋体"/>
          <w:kern w:val="0"/>
          <w:szCs w:val="28"/>
        </w:rPr>
        <w:t>测试用例名称和项目唯一标识；</w:t>
      </w:r>
    </w:p>
    <w:p>
      <w:pPr>
        <w:widowControl/>
        <w:numPr>
          <w:ilvl w:val="0"/>
          <w:numId w:val="5"/>
        </w:numPr>
        <w:ind w:firstLine="480"/>
        <w:jc w:val="left"/>
        <w:rPr>
          <w:rFonts w:ascii="宋体" w:hAnsi="宋体" w:cs="宋体"/>
          <w:kern w:val="0"/>
          <w:szCs w:val="28"/>
        </w:rPr>
      </w:pPr>
      <w:r>
        <w:rPr>
          <w:rFonts w:ascii="宋体" w:hAnsi="宋体" w:cs="宋体"/>
          <w:kern w:val="0"/>
          <w:szCs w:val="28"/>
        </w:rPr>
        <w:t>测试目的（说明测试被测试对象的什么特性）；</w:t>
      </w:r>
    </w:p>
    <w:p>
      <w:pPr>
        <w:widowControl/>
        <w:numPr>
          <w:ilvl w:val="0"/>
          <w:numId w:val="5"/>
        </w:numPr>
        <w:ind w:firstLine="480"/>
        <w:jc w:val="left"/>
        <w:rPr>
          <w:rFonts w:ascii="宋体" w:hAnsi="宋体" w:cs="宋体"/>
          <w:kern w:val="0"/>
          <w:szCs w:val="28"/>
        </w:rPr>
      </w:pPr>
      <w:r>
        <w:rPr>
          <w:rFonts w:ascii="宋体" w:hAnsi="宋体" w:cs="宋体"/>
          <w:kern w:val="0"/>
          <w:szCs w:val="28"/>
        </w:rPr>
        <w:t>初始化（执行测试之前的软、硬件准备工作）；</w:t>
      </w:r>
    </w:p>
    <w:p>
      <w:pPr>
        <w:widowControl/>
        <w:numPr>
          <w:ilvl w:val="0"/>
          <w:numId w:val="5"/>
        </w:numPr>
        <w:ind w:firstLine="480"/>
        <w:jc w:val="left"/>
        <w:rPr>
          <w:rFonts w:ascii="宋体" w:hAnsi="宋体" w:cs="宋体"/>
          <w:kern w:val="0"/>
          <w:szCs w:val="28"/>
        </w:rPr>
      </w:pPr>
      <w:r>
        <w:rPr>
          <w:rFonts w:ascii="宋体" w:hAnsi="宋体" w:cs="宋体"/>
          <w:kern w:val="0"/>
          <w:szCs w:val="28"/>
        </w:rPr>
        <w:t>操作步骤（执行测试时，实际操作的步骤）；</w:t>
      </w:r>
    </w:p>
    <w:p>
      <w:pPr>
        <w:widowControl/>
        <w:numPr>
          <w:ilvl w:val="0"/>
          <w:numId w:val="5"/>
        </w:numPr>
        <w:ind w:firstLine="480"/>
        <w:jc w:val="left"/>
        <w:rPr>
          <w:rFonts w:ascii="宋体" w:hAnsi="宋体" w:cs="宋体"/>
          <w:kern w:val="0"/>
          <w:szCs w:val="28"/>
        </w:rPr>
      </w:pPr>
      <w:r>
        <w:rPr>
          <w:rFonts w:ascii="宋体" w:hAnsi="宋体" w:cs="宋体"/>
          <w:kern w:val="0"/>
          <w:szCs w:val="28"/>
        </w:rPr>
        <w:t>测试输入（与“软件测试说明”中的测试输入应保持一致）</w:t>
      </w:r>
      <w:r>
        <w:rPr>
          <w:rFonts w:ascii="宋体" w:hAnsi="宋体" w:cs="宋体" w:hint="eastAsia"/>
          <w:kern w:val="0"/>
          <w:szCs w:val="28"/>
        </w:rPr>
        <w:t>；</w:t>
      </w:r>
    </w:p>
    <w:p>
      <w:pPr>
        <w:widowControl/>
        <w:numPr>
          <w:ilvl w:val="0"/>
          <w:numId w:val="5"/>
        </w:numPr>
        <w:ind w:firstLine="480"/>
        <w:jc w:val="left"/>
        <w:rPr>
          <w:rFonts w:ascii="宋体" w:hAnsi="宋体" w:cs="宋体"/>
          <w:kern w:val="0"/>
          <w:szCs w:val="28"/>
        </w:rPr>
      </w:pPr>
      <w:r>
        <w:rPr>
          <w:rFonts w:ascii="宋体" w:hAnsi="宋体" w:cs="宋体"/>
          <w:kern w:val="0"/>
          <w:szCs w:val="28"/>
        </w:rPr>
        <w:t>期望测试结果（与“软件测试说明”中的期望测试结果应保持一致）；</w:t>
      </w:r>
    </w:p>
    <w:p>
      <w:pPr>
        <w:widowControl/>
        <w:numPr>
          <w:ilvl w:val="0"/>
          <w:numId w:val="5"/>
        </w:numPr>
        <w:ind w:firstLine="480"/>
        <w:jc w:val="left"/>
        <w:rPr>
          <w:rFonts w:ascii="宋体" w:hAnsi="宋体" w:cs="宋体"/>
          <w:kern w:val="0"/>
          <w:szCs w:val="28"/>
        </w:rPr>
      </w:pPr>
      <w:r>
        <w:rPr>
          <w:rFonts w:ascii="宋体" w:hAnsi="宋体" w:cs="宋体"/>
          <w:kern w:val="0"/>
          <w:szCs w:val="28"/>
        </w:rPr>
        <w:t>评估测试结果的标准（与“软件测试说明”中评估测试结果标准应保持一致）；</w:t>
      </w:r>
    </w:p>
    <w:p>
      <w:pPr>
        <w:widowControl/>
        <w:numPr>
          <w:ilvl w:val="0"/>
          <w:numId w:val="5"/>
        </w:numPr>
        <w:ind w:firstLine="480"/>
        <w:jc w:val="left"/>
        <w:rPr>
          <w:rFonts w:ascii="宋体" w:hAnsi="宋体" w:cs="宋体"/>
          <w:kern w:val="0"/>
          <w:szCs w:val="28"/>
        </w:rPr>
      </w:pPr>
      <w:r>
        <w:rPr>
          <w:rFonts w:ascii="宋体" w:hAnsi="宋体" w:cs="宋体"/>
          <w:kern w:val="0"/>
          <w:szCs w:val="28"/>
        </w:rPr>
        <w:t>实际测试结果；</w:t>
      </w:r>
    </w:p>
    <w:p>
      <w:pPr>
        <w:widowControl/>
        <w:numPr>
          <w:ilvl w:val="0"/>
          <w:numId w:val="5"/>
        </w:numPr>
        <w:ind w:firstLine="480"/>
        <w:jc w:val="left"/>
        <w:rPr>
          <w:rFonts w:ascii="宋体" w:hAnsi="宋体" w:cs="宋体"/>
          <w:kern w:val="0"/>
          <w:szCs w:val="28"/>
        </w:rPr>
      </w:pPr>
      <w:r>
        <w:rPr>
          <w:rFonts w:ascii="宋体" w:hAnsi="宋体" w:cs="宋体"/>
          <w:kern w:val="0"/>
          <w:szCs w:val="28"/>
        </w:rPr>
        <w:t>测试结论；</w:t>
      </w:r>
    </w:p>
    <w:p>
      <w:pPr>
        <w:widowControl/>
        <w:numPr>
          <w:ilvl w:val="0"/>
          <w:numId w:val="5"/>
        </w:numPr>
        <w:ind w:firstLine="480"/>
        <w:jc w:val="left"/>
        <w:rPr>
          <w:rFonts w:ascii="宋体" w:hAnsi="宋体" w:cs="宋体"/>
          <w:kern w:val="0"/>
          <w:szCs w:val="28"/>
        </w:rPr>
      </w:pPr>
      <w:r>
        <w:rPr>
          <w:rFonts w:ascii="宋体" w:hAnsi="宋体" w:cs="宋体"/>
          <w:kern w:val="0"/>
          <w:szCs w:val="28"/>
        </w:rPr>
        <w:t>测试人员；</w:t>
      </w:r>
    </w:p>
    <w:p>
      <w:pPr>
        <w:widowControl/>
        <w:numPr>
          <w:ilvl w:val="0"/>
          <w:numId w:val="5"/>
        </w:numPr>
        <w:ind w:firstLine="480"/>
        <w:jc w:val="left"/>
        <w:rPr>
          <w:rFonts w:ascii="宋体" w:hAnsi="宋体" w:cs="宋体"/>
          <w:kern w:val="0"/>
          <w:szCs w:val="28"/>
        </w:rPr>
      </w:pPr>
      <w:r>
        <w:rPr>
          <w:rFonts w:ascii="宋体" w:hAnsi="宋体" w:cs="宋体"/>
          <w:kern w:val="0"/>
          <w:szCs w:val="28"/>
        </w:rPr>
        <w:t>测试时间。</w:t>
      </w:r>
    </w:p>
    <w:p>
      <w:pPr>
        <w:widowControl/>
        <w:ind w:firstLine="560"/>
        <w:jc w:val="left"/>
        <w:rPr>
          <w:rFonts w:ascii="宋体" w:hAnsi="宋体" w:cs="宋体"/>
          <w:kern w:val="0"/>
          <w:szCs w:val="28"/>
        </w:rPr>
      </w:pPr>
      <w:r>
        <w:rPr>
          <w:rFonts w:ascii="宋体" w:hAnsi="宋体" w:cs="宋体"/>
          <w:kern w:val="0"/>
          <w:szCs w:val="28"/>
        </w:rPr>
        <w:t>测试完成后应提交测试报告，对整个测试结果给出综合的分析与评价。</w:t>
      </w:r>
    </w:p>
    <w:p>
      <w:pPr>
        <w:spacing w:before="50" w:after="50"/>
        <w:ind w:firstLine="560"/>
        <w:rPr>
          <w:szCs w:val="28"/>
        </w:rPr>
      </w:pPr>
      <w:bookmarkStart w:id="129" w:name="_Toc170888300"/>
      <w:bookmarkStart w:id="130" w:name="_Toc196641755"/>
      <w:bookmarkStart w:id="131" w:name="_Toc201134397"/>
      <w:bookmarkStart w:id="132" w:name="_Toc193624395"/>
      <w:bookmarkStart w:id="133" w:name="_Toc87149008"/>
      <w:bookmarkStart w:id="134" w:name="_Toc138148084"/>
      <w:bookmarkStart w:id="135" w:name="_Toc161475284"/>
      <w:bookmarkStart w:id="136" w:name="_Toc139877761"/>
      <w:bookmarkStart w:id="137" w:name="_Toc194063660"/>
      <w:bookmarkStart w:id="138" w:name="_Toc303095690"/>
      <w:r>
        <w:rPr>
          <w:rFonts w:hint="eastAsia"/>
          <w:szCs w:val="28"/>
        </w:rPr>
        <w:t>4、</w:t>
      </w:r>
      <w:r>
        <w:rPr>
          <w:szCs w:val="28"/>
        </w:rPr>
        <w:t>软件测试组织要求</w:t>
      </w:r>
      <w:bookmarkEnd w:id="129"/>
      <w:bookmarkEnd w:id="130"/>
      <w:bookmarkEnd w:id="131"/>
      <w:bookmarkEnd w:id="132"/>
      <w:bookmarkEnd w:id="133"/>
      <w:bookmarkEnd w:id="134"/>
      <w:bookmarkEnd w:id="135"/>
      <w:bookmarkEnd w:id="136"/>
      <w:bookmarkEnd w:id="137"/>
      <w:bookmarkEnd w:id="138"/>
    </w:p>
    <w:p>
      <w:pPr>
        <w:widowControl/>
        <w:ind w:firstLine="560"/>
        <w:jc w:val="left"/>
        <w:rPr>
          <w:rFonts w:ascii="宋体" w:hAnsi="宋体" w:cs="宋体"/>
          <w:kern w:val="0"/>
          <w:szCs w:val="28"/>
        </w:rPr>
      </w:pPr>
      <w:r>
        <w:rPr>
          <w:rFonts w:ascii="宋体" w:hAnsi="宋体" w:cs="宋体" w:hint="eastAsia"/>
          <w:kern w:val="0"/>
          <w:szCs w:val="28"/>
        </w:rPr>
        <w:t>除单元测试外，其它各级测试应以独立的测试人员或组织为主进行。</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bookmarkStart w:id="139" w:name="_Toc139877762"/>
      <w:bookmarkStart w:id="140" w:name="_Toc196641756"/>
      <w:r>
        <w:rPr>
          <w:rFonts w:ascii="宋体" w:eastAsia="宋体" w:hAnsi="宋体" w:hint="eastAsia"/>
          <w:w w:val="95"/>
          <w:lang w:eastAsia="zh-CN"/>
        </w:rPr>
        <w:t>7</w:t>
      </w:r>
      <w:r>
        <w:rPr>
          <w:rFonts w:ascii="宋体" w:eastAsia="宋体" w:hAnsi="宋体" w:hint="eastAsia"/>
          <w:w w:val="95"/>
        </w:rPr>
        <w:t>.12管理要求</w:t>
      </w:r>
      <w:bookmarkEnd w:id="139"/>
      <w:bookmarkEnd w:id="140"/>
    </w:p>
    <w:p>
      <w:pPr>
        <w:widowControl/>
        <w:ind w:firstLine="560"/>
        <w:jc w:val="left"/>
        <w:rPr>
          <w:rFonts w:ascii="宋体" w:hAnsi="宋体" w:cs="宋体"/>
          <w:kern w:val="0"/>
          <w:szCs w:val="28"/>
        </w:rPr>
      </w:pPr>
      <w:bookmarkStart w:id="141" w:name="_Toc196641757"/>
      <w:bookmarkStart w:id="142" w:name="_Toc170888303"/>
      <w:bookmarkStart w:id="143" w:name="_Toc201134400"/>
      <w:bookmarkStart w:id="144" w:name="_Toc139877763"/>
      <w:bookmarkStart w:id="145" w:name="_Toc303095693"/>
      <w:bookmarkStart w:id="146" w:name="_Toc193624398"/>
      <w:bookmarkStart w:id="147" w:name="_Toc161475287"/>
      <w:bookmarkStart w:id="148" w:name="_Toc138148087"/>
      <w:bookmarkStart w:id="149" w:name="_Toc87149011"/>
      <w:bookmarkStart w:id="150" w:name="_Toc194063663"/>
      <w:r>
        <w:rPr>
          <w:rFonts w:ascii="宋体" w:hAnsi="宋体" w:cs="宋体"/>
          <w:kern w:val="0"/>
          <w:szCs w:val="28"/>
        </w:rPr>
        <w:t>1</w:t>
      </w:r>
      <w:r>
        <w:rPr>
          <w:rFonts w:ascii="宋体" w:hAnsi="宋体" w:cs="宋体" w:hint="eastAsia"/>
          <w:kern w:val="0"/>
          <w:szCs w:val="28"/>
        </w:rPr>
        <w:t>、关键等级</w:t>
      </w:r>
      <w:bookmarkEnd w:id="141"/>
      <w:bookmarkEnd w:id="142"/>
      <w:bookmarkEnd w:id="143"/>
      <w:bookmarkEnd w:id="144"/>
      <w:bookmarkEnd w:id="145"/>
      <w:bookmarkEnd w:id="146"/>
      <w:bookmarkEnd w:id="147"/>
      <w:bookmarkEnd w:id="148"/>
      <w:bookmarkEnd w:id="149"/>
      <w:bookmarkEnd w:id="150"/>
    </w:p>
    <w:p>
      <w:pPr>
        <w:widowControl/>
        <w:ind w:firstLine="560"/>
        <w:jc w:val="left"/>
        <w:rPr>
          <w:rFonts w:ascii="宋体" w:hAnsi="宋体" w:cs="宋体"/>
          <w:kern w:val="0"/>
          <w:szCs w:val="28"/>
        </w:rPr>
      </w:pPr>
      <w:r>
        <w:rPr>
          <w:rFonts w:ascii="宋体" w:hAnsi="宋体" w:cs="宋体" w:hint="eastAsia"/>
          <w:kern w:val="0"/>
          <w:szCs w:val="28"/>
        </w:rPr>
        <w:t>根据系统的任务性质和功能要求，计算机信息系统安全等级暂定为：</w:t>
      </w:r>
      <w:r>
        <w:rPr>
          <w:rFonts w:ascii="宋体" w:hAnsi="宋体" w:cs="宋体"/>
          <w:kern w:val="0"/>
          <w:szCs w:val="28"/>
        </w:rPr>
        <w:t>C类。（C类为自主保护级，具有一定的保护能力，采用的措施是自主访问控制和审计跟踪。一般只适用于具有一定等级的多用户环境，具有对主体责任及其动作审计的能力。C类分为C1和C2</w:t>
      </w:r>
      <w:r>
        <w:rPr>
          <w:rFonts w:ascii="宋体" w:hAnsi="宋体" w:cs="宋体" w:hint="eastAsia"/>
          <w:kern w:val="0"/>
          <w:szCs w:val="28"/>
        </w:rPr>
        <w:t>两个级别：自主安全保护级（</w:t>
      </w:r>
      <w:r>
        <w:rPr>
          <w:rFonts w:ascii="宋体" w:hAnsi="宋体" w:cs="宋体"/>
          <w:kern w:val="0"/>
          <w:szCs w:val="28"/>
        </w:rPr>
        <w:t>C1级）和控制访问保护级（C2）。）相应的项目管理和质量控制标准应按照《计算机软件工程规范国家标准》中的有关规定执行。</w:t>
      </w:r>
    </w:p>
    <w:p>
      <w:pPr>
        <w:widowControl/>
        <w:ind w:firstLine="560"/>
        <w:jc w:val="left"/>
        <w:rPr>
          <w:rFonts w:ascii="宋体" w:hAnsi="宋体" w:cs="宋体"/>
          <w:kern w:val="0"/>
          <w:szCs w:val="28"/>
        </w:rPr>
      </w:pPr>
      <w:bookmarkStart w:id="151" w:name="_Toc87149012"/>
      <w:bookmarkStart w:id="152" w:name="_Toc194063664"/>
      <w:bookmarkStart w:id="153" w:name="_Toc201134401"/>
      <w:bookmarkStart w:id="154" w:name="_Toc138148088"/>
      <w:bookmarkStart w:id="155" w:name="_Toc139877764"/>
      <w:bookmarkStart w:id="156" w:name="_Toc170888304"/>
      <w:bookmarkStart w:id="157" w:name="_Toc303095694"/>
      <w:bookmarkStart w:id="158" w:name="_Toc196641758"/>
      <w:bookmarkStart w:id="159" w:name="_Toc193624399"/>
      <w:bookmarkStart w:id="160" w:name="_Toc161475288"/>
      <w:r>
        <w:rPr>
          <w:rFonts w:ascii="宋体" w:hAnsi="宋体" w:cs="宋体"/>
          <w:kern w:val="0"/>
          <w:szCs w:val="28"/>
        </w:rPr>
        <w:t>2</w:t>
      </w:r>
      <w:r>
        <w:rPr>
          <w:rFonts w:ascii="宋体" w:hAnsi="宋体" w:cs="宋体" w:hint="eastAsia"/>
          <w:kern w:val="0"/>
          <w:szCs w:val="28"/>
        </w:rPr>
        <w:t>、管理机构</w:t>
      </w:r>
      <w:bookmarkEnd w:id="151"/>
      <w:bookmarkEnd w:id="152"/>
      <w:bookmarkEnd w:id="153"/>
      <w:bookmarkEnd w:id="154"/>
      <w:bookmarkEnd w:id="155"/>
      <w:bookmarkEnd w:id="156"/>
      <w:bookmarkEnd w:id="157"/>
      <w:bookmarkEnd w:id="158"/>
      <w:bookmarkEnd w:id="159"/>
      <w:bookmarkEnd w:id="160"/>
    </w:p>
    <w:p>
      <w:pPr>
        <w:widowControl/>
        <w:ind w:firstLine="560"/>
        <w:jc w:val="left"/>
        <w:rPr>
          <w:rFonts w:ascii="宋体" w:hAnsi="宋体" w:cs="宋体"/>
          <w:kern w:val="0"/>
          <w:szCs w:val="28"/>
        </w:rPr>
      </w:pPr>
      <w:r>
        <w:rPr>
          <w:rFonts w:ascii="宋体" w:hAnsi="宋体" w:cs="宋体" w:hint="eastAsia"/>
          <w:kern w:val="0"/>
          <w:szCs w:val="28"/>
        </w:rPr>
        <w:t>项目的管理机构是：</w:t>
      </w:r>
    </w:p>
    <w:p>
      <w:pPr>
        <w:widowControl/>
        <w:ind w:firstLine="560"/>
        <w:jc w:val="left"/>
        <w:rPr>
          <w:rFonts w:ascii="宋体" w:hAnsi="宋体" w:cs="宋体"/>
          <w:kern w:val="0"/>
          <w:szCs w:val="28"/>
        </w:rPr>
      </w:pPr>
      <w:r>
        <w:rPr>
          <w:rFonts w:ascii="宋体" w:hAnsi="宋体" w:cs="宋体" w:hint="eastAsia"/>
          <w:kern w:val="0"/>
          <w:szCs w:val="28"/>
        </w:rPr>
        <w:t>主管单位：中国气象局；</w:t>
      </w:r>
    </w:p>
    <w:p>
      <w:pPr>
        <w:widowControl/>
        <w:ind w:firstLine="560"/>
        <w:jc w:val="left"/>
        <w:rPr>
          <w:rFonts w:ascii="宋体" w:hAnsi="宋体" w:cs="宋体"/>
          <w:kern w:val="0"/>
          <w:szCs w:val="28"/>
        </w:rPr>
      </w:pPr>
      <w:r>
        <w:rPr>
          <w:rFonts w:ascii="宋体" w:hAnsi="宋体" w:cs="宋体" w:hint="eastAsia"/>
          <w:kern w:val="0"/>
          <w:szCs w:val="28"/>
        </w:rPr>
        <w:t>保障单位：中国气象局；</w:t>
      </w:r>
    </w:p>
    <w:p>
      <w:pPr>
        <w:widowControl/>
        <w:ind w:firstLine="560"/>
        <w:jc w:val="left"/>
        <w:rPr>
          <w:rFonts w:ascii="宋体" w:hAnsi="宋体" w:cs="宋体"/>
          <w:kern w:val="0"/>
          <w:szCs w:val="28"/>
        </w:rPr>
      </w:pPr>
      <w:r>
        <w:rPr>
          <w:rFonts w:ascii="宋体" w:hAnsi="宋体" w:cs="宋体" w:hint="eastAsia"/>
          <w:kern w:val="0"/>
          <w:szCs w:val="28"/>
        </w:rPr>
        <w:t>开发单位：</w:t>
      </w:r>
      <w:r>
        <w:rPr>
          <w:rFonts w:ascii="宋体" w:hAnsi="宋体" w:cs="宋体"/>
          <w:kern w:val="0"/>
          <w:szCs w:val="28"/>
        </w:rPr>
        <w:t xml:space="preserve"> </w:t>
      </w:r>
      <w:r>
        <w:rPr>
          <w:rFonts w:ascii="宋体" w:hAnsi="宋体" w:cs="宋体" w:hint="eastAsia"/>
          <w:kern w:val="0"/>
          <w:szCs w:val="28"/>
        </w:rPr>
        <w:t>待定；</w:t>
      </w:r>
    </w:p>
    <w:p>
      <w:pPr>
        <w:widowControl/>
        <w:ind w:firstLine="560"/>
        <w:jc w:val="left"/>
        <w:rPr>
          <w:rFonts w:ascii="宋体" w:hAnsi="宋体" w:cs="宋体"/>
          <w:kern w:val="0"/>
          <w:szCs w:val="28"/>
        </w:rPr>
      </w:pPr>
      <w:r>
        <w:rPr>
          <w:rFonts w:ascii="宋体" w:hAnsi="宋体" w:cs="宋体" w:hint="eastAsia"/>
          <w:kern w:val="0"/>
          <w:szCs w:val="28"/>
        </w:rPr>
        <w:t>用户单位：国家气象中心。</w:t>
      </w:r>
    </w:p>
    <w:p>
      <w:pPr>
        <w:widowControl/>
        <w:ind w:firstLine="560"/>
        <w:jc w:val="left"/>
        <w:rPr>
          <w:rFonts w:ascii="宋体" w:hAnsi="宋体" w:cs="宋体"/>
          <w:kern w:val="0"/>
          <w:szCs w:val="28"/>
        </w:rPr>
      </w:pPr>
      <w:bookmarkStart w:id="161" w:name="_Toc139877765"/>
      <w:bookmarkStart w:id="162" w:name="_Toc196641759"/>
      <w:r>
        <w:rPr>
          <w:rFonts w:ascii="宋体" w:hAnsi="宋体" w:cs="宋体"/>
          <w:kern w:val="0"/>
          <w:szCs w:val="28"/>
        </w:rPr>
        <w:t>3</w:t>
      </w:r>
      <w:r>
        <w:rPr>
          <w:rFonts w:ascii="宋体" w:hAnsi="宋体" w:cs="宋体" w:hint="eastAsia"/>
          <w:kern w:val="0"/>
          <w:szCs w:val="28"/>
        </w:rPr>
        <w:t>、质量保证</w:t>
      </w:r>
      <w:bookmarkEnd w:id="161"/>
      <w:bookmarkEnd w:id="162"/>
    </w:p>
    <w:p>
      <w:pPr>
        <w:widowControl/>
        <w:ind w:firstLine="560"/>
        <w:jc w:val="left"/>
        <w:rPr>
          <w:rFonts w:ascii="宋体" w:hAnsi="宋体" w:cs="宋体"/>
          <w:kern w:val="0"/>
          <w:szCs w:val="28"/>
        </w:rPr>
      </w:pPr>
      <w:r>
        <w:rPr>
          <w:rFonts w:ascii="宋体" w:hAnsi="宋体" w:cs="宋体" w:hint="eastAsia"/>
          <w:kern w:val="0"/>
          <w:szCs w:val="28"/>
        </w:rPr>
        <w:t>系统的软件质量保证活动应贯穿软件开发的各个控制节点，并按照《计算机软件工程规范国家标准》实施。承制方必须制定详细的软件质量保证计划，并在有关各方商定的里程碑处接受正式的外部（包括甲方和</w:t>
      </w:r>
      <w:r>
        <w:rPr>
          <w:rFonts w:ascii="宋体" w:hAnsi="宋体" w:cs="宋体"/>
          <w:kern w:val="0"/>
          <w:szCs w:val="28"/>
        </w:rPr>
        <w:t>/或甲方委托的第三方）监理或评审。</w:t>
      </w:r>
    </w:p>
    <w:p>
      <w:pPr>
        <w:widowControl/>
        <w:ind w:firstLine="560"/>
        <w:jc w:val="left"/>
        <w:rPr>
          <w:rFonts w:ascii="宋体" w:hAnsi="宋体" w:cs="宋体"/>
          <w:kern w:val="0"/>
          <w:szCs w:val="28"/>
        </w:rPr>
      </w:pPr>
      <w:bookmarkStart w:id="163" w:name="_Toc196641760"/>
      <w:bookmarkStart w:id="164" w:name="_Toc139877766"/>
      <w:r>
        <w:rPr>
          <w:rFonts w:ascii="宋体" w:hAnsi="宋体" w:cs="宋体"/>
          <w:kern w:val="0"/>
          <w:szCs w:val="28"/>
        </w:rPr>
        <w:t>4</w:t>
      </w:r>
      <w:r>
        <w:rPr>
          <w:rFonts w:ascii="宋体" w:hAnsi="宋体" w:cs="宋体" w:hint="eastAsia"/>
          <w:kern w:val="0"/>
          <w:szCs w:val="28"/>
        </w:rPr>
        <w:t>、软件配置管理</w:t>
      </w:r>
      <w:bookmarkEnd w:id="163"/>
      <w:bookmarkEnd w:id="164"/>
    </w:p>
    <w:p>
      <w:pPr>
        <w:widowControl/>
        <w:ind w:firstLine="560"/>
        <w:jc w:val="left"/>
        <w:rPr>
          <w:rFonts w:ascii="宋体" w:hAnsi="宋体" w:cs="宋体"/>
          <w:kern w:val="0"/>
          <w:szCs w:val="28"/>
        </w:rPr>
      </w:pPr>
      <w:r>
        <w:rPr>
          <w:rFonts w:ascii="宋体" w:hAnsi="宋体" w:cs="宋体" w:hint="eastAsia"/>
          <w:kern w:val="0"/>
          <w:szCs w:val="28"/>
        </w:rPr>
        <w:t>承制方应按照《计算机软件工程规范国家标准》的要求，对系统的所有正式产品（包括文档、程序源代码和数据）进行有效的控制和管理。</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.13安全保密要求</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ind w:firstLine="420"/>
      </w:pPr>
      <w:r>
        <w:rPr>
          <w:rFonts w:hint="eastAsia"/>
        </w:rPr>
        <w:t>1、安全保密基本要求</w:t>
      </w:r>
    </w:p>
    <w:p>
      <w:pPr>
        <w:ind w:firstLine="420"/>
        <w:rPr>
          <w:highlight w:val="none"/>
        </w:rPr>
      </w:pPr>
      <w:r>
        <w:rPr>
          <w:rFonts w:hint="eastAsia"/>
          <w:highlight w:val="none"/>
        </w:rPr>
        <w:t>实施方必须对项目技术文件以及由甲方提供的所有内部材料、技术文档和信息予以保密。</w:t>
      </w:r>
    </w:p>
    <w:p>
      <w:pPr>
        <w:ind w:firstLine="420"/>
        <w:rPr>
          <w:highlight w:val="none"/>
        </w:rPr>
      </w:pPr>
      <w:r>
        <w:rPr>
          <w:rFonts w:hint="eastAsia"/>
          <w:highlight w:val="none"/>
        </w:rPr>
        <w:t>实施方必须对项目开发和运行维护期间的任何资料予以保密，包括并不限于数据，用户访问记录和操作日志等。</w:t>
      </w:r>
    </w:p>
    <w:p>
      <w:pPr>
        <w:ind w:firstLine="420"/>
        <w:rPr>
          <w:highlight w:val="none"/>
        </w:rPr>
      </w:pPr>
      <w:r>
        <w:rPr>
          <w:rFonts w:hint="eastAsia"/>
          <w:highlight w:val="none"/>
        </w:rPr>
        <w:t>实施方必须遵守与甲方签订的保密协议，未经甲方书面许可，投标人</w:t>
      </w:r>
      <w:r>
        <w:rPr>
          <w:rFonts w:hint="eastAsia"/>
          <w:highlight w:val="none"/>
        </w:rPr>
        <w:t>不得以任何形式向第三方透露本项目标书以及本项目的任何内容。</w:t>
      </w:r>
    </w:p>
    <w:p>
      <w:pPr>
        <w:ind w:firstLine="420"/>
        <w:rPr>
          <w:highlight w:val="none"/>
        </w:rPr>
      </w:pPr>
      <w:r>
        <w:rPr>
          <w:rFonts w:hint="eastAsia"/>
          <w:highlight w:val="none"/>
        </w:rPr>
        <w:t>2、实施和维护过程涉密管理要求</w:t>
      </w:r>
    </w:p>
    <w:p>
      <w:pPr>
        <w:ind w:firstLine="420"/>
        <w:rPr>
          <w:highlight w:val="none"/>
        </w:rPr>
      </w:pPr>
      <w:r>
        <w:rPr>
          <w:rFonts w:hint="eastAsia"/>
          <w:highlight w:val="none"/>
        </w:rPr>
        <w:t>本项目平台在开发、调测、运行过程中存在接触保密信息环境，有接触敏感信息与资料风险。实施方及相关人员需履行安全备案，建立安全保密制度，并需按安全保密管理规程操作实施</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.14售后服务要求</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ind w:firstLine="560"/>
      </w:pPr>
      <w:r>
        <w:rPr>
          <w:rFonts w:hint="eastAsia"/>
        </w:rPr>
        <w:t>本次招标要求投标人能够提供从系统终验之日起</w:t>
      </w:r>
      <w:r>
        <w:t>3</w:t>
      </w:r>
      <w:r>
        <w:rPr>
          <w:rFonts w:hint="eastAsia"/>
        </w:rPr>
        <w:t>年免费现场技术支持服务。</w:t>
      </w:r>
    </w:p>
    <w:p>
      <w:pPr>
        <w:ind w:firstLine="560"/>
      </w:pPr>
      <w:r>
        <w:rPr>
          <w:rFonts w:hint="eastAsia"/>
        </w:rPr>
        <w:t>系统发生异常情况，在接到招标人的通知后，中标人技术人员应提供</w:t>
      </w:r>
      <w:r>
        <w:t>7*24</w:t>
      </w:r>
      <w:r>
        <w:rPr>
          <w:rFonts w:hint="eastAsia"/>
        </w:rPr>
        <w:t>小时的服务响应，随时进行电话应答；</w:t>
      </w:r>
      <w:r>
        <w:t>30</w:t>
      </w:r>
      <w:r>
        <w:rPr>
          <w:rFonts w:hint="eastAsia"/>
        </w:rPr>
        <w:t>分钟内完成远程登录诊断；在</w:t>
      </w:r>
      <w:r>
        <w:t>1</w:t>
      </w:r>
      <w:r>
        <w:rPr>
          <w:rFonts w:hint="eastAsia"/>
        </w:rPr>
        <w:t>小时内到达现场解决疑难。</w:t>
      </w:r>
    </w:p>
    <w:p>
      <w:pPr>
        <w:ind w:firstLine="560"/>
      </w:pPr>
      <w:r>
        <w:rPr>
          <w:rFonts w:hint="eastAsia"/>
        </w:rPr>
        <w:t>质量保证期后，中标人仍应根据合同要求向招标人提供技术服务，以合理价格提供软件功能改进技术服务。</w:t>
      </w:r>
    </w:p>
    <w:p>
      <w:pPr>
        <w:ind w:firstLine="560"/>
      </w:pPr>
      <w:r>
        <w:rPr>
          <w:rFonts w:hint="eastAsia"/>
        </w:rPr>
        <w:t>质量保证期间的维护服务不收取任何额外费用，质量保证期后按合同约定进行维护。</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.15知识产权要求</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ind w:firstLine="560"/>
      </w:pPr>
      <w:r>
        <w:rPr>
          <w:rFonts w:hint="eastAsia"/>
        </w:rPr>
        <w:t>1、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pPr>
        <w:ind w:firstLine="560"/>
      </w:pPr>
      <w:r>
        <w:rPr>
          <w:rFonts w:hint="eastAsia"/>
        </w:rPr>
        <w:t>2、本项目实施过程中产生的技术秘密使用权和转让权归招标人所有。</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.16项目验收要求</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ind w:firstLine="560"/>
      </w:pPr>
      <w:r>
        <w:rPr>
          <w:rFonts w:hint="eastAsia"/>
        </w:rPr>
        <w:t>1、由中标人向招标人提交项目验收申请，由招标人组织专家进行项目验收。验收通过后，由招标人出具项目验收证明。</w:t>
      </w:r>
    </w:p>
    <w:p>
      <w:pPr>
        <w:ind w:firstLine="560"/>
      </w:pPr>
      <w:r>
        <w:rPr>
          <w:rFonts w:hint="eastAsia"/>
        </w:rPr>
        <w:t>2、中标人提出项目验收申请时，应满足到以下前提：</w:t>
      </w:r>
    </w:p>
    <w:p>
      <w:pPr>
        <w:ind w:firstLine="560"/>
      </w:pPr>
      <w:r>
        <w:rPr>
          <w:rFonts w:hint="eastAsia"/>
        </w:rPr>
        <w:t>（1）项目开发所完成的技术成果，达到了项目各项技术指标要求。</w:t>
      </w:r>
    </w:p>
    <w:p>
      <w:pPr>
        <w:ind w:firstLine="560"/>
      </w:pPr>
      <w:r>
        <w:rPr>
          <w:rFonts w:hint="eastAsia"/>
        </w:rPr>
        <w:t>（2）应招标人实际需要，中标人需向招标人交付完整的电子版（U盘或者光盘拷贝形式）的应用软件安装包、源代码、工程文件及程序说明。</w:t>
      </w:r>
    </w:p>
    <w:p>
      <w:pPr>
        <w:ind w:firstLine="560"/>
      </w:pPr>
      <w:r>
        <w:rPr>
          <w:rFonts w:hint="eastAsia"/>
        </w:rPr>
        <w:t>（3）中标人需向招标人提供完整的项目工作报告、技术报告、算法模块或系统测试报告、用户使用操作手册等文档资料。</w:t>
      </w:r>
    </w:p>
    <w:p>
      <w:pPr>
        <w:ind w:firstLine="560"/>
      </w:pPr>
      <w:r>
        <w:rPr>
          <w:rFonts w:hint="eastAsia"/>
        </w:rPr>
        <w:t>（4）中标人需向招标人提供所有项目开发源代码。</w:t>
      </w:r>
    </w:p>
    <w:p>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lang w:eastAsia="zh-CN"/>
        </w:rPr>
        <w:t>7</w:t>
      </w:r>
      <w:r>
        <w:rPr>
          <w:rFonts w:ascii="宋体" w:eastAsia="宋体" w:hAnsi="宋体" w:hint="eastAsia"/>
          <w:w w:val="95"/>
        </w:rPr>
        <w:t>.17其他要求</w:t>
      </w: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numPr>
          <w:ilvl w:val="0"/>
          <w:numId w:val="4"/>
        </w:numPr>
        <w:tabs>
          <w:tab w:val="left" w:pos="710"/>
        </w:tabs>
        <w:kinsoku w:val="0"/>
        <w:overflowPunct w:val="0"/>
        <w:autoSpaceDE w:val="0"/>
        <w:autoSpaceDN w:val="0"/>
        <w:adjustRightInd w:val="0"/>
        <w:spacing w:before="156" w:beforeLines="50" w:after="156" w:afterLines="50"/>
        <w:jc w:val="left"/>
        <w:outlineLvl w:val="1"/>
        <w:rPr>
          <w:b/>
          <w:bCs/>
          <w:vanish/>
          <w:w w:val="95"/>
          <w:sz w:val="32"/>
          <w:szCs w:val="32"/>
        </w:rPr>
      </w:pPr>
    </w:p>
    <w:p>
      <w:pPr>
        <w:ind w:firstLine="560"/>
      </w:pPr>
      <w:r>
        <w:rPr>
          <w:rFonts w:hint="eastAsia"/>
        </w:rPr>
        <w:t>1、未经采购人许可，中标供应商不得向任何第三方泄露采购方技术资料内容，因中标供应泄露技术资料等内容产生的法律纠纷，所有责任有中标供应商承担。</w:t>
      </w:r>
    </w:p>
    <w:p>
      <w:pPr>
        <w:ind w:firstLine="560"/>
      </w:pPr>
      <w:r>
        <w:t>2</w:t>
      </w:r>
      <w:r>
        <w:rPr>
          <w:rFonts w:hint="eastAsia"/>
        </w:rPr>
        <w:t>、项目验收完成后，提供3年免费质保。</w:t>
      </w:r>
      <w:r>
        <w:t>在合同质保期内，投标人承诺免费响应甲方系统平台优化的要求，工作量不超过原有建设内容20%</w:t>
      </w:r>
      <w:r>
        <w:rPr>
          <w:rFonts w:hint="eastAsia"/>
        </w:rPr>
        <w:t>。</w:t>
      </w:r>
    </w:p>
    <w:p>
      <w:pPr>
        <w:ind w:firstLine="560"/>
      </w:pPr>
      <w:r>
        <w:t>3</w:t>
      </w:r>
      <w:r>
        <w:rPr>
          <w:rFonts w:hint="eastAsia"/>
        </w:rPr>
        <w:t>、本项目实施过程中，投标人需严格遵循项目监理单位相关工作要求，具体内容包括但不限于：</w:t>
      </w:r>
    </w:p>
    <w:p>
      <w:pPr>
        <w:ind w:firstLine="560"/>
      </w:pPr>
      <w:r>
        <w:rPr>
          <w:rFonts w:hint="eastAsia"/>
        </w:rPr>
        <w:t>（1）资质与团队审查：投标人需按照监理单位要求，及时提交公司资质证明、项目团队成员简历及相关技术证书等资料。监理单位对投标人提交的材料进行严格审查，对于不符合项投标人须按监理要求进行调整。</w:t>
      </w:r>
    </w:p>
    <w:p>
      <w:pPr>
        <w:ind w:firstLine="560"/>
      </w:pPr>
      <w:r>
        <w:rPr>
          <w:rFonts w:hint="eastAsia"/>
        </w:rPr>
        <w:t>（</w:t>
      </w:r>
      <w:r>
        <w:t>2</w:t>
      </w:r>
      <w:r>
        <w:rPr>
          <w:rFonts w:hint="eastAsia"/>
        </w:rPr>
        <w:t>）实施计划制定及审核：投标人制定详细的实施计划，并按照经监理单位审核通过的进度计划，每周向监理单位提交项目进度报告。实施过程中，监理单位发现进度滞后情况，投标人需及时分析原因，采取有效措施加快进度，并将调整后的计划报监理单位备案。</w:t>
      </w:r>
    </w:p>
    <w:p>
      <w:pPr>
        <w:ind w:firstLine="560"/>
      </w:pPr>
      <w:r>
        <w:rPr>
          <w:rFonts w:hint="eastAsia"/>
        </w:rPr>
        <w:t>（</w:t>
      </w:r>
      <w:r>
        <w:t>3</w:t>
      </w:r>
      <w:r>
        <w:rPr>
          <w:rFonts w:hint="eastAsia"/>
        </w:rPr>
        <w:t>）变更管理：在项目实施过程中，若发生需求变更、设计、进度等变更等情况，投标人需按照监理单位规定的变更流程进行处理，并在变更完成后向监理单位报告变更的实施情况。</w:t>
      </w:r>
    </w:p>
    <w:p>
      <w:pPr>
        <w:ind w:firstLine="560"/>
      </w:pPr>
      <w:r>
        <w:rPr>
          <w:rFonts w:hint="eastAsia"/>
        </w:rPr>
        <w:t>（</w:t>
      </w:r>
      <w:r>
        <w:t>4</w:t>
      </w:r>
      <w:r>
        <w:rPr>
          <w:rFonts w:hint="eastAsia"/>
        </w:rPr>
        <w:t>）需求调研与确认：在需求分析阶段，投标人需按照监理单位的要求开展详细的需求调研工作。调研过程需形成规范的记录，并提交监理单位备案。投标人需根据审核意见对需求规格说明书进行修改，直至获得监理单位和用户的认可。</w:t>
      </w:r>
    </w:p>
    <w:p>
      <w:pPr>
        <w:ind w:firstLine="560"/>
      </w:pPr>
      <w:r>
        <w:rPr>
          <w:rFonts w:hint="eastAsia"/>
        </w:rPr>
        <w:t>（</w:t>
      </w:r>
      <w:r>
        <w:t>5</w:t>
      </w:r>
      <w:r>
        <w:rPr>
          <w:rFonts w:hint="eastAsia"/>
        </w:rPr>
        <w:t>）设计方案审核：在系统设计阶段，投标人需制定详细的概要设计、详细设计等方案，并提交监理单位审核。对于监理单位提出的修改意见，投标人需认真分析并及时调整方案，重新提交审核。</w:t>
      </w:r>
    </w:p>
    <w:p>
      <w:pPr>
        <w:ind w:firstLine="560"/>
      </w:pPr>
      <w:r>
        <w:rPr>
          <w:rFonts w:hint="eastAsia"/>
        </w:rPr>
        <w:t>（</w:t>
      </w:r>
      <w:r>
        <w:t>6</w:t>
      </w:r>
      <w:r>
        <w:rPr>
          <w:rFonts w:hint="eastAsia"/>
        </w:rPr>
        <w:t>）开发过程规范审核：投标人需严格按照软件开发流程和规范进行开发，遵循统一的编码规范。监理单位将不定期对开发过程进行旁站记录。对于开发过程中出现的不符合规范的情况，投标人需按照监理单位的要求及时整改。</w:t>
      </w:r>
    </w:p>
    <w:p>
      <w:pPr>
        <w:ind w:firstLine="560"/>
      </w:pPr>
      <w:r>
        <w:rPr>
          <w:rFonts w:hint="eastAsia"/>
        </w:rPr>
        <w:t>（</w:t>
      </w:r>
      <w:r>
        <w:t>7</w:t>
      </w:r>
      <w:r>
        <w:rPr>
          <w:rFonts w:hint="eastAsia"/>
        </w:rPr>
        <w:t>）测试管理要求：投标人需制定详细的测试计划和测试用例，并提交监理单位审核。监理单位将对测试计划的合理性、测试用例的覆盖性进行审查。</w:t>
      </w:r>
    </w:p>
    <w:p>
      <w:pPr>
        <w:ind w:firstLine="560"/>
      </w:pPr>
      <w:r>
        <w:rPr>
          <w:rFonts w:hint="eastAsia"/>
        </w:rPr>
        <w:t>（</w:t>
      </w:r>
      <w:r>
        <w:t>8</w:t>
      </w:r>
      <w:r>
        <w:rPr>
          <w:rFonts w:hint="eastAsia"/>
        </w:rPr>
        <w:t>）系统部署要求：在系统部署阶段，投标人须制定详细部署计划，经监理单位审核通过后方可实施。部署过程中对关键节点验证达标后向监理单位提交《部署总结报告》。</w:t>
      </w:r>
    </w:p>
    <w:p>
      <w:pPr>
        <w:ind w:firstLine="560"/>
      </w:pPr>
      <w:r>
        <w:rPr>
          <w:rFonts w:hint="eastAsia"/>
        </w:rPr>
        <w:t>（</w:t>
      </w:r>
      <w:r>
        <w:t>9</w:t>
      </w:r>
      <w:r>
        <w:rPr>
          <w:rFonts w:hint="eastAsia"/>
        </w:rPr>
        <w:t>）验收阶段要求：投标人需完成系统测试（功能通过率</w:t>
      </w:r>
      <w:r>
        <w:t xml:space="preserve"> 100%</w:t>
      </w:r>
      <w:r>
        <w:rPr>
          <w:rFonts w:hint="eastAsia"/>
        </w:rPr>
        <w:t>、性能达标）、文档汇总（一致性</w:t>
      </w:r>
      <w:r>
        <w:t>≥95%</w:t>
      </w:r>
      <w:r>
        <w:rPr>
          <w:rFonts w:hint="eastAsia"/>
        </w:rPr>
        <w:t>）及培训方案制定等准备工作后，配合监理和建设单位组织的合同验收和业务验收。投标人提交运维手册并履行免费运维承诺，交付后配合完成项目业务验收、竣工决算等验收工作，直至项目完成最终竣工验收。</w:t>
      </w:r>
    </w:p>
    <w:p>
      <w:pPr>
        <w:ind w:firstLine="560"/>
      </w:pPr>
      <w:r>
        <w:rPr>
          <w:rFonts w:hint="eastAsia"/>
        </w:rPr>
        <w:t>（</w:t>
      </w:r>
      <w:r>
        <w:t>10</w:t>
      </w:r>
      <w:r>
        <w:rPr>
          <w:rFonts w:hint="eastAsia"/>
        </w:rPr>
        <w:t>）沟通协调：投标人需建立与监理单位的定期沟通机制，定期召开项目例会，汇报项目进展情况。同时，对监理单位发出的通知、指令、整改意见等，投标人需及时响应，在规定的时间内反馈处理结果。</w:t>
      </w:r>
    </w:p>
    <w:p>
      <w:pPr>
        <w:ind w:firstLine="560"/>
      </w:pPr>
      <w:r>
        <w:rPr>
          <w:rFonts w:hint="eastAsia"/>
        </w:rPr>
        <w:t>（1</w:t>
      </w:r>
      <w:r>
        <w:t>1</w:t>
      </w:r>
      <w:r>
        <w:rPr>
          <w:rFonts w:hint="eastAsia"/>
        </w:rPr>
        <w:t>）信息安全管理：投标人需严格遵循监理单位要求，从多维度构建安全防护体系，落实安全管理制度（包含人员及建设任务）并提交监理单位备案。</w:t>
      </w:r>
    </w:p>
    <w:p>
      <w:pPr>
        <w:ind w:firstLine="560"/>
      </w:pPr>
      <w:r>
        <w:rPr>
          <w:rFonts w:hint="eastAsia"/>
        </w:rPr>
        <w:t>（1</w:t>
      </w:r>
      <w:r>
        <w:t>2</w:t>
      </w:r>
      <w:r>
        <w:rPr>
          <w:rFonts w:hint="eastAsia"/>
        </w:rPr>
        <w:t>）文档管理要求：投标人需按监理规定格式编制本项目全周期文档，监理审查后对不符合项需修改完善后提交。</w:t>
      </w:r>
    </w:p>
    <w:p>
      <w:pPr>
        <w:ind w:firstLine="560"/>
      </w:pPr>
      <w:r>
        <w:rPr>
          <w:rFonts w:hint="eastAsia"/>
        </w:rPr>
        <w:t>（1</w:t>
      </w:r>
      <w:r>
        <w:t>3</w:t>
      </w:r>
      <w:r>
        <w:rPr>
          <w:rFonts w:hint="eastAsia"/>
        </w:rPr>
        <w:t>）合同管理及支付审核：投标人须严格按照签订的软件开发合同约定，全面履行自身义务，并根据合同约定的进度节点和支付方式，在完成相应工作并经监理单位审核确认后，及时向监理单位提交进度款支付申请。</w:t>
      </w:r>
    </w:p>
    <w:p>
      <w:pPr>
        <w:ind w:firstLine="560"/>
      </w:pPr>
    </w:p>
    <w:p/>
    <w:p>
      <w:pPr>
        <w:jc w:val="center"/>
        <w:rPr>
          <w:rFonts w:ascii="黑体" w:eastAsia="黑体"/>
          <w:b/>
          <w:sz w:val="60"/>
          <w:szCs w:val="60"/>
        </w:rPr>
        <w:sectPr>
          <w:footerReference w:type="default" r:id="rId6"/>
          <w:pgSz w:w="11906" w:h="16838"/>
          <w:pgMar w:top="1418" w:right="1418" w:bottom="1418" w:left="1701" w:header="851" w:footer="851" w:gutter="0"/>
          <w:cols w:num="1" w:space="708"/>
          <w:docGrid w:type="linesAndChars" w:linePitch="312" w:charSpace="0"/>
        </w:sectPr>
      </w:pPr>
    </w:p>
    <w:p/>
    <w:p w:rsidR="00A77B3E"/>
    <w:p>
      <w:pPr>
        <w:adjustRightInd w:val="0"/>
        <w:snapToGrid w:val="0"/>
        <w:spacing w:line="360" w:lineRule="auto"/>
        <w:jc w:val="center"/>
        <w:rPr>
          <w:rFonts w:ascii="宋体" w:hAnsi="宋体" w:hint="eastAsia"/>
          <w:b/>
          <w:sz w:val="30"/>
          <w:szCs w:val="30"/>
          <w:highlight w:val="none"/>
        </w:rPr>
        <w:sectPr>
          <w:footerReference w:type="default" r:id="rId7"/>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65"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16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166"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6"/>
        </w:numPr>
        <w:ind w:hanging="420"/>
        <w:jc w:val="left"/>
        <w:rPr>
          <w:sz w:val="24"/>
          <w:szCs w:val="24"/>
        </w:rPr>
      </w:pPr>
      <w:bookmarkStart w:id="167" w:name="_Toc150439537"/>
      <w:r>
        <w:rPr>
          <w:rFonts w:hint="eastAsia"/>
          <w:sz w:val="24"/>
          <w:szCs w:val="24"/>
        </w:rPr>
        <w:t>项目内容及概况</w:t>
      </w:r>
      <w:bookmarkEnd w:id="167"/>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6"/>
        </w:numPr>
        <w:ind w:hanging="420"/>
        <w:jc w:val="left"/>
        <w:rPr>
          <w:rFonts w:hint="eastAsia"/>
          <w:sz w:val="24"/>
          <w:szCs w:val="24"/>
        </w:rPr>
      </w:pPr>
      <w:bookmarkStart w:id="168" w:name="_Toc150434187"/>
      <w:bookmarkStart w:id="169" w:name="_Toc150439539"/>
      <w:bookmarkStart w:id="170" w:name="_Toc150434283"/>
      <w:bookmarkStart w:id="171" w:name="_Toc150439540"/>
      <w:bookmarkEnd w:id="168"/>
      <w:bookmarkEnd w:id="169"/>
      <w:bookmarkEnd w:id="170"/>
      <w:r>
        <w:rPr>
          <w:rFonts w:hint="eastAsia"/>
          <w:sz w:val="24"/>
          <w:szCs w:val="24"/>
        </w:rPr>
        <w:t>项目相关标准</w:t>
      </w:r>
      <w:bookmarkEnd w:id="171"/>
    </w:p>
    <w:p>
      <w:pPr>
        <w:numPr>
          <w:ilvl w:val="0"/>
          <w:numId w:val="7"/>
        </w:numPr>
        <w:ind w:left="0" w:firstLine="480" w:firstLineChars="200"/>
        <w:jc w:val="left"/>
      </w:pPr>
      <w:r>
        <w:rPr>
          <w:rFonts w:hint="eastAsia"/>
          <w:sz w:val="24"/>
          <w:szCs w:val="24"/>
        </w:rPr>
        <w:t>技术标准</w:t>
      </w:r>
    </w:p>
    <w:p>
      <w:pPr>
        <w:numPr>
          <w:ilvl w:val="0"/>
          <w:numId w:val="8"/>
        </w:numPr>
        <w:ind w:left="0" w:firstLine="480" w:firstLineChars="200"/>
        <w:jc w:val="left"/>
      </w:pPr>
      <w:r>
        <w:rPr>
          <w:rFonts w:hint="eastAsia"/>
          <w:sz w:val="24"/>
          <w:szCs w:val="24"/>
        </w:rPr>
        <w:t>国家政策文件</w:t>
      </w:r>
    </w:p>
    <w:p>
      <w:pPr>
        <w:numPr>
          <w:ilvl w:val="1"/>
          <w:numId w:val="7"/>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7"/>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pPr>
      <w:r>
        <w:rPr>
          <w:rFonts w:hint="eastAsia"/>
          <w:sz w:val="24"/>
          <w:szCs w:val="24"/>
        </w:rPr>
        <w:t>省厅政策文件</w:t>
      </w:r>
    </w:p>
    <w:p>
      <w:pPr>
        <w:numPr>
          <w:ilvl w:val="0"/>
          <w:numId w:val="9"/>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9"/>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pPr>
      <w:r>
        <w:rPr>
          <w:rFonts w:hint="eastAsia"/>
          <w:sz w:val="24"/>
          <w:szCs w:val="24"/>
        </w:rPr>
        <w:t>地区政策文件</w:t>
      </w:r>
    </w:p>
    <w:p>
      <w:pPr>
        <w:numPr>
          <w:ilvl w:val="1"/>
          <w:numId w:val="8"/>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8"/>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标准规范</w:t>
      </w:r>
    </w:p>
    <w:p>
      <w:pPr>
        <w:numPr>
          <w:ilvl w:val="0"/>
          <w:numId w:val="10"/>
        </w:numPr>
        <w:ind w:left="0" w:firstLine="480" w:firstLineChars="200"/>
        <w:jc w:val="left"/>
        <w:rPr>
          <w:rFonts w:hint="eastAsia"/>
          <w:u w:val="single"/>
        </w:rPr>
      </w:pPr>
      <w:r>
        <w:rPr>
          <w:rFonts w:hint="eastAsia"/>
          <w:sz w:val="24"/>
          <w:szCs w:val="24"/>
          <w:u w:val="single"/>
        </w:rPr>
        <w:t xml:space="preserve">                     </w:t>
      </w:r>
    </w:p>
    <w:p>
      <w:pPr>
        <w:numPr>
          <w:ilvl w:val="0"/>
          <w:numId w:val="10"/>
        </w:numPr>
        <w:ind w:left="0" w:firstLine="480" w:firstLineChars="200"/>
        <w:jc w:val="left"/>
        <w:rPr>
          <w:rFonts w:hint="eastAsia"/>
          <w:u w:val="single"/>
        </w:rPr>
      </w:pPr>
      <w:r>
        <w:rPr>
          <w:rFonts w:hint="eastAsia"/>
          <w:sz w:val="24"/>
          <w:szCs w:val="24"/>
          <w:u w:val="single"/>
        </w:rPr>
        <w:t xml:space="preserve">                     </w:t>
      </w:r>
    </w:p>
    <w:p>
      <w:pPr>
        <w:numPr>
          <w:ilvl w:val="0"/>
          <w:numId w:val="7"/>
        </w:numPr>
        <w:ind w:left="0" w:firstLine="480" w:firstLineChars="200"/>
        <w:jc w:val="left"/>
      </w:pPr>
      <w:r>
        <w:rPr>
          <w:rFonts w:hint="eastAsia"/>
          <w:sz w:val="24"/>
          <w:szCs w:val="24"/>
        </w:rPr>
        <w:t>国家法律法规</w:t>
      </w:r>
    </w:p>
    <w:p>
      <w:pPr>
        <w:numPr>
          <w:ilvl w:val="0"/>
          <w:numId w:val="11"/>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1"/>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1"/>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7"/>
        </w:numPr>
        <w:ind w:left="0" w:firstLine="480" w:firstLineChars="200"/>
        <w:jc w:val="left"/>
      </w:pPr>
      <w:r>
        <w:rPr>
          <w:rFonts w:hint="eastAsia"/>
          <w:sz w:val="24"/>
          <w:szCs w:val="24"/>
        </w:rPr>
        <w:t>气象部门管理制度</w:t>
      </w:r>
    </w:p>
    <w:p>
      <w:pPr>
        <w:numPr>
          <w:ilvl w:val="0"/>
          <w:numId w:val="12"/>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2"/>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2"/>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2"/>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2"/>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2"/>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2"/>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2"/>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6"/>
        </w:numPr>
        <w:ind w:hanging="420"/>
        <w:jc w:val="left"/>
        <w:rPr>
          <w:rFonts w:hint="eastAsia"/>
          <w:sz w:val="24"/>
          <w:szCs w:val="24"/>
        </w:rPr>
      </w:pPr>
      <w:bookmarkStart w:id="172" w:name="_Toc150439541"/>
      <w:bookmarkStart w:id="173" w:name="_Toc150439542"/>
      <w:bookmarkEnd w:id="172"/>
      <w:r>
        <w:rPr>
          <w:rFonts w:hint="eastAsia"/>
          <w:sz w:val="24"/>
          <w:szCs w:val="24"/>
        </w:rPr>
        <w:t>组成本合同的文件</w:t>
      </w:r>
      <w:bookmarkEnd w:id="173"/>
    </w:p>
    <w:p>
      <w:pPr>
        <w:numPr>
          <w:ilvl w:val="0"/>
          <w:numId w:val="13"/>
        </w:numPr>
        <w:ind w:left="0" w:firstLine="480" w:firstLineChars="200"/>
        <w:jc w:val="left"/>
        <w:rPr>
          <w:rFonts w:hint="eastAsia"/>
        </w:rPr>
      </w:pPr>
      <w:r>
        <w:rPr>
          <w:rFonts w:hint="eastAsia"/>
          <w:sz w:val="24"/>
          <w:szCs w:val="24"/>
        </w:rPr>
        <w:t>本合同；</w:t>
      </w:r>
    </w:p>
    <w:p>
      <w:pPr>
        <w:numPr>
          <w:ilvl w:val="0"/>
          <w:numId w:val="13"/>
        </w:numPr>
        <w:ind w:left="0" w:firstLine="480" w:firstLineChars="200"/>
        <w:jc w:val="left"/>
      </w:pPr>
      <w:r>
        <w:rPr>
          <w:rFonts w:hint="eastAsia"/>
          <w:sz w:val="24"/>
          <w:szCs w:val="24"/>
        </w:rPr>
        <w:t>中标通知书、招标文件、投标文件等；</w:t>
      </w:r>
    </w:p>
    <w:p>
      <w:pPr>
        <w:numPr>
          <w:ilvl w:val="0"/>
          <w:numId w:val="13"/>
        </w:numPr>
        <w:ind w:left="0" w:firstLine="480" w:firstLineChars="200"/>
        <w:jc w:val="left"/>
      </w:pPr>
      <w:r>
        <w:rPr>
          <w:rFonts w:hint="eastAsia"/>
          <w:sz w:val="24"/>
          <w:szCs w:val="24"/>
        </w:rPr>
        <w:t>与履行本合同有关、经双方依法签字盖章确认后的下列技术文件：</w:t>
      </w:r>
    </w:p>
    <w:p>
      <w:pPr>
        <w:numPr>
          <w:ilvl w:val="0"/>
          <w:numId w:val="14"/>
        </w:numPr>
        <w:ind w:hanging="5"/>
        <w:jc w:val="left"/>
        <w:rPr>
          <w:rFonts w:hint="eastAsia"/>
        </w:rPr>
      </w:pPr>
      <w:r>
        <w:rPr>
          <w:rFonts w:hint="eastAsia"/>
          <w:sz w:val="24"/>
          <w:szCs w:val="24"/>
        </w:rPr>
        <w:t>技术背景资料；</w:t>
      </w:r>
    </w:p>
    <w:p>
      <w:pPr>
        <w:numPr>
          <w:ilvl w:val="0"/>
          <w:numId w:val="14"/>
        </w:numPr>
        <w:ind w:hanging="5"/>
        <w:jc w:val="left"/>
        <w:rPr>
          <w:rFonts w:hint="eastAsia"/>
        </w:rPr>
      </w:pPr>
      <w:r>
        <w:rPr>
          <w:rFonts w:hint="eastAsia"/>
          <w:sz w:val="24"/>
          <w:szCs w:val="24"/>
        </w:rPr>
        <w:t>可行性论证报告；</w:t>
      </w:r>
    </w:p>
    <w:p>
      <w:pPr>
        <w:numPr>
          <w:ilvl w:val="0"/>
          <w:numId w:val="14"/>
        </w:numPr>
        <w:ind w:hanging="5"/>
        <w:jc w:val="left"/>
        <w:rPr>
          <w:rFonts w:hint="eastAsia"/>
        </w:rPr>
      </w:pPr>
      <w:r>
        <w:rPr>
          <w:rFonts w:hint="eastAsia"/>
          <w:sz w:val="24"/>
          <w:szCs w:val="24"/>
        </w:rPr>
        <w:t>技术评价报告；</w:t>
      </w:r>
    </w:p>
    <w:p>
      <w:pPr>
        <w:numPr>
          <w:ilvl w:val="0"/>
          <w:numId w:val="14"/>
        </w:numPr>
        <w:ind w:hanging="5"/>
        <w:jc w:val="left"/>
        <w:rPr>
          <w:rFonts w:hint="eastAsia"/>
        </w:rPr>
      </w:pPr>
      <w:r>
        <w:rPr>
          <w:rFonts w:hint="eastAsia"/>
          <w:sz w:val="24"/>
          <w:szCs w:val="24"/>
        </w:rPr>
        <w:t>技术标准和规范；</w:t>
      </w:r>
    </w:p>
    <w:p>
      <w:pPr>
        <w:numPr>
          <w:ilvl w:val="0"/>
          <w:numId w:val="14"/>
        </w:numPr>
        <w:ind w:hanging="5"/>
        <w:jc w:val="left"/>
        <w:rPr>
          <w:rFonts w:hint="eastAsia"/>
        </w:rPr>
      </w:pPr>
      <w:r>
        <w:rPr>
          <w:sz w:val="24"/>
          <w:szCs w:val="24"/>
        </w:rPr>
        <w:t>……</w:t>
      </w:r>
    </w:p>
    <w:p>
      <w:pPr>
        <w:numPr>
          <w:ilvl w:val="0"/>
          <w:numId w:val="13"/>
        </w:numPr>
        <w:ind w:left="0" w:firstLine="480" w:firstLineChars="200"/>
        <w:jc w:val="left"/>
      </w:pPr>
      <w:r>
        <w:rPr>
          <w:rFonts w:hint="eastAsia"/>
          <w:sz w:val="24"/>
          <w:szCs w:val="24"/>
        </w:rPr>
        <w:t>安全保密承诺书（签字盖章）；</w:t>
      </w:r>
    </w:p>
    <w:p>
      <w:pPr>
        <w:numPr>
          <w:ilvl w:val="0"/>
          <w:numId w:val="13"/>
        </w:numPr>
        <w:ind w:left="0" w:firstLine="480" w:firstLineChars="200"/>
        <w:jc w:val="left"/>
      </w:pPr>
      <w:r>
        <w:rPr>
          <w:rFonts w:hint="eastAsia"/>
          <w:sz w:val="24"/>
          <w:szCs w:val="24"/>
        </w:rPr>
        <w:t>安全保密协议（签字盖章）；</w:t>
      </w:r>
    </w:p>
    <w:p>
      <w:pPr>
        <w:numPr>
          <w:ilvl w:val="0"/>
          <w:numId w:val="13"/>
        </w:numPr>
        <w:ind w:left="0" w:firstLine="480" w:firstLineChars="200"/>
        <w:jc w:val="left"/>
      </w:pPr>
      <w:r>
        <w:rPr>
          <w:rFonts w:hint="eastAsia"/>
          <w:sz w:val="24"/>
          <w:szCs w:val="24"/>
        </w:rPr>
        <w:t>乙方就该项目实施情况接受甲方监督检查的承诺书（签字盖章）；</w:t>
      </w:r>
    </w:p>
    <w:p>
      <w:pPr>
        <w:numPr>
          <w:ilvl w:val="0"/>
          <w:numId w:val="13"/>
        </w:numPr>
        <w:ind w:left="0" w:firstLine="480" w:firstLineChars="200"/>
        <w:jc w:val="left"/>
        <w:rPr>
          <w:rFonts w:hint="eastAsia"/>
        </w:rPr>
      </w:pPr>
      <w:r>
        <w:rPr>
          <w:rFonts w:hint="eastAsia"/>
          <w:sz w:val="24"/>
          <w:szCs w:val="24"/>
        </w:rPr>
        <w:t>统筹集约承诺书（签字盖章）；</w:t>
      </w:r>
    </w:p>
    <w:p>
      <w:pPr>
        <w:numPr>
          <w:ilvl w:val="0"/>
          <w:numId w:val="13"/>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3"/>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6"/>
        </w:numPr>
        <w:ind w:hanging="420"/>
        <w:jc w:val="left"/>
        <w:rPr>
          <w:rFonts w:hint="eastAsia"/>
          <w:sz w:val="24"/>
          <w:szCs w:val="24"/>
        </w:rPr>
      </w:pPr>
      <w:bookmarkStart w:id="174" w:name="_Toc150439545"/>
      <w:r>
        <w:rPr>
          <w:rFonts w:hint="eastAsia"/>
          <w:sz w:val="24"/>
          <w:szCs w:val="24"/>
        </w:rPr>
        <w:t>合同履行地点、合同服务期</w:t>
      </w:r>
      <w:bookmarkEnd w:id="174"/>
    </w:p>
    <w:p>
      <w:pPr>
        <w:numPr>
          <w:ilvl w:val="0"/>
          <w:numId w:val="15"/>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5"/>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6"/>
        </w:numPr>
        <w:ind w:hanging="420"/>
        <w:rPr>
          <w:rFonts w:hint="eastAsia"/>
          <w:sz w:val="24"/>
          <w:szCs w:val="24"/>
        </w:rPr>
      </w:pPr>
      <w:bookmarkStart w:id="175" w:name="_Toc150439547"/>
      <w:r>
        <w:rPr>
          <w:rFonts w:hint="eastAsia"/>
          <w:sz w:val="24"/>
          <w:szCs w:val="24"/>
        </w:rPr>
        <w:t>服务范围及内容</w:t>
      </w:r>
      <w:bookmarkEnd w:id="175"/>
    </w:p>
    <w:p>
      <w:pPr>
        <w:ind w:firstLine="480" w:firstLineChars="200"/>
      </w:pPr>
      <w:r>
        <w:rPr>
          <w:rFonts w:hint="eastAsia"/>
          <w:sz w:val="24"/>
          <w:szCs w:val="24"/>
        </w:rPr>
        <w:t>本合同研究开发项目的要求如下：</w:t>
      </w:r>
    </w:p>
    <w:p>
      <w:pPr>
        <w:numPr>
          <w:ilvl w:val="0"/>
          <w:numId w:val="16"/>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6"/>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7"/>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6"/>
        </w:numPr>
        <w:ind w:hanging="420"/>
        <w:rPr>
          <w:rFonts w:hint="eastAsia"/>
          <w:sz w:val="24"/>
          <w:szCs w:val="24"/>
        </w:rPr>
      </w:pPr>
      <w:bookmarkStart w:id="176" w:name="_Toc150434291"/>
      <w:bookmarkStart w:id="177" w:name="_Toc150439548"/>
      <w:bookmarkStart w:id="178" w:name="_Toc150434195"/>
      <w:bookmarkStart w:id="179" w:name="_Toc150424370"/>
      <w:bookmarkStart w:id="180" w:name="_Toc150439549"/>
      <w:bookmarkEnd w:id="176"/>
      <w:bookmarkEnd w:id="177"/>
      <w:bookmarkEnd w:id="178"/>
      <w:bookmarkEnd w:id="179"/>
      <w:r>
        <w:rPr>
          <w:rFonts w:hint="eastAsia"/>
          <w:sz w:val="24"/>
          <w:szCs w:val="24"/>
        </w:rPr>
        <w:t>乙方的权利与义务</w:t>
      </w:r>
      <w:bookmarkEnd w:id="180"/>
    </w:p>
    <w:p>
      <w:pPr>
        <w:numPr>
          <w:ilvl w:val="0"/>
          <w:numId w:val="18"/>
        </w:numPr>
        <w:ind w:left="0" w:firstLine="480" w:firstLineChars="200"/>
        <w:rPr>
          <w:rFonts w:hint="eastAsia"/>
        </w:rPr>
      </w:pPr>
      <w:r>
        <w:rPr>
          <w:rFonts w:hint="eastAsia"/>
          <w:sz w:val="24"/>
          <w:szCs w:val="24"/>
        </w:rPr>
        <w:t>为保证履行合同，乙方承诺以下事项：</w:t>
      </w:r>
    </w:p>
    <w:p>
      <w:pPr>
        <w:numPr>
          <w:ilvl w:val="0"/>
          <w:numId w:val="19"/>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19"/>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19"/>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19"/>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19"/>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19"/>
        </w:numPr>
        <w:ind w:left="0" w:firstLine="480" w:firstLineChars="200"/>
        <w:rPr>
          <w:rFonts w:hint="eastAsia"/>
          <w:u w:val="single"/>
        </w:rPr>
      </w:pPr>
      <w:r>
        <w:rPr>
          <w:rFonts w:hint="eastAsia"/>
          <w:sz w:val="24"/>
          <w:szCs w:val="24"/>
          <w:u w:val="single"/>
        </w:rPr>
        <w:t xml:space="preserve">                                                                     </w:t>
      </w:r>
    </w:p>
    <w:p>
      <w:pPr>
        <w:numPr>
          <w:ilvl w:val="0"/>
          <w:numId w:val="18"/>
        </w:numPr>
        <w:ind w:left="0" w:firstLine="480" w:firstLineChars="200"/>
        <w:rPr>
          <w:rFonts w:hint="eastAsia"/>
        </w:rPr>
      </w:pPr>
      <w:r>
        <w:rPr>
          <w:rFonts w:hint="eastAsia"/>
          <w:sz w:val="24"/>
          <w:szCs w:val="24"/>
        </w:rPr>
        <w:t>对非驻场软件开发，乙方承诺以下事项：</w:t>
      </w:r>
    </w:p>
    <w:p>
      <w:pPr>
        <w:numPr>
          <w:ilvl w:val="0"/>
          <w:numId w:val="20"/>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0"/>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0"/>
        </w:numPr>
        <w:ind w:left="0" w:firstLine="480" w:firstLineChars="200"/>
        <w:rPr>
          <w:rFonts w:hint="eastAsia"/>
          <w:u w:val="single"/>
        </w:rPr>
      </w:pPr>
      <w:r>
        <w:rPr>
          <w:rFonts w:hint="eastAsia"/>
          <w:sz w:val="24"/>
          <w:szCs w:val="24"/>
          <w:u w:val="single"/>
        </w:rPr>
        <w:t xml:space="preserve">不存在规避监管的情形。                                                </w:t>
      </w:r>
    </w:p>
    <w:p>
      <w:pPr>
        <w:numPr>
          <w:ilvl w:val="0"/>
          <w:numId w:val="18"/>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8"/>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1"/>
        </w:numPr>
        <w:ind w:hanging="5"/>
        <w:jc w:val="left"/>
      </w:pPr>
      <w:r>
        <w:rPr>
          <w:rFonts w:hint="eastAsia"/>
          <w:sz w:val="24"/>
          <w:szCs w:val="24"/>
        </w:rPr>
        <w:t>项目功能清单；</w:t>
      </w:r>
    </w:p>
    <w:p>
      <w:pPr>
        <w:numPr>
          <w:ilvl w:val="0"/>
          <w:numId w:val="21"/>
        </w:numPr>
        <w:ind w:hanging="5"/>
        <w:jc w:val="left"/>
        <w:rPr>
          <w:rFonts w:hint="eastAsia"/>
        </w:rPr>
      </w:pPr>
      <w:r>
        <w:rPr>
          <w:rFonts w:hint="eastAsia"/>
          <w:sz w:val="24"/>
          <w:szCs w:val="24"/>
        </w:rPr>
        <w:t>项目实施方案。</w:t>
      </w:r>
    </w:p>
    <w:p>
      <w:pPr>
        <w:numPr>
          <w:ilvl w:val="0"/>
          <w:numId w:val="18"/>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2"/>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2"/>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2"/>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8"/>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8"/>
        </w:numPr>
        <w:ind w:left="0" w:firstLine="480" w:firstLineChars="200"/>
        <w:rPr>
          <w:rFonts w:hint="eastAsia"/>
        </w:rPr>
      </w:pPr>
      <w:r>
        <w:rPr>
          <w:rFonts w:hint="eastAsia"/>
          <w:sz w:val="24"/>
          <w:szCs w:val="24"/>
        </w:rPr>
        <w:t>乙方应接受甲方对本项目执行工作的监督、检查和评价。</w:t>
      </w:r>
    </w:p>
    <w:p>
      <w:pPr>
        <w:numPr>
          <w:ilvl w:val="0"/>
          <w:numId w:val="18"/>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8"/>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8"/>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8"/>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6"/>
        </w:numPr>
        <w:ind w:left="0" w:firstLine="480" w:firstLineChars="200"/>
        <w:rPr>
          <w:sz w:val="24"/>
          <w:szCs w:val="24"/>
        </w:rPr>
      </w:pPr>
      <w:bookmarkStart w:id="181" w:name="_Toc150434197"/>
      <w:bookmarkStart w:id="182" w:name="_Toc150439550"/>
      <w:bookmarkStart w:id="183" w:name="_Toc150424372"/>
      <w:bookmarkStart w:id="184" w:name="_Toc150434293"/>
      <w:bookmarkStart w:id="185" w:name="_Toc150439565"/>
      <w:bookmarkEnd w:id="181"/>
      <w:bookmarkEnd w:id="182"/>
      <w:bookmarkEnd w:id="183"/>
      <w:bookmarkEnd w:id="184"/>
      <w:r>
        <w:rPr>
          <w:rFonts w:hint="eastAsia"/>
          <w:sz w:val="24"/>
          <w:szCs w:val="24"/>
        </w:rPr>
        <w:t>甲方</w:t>
      </w:r>
      <w:r>
        <w:rPr>
          <w:sz w:val="24"/>
          <w:szCs w:val="24"/>
        </w:rPr>
        <w:t>的权利与义务</w:t>
      </w:r>
      <w:bookmarkEnd w:id="185"/>
    </w:p>
    <w:p>
      <w:pPr>
        <w:numPr>
          <w:ilvl w:val="0"/>
          <w:numId w:val="23"/>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4"/>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4"/>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4"/>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3"/>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3"/>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3"/>
        </w:numPr>
        <w:ind w:left="0" w:firstLine="480" w:firstLineChars="200"/>
        <w:rPr>
          <w:spacing w:val="7"/>
        </w:rPr>
      </w:pPr>
      <w:r>
        <w:rPr>
          <w:rFonts w:hint="eastAsia"/>
          <w:sz w:val="24"/>
          <w:szCs w:val="24"/>
        </w:rPr>
        <w:t>甲方必须遵守国家法律法规及气象部门管理制度的要求。</w:t>
      </w:r>
    </w:p>
    <w:p>
      <w:pPr>
        <w:numPr>
          <w:ilvl w:val="0"/>
          <w:numId w:val="23"/>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6"/>
        </w:numPr>
        <w:ind w:left="0" w:firstLine="480" w:firstLineChars="200"/>
        <w:rPr>
          <w:sz w:val="24"/>
          <w:szCs w:val="24"/>
        </w:rPr>
      </w:pPr>
      <w:r>
        <w:rPr>
          <w:rFonts w:hint="eastAsia"/>
          <w:sz w:val="24"/>
          <w:szCs w:val="24"/>
        </w:rPr>
        <w:t>知识产权归属</w:t>
      </w:r>
    </w:p>
    <w:p>
      <w:pPr>
        <w:numPr>
          <w:ilvl w:val="0"/>
          <w:numId w:val="25"/>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5"/>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5"/>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5"/>
        </w:numPr>
        <w:ind w:left="0" w:firstLine="480" w:firstLineChars="200"/>
      </w:pPr>
      <w:r>
        <w:rPr>
          <w:sz w:val="24"/>
          <w:szCs w:val="24"/>
        </w:rPr>
        <w:t>乙方利用研究开发经费所购置与研究开发工作有关的设备、器材、资料等财产，归甲方所有。</w:t>
      </w:r>
    </w:p>
    <w:p>
      <w:pPr>
        <w:numPr>
          <w:ilvl w:val="0"/>
          <w:numId w:val="25"/>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5"/>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5"/>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6"/>
        </w:numPr>
        <w:ind w:left="0" w:firstLine="480" w:firstLineChars="200"/>
        <w:rPr>
          <w:rFonts w:hint="eastAsia"/>
          <w:sz w:val="24"/>
          <w:szCs w:val="24"/>
        </w:rPr>
      </w:pPr>
      <w:r>
        <w:rPr>
          <w:rFonts w:hint="eastAsia"/>
          <w:sz w:val="24"/>
          <w:szCs w:val="24"/>
        </w:rPr>
        <w:t>项目联系人及相关约定</w:t>
      </w:r>
    </w:p>
    <w:p>
      <w:pPr>
        <w:numPr>
          <w:ilvl w:val="0"/>
          <w:numId w:val="26"/>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7"/>
        </w:numPr>
        <w:ind w:hanging="5"/>
        <w:rPr>
          <w:rFonts w:hint="eastAsia"/>
          <w:u w:val="single"/>
        </w:rPr>
      </w:pPr>
      <w:r>
        <w:rPr>
          <w:rFonts w:hint="eastAsia"/>
          <w:sz w:val="24"/>
          <w:szCs w:val="24"/>
          <w:u w:val="single"/>
        </w:rPr>
        <w:t xml:space="preserve">                                                            ；</w:t>
      </w:r>
    </w:p>
    <w:p>
      <w:pPr>
        <w:numPr>
          <w:ilvl w:val="0"/>
          <w:numId w:val="27"/>
        </w:numPr>
        <w:ind w:hanging="5"/>
        <w:rPr>
          <w:rFonts w:hint="eastAsia"/>
          <w:u w:val="single"/>
        </w:rPr>
      </w:pPr>
      <w:r>
        <w:rPr>
          <w:rFonts w:hint="eastAsia"/>
          <w:sz w:val="24"/>
          <w:szCs w:val="24"/>
          <w:u w:val="single"/>
        </w:rPr>
        <w:t xml:space="preserve">                                                            ； </w:t>
      </w:r>
    </w:p>
    <w:p>
      <w:pPr>
        <w:numPr>
          <w:ilvl w:val="0"/>
          <w:numId w:val="27"/>
        </w:numPr>
        <w:ind w:hanging="5"/>
        <w:rPr>
          <w:u w:val="single"/>
        </w:rPr>
      </w:pPr>
      <w:r>
        <w:rPr>
          <w:rFonts w:hint="eastAsia"/>
          <w:sz w:val="24"/>
          <w:szCs w:val="24"/>
          <w:u w:val="single"/>
        </w:rPr>
        <w:t xml:space="preserve">                                                            ；</w:t>
      </w:r>
    </w:p>
    <w:p>
      <w:pPr>
        <w:numPr>
          <w:ilvl w:val="0"/>
          <w:numId w:val="27"/>
        </w:numPr>
        <w:ind w:hanging="5"/>
        <w:rPr>
          <w:rFonts w:hint="eastAsia"/>
          <w:u w:val="single"/>
        </w:rPr>
      </w:pPr>
      <w:r>
        <w:rPr>
          <w:rFonts w:hint="eastAsia"/>
          <w:sz w:val="24"/>
          <w:szCs w:val="24"/>
          <w:u w:val="single"/>
        </w:rPr>
        <w:t xml:space="preserve">                                                            。</w:t>
      </w:r>
    </w:p>
    <w:p>
      <w:pPr>
        <w:numPr>
          <w:ilvl w:val="0"/>
          <w:numId w:val="26"/>
        </w:numPr>
        <w:ind w:left="0" w:firstLine="480" w:firstLineChars="200"/>
        <w:rPr>
          <w:rFonts w:hint="eastAsia"/>
        </w:rPr>
      </w:pPr>
      <w:r>
        <w:rPr>
          <w:rFonts w:hint="eastAsia"/>
          <w:sz w:val="24"/>
          <w:szCs w:val="24"/>
        </w:rPr>
        <w:t>联系人变更约定</w:t>
      </w:r>
    </w:p>
    <w:p>
      <w:pPr>
        <w:numPr>
          <w:ilvl w:val="0"/>
          <w:numId w:val="28"/>
        </w:numPr>
        <w:ind w:left="5" w:firstLine="415"/>
      </w:pPr>
      <w:r>
        <w:rPr>
          <w:sz w:val="24"/>
          <w:szCs w:val="24"/>
        </w:rPr>
        <w:t>一方变更项目联系人的，应当及时以书面形式通知另一方。未及时通知并影响本合同履行或造成损失的，应承担相应的责任。</w:t>
      </w:r>
    </w:p>
    <w:p>
      <w:pPr>
        <w:numPr>
          <w:ilvl w:val="0"/>
          <w:numId w:val="28"/>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8"/>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6"/>
        </w:numPr>
        <w:ind w:left="0" w:firstLine="480" w:firstLineChars="200"/>
        <w:rPr>
          <w:sz w:val="24"/>
          <w:szCs w:val="24"/>
        </w:rPr>
      </w:pPr>
      <w:bookmarkStart w:id="186" w:name="_Toc150439567"/>
      <w:r>
        <w:rPr>
          <w:rFonts w:hint="eastAsia"/>
          <w:sz w:val="24"/>
          <w:szCs w:val="24"/>
        </w:rPr>
        <w:t>项目交付</w:t>
      </w:r>
      <w:bookmarkEnd w:id="186"/>
    </w:p>
    <w:p>
      <w:pPr>
        <w:numPr>
          <w:ilvl w:val="0"/>
          <w:numId w:val="29"/>
        </w:numPr>
        <w:ind w:left="0" w:firstLine="480" w:firstLineChars="200"/>
        <w:rPr>
          <w:rFonts w:hint="eastAsia"/>
        </w:rPr>
      </w:pPr>
      <w:r>
        <w:rPr>
          <w:rFonts w:hint="eastAsia"/>
          <w:sz w:val="24"/>
          <w:szCs w:val="24"/>
        </w:rPr>
        <w:t>乙方应当按以下方式向甲方交付研究开发成果：</w:t>
      </w:r>
    </w:p>
    <w:p>
      <w:pPr>
        <w:numPr>
          <w:ilvl w:val="0"/>
          <w:numId w:val="30"/>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0"/>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0"/>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29"/>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1"/>
        </w:numPr>
        <w:ind w:left="0" w:firstLine="480" w:firstLineChars="200"/>
        <w:rPr>
          <w:rFonts w:hint="eastAsia"/>
        </w:rPr>
      </w:pPr>
      <w:r>
        <w:rPr>
          <w:rFonts w:hint="eastAsia"/>
          <w:sz w:val="24"/>
          <w:szCs w:val="24"/>
        </w:rPr>
        <w:t>确保达到系统正常运行条件和相关技术标准及业务要求；</w:t>
      </w:r>
    </w:p>
    <w:p>
      <w:pPr>
        <w:numPr>
          <w:ilvl w:val="0"/>
          <w:numId w:val="31"/>
        </w:numPr>
        <w:ind w:left="0" w:firstLine="480" w:firstLineChars="200"/>
        <w:rPr>
          <w:rFonts w:hint="eastAsia"/>
        </w:rPr>
      </w:pPr>
      <w:r>
        <w:rPr>
          <w:rFonts w:hint="eastAsia"/>
          <w:sz w:val="24"/>
          <w:szCs w:val="24"/>
        </w:rPr>
        <w:t>系统数据达到规范要求，运行正常；</w:t>
      </w:r>
    </w:p>
    <w:p>
      <w:pPr>
        <w:numPr>
          <w:ilvl w:val="0"/>
          <w:numId w:val="31"/>
        </w:numPr>
        <w:ind w:left="0" w:firstLine="480" w:firstLineChars="200"/>
        <w:rPr>
          <w:rFonts w:hint="eastAsia"/>
        </w:rPr>
      </w:pPr>
      <w:r>
        <w:rPr>
          <w:rFonts w:hint="eastAsia"/>
          <w:sz w:val="24"/>
          <w:szCs w:val="24"/>
        </w:rPr>
        <w:t>系统运行保证安全稳定；</w:t>
      </w:r>
    </w:p>
    <w:p>
      <w:pPr>
        <w:numPr>
          <w:ilvl w:val="0"/>
          <w:numId w:val="31"/>
        </w:numPr>
        <w:ind w:left="0" w:firstLine="480" w:firstLineChars="200"/>
        <w:rPr>
          <w:rFonts w:hint="eastAsia"/>
        </w:rPr>
      </w:pPr>
      <w:r>
        <w:rPr>
          <w:rFonts w:hint="eastAsia"/>
          <w:sz w:val="24"/>
          <w:szCs w:val="24"/>
        </w:rPr>
        <w:t>平台业务运行机制要完整。</w:t>
      </w:r>
    </w:p>
    <w:p>
      <w:pPr>
        <w:numPr>
          <w:ilvl w:val="0"/>
          <w:numId w:val="29"/>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6"/>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2"/>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3"/>
        </w:numPr>
        <w:ind w:hanging="5"/>
        <w:rPr>
          <w:rFonts w:hint="eastAsia"/>
        </w:rPr>
      </w:pPr>
      <w:r>
        <w:rPr>
          <w:rFonts w:hint="eastAsia"/>
          <w:sz w:val="24"/>
          <w:szCs w:val="24"/>
          <w:u w:val="single"/>
        </w:rPr>
        <w:t xml:space="preserve">                                                            </w:t>
      </w:r>
      <w:r>
        <w:rPr>
          <w:rFonts w:hint="eastAsia"/>
          <w:sz w:val="24"/>
          <w:szCs w:val="24"/>
        </w:rPr>
        <w:t>;</w:t>
      </w:r>
    </w:p>
    <w:p>
      <w:pPr>
        <w:numPr>
          <w:ilvl w:val="0"/>
          <w:numId w:val="33"/>
        </w:numPr>
        <w:ind w:hanging="5"/>
        <w:rPr>
          <w:rFonts w:hint="eastAsia"/>
        </w:rPr>
      </w:pPr>
      <w:r>
        <w:rPr>
          <w:rFonts w:hint="eastAsia"/>
          <w:sz w:val="24"/>
          <w:szCs w:val="24"/>
          <w:u w:val="single"/>
        </w:rPr>
        <w:t xml:space="preserve">                                                            </w:t>
      </w:r>
      <w:r>
        <w:rPr>
          <w:rFonts w:hint="eastAsia"/>
          <w:sz w:val="24"/>
          <w:szCs w:val="24"/>
        </w:rPr>
        <w:t>;</w:t>
      </w:r>
    </w:p>
    <w:p>
      <w:pPr>
        <w:numPr>
          <w:ilvl w:val="0"/>
          <w:numId w:val="33"/>
        </w:numPr>
        <w:ind w:hanging="5"/>
        <w:rPr>
          <w:rFonts w:hint="eastAsia"/>
        </w:rPr>
      </w:pPr>
      <w:r>
        <w:rPr>
          <w:rFonts w:hint="eastAsia"/>
          <w:sz w:val="24"/>
          <w:szCs w:val="24"/>
          <w:u w:val="single"/>
        </w:rPr>
        <w:t xml:space="preserve">                                                            </w:t>
      </w:r>
      <w:r>
        <w:rPr>
          <w:rFonts w:hint="eastAsia"/>
          <w:sz w:val="24"/>
          <w:szCs w:val="24"/>
        </w:rPr>
        <w:t>;</w:t>
      </w:r>
    </w:p>
    <w:p>
      <w:pPr>
        <w:numPr>
          <w:ilvl w:val="0"/>
          <w:numId w:val="33"/>
        </w:numPr>
        <w:ind w:hanging="5"/>
        <w:rPr>
          <w:rFonts w:hint="eastAsia"/>
        </w:rPr>
      </w:pPr>
      <w:r>
        <w:rPr>
          <w:rFonts w:hint="eastAsia"/>
          <w:sz w:val="24"/>
          <w:szCs w:val="24"/>
          <w:u w:val="single"/>
        </w:rPr>
        <w:t xml:space="preserve">                                                            。</w:t>
      </w:r>
    </w:p>
    <w:p>
      <w:pPr>
        <w:numPr>
          <w:ilvl w:val="0"/>
          <w:numId w:val="32"/>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2"/>
        </w:numPr>
        <w:tabs>
          <w:tab w:val="left" w:pos="720"/>
        </w:tabs>
        <w:ind w:left="0" w:firstLine="480" w:firstLineChars="200"/>
        <w:rPr>
          <w:rFonts w:hint="eastAsia"/>
        </w:rPr>
      </w:pPr>
      <w:r>
        <w:rPr>
          <w:rFonts w:hint="eastAsia"/>
          <w:sz w:val="24"/>
          <w:szCs w:val="24"/>
        </w:rPr>
        <w:t>履约保证金或履约保函</w:t>
      </w:r>
    </w:p>
    <w:p>
      <w:pPr>
        <w:numPr>
          <w:ilvl w:val="0"/>
          <w:numId w:val="34"/>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4"/>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4"/>
        </w:numPr>
        <w:tabs>
          <w:tab w:val="left" w:pos="720"/>
        </w:tabs>
        <w:ind w:left="0" w:firstLine="420"/>
        <w:rPr>
          <w:rFonts w:hint="eastAsia"/>
        </w:rPr>
      </w:pPr>
      <w:r>
        <w:rPr>
          <w:rFonts w:hint="eastAsia"/>
          <w:sz w:val="24"/>
          <w:szCs w:val="24"/>
        </w:rPr>
        <w:t>履约保证金应用本合同货币。</w:t>
      </w:r>
    </w:p>
    <w:p>
      <w:pPr>
        <w:numPr>
          <w:ilvl w:val="0"/>
          <w:numId w:val="32"/>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2"/>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5"/>
        </w:numPr>
        <w:tabs>
          <w:tab w:val="left" w:pos="720"/>
        </w:tabs>
        <w:ind w:left="0" w:firstLine="420"/>
        <w:rPr>
          <w:rFonts w:hint="eastAsia"/>
        </w:rPr>
      </w:pPr>
      <w:r>
        <w:rPr>
          <w:rFonts w:hint="eastAsia"/>
          <w:sz w:val="24"/>
          <w:szCs w:val="24"/>
        </w:rPr>
        <w:t>乙方丧失继续完成本合同的基本条件或能力时；</w:t>
      </w:r>
    </w:p>
    <w:p>
      <w:pPr>
        <w:numPr>
          <w:ilvl w:val="0"/>
          <w:numId w:val="35"/>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5"/>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5"/>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6"/>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6"/>
        </w:numPr>
        <w:ind w:left="0" w:firstLine="480" w:firstLineChars="200"/>
        <w:rPr>
          <w:sz w:val="24"/>
          <w:szCs w:val="24"/>
        </w:rPr>
      </w:pPr>
      <w:bookmarkStart w:id="187" w:name="_Toc150439568"/>
      <w:bookmarkStart w:id="188" w:name="_Toc150424390"/>
      <w:bookmarkStart w:id="189" w:name="_Toc150434311"/>
      <w:bookmarkStart w:id="190" w:name="_Toc150434215"/>
      <w:bookmarkStart w:id="191" w:name="_Toc150439569"/>
      <w:bookmarkEnd w:id="187"/>
      <w:bookmarkEnd w:id="188"/>
      <w:bookmarkEnd w:id="189"/>
      <w:bookmarkEnd w:id="190"/>
      <w:r>
        <w:rPr>
          <w:rFonts w:hint="eastAsia"/>
          <w:sz w:val="24"/>
          <w:szCs w:val="24"/>
        </w:rPr>
        <w:t>项目验收</w:t>
      </w:r>
      <w:bookmarkEnd w:id="191"/>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6"/>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6"/>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6"/>
        </w:numPr>
        <w:ind w:left="0" w:firstLine="420"/>
        <w:rPr>
          <w:rFonts w:hint="eastAsia"/>
          <w:u w:val="single"/>
        </w:rPr>
      </w:pPr>
      <w:r>
        <w:rPr>
          <w:rFonts w:hint="eastAsia"/>
          <w:sz w:val="24"/>
          <w:szCs w:val="24"/>
          <w:u w:val="single"/>
        </w:rPr>
        <w:t xml:space="preserve">全部源代码（电子版）及说明；                                   </w:t>
      </w:r>
    </w:p>
    <w:p>
      <w:pPr>
        <w:numPr>
          <w:ilvl w:val="0"/>
          <w:numId w:val="36"/>
        </w:numPr>
        <w:ind w:left="0" w:firstLine="420"/>
        <w:rPr>
          <w:rFonts w:hint="eastAsia"/>
          <w:u w:val="single"/>
        </w:rPr>
      </w:pPr>
      <w:r>
        <w:rPr>
          <w:rFonts w:hint="eastAsia"/>
          <w:sz w:val="24"/>
          <w:szCs w:val="24"/>
          <w:u w:val="single"/>
        </w:rPr>
        <w:t xml:space="preserve">试运行方案、记录、报告、试运行改进报告                         </w:t>
      </w:r>
    </w:p>
    <w:p>
      <w:pPr>
        <w:numPr>
          <w:ilvl w:val="0"/>
          <w:numId w:val="36"/>
        </w:numPr>
        <w:ind w:left="0" w:firstLine="420"/>
        <w:rPr>
          <w:rFonts w:hint="eastAsia"/>
          <w:u w:val="single"/>
        </w:rPr>
      </w:pPr>
      <w:r>
        <w:rPr>
          <w:rFonts w:hint="eastAsia"/>
          <w:sz w:val="24"/>
          <w:szCs w:val="24"/>
          <w:u w:val="single"/>
        </w:rPr>
        <w:t xml:space="preserve">合同验收文件、开发总结报告、交接清单                           </w:t>
      </w:r>
    </w:p>
    <w:p>
      <w:pPr>
        <w:numPr>
          <w:ilvl w:val="0"/>
          <w:numId w:val="36"/>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6"/>
        </w:numPr>
        <w:ind w:left="0" w:firstLine="480" w:firstLineChars="200"/>
        <w:rPr>
          <w:sz w:val="24"/>
          <w:szCs w:val="24"/>
        </w:rPr>
      </w:pPr>
      <w:bookmarkStart w:id="192" w:name="_Toc150439566"/>
      <w:r>
        <w:rPr>
          <w:rFonts w:hint="eastAsia"/>
          <w:sz w:val="24"/>
          <w:szCs w:val="24"/>
        </w:rPr>
        <w:t>质量保证</w:t>
      </w:r>
      <w:bookmarkEnd w:id="192"/>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7"/>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7"/>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7"/>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7"/>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7"/>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6"/>
        </w:numPr>
        <w:ind w:left="0" w:firstLine="480" w:firstLineChars="200"/>
        <w:rPr>
          <w:sz w:val="24"/>
          <w:szCs w:val="24"/>
        </w:rPr>
      </w:pPr>
      <w:bookmarkStart w:id="193" w:name="_Toc150439603"/>
      <w:bookmarkStart w:id="194" w:name="_Toc150434250"/>
      <w:bookmarkStart w:id="195" w:name="_Toc150424425"/>
      <w:bookmarkStart w:id="196" w:name="_Toc150434346"/>
      <w:bookmarkStart w:id="197" w:name="_Toc150439612"/>
      <w:bookmarkEnd w:id="193"/>
      <w:bookmarkEnd w:id="194"/>
      <w:bookmarkEnd w:id="195"/>
      <w:bookmarkEnd w:id="196"/>
      <w:r>
        <w:rPr>
          <w:rFonts w:hint="eastAsia"/>
          <w:sz w:val="24"/>
          <w:szCs w:val="24"/>
        </w:rPr>
        <w:t>保密条款（保密协议）</w:t>
      </w:r>
      <w:bookmarkEnd w:id="197"/>
    </w:p>
    <w:p>
      <w:pPr>
        <w:ind w:firstLine="480" w:firstLineChars="200"/>
        <w:rPr>
          <w:rFonts w:hint="eastAsia"/>
        </w:rPr>
      </w:pPr>
      <w:r>
        <w:rPr>
          <w:rFonts w:hint="eastAsia"/>
          <w:sz w:val="24"/>
          <w:szCs w:val="24"/>
        </w:rPr>
        <w:t>甲方因履行本合同应遵守的保密义务如下：</w:t>
      </w:r>
    </w:p>
    <w:p>
      <w:pPr>
        <w:numPr>
          <w:ilvl w:val="0"/>
          <w:numId w:val="38"/>
        </w:numPr>
        <w:ind w:left="0" w:firstLine="480" w:firstLineChars="200"/>
        <w:rPr>
          <w:rFonts w:hint="eastAsia"/>
        </w:rPr>
      </w:pPr>
      <w:bookmarkStart w:id="198"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8"/>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8"/>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8"/>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198"/>
      <w:r>
        <w:rPr>
          <w:rFonts w:hint="eastAsia"/>
          <w:sz w:val="24"/>
          <w:szCs w:val="24"/>
        </w:rPr>
        <w:t>乙方因履行本合同应遵守的保密义务如下：</w:t>
      </w:r>
    </w:p>
    <w:p>
      <w:pPr>
        <w:numPr>
          <w:ilvl w:val="0"/>
          <w:numId w:val="39"/>
        </w:numPr>
        <w:ind w:left="0" w:firstLine="480" w:firstLineChars="200"/>
        <w:rPr>
          <w:rFonts w:hint="eastAsia"/>
        </w:rPr>
      </w:pPr>
      <w:r>
        <w:rPr>
          <w:rFonts w:hint="eastAsia"/>
          <w:sz w:val="24"/>
          <w:szCs w:val="24"/>
        </w:rPr>
        <w:t>保密内容（包括技术信息和经营信息）：</w:t>
      </w:r>
    </w:p>
    <w:p>
      <w:pPr>
        <w:numPr>
          <w:ilvl w:val="0"/>
          <w:numId w:val="40"/>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0"/>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0"/>
        </w:numPr>
        <w:ind w:left="0" w:firstLine="420"/>
        <w:rPr>
          <w:u w:val="single"/>
        </w:rPr>
      </w:pPr>
      <w:r>
        <w:rPr>
          <w:rFonts w:hint="eastAsia"/>
          <w:sz w:val="24"/>
          <w:szCs w:val="24"/>
          <w:u w:val="single"/>
        </w:rPr>
        <w:t xml:space="preserve">涉及国家秘密和安全的 ，依照有关保密规定执行。                          </w:t>
      </w:r>
    </w:p>
    <w:p>
      <w:pPr>
        <w:numPr>
          <w:ilvl w:val="0"/>
          <w:numId w:val="39"/>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39"/>
        </w:numPr>
        <w:ind w:left="0" w:firstLine="480" w:firstLineChars="200"/>
        <w:rPr>
          <w:rFonts w:hint="eastAsia"/>
        </w:rPr>
      </w:pPr>
      <w:r>
        <w:rPr>
          <w:rFonts w:hint="eastAsia"/>
          <w:sz w:val="24"/>
          <w:szCs w:val="24"/>
        </w:rPr>
        <w:t>保密期限：</w:t>
      </w:r>
      <w:bookmarkStart w:id="199" w:name="_Hlk150343509"/>
      <w:r>
        <w:rPr>
          <w:rFonts w:hint="eastAsia"/>
          <w:sz w:val="24"/>
          <w:szCs w:val="24"/>
          <w:u w:val="single"/>
        </w:rPr>
        <w:t xml:space="preserve">      本条规定持续有效，不因本合同终止或解除而失效  </w:t>
      </w:r>
      <w:bookmarkEnd w:id="199"/>
    </w:p>
    <w:p>
      <w:pPr>
        <w:numPr>
          <w:ilvl w:val="0"/>
          <w:numId w:val="39"/>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6"/>
        </w:numPr>
        <w:ind w:left="0" w:firstLine="480" w:firstLineChars="200"/>
        <w:rPr>
          <w:sz w:val="24"/>
          <w:szCs w:val="24"/>
        </w:rPr>
      </w:pPr>
      <w:bookmarkStart w:id="200" w:name="_Toc150439618"/>
      <w:r>
        <w:rPr>
          <w:rFonts w:hint="eastAsia"/>
          <w:sz w:val="24"/>
          <w:szCs w:val="24"/>
        </w:rPr>
        <w:t>违约</w:t>
      </w:r>
      <w:r>
        <w:rPr>
          <w:sz w:val="24"/>
          <w:szCs w:val="24"/>
        </w:rPr>
        <w:t>责任及赔偿</w:t>
      </w:r>
      <w:bookmarkEnd w:id="200"/>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1"/>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1"/>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1"/>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1"/>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1"/>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1"/>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1"/>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1"/>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6"/>
        </w:numPr>
        <w:ind w:left="0" w:firstLine="480" w:firstLineChars="200"/>
        <w:rPr>
          <w:sz w:val="24"/>
          <w:szCs w:val="24"/>
        </w:rPr>
      </w:pPr>
      <w:bookmarkStart w:id="201" w:name="_Toc150439619"/>
      <w:r>
        <w:rPr>
          <w:rFonts w:hint="eastAsia"/>
          <w:sz w:val="24"/>
          <w:szCs w:val="24"/>
        </w:rPr>
        <w:t>争议的解决</w:t>
      </w:r>
      <w:bookmarkEnd w:id="201"/>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6"/>
        </w:numPr>
        <w:ind w:left="0" w:firstLine="0"/>
        <w:rPr>
          <w:sz w:val="24"/>
          <w:szCs w:val="24"/>
        </w:rPr>
      </w:pPr>
      <w:bookmarkStart w:id="202" w:name="_Toc150439621"/>
      <w:r>
        <w:rPr>
          <w:rFonts w:hint="eastAsia"/>
          <w:sz w:val="24"/>
          <w:szCs w:val="24"/>
        </w:rPr>
        <w:t>不可抗力</w:t>
      </w:r>
      <w:bookmarkEnd w:id="202"/>
    </w:p>
    <w:p>
      <w:pPr>
        <w:numPr>
          <w:ilvl w:val="0"/>
          <w:numId w:val="42"/>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3"/>
        </w:numPr>
        <w:ind w:hanging="5"/>
        <w:rPr>
          <w:rFonts w:hint="eastAsia"/>
        </w:rPr>
      </w:pPr>
      <w:r>
        <w:rPr>
          <w:rFonts w:hint="eastAsia"/>
          <w:sz w:val="24"/>
          <w:szCs w:val="24"/>
        </w:rPr>
        <w:t>本合同项目在现有技术水平条件下具有足够的难度；</w:t>
      </w:r>
    </w:p>
    <w:p>
      <w:pPr>
        <w:numPr>
          <w:ilvl w:val="0"/>
          <w:numId w:val="43"/>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2"/>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2"/>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4"/>
        </w:numPr>
        <w:ind w:hanging="5"/>
        <w:rPr>
          <w:rFonts w:hint="eastAsia"/>
        </w:rPr>
      </w:pPr>
      <w:r>
        <w:rPr>
          <w:rFonts w:hint="eastAsia"/>
          <w:sz w:val="24"/>
          <w:szCs w:val="24"/>
        </w:rPr>
        <w:t>因发生不可抗力或技术风险；</w:t>
      </w:r>
    </w:p>
    <w:p>
      <w:pPr>
        <w:numPr>
          <w:ilvl w:val="0"/>
          <w:numId w:val="44"/>
        </w:numPr>
        <w:ind w:hanging="5"/>
        <w:rPr>
          <w:rFonts w:hint="eastAsia"/>
        </w:rPr>
      </w:pPr>
      <w:r>
        <w:rPr>
          <w:rFonts w:hint="eastAsia"/>
          <w:sz w:val="24"/>
          <w:szCs w:val="24"/>
        </w:rPr>
        <w:t>因一方未按约定履行合同义务支付款项的；</w:t>
      </w:r>
    </w:p>
    <w:p>
      <w:pPr>
        <w:numPr>
          <w:ilvl w:val="0"/>
          <w:numId w:val="44"/>
        </w:numPr>
        <w:ind w:hanging="5"/>
        <w:rPr>
          <w:rFonts w:hint="eastAsia"/>
        </w:rPr>
      </w:pPr>
      <w:r>
        <w:rPr>
          <w:rFonts w:hint="eastAsia"/>
          <w:sz w:val="24"/>
          <w:szCs w:val="24"/>
        </w:rPr>
        <w:t>因一方未按期完成合同约定的项目开发任务。</w:t>
      </w:r>
    </w:p>
    <w:p>
      <w:pPr>
        <w:pStyle w:val="Heading2"/>
        <w:numPr>
          <w:ilvl w:val="0"/>
          <w:numId w:val="6"/>
        </w:numPr>
        <w:ind w:left="0" w:firstLine="480" w:firstLineChars="200"/>
        <w:rPr>
          <w:rFonts w:hint="eastAsia"/>
          <w:sz w:val="24"/>
          <w:szCs w:val="24"/>
        </w:rPr>
      </w:pPr>
      <w:bookmarkStart w:id="203" w:name="_Toc150439624"/>
      <w:r>
        <w:rPr>
          <w:rFonts w:hint="eastAsia"/>
          <w:sz w:val="24"/>
          <w:szCs w:val="24"/>
        </w:rPr>
        <w:t>本合同的变更</w:t>
      </w:r>
      <w:bookmarkEnd w:id="203"/>
    </w:p>
    <w:p>
      <w:pPr>
        <w:numPr>
          <w:ilvl w:val="0"/>
          <w:numId w:val="45"/>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5"/>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6"/>
        </w:numPr>
        <w:ind w:left="0" w:firstLine="480" w:firstLineChars="200"/>
        <w:rPr>
          <w:sz w:val="24"/>
          <w:szCs w:val="24"/>
        </w:rPr>
      </w:pPr>
      <w:bookmarkStart w:id="204" w:name="_Toc150439622"/>
      <w:bookmarkStart w:id="205" w:name="_Toc150424441"/>
      <w:bookmarkStart w:id="206" w:name="_Toc150434362"/>
      <w:bookmarkStart w:id="207" w:name="_Toc150434266"/>
      <w:bookmarkStart w:id="208" w:name="_Toc150439623"/>
      <w:bookmarkEnd w:id="204"/>
      <w:bookmarkEnd w:id="205"/>
      <w:bookmarkEnd w:id="206"/>
      <w:bookmarkEnd w:id="207"/>
      <w:r>
        <w:rPr>
          <w:rFonts w:hint="eastAsia"/>
          <w:sz w:val="24"/>
          <w:szCs w:val="24"/>
        </w:rPr>
        <w:t>其它</w:t>
      </w:r>
      <w:bookmarkEnd w:id="208"/>
    </w:p>
    <w:p>
      <w:pPr>
        <w:ind w:left="420" w:leftChars="200"/>
      </w:pPr>
      <w:r>
        <w:rPr>
          <w:rFonts w:hint="eastAsia"/>
          <w:sz w:val="24"/>
          <w:szCs w:val="24"/>
        </w:rPr>
        <w:t>本合同未尽事宜，由双方协商后按有关程序办理，并以书面形式进行确定。</w:t>
      </w:r>
    </w:p>
    <w:p>
      <w:pPr>
        <w:pStyle w:val="Heading2"/>
        <w:numPr>
          <w:ilvl w:val="0"/>
          <w:numId w:val="6"/>
        </w:numPr>
        <w:ind w:left="0" w:firstLine="480" w:firstLineChars="200"/>
        <w:rPr>
          <w:rFonts w:hint="eastAsia"/>
          <w:sz w:val="24"/>
          <w:szCs w:val="24"/>
        </w:rPr>
      </w:pPr>
      <w:bookmarkStart w:id="209" w:name="_Toc150439626"/>
      <w:r>
        <w:rPr>
          <w:rFonts w:hint="eastAsia"/>
          <w:sz w:val="24"/>
          <w:szCs w:val="24"/>
        </w:rPr>
        <w:t>合同生效</w:t>
      </w:r>
      <w:bookmarkEnd w:id="209"/>
    </w:p>
    <w:p>
      <w:pPr>
        <w:numPr>
          <w:ilvl w:val="0"/>
          <w:numId w:val="46"/>
        </w:numPr>
        <w:ind w:left="0" w:firstLine="480" w:firstLineChars="200"/>
      </w:pPr>
      <w:r>
        <w:rPr>
          <w:rFonts w:hint="eastAsia"/>
          <w:sz w:val="24"/>
          <w:szCs w:val="24"/>
        </w:rPr>
        <w:t>本合同经双方法定代表人或授权代表签字并加盖公章之日起生效，至质保期结束终止。</w:t>
      </w:r>
    </w:p>
    <w:p>
      <w:pPr>
        <w:numPr>
          <w:ilvl w:val="0"/>
          <w:numId w:val="46"/>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16"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210" w:name="_Hlk99802248"/>
    </w:p>
    <w:p>
      <w:pPr>
        <w:jc w:val="center"/>
        <w:rPr>
          <w:rFonts w:hint="eastAsia"/>
          <w:spacing w:val="-16"/>
          <w:sz w:val="44"/>
          <w:szCs w:val="44"/>
        </w:rPr>
      </w:pPr>
      <w:r>
        <w:rPr>
          <w:rFonts w:hint="eastAsia"/>
          <w:spacing w:val="-16"/>
          <w:sz w:val="44"/>
          <w:szCs w:val="44"/>
        </w:rPr>
        <w:t>安全保密承诺书</w:t>
      </w:r>
      <w:bookmarkEnd w:id="210"/>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47"/>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17"/>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17"/>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 w:rsidR="00A77B3E"/>
    <w:p>
      <w:pPr>
        <w:spacing w:line="360" w:lineRule="auto"/>
        <w:ind w:firstLine="3066" w:firstLineChars="1460"/>
        <w:jc w:val="left"/>
        <w:rPr>
          <w:b/>
          <w:bCs/>
          <w:szCs w:val="21"/>
          <w:highlight w:val="none"/>
        </w:rPr>
      </w:pPr>
      <w:bookmarkEnd w:id="166"/>
    </w:p>
    <w:p>
      <w:pPr>
        <w:rPr>
          <w:rFonts w:ascii="Calibri" w:hAnsi="Calibri"/>
          <w:szCs w:val="22"/>
          <w:highlight w:val="none"/>
        </w:rPr>
      </w:pPr>
    </w:p>
    <w:p>
      <w:pPr>
        <w:spacing w:line="360" w:lineRule="auto"/>
        <w:jc w:val="left"/>
        <w:rPr>
          <w:b/>
          <w:bCs/>
          <w:sz w:val="44"/>
          <w:szCs w:val="44"/>
          <w:highlight w:val="none"/>
        </w:rPr>
      </w:pPr>
    </w:p>
    <w:sectPr>
      <w:headerReference w:type="even" r:id="rId18"/>
      <w:headerReference w:type="default" r:id="rId19"/>
      <w:footerReference w:type="default" r:id="rId20"/>
      <w:headerReference w:type="first" r:id="rId2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90</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6875220"/>
    <w:multiLevelType w:val="multilevel"/>
    <w:tmpl w:val="26875220"/>
    <w:lvl w:ilvl="0">
      <w:start w:val="1"/>
      <w:numFmt w:val="decimal"/>
      <w:lvlText w:val="（%1）"/>
      <w:lvlJc w:val="left"/>
      <w:pPr>
        <w:tabs>
          <w:tab w:val="left" w:pos="840"/>
        </w:tabs>
        <w:ind w:left="840" w:hanging="420"/>
      </w:pPr>
      <w:rPr>
        <w:rFonts w:hint="default"/>
        <w:b/>
        <w:sz w:val="24"/>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6">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4C7A993F"/>
    <w:multiLevelType w:val="singleLevel"/>
    <w:tmpl w:val="4C7A993F"/>
    <w:lvl w:ilvl="0">
      <w:start w:val="1"/>
      <w:numFmt w:val="decimal"/>
      <w:lvlText w:val="%1)"/>
      <w:lvlJc w:val="left"/>
      <w:pPr>
        <w:ind w:left="425" w:hanging="425"/>
      </w:pPr>
      <w:rPr>
        <w:rFonts w:hint="default"/>
      </w:rPr>
    </w:lvl>
  </w:abstractNum>
  <w:abstractNum w:abstractNumId="30">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1">
    <w:nsid w:val="57FFC18B"/>
    <w:multiLevelType w:val="singleLevel"/>
    <w:tmpl w:val="57FFC18B"/>
    <w:lvl w:ilvl="0">
      <w:start w:val="1"/>
      <w:numFmt w:val="decimal"/>
      <w:lvlText w:val="%1)"/>
      <w:lvlJc w:val="left"/>
      <w:pPr>
        <w:ind w:left="425" w:hanging="425"/>
      </w:pPr>
      <w:rPr>
        <w:rFonts w:hint="default"/>
      </w:rPr>
    </w:lvl>
  </w:abstractNum>
  <w:abstractNum w:abstractNumId="32">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4">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5">
    <w:nsid w:val="64BEBB03"/>
    <w:multiLevelType w:val="singleLevel"/>
    <w:tmpl w:val="64BEBB03"/>
    <w:lvl w:ilvl="0">
      <w:start w:val="4"/>
      <w:numFmt w:val="chineseCounting"/>
      <w:suff w:val="nothing"/>
      <w:lvlText w:val="%1、"/>
      <w:lvlJc w:val="left"/>
      <w:rPr>
        <w:rFonts w:hint="eastAsia"/>
      </w:rPr>
    </w:lvl>
  </w:abstractNum>
  <w:abstractNum w:abstractNumId="36">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9">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9F8DDAB"/>
    <w:multiLevelType w:val="singleLevel"/>
    <w:tmpl w:val="79F8DDAB"/>
    <w:lvl w:ilvl="0">
      <w:start w:val="1"/>
      <w:numFmt w:val="decimal"/>
      <w:lvlText w:val="%1)"/>
      <w:lvlJc w:val="left"/>
      <w:pPr>
        <w:ind w:left="425" w:hanging="425"/>
      </w:pPr>
      <w:rPr>
        <w:rFonts w:hint="default"/>
      </w:rPr>
    </w:lvl>
  </w:abstractNum>
  <w:abstractNum w:abstractNumId="43">
    <w:nsid w:val="7BF79D3F"/>
    <w:multiLevelType w:val="singleLevel"/>
    <w:tmpl w:val="7BF79D3F"/>
    <w:lvl w:ilvl="0">
      <w:start w:val="1"/>
      <w:numFmt w:val="decimal"/>
      <w:lvlText w:val="%1)"/>
      <w:lvlJc w:val="left"/>
      <w:pPr>
        <w:ind w:left="425" w:hanging="425"/>
      </w:pPr>
      <w:rPr>
        <w:rFonts w:hint="default"/>
      </w:rPr>
    </w:lvl>
  </w:abstractNum>
  <w:abstractNum w:abstractNumId="44">
    <w:nsid w:val="7FAFA353"/>
    <w:multiLevelType w:val="singleLevel"/>
    <w:tmpl w:val="7FAFA353"/>
    <w:lvl w:ilvl="0">
      <w:start w:val="1"/>
      <w:numFmt w:val="decimal"/>
      <w:lvlText w:val="%1)"/>
      <w:lvlJc w:val="left"/>
      <w:pPr>
        <w:ind w:left="425" w:hanging="425"/>
      </w:pPr>
      <w:rPr>
        <w:rFonts w:hint="default"/>
      </w:rPr>
    </w:lvl>
  </w:abstractNum>
  <w:abstractNum w:abstractNumId="45">
    <w:nsid w:val="7FDAC479"/>
    <w:multiLevelType w:val="singleLevel"/>
    <w:tmpl w:val="7FDAC479"/>
    <w:lvl w:ilvl="0">
      <w:start w:val="1"/>
      <w:numFmt w:val="decimal"/>
      <w:lvlText w:val="%1)"/>
      <w:lvlJc w:val="left"/>
      <w:pPr>
        <w:ind w:left="425" w:hanging="425"/>
      </w:pPr>
      <w:rPr>
        <w:rFonts w:hint="default"/>
      </w:rPr>
    </w:lvl>
  </w:abstractNum>
  <w:abstractNum w:abstractNumId="46">
    <w:nsid w:val="7FF73EAD"/>
    <w:multiLevelType w:val="singleLevel"/>
    <w:tmpl w:val="7FF73EAD"/>
    <w:lvl w:ilvl="0">
      <w:start w:val="1"/>
      <w:numFmt w:val="decimal"/>
      <w:lvlText w:val="%1)"/>
      <w:lvlJc w:val="left"/>
      <w:pPr>
        <w:ind w:left="425" w:hanging="425"/>
      </w:pPr>
      <w:rPr>
        <w:rFonts w:hint="default"/>
      </w:rPr>
    </w:lvl>
  </w:abstractNum>
  <w:abstractNum w:abstractNumId="47">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30"/>
  </w:num>
  <w:num w:numId="5">
    <w:abstractNumId w:val="23"/>
  </w:num>
  <w:num w:numId="6">
    <w:abstractNumId w:val="22"/>
  </w:num>
  <w:num w:numId="7">
    <w:abstractNumId w:val="38"/>
  </w:num>
  <w:num w:numId="8">
    <w:abstractNumId w:val="21"/>
  </w:num>
  <w:num w:numId="9">
    <w:abstractNumId w:val="41"/>
  </w:num>
  <w:num w:numId="10">
    <w:abstractNumId w:val="2"/>
  </w:num>
  <w:num w:numId="11">
    <w:abstractNumId w:val="46"/>
  </w:num>
  <w:num w:numId="12">
    <w:abstractNumId w:val="5"/>
  </w:num>
  <w:num w:numId="13">
    <w:abstractNumId w:val="37"/>
  </w:num>
  <w:num w:numId="14">
    <w:abstractNumId w:val="11"/>
  </w:num>
  <w:num w:numId="15">
    <w:abstractNumId w:val="36"/>
  </w:num>
  <w:num w:numId="16">
    <w:abstractNumId w:val="34"/>
  </w:num>
  <w:num w:numId="17">
    <w:abstractNumId w:val="16"/>
  </w:num>
  <w:num w:numId="18">
    <w:abstractNumId w:val="40"/>
  </w:num>
  <w:num w:numId="19">
    <w:abstractNumId w:val="1"/>
  </w:num>
  <w:num w:numId="20">
    <w:abstractNumId w:val="42"/>
  </w:num>
  <w:num w:numId="21">
    <w:abstractNumId w:val="43"/>
  </w:num>
  <w:num w:numId="22">
    <w:abstractNumId w:val="31"/>
  </w:num>
  <w:num w:numId="23">
    <w:abstractNumId w:val="25"/>
  </w:num>
  <w:num w:numId="24">
    <w:abstractNumId w:val="7"/>
  </w:num>
  <w:num w:numId="25">
    <w:abstractNumId w:val="0"/>
  </w:num>
  <w:num w:numId="26">
    <w:abstractNumId w:val="19"/>
  </w:num>
  <w:num w:numId="27">
    <w:abstractNumId w:val="44"/>
  </w:num>
  <w:num w:numId="28">
    <w:abstractNumId w:val="29"/>
  </w:num>
  <w:num w:numId="29">
    <w:abstractNumId w:val="26"/>
  </w:num>
  <w:num w:numId="30">
    <w:abstractNumId w:val="45"/>
  </w:num>
  <w:num w:numId="31">
    <w:abstractNumId w:val="6"/>
  </w:num>
  <w:num w:numId="32">
    <w:abstractNumId w:val="39"/>
  </w:num>
  <w:num w:numId="33">
    <w:abstractNumId w:val="8"/>
  </w:num>
  <w:num w:numId="34">
    <w:abstractNumId w:val="4"/>
  </w:num>
  <w:num w:numId="35">
    <w:abstractNumId w:val="47"/>
  </w:num>
  <w:num w:numId="36">
    <w:abstractNumId w:val="10"/>
  </w:num>
  <w:num w:numId="37">
    <w:abstractNumId w:val="28"/>
  </w:num>
  <w:num w:numId="38">
    <w:abstractNumId w:val="32"/>
  </w:num>
  <w:num w:numId="39">
    <w:abstractNumId w:val="18"/>
  </w:num>
  <w:num w:numId="40">
    <w:abstractNumId w:val="12"/>
  </w:num>
  <w:num w:numId="41">
    <w:abstractNumId w:val="20"/>
  </w:num>
  <w:num w:numId="42">
    <w:abstractNumId w:val="33"/>
  </w:num>
  <w:num w:numId="43">
    <w:abstractNumId w:val="3"/>
  </w:num>
  <w:num w:numId="44">
    <w:abstractNumId w:val="9"/>
  </w:num>
  <w:num w:numId="45">
    <w:abstractNumId w:val="15"/>
  </w:num>
  <w:num w:numId="46">
    <w:abstractNumId w:val="27"/>
  </w:num>
  <w:num w:numId="47">
    <w:abstractNumId w:val="35"/>
  </w:num>
  <w:num w:numId="4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uiPriority w:val="99"/>
    <w:qFormat/>
    <w:pPr>
      <w:spacing w:line="360" w:lineRule="auto"/>
      <w:ind w:firstLine="420" w:firstLineChars="200"/>
    </w:pPr>
    <w:rPr>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image" Target="media/image1.emf" /><Relationship Id="rId17" Type="http://schemas.openxmlformats.org/officeDocument/2006/relationships/footer" Target="footer8.xml" /><Relationship Id="rId18" Type="http://schemas.openxmlformats.org/officeDocument/2006/relationships/header" Target="head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