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rsidR="00BF1E87">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20250323</w:t>
      </w:r>
    </w:p>
    <w:p w:rsidR="00BF1E87">
      <w:pPr>
        <w:spacing w:line="360" w:lineRule="auto"/>
        <w:jc w:val="center"/>
        <w:rPr>
          <w:b/>
          <w:sz w:val="28"/>
          <w:szCs w:val="28"/>
        </w:rPr>
      </w:pPr>
    </w:p>
    <w:p w:rsidR="00BF1E87">
      <w:pPr>
        <w:spacing w:line="360" w:lineRule="auto"/>
        <w:jc w:val="center"/>
        <w:rPr>
          <w:b/>
          <w:sz w:val="28"/>
          <w:szCs w:val="28"/>
        </w:rPr>
      </w:pPr>
    </w:p>
    <w:p w:rsidR="00BF1E87" w:rsidP="00961793">
      <w:pPr>
        <w:adjustRightInd w:val="0"/>
        <w:snapToGrid w:val="0"/>
        <w:spacing w:line="360" w:lineRule="auto"/>
        <w:ind w:firstLine="580" w:firstLineChars="50"/>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BF1E87">
      <w:pPr>
        <w:spacing w:line="360" w:lineRule="auto"/>
        <w:jc w:val="center"/>
        <w:rPr>
          <w:rFonts w:ascii="宋体" w:hAnsi="宋体"/>
          <w:b/>
          <w:sz w:val="44"/>
          <w:szCs w:val="44"/>
        </w:rPr>
      </w:pPr>
      <w:r>
        <w:rPr>
          <w:rFonts w:ascii="宋体" w:hAnsi="宋体" w:hint="eastAsia"/>
          <w:b/>
          <w:sz w:val="44"/>
          <w:szCs w:val="44"/>
        </w:rPr>
        <w:t>（范本，软件开发类适用）</w:t>
      </w:r>
    </w:p>
    <w:p w:rsidR="00BF1E87">
      <w:pPr>
        <w:spacing w:line="360" w:lineRule="auto"/>
        <w:jc w:val="center"/>
        <w:rPr>
          <w:sz w:val="24"/>
          <w:szCs w:val="24"/>
        </w:rPr>
      </w:pPr>
    </w:p>
    <w:p w:rsidR="00BF1E87" w:rsidP="00961793">
      <w:pPr>
        <w:adjustRightInd w:val="0"/>
        <w:snapToGrid w:val="0"/>
        <w:spacing w:line="360" w:lineRule="auto"/>
        <w:ind w:firstLine="480" w:firstLineChars="150"/>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中国气象数据网架构升级及专题服务建设采购项目</w:t>
      </w:r>
      <w:bookmarkEnd w:id="0"/>
    </w:p>
    <w:p w:rsidR="00BF1E87" w:rsidP="00961793">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ZQCD-25014</w:t>
      </w:r>
      <w:bookmarkEnd w:id="1"/>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hAnsi="宋体"/>
          <w:b/>
          <w:sz w:val="32"/>
          <w:szCs w:val="32"/>
        </w:rPr>
      </w:pPr>
    </w:p>
    <w:p w:rsidR="00BF1E87" w:rsidP="00961793">
      <w:pPr>
        <w:adjustRightInd w:val="0"/>
        <w:snapToGrid w:val="0"/>
        <w:spacing w:line="360" w:lineRule="auto"/>
        <w:ind w:firstLine="470" w:firstLineChars="147"/>
        <w:jc w:val="left"/>
        <w:rPr>
          <w:rFonts w:ascii="仿宋_GB2312" w:eastAsia="仿宋_GB2312"/>
          <w:b/>
          <w:sz w:val="32"/>
          <w:szCs w:val="32"/>
        </w:rPr>
      </w:pPr>
    </w:p>
    <w:p w:rsidR="00BF1E87">
      <w:pPr>
        <w:adjustRightInd w:val="0"/>
        <w:snapToGrid w:val="0"/>
        <w:spacing w:line="360" w:lineRule="auto"/>
        <w:jc w:val="left"/>
        <w:rPr>
          <w:rFonts w:ascii="仿宋_GB2312" w:eastAsia="仿宋_GB2312"/>
          <w:b/>
          <w:szCs w:val="21"/>
        </w:rPr>
      </w:pPr>
    </w:p>
    <w:p w:rsidR="00BF1E87">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BF1E87" w:rsidP="00961793">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2025年06月</w:t>
      </w:r>
      <w:bookmarkEnd w:id="2"/>
    </w:p>
    <w:p w:rsidR="00BF1E87" w:rsidP="00961793">
      <w:pPr>
        <w:adjustRightInd w:val="0"/>
        <w:snapToGrid w:val="0"/>
        <w:spacing w:line="360" w:lineRule="auto"/>
        <w:ind w:firstLine="529" w:firstLineChars="147"/>
        <w:jc w:val="center"/>
        <w:rPr>
          <w:rFonts w:ascii="仿宋" w:eastAsia="仿宋" w:hAnsi="仿宋" w:cs="微软雅黑"/>
          <w:b/>
          <w:kern w:val="0"/>
          <w:sz w:val="36"/>
          <w:szCs w:val="36"/>
        </w:rPr>
      </w:pPr>
    </w:p>
    <w:p w:rsidR="00BF1E87">
      <w:pPr>
        <w:spacing w:line="360" w:lineRule="auto"/>
        <w:jc w:val="center"/>
        <w:rPr>
          <w:sz w:val="24"/>
          <w:szCs w:val="24"/>
        </w:rPr>
      </w:pPr>
    </w:p>
    <w:p w:rsidR="00BF1E87">
      <w:pPr>
        <w:spacing w:line="360" w:lineRule="auto"/>
        <w:jc w:val="center"/>
        <w:rPr>
          <w:sz w:val="24"/>
          <w:szCs w:val="24"/>
        </w:rPr>
      </w:pPr>
      <w:r>
        <w:rPr>
          <w:sz w:val="24"/>
          <w:szCs w:val="24"/>
        </w:rPr>
        <w:br w:type="page"/>
      </w:r>
    </w:p>
    <w:p w:rsidR="00BF1E87">
      <w:pPr>
        <w:spacing w:line="360" w:lineRule="auto"/>
        <w:jc w:val="center"/>
        <w:rPr>
          <w:sz w:val="24"/>
          <w:szCs w:val="24"/>
        </w:rPr>
      </w:pPr>
    </w:p>
    <w:p w:rsidR="00BF1E87">
      <w:pPr>
        <w:spacing w:line="360" w:lineRule="auto"/>
        <w:jc w:val="center"/>
        <w:rPr>
          <w:sz w:val="24"/>
          <w:szCs w:val="24"/>
        </w:rPr>
      </w:pPr>
    </w:p>
    <w:p w:rsidR="00BF1E87">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rsidR="00BF1E87">
      <w:pPr>
        <w:spacing w:line="360" w:lineRule="auto"/>
        <w:jc w:val="center"/>
        <w:rPr>
          <w:b/>
          <w:sz w:val="28"/>
          <w:szCs w:val="28"/>
        </w:rPr>
      </w:pPr>
    </w:p>
    <w:p w:rsidR="00BF1E87">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rsidR="00BF1E87">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BF1E87">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BF1E87">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BF1E87">
      <w:pPr>
        <w:spacing w:line="360" w:lineRule="auto"/>
        <w:jc w:val="center"/>
        <w:rPr>
          <w:rFonts w:ascii="宋体" w:hAnsi="宋体"/>
          <w:b/>
          <w:sz w:val="28"/>
          <w:szCs w:val="28"/>
        </w:rPr>
      </w:pPr>
    </w:p>
    <w:p w:rsidR="00BF1E87">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rsidR="00BF1E87">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BF1E87">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BF1E87">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BF1E87">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BF1E87">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BF1E87">
      <w:pPr>
        <w:spacing w:line="360" w:lineRule="auto"/>
        <w:jc w:val="center"/>
        <w:rPr>
          <w:rFonts w:ascii="宋体" w:hAnsi="宋体"/>
          <w:b/>
          <w:sz w:val="28"/>
          <w:szCs w:val="28"/>
        </w:rPr>
      </w:pPr>
    </w:p>
    <w:p w:rsidR="00BF1E87">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rsidR="00BF1E87">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BF1E87">
      <w:pPr>
        <w:spacing w:line="360" w:lineRule="auto"/>
        <w:ind w:left="2520" w:firstLine="420"/>
        <w:jc w:val="left"/>
        <w:rPr>
          <w:b/>
          <w:szCs w:val="21"/>
        </w:rPr>
      </w:pPr>
    </w:p>
    <w:p w:rsidR="00BF1E87">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BF1E87">
      <w:pPr>
        <w:spacing w:line="360" w:lineRule="auto"/>
        <w:jc w:val="center"/>
        <w:outlineLvl w:val="0"/>
        <w:rPr>
          <w:b/>
          <w:sz w:val="48"/>
          <w:szCs w:val="36"/>
        </w:rPr>
      </w:pPr>
      <w:r>
        <w:rPr>
          <w:rFonts w:hint="eastAsia"/>
          <w:b/>
          <w:sz w:val="48"/>
          <w:szCs w:val="36"/>
        </w:rPr>
        <w:t>第一分册：通用部分</w:t>
      </w:r>
    </w:p>
    <w:p w:rsidR="00BF1E87">
      <w:pPr>
        <w:spacing w:line="360" w:lineRule="auto"/>
        <w:rPr>
          <w:b/>
          <w:bCs/>
          <w:sz w:val="28"/>
          <w:szCs w:val="28"/>
        </w:rPr>
      </w:pPr>
    </w:p>
    <w:p w:rsidR="00BF1E87">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BF1E87">
      <w:pPr>
        <w:spacing w:line="360" w:lineRule="auto"/>
        <w:jc w:val="center"/>
        <w:rPr>
          <w:b/>
          <w:bCs/>
          <w:sz w:val="28"/>
          <w:szCs w:val="28"/>
        </w:rPr>
      </w:pPr>
    </w:p>
    <w:p w:rsidR="00BF1E87" w:rsidP="00961793">
      <w:pPr>
        <w:spacing w:line="360" w:lineRule="auto"/>
        <w:ind w:firstLine="2258" w:firstLineChars="1075"/>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BF1E87" w:rsidP="00961793">
      <w:pPr>
        <w:spacing w:line="360" w:lineRule="auto"/>
        <w:ind w:firstLine="2258" w:firstLineChars="1075"/>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BF1E87" w:rsidP="00961793">
      <w:pPr>
        <w:spacing w:line="360" w:lineRule="auto"/>
        <w:ind w:firstLine="2258" w:firstLineChars="1075"/>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BF1E87">
      <w:pPr>
        <w:jc w:val="center"/>
        <w:outlineLvl w:val="1"/>
        <w:rPr>
          <w:sz w:val="30"/>
          <w:szCs w:val="30"/>
        </w:rPr>
      </w:pPr>
      <w:bookmarkStart w:id="3" w:name="_Toc86202581"/>
      <w:r>
        <w:br w:type="page"/>
      </w:r>
      <w:r>
        <w:rPr>
          <w:rFonts w:hint="eastAsia"/>
          <w:b/>
          <w:bCs/>
          <w:sz w:val="30"/>
          <w:szCs w:val="30"/>
        </w:rPr>
        <w:t>第一章</w:t>
      </w:r>
      <w:r>
        <w:rPr>
          <w:rFonts w:hint="eastAsia"/>
          <w:b/>
          <w:bCs/>
          <w:sz w:val="30"/>
          <w:szCs w:val="30"/>
        </w:rPr>
        <w:t xml:space="preserve">  </w:t>
      </w:r>
      <w:r>
        <w:rPr>
          <w:rFonts w:hint="eastAsia"/>
          <w:b/>
          <w:bCs/>
          <w:sz w:val="30"/>
          <w:szCs w:val="30"/>
        </w:rPr>
        <w:t>投标人须知通用部分</w:t>
      </w:r>
    </w:p>
    <w:p w:rsidR="00BF1E87" w:rsidP="00961793">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w:t>
      </w:r>
      <w:r>
        <w:rPr>
          <w:rFonts w:hint="eastAsia"/>
          <w:b/>
          <w:bCs/>
        </w:rPr>
        <w:t>适用范围</w:t>
      </w:r>
    </w:p>
    <w:p w:rsidR="00BF1E87">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w:t>
      </w:r>
      <w:r>
        <w:rPr>
          <w:rFonts w:hint="eastAsia"/>
          <w:b/>
          <w:bCs/>
        </w:rPr>
        <w:t>定义</w:t>
      </w:r>
    </w:p>
    <w:p w:rsidR="00BF1E87">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rsidR="00BF1E87">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“采购内容”指本招标文件中</w:t>
      </w:r>
      <w:r>
        <w:rPr>
          <w:rFonts w:hint="eastAsia"/>
          <w:b/>
          <w:bCs/>
        </w:rPr>
        <w:t>第七章采购需求</w:t>
      </w:r>
      <w:r>
        <w:rPr>
          <w:rFonts w:hint="eastAsia"/>
          <w:bCs/>
        </w:rPr>
        <w:t>所述软件开发及相关服务内容、货物</w:t>
      </w:r>
      <w:r>
        <w:rPr>
          <w:rStyle w:val="px10"/>
          <w:rFonts w:hint="eastAsia"/>
          <w:bCs/>
        </w:rPr>
        <w:t>。</w:t>
      </w:r>
    </w:p>
    <w:p w:rsidR="00BF1E87">
      <w:pPr>
        <w:pStyle w:val="10"/>
        <w:numPr>
          <w:ilvl w:val="0"/>
          <w:numId w:val="0"/>
        </w:numPr>
        <w:tabs>
          <w:tab w:val="left" w:pos="709"/>
          <w:tab w:val="left" w:pos="1573"/>
        </w:tabs>
        <w:adjustRightInd w:val="0"/>
        <w:snapToGrid w:val="0"/>
        <w:spacing w:line="360" w:lineRule="auto"/>
        <w:ind w:firstLine="420" w:firstLineChars="200"/>
        <w:jc w:val="left"/>
        <w:rPr>
          <w:rStyle w:val="px10"/>
          <w:bCs/>
        </w:rPr>
      </w:pPr>
      <w:r>
        <w:rPr>
          <w:rStyle w:val="px10"/>
          <w:rFonts w:hint="eastAsia"/>
          <w:bCs/>
        </w:rPr>
        <w:t>1.2.3</w:t>
      </w:r>
      <w:r>
        <w:rPr>
          <w:rStyle w:val="px10"/>
          <w:rFonts w:hint="eastAsia"/>
          <w:bCs/>
        </w:rPr>
        <w:t>“软件开发”指本招标文件</w:t>
      </w:r>
      <w:r>
        <w:rPr>
          <w:rFonts w:hint="eastAsia"/>
          <w:b/>
          <w:bCs/>
        </w:rPr>
        <w:t>第七章采购需求</w:t>
      </w:r>
      <w:r>
        <w:rPr>
          <w:rStyle w:val="px10"/>
          <w:rFonts w:hint="eastAsia"/>
          <w:bCs/>
        </w:rPr>
        <w:t>所述投标人应该完成软件各功能模块、系统的开发、完善和应用部署等；“</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“货物”指本招标文件</w:t>
      </w:r>
      <w:r>
        <w:rPr>
          <w:rFonts w:hint="eastAsia"/>
          <w:b/>
          <w:bCs/>
        </w:rPr>
        <w:t>第七章采购需求</w:t>
      </w:r>
      <w:r>
        <w:rPr>
          <w:rStyle w:val="px10"/>
          <w:rFonts w:hint="eastAsia"/>
          <w:bCs/>
        </w:rPr>
        <w:t>所述所有货物（含不需要二次开发</w:t>
      </w:r>
      <w:r>
        <w:rPr>
          <w:rStyle w:val="px10"/>
          <w:rFonts w:hint="eastAsia"/>
          <w:bCs/>
        </w:rPr>
        <w:t>的软件），不包括投标人为提供相关服务而购置的所有权属于投标人的货物。</w:t>
      </w:r>
    </w:p>
    <w:p w:rsidR="00BF1E87">
      <w:pPr>
        <w:tabs>
          <w:tab w:val="left" w:pos="1573"/>
        </w:tabs>
        <w:adjustRightInd w:val="0"/>
        <w:snapToGrid w:val="0"/>
        <w:spacing w:line="360" w:lineRule="auto"/>
        <w:ind w:firstLine="420" w:firstLineChars="200"/>
        <w:jc w:val="left"/>
        <w:rPr>
          <w:rFonts w:ascii="宋体" w:hAnsi="宋体"/>
          <w:bCs/>
          <w:szCs w:val="21"/>
        </w:rPr>
      </w:pPr>
      <w:r>
        <w:rPr>
          <w:rFonts w:ascii="宋体" w:hAnsi="宋体" w:hint="eastAsia"/>
          <w:bCs/>
          <w:szCs w:val="21"/>
        </w:rPr>
        <w:t>1.2.4</w:t>
      </w:r>
      <w:r>
        <w:rPr>
          <w:rFonts w:ascii="宋体" w:hAnsi="宋体" w:hint="eastAsia"/>
          <w:bCs/>
          <w:szCs w:val="21"/>
        </w:rPr>
        <w:t>“第三方”指采购人和投标人之外的其他机构或个人。“第三方软件”指计算机软件著作权（以下简称著作权）涉及“第三方”的软件</w:t>
      </w:r>
      <w:r>
        <w:rPr>
          <w:rFonts w:ascii="宋体" w:hAnsi="宋体" w:hint="eastAsia"/>
          <w:bCs/>
          <w:szCs w:val="21"/>
        </w:rPr>
        <w:t>(</w:t>
      </w:r>
      <w:r>
        <w:rPr>
          <w:rFonts w:ascii="宋体" w:hAnsi="宋体" w:hint="eastAsia"/>
          <w:bCs/>
          <w:szCs w:val="21"/>
        </w:rPr>
        <w:t>不含源代码开放，使用、修改和分发不受许可限制的软件</w:t>
      </w:r>
      <w:r>
        <w:rPr>
          <w:rFonts w:ascii="宋体" w:hAnsi="宋体" w:hint="eastAsia"/>
          <w:bCs/>
          <w:szCs w:val="21"/>
        </w:rPr>
        <w:t>)</w:t>
      </w:r>
      <w:r>
        <w:rPr>
          <w:rFonts w:ascii="宋体" w:hAnsi="宋体" w:hint="eastAsia"/>
          <w:bCs/>
          <w:szCs w:val="21"/>
        </w:rPr>
        <w:t>，包括“第三方”单独拥有或“第三方”与采购人、投标人共同拥有著作权的软件。</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“潜在投标人”指符合本招标文件各项规定的供应商。</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w:t>
      </w:r>
      <w:r>
        <w:rPr>
          <w:rFonts w:hint="eastAsia"/>
        </w:rPr>
        <w:t>“投标人”，如无特殊说明，指符合本招标文件规定并参加投标的供应商。</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w:t>
      </w:r>
      <w:r>
        <w:rPr>
          <w:rFonts w:hint="eastAsia"/>
        </w:rPr>
        <w:t>本招标文件各部分规定的期间以时、日、月、年计算。期间开始的日，不计算在期间内，而从次日开始计算。期间届满的最后一天是节假日的，以节假日后的第一日为期间届满的日期。</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w:t>
      </w:r>
      <w:r>
        <w:rPr>
          <w:rFonts w:hint="eastAsia"/>
        </w:rPr>
        <w:t>本招标文件所称的复印件，包括原件经扫描或照相后的打印件、影印件等。复印件应清晰。</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w:t>
      </w:r>
      <w:r>
        <w:rPr>
          <w:rFonts w:hint="eastAsia"/>
        </w:rPr>
        <w:t>盖章及签字。</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1.2.9.1</w:t>
      </w:r>
      <w:r>
        <w:rPr>
          <w:rFonts w:hint="eastAsia"/>
        </w:rPr>
        <w:t>盖章。在本招标文件中，要求相关方在投标文件及相关文件上盖章的，均应使用与相关方名称全称相一致的公章，不得使用“投标专用章”等代替。其中要求投标人（投标人为联合体的，指联合体的牵头方）盖章的，投标人应使用符合《</w:t>
      </w:r>
      <w:r>
        <w:rPr>
          <w:rFonts w:hint="eastAsia"/>
        </w:rPr>
        <w:t>中华人民共和国电子签名法》规定且与投标人名称全称相一致的电子签章，或者在加盖公章后扫描并上传至电子投标文件及相关文件相应位置，并进行电子签章。</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w:t>
      </w:r>
      <w:r>
        <w:rPr>
          <w:rFonts w:hint="eastAsia"/>
          <w:b/>
          <w:bCs/>
        </w:rPr>
        <w:t>合格投标人的条件</w:t>
      </w:r>
    </w:p>
    <w:p w:rsidR="00BF1E87">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w:t>
      </w:r>
      <w:r>
        <w:rPr>
          <w:rFonts w:hint="eastAsia"/>
        </w:rPr>
        <w:t>具有本项目生产、制造、供应或实施能力，符合、承认并承诺履行本招标文件各项规定的境内供应商均可参加投标</w:t>
      </w:r>
      <w:r>
        <w:rPr>
          <w:rFonts w:hint="eastAsia"/>
          <w:b/>
          <w:bCs/>
        </w:rPr>
        <w:t>。</w:t>
      </w:r>
      <w:r>
        <w:rPr>
          <w:rFonts w:hint="eastAsia"/>
          <w:bCs/>
        </w:rPr>
        <w:t>但</w:t>
      </w:r>
      <w:r>
        <w:rPr>
          <w:rFonts w:hint="eastAsia"/>
          <w:bCs/>
        </w:rPr>
        <w:t>有下列情况之一的，不得参加投标：</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1.3.2</w:t>
      </w:r>
      <w:r>
        <w:rPr>
          <w:rFonts w:hint="eastAsia"/>
        </w:rPr>
        <w:t>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BF1E87">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规定的且至投标截止日仍有效的特殊资质条件，否则投标将被拒绝。</w:t>
      </w:r>
    </w:p>
    <w:p w:rsidR="00BF1E87">
      <w:pPr>
        <w:adjustRightInd w:val="0"/>
        <w:snapToGrid w:val="0"/>
        <w:spacing w:line="360" w:lineRule="auto"/>
        <w:ind w:firstLine="420" w:firstLineChars="200"/>
      </w:pPr>
      <w:r>
        <w:rPr>
          <w:rFonts w:ascii="宋体" w:hAnsi="宋体" w:hint="eastAsia"/>
        </w:rPr>
        <w:t>1.3.4</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BF1E87">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）联合体应提供“联合体协议”，该协议书对联合体各方均具有法律约束力。联合体文件未附联合体协议的，其投标将被</w:t>
      </w:r>
      <w:r>
        <w:rPr>
          <w:rFonts w:eastAsia="拒绝" w:hint="eastAsia"/>
          <w:b/>
        </w:rPr>
        <w:t>拒绝</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）联合体各方均应当符合《中华人民共和国政府采购法》第二</w:t>
      </w:r>
      <w:r>
        <w:rPr>
          <w:rFonts w:hint="eastAsia"/>
        </w:rPr>
        <w:t>十二条第一款规定的条件。否则，其提交的联合投标将被</w:t>
      </w:r>
      <w:r>
        <w:rPr>
          <w:rFonts w:eastAsia="拒绝" w:hint="eastAsia"/>
          <w:b/>
        </w:rPr>
        <w:t>拒绝</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w:t>
      </w:r>
      <w:r>
        <w:rPr>
          <w:rFonts w:hint="eastAsia"/>
        </w:rPr>
        <w:t>任何或</w:t>
      </w:r>
      <w:r>
        <w:rPr>
          <w:rFonts w:hint="eastAsia"/>
        </w:rPr>
        <w:t>所有事项、义务、责任、损失等承担连带责任。</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w:t>
      </w:r>
      <w:r>
        <w:rPr>
          <w:rFonts w:hint="eastAsia"/>
        </w:rPr>
        <w:t>投标将被</w:t>
      </w:r>
      <w:r>
        <w:rPr>
          <w:rFonts w:eastAsia="拒绝" w:hint="eastAsia"/>
          <w:b/>
        </w:rPr>
        <w:t>拒绝</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）联合体或其成员通过协议、控股或分支机构或其它方式就供货或服务等与任何独立或非独立的他方构成联合、分属或其它关系、相关责任义务等，均由联合体或其成员与该他方自行协商约</w:t>
      </w:r>
      <w:r>
        <w:rPr>
          <w:rFonts w:hint="eastAsia"/>
        </w:rPr>
        <w:t>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w:t>
      </w:r>
      <w:r>
        <w:rPr>
          <w:rFonts w:hint="eastAsia"/>
        </w:rPr>
        <w:t>均并不</w:t>
      </w:r>
      <w:r>
        <w:rPr>
          <w:rFonts w:hint="eastAsia"/>
        </w:rPr>
        <w:t>因此被减免。</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）联合体或其成员未经采购人事先书面同意，不得将其在合同项下的权利或义务全部或部分转让给第三人，有关分包事项或服务委托等须事先取得采购人书面同意并且须遵守相关法</w:t>
      </w:r>
      <w:r>
        <w:rPr>
          <w:rFonts w:hint="eastAsia"/>
        </w:rPr>
        <w:t>律、法规、本次招标的全部相关规定。</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8</w:t>
      </w:r>
      <w:r>
        <w:rPr>
          <w:rFonts w:hint="eastAsia"/>
        </w:rPr>
        <w:t>）联</w:t>
      </w:r>
      <w:r>
        <w:rPr>
          <w:rFonts w:hint="eastAsia"/>
        </w:rPr>
        <w:t>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1.3.6</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）不良信用记录指存在下列情形之一：</w:t>
      </w:r>
    </w:p>
    <w:p w:rsidR="00BF1E87">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BF1E87">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BF1E87">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BF1E87">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）联合体投标的，联合体任何成员存在以上不良信用记录的，视同联合体存在不良信用记录。</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）信用记录查询：采购中心或采购人通过“信用中国”网站</w:t>
      </w:r>
      <w:r>
        <w:rPr>
          <w:rFonts w:hint="eastAsia"/>
        </w:rPr>
        <w:t>(www.creditchina.gov.cn)</w:t>
      </w:r>
      <w:r>
        <w:rPr>
          <w:rFonts w:hint="eastAsia"/>
        </w:rPr>
        <w:t>、中国政府采购网</w:t>
      </w:r>
      <w:r>
        <w:rPr>
          <w:rFonts w:hint="eastAsia"/>
        </w:rPr>
        <w:t>(www.ccgp.gov.cn)</w:t>
      </w:r>
      <w:r>
        <w:rPr>
          <w:rFonts w:hint="eastAsia"/>
        </w:rPr>
        <w:t>等渠道查询投标截止日投标人的信</w:t>
      </w:r>
      <w:r>
        <w:rPr>
          <w:rFonts w:hint="eastAsia"/>
        </w:rPr>
        <w:t>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w:t>
      </w:r>
      <w:r>
        <w:rPr>
          <w:rFonts w:hint="eastAsia"/>
        </w:rPr>
        <w:t>投标人在投标过程中不得向采购人和采购中心提供、给予任何有价值的物品，一经发现，按照投标无效处理。</w:t>
      </w:r>
    </w:p>
    <w:p w:rsidR="00BF1E87">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1.3.8</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BF1E87">
      <w:pPr>
        <w:pStyle w:val="10"/>
        <w:numPr>
          <w:ilvl w:val="0"/>
          <w:numId w:val="0"/>
        </w:numPr>
        <w:tabs>
          <w:tab w:val="left" w:pos="709"/>
          <w:tab w:val="left" w:pos="1573"/>
        </w:tabs>
        <w:adjustRightInd w:val="0"/>
        <w:snapToGrid w:val="0"/>
        <w:spacing w:line="360" w:lineRule="auto"/>
        <w:ind w:firstLine="420" w:firstLineChars="200"/>
        <w:rPr>
          <w:b/>
        </w:rPr>
      </w:pPr>
      <w:r>
        <w:rPr>
          <w:rFonts w:hint="eastAsia"/>
          <w:kern w:val="0"/>
        </w:rPr>
        <w:t>1.3.9</w:t>
      </w:r>
      <w:r>
        <w:rPr>
          <w:rFonts w:hint="eastAsia"/>
        </w:rPr>
        <w:t>如投标人授权代表不是法定代表人，须在投标函中具有法定代表人的授权，否则投标将被拒绝。</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 xml:space="preserve">1.3.10 </w:t>
      </w:r>
      <w:r>
        <w:rPr>
          <w:rFonts w:hint="eastAsia"/>
        </w:rPr>
        <w:t>关于知识产权</w:t>
      </w:r>
    </w:p>
    <w:p w:rsidR="00BF1E87">
      <w:pPr>
        <w:tabs>
          <w:tab w:val="left" w:pos="1573"/>
        </w:tabs>
        <w:adjustRightInd w:val="0"/>
        <w:snapToGrid w:val="0"/>
        <w:spacing w:line="360" w:lineRule="auto"/>
        <w:ind w:firstLine="420" w:firstLineChars="200"/>
        <w:rPr>
          <w:rFonts w:ascii="宋体" w:hAnsi="宋体"/>
          <w:b/>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）投标人在本项目软件开发中使用第三方软件进行移植、修改和再开发的，应获得第三方软件著作权所有人的授权；如未使用第三方软件进行移植、修改和再开发的，投标人应</w:t>
      </w:r>
      <w:r>
        <w:rPr>
          <w:rFonts w:ascii="宋体" w:hAnsi="宋体" w:hint="eastAsia"/>
          <w:bCs/>
          <w:szCs w:val="21"/>
        </w:rPr>
        <w:t>作出</w:t>
      </w:r>
      <w:r>
        <w:rPr>
          <w:rFonts w:ascii="宋体" w:hAnsi="宋体" w:hint="eastAsia"/>
          <w:bCs/>
          <w:szCs w:val="21"/>
        </w:rPr>
        <w:t>承诺，否则投标将被</w:t>
      </w:r>
      <w:r>
        <w:rPr>
          <w:rFonts w:ascii="宋体" w:eastAsia="拒绝" w:hAnsi="宋体" w:hint="eastAsia"/>
          <w:b/>
          <w:bCs/>
          <w:szCs w:val="21"/>
        </w:rPr>
        <w:t>拒绝</w:t>
      </w:r>
      <w:r>
        <w:rPr>
          <w:rFonts w:ascii="宋体" w:hAnsi="宋体" w:hint="eastAsia"/>
          <w:bCs/>
          <w:szCs w:val="21"/>
        </w:rPr>
        <w:t>。</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 xml:space="preserve">1.3.11 </w:t>
      </w:r>
      <w:r>
        <w:rPr>
          <w:rFonts w:ascii="宋体" w:hAnsi="宋体" w:hint="eastAsia"/>
          <w:bCs/>
          <w:szCs w:val="21"/>
        </w:rPr>
        <w:t>关于软件再开发的授权投标</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）投标人开发本项目招标的软件时，若对其拥有全部著作权的软件进行移植、修改、再</w:t>
      </w:r>
      <w:r>
        <w:rPr>
          <w:rFonts w:ascii="宋体" w:hAnsi="宋体" w:hint="eastAsia"/>
          <w:bCs/>
          <w:szCs w:val="21"/>
        </w:rPr>
        <w:t>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）除</w:t>
      </w:r>
      <w:r>
        <w:rPr>
          <w:rFonts w:ascii="宋体" w:hAnsi="宋体" w:hint="eastAsia"/>
          <w:b/>
          <w:bCs/>
          <w:szCs w:val="21"/>
        </w:rPr>
        <w:t>第五章投标人须知专用部分</w:t>
      </w:r>
      <w:r>
        <w:rPr>
          <w:rFonts w:ascii="宋体" w:hAnsi="宋体" w:hint="eastAsia"/>
          <w:bCs/>
          <w:szCs w:val="21"/>
        </w:rPr>
        <w:t>另有约定外，拥有第三方软件著作权的</w:t>
      </w:r>
      <w:r>
        <w:rPr>
          <w:rFonts w:ascii="宋体" w:hAnsi="宋体" w:hint="eastAsia"/>
          <w:bCs/>
          <w:szCs w:val="21"/>
        </w:rPr>
        <w:t>所有</w:t>
      </w:r>
      <w:r>
        <w:rPr>
          <w:rFonts w:ascii="宋体" w:hAnsi="宋体" w:hint="eastAsia"/>
          <w:szCs w:val="21"/>
        </w:rPr>
        <w:t>第三</w:t>
      </w:r>
      <w:r>
        <w:rPr>
          <w:rFonts w:ascii="宋体" w:hAnsi="宋体" w:hint="eastAsia"/>
          <w:szCs w:val="21"/>
        </w:rPr>
        <w:t>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 xml:space="preserve">1.3.12 </w:t>
      </w:r>
      <w:r>
        <w:rPr>
          <w:rFonts w:ascii="宋体" w:hAnsi="宋体" w:hint="eastAsia"/>
          <w:szCs w:val="21"/>
        </w:rPr>
        <w:t>投标人应具备完成本项目软件开发的所必需的软件、硬件设施资源及</w:t>
      </w:r>
      <w:r>
        <w:rPr>
          <w:rFonts w:ascii="宋体" w:hAnsi="宋体" w:hint="eastAsia"/>
          <w:szCs w:val="21"/>
        </w:rPr>
        <w:t>场地，完善的备份恢复措施和应急管理体系，健全的内部控制、保密和管理制度。否则投标将被</w:t>
      </w:r>
      <w:r>
        <w:rPr>
          <w:rFonts w:ascii="宋体" w:hAnsi="宋体" w:hint="eastAsia"/>
          <w:b/>
          <w:szCs w:val="21"/>
        </w:rPr>
        <w:t>拒绝。</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1.3.13</w:t>
      </w:r>
      <w:r>
        <w:rPr>
          <w:rFonts w:ascii="宋体" w:hAnsi="宋体" w:hint="eastAsia"/>
          <w:szCs w:val="21"/>
        </w:rPr>
        <w:t>本项目如不需要驻场服务，则投标人应符合以下条件，否则投标将被</w:t>
      </w:r>
      <w:r>
        <w:rPr>
          <w:rFonts w:ascii="宋体" w:hAnsi="宋体" w:hint="eastAsia"/>
          <w:b/>
          <w:szCs w:val="21"/>
        </w:rPr>
        <w:t>拒绝</w:t>
      </w:r>
      <w:r>
        <w:rPr>
          <w:rFonts w:ascii="宋体" w:hAnsi="宋体" w:hint="eastAsia"/>
          <w:szCs w:val="21"/>
        </w:rPr>
        <w:t>：①用于本项目的设施、系统和数据与其他项目有明确、清晰的边界；②用于本项目的服务器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硬件设施具有最高管理权限；③具有防止数据泄露的管理和技术措施；④不存在规避监管的情形。</w:t>
      </w:r>
    </w:p>
    <w:p w:rsidR="00BF1E87" w:rsidP="00961793">
      <w:pPr>
        <w:tabs>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1.4</w:t>
      </w:r>
      <w:r>
        <w:rPr>
          <w:rFonts w:ascii="宋体" w:hAnsi="宋体" w:hint="eastAsia"/>
          <w:b/>
          <w:szCs w:val="21"/>
        </w:rPr>
        <w:t>服务团队及驻场规定</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szCs w:val="21"/>
        </w:rPr>
        <w:t>1.4.1</w:t>
      </w:r>
      <w:r>
        <w:rPr>
          <w:rFonts w:ascii="宋体" w:hAnsi="宋体" w:hint="eastAsia"/>
          <w:szCs w:val="21"/>
        </w:rPr>
        <w:t>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w:t>
      </w:r>
      <w:r>
        <w:rPr>
          <w:rFonts w:ascii="宋体" w:hAnsi="宋体" w:hint="eastAsia"/>
          <w:szCs w:val="21"/>
        </w:rPr>
        <w:t>1-2</w:t>
      </w:r>
      <w:r>
        <w:rPr>
          <w:rFonts w:ascii="宋体" w:hAnsi="宋体" w:hint="eastAsia"/>
          <w:szCs w:val="21"/>
        </w:rPr>
        <w:t>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1.4.2</w:t>
      </w:r>
      <w:r>
        <w:rPr>
          <w:rFonts w:ascii="宋体" w:hAnsi="宋体" w:hint="eastAsia"/>
          <w:bCs/>
          <w:szCs w:val="21"/>
        </w:rPr>
        <w:t>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）如采购人认为有必要调整团队有关人员，投标人应及时进行调整，并与采购人协商一致后，重新委派相关人员；</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）投标人未经采购人同意，不得自行调整团队人员；</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）如团队相关人员因离职、伤病等不能继续实施本项目时，投标人应及时通知采购人，并与采购人协商一致后，重新委派相关人员；</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）投标人重新委派的人员，其能力、资质、有关工作经历等应不低于原人员。</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szCs w:val="21"/>
        </w:rPr>
        <w:t>1.4.3</w:t>
      </w:r>
      <w:r>
        <w:rPr>
          <w:rFonts w:ascii="宋体" w:hAnsi="宋体" w:hint="eastAsia"/>
          <w:szCs w:val="21"/>
        </w:rPr>
        <w:t>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w:t>
      </w:r>
      <w:r>
        <w:rPr>
          <w:rFonts w:ascii="宋体" w:hAnsi="宋体" w:hint="eastAsia"/>
          <w:szCs w:val="21"/>
        </w:rPr>
        <w:t>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rsidR="00BF1E87" w:rsidP="00961793">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1.5</w:t>
      </w:r>
      <w:r>
        <w:rPr>
          <w:rFonts w:ascii="宋体" w:hAnsi="宋体" w:hint="eastAsia"/>
          <w:b/>
          <w:szCs w:val="21"/>
        </w:rPr>
        <w:t>采购货物的规定</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rsidR="00BF1E87">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w:t>
      </w:r>
      <w:r>
        <w:rPr>
          <w:rFonts w:ascii="宋体" w:hAnsi="宋体" w:hint="eastAsia"/>
          <w:kern w:val="0"/>
          <w:szCs w:val="21"/>
        </w:rPr>
        <w:t>所投标的货物使用了国家法律、法规、政策禁止采购人采购的货物作为零件，投标将被拒绝。</w:t>
      </w:r>
    </w:p>
    <w:p w:rsidR="00BF1E87">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rPr>
        <w:t>1.5.2</w:t>
      </w:r>
      <w:r>
        <w:rPr>
          <w:rFonts w:ascii="宋体" w:hAnsi="宋体" w:hint="eastAsia"/>
        </w:rPr>
        <w:t>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bCs/>
          <w:szCs w:val="21"/>
        </w:rPr>
        <w:t>1.5.3</w:t>
      </w:r>
      <w:r>
        <w:rPr>
          <w:rFonts w:ascii="宋体" w:hAnsi="宋体" w:hint="eastAsia"/>
          <w:bCs/>
          <w:szCs w:val="21"/>
        </w:rPr>
        <w:t>如允许进口货物投标，应当遵守《财政部关于印发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r>
        <w:rPr>
          <w:rFonts w:ascii="宋体" w:hAnsi="宋体" w:hint="eastAsia"/>
          <w:szCs w:val="21"/>
        </w:rPr>
        <w:t>本项目是否允许进口产</w:t>
      </w:r>
      <w:r>
        <w:rPr>
          <w:rFonts w:ascii="宋体" w:hAnsi="宋体" w:hint="eastAsia"/>
          <w:szCs w:val="21"/>
        </w:rPr>
        <w:t>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w:t>
      </w:r>
      <w:r>
        <w:rPr>
          <w:rFonts w:hint="eastAsia"/>
        </w:rPr>
        <w:t>条有关进口产品投标要求的，投标将被拒绝。</w:t>
      </w:r>
    </w:p>
    <w:p w:rsidR="00BF1E87">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1.5.4</w:t>
      </w:r>
      <w:r>
        <w:rPr>
          <w:rFonts w:hint="eastAsia"/>
          <w:bCs/>
        </w:rPr>
        <w:t>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5.7</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5.8</w:t>
      </w:r>
      <w:r>
        <w:rPr>
          <w:rFonts w:hint="eastAsia"/>
          <w:b/>
        </w:rPr>
        <w:t>条</w:t>
      </w:r>
      <w:r>
        <w:rPr>
          <w:rFonts w:hint="eastAsia"/>
        </w:rPr>
        <w:t>提交有关资料的，投标将被拒绝。</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w:t>
      </w:r>
      <w:r>
        <w:rPr>
          <w:rFonts w:ascii="宋体" w:hAnsi="宋体" w:hint="eastAsia"/>
          <w:szCs w:val="21"/>
        </w:rPr>
        <w:t>节能及环保产品。根据《财政部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w:t>
      </w:r>
      <w:r>
        <w:rPr>
          <w:rFonts w:ascii="宋体" w:hAnsi="宋体" w:hint="eastAsia"/>
          <w:szCs w:val="21"/>
        </w:rPr>
        <w:t>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w:t>
      </w:r>
      <w:r>
        <w:rPr>
          <w:rFonts w:ascii="宋体" w:hAnsi="宋体" w:hint="eastAsia"/>
          <w:szCs w:val="21"/>
        </w:rPr>
        <w:t>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w:t>
      </w:r>
      <w:r>
        <w:rPr>
          <w:rFonts w:hint="eastAsia"/>
          <w:b/>
          <w:bCs/>
        </w:rPr>
        <w:t>中小企业</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w:t>
      </w:r>
      <w:r>
        <w:rPr>
          <w:rFonts w:ascii="宋体" w:hAnsi="宋体" w:hint="eastAsia"/>
          <w:szCs w:val="21"/>
        </w:rPr>
        <w:t>型企业、小型企业、微型企业，但与大型企业的负责人为同一人，或者与大型企业存在直接控股、管理关系的除外；符合中小企业划分标准的个体工商户，视同中小企业。</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w:t>
      </w:r>
      <w:r>
        <w:rPr>
          <w:rFonts w:ascii="宋体" w:hAnsi="宋体" w:hint="eastAsia"/>
          <w:szCs w:val="21"/>
        </w:rPr>
        <w:t>以联合体形</w:t>
      </w:r>
      <w:r>
        <w:rPr>
          <w:rFonts w:ascii="宋体" w:hAnsi="宋体" w:hint="eastAsia"/>
          <w:szCs w:val="21"/>
        </w:rPr>
        <w:t>式参加</w:t>
      </w:r>
      <w:r>
        <w:rPr>
          <w:rFonts w:ascii="宋体" w:hAnsi="宋体" w:hint="eastAsia"/>
          <w:szCs w:val="21"/>
        </w:rPr>
        <w:t>本次采购活动的，如联合体各方均为中小企业，则联合体视同中小企业，其中联合体各方均为小微企业（小型和微型企业的简称，下同）的，则联合体视同小微企业。</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w:t>
      </w:r>
      <w:r>
        <w:rPr>
          <w:rFonts w:ascii="宋体" w:hAnsi="宋体" w:hint="eastAsia"/>
          <w:szCs w:val="21"/>
        </w:rPr>
        <w:t>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w:t>
      </w:r>
      <w:r>
        <w:rPr>
          <w:rFonts w:ascii="宋体" w:hAnsi="宋体" w:hint="eastAsia"/>
          <w:szCs w:val="21"/>
        </w:rPr>
        <w:t>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w:t>
      </w:r>
      <w:r>
        <w:rPr>
          <w:rFonts w:ascii="宋体" w:hAnsi="宋体" w:hint="eastAsia"/>
          <w:szCs w:val="21"/>
        </w:rPr>
        <w:t>30%</w:t>
      </w:r>
      <w:r>
        <w:rPr>
          <w:rFonts w:ascii="宋体" w:hAnsi="宋体" w:hint="eastAsia"/>
          <w:szCs w:val="21"/>
        </w:rPr>
        <w:t>以上（小</w:t>
      </w:r>
      <w:r>
        <w:rPr>
          <w:rFonts w:ascii="宋体" w:hAnsi="宋体" w:hint="eastAsia"/>
          <w:szCs w:val="21"/>
        </w:rPr>
        <w:t>微企业</w:t>
      </w:r>
      <w:r>
        <w:rPr>
          <w:rFonts w:ascii="宋体" w:hAnsi="宋体" w:hint="eastAsia"/>
          <w:szCs w:val="21"/>
        </w:rPr>
        <w:t>的比例不低于中小企业合同金额的</w:t>
      </w:r>
      <w:r>
        <w:rPr>
          <w:rFonts w:ascii="宋体" w:hAnsi="宋体" w:hint="eastAsia"/>
          <w:szCs w:val="21"/>
        </w:rPr>
        <w:t>60%</w:t>
      </w:r>
      <w:r>
        <w:rPr>
          <w:rFonts w:ascii="宋体" w:hAnsi="宋体" w:hint="eastAsia"/>
          <w:szCs w:val="21"/>
        </w:rPr>
        <w:t>），否则投标将被拒绝。</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1.6.4 </w:t>
      </w:r>
      <w:r>
        <w:rPr>
          <w:rFonts w:ascii="宋体" w:hAnsi="宋体" w:hint="eastAsia"/>
          <w:szCs w:val="21"/>
        </w:rPr>
        <w:t>如本项目不是预留采购份额面向中小企业采购，则价格优惠政策如下：</w:t>
      </w:r>
    </w:p>
    <w:p w:rsidR="00BF1E87">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w:t>
      </w:r>
      <w:r>
        <w:rPr>
          <w:rFonts w:ascii="宋体" w:hAnsi="宋体" w:hint="eastAsia"/>
          <w:szCs w:val="21"/>
        </w:rPr>
        <w:t>微企业</w:t>
      </w:r>
      <w:r>
        <w:rPr>
          <w:rFonts w:ascii="宋体" w:hAnsi="宋体" w:hint="eastAsia"/>
          <w:szCs w:val="21"/>
        </w:rPr>
        <w:t>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rsidR="00BF1E87">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）允许联合体投标的情况下，如投标人是</w:t>
      </w:r>
      <w:r>
        <w:rPr>
          <w:rFonts w:ascii="宋体" w:hAnsi="宋体" w:hint="eastAsia"/>
          <w:szCs w:val="21"/>
        </w:rPr>
        <w:t>大中型企业与小</w:t>
      </w:r>
      <w:r>
        <w:rPr>
          <w:rFonts w:ascii="宋体" w:hAnsi="宋体" w:hint="eastAsia"/>
          <w:szCs w:val="21"/>
        </w:rPr>
        <w:t>微企业</w:t>
      </w:r>
      <w:r>
        <w:rPr>
          <w:rFonts w:ascii="宋体" w:hAnsi="宋体" w:hint="eastAsia"/>
          <w:szCs w:val="21"/>
        </w:rPr>
        <w:t>组成的联合体</w:t>
      </w:r>
      <w:r>
        <w:rPr>
          <w:rFonts w:ascii="宋体" w:hAnsi="宋体" w:cs="宋体" w:hint="eastAsia"/>
          <w:kern w:val="0"/>
          <w:szCs w:val="21"/>
        </w:rPr>
        <w:t>，</w:t>
      </w:r>
      <w:r>
        <w:rPr>
          <w:rFonts w:ascii="宋体" w:hAnsi="宋体" w:hint="eastAsia"/>
          <w:szCs w:val="21"/>
        </w:rPr>
        <w:t>且联合体协议约定小</w:t>
      </w:r>
      <w:r>
        <w:rPr>
          <w:rFonts w:ascii="宋体" w:hAnsi="宋体" w:hint="eastAsia"/>
          <w:szCs w:val="21"/>
        </w:rPr>
        <w:t>微企业</w:t>
      </w:r>
      <w:r>
        <w:rPr>
          <w:rFonts w:ascii="宋体" w:hAnsi="宋体" w:hint="eastAsia"/>
          <w:szCs w:val="21"/>
        </w:rPr>
        <w:t>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BF1E87">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w:t>
      </w:r>
      <w:r>
        <w:rPr>
          <w:rFonts w:ascii="宋体" w:hAnsi="宋体" w:hint="eastAsia"/>
          <w:szCs w:val="21"/>
        </w:rPr>
        <w:t>微企业</w:t>
      </w:r>
      <w:r>
        <w:rPr>
          <w:rFonts w:ascii="宋体" w:hAnsi="宋体" w:hint="eastAsia"/>
          <w:szCs w:val="21"/>
        </w:rPr>
        <w:t>分包，且分包意向协议约定小</w:t>
      </w:r>
      <w:r>
        <w:rPr>
          <w:rFonts w:ascii="宋体" w:hAnsi="宋体" w:hint="eastAsia"/>
          <w:szCs w:val="21"/>
        </w:rPr>
        <w:t>微企业</w:t>
      </w:r>
      <w:r>
        <w:rPr>
          <w:rFonts w:ascii="宋体" w:hAnsi="宋体" w:hint="eastAsia"/>
          <w:szCs w:val="21"/>
        </w:rPr>
        <w:t>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BF1E8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号）规定的监狱和戒毒企业，能提供省级以上监狱管理局、戒毒管理</w:t>
      </w:r>
      <w:r>
        <w:rPr>
          <w:rFonts w:ascii="宋体" w:hAnsi="宋体" w:hint="eastAsia"/>
          <w:szCs w:val="21"/>
        </w:rPr>
        <w:t>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BF1E87">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1.6.6</w:t>
      </w:r>
      <w:r>
        <w:rPr>
          <w:rFonts w:ascii="宋体" w:hAnsi="宋体" w:hint="eastAsia"/>
          <w:szCs w:val="21"/>
        </w:rPr>
        <w:t>享受中小企业扶持政策获得本项目政府采购合同的，小</w:t>
      </w:r>
      <w:r>
        <w:rPr>
          <w:rFonts w:ascii="宋体" w:hAnsi="宋体" w:hint="eastAsia"/>
          <w:szCs w:val="21"/>
        </w:rPr>
        <w:t>微企业</w:t>
      </w:r>
      <w:r>
        <w:rPr>
          <w:rFonts w:ascii="宋体" w:hAnsi="宋体" w:hint="eastAsia"/>
          <w:szCs w:val="21"/>
        </w:rPr>
        <w:t>不得将合同分包给大中型企业，中型企业不得将合同分包给大型企业。</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w:t>
      </w:r>
      <w:r>
        <w:rPr>
          <w:rFonts w:hint="eastAsia"/>
          <w:b/>
          <w:bCs/>
        </w:rPr>
        <w:t>串通投标</w:t>
      </w:r>
    </w:p>
    <w:p w:rsidR="00BF1E87">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rsidR="00BF1E87">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w:t>
      </w:r>
      <w:r>
        <w:rPr>
          <w:rFonts w:ascii="宋体" w:hAnsi="宋体" w:hint="eastAsia"/>
          <w:szCs w:val="21"/>
          <w:shd w:val="clear" w:color="auto" w:fill="FFFFFF"/>
        </w:rPr>
        <w:t>子邮箱等相同的视同为同一人；</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rsidR="00BF1E8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1.7.3</w:t>
      </w:r>
      <w:r>
        <w:rPr>
          <w:rFonts w:ascii="宋体" w:hAnsi="宋体" w:hint="eastAsia"/>
          <w:szCs w:val="21"/>
        </w:rPr>
        <w:t>采购人、采购中心、评标委员会在任何时候发现投标人以他人名义投标、相互串通投标，投</w:t>
      </w:r>
      <w:r>
        <w:rPr>
          <w:rFonts w:ascii="宋体" w:hAnsi="宋体" w:hint="eastAsia"/>
          <w:szCs w:val="21"/>
        </w:rPr>
        <w:t>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w:t>
      </w:r>
      <w:r>
        <w:rPr>
          <w:rFonts w:ascii="宋体" w:hAnsi="宋体" w:hint="eastAsia"/>
          <w:szCs w:val="21"/>
        </w:rPr>
        <w:t>予退</w:t>
      </w:r>
      <w:r>
        <w:rPr>
          <w:rFonts w:ascii="宋体" w:hAnsi="宋体" w:hint="eastAsia"/>
          <w:szCs w:val="21"/>
        </w:rPr>
        <w:t>还其投标保证金，并视情况依法追究责任。</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w:t>
      </w:r>
      <w:r>
        <w:rPr>
          <w:rFonts w:hint="eastAsia"/>
          <w:b/>
          <w:bCs/>
        </w:rPr>
        <w:t>采购预算</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w:t>
      </w:r>
      <w:r>
        <w:rPr>
          <w:rFonts w:hint="eastAsia"/>
          <w:b/>
          <w:bCs/>
        </w:rPr>
        <w:t>投标费用</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rsidR="00BF1E87">
      <w:pPr>
        <w:adjustRightInd w:val="0"/>
        <w:snapToGrid w:val="0"/>
        <w:spacing w:line="360" w:lineRule="auto"/>
        <w:ind w:firstLine="420" w:firstLineChars="200"/>
        <w:jc w:val="left"/>
        <w:rPr>
          <w:rFonts w:ascii="宋体" w:hAnsi="宋体"/>
          <w:bCs/>
          <w:szCs w:val="21"/>
        </w:rPr>
      </w:pPr>
      <w:r>
        <w:rPr>
          <w:rFonts w:ascii="宋体" w:hAnsi="宋体" w:hint="eastAsia"/>
          <w:szCs w:val="21"/>
        </w:rPr>
        <w:t>1.9.2</w:t>
      </w:r>
      <w:r>
        <w:rPr>
          <w:rFonts w:ascii="宋体" w:hAnsi="宋体" w:hint="eastAsia"/>
          <w:szCs w:val="21"/>
        </w:rPr>
        <w:t>中标人是否交纳代理服务费见</w:t>
      </w:r>
      <w:r>
        <w:rPr>
          <w:rFonts w:ascii="宋体" w:hAnsi="宋体" w:hint="eastAsia"/>
          <w:b/>
          <w:bCs/>
          <w:szCs w:val="21"/>
        </w:rPr>
        <w:t>第五章投标人须知专用部分</w:t>
      </w:r>
      <w:r>
        <w:rPr>
          <w:rFonts w:ascii="宋体" w:hAnsi="宋体" w:hint="eastAsia"/>
          <w:bCs/>
          <w:szCs w:val="21"/>
        </w:rPr>
        <w:t>。</w:t>
      </w:r>
    </w:p>
    <w:p w:rsidR="00BF1E87">
      <w:pPr>
        <w:adjustRightInd w:val="0"/>
        <w:snapToGrid w:val="0"/>
        <w:spacing w:line="360" w:lineRule="auto"/>
        <w:ind w:firstLine="420" w:firstLineChars="20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中标人无须交纳代理服务费，请投标人勿将此项计入报价。</w:t>
      </w:r>
    </w:p>
    <w:p w:rsidR="00BF1E87">
      <w:pPr>
        <w:adjustRightInd w:val="0"/>
        <w:snapToGrid w:val="0"/>
        <w:spacing w:line="360" w:lineRule="auto"/>
        <w:ind w:firstLine="420" w:firstLineChars="20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），同时邮件提供汇款凭证照片或截图等、增值税专用发票信息（单位名称，纳税人识别号，地址、电话，开户行及账号），如需快递发票，请提供快递地址及收件人、手机号，采购中心发票联系方式：钮女士</w:t>
      </w:r>
      <w:r>
        <w:rPr>
          <w:rFonts w:ascii="宋体" w:hAnsi="宋体" w:hint="eastAsia"/>
          <w:szCs w:val="21"/>
        </w:rPr>
        <w:t>010-68409602</w:t>
      </w:r>
      <w:r>
        <w:rPr>
          <w:rFonts w:ascii="宋体" w:hAnsi="宋体" w:hint="eastAsia"/>
          <w:szCs w:val="21"/>
        </w:rPr>
        <w:t>。</w:t>
      </w:r>
    </w:p>
    <w:p w:rsidR="00BF1E87">
      <w:pPr>
        <w:adjustRightInd w:val="0"/>
        <w:snapToGrid w:val="0"/>
        <w:spacing w:line="360" w:lineRule="auto"/>
        <w:ind w:firstLine="420" w:firstLineChars="20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w:t>
      </w:r>
      <w:r>
        <w:rPr>
          <w:rFonts w:hint="eastAsia"/>
        </w:rPr>
        <w:t>万以下</w:t>
      </w:r>
      <w:r>
        <w:rPr>
          <w:rFonts w:hint="eastAsia"/>
        </w:rPr>
        <w:t>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rsidR="00BF1E8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BF1E8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rsidR="00BF1E87">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w:t>
      </w:r>
      <w:r>
        <w:rPr>
          <w:rFonts w:ascii="宋体" w:hAnsi="宋体" w:hint="eastAsia"/>
          <w:szCs w:val="21"/>
        </w:rPr>
        <w:t>11001028600059261048</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w:t>
      </w:r>
      <w:r>
        <w:rPr>
          <w:rFonts w:hint="eastAsia"/>
          <w:b/>
          <w:bCs/>
        </w:rPr>
        <w:t>通知</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w:t>
      </w:r>
      <w:r>
        <w:rPr>
          <w:rFonts w:ascii="宋体" w:hAnsi="宋体" w:hint="eastAsia"/>
          <w:szCs w:val="21"/>
        </w:rPr>
        <w:t>标人应以书面方式立即予以回复确认，但未回复或采购中心未收到回复时，并不应当被理解为采购中心知道、应当知道或不应当被理解为采购中心应当推定其是否收到通知。因登记</w:t>
      </w:r>
      <w:r>
        <w:rPr>
          <w:rFonts w:ascii="宋体" w:hAnsi="宋体" w:hint="eastAsia"/>
          <w:szCs w:val="21"/>
        </w:rPr>
        <w:t>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w:t>
      </w:r>
      <w:r>
        <w:rPr>
          <w:rFonts w:ascii="宋体" w:hAnsi="宋体" w:hint="eastAsia"/>
          <w:szCs w:val="21"/>
        </w:rPr>
        <w:t>不</w:t>
      </w:r>
      <w:r>
        <w:rPr>
          <w:rFonts w:ascii="宋体" w:hAnsi="宋体" w:hint="eastAsia"/>
          <w:szCs w:val="21"/>
        </w:rPr>
        <w:t>因此承担任何责任，有关的招标活动可以继续有效地进行。</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rsidR="00BF1E87" w:rsidP="00961793">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w:t>
      </w:r>
      <w:r>
        <w:rPr>
          <w:rFonts w:hint="eastAsia"/>
          <w:b/>
          <w:bCs/>
        </w:rPr>
        <w:t>招标文件的组成</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w:t>
      </w:r>
      <w:r>
        <w:rPr>
          <w:rFonts w:ascii="宋体" w:hAnsi="宋体" w:hint="eastAsia"/>
          <w:szCs w:val="21"/>
        </w:rPr>
        <w:t>人须知通用部分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w:t>
      </w:r>
      <w:r>
        <w:rPr>
          <w:rFonts w:hint="eastAsia"/>
          <w:b/>
          <w:bCs/>
        </w:rPr>
        <w:t>投标前招标文件的澄清和修改</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1.12.1</w:t>
      </w:r>
      <w:r>
        <w:rPr>
          <w:rFonts w:hint="eastAsia"/>
        </w:rPr>
        <w:t>任何已登记备案并领取了招标文件的潜在投标人，均可要求对招标文件进行澄清、修改</w:t>
      </w:r>
      <w:r>
        <w:rPr>
          <w:rFonts w:hint="eastAsia"/>
          <w:bCs/>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1.12.2</w:t>
      </w:r>
      <w:r>
        <w:rPr>
          <w:rFonts w:hint="eastAsia"/>
        </w:rPr>
        <w:t>潜在投标人的相关澄清、修改，应向采购中心提出，由采购中心商采购人就相关澄清、修改进行解释，并视情况</w:t>
      </w:r>
      <w:r>
        <w:rPr>
          <w:rFonts w:hint="eastAsia"/>
        </w:rPr>
        <w:t>作出</w:t>
      </w:r>
      <w:r>
        <w:rPr>
          <w:rFonts w:hint="eastAsia"/>
        </w:rPr>
        <w:t>澄清或修改的决定。所有解释及澄清或修改的决定，均由采购中心向投标人答复或公布补充文件。</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w:t>
      </w:r>
      <w:r>
        <w:rPr>
          <w:rFonts w:hint="eastAsia"/>
        </w:rPr>
        <w:t>(</w:t>
      </w:r>
      <w:r>
        <w:rPr>
          <w:rFonts w:hint="eastAsia"/>
        </w:rPr>
        <w:t>但不可以</w:t>
      </w:r>
      <w:r>
        <w:rPr>
          <w:rFonts w:hint="eastAsia"/>
        </w:rPr>
        <w:t>只向其中一部分</w:t>
      </w:r>
      <w:r>
        <w:rPr>
          <w:rFonts w:hint="eastAsia"/>
        </w:rPr>
        <w:t>)</w:t>
      </w:r>
      <w:r>
        <w:rPr>
          <w:rFonts w:hint="eastAsia"/>
        </w:rPr>
        <w:t>潜在投标人发出澄清、修改或进行其它答复的补充文件，补充文件中可以包括原提出的问题，但不包括问题的来源。</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1.12.4</w:t>
      </w:r>
      <w:r>
        <w:rPr>
          <w:rFonts w:hint="eastAsia"/>
        </w:rPr>
        <w:t>采购中心无论出于何种原因，均可主动对招标文件中的相关事项，用补充文件的方式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1.12.5</w:t>
      </w:r>
      <w:r>
        <w:rPr>
          <w:rFonts w:hint="eastAsia"/>
        </w:rPr>
        <w:t>澄清或修改的内容可能影响投标文件编制的，采购中心在投标截止时间至少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w:t>
      </w:r>
      <w:r>
        <w:rPr>
          <w:rFonts w:hint="eastAsia"/>
        </w:rPr>
        <w:t>采购中心顺延提交投标文件的截止时间。可能影响投标文件编制的情况包括但不限于投标人需要重新考虑报价、重新编制投标方案、提供原未要求的文件资料等。</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1.12.6</w:t>
      </w:r>
      <w:r>
        <w:rPr>
          <w:rFonts w:hint="eastAsia"/>
        </w:rPr>
        <w:t>采购中心一旦对招标文件</w:t>
      </w:r>
      <w:r>
        <w:rPr>
          <w:rFonts w:hint="eastAsia"/>
        </w:rPr>
        <w:t>作出</w:t>
      </w:r>
      <w:r>
        <w:rPr>
          <w:rFonts w:hint="eastAsia"/>
        </w:rPr>
        <w:t>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w:t>
      </w:r>
      <w:r>
        <w:rPr>
          <w:rFonts w:hint="eastAsia"/>
          <w:b/>
        </w:rPr>
        <w:t>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BF1E87" w:rsidP="00961793">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w:t>
      </w:r>
      <w:r>
        <w:rPr>
          <w:rFonts w:hint="eastAsia"/>
          <w:b/>
          <w:bCs/>
        </w:rPr>
        <w:t>投标文件的语言和计量单位</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w:t>
      </w:r>
      <w:r>
        <w:rPr>
          <w:rFonts w:hint="eastAsia"/>
        </w:rPr>
        <w:t>投标人提交的原版为外文的证书类文件、由外国人</w:t>
      </w:r>
      <w:r>
        <w:rPr>
          <w:rFonts w:hint="eastAsia"/>
        </w:rPr>
        <w:t>作出</w:t>
      </w:r>
      <w:r>
        <w:rPr>
          <w:rFonts w:hint="eastAsia"/>
        </w:rPr>
        <w:t>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BF1E87">
      <w:pPr>
        <w:pStyle w:val="10"/>
        <w:numPr>
          <w:ilvl w:val="0"/>
          <w:numId w:val="0"/>
        </w:numPr>
        <w:tabs>
          <w:tab w:val="left" w:pos="709"/>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w:t>
      </w:r>
      <w:r>
        <w:rPr>
          <w:rFonts w:hint="eastAsia"/>
        </w:rPr>
        <w:t>投标文件中所使用的计量单位，除招标文件中有特殊要求外，应采用中华人民共和国法定计量单</w:t>
      </w:r>
      <w:r>
        <w:rPr>
          <w:rFonts w:hint="eastAsia"/>
        </w:rPr>
        <w:t>位。</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w:t>
      </w:r>
      <w:r>
        <w:rPr>
          <w:rFonts w:hint="eastAsia"/>
        </w:rPr>
        <w:t>对不符合上述规定情形的，评标委员会有权要求投标人限期提供相应文件或认定该文件无效。</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1.14</w:t>
      </w:r>
      <w:r>
        <w:rPr>
          <w:rFonts w:hint="eastAsia"/>
          <w:b/>
          <w:bCs/>
        </w:rPr>
        <w:t>投标文件的组成及要求</w:t>
      </w:r>
    </w:p>
    <w:p w:rsidR="00BF1E87">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w:t>
      </w:r>
      <w:r>
        <w:rPr>
          <w:rFonts w:hint="eastAsia"/>
        </w:rPr>
        <w:t>若缺失或无效，会导致投标被拒绝。</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rsidR="00BF1E87">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rsidR="00BF1E87">
      <w:pPr>
        <w:widowControl/>
        <w:adjustRightInd w:val="0"/>
        <w:snapToGrid w:val="0"/>
        <w:spacing w:line="360" w:lineRule="auto"/>
        <w:ind w:firstLine="420" w:firstLineChars="20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）投标人计算机软件著作权或使用权情况表</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）资格、资信证明文件：</w:t>
      </w:r>
    </w:p>
    <w:p w:rsidR="00BF1E87">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BF1E87">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rsidR="00BF1E87">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BF1E87">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w:t>
      </w:r>
      <w:r>
        <w:rPr>
          <w:rFonts w:ascii="宋体" w:hAnsi="宋体" w:hint="eastAsia"/>
          <w:szCs w:val="21"/>
        </w:rPr>
        <w:t>财务状况证明</w:t>
      </w:r>
    </w:p>
    <w:p w:rsidR="00BF1E87">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BF1E87">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BF1E87">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⑦</w:t>
      </w:r>
      <w:r>
        <w:rPr>
          <w:rFonts w:ascii="宋体" w:hAnsi="宋体" w:hint="eastAsia"/>
          <w:szCs w:val="21"/>
        </w:rPr>
        <w:t>*</w:t>
      </w:r>
      <w:r>
        <w:rPr>
          <w:rFonts w:ascii="宋体" w:hAnsi="宋体" w:hint="eastAsia"/>
          <w:szCs w:val="21"/>
        </w:rPr>
        <w:t>不使用第三方软件移植承诺书或</w:t>
      </w:r>
      <w:r>
        <w:rPr>
          <w:rFonts w:ascii="宋体" w:hAnsi="宋体" w:hint="eastAsia"/>
          <w:bCs/>
        </w:rPr>
        <w:t>*</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rsidR="00BF1E87">
      <w:pPr>
        <w:tabs>
          <w:tab w:val="left" w:pos="5580"/>
        </w:tabs>
        <w:adjustRightInd w:val="0"/>
        <w:snapToGrid w:val="0"/>
        <w:spacing w:line="360" w:lineRule="auto"/>
        <w:ind w:firstLine="840" w:firstLineChars="400"/>
        <w:jc w:val="left"/>
      </w:pPr>
      <w:r>
        <w:rPr>
          <w:rFonts w:ascii="宋体" w:hAnsi="宋体" w:hint="eastAsia"/>
          <w:bCs/>
        </w:rPr>
        <w:t>⑧</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w:t>
      </w:r>
      <w:r>
        <w:rPr>
          <w:rFonts w:hint="eastAsia"/>
        </w:rPr>
        <w:t>不</w:t>
      </w:r>
      <w:r>
        <w:rPr>
          <w:rFonts w:hint="eastAsia"/>
        </w:rPr>
        <w:t>必须取得《气象专用技术装备使用许可证》的，可以不提供）</w:t>
      </w:r>
    </w:p>
    <w:p w:rsidR="00BF1E87">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⑨</w:t>
      </w:r>
      <w:r>
        <w:rPr>
          <w:rFonts w:ascii="宋体" w:hAnsi="宋体" w:hint="eastAsia"/>
          <w:bCs/>
        </w:rPr>
        <w:t>*</w:t>
      </w:r>
      <w:r>
        <w:rPr>
          <w:rFonts w:ascii="宋体" w:hAnsi="宋体" w:hint="eastAsia"/>
          <w:bCs/>
        </w:rPr>
        <w:t>进口产品制造商授权书（投标货物不是进口产品的，不提供）</w:t>
      </w:r>
    </w:p>
    <w:p w:rsidR="00BF1E87">
      <w:pPr>
        <w:tabs>
          <w:tab w:val="left" w:pos="5580"/>
        </w:tabs>
        <w:adjustRightInd w:val="0"/>
        <w:snapToGrid w:val="0"/>
        <w:spacing w:line="360" w:lineRule="auto"/>
        <w:ind w:firstLine="840" w:firstLineChars="40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rsidR="00BF1E87">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rsidR="00BF1E87">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rsidR="00BF1E87">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银行保函或投标保证金说明函（本项目不要求提交投标保证金不提供）</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）投标人自行编制的商务文件</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rsidR="00BF1E8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rsidR="00BF1E8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rsidR="00BF1E8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服务团队人员基本情况表（如未要求组成专门的服务团队的，不提供）</w:t>
      </w:r>
    </w:p>
    <w:p w:rsidR="00BF1E8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）主要标的信息表</w:t>
      </w:r>
    </w:p>
    <w:p w:rsidR="00BF1E8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BF1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）投标人项目实施和售后服务方案</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）投标人自行编写的技术文件</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BF1E87" w:rsidP="00961793">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w:t>
      </w:r>
      <w:r>
        <w:rPr>
          <w:rFonts w:hint="eastAsia"/>
          <w:b/>
          <w:bCs/>
        </w:rPr>
        <w:t>投标文件签署及相关要求</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w:t>
      </w:r>
      <w:r>
        <w:rPr>
          <w:rFonts w:ascii="宋体" w:hAnsi="宋体" w:hint="eastAsia"/>
          <w:szCs w:val="21"/>
        </w:rPr>
        <w:t>组成投标文件的各项文件均应遵守本条。</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w:t>
      </w:r>
      <w:r>
        <w:rPr>
          <w:rFonts w:hint="eastAsia"/>
        </w:rPr>
        <w:t>投标文件的盖章、签字等签署要求见</w:t>
      </w:r>
      <w:r>
        <w:rPr>
          <w:rFonts w:hint="eastAsia"/>
        </w:rPr>
        <w:t>1.2.9</w:t>
      </w:r>
      <w:r>
        <w:rPr>
          <w:rFonts w:hint="eastAsia"/>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为合理节约政府采购评审成本，提倡诚实信用的投标行为，特别要求投标人应本着诚信</w:t>
      </w:r>
      <w:r>
        <w:rPr>
          <w:rFonts w:ascii="宋体" w:hAnsi="宋体" w:hint="eastAsia"/>
          <w:szCs w:val="21"/>
        </w:rPr>
        <w:t>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w:t>
      </w:r>
      <w:r>
        <w:rPr>
          <w:rFonts w:ascii="宋体" w:hAnsi="宋体" w:hint="eastAsia"/>
          <w:szCs w:val="21"/>
        </w:rPr>
        <w:t>亦应当</w:t>
      </w:r>
      <w:r>
        <w:rPr>
          <w:rFonts w:ascii="宋体" w:hAnsi="宋体" w:hint="eastAsia"/>
          <w:szCs w:val="21"/>
        </w:rPr>
        <w:t>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，均以审慎的态度明确、清楚地披露各项偏离。若投标人对某一事项是否存在或是否属于偏离不能确定，亦必须在偏离表中清楚地表明该偏离事项，并可以注明不能确定的字样。</w:t>
      </w:r>
    </w:p>
    <w:p w:rsidR="00BF1E87">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投标文件应字迹清楚、内容齐全。因投标文件字迹潦草或表达不清，或相关复印件（包括扫描件、影印件等）不清晰，导致在资格性审查、符合性审查和详细评审中发生误判，其责任应当由投标人承担。</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w:t>
      </w:r>
      <w:r>
        <w:rPr>
          <w:rFonts w:hint="eastAsia"/>
          <w:b/>
          <w:bCs/>
        </w:rPr>
        <w:t>投标保证金</w:t>
      </w:r>
    </w:p>
    <w:p w:rsidR="00BF1E87">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w:t>
      </w:r>
      <w:r>
        <w:rPr>
          <w:rFonts w:ascii="宋体" w:hAnsi="宋体" w:hint="eastAsia"/>
          <w:szCs w:val="21"/>
        </w:rPr>
        <w:t>本项目是否</w:t>
      </w:r>
      <w:r>
        <w:rPr>
          <w:rFonts w:ascii="宋体" w:hAnsi="宋体" w:hint="eastAsia"/>
          <w:szCs w:val="21"/>
        </w:rPr>
        <w:t>要求投标人提供投标保证金以及应提供的投标保证金金额详见</w:t>
      </w:r>
      <w:r>
        <w:rPr>
          <w:rFonts w:ascii="宋体" w:hAnsi="宋体" w:hint="eastAsia"/>
          <w:b/>
          <w:bCs/>
          <w:szCs w:val="21"/>
        </w:rPr>
        <w:t>第五章投标人须知专用部分。</w:t>
      </w:r>
    </w:p>
    <w:p w:rsidR="00BF1E87">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w:t>
      </w:r>
      <w:r>
        <w:rPr>
          <w:rFonts w:ascii="宋体" w:hAnsi="宋体" w:hint="eastAsia"/>
          <w:szCs w:val="21"/>
        </w:rPr>
        <w:t>择银行</w:t>
      </w:r>
      <w:r>
        <w:rPr>
          <w:rFonts w:ascii="宋体" w:hAnsi="宋体" w:hint="eastAsia"/>
          <w:szCs w:val="21"/>
        </w:rPr>
        <w:t>汇款等非现金方式提交投标保证金。</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w:t>
      </w:r>
      <w:r>
        <w:rPr>
          <w:rFonts w:ascii="宋体" w:hAnsi="宋体" w:hint="eastAsia"/>
          <w:szCs w:val="21"/>
        </w:rPr>
        <w:t>据上的收款签章时间或指定账户的银行对账单为准。</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BF1E8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w:t>
      </w:r>
      <w:r>
        <w:rPr>
          <w:rFonts w:ascii="宋体" w:hAnsi="宋体" w:hint="eastAsia"/>
          <w:szCs w:val="21"/>
        </w:rPr>
        <w:t>理估计</w:t>
      </w:r>
      <w:r>
        <w:rPr>
          <w:rFonts w:ascii="宋体" w:hAnsi="宋体" w:hint="eastAsia"/>
          <w:szCs w:val="21"/>
        </w:rPr>
        <w:t>邮寄时间以</w:t>
      </w:r>
      <w:r>
        <w:rPr>
          <w:rFonts w:ascii="宋体" w:hAnsi="宋体" w:hint="eastAsia"/>
          <w:szCs w:val="21"/>
        </w:rPr>
        <w:t>确保在投标截止时间前寄达），否则将视为未提交投标保证金。</w:t>
      </w:r>
    </w:p>
    <w:p w:rsidR="00BF1E87">
      <w:pPr>
        <w:tabs>
          <w:tab w:val="left" w:pos="1573"/>
        </w:tabs>
        <w:adjustRightInd w:val="0"/>
        <w:snapToGrid w:val="0"/>
        <w:spacing w:line="360" w:lineRule="auto"/>
        <w:ind w:firstLine="315" w:firstLineChars="150"/>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）未中标供应商。采购中心在中标通知书发出后</w:t>
      </w:r>
      <w:r>
        <w:rPr>
          <w:rFonts w:ascii="宋体" w:hAnsi="宋体" w:hint="eastAsia"/>
          <w:szCs w:val="21"/>
        </w:rPr>
        <w:t>5</w:t>
      </w:r>
      <w:r>
        <w:rPr>
          <w:rFonts w:ascii="宋体" w:hAnsi="宋体" w:hint="eastAsia"/>
          <w:szCs w:val="21"/>
        </w:rPr>
        <w:t>个工作日内，将投标保证金退还未中标的供应商。</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废标和</w:t>
      </w:r>
      <w:r>
        <w:rPr>
          <w:rFonts w:ascii="宋体" w:hAnsi="宋体" w:hint="eastAsia"/>
          <w:szCs w:val="21"/>
        </w:rPr>
        <w:t>因故取消</w:t>
      </w:r>
      <w:r>
        <w:rPr>
          <w:rFonts w:ascii="宋体" w:hAnsi="宋体"/>
          <w:szCs w:val="21"/>
        </w:rPr>
        <w:t>项目</w:t>
      </w:r>
      <w:r>
        <w:rPr>
          <w:rFonts w:ascii="宋体" w:hAnsi="宋体" w:hint="eastAsia"/>
          <w:szCs w:val="21"/>
        </w:rPr>
        <w:t>。采购中心</w:t>
      </w:r>
      <w:r>
        <w:rPr>
          <w:rFonts w:ascii="宋体" w:hAnsi="宋体" w:hint="eastAsia"/>
          <w:szCs w:val="21"/>
        </w:rPr>
        <w:t>在</w:t>
      </w:r>
      <w:r>
        <w:rPr>
          <w:rFonts w:ascii="宋体" w:hAnsi="宋体"/>
          <w:szCs w:val="21"/>
        </w:rPr>
        <w:t>废标</w:t>
      </w:r>
      <w:r>
        <w:rPr>
          <w:rFonts w:ascii="宋体" w:hAnsi="宋体" w:hint="eastAsia"/>
          <w:szCs w:val="21"/>
        </w:rPr>
        <w:t>或</w:t>
      </w:r>
      <w:r>
        <w:rPr>
          <w:rFonts w:ascii="宋体" w:hAnsi="宋体" w:hint="eastAsia"/>
          <w:szCs w:val="21"/>
        </w:rPr>
        <w:t>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）在投标截止日前撤回投标的，对于已递交投标保证金的，采购中心在收到投标人书面撤回投标通知之日起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w:t>
      </w:r>
      <w:r>
        <w:rPr>
          <w:rFonts w:ascii="宋体" w:hAnsi="宋体" w:hint="eastAsia"/>
          <w:szCs w:val="21"/>
        </w:rPr>
        <w:t>同类政府</w:t>
      </w:r>
      <w:r>
        <w:rPr>
          <w:rFonts w:ascii="宋体" w:hAnsi="宋体" w:hint="eastAsia"/>
          <w:szCs w:val="21"/>
        </w:rPr>
        <w:t>采购项目的机会可能会受到影响：</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）中标人无正当理由，不与采购人签订合同的；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）以他人名义投标、相互串通投标或者以其他方式弄虚作假的，投标人提交的投标文件中提交虚假资料或失实资料的；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w:t>
      </w:r>
      <w:r>
        <w:rPr>
          <w:rFonts w:hint="eastAsia"/>
          <w:b/>
          <w:bCs/>
        </w:rPr>
        <w:t>投标报价</w:t>
      </w:r>
    </w:p>
    <w:p w:rsidR="00BF1E87">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w:t>
      </w:r>
      <w:r>
        <w:rPr>
          <w:rFonts w:ascii="宋体" w:hAnsi="宋体" w:hint="eastAsia"/>
          <w:szCs w:val="21"/>
        </w:rPr>
        <w:t>整、不清楚或存在其它任何失误，所导致的任何不利后果均应当由投标人自行承担。</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w:t>
      </w:r>
      <w:r>
        <w:rPr>
          <w:rFonts w:hint="eastAsia"/>
        </w:rPr>
        <w:t>无报价投标和有选择的报价以及有条件的优惠报价，且</w:t>
      </w:r>
      <w:r>
        <w:rPr>
          <w:rFonts w:hint="eastAsia"/>
          <w:bCs/>
        </w:rPr>
        <w:t>报价未超过采购预算（或最高限价），否则投标将被</w:t>
      </w:r>
      <w:r>
        <w:rPr>
          <w:rFonts w:hint="eastAsia"/>
          <w:b/>
          <w:bCs/>
        </w:rPr>
        <w:t>拒绝。</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投标人要按分项报价表的内容填写单价（包括软件开发清单及费用，服务清单、方式及费用，货物报价及装箱、包装、包装物料、运输和保险费用等）、总价及其他事项。</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）投标人投报多包时，未</w:t>
      </w:r>
      <w:r>
        <w:rPr>
          <w:rFonts w:ascii="宋体" w:hAnsi="宋体" w:hint="eastAsia"/>
          <w:szCs w:val="21"/>
        </w:rPr>
        <w:t>按</w:t>
      </w:r>
      <w:r>
        <w:rPr>
          <w:rFonts w:ascii="宋体" w:hAnsi="宋体" w:hint="eastAsia"/>
          <w:szCs w:val="21"/>
        </w:rPr>
        <w:t>包分别</w:t>
      </w:r>
      <w:r>
        <w:rPr>
          <w:rFonts w:ascii="宋体" w:hAnsi="宋体" w:hint="eastAsia"/>
          <w:szCs w:val="21"/>
        </w:rPr>
        <w:t>填写开标一览表的；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w:t>
      </w:r>
      <w:r>
        <w:rPr>
          <w:rFonts w:ascii="宋体" w:hAnsi="宋体" w:hint="eastAsia"/>
          <w:szCs w:val="21"/>
        </w:rPr>
        <w:t>投标的报价优惠应对应开标一览表、分项报价表等提供相应的明细清单。除报价优惠外，任何超出招标文件要求而额外赠送的货物、免费服务等其他形式的优惠，在评审时将不具有竞争优势。</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w:t>
      </w:r>
      <w:r>
        <w:rPr>
          <w:rFonts w:ascii="宋体" w:hAnsi="宋体" w:hint="eastAsia"/>
          <w:szCs w:val="21"/>
        </w:rPr>
        <w:t>价、批量折扣等内容，该</w:t>
      </w:r>
      <w:r>
        <w:rPr>
          <w:rFonts w:ascii="宋体" w:hAnsi="宋体" w:hint="eastAsia"/>
          <w:szCs w:val="21"/>
        </w:rPr>
        <w:t>表格式由</w:t>
      </w:r>
      <w:r>
        <w:rPr>
          <w:rFonts w:ascii="宋体" w:hAnsi="宋体" w:hint="eastAsia"/>
          <w:szCs w:val="21"/>
        </w:rPr>
        <w:t>投标人自行设计。投标人按照上述要求分类报价，其目的是便于评审，但在任何情况下并不限制采购中心或采购人以其他条款签订合同的权利。</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w:t>
      </w:r>
      <w:r>
        <w:rPr>
          <w:rFonts w:hint="eastAsia"/>
          <w:b/>
          <w:bCs/>
        </w:rPr>
        <w:t>分包</w:t>
      </w:r>
    </w:p>
    <w:p w:rsidR="00BF1E87">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拟在中标后将中标项目的非主体、非关键性工作交由他人完成的，应当在投标文件中载明分包承担主体，分包承担主体应当具备相应资质条件且不得再次分包。</w:t>
      </w:r>
    </w:p>
    <w:p w:rsidR="00BF1E87">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w:t>
      </w:r>
      <w:r>
        <w:rPr>
          <w:rFonts w:hint="eastAsia"/>
          <w:b/>
          <w:bCs/>
        </w:rPr>
        <w:t>投标内容填写说明</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w:t>
      </w:r>
      <w:r>
        <w:rPr>
          <w:rFonts w:ascii="宋体" w:hAnsi="宋体" w:hint="eastAsia"/>
          <w:szCs w:val="21"/>
        </w:rPr>
        <w:t>“无”、“未测试”、“没有相应指标”等明确的回答文字。投标文件未按规定提交或留有空项，将被视为投标文件完整性有缺陷。</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rsidR="00BF1E8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w:t>
      </w:r>
      <w:r>
        <w:rPr>
          <w:rFonts w:hint="eastAsia"/>
          <w:b/>
          <w:bCs/>
        </w:rPr>
        <w:t>投标有效期</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BF1E8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在特殊情况下，采购中心可与投标人协商延长投标有效期。这种要求和答复都应以书面形式进行。此时，按本须知规定的投标保证金的有效期也相应延长。投标人可以拒绝接受延期要求而不会被不予</w:t>
      </w:r>
      <w:r>
        <w:rPr>
          <w:rFonts w:ascii="宋体" w:hAnsi="宋体" w:hint="eastAsia"/>
          <w:szCs w:val="21"/>
        </w:rPr>
        <w:t>退还保证金。同意延长有效期的投标人除按照采购中心要求修改投标文件有效期外，不能修改投标文件的其他内容。</w:t>
      </w:r>
    </w:p>
    <w:p w:rsidR="00BF1E87" w:rsidP="00961793">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rPr>
          <w:b/>
        </w:rPr>
      </w:pPr>
      <w:r>
        <w:rPr>
          <w:rFonts w:hint="eastAsia"/>
          <w:b/>
        </w:rPr>
        <w:t>1.21</w:t>
      </w:r>
      <w:r>
        <w:rPr>
          <w:rFonts w:hint="eastAsia"/>
          <w:b/>
        </w:rPr>
        <w:t>投标截止时间</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1.22</w:t>
      </w:r>
      <w:r>
        <w:rPr>
          <w:rFonts w:hint="eastAsia"/>
          <w:b/>
          <w:bCs/>
        </w:rPr>
        <w:t>投标文件递交方式</w:t>
      </w:r>
    </w:p>
    <w:p w:rsidR="00BF1E87">
      <w:pPr>
        <w:adjustRightInd w:val="0"/>
        <w:snapToGrid w:val="0"/>
        <w:spacing w:line="360" w:lineRule="auto"/>
        <w:ind w:firstLine="420" w:firstLineChars="200"/>
        <w:jc w:val="left"/>
        <w:rPr>
          <w:rFonts w:ascii="宋体" w:cs="微软雅黑"/>
          <w:szCs w:val="21"/>
        </w:rPr>
      </w:pPr>
      <w:r>
        <w:rPr>
          <w:rFonts w:ascii="宋体" w:hAnsi="宋体" w:hint="eastAsia"/>
          <w:szCs w:val="21"/>
        </w:rPr>
        <w:t>1.22.1</w:t>
      </w: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w:t>
      </w:r>
      <w:r>
        <w:rPr>
          <w:rFonts w:ascii="宋体" w:hAnsi="宋体" w:hint="eastAsia"/>
          <w:szCs w:val="21"/>
        </w:rPr>
        <w:t>中心电子采购系统（地址：</w:t>
      </w:r>
      <w:r>
        <w:rPr>
          <w:rFonts w:ascii="宋体" w:hAnsi="宋体" w:hint="eastAsia"/>
          <w:szCs w:val="21"/>
        </w:rPr>
        <w:t>https://cmagp.cmaidp.cma.cn/portalweb</w:t>
      </w:r>
      <w:r>
        <w:rPr>
          <w:rFonts w:ascii="宋体" w:hAnsi="宋体" w:hint="eastAsia"/>
          <w:szCs w:val="21"/>
        </w:rPr>
        <w:t>），</w:t>
      </w:r>
      <w:r>
        <w:rPr>
          <w:rFonts w:ascii="宋体" w:cs="微软雅黑" w:hint="eastAsia"/>
          <w:szCs w:val="21"/>
        </w:rPr>
        <w:t>下载</w:t>
      </w:r>
      <w:r>
        <w:rPr>
          <w:rFonts w:ascii="宋体" w:cs="微软雅黑" w:hint="eastAsia"/>
          <w:color w:val="C00000"/>
          <w:szCs w:val="21"/>
        </w:rPr>
        <w:t>电子采购系统</w:t>
      </w:r>
      <w:r>
        <w:rPr>
          <w:rFonts w:ascii="宋体" w:cs="微软雅黑" w:hint="eastAsia"/>
          <w:szCs w:val="21"/>
        </w:rPr>
        <w:t>的投标（响应）工具，制作并于投标截止时间前上传加密的电子投标文件，文件上</w:t>
      </w:r>
      <w:r>
        <w:rPr>
          <w:rFonts w:ascii="宋体" w:cs="微软雅黑" w:hint="eastAsia"/>
          <w:szCs w:val="21"/>
        </w:rPr>
        <w:t>传成功</w:t>
      </w:r>
      <w:r>
        <w:rPr>
          <w:rFonts w:ascii="宋体" w:cs="微软雅黑" w:hint="eastAsia"/>
          <w:szCs w:val="21"/>
        </w:rPr>
        <w:t>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1.22.2</w:t>
      </w:r>
      <w:r>
        <w:rPr>
          <w:rFonts w:ascii="宋体" w:hAnsi="宋体" w:hint="eastAsia"/>
          <w:szCs w:val="21"/>
        </w:rPr>
        <w:t>由于中国气象局政府采购中心电子采购系统尚处于试运行阶段，投标人除通过该系统上传加密的</w:t>
      </w:r>
      <w:r>
        <w:rPr>
          <w:rFonts w:ascii="宋体" w:hAnsi="宋体" w:hint="eastAsia"/>
          <w:bCs/>
          <w:szCs w:val="21"/>
        </w:rPr>
        <w:t>电子投标文件外，还应通过该系统下载投标文件电子版文件包，并使用</w:t>
      </w:r>
      <w:r>
        <w:rPr>
          <w:rFonts w:hint="eastAsia"/>
          <w:bCs/>
        </w:rPr>
        <w:t>不可擦写的刻录光盘或其他只读存储介质，在投标截止时间前</w:t>
      </w:r>
      <w:r>
        <w:rPr>
          <w:rFonts w:ascii="宋体" w:hAnsi="宋体" w:hint="eastAsia"/>
          <w:szCs w:val="21"/>
        </w:rPr>
        <w:t>按投标邀请书中规定的投标地址送至采购中心（不接受邮寄）。</w:t>
      </w:r>
    </w:p>
    <w:p w:rsidR="00BF1E87">
      <w:pPr>
        <w:adjustRightInd w:val="0"/>
        <w:snapToGrid w:val="0"/>
        <w:spacing w:line="360" w:lineRule="auto"/>
        <w:ind w:firstLine="420" w:firstLineChars="200"/>
        <w:jc w:val="left"/>
        <w:rPr>
          <w:rFonts w:ascii="宋体" w:hAnsi="宋体"/>
          <w:szCs w:val="21"/>
        </w:rPr>
      </w:pPr>
      <w:r>
        <w:rPr>
          <w:rFonts w:ascii="宋体" w:hAnsi="宋体" w:hint="eastAsia"/>
          <w:szCs w:val="21"/>
        </w:rPr>
        <w:t>1.22.3</w:t>
      </w:r>
      <w:r>
        <w:rPr>
          <w:rFonts w:ascii="宋体" w:hAnsi="宋体" w:hint="eastAsia"/>
          <w:szCs w:val="21"/>
        </w:rPr>
        <w:t>在投标截止时间之前，投标人未完成加密电子投标文件上传，无论采购中心是否在投标截止时间前收到以光盘等存储介质提交的</w:t>
      </w:r>
      <w:r>
        <w:rPr>
          <w:rFonts w:ascii="宋体" w:hAnsi="宋体" w:hint="eastAsia"/>
          <w:bCs/>
          <w:szCs w:val="21"/>
        </w:rPr>
        <w:t>投标文件电子版文件包，</w:t>
      </w:r>
      <w:r>
        <w:rPr>
          <w:rFonts w:ascii="宋体" w:hAnsi="宋体" w:hint="eastAsia"/>
          <w:szCs w:val="21"/>
        </w:rPr>
        <w:t>其投标将被</w:t>
      </w:r>
      <w:r>
        <w:rPr>
          <w:rFonts w:ascii="宋体" w:hAnsi="宋体" w:hint="eastAsia"/>
          <w:b/>
          <w:szCs w:val="21"/>
        </w:rPr>
        <w:t>拒绝</w:t>
      </w:r>
      <w:r>
        <w:rPr>
          <w:rFonts w:ascii="宋体" w:hAnsi="宋体" w:hint="eastAsia"/>
          <w:szCs w:val="21"/>
        </w:rPr>
        <w:t>。</w:t>
      </w:r>
    </w:p>
    <w:p w:rsidR="00BF1E87">
      <w:pPr>
        <w:adjustRightInd w:val="0"/>
        <w:snapToGrid w:val="0"/>
        <w:spacing w:line="360" w:lineRule="auto"/>
        <w:ind w:firstLine="420" w:firstLineChars="200"/>
        <w:jc w:val="left"/>
      </w:pPr>
      <w:r>
        <w:rPr>
          <w:rFonts w:ascii="宋体" w:hAnsi="宋体" w:hint="eastAsia"/>
          <w:szCs w:val="21"/>
        </w:rPr>
        <w:t>1.22.4</w:t>
      </w:r>
      <w:r>
        <w:rPr>
          <w:rFonts w:ascii="宋体" w:hAnsi="宋体" w:hint="eastAsia"/>
          <w:szCs w:val="21"/>
        </w:rPr>
        <w:t>通过光盘等存储介质提交的</w:t>
      </w:r>
      <w:r>
        <w:rPr>
          <w:rFonts w:ascii="宋体" w:hAnsi="宋体" w:hint="eastAsia"/>
          <w:bCs/>
          <w:szCs w:val="21"/>
        </w:rPr>
        <w:t>投标文件电子版文件包，应与</w:t>
      </w:r>
      <w:r>
        <w:rPr>
          <w:rFonts w:ascii="宋体" w:hAnsi="宋体" w:hint="eastAsia"/>
          <w:szCs w:val="21"/>
        </w:rPr>
        <w:t>通过中国气象局政府采购中心电子采购系统上传的加密</w:t>
      </w:r>
      <w:r>
        <w:rPr>
          <w:rFonts w:hint="eastAsia"/>
        </w:rPr>
        <w:t>电子投标文件一致，如不一致，以后者为准；如因特殊情况，导致电子投标文件解密失败的，则以前者为准。</w:t>
      </w:r>
    </w:p>
    <w:p w:rsidR="00BF1E87">
      <w:pPr>
        <w:adjustRightInd w:val="0"/>
        <w:snapToGrid w:val="0"/>
        <w:spacing w:line="360" w:lineRule="auto"/>
        <w:ind w:firstLine="420" w:firstLineChars="200"/>
        <w:jc w:val="left"/>
        <w:rPr>
          <w:rFonts w:ascii="宋体" w:hAnsi="宋体"/>
          <w:szCs w:val="21"/>
        </w:rPr>
      </w:pPr>
      <w:r>
        <w:rPr>
          <w:rFonts w:ascii="宋体" w:cs="微软雅黑" w:hint="eastAsia"/>
          <w:szCs w:val="21"/>
        </w:rPr>
        <w:t>1.22.5</w:t>
      </w:r>
      <w:r>
        <w:rPr>
          <w:rFonts w:ascii="宋体" w:hAnsi="宋体" w:hint="eastAsia"/>
          <w:szCs w:val="21"/>
        </w:rPr>
        <w:t>通过光盘等存储介</w:t>
      </w:r>
      <w:r>
        <w:rPr>
          <w:rFonts w:ascii="宋体" w:hAnsi="宋体" w:hint="eastAsia"/>
          <w:szCs w:val="21"/>
        </w:rPr>
        <w:t>质提交的</w:t>
      </w:r>
      <w:r>
        <w:rPr>
          <w:rFonts w:ascii="宋体" w:hAnsi="宋体" w:hint="eastAsia"/>
          <w:bCs/>
          <w:szCs w:val="21"/>
        </w:rPr>
        <w:t>投标文件电子版文件包，应在</w:t>
      </w:r>
      <w:r>
        <w:rPr>
          <w:rFonts w:hint="eastAsia"/>
          <w:bCs/>
        </w:rPr>
        <w:t>盘面（或封面）标注投标人</w:t>
      </w:r>
      <w:r>
        <w:rPr>
          <w:rFonts w:hint="eastAsia"/>
          <w:bCs/>
        </w:rPr>
        <w:t>全称、项目编号和所投的包号，电子文档文件名命名规则为项目编号</w:t>
      </w:r>
      <w:r>
        <w:rPr>
          <w:bCs/>
        </w:rPr>
        <w:t>+</w:t>
      </w:r>
      <w:r>
        <w:rPr>
          <w:bCs/>
        </w:rPr>
        <w:t>项目名称主题词</w:t>
      </w:r>
      <w:r>
        <w:rPr>
          <w:bCs/>
        </w:rPr>
        <w:t>+</w:t>
      </w:r>
      <w:r>
        <w:rPr>
          <w:rFonts w:hint="eastAsia"/>
          <w:bCs/>
        </w:rPr>
        <w:t>投标人全称。</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1.22.6</w:t>
      </w:r>
      <w:r>
        <w:rPr>
          <w:rFonts w:hint="eastAsia"/>
        </w:rPr>
        <w:t>存储</w:t>
      </w:r>
      <w:r>
        <w:rPr>
          <w:rFonts w:hint="eastAsia"/>
          <w:bCs/>
        </w:rPr>
        <w:t>投标文件电子版文件包的</w:t>
      </w:r>
      <w:r>
        <w:rPr>
          <w:rFonts w:hint="eastAsia"/>
        </w:rPr>
        <w:t>光盘等存储介质</w:t>
      </w:r>
      <w:r>
        <w:rPr>
          <w:rFonts w:hint="eastAsia"/>
          <w:bCs/>
        </w:rPr>
        <w:t>应用密封袋密封。</w:t>
      </w:r>
      <w:r>
        <w:rPr>
          <w:rFonts w:hint="eastAsia"/>
        </w:rPr>
        <w:t>所有密封袋封皮上应标注所投项目编号、项目名称、包号、投标人全称，并在封口处加盖投标人公章或由投标人的法定代表人或其授权代表签字。如果投标人未按上述要求密封及加写标记，采购中心对误投和提前启封概不负责。采购中心应如实记录密封等情况，对不符合上述密封及加写标记要求的，采购中心有权</w:t>
      </w:r>
      <w:r>
        <w:rPr>
          <w:rFonts w:eastAsia="拒绝" w:hint="eastAsia"/>
        </w:rPr>
        <w:t>要求</w:t>
      </w:r>
      <w:r>
        <w:rPr>
          <w:rFonts w:hint="eastAsia"/>
        </w:rPr>
        <w:t>投标人按上述要</w:t>
      </w:r>
      <w:r>
        <w:rPr>
          <w:rFonts w:hint="eastAsia"/>
        </w:rPr>
        <w:t>求重新密封及加写标记后于投标截止时间前再次递交采购中心，如投标人拒绝，由此引起的不利后果由投标人承担。</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w:t>
      </w:r>
      <w:r>
        <w:rPr>
          <w:rFonts w:hint="eastAsia"/>
          <w:b/>
          <w:bCs/>
        </w:rPr>
        <w:t>投标文件的补充、修改和撤回</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w:t>
      </w:r>
      <w:r>
        <w:rPr>
          <w:rFonts w:hint="eastAsia"/>
        </w:rPr>
        <w:t>投标人可以在投标截止时间前，对所递交的投标文件进行补充、修改或者撤回。在投标截止时间之后，投标人不得对所递交的投标文件进行补充、修改或者撤回。</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条要求重新上传。通过光盘等存储介质重新提交的</w:t>
      </w:r>
      <w:r>
        <w:rPr>
          <w:rFonts w:hint="eastAsia"/>
          <w:bCs/>
        </w:rPr>
        <w:t>投标文件电子版文件包，</w:t>
      </w:r>
      <w:r>
        <w:rPr>
          <w:rFonts w:hint="eastAsia"/>
        </w:rPr>
        <w:t>应确保与重新签署上传的加密电子投标文件一致。</w:t>
      </w:r>
    </w:p>
    <w:p w:rsidR="00BF1E87">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w:t>
      </w:r>
      <w:r>
        <w:rPr>
          <w:rFonts w:hint="eastAsia"/>
          <w:b/>
          <w:bCs/>
        </w:rPr>
        <w:t>开标</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w:t>
      </w:r>
      <w:r>
        <w:rPr>
          <w:rFonts w:hint="eastAsia"/>
        </w:rPr>
        <w:t>4.1</w:t>
      </w:r>
      <w:r>
        <w:rPr>
          <w:rFonts w:hint="eastAsia"/>
        </w:rPr>
        <w:t>采购中心按照招标文件规定的时间、地点主持开标。</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1.24.2</w:t>
      </w:r>
      <w:r>
        <w:rPr>
          <w:rFonts w:hint="eastAsia"/>
        </w:rPr>
        <w:t>投标人不足</w:t>
      </w:r>
      <w:r>
        <w:rPr>
          <w:rFonts w:hint="eastAsia"/>
        </w:rPr>
        <w:t>3</w:t>
      </w:r>
      <w:r>
        <w:rPr>
          <w:rFonts w:hint="eastAsia"/>
        </w:rPr>
        <w:t>家，不进入解密程序。</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1.24.3</w:t>
      </w:r>
      <w:r>
        <w:rPr>
          <w:rFonts w:hint="eastAsia"/>
        </w:rPr>
        <w:t>进入解密程序后，由采购中心对所有完成上传的加密电子投标文件进行解密。所有投标人加密电子投标文件解密完成后，进行电子唱标。如出现某个投标人电子投标文件解密失败情况，将使用该投标人通过光盘等存储介质提交的</w:t>
      </w:r>
      <w:r>
        <w:rPr>
          <w:rFonts w:hint="eastAsia"/>
          <w:bCs/>
        </w:rPr>
        <w:t>投标文件电子版文件包</w:t>
      </w:r>
      <w:r>
        <w:rPr>
          <w:rFonts w:hint="eastAsia"/>
        </w:rPr>
        <w:t>唱标。</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w:t>
      </w:r>
      <w:r>
        <w:rPr>
          <w:rFonts w:hint="eastAsia"/>
        </w:rPr>
        <w:t>投标人、采购人可通过中国气象局政府采购中心电子采购系统参加开标，其授权代表也可至开标现场参加开标。投标人未参加开标的，则将</w:t>
      </w:r>
      <w:r>
        <w:t>视为</w:t>
      </w:r>
      <w:r>
        <w:rPr>
          <w:rFonts w:hint="eastAsia"/>
        </w:rPr>
        <w:t>其</w:t>
      </w:r>
      <w:r>
        <w:t>放弃开标的知情权</w:t>
      </w:r>
      <w:r>
        <w:rPr>
          <w:rFonts w:hint="eastAsia"/>
        </w:rPr>
        <w:t>、</w:t>
      </w:r>
      <w:r>
        <w:t>监督权</w:t>
      </w:r>
      <w:r>
        <w:rPr>
          <w:rFonts w:hint="eastAsia"/>
        </w:rPr>
        <w:t>等</w:t>
      </w:r>
      <w:r>
        <w:t>相关权益，</w:t>
      </w:r>
      <w:r>
        <w:rPr>
          <w:rFonts w:hint="eastAsia"/>
        </w:rPr>
        <w:t>但</w:t>
      </w:r>
      <w:r>
        <w:t>不影响其投标有效性</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1.24.5</w:t>
      </w:r>
      <w:r>
        <w:rPr>
          <w:rFonts w:hint="eastAsia"/>
        </w:rPr>
        <w:t>使用该投标人通过光盘等存储介质提交的</w:t>
      </w:r>
      <w:r>
        <w:rPr>
          <w:rFonts w:hint="eastAsia"/>
          <w:bCs/>
        </w:rPr>
        <w:t>投标文件电子版文件包</w:t>
      </w:r>
      <w:r>
        <w:rPr>
          <w:rFonts w:hint="eastAsia"/>
        </w:rPr>
        <w:t>唱标的，按以下程序进行：</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1</w:t>
      </w:r>
      <w:r>
        <w:rPr>
          <w:rFonts w:hint="eastAsia"/>
        </w:rPr>
        <w:t>）密封检查。密封检查是指对装有存储</w:t>
      </w:r>
      <w:r>
        <w:rPr>
          <w:rFonts w:hint="eastAsia"/>
          <w:bCs/>
        </w:rPr>
        <w:t>投标文件电子版文件包的</w:t>
      </w:r>
      <w:r>
        <w:rPr>
          <w:rFonts w:hint="eastAsia"/>
        </w:rPr>
        <w:t>光盘等存储介质的密封袋的密封情况进行检查对比，以确保开标前不被开启，投标文件等不被篡改、泄露。开标时由投标人对自己的密封情况进行检查。如投标人放弃检查，可能产生的不利后果由投标人自行承担。</w:t>
      </w:r>
    </w:p>
    <w:p w:rsidR="00BF1E87">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2</w:t>
      </w:r>
      <w:r>
        <w:rPr>
          <w:rFonts w:hint="eastAsia"/>
        </w:rPr>
        <w:t>）唱标。密封情况经检查无误后，由相关工作人员当众拆封，并经投标人法定代表人或授权代表签字确认后，将</w:t>
      </w:r>
      <w:r>
        <w:rPr>
          <w:rFonts w:hint="eastAsia"/>
          <w:bCs/>
        </w:rPr>
        <w:t>投标文件电子版文件包导入</w:t>
      </w:r>
      <w:r>
        <w:rPr>
          <w:rFonts w:hint="eastAsia"/>
        </w:rPr>
        <w:t>中国气象</w:t>
      </w:r>
      <w:r>
        <w:rPr>
          <w:rFonts w:hint="eastAsia"/>
        </w:rPr>
        <w:t>局政府采购中心电子采购系统，进行电子唱标。</w:t>
      </w:r>
      <w:r>
        <w:t>如</w:t>
      </w:r>
      <w:r>
        <w:rPr>
          <w:rFonts w:hint="eastAsia"/>
        </w:rPr>
        <w:t>投标人法定代表人或授权代表未</w:t>
      </w:r>
      <w:r>
        <w:t>到场，</w:t>
      </w:r>
      <w:r>
        <w:rPr>
          <w:rFonts w:hint="eastAsia"/>
        </w:rPr>
        <w:t>由</w:t>
      </w:r>
      <w:r>
        <w:t>采购中心</w:t>
      </w:r>
      <w:r>
        <w:rPr>
          <w:rFonts w:hint="eastAsia"/>
        </w:rPr>
        <w:t>在投标人法定代表人或授权代表签字确定处</w:t>
      </w:r>
      <w:r>
        <w:t>注明</w:t>
      </w:r>
      <w:r>
        <w:rPr>
          <w:rFonts w:hint="eastAsia"/>
        </w:rPr>
        <w:t>“未到场”。</w:t>
      </w:r>
    </w:p>
    <w:p w:rsidR="00BF1E87">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w:t>
      </w:r>
      <w:r>
        <w:rPr>
          <w:rFonts w:hint="eastAsia"/>
          <w:b/>
          <w:bCs/>
        </w:rPr>
        <w:t>组建评标委员会</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1.25.2</w:t>
      </w:r>
      <w:r>
        <w:rPr>
          <w:rFonts w:hint="eastAsia"/>
        </w:rPr>
        <w:t>采购人只能以采购人代表的身份参与评审，采购中心工作人员不得参加评审。</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w:t>
      </w:r>
      <w:r>
        <w:rPr>
          <w:rFonts w:hint="eastAsia"/>
          <w:b/>
          <w:bCs/>
        </w:rPr>
        <w:t>初审</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1.26.1</w:t>
      </w:r>
      <w:r>
        <w:rPr>
          <w:rFonts w:hint="eastAsia"/>
        </w:rPr>
        <w:t>投标文件的初审分为资格性审查和符合性审查。</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1</w:t>
      </w:r>
      <w:r>
        <w:t>）</w:t>
      </w:r>
      <w:r>
        <w:rPr>
          <w:rFonts w:hint="eastAsia"/>
        </w:rPr>
        <w:t>资格性审查由采购人或采购中心负责。主要是指依据法律法规和招标文件对投标人的资格材料等进行审查，以确定投标人是否具备投标资格。通过资格性审查的投标人不足</w:t>
      </w:r>
      <w:r>
        <w:rPr>
          <w:rFonts w:hint="eastAsia"/>
        </w:rPr>
        <w:t>3</w:t>
      </w:r>
      <w:r>
        <w:rPr>
          <w:rFonts w:hint="eastAsia"/>
        </w:rPr>
        <w:t>家的，不再进行下一步评审。</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w:t>
      </w:r>
      <w:r>
        <w:t>财务状况证明</w:t>
      </w:r>
      <w:r>
        <w:rPr>
          <w:rFonts w:hint="eastAsia"/>
        </w:rPr>
        <w:t>，</w:t>
      </w:r>
      <w:r>
        <w:t>⑤</w:t>
      </w:r>
      <w:r>
        <w:t>近三年</w:t>
      </w:r>
      <w:r>
        <w:t>内参加政府采购活动中没有重大违法记录声明</w:t>
      </w:r>
      <w:r>
        <w:rPr>
          <w:rFonts w:hint="eastAsia"/>
        </w:rPr>
        <w:t>，</w:t>
      </w:r>
      <w:r>
        <w:t>⑥</w:t>
      </w:r>
      <w:r>
        <w:t>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rsidR="00BF1E87">
      <w:pPr>
        <w:tabs>
          <w:tab w:val="left" w:pos="900"/>
          <w:tab w:val="left" w:pos="5580"/>
        </w:tabs>
        <w:adjustRightInd w:val="0"/>
        <w:snapToGrid w:val="0"/>
        <w:spacing w:line="360" w:lineRule="auto"/>
        <w:ind w:firstLine="420" w:firstLineChars="200"/>
        <w:jc w:val="left"/>
      </w:pPr>
      <w:r>
        <w:rPr>
          <w:rFonts w:hint="eastAsia"/>
        </w:rPr>
        <w:t>（</w:t>
      </w:r>
      <w:r>
        <w:t>2</w:t>
      </w:r>
      <w:r>
        <w:t>）符合性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w:t>
      </w:r>
      <w:r>
        <w:rPr>
          <w:rFonts w:hint="eastAsia"/>
        </w:rPr>
        <w:t>5.13</w:t>
      </w:r>
      <w:r>
        <w:rPr>
          <w:rFonts w:hint="eastAsia"/>
        </w:rPr>
        <w:t>条规定应提交的其他商务文件和技术文件、实质性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BF1E87">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1.26.2</w:t>
      </w:r>
      <w:r>
        <w:rPr>
          <w:rFonts w:hint="eastAsia"/>
        </w:rPr>
        <w:t>本项目在详细评审之前，是否允许投标人</w:t>
      </w:r>
      <w:r>
        <w:rPr>
          <w:rFonts w:hint="eastAsia"/>
        </w:rPr>
        <w:t>述标及述标</w:t>
      </w:r>
      <w:r>
        <w:rPr>
          <w:rFonts w:hint="eastAsia"/>
        </w:rPr>
        <w:t>方式、时间，见</w:t>
      </w:r>
      <w:r>
        <w:rPr>
          <w:rFonts w:hint="eastAsia"/>
          <w:b/>
          <w:bCs/>
        </w:rPr>
        <w:t>第五章投标人须知专用部分。</w:t>
      </w:r>
      <w:r>
        <w:rPr>
          <w:rFonts w:hint="eastAsia"/>
        </w:rPr>
        <w:t>述标的</w:t>
      </w:r>
      <w:r>
        <w:rPr>
          <w:rFonts w:hint="eastAsia"/>
          <w:bCs/>
        </w:rPr>
        <w:t>规则如下：</w:t>
      </w:r>
    </w:p>
    <w:p w:rsidR="00BF1E87">
      <w:pPr>
        <w:tabs>
          <w:tab w:val="left" w:pos="1573"/>
        </w:tabs>
        <w:adjustRightInd w:val="0"/>
        <w:snapToGrid w:val="0"/>
        <w:spacing w:line="360" w:lineRule="auto"/>
        <w:ind w:firstLine="420" w:firstLineChars="200"/>
      </w:pPr>
      <w:r>
        <w:rPr>
          <w:rFonts w:hint="eastAsia"/>
          <w:bCs/>
        </w:rPr>
        <w:t>（</w:t>
      </w:r>
      <w:r>
        <w:rPr>
          <w:rFonts w:hint="eastAsia"/>
          <w:bCs/>
        </w:rPr>
        <w:t>1</w:t>
      </w:r>
      <w:r>
        <w:rPr>
          <w:rFonts w:hint="eastAsia"/>
          <w:bCs/>
        </w:rPr>
        <w:t>）代表投标人</w:t>
      </w:r>
      <w:r>
        <w:rPr>
          <w:rFonts w:hint="eastAsia"/>
          <w:bCs/>
        </w:rPr>
        <w:t>进行述</w:t>
      </w:r>
      <w:r>
        <w:rPr>
          <w:rFonts w:hint="eastAsia"/>
          <w:bCs/>
        </w:rPr>
        <w:t>标的述标人</w:t>
      </w:r>
      <w:r>
        <w:rPr>
          <w:rFonts w:hint="eastAsia"/>
          <w:bCs/>
        </w:rPr>
        <w:t>应是投标人的正式员工，如需要投标人组成专门服务团队的，</w:t>
      </w:r>
      <w:r>
        <w:rPr>
          <w:rFonts w:hint="eastAsia"/>
          <w:bCs/>
        </w:rPr>
        <w:t>则述标</w:t>
      </w:r>
      <w:r>
        <w:rPr>
          <w:rFonts w:hint="eastAsia"/>
          <w:bCs/>
        </w:rPr>
        <w:t>人应是服务团队的人员。如采取现场方式述标，</w:t>
      </w:r>
      <w:r>
        <w:rPr>
          <w:rFonts w:hint="eastAsia"/>
          <w:bCs/>
        </w:rPr>
        <w:t>述标人</w:t>
      </w:r>
      <w:r>
        <w:rPr>
          <w:rFonts w:hint="eastAsia"/>
          <w:bCs/>
        </w:rPr>
        <w:t>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w:t>
      </w:r>
      <w:r>
        <w:rPr>
          <w:rFonts w:ascii="宋体" w:hAnsi="宋体" w:hint="eastAsia"/>
          <w:bCs/>
          <w:szCs w:val="21"/>
        </w:rPr>
        <w:t>述标开始</w:t>
      </w:r>
      <w:r>
        <w:rPr>
          <w:rFonts w:ascii="宋体" w:hAnsi="宋体" w:hint="eastAsia"/>
          <w:bCs/>
          <w:szCs w:val="21"/>
        </w:rPr>
        <w:t>前提交采购中心工作人员。</w:t>
      </w:r>
      <w:r>
        <w:rPr>
          <w:rFonts w:ascii="宋体" w:hAnsi="宋体" w:hint="eastAsia"/>
          <w:bCs/>
          <w:szCs w:val="21"/>
        </w:rPr>
        <w:t>否则</w:t>
      </w:r>
      <w:r>
        <w:rPr>
          <w:rFonts w:ascii="宋体" w:hAnsi="宋体" w:hint="eastAsia"/>
          <w:szCs w:val="21"/>
        </w:rPr>
        <w:t>述标人</w:t>
      </w:r>
      <w:r>
        <w:rPr>
          <w:rFonts w:ascii="宋体" w:hAnsi="宋体" w:hint="eastAsia"/>
          <w:szCs w:val="21"/>
        </w:rPr>
        <w:t>不能进行述标，视同投标人放弃述标。</w:t>
      </w:r>
    </w:p>
    <w:p w:rsidR="00BF1E87">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w:t>
      </w:r>
      <w:r>
        <w:rPr>
          <w:rFonts w:hint="eastAsia"/>
          <w:bCs/>
        </w:rPr>
        <w:t>2</w:t>
      </w:r>
      <w:r>
        <w:rPr>
          <w:rFonts w:hint="eastAsia"/>
          <w:bCs/>
        </w:rPr>
        <w:t>）</w:t>
      </w:r>
      <w:r>
        <w:rPr>
          <w:rFonts w:hint="eastAsia"/>
          <w:bCs/>
        </w:rPr>
        <w:t>投标人按唱标</w:t>
      </w:r>
      <w:r>
        <w:rPr>
          <w:rFonts w:hint="eastAsia"/>
          <w:bCs/>
        </w:rPr>
        <w:t>顺序依次述标，某一</w:t>
      </w:r>
      <w:r>
        <w:rPr>
          <w:rFonts w:hint="eastAsia"/>
          <w:bCs/>
        </w:rPr>
        <w:t>投标人述标时</w:t>
      </w:r>
      <w:r>
        <w:rPr>
          <w:rFonts w:hint="eastAsia"/>
          <w:bCs/>
        </w:rPr>
        <w:t>，其余投标人应回避；</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bCs/>
        </w:rPr>
        <w:t>（</w:t>
      </w:r>
      <w:r>
        <w:rPr>
          <w:rFonts w:hint="eastAsia"/>
          <w:bCs/>
        </w:rPr>
        <w:t>3</w:t>
      </w:r>
      <w:r>
        <w:rPr>
          <w:rFonts w:hint="eastAsia"/>
          <w:bCs/>
        </w:rPr>
        <w:t>）投标人的</w:t>
      </w:r>
      <w:r>
        <w:rPr>
          <w:rFonts w:hint="eastAsia"/>
          <w:bCs/>
        </w:rPr>
        <w:t>述标仅</w:t>
      </w:r>
      <w:r>
        <w:rPr>
          <w:rFonts w:hint="eastAsia"/>
          <w:bCs/>
        </w:rPr>
        <w:t>限于介绍投标人自身情况和投标方案，不得进行与</w:t>
      </w:r>
      <w:r>
        <w:rPr>
          <w:rFonts w:hint="eastAsia"/>
        </w:rPr>
        <w:t>投标文件内容不符的陈述，或对投标文件进行修</w:t>
      </w:r>
      <w:r>
        <w:rPr>
          <w:rFonts w:hint="eastAsia"/>
        </w:rPr>
        <w:t>改，或</w:t>
      </w:r>
      <w:r>
        <w:rPr>
          <w:rFonts w:hint="eastAsia"/>
          <w:bCs/>
        </w:rPr>
        <w:t>对招标文件提出任何质疑、修改，或</w:t>
      </w:r>
      <w:r>
        <w:rPr>
          <w:rFonts w:hint="eastAsia"/>
        </w:rPr>
        <w:t>任何针对其他投标人的陈述。</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w:t>
      </w:r>
      <w:r>
        <w:rPr>
          <w:rFonts w:hint="eastAsia"/>
        </w:rPr>
        <w:t>述标过程</w:t>
      </w:r>
      <w:r>
        <w:rPr>
          <w:rFonts w:hint="eastAsia"/>
        </w:rPr>
        <w:t>中，评标委员会可以</w:t>
      </w:r>
      <w:r>
        <w:rPr>
          <w:rFonts w:hint="eastAsia"/>
        </w:rPr>
        <w:t>向述标人员</w:t>
      </w:r>
      <w:r>
        <w:rPr>
          <w:rFonts w:hint="eastAsia"/>
        </w:rPr>
        <w:t>提出质询，但质询仅限</w:t>
      </w:r>
      <w:r>
        <w:rPr>
          <w:rFonts w:hint="eastAsia"/>
        </w:rPr>
        <w:t>对述标</w:t>
      </w:r>
      <w:r>
        <w:rPr>
          <w:rFonts w:hint="eastAsia"/>
        </w:rPr>
        <w:t>内容含义不明确、对同类问题陈述前后不一致等，不得引导</w:t>
      </w:r>
      <w:r>
        <w:rPr>
          <w:rFonts w:hint="eastAsia"/>
        </w:rPr>
        <w:t>述标人员</w:t>
      </w:r>
      <w:r>
        <w:rPr>
          <w:rFonts w:hint="eastAsia"/>
        </w:rPr>
        <w:t>的述标，不得发表倾向性、引导性意见。</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）投标人</w:t>
      </w:r>
      <w:r>
        <w:rPr>
          <w:rFonts w:hint="eastAsia"/>
        </w:rPr>
        <w:t>的述标内容</w:t>
      </w:r>
      <w:r>
        <w:rPr>
          <w:rFonts w:hint="eastAsia"/>
        </w:rPr>
        <w:t>不作为对投标文件的任何补充、修改，不能因此拒绝投标人的投标，或者作为评分依据。</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）投标人放弃</w:t>
      </w:r>
      <w:r>
        <w:rPr>
          <w:rFonts w:hint="eastAsia"/>
        </w:rPr>
        <w:t>述标不</w:t>
      </w:r>
      <w:r>
        <w:rPr>
          <w:rFonts w:hint="eastAsia"/>
        </w:rPr>
        <w:t>影响其投标的有效性。</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1.26.3</w:t>
      </w:r>
      <w:r>
        <w:rPr>
          <w:rFonts w:hint="eastAsia"/>
        </w:rPr>
        <w:t>在详细评审之前，评标委员会要审查每份投标文件是否实质上响应了招标文件的要求。</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w:t>
      </w:r>
      <w:r>
        <w:rPr>
          <w:rFonts w:hint="eastAsia"/>
          <w:b/>
          <w:bCs/>
        </w:rPr>
        <w:t>被拒绝条款通用部分及</w:t>
      </w:r>
      <w:r>
        <w:rPr>
          <w:rFonts w:hint="eastAsia"/>
          <w:b/>
        </w:rPr>
        <w:t>第八章投标被拒绝条款专用部分</w:t>
      </w:r>
      <w:r>
        <w:rPr>
          <w:rFonts w:hint="eastAsia"/>
        </w:rPr>
        <w:t>的内容不得在评审中作为拒绝投标人的条件。</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1.26.6</w:t>
      </w:r>
      <w:r>
        <w:rPr>
          <w:rFonts w:hint="eastAsia"/>
        </w:rPr>
        <w:t>重大偏离不允许在开标后修正，但评标委员会将允许修正投标中不构成重大偏离的地方，这些修正不会对其他实质上响应招标文件要求的投标人的竞争地位产生不公正的影响。</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1.26.8</w:t>
      </w:r>
      <w:r>
        <w:rPr>
          <w:rFonts w:hint="eastAsia"/>
        </w:rPr>
        <w:t>开标后，开标一览表不得做任何</w:t>
      </w:r>
      <w:r>
        <w:rPr>
          <w:rFonts w:hint="eastAsia"/>
        </w:rPr>
        <w:t>修正。除此之外，对投标文件中存在明显的文字和计算错误按下述原则处理，若出现相互矛盾之处，应以排列在先的原则为准优先处理：</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）如果以文字表示的数据与数字表示的有差别，以文字为准修正数字。如果大小写金额不一致的，以大写金额为准。</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应以总价为准，并修改单价。如果明细价格相加不等于汇总价格，以明细价格为准。</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rsidR="00BF1E87">
      <w:pPr>
        <w:adjustRightInd w:val="0"/>
        <w:snapToGrid w:val="0"/>
        <w:spacing w:line="360" w:lineRule="auto"/>
        <w:ind w:firstLine="420" w:firstLineChars="20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条修正后的分项报价表总价金额小于开标一览表总价金额；</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条规定的程序要求其对单价进行调整，并使其分项报价表总价金额等于开标一览表总价金额</w:t>
      </w:r>
      <w:r>
        <w:rPr>
          <w:rFonts w:ascii="宋体" w:hAnsi="宋体" w:hint="eastAsia"/>
          <w:szCs w:val="21"/>
        </w:rPr>
        <w:t>时，投标人</w:t>
      </w:r>
      <w:r>
        <w:rPr>
          <w:rFonts w:ascii="宋体" w:eastAsia="拒绝" w:hAnsi="宋体" w:hint="eastAsia"/>
          <w:szCs w:val="21"/>
        </w:rPr>
        <w:t>拒绝</w:t>
      </w:r>
      <w:r>
        <w:rPr>
          <w:rFonts w:ascii="宋体" w:hAnsi="宋体" w:hint="eastAsia"/>
          <w:szCs w:val="21"/>
        </w:rPr>
        <w:t>调整的；</w:t>
      </w:r>
    </w:p>
    <w:p w:rsidR="00BF1E8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w:t>
      </w:r>
      <w:r>
        <w:rPr>
          <w:rFonts w:ascii="宋体" w:hAnsi="宋体" w:hint="eastAsia"/>
          <w:szCs w:val="21"/>
        </w:rPr>
        <w:t>品或服务的交货（工）时间及地点、质保期不满足本招标文件要求的。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1.26.11</w:t>
      </w:r>
      <w:r>
        <w:rPr>
          <w:rFonts w:hint="eastAsia"/>
        </w:rPr>
        <w:t>如投标文件电子文档以及投标文件包括的电子文档、音频、视频等，需要在评审时现场查阅、播放的，以及</w:t>
      </w:r>
      <w:r>
        <w:rPr>
          <w:rFonts w:hint="eastAsia"/>
        </w:rPr>
        <w:t>投标人述标时</w:t>
      </w:r>
      <w:r>
        <w:rPr>
          <w:rFonts w:hint="eastAsia"/>
        </w:rPr>
        <w:t>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w:t>
      </w:r>
      <w:r>
        <w:rPr>
          <w:rFonts w:hint="eastAsia"/>
        </w:rPr>
        <w:t>等。</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w:t>
      </w:r>
      <w:r>
        <w:rPr>
          <w:rFonts w:hint="eastAsia"/>
          <w:b/>
          <w:bCs/>
        </w:rPr>
        <w:t>投标的澄清</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1.27.1</w:t>
      </w:r>
      <w:r>
        <w:rPr>
          <w:rFonts w:hint="eastAsia"/>
        </w:rPr>
        <w:t>评标委员会有权要求投标人对投标文件中含义不明确、对同类问题表述不一致或者有明显文字和计算错误等内容作必要的澄清、说明或者补正。</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1.27.2</w:t>
      </w:r>
      <w:r>
        <w:rPr>
          <w:rFonts w:hint="eastAsia"/>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1.27.3</w:t>
      </w:r>
      <w:r>
        <w:rPr>
          <w:rFonts w:hint="eastAsia"/>
        </w:rPr>
        <w:t>如评标委员会认为某个投标人的报价明显低于其他</w:t>
      </w:r>
      <w:r>
        <w:rPr>
          <w:rFonts w:hint="eastAsia"/>
        </w:rPr>
        <w:t>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w:t>
      </w:r>
      <w:r>
        <w:rPr>
          <w:rFonts w:hint="eastAsia"/>
          <w:b/>
          <w:bCs/>
        </w:rPr>
        <w:t>对投标文件的详细评审</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rsidR="00BF1E87">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）业绩。投标人类似项目的业绩等；</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w:t>
      </w:r>
      <w:r>
        <w:rPr>
          <w:rFonts w:hint="eastAsia"/>
        </w:rPr>
        <w:t>质量，投标产品的技术性能及质量。包括对招标文件应答情况，软件开发及服务标准、质量，产品技术规格有无偏离，产品的性能、标准，产品的先进性、可靠性、稳定性及质量保证等；</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）评审价格。开标一览表中该投标人的投标总价。如本项目</w:t>
      </w:r>
      <w:r>
        <w:rPr>
          <w:rFonts w:hint="eastAsia"/>
          <w:bCs/>
        </w:rPr>
        <w:t>不是专门或部分面向中小企业采购的项目，小</w:t>
      </w:r>
      <w:r>
        <w:rPr>
          <w:rFonts w:hint="eastAsia"/>
          <w:bCs/>
        </w:rPr>
        <w:t>微企业</w:t>
      </w:r>
      <w:r>
        <w:rPr>
          <w:rFonts w:hint="eastAsia"/>
          <w:bCs/>
        </w:rPr>
        <w:t>享受价格扣除优惠，用扣除后的价格参与评审。具体见</w:t>
      </w:r>
      <w:r>
        <w:rPr>
          <w:rFonts w:hint="eastAsia"/>
          <w:bCs/>
        </w:rPr>
        <w:t>1.6.4</w:t>
      </w:r>
      <w:r>
        <w:rPr>
          <w:rFonts w:hint="eastAsia"/>
        </w:rPr>
        <w:t>及</w:t>
      </w:r>
      <w:r>
        <w:rPr>
          <w:rFonts w:hint="eastAsia"/>
          <w:b/>
        </w:rPr>
        <w:t>第六章评标方法和评标标准。</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w:t>
      </w:r>
      <w:r>
        <w:rPr>
          <w:rFonts w:hint="eastAsia"/>
          <w:b/>
          <w:bCs/>
        </w:rPr>
        <w:t>确定中标人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1.29.2</w:t>
      </w:r>
      <w:r>
        <w:rPr>
          <w:rFonts w:hint="eastAsia"/>
        </w:rPr>
        <w:t>采购人应在中标候选人推荐名单中按顺序确定中标人。如采购人在收到中标候选人推荐名单</w:t>
      </w:r>
      <w:r>
        <w:rPr>
          <w:rFonts w:hint="eastAsia"/>
        </w:rPr>
        <w:t>5</w:t>
      </w:r>
      <w:r>
        <w:rPr>
          <w:rFonts w:hint="eastAsia"/>
        </w:rPr>
        <w:t>个工作日内不能按顺序确定中标人，又不能说明合法理由的，视同按中标候选人推荐名单中排名第一的中标候选人为中标人。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1.29.3</w:t>
      </w:r>
      <w:r>
        <w:rPr>
          <w:rFonts w:hint="eastAsia"/>
        </w:rPr>
        <w:t>采购人也可授权评标委员会按本条规定直接确定中标人。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1.29.4</w:t>
      </w:r>
      <w:r>
        <w:rPr>
          <w:rFonts w:hint="eastAsia"/>
        </w:rPr>
        <w:t>采购人在规定时间内按前款规定确定中标人后，采购中心发布中标公告。</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w:t>
      </w:r>
      <w:r>
        <w:rPr>
          <w:rFonts w:hint="eastAsia"/>
          <w:b/>
          <w:bCs/>
        </w:rPr>
        <w:t>评审过程要求</w:t>
      </w:r>
    </w:p>
    <w:p w:rsidR="00BF1E87">
      <w:pPr>
        <w:pStyle w:val="10"/>
        <w:numPr>
          <w:ilvl w:val="0"/>
          <w:numId w:val="0"/>
        </w:numPr>
        <w:tabs>
          <w:tab w:val="left" w:pos="709"/>
          <w:tab w:val="left" w:pos="1573"/>
        </w:tabs>
        <w:adjustRightInd w:val="0"/>
        <w:snapToGrid w:val="0"/>
        <w:spacing w:line="360" w:lineRule="auto"/>
        <w:ind w:firstLine="412" w:firstLineChars="196"/>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rsidR="00BF1E87">
      <w:pPr>
        <w:pStyle w:val="10"/>
        <w:numPr>
          <w:ilvl w:val="0"/>
          <w:numId w:val="0"/>
        </w:numPr>
        <w:tabs>
          <w:tab w:val="left" w:pos="709"/>
          <w:tab w:val="left" w:pos="1573"/>
        </w:tabs>
        <w:adjustRightInd w:val="0"/>
        <w:snapToGrid w:val="0"/>
        <w:spacing w:line="360" w:lineRule="auto"/>
        <w:ind w:firstLine="412" w:firstLineChars="196"/>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1.31</w:t>
      </w:r>
      <w:r>
        <w:rPr>
          <w:rFonts w:hint="eastAsia"/>
          <w:b/>
          <w:bCs/>
        </w:rPr>
        <w:t>关于重新评审及投标人瑕疵滞后发现的处理规则</w:t>
      </w:r>
    </w:p>
    <w:p w:rsidR="00BF1E87">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w:t>
      </w:r>
      <w:r>
        <w:rPr>
          <w:rFonts w:hint="eastAsia"/>
        </w:rPr>
        <w:t>畸</w:t>
      </w:r>
      <w:r>
        <w:rPr>
          <w:rFonts w:hint="eastAsia"/>
        </w:rPr>
        <w:t>低</w:t>
      </w:r>
      <w:r>
        <w:rPr>
          <w:rFonts w:hint="eastAsia"/>
        </w:rPr>
        <w:t>的情形除外。如以上情形之一在签署评审报告前发现，评标委员会应当</w:t>
      </w:r>
      <w:r>
        <w:rPr>
          <w:rFonts w:hint="eastAsia"/>
        </w:rPr>
        <w:t>场修改</w:t>
      </w:r>
      <w:r>
        <w:rPr>
          <w:rFonts w:hint="eastAsia"/>
        </w:rPr>
        <w:t>评审结果，并在评审报告中记载；如以上情形之一在签署评审报告后发现，采购中心将组织原评标委员会进行重新评审，重新评审改变评审结果的，采购中心将书面报告政府采购监管部门。</w:t>
      </w:r>
    </w:p>
    <w:p w:rsidR="00BF1E87">
      <w:pPr>
        <w:pStyle w:val="10"/>
        <w:numPr>
          <w:ilvl w:val="0"/>
          <w:numId w:val="0"/>
        </w:numPr>
        <w:tabs>
          <w:tab w:val="left" w:pos="709"/>
          <w:tab w:val="left" w:pos="1573"/>
        </w:tabs>
        <w:adjustRightInd w:val="0"/>
        <w:snapToGrid w:val="0"/>
        <w:spacing w:line="360" w:lineRule="auto"/>
        <w:ind w:firstLine="412" w:firstLineChars="196"/>
      </w:pPr>
      <w:r>
        <w:rPr>
          <w:rFonts w:hint="eastAsia"/>
        </w:rPr>
        <w:t>1.31.2</w:t>
      </w:r>
      <w:r>
        <w:rPr>
          <w:rFonts w:hint="eastAsia"/>
        </w:rPr>
        <w:t>无论基于何种原因，本应</w:t>
      </w:r>
      <w:r>
        <w:rPr>
          <w:rFonts w:hint="eastAsia"/>
        </w:rPr>
        <w:t>作拒绝</w:t>
      </w:r>
      <w:r>
        <w:rPr>
          <w:rFonts w:hint="eastAsia"/>
        </w:rPr>
        <w:t>处理的情形在评审时未被发现，包括已经签约的情形。一旦在任何时间被发现存在上述情形，则向政府采购监督管理机构反映。</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w:t>
      </w:r>
      <w:r>
        <w:rPr>
          <w:rFonts w:hint="eastAsia"/>
          <w:b/>
          <w:bCs/>
        </w:rPr>
        <w:t>采购项目废标</w:t>
      </w:r>
    </w:p>
    <w:p w:rsidR="00BF1E87">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w:t>
      </w:r>
      <w:r>
        <w:rPr>
          <w:rFonts w:hint="eastAsia"/>
        </w:rPr>
        <w:t>废标结果</w:t>
      </w:r>
      <w:r>
        <w:rPr>
          <w:rFonts w:hint="eastAsia"/>
        </w:rPr>
        <w:t>通知所有投标人。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）通过资格审查的投标人不足</w:t>
      </w:r>
      <w:r>
        <w:rPr>
          <w:rFonts w:hint="eastAsia"/>
        </w:rPr>
        <w:t>3</w:t>
      </w:r>
      <w:r>
        <w:rPr>
          <w:rFonts w:hint="eastAsia"/>
        </w:rPr>
        <w:t>家；</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）符合专业条件的投标人或者对招标文件作实质响应的投标人不足</w:t>
      </w:r>
      <w:r>
        <w:rPr>
          <w:rFonts w:hint="eastAsia"/>
        </w:rPr>
        <w:t>3</w:t>
      </w:r>
      <w:r>
        <w:rPr>
          <w:rFonts w:hint="eastAsia"/>
        </w:rPr>
        <w:t>家的；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）出现影响采购公正的违法、违规行为的。</w:t>
      </w:r>
    </w:p>
    <w:p w:rsidR="00BF1E87" w:rsidP="00961793">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w:t>
      </w:r>
      <w:r>
        <w:rPr>
          <w:rFonts w:hint="eastAsia"/>
          <w:b/>
          <w:bCs/>
        </w:rPr>
        <w:t>中标通知</w:t>
      </w:r>
    </w:p>
    <w:p w:rsidR="00BF1E87">
      <w:pPr>
        <w:adjustRightInd w:val="0"/>
        <w:snapToGrid w:val="0"/>
        <w:spacing w:line="360" w:lineRule="auto"/>
        <w:ind w:firstLine="412" w:firstLineChars="196"/>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发布中标公告，公告期限为１个工作日。中标公告内容包括采购人和采购代理机构的名称、地址、联系方式，项目名称和项目编号，中标人名称、地址和中标或者成交金额，主要中标标的</w:t>
      </w:r>
      <w:r>
        <w:rPr>
          <w:rFonts w:ascii="宋体" w:hAnsi="宋体" w:hint="eastAsia"/>
          <w:szCs w:val="21"/>
        </w:rPr>
        <w:t>的</w:t>
      </w:r>
      <w:r>
        <w:rPr>
          <w:rFonts w:ascii="宋体" w:hAnsi="宋体" w:hint="eastAsia"/>
          <w:szCs w:val="21"/>
        </w:rPr>
        <w:t>名称、软件开发内容和要求、服务标准和要</w:t>
      </w:r>
      <w:r>
        <w:rPr>
          <w:rFonts w:ascii="宋体" w:hAnsi="宋体" w:hint="eastAsia"/>
          <w:szCs w:val="21"/>
        </w:rPr>
        <w:t>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1.33.2</w:t>
      </w:r>
      <w:r>
        <w:rPr>
          <w:rFonts w:hint="eastAsia"/>
        </w:rPr>
        <w:t>采购中心对未通过资格审查的投标人，应当告知其未通过的原因；采用综合评分法评审的，还应当告知未中标人本人的评审得分与排序。</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1.33.3</w:t>
      </w:r>
      <w:r>
        <w:rPr>
          <w:rFonts w:hint="eastAsia"/>
        </w:rPr>
        <w:t>中标通知书是合同的组成部分。</w:t>
      </w:r>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w:t>
      </w:r>
      <w:r>
        <w:rPr>
          <w:rFonts w:hint="eastAsia"/>
          <w:b/>
          <w:bCs/>
        </w:rPr>
        <w:t>合同</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1.34.1</w:t>
      </w:r>
      <w:r>
        <w:rPr>
          <w:rFonts w:hint="eastAsia"/>
        </w:rPr>
        <w:t>采购人</w:t>
      </w:r>
      <w:r>
        <w:t>应</w:t>
      </w:r>
      <w:r>
        <w:t>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1.34.2</w:t>
      </w:r>
      <w:r>
        <w:rPr>
          <w:rFonts w:hint="eastAsia"/>
        </w:rPr>
        <w:t>中标合同应按照招标文件、投标文件及评审过程中的有关澄清、说明或者补正文件的内容签订。中标</w:t>
      </w:r>
      <w:r>
        <w:rPr>
          <w:rFonts w:hint="eastAsia"/>
        </w:rPr>
        <w:t>人与采购人不得背离上述文件的实质性内容签订中标合同，也不得背离中标合同的实质性内容签订其他协议或发表声明。</w:t>
      </w:r>
    </w:p>
    <w:p w:rsidR="00BF1E87">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rsidR="00BF1E87">
      <w:pPr>
        <w:tabs>
          <w:tab w:val="left" w:pos="1573"/>
        </w:tabs>
        <w:adjustRightInd w:val="0"/>
        <w:snapToGrid w:val="0"/>
        <w:spacing w:line="360" w:lineRule="auto"/>
        <w:ind w:firstLine="420" w:firstLineChars="20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BF1E87">
      <w:pPr>
        <w:tabs>
          <w:tab w:val="left" w:pos="1573"/>
        </w:tabs>
        <w:adjustRightInd w:val="0"/>
        <w:snapToGrid w:val="0"/>
        <w:spacing w:line="360" w:lineRule="auto"/>
        <w:ind w:firstLine="420" w:firstLineChars="20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rsidR="00BF1E87" w:rsidP="00961793">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w:t>
      </w:r>
      <w:r>
        <w:rPr>
          <w:rFonts w:hint="eastAsia"/>
          <w:b/>
          <w:bCs/>
        </w:rPr>
        <w:t>履约保证金</w:t>
      </w:r>
      <w:bookmarkEnd w:id="4"/>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w:t>
      </w:r>
      <w:r>
        <w:rPr>
          <w:rFonts w:hint="eastAsia"/>
        </w:rPr>
        <w:t>10%</w:t>
      </w:r>
      <w:r>
        <w:rPr>
          <w:rFonts w:hint="eastAsia"/>
        </w:rPr>
        <w:t>的履约保证金，具体见</w:t>
      </w:r>
      <w:r>
        <w:rPr>
          <w:rFonts w:hint="eastAsia"/>
          <w:b/>
        </w:rPr>
        <w:t>第九章采购合同</w:t>
      </w:r>
      <w:r>
        <w:rPr>
          <w:rFonts w:hint="eastAsia"/>
        </w:rPr>
        <w:t>。</w:t>
      </w:r>
    </w:p>
    <w:p w:rsidR="00BF1E87" w:rsidP="00961793">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w:t>
      </w:r>
      <w:r>
        <w:rPr>
          <w:rFonts w:hint="eastAsia"/>
          <w:b/>
          <w:bCs/>
        </w:rPr>
        <w:t>询问</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w:t>
      </w:r>
      <w:r>
        <w:rPr>
          <w:rFonts w:hint="eastAsia"/>
        </w:rPr>
        <w:t>作出</w:t>
      </w:r>
      <w:r>
        <w:rPr>
          <w:rFonts w:hint="eastAsia"/>
        </w:rPr>
        <w:t>答复，但答复的内容不得涉及商业秘密。</w:t>
      </w:r>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w:t>
      </w:r>
      <w:r>
        <w:rPr>
          <w:rFonts w:hint="eastAsia"/>
          <w:b/>
          <w:bCs/>
        </w:rPr>
        <w:t>质疑</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）对招标文件提出质疑且在公告期满之后获得招标文件的，为公告期满之日；</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）对招标文件提出质疑且在公告期满之前获得招标文件的，为获得招标文件</w:t>
      </w:r>
      <w:r>
        <w:rPr>
          <w:rFonts w:hint="eastAsia"/>
        </w:rPr>
        <w:t>之日；</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）对招标过程提出质疑的，为各招标程序环节结束之日；</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）对中标结果提出质疑的，为中标结果公告期满之日。</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1.37.3</w:t>
      </w:r>
      <w:r>
        <w:rPr>
          <w:rFonts w:hint="eastAsia"/>
        </w:rPr>
        <w:t>投标人已经参与投标，并于开标后对招标文件提出质疑的，其质疑应当被视为无效质疑。</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1.37.4</w:t>
      </w:r>
      <w:r>
        <w:rPr>
          <w:rFonts w:hint="eastAsia"/>
        </w:rPr>
        <w:t>质疑应以书面形式向采购人、采购中心提出。提出质疑时</w:t>
      </w:r>
      <w:r>
        <w:t>应当提交质疑函和必要的证明材料。质疑</w:t>
      </w:r>
      <w:r>
        <w:t>函应当</w:t>
      </w:r>
      <w:r>
        <w:t>包括下列内容：</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rsidR="00BF1E87">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1.37.5</w:t>
      </w:r>
      <w:r>
        <w:rPr>
          <w:rFonts w:hint="eastAsia"/>
        </w:rPr>
        <w:t>采购人或采购中心将在收到书面质疑后，将在</w:t>
      </w:r>
      <w:r>
        <w:rPr>
          <w:rFonts w:hint="eastAsia"/>
        </w:rPr>
        <w:t>7</w:t>
      </w:r>
      <w:r>
        <w:rPr>
          <w:rFonts w:hint="eastAsia"/>
        </w:rPr>
        <w:t>个工作日内</w:t>
      </w:r>
      <w:r>
        <w:rPr>
          <w:rFonts w:hint="eastAsia"/>
        </w:rPr>
        <w:t>作出</w:t>
      </w:r>
      <w:r>
        <w:rPr>
          <w:rFonts w:hint="eastAsia"/>
        </w:rPr>
        <w:t>答复或相关处理决定，并以书面形式通知提出质疑的投标人或潜在投标人，以及其他当事方。但答复的内容不涉及商业秘密。</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1.37.6</w:t>
      </w:r>
      <w:r>
        <w:rPr>
          <w:rFonts w:hint="eastAsia"/>
        </w:rPr>
        <w:t>有下列情形之一的，属于无效质疑，采购中心可不予受理：</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）未在有效期限内提出质疑的；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）质疑未以书面形式提出的；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w:t>
      </w:r>
      <w:r>
        <w:rPr>
          <w:rFonts w:hint="eastAsia"/>
        </w:rPr>
        <w:t>质疑函不符合</w:t>
      </w:r>
      <w:r>
        <w:rPr>
          <w:rFonts w:hint="eastAsia"/>
        </w:rPr>
        <w:t>1.37.4</w:t>
      </w:r>
      <w:r>
        <w:rPr>
          <w:rFonts w:hint="eastAsia"/>
        </w:rPr>
        <w:t>要求或财政部规章要求，内容不完整的；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）质疑事项已经进入投诉或者诉讼程序的；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）质疑缺乏事实和法律依据的；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）质疑人捏造事实、提供虚假材料，或在一定期限内多次</w:t>
      </w:r>
      <w:r>
        <w:rPr>
          <w:rFonts w:hint="eastAsia"/>
        </w:rPr>
        <w:t>质疑而无实据的；</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）质疑已处理并答复后，质疑人就已处理并答复的质疑内容再次质疑，且未提供新的有效证据的；</w:t>
      </w:r>
    </w:p>
    <w:p w:rsidR="00BF1E87">
      <w:pPr>
        <w:pStyle w:val="10"/>
        <w:numPr>
          <w:ilvl w:val="0"/>
          <w:numId w:val="0"/>
        </w:numPr>
        <w:tabs>
          <w:tab w:val="left" w:pos="709"/>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rsidR="00BF1E87">
      <w:pPr>
        <w:pStyle w:val="10"/>
        <w:numPr>
          <w:ilvl w:val="0"/>
          <w:numId w:val="0"/>
        </w:numPr>
        <w:tabs>
          <w:tab w:val="left" w:pos="709"/>
          <w:tab w:val="left" w:pos="1573"/>
        </w:tabs>
        <w:adjustRightInd w:val="0"/>
        <w:snapToGrid w:val="0"/>
        <w:spacing w:line="360" w:lineRule="auto"/>
        <w:ind w:firstLine="420" w:firstLineChars="20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采购中心联系方式</w:t>
      </w:r>
      <w:r>
        <w:rPr>
          <w:rFonts w:hint="eastAsia"/>
        </w:rPr>
        <w:t>。</w:t>
      </w:r>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w:t>
      </w:r>
      <w:r>
        <w:rPr>
          <w:rFonts w:hint="eastAsia"/>
          <w:b/>
          <w:bCs/>
        </w:rPr>
        <w:t>投诉</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提出质疑的投标人或潜在投标人对采购人、采购中心的答复不满意，或者采购人、采购中心未在规定的时间内做出答复的</w:t>
      </w:r>
      <w:r>
        <w:rPr>
          <w:rFonts w:hint="eastAsia"/>
        </w:rPr>
        <w:t>，可以在答复期满后</w:t>
      </w:r>
      <w:r>
        <w:rPr>
          <w:rFonts w:hint="eastAsia"/>
        </w:rPr>
        <w:t>15</w:t>
      </w:r>
      <w:r>
        <w:rPr>
          <w:rFonts w:hint="eastAsia"/>
        </w:rPr>
        <w:t>个工作日内依法向政府采购监督管理部门提起投诉。</w:t>
      </w:r>
      <w:bookmarkStart w:id="5" w:name="_Toc520356167"/>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投诉书范本可在中国政府采购网下载。</w:t>
      </w:r>
    </w:p>
    <w:p w:rsidR="00BF1E87" w:rsidP="00961793">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w:t>
      </w:r>
      <w:r>
        <w:rPr>
          <w:rFonts w:hint="eastAsia"/>
          <w:b/>
          <w:bCs/>
        </w:rPr>
        <w:t>保密和披露</w:t>
      </w:r>
    </w:p>
    <w:bookmarkEnd w:id="5"/>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1.39.1</w:t>
      </w:r>
      <w:r>
        <w:rPr>
          <w:rFonts w:hint="eastAsia"/>
        </w:rPr>
        <w:t>投标人自领取招标文件之日起，须履行本招标项目下保密义务，不得将因本次招标获得的信息向第三人外传。</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条规定的情况外，均不得向投标人或其他无关的人员透露。</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1.39.3</w:t>
      </w:r>
      <w:r>
        <w:rPr>
          <w:rFonts w:hint="eastAsia"/>
        </w:rPr>
        <w:t>采购中心有权将投标人提供的所有资料向有关政府部门或评标委员会披露。</w:t>
      </w:r>
    </w:p>
    <w:p w:rsidR="00BF1E87">
      <w:pPr>
        <w:pStyle w:val="10"/>
        <w:numPr>
          <w:ilvl w:val="0"/>
          <w:numId w:val="0"/>
        </w:numPr>
        <w:tabs>
          <w:tab w:val="left" w:pos="709"/>
          <w:tab w:val="left" w:pos="1573"/>
        </w:tabs>
        <w:adjustRightInd w:val="0"/>
        <w:snapToGrid w:val="0"/>
        <w:spacing w:line="360" w:lineRule="auto"/>
        <w:ind w:firstLine="420" w:firstLineChars="20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w:t>
      </w:r>
      <w:r>
        <w:rPr>
          <w:rFonts w:hint="eastAsia"/>
          <w:b/>
          <w:bCs/>
        </w:rPr>
        <w:t xml:space="preserve"> </w:t>
      </w:r>
      <w:r>
        <w:rPr>
          <w:rFonts w:hint="eastAsia"/>
          <w:b/>
          <w:bCs/>
        </w:rPr>
        <w:t>供应商诚信评价</w:t>
      </w:r>
    </w:p>
    <w:p w:rsidR="00BF1E87" w:rsidP="00961793">
      <w:pPr>
        <w:pStyle w:val="10"/>
        <w:numPr>
          <w:ilvl w:val="0"/>
          <w:numId w:val="0"/>
        </w:numPr>
        <w:tabs>
          <w:tab w:val="left" w:pos="709"/>
          <w:tab w:val="left" w:pos="1573"/>
        </w:tabs>
        <w:adjustRightInd w:val="0"/>
        <w:snapToGrid w:val="0"/>
        <w:spacing w:line="360" w:lineRule="auto"/>
        <w:ind w:left="701" w:hanging="281" w:leftChars="200" w:hangingChars="134"/>
        <w:jc w:val="left"/>
        <w:outlineLvl w:val="3"/>
      </w:pPr>
      <w:r>
        <w:rPr>
          <w:rFonts w:hint="eastAsia"/>
          <w:b/>
          <w:bCs/>
        </w:rPr>
        <w:t>1.40</w:t>
      </w:r>
      <w:r>
        <w:rPr>
          <w:rFonts w:hint="eastAsia"/>
          <w:b/>
          <w:bCs/>
        </w:rPr>
        <w:t>供应商诚信评价</w:t>
      </w:r>
    </w:p>
    <w:p w:rsidR="00BF1E87">
      <w:pPr>
        <w:tabs>
          <w:tab w:val="left" w:pos="1573"/>
        </w:tabs>
        <w:adjustRightInd w:val="0"/>
        <w:snapToGrid w:val="0"/>
        <w:spacing w:line="360" w:lineRule="auto"/>
        <w:ind w:firstLine="254" w:firstLineChars="121"/>
        <w:jc w:val="left"/>
        <w:outlineLvl w:val="1"/>
        <w:rPr>
          <w:rFonts w:ascii="宋体" w:hAnsi="宋体"/>
        </w:rPr>
      </w:pPr>
      <w:r>
        <w:rPr>
          <w:rFonts w:ascii="宋体" w:hAnsi="宋体" w:hint="eastAsia"/>
        </w:rPr>
        <w:t>供应商参加本项目招</w:t>
      </w:r>
      <w:r>
        <w:rPr>
          <w:rFonts w:ascii="宋体" w:hAnsi="宋体" w:hint="eastAsia"/>
        </w:rPr>
        <w:t>标采购应遵守相关法律法规</w:t>
      </w:r>
      <w:r>
        <w:rPr>
          <w:rFonts w:ascii="宋体" w:hAnsi="宋体" w:hint="eastAsia"/>
        </w:rPr>
        <w:t>,</w:t>
      </w:r>
      <w:r>
        <w:rPr>
          <w:rFonts w:ascii="宋体" w:hAnsi="宋体" w:hint="eastAsia"/>
        </w:rPr>
        <w:t>如存在违反法律法规的行为和其他不良行为，采购中心将予以记录并作为供应商诚信评价的重要依据。</w:t>
      </w:r>
      <w:r>
        <w:rPr>
          <w:rFonts w:ascii="宋体" w:hAnsi="宋体" w:hint="eastAsia"/>
        </w:rPr>
        <w:t>不</w:t>
      </w:r>
      <w:r>
        <w:rPr>
          <w:rFonts w:ascii="宋体" w:hAnsi="宋体" w:hint="eastAsia"/>
        </w:rPr>
        <w:t>诚信行为可能会对供应</w:t>
      </w:r>
      <w:r>
        <w:rPr>
          <w:rFonts w:ascii="宋体" w:hAnsi="宋体" w:hint="eastAsia"/>
        </w:rPr>
        <w:t>商未来</w:t>
      </w:r>
      <w:r>
        <w:rPr>
          <w:rFonts w:ascii="宋体" w:hAnsi="宋体" w:hint="eastAsia"/>
        </w:rPr>
        <w:t>的采购活动产生不良影响。</w:t>
      </w:r>
    </w:p>
    <w:p w:rsidR="00BF1E87">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w:t>
      </w:r>
      <w:r>
        <w:rPr>
          <w:rFonts w:hint="eastAsia"/>
          <w:b/>
          <w:bCs/>
          <w:sz w:val="30"/>
          <w:szCs w:val="30"/>
        </w:rPr>
        <w:t xml:space="preserve">  </w:t>
      </w:r>
      <w:r>
        <w:rPr>
          <w:rFonts w:hint="eastAsia"/>
          <w:b/>
          <w:bCs/>
          <w:sz w:val="30"/>
          <w:szCs w:val="30"/>
        </w:rPr>
        <w:t>投标文件格式</w:t>
      </w:r>
    </w:p>
    <w:p w:rsidR="00BF1E87">
      <w:pPr>
        <w:pStyle w:val="10"/>
        <w:numPr>
          <w:ilvl w:val="0"/>
          <w:numId w:val="0"/>
        </w:numPr>
        <w:tabs>
          <w:tab w:val="left" w:pos="709"/>
          <w:tab w:val="left" w:pos="1573"/>
        </w:tabs>
        <w:spacing w:line="360" w:lineRule="auto"/>
        <w:ind w:firstLine="420" w:firstLineChars="200"/>
        <w:rPr>
          <w:szCs w:val="44"/>
        </w:rPr>
      </w:pPr>
    </w:p>
    <w:p w:rsidR="00BF1E87">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BF1E87" w:rsidP="00961793">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BF1E87" w:rsidP="00961793">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rsidR="00BF1E87" w:rsidP="00961793">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rsidR="00BF1E87" w:rsidP="00961793">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rsidR="00BF1E87" w:rsidP="00961793">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BF1E87">
      <w:pPr>
        <w:pStyle w:val="10"/>
        <w:numPr>
          <w:ilvl w:val="0"/>
          <w:numId w:val="0"/>
        </w:numPr>
        <w:tabs>
          <w:tab w:val="left" w:pos="709"/>
          <w:tab w:val="left" w:pos="1573"/>
        </w:tabs>
        <w:adjustRightInd w:val="0"/>
        <w:snapToGrid w:val="0"/>
        <w:spacing w:line="360" w:lineRule="auto"/>
        <w:ind w:firstLine="420" w:firstLineChars="200"/>
      </w:pPr>
    </w:p>
    <w:p w:rsidR="00BF1E87">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14:paraId="18AACC27">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14:paraId="0EDC5E45">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14:paraId="07F11E33">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14:paraId="3C9E50A5">
      <w:pPr>
        <w:tabs>
          <w:tab w:val="left" w:pos="5580"/>
        </w:tabs>
        <w:adjustRightInd w:val="0"/>
        <w:snapToGrid w:val="0"/>
        <w:spacing w:line="360" w:lineRule="auto"/>
        <w:jc w:val="center"/>
        <w:rPr>
          <w:rFonts w:ascii="华文楷体" w:eastAsia="华文楷体" w:hAnsi="华文楷体" w:hint="eastAsia"/>
          <w:b/>
          <w:szCs w:val="21"/>
          <w:highlight w:val="none"/>
        </w:rPr>
      </w:pPr>
    </w:p>
    <w:p w14:paraId="5889D503">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14:paraId="748BF8D4">
      <w:pPr>
        <w:widowControl/>
        <w:adjustRightInd w:val="0"/>
        <w:snapToGrid w:val="0"/>
        <w:spacing w:line="360" w:lineRule="auto"/>
        <w:ind w:firstLine="420" w:firstLineChars="200"/>
        <w:jc w:val="left"/>
        <w:rPr>
          <w:rFonts w:ascii="华文楷体" w:eastAsia="华文楷体" w:hAnsi="华文楷体"/>
          <w:szCs w:val="21"/>
          <w:highlight w:val="none"/>
        </w:rPr>
      </w:pPr>
    </w:p>
    <w:p w14:paraId="227E8C91">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14:paraId="2525EE98">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14:paraId="07FC6579">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14:paraId="2EA22B34">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14:paraId="40FCDAC7">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14:paraId="18E2E6F9">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14:paraId="6106DB1C">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14:paraId="405B96E6">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14:paraId="03246715">
      <w:pPr>
        <w:tabs>
          <w:tab w:val="left" w:pos="1573"/>
        </w:tabs>
        <w:adjustRightInd w:val="0"/>
        <w:snapToGrid w:val="0"/>
        <w:spacing w:line="360" w:lineRule="auto"/>
        <w:ind w:firstLine="420" w:firstLineChars="200"/>
        <w:rPr>
          <w:rFonts w:ascii="宋体" w:hAnsi="宋体" w:hint="eastAsia"/>
          <w:szCs w:val="21"/>
          <w:highlight w:val="none"/>
        </w:rPr>
      </w:pPr>
    </w:p>
    <w:p w14:paraId="7AFC7092">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14:paraId="0D462C70">
      <w:pPr>
        <w:tabs>
          <w:tab w:val="left" w:pos="1573"/>
        </w:tabs>
        <w:adjustRightInd w:val="0"/>
        <w:snapToGrid w:val="0"/>
        <w:spacing w:line="360" w:lineRule="auto"/>
        <w:ind w:firstLine="420" w:firstLineChars="200"/>
        <w:rPr>
          <w:rFonts w:ascii="宋体" w:hAnsi="宋体"/>
          <w:bCs/>
          <w:highlight w:val="none"/>
        </w:rPr>
      </w:pPr>
    </w:p>
    <w:p w14:paraId="57259D80">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14:paraId="38C60FD2">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14:paraId="5596A8A9">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14:paraId="112FBAD7">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14:paraId="79FE76B3">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14:paraId="4A527435">
      <w:pPr>
        <w:widowControl/>
        <w:adjustRightInd w:val="0"/>
        <w:snapToGrid w:val="0"/>
        <w:spacing w:line="360" w:lineRule="auto"/>
        <w:ind w:firstLine="420" w:firstLineChars="200"/>
        <w:jc w:val="left"/>
        <w:rPr>
          <w:rFonts w:ascii="华文楷体" w:eastAsia="华文楷体" w:hAnsi="华文楷体"/>
          <w:szCs w:val="21"/>
          <w:highlight w:val="none"/>
        </w:rPr>
      </w:pPr>
    </w:p>
    <w:p w14:paraId="268C5B45">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14:paraId="7395E5BE">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14:paraId="7BF31D8A">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14:paraId="0CC1BFA4">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14:paraId="7F86A063">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14:paraId="05B44B7B">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14:paraId="3406EAC7">
      <w:pPr>
        <w:rPr>
          <w:highlight w:val="none"/>
        </w:rPr>
      </w:pPr>
    </w:p>
    <w:p w14:paraId="0AFEE259">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109503BD">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323EDAF0">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105643F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014CE0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5F89F7E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6807F7F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5F6C3DA7">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25F4B472">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4CBACA4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0AAD5C1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14:paraId="31886D0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14:paraId="0449277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14:paraId="6055A0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14:paraId="7D21088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14:paraId="6F0F067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14:paraId="46756EE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14:paraId="0A71849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14:paraId="0CEAFC8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14:paraId="4EB813D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14:paraId="1C42972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14:paraId="6882296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14:paraId="44B3CEC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EF29EC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F14DB8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65F7794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D708C2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414F877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7933A81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C7842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099F450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03B8A2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0C45AF72">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08FDF3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BECF98D">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0D69294">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4669985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B8B6768">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456B130">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735350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78DE8A62">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070A776">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1B6954B"/>
    <w:p w14:paraId="612CE614">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51BCF789">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AA3847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14:paraId="23CAD66B">
            <w:pPr>
              <w:jc w:val="center"/>
              <w:rPr>
                <w:rFonts w:ascii="Arial" w:eastAsia="黑体" w:hAnsi="Arial" w:cs="Arial"/>
              </w:rPr>
            </w:pPr>
            <w:r>
              <w:rPr>
                <w:rFonts w:ascii="Arial" w:eastAsia="黑体" w:hAnsi="Arial" w:cs="Arial"/>
              </w:rPr>
              <w:t>单位名称</w:t>
            </w:r>
          </w:p>
        </w:tc>
        <w:tc>
          <w:tcPr>
            <w:tcW w:w="4204" w:type="pct"/>
            <w:gridSpan w:val="8"/>
            <w:noWrap w:val="0"/>
            <w:vAlign w:val="top"/>
          </w:tcPr>
          <w:p w14:paraId="51FE5C24">
            <w:pPr>
              <w:ind w:right="-42" w:rightChars="-20"/>
              <w:rPr>
                <w:rFonts w:ascii="Arial" w:hAnsi="Arial" w:cs="Arial"/>
              </w:rPr>
            </w:pPr>
          </w:p>
        </w:tc>
      </w:tr>
      <w:tr w14:paraId="5B40D65F">
        <w:tblPrEx>
          <w:tblW w:w="5000" w:type="pct"/>
          <w:tblInd w:w="0" w:type="dxa"/>
          <w:tblCellMar>
            <w:top w:w="0" w:type="dxa"/>
            <w:left w:w="108" w:type="dxa"/>
            <w:bottom w:w="0" w:type="dxa"/>
            <w:right w:w="108" w:type="dxa"/>
          </w:tblCellMar>
        </w:tblPrEx>
        <w:trPr>
          <w:trHeight w:val="397"/>
        </w:trPr>
        <w:tc>
          <w:tcPr>
            <w:tcW w:w="796" w:type="pct"/>
            <w:noWrap w:val="0"/>
            <w:vAlign w:val="center"/>
          </w:tcPr>
          <w:p w14:paraId="7D6A829B">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14:paraId="46D568C4">
            <w:pPr>
              <w:ind w:right="-42" w:rightChars="-20"/>
              <w:rPr>
                <w:rFonts w:ascii="Arial" w:hAnsi="Arial" w:cs="Arial"/>
              </w:rPr>
            </w:pPr>
          </w:p>
        </w:tc>
      </w:tr>
      <w:tr w14:paraId="7C7B83EC">
        <w:tblPrEx>
          <w:tblW w:w="5000" w:type="pct"/>
          <w:tblInd w:w="0" w:type="dxa"/>
          <w:tblCellMar>
            <w:top w:w="0" w:type="dxa"/>
            <w:left w:w="108" w:type="dxa"/>
            <w:bottom w:w="0" w:type="dxa"/>
            <w:right w:w="108" w:type="dxa"/>
          </w:tblCellMar>
        </w:tblPrEx>
        <w:trPr>
          <w:trHeight w:val="397"/>
        </w:trPr>
        <w:tc>
          <w:tcPr>
            <w:tcW w:w="796" w:type="pct"/>
            <w:noWrap w:val="0"/>
            <w:vAlign w:val="center"/>
          </w:tcPr>
          <w:p w14:paraId="2AC6BA83">
            <w:pPr>
              <w:jc w:val="center"/>
              <w:rPr>
                <w:rFonts w:ascii="Arial" w:eastAsia="黑体" w:hAnsi="Arial" w:cs="Arial"/>
              </w:rPr>
            </w:pPr>
            <w:r>
              <w:rPr>
                <w:rFonts w:ascii="Arial" w:eastAsia="黑体" w:hAnsi="Arial" w:cs="Arial"/>
              </w:rPr>
              <w:t>详细地址</w:t>
            </w:r>
          </w:p>
        </w:tc>
        <w:tc>
          <w:tcPr>
            <w:tcW w:w="4204" w:type="pct"/>
            <w:gridSpan w:val="8"/>
            <w:noWrap w:val="0"/>
            <w:vAlign w:val="top"/>
          </w:tcPr>
          <w:p w14:paraId="7B5B4F48">
            <w:pPr>
              <w:ind w:right="-42" w:rightChars="-20"/>
              <w:rPr>
                <w:rFonts w:ascii="Arial" w:hAnsi="Arial" w:cs="Arial"/>
              </w:rPr>
            </w:pPr>
          </w:p>
        </w:tc>
      </w:tr>
      <w:tr w14:paraId="038C334C">
        <w:tblPrEx>
          <w:tblW w:w="5000" w:type="pct"/>
          <w:tblInd w:w="0" w:type="dxa"/>
          <w:tblCellMar>
            <w:top w:w="0" w:type="dxa"/>
            <w:left w:w="108" w:type="dxa"/>
            <w:bottom w:w="0" w:type="dxa"/>
            <w:right w:w="108" w:type="dxa"/>
          </w:tblCellMar>
        </w:tblPrEx>
        <w:trPr>
          <w:trHeight w:val="397"/>
        </w:trPr>
        <w:tc>
          <w:tcPr>
            <w:tcW w:w="796" w:type="pct"/>
            <w:noWrap w:val="0"/>
            <w:vAlign w:val="center"/>
          </w:tcPr>
          <w:p w14:paraId="4CFD44A3">
            <w:pPr>
              <w:jc w:val="center"/>
              <w:rPr>
                <w:rFonts w:ascii="Arial" w:eastAsia="黑体" w:hAnsi="Arial" w:cs="Arial"/>
              </w:rPr>
            </w:pPr>
            <w:r>
              <w:rPr>
                <w:rFonts w:ascii="Arial" w:eastAsia="黑体" w:hAnsi="Arial" w:cs="Arial"/>
              </w:rPr>
              <w:t>主管部门</w:t>
            </w:r>
          </w:p>
        </w:tc>
        <w:tc>
          <w:tcPr>
            <w:tcW w:w="795" w:type="pct"/>
            <w:gridSpan w:val="2"/>
            <w:noWrap w:val="0"/>
            <w:vAlign w:val="top"/>
          </w:tcPr>
          <w:p w14:paraId="4B0B0A3D">
            <w:pPr>
              <w:ind w:right="-42" w:rightChars="-20"/>
              <w:rPr>
                <w:rFonts w:ascii="Arial" w:hAnsi="Arial" w:cs="Arial"/>
              </w:rPr>
            </w:pPr>
          </w:p>
        </w:tc>
        <w:tc>
          <w:tcPr>
            <w:tcW w:w="795" w:type="pct"/>
            <w:noWrap w:val="0"/>
            <w:vAlign w:val="center"/>
          </w:tcPr>
          <w:p w14:paraId="44335C78">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14:paraId="65493AEF">
            <w:pPr>
              <w:ind w:right="-42" w:rightChars="-20"/>
              <w:jc w:val="center"/>
              <w:rPr>
                <w:rFonts w:ascii="Arial" w:eastAsia="黑体" w:hAnsi="Arial" w:cs="Arial"/>
              </w:rPr>
            </w:pPr>
          </w:p>
        </w:tc>
        <w:tc>
          <w:tcPr>
            <w:tcW w:w="796" w:type="pct"/>
            <w:gridSpan w:val="2"/>
            <w:noWrap w:val="0"/>
            <w:vAlign w:val="center"/>
          </w:tcPr>
          <w:p w14:paraId="55CCDF9C">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14:paraId="4A3161DD">
            <w:pPr>
              <w:ind w:right="-42" w:rightChars="-20"/>
              <w:rPr>
                <w:rFonts w:ascii="Arial" w:hAnsi="Arial" w:cs="Arial"/>
              </w:rPr>
            </w:pPr>
          </w:p>
        </w:tc>
      </w:tr>
      <w:tr w14:paraId="5A72F809">
        <w:tblPrEx>
          <w:tblW w:w="5000" w:type="pct"/>
          <w:tblInd w:w="0" w:type="dxa"/>
          <w:tblCellMar>
            <w:top w:w="0" w:type="dxa"/>
            <w:left w:w="108" w:type="dxa"/>
            <w:bottom w:w="0" w:type="dxa"/>
            <w:right w:w="108" w:type="dxa"/>
          </w:tblCellMar>
        </w:tblPrEx>
        <w:trPr>
          <w:trHeight w:val="397"/>
        </w:trPr>
        <w:tc>
          <w:tcPr>
            <w:tcW w:w="796" w:type="pct"/>
            <w:noWrap w:val="0"/>
            <w:vAlign w:val="center"/>
          </w:tcPr>
          <w:p w14:paraId="2DED2690">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14:paraId="0409E6B3">
            <w:pPr>
              <w:ind w:right="-42" w:rightChars="-20"/>
              <w:rPr>
                <w:rFonts w:ascii="Arial" w:hAnsi="Arial" w:cs="Arial"/>
              </w:rPr>
            </w:pPr>
          </w:p>
        </w:tc>
        <w:tc>
          <w:tcPr>
            <w:tcW w:w="795" w:type="pct"/>
            <w:noWrap w:val="0"/>
            <w:vAlign w:val="center"/>
          </w:tcPr>
          <w:p w14:paraId="78BEC402">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14:paraId="2B2BE277">
            <w:pPr>
              <w:ind w:right="-42" w:rightChars="-20"/>
              <w:jc w:val="center"/>
              <w:rPr>
                <w:rFonts w:ascii="Arial" w:eastAsia="黑体" w:hAnsi="Arial" w:cs="Arial"/>
              </w:rPr>
            </w:pPr>
          </w:p>
        </w:tc>
        <w:tc>
          <w:tcPr>
            <w:tcW w:w="796" w:type="pct"/>
            <w:gridSpan w:val="2"/>
            <w:noWrap w:val="0"/>
            <w:vAlign w:val="center"/>
          </w:tcPr>
          <w:p w14:paraId="1783D767">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14:paraId="06720116">
            <w:pPr>
              <w:ind w:right="-42" w:rightChars="-20"/>
              <w:rPr>
                <w:rFonts w:ascii="Arial" w:hAnsi="Arial" w:cs="Arial"/>
              </w:rPr>
            </w:pPr>
          </w:p>
        </w:tc>
      </w:tr>
      <w:tr w14:paraId="05A7462D">
        <w:tblPrEx>
          <w:tblW w:w="5000" w:type="pct"/>
          <w:tblInd w:w="0" w:type="dxa"/>
          <w:tblCellMar>
            <w:top w:w="0" w:type="dxa"/>
            <w:left w:w="108" w:type="dxa"/>
            <w:bottom w:w="0" w:type="dxa"/>
            <w:right w:w="108" w:type="dxa"/>
          </w:tblCellMar>
        </w:tblPrEx>
        <w:trPr>
          <w:trHeight w:val="397"/>
        </w:trPr>
        <w:tc>
          <w:tcPr>
            <w:tcW w:w="796" w:type="pct"/>
            <w:noWrap w:val="0"/>
            <w:vAlign w:val="center"/>
          </w:tcPr>
          <w:p w14:paraId="532B37F3">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14:paraId="172B3CA1">
            <w:pPr>
              <w:ind w:right="-42" w:rightChars="-20"/>
              <w:rPr>
                <w:rFonts w:ascii="Arial" w:hAnsi="Arial" w:cs="Arial"/>
              </w:rPr>
            </w:pPr>
          </w:p>
        </w:tc>
      </w:tr>
      <w:tr w14:paraId="43FC7C89">
        <w:tblPrEx>
          <w:tblW w:w="5000" w:type="pct"/>
          <w:tblInd w:w="0" w:type="dxa"/>
          <w:tblCellMar>
            <w:top w:w="0" w:type="dxa"/>
            <w:left w:w="108" w:type="dxa"/>
            <w:bottom w:w="0" w:type="dxa"/>
            <w:right w:w="108" w:type="dxa"/>
          </w:tblCellMar>
        </w:tblPrEx>
        <w:trPr>
          <w:trHeight w:val="397"/>
        </w:trPr>
        <w:tc>
          <w:tcPr>
            <w:tcW w:w="796" w:type="pct"/>
            <w:noWrap w:val="0"/>
            <w:vAlign w:val="center"/>
          </w:tcPr>
          <w:p w14:paraId="660A7B95">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14:paraId="05E47171">
            <w:pPr>
              <w:ind w:right="-42" w:rightChars="-20"/>
              <w:rPr>
                <w:rFonts w:ascii="Arial" w:hAnsi="Arial" w:cs="Arial"/>
              </w:rPr>
            </w:pPr>
          </w:p>
        </w:tc>
      </w:tr>
      <w:tr w14:paraId="43F43EC6">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14:paraId="5816E526">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14:paraId="66F52FFD">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14:paraId="4EE94880">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14:paraId="1592F0A3">
            <w:pPr>
              <w:ind w:right="-42" w:rightChars="-20"/>
              <w:rPr>
                <w:rFonts w:ascii="Arial" w:eastAsia="黑体" w:hAnsi="Arial" w:cs="Arial"/>
              </w:rPr>
            </w:pPr>
            <w:r>
              <w:rPr>
                <w:rFonts w:ascii="Arial" w:eastAsia="黑体" w:hAnsi="Arial" w:cs="Arial" w:hint="eastAsia"/>
              </w:rPr>
              <w:t>管理人员     人</w:t>
            </w:r>
          </w:p>
        </w:tc>
      </w:tr>
      <w:tr w14:paraId="63ECA349">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3E65D42B">
            <w:pPr>
              <w:ind w:right="-42" w:rightChars="-20"/>
              <w:jc w:val="center"/>
              <w:rPr>
                <w:rFonts w:ascii="Arial" w:eastAsia="黑体" w:hAnsi="Arial" w:cs="Arial"/>
              </w:rPr>
            </w:pPr>
          </w:p>
        </w:tc>
        <w:tc>
          <w:tcPr>
            <w:tcW w:w="678" w:type="pct"/>
            <w:vMerge/>
            <w:noWrap w:val="0"/>
            <w:vAlign w:val="center"/>
          </w:tcPr>
          <w:p w14:paraId="575D60F3">
            <w:pPr>
              <w:snapToGrid w:val="0"/>
              <w:ind w:right="-42" w:rightChars="-20"/>
              <w:jc w:val="center"/>
              <w:rPr>
                <w:rFonts w:ascii="Arial" w:eastAsia="黑体" w:hAnsi="Arial" w:cs="Arial"/>
              </w:rPr>
            </w:pPr>
          </w:p>
        </w:tc>
        <w:tc>
          <w:tcPr>
            <w:tcW w:w="940" w:type="pct"/>
            <w:gridSpan w:val="3"/>
            <w:vMerge/>
            <w:noWrap w:val="0"/>
            <w:vAlign w:val="center"/>
          </w:tcPr>
          <w:p w14:paraId="1A227ED6">
            <w:pPr>
              <w:snapToGrid w:val="0"/>
              <w:ind w:right="-42" w:rightChars="-20"/>
              <w:jc w:val="center"/>
              <w:rPr>
                <w:rFonts w:ascii="Arial" w:eastAsia="黑体" w:hAnsi="Arial" w:cs="Arial"/>
              </w:rPr>
            </w:pPr>
          </w:p>
        </w:tc>
        <w:tc>
          <w:tcPr>
            <w:tcW w:w="2586" w:type="pct"/>
            <w:gridSpan w:val="4"/>
            <w:noWrap w:val="0"/>
            <w:vAlign w:val="top"/>
          </w:tcPr>
          <w:p w14:paraId="06DB85F9">
            <w:pPr>
              <w:ind w:right="-42" w:rightChars="-20"/>
              <w:rPr>
                <w:rFonts w:ascii="Arial" w:eastAsia="黑体" w:hAnsi="Arial" w:cs="Arial"/>
              </w:rPr>
            </w:pPr>
            <w:r>
              <w:rPr>
                <w:rFonts w:ascii="Arial" w:eastAsia="黑体" w:hAnsi="Arial" w:cs="Arial" w:hint="eastAsia"/>
              </w:rPr>
              <w:t>技术人员     人</w:t>
            </w:r>
          </w:p>
        </w:tc>
      </w:tr>
      <w:tr w14:paraId="6F61DF79">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435B7A29">
            <w:pPr>
              <w:ind w:right="-42" w:rightChars="-20"/>
              <w:jc w:val="center"/>
              <w:rPr>
                <w:rFonts w:ascii="Arial" w:eastAsia="黑体" w:hAnsi="Arial" w:cs="Arial"/>
              </w:rPr>
            </w:pPr>
          </w:p>
        </w:tc>
        <w:tc>
          <w:tcPr>
            <w:tcW w:w="678" w:type="pct"/>
            <w:noWrap w:val="0"/>
            <w:vAlign w:val="center"/>
          </w:tcPr>
          <w:p w14:paraId="0E54E42E">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14:paraId="26B992CB">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14:paraId="11331F90">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14:paraId="784444DC">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14:paraId="0D2B01FF">
            <w:pPr>
              <w:ind w:right="-42" w:rightChars="-20"/>
              <w:jc w:val="center"/>
              <w:rPr>
                <w:rFonts w:ascii="Arial" w:eastAsia="黑体" w:hAnsi="Arial" w:cs="Arial"/>
              </w:rPr>
            </w:pPr>
            <w:r>
              <w:rPr>
                <w:rFonts w:ascii="Arial" w:eastAsia="黑体" w:hAnsi="Arial" w:cs="Arial"/>
              </w:rPr>
              <w:t>技工</w:t>
            </w:r>
          </w:p>
        </w:tc>
      </w:tr>
      <w:tr w14:paraId="5C19CE9E">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23BAC6E9">
            <w:pPr>
              <w:ind w:right="-42" w:rightChars="-20"/>
              <w:jc w:val="center"/>
              <w:rPr>
                <w:rFonts w:ascii="Arial" w:eastAsia="黑体" w:hAnsi="Arial" w:cs="Arial"/>
              </w:rPr>
            </w:pPr>
          </w:p>
        </w:tc>
        <w:tc>
          <w:tcPr>
            <w:tcW w:w="678" w:type="pct"/>
            <w:noWrap w:val="0"/>
            <w:vAlign w:val="center"/>
          </w:tcPr>
          <w:p w14:paraId="639D2688">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14:paraId="36BA7997">
            <w:pPr>
              <w:snapToGrid w:val="0"/>
              <w:ind w:right="-42" w:rightChars="-20"/>
              <w:rPr>
                <w:rFonts w:ascii="Arial" w:eastAsia="黑体" w:hAnsi="Arial" w:cs="Arial"/>
              </w:rPr>
            </w:pPr>
          </w:p>
        </w:tc>
        <w:tc>
          <w:tcPr>
            <w:tcW w:w="806" w:type="pct"/>
            <w:gridSpan w:val="2"/>
            <w:noWrap w:val="0"/>
            <w:vAlign w:val="top"/>
          </w:tcPr>
          <w:p w14:paraId="70CF2E82">
            <w:pPr>
              <w:ind w:right="-42" w:rightChars="-20"/>
              <w:rPr>
                <w:rFonts w:ascii="Arial" w:eastAsia="黑体" w:hAnsi="Arial" w:cs="Arial"/>
              </w:rPr>
            </w:pPr>
          </w:p>
        </w:tc>
        <w:tc>
          <w:tcPr>
            <w:tcW w:w="757" w:type="pct"/>
            <w:noWrap w:val="0"/>
            <w:vAlign w:val="top"/>
          </w:tcPr>
          <w:p w14:paraId="36D30C7F">
            <w:pPr>
              <w:ind w:right="-42" w:rightChars="-20"/>
              <w:rPr>
                <w:rFonts w:ascii="Arial" w:eastAsia="黑体" w:hAnsi="Arial" w:cs="Arial"/>
              </w:rPr>
            </w:pPr>
          </w:p>
        </w:tc>
        <w:tc>
          <w:tcPr>
            <w:tcW w:w="1023" w:type="pct"/>
            <w:noWrap w:val="0"/>
            <w:vAlign w:val="top"/>
          </w:tcPr>
          <w:p w14:paraId="754235D6">
            <w:pPr>
              <w:ind w:right="-42" w:rightChars="-20"/>
              <w:rPr>
                <w:rFonts w:ascii="Arial" w:eastAsia="黑体" w:hAnsi="Arial" w:cs="Arial"/>
              </w:rPr>
            </w:pPr>
          </w:p>
        </w:tc>
      </w:tr>
      <w:tr w14:paraId="6C4DC9B8">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6DA836A6">
            <w:pPr>
              <w:ind w:right="-42" w:rightChars="-20"/>
              <w:jc w:val="center"/>
              <w:rPr>
                <w:rFonts w:ascii="Arial" w:eastAsia="黑体" w:hAnsi="Arial" w:cs="Arial"/>
              </w:rPr>
            </w:pPr>
          </w:p>
        </w:tc>
        <w:tc>
          <w:tcPr>
            <w:tcW w:w="678" w:type="pct"/>
            <w:vMerge w:val="restart"/>
            <w:noWrap w:val="0"/>
            <w:vAlign w:val="center"/>
          </w:tcPr>
          <w:p w14:paraId="779E0000">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14:paraId="0C10D7EB">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14:paraId="5C39BD5C">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14:paraId="057F0C52">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14:paraId="0C29A727">
            <w:pPr>
              <w:ind w:right="-42" w:firstLine="840" w:rightChars="-20" w:firstLineChars="400"/>
              <w:rPr>
                <w:rFonts w:ascii="Arial" w:eastAsia="黑体" w:hAnsi="Arial" w:cs="Arial"/>
              </w:rPr>
            </w:pPr>
            <w:r>
              <w:rPr>
                <w:rFonts w:ascii="Arial" w:eastAsia="黑体" w:hAnsi="Arial" w:cs="Arial"/>
              </w:rPr>
              <w:t>万元</w:t>
            </w:r>
          </w:p>
        </w:tc>
      </w:tr>
      <w:tr w14:paraId="76294BC7">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490FD111">
            <w:pPr>
              <w:ind w:right="-42" w:rightChars="-20"/>
              <w:jc w:val="center"/>
              <w:rPr>
                <w:rFonts w:ascii="Arial" w:eastAsia="黑体" w:hAnsi="Arial" w:cs="Arial"/>
              </w:rPr>
            </w:pPr>
          </w:p>
        </w:tc>
        <w:tc>
          <w:tcPr>
            <w:tcW w:w="678" w:type="pct"/>
            <w:vMerge/>
            <w:noWrap w:val="0"/>
            <w:vAlign w:val="center"/>
          </w:tcPr>
          <w:p w14:paraId="1266C3D3">
            <w:pPr>
              <w:snapToGrid w:val="0"/>
              <w:ind w:right="-42" w:rightChars="-20"/>
              <w:rPr>
                <w:rFonts w:ascii="Arial" w:eastAsia="黑体" w:hAnsi="Arial" w:cs="Arial"/>
              </w:rPr>
            </w:pPr>
          </w:p>
        </w:tc>
        <w:tc>
          <w:tcPr>
            <w:tcW w:w="940" w:type="pct"/>
            <w:gridSpan w:val="3"/>
            <w:vMerge/>
            <w:noWrap w:val="0"/>
            <w:vAlign w:val="center"/>
          </w:tcPr>
          <w:p w14:paraId="18B16E56">
            <w:pPr>
              <w:snapToGrid w:val="0"/>
              <w:ind w:right="-42" w:rightChars="-20"/>
              <w:rPr>
                <w:rFonts w:ascii="Arial" w:eastAsia="黑体" w:hAnsi="Arial" w:cs="Arial"/>
              </w:rPr>
            </w:pPr>
          </w:p>
        </w:tc>
        <w:tc>
          <w:tcPr>
            <w:tcW w:w="806" w:type="pct"/>
            <w:gridSpan w:val="2"/>
            <w:vMerge/>
            <w:noWrap w:val="0"/>
            <w:vAlign w:val="center"/>
          </w:tcPr>
          <w:p w14:paraId="21C00434">
            <w:pPr>
              <w:ind w:right="-42" w:rightChars="-20"/>
              <w:jc w:val="center"/>
              <w:rPr>
                <w:rFonts w:ascii="Arial" w:eastAsia="黑体" w:hAnsi="Arial" w:cs="Arial"/>
              </w:rPr>
            </w:pPr>
          </w:p>
        </w:tc>
        <w:tc>
          <w:tcPr>
            <w:tcW w:w="757" w:type="pct"/>
            <w:noWrap w:val="0"/>
            <w:vAlign w:val="center"/>
          </w:tcPr>
          <w:p w14:paraId="37231246">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14:paraId="11B4C771">
            <w:pPr>
              <w:ind w:right="-42" w:firstLine="840" w:rightChars="-20" w:firstLineChars="400"/>
              <w:rPr>
                <w:rFonts w:ascii="Arial" w:eastAsia="黑体" w:hAnsi="Arial" w:cs="Arial"/>
              </w:rPr>
            </w:pPr>
            <w:r>
              <w:rPr>
                <w:rFonts w:ascii="Arial" w:eastAsia="黑体" w:hAnsi="Arial" w:cs="Arial"/>
              </w:rPr>
              <w:t>万元</w:t>
            </w:r>
          </w:p>
        </w:tc>
      </w:tr>
      <w:tr w14:paraId="3B0CA999">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18B91C60">
            <w:pPr>
              <w:ind w:right="-42" w:rightChars="-20"/>
              <w:jc w:val="center"/>
              <w:rPr>
                <w:rFonts w:ascii="Arial" w:eastAsia="黑体" w:hAnsi="Arial" w:cs="Arial"/>
              </w:rPr>
            </w:pPr>
          </w:p>
        </w:tc>
        <w:tc>
          <w:tcPr>
            <w:tcW w:w="678" w:type="pct"/>
            <w:noWrap w:val="0"/>
            <w:vAlign w:val="center"/>
          </w:tcPr>
          <w:p w14:paraId="6DAB112D">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14:paraId="1062CADA">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14:paraId="2AC0EA45">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14:paraId="3E3C76E3">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14:paraId="4E0D6153">
            <w:pPr>
              <w:ind w:right="-42" w:firstLine="840" w:rightChars="-20" w:firstLineChars="400"/>
              <w:rPr>
                <w:rFonts w:ascii="Arial" w:eastAsia="黑体" w:hAnsi="Arial" w:cs="Arial"/>
              </w:rPr>
            </w:pPr>
            <w:r>
              <w:rPr>
                <w:rFonts w:ascii="Arial" w:eastAsia="黑体" w:hAnsi="Arial" w:cs="Arial"/>
              </w:rPr>
              <w:t>万元</w:t>
            </w:r>
          </w:p>
        </w:tc>
      </w:tr>
      <w:tr w14:paraId="69224EA0">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14:paraId="08EFF52A">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14:paraId="31209A27">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14:paraId="2A9185C6">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14:paraId="5DA95C71">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14:paraId="2F50BF7C">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14:paraId="7F6273F6">
            <w:pPr>
              <w:ind w:right="-42" w:rightChars="-20"/>
              <w:jc w:val="center"/>
              <w:rPr>
                <w:rFonts w:ascii="Arial" w:eastAsia="黑体" w:hAnsi="Arial" w:cs="Arial"/>
              </w:rPr>
            </w:pPr>
            <w:r>
              <w:rPr>
                <w:rFonts w:ascii="Arial" w:eastAsia="黑体" w:hAnsi="Arial" w:cs="Arial"/>
              </w:rPr>
              <w:t>负债总额</w:t>
            </w:r>
          </w:p>
        </w:tc>
      </w:tr>
      <w:tr w14:paraId="0C1CD592">
        <w:tblPrEx>
          <w:tblW w:w="5000" w:type="pct"/>
          <w:tblInd w:w="0" w:type="dxa"/>
          <w:tblCellMar>
            <w:top w:w="0" w:type="dxa"/>
            <w:left w:w="108" w:type="dxa"/>
            <w:bottom w:w="0" w:type="dxa"/>
            <w:right w:w="108" w:type="dxa"/>
          </w:tblCellMar>
        </w:tblPrEx>
        <w:trPr>
          <w:trHeight w:val="397"/>
        </w:trPr>
        <w:tc>
          <w:tcPr>
            <w:tcW w:w="796" w:type="pct"/>
            <w:vMerge/>
            <w:noWrap w:val="0"/>
            <w:vAlign w:val="center"/>
          </w:tcPr>
          <w:p w14:paraId="4469FB25">
            <w:pPr>
              <w:ind w:right="-42" w:rightChars="-20"/>
              <w:jc w:val="center"/>
              <w:rPr>
                <w:rFonts w:ascii="Arial" w:eastAsia="黑体" w:hAnsi="Arial" w:cs="Arial"/>
              </w:rPr>
            </w:pPr>
          </w:p>
        </w:tc>
        <w:tc>
          <w:tcPr>
            <w:tcW w:w="678" w:type="pct"/>
            <w:noWrap w:val="0"/>
            <w:vAlign w:val="center"/>
          </w:tcPr>
          <w:p w14:paraId="4DE1BDCD">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14:paraId="37F15CD2">
            <w:pPr>
              <w:snapToGrid w:val="0"/>
              <w:ind w:right="-42" w:rightChars="-20"/>
              <w:rPr>
                <w:rFonts w:ascii="Arial" w:eastAsia="黑体" w:hAnsi="Arial" w:cs="Arial"/>
              </w:rPr>
            </w:pPr>
          </w:p>
        </w:tc>
        <w:tc>
          <w:tcPr>
            <w:tcW w:w="806" w:type="pct"/>
            <w:gridSpan w:val="2"/>
            <w:noWrap w:val="0"/>
            <w:vAlign w:val="center"/>
          </w:tcPr>
          <w:p w14:paraId="15A75FF0">
            <w:pPr>
              <w:ind w:right="-42" w:rightChars="-20"/>
              <w:rPr>
                <w:rFonts w:ascii="Arial" w:eastAsia="黑体" w:hAnsi="Arial" w:cs="Arial"/>
              </w:rPr>
            </w:pPr>
          </w:p>
        </w:tc>
        <w:tc>
          <w:tcPr>
            <w:tcW w:w="757" w:type="pct"/>
            <w:noWrap w:val="0"/>
            <w:vAlign w:val="center"/>
          </w:tcPr>
          <w:p w14:paraId="0742FFC6">
            <w:pPr>
              <w:ind w:right="-42" w:rightChars="-20"/>
              <w:rPr>
                <w:rFonts w:ascii="Arial" w:eastAsia="黑体" w:hAnsi="Arial" w:cs="Arial"/>
              </w:rPr>
            </w:pPr>
          </w:p>
        </w:tc>
        <w:tc>
          <w:tcPr>
            <w:tcW w:w="1023" w:type="pct"/>
            <w:noWrap w:val="0"/>
            <w:vAlign w:val="center"/>
          </w:tcPr>
          <w:p w14:paraId="407A1918">
            <w:pPr>
              <w:ind w:right="-42" w:rightChars="-20"/>
              <w:rPr>
                <w:rFonts w:ascii="Arial" w:eastAsia="黑体" w:hAnsi="Arial" w:cs="Arial"/>
              </w:rPr>
            </w:pPr>
          </w:p>
        </w:tc>
      </w:tr>
    </w:tbl>
    <w:p w14:paraId="3A76B624">
      <w:pPr>
        <w:tabs>
          <w:tab w:val="left" w:pos="5580"/>
        </w:tabs>
        <w:adjustRightInd w:val="0"/>
        <w:snapToGrid w:val="0"/>
        <w:spacing w:line="360" w:lineRule="auto"/>
        <w:jc w:val="center"/>
        <w:rPr>
          <w:rFonts w:ascii="宋体" w:hAnsi="宋体"/>
          <w:szCs w:val="21"/>
        </w:rPr>
      </w:pPr>
    </w:p>
    <w:p w14:paraId="41197C10">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14:paraId="127A1BF0">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4F73B71"/>
    <w:p w14:paraId="315069EF">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14:paraId="5EF428A0">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14:paraId="37085884">
      <w:pPr>
        <w:tabs>
          <w:tab w:val="left" w:pos="1573"/>
        </w:tabs>
        <w:adjustRightInd w:val="0"/>
        <w:snapToGrid w:val="0"/>
        <w:spacing w:line="360" w:lineRule="auto"/>
        <w:ind w:firstLine="412" w:firstLineChars="196"/>
        <w:rPr>
          <w:rFonts w:ascii="宋体" w:hAnsi="宋体"/>
          <w:szCs w:val="21"/>
        </w:rPr>
      </w:pPr>
    </w:p>
    <w:p w14:paraId="02F31214">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14:paraId="4BF7C767">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E9EE2C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14:paraId="016698DA">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14:paraId="7006306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14:paraId="45457690">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14:paraId="1576146E">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14:paraId="59E9DC96">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14:paraId="1FCD5468">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14:paraId="16D4770C">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14:paraId="4AC04B76">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14:paraId="69317A98">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14:paraId="7787B1B4">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14:paraId="2A5E46F1">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14:paraId="067B1E4D">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14:paraId="17E00DEB">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14:paraId="1EAABAF9">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14:paraId="3E876A94">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14:paraId="09D8F536">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14:paraId="1A62F45C">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14:paraId="0488CC8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14:paraId="3F78FB2A">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14:paraId="58ED1713">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14:paraId="6E58482C">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14:paraId="44BF3866">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14:paraId="7E51F617">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14:paraId="0533732A"/>
    <w:p w14:paraId="489628F1">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14:paraId="3F03807B">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14:paraId="046246A7">
      <w:pPr>
        <w:tabs>
          <w:tab w:val="left" w:pos="1573"/>
        </w:tabs>
        <w:adjustRightInd w:val="0"/>
        <w:snapToGrid w:val="0"/>
        <w:spacing w:line="360" w:lineRule="auto"/>
        <w:ind w:firstLine="422"/>
        <w:jc w:val="left"/>
        <w:rPr>
          <w:rFonts w:ascii="宋体" w:eastAsia="宋体" w:hAnsi="宋体" w:cs="Times New Roman" w:hint="eastAsia"/>
          <w:b/>
          <w:szCs w:val="21"/>
        </w:rPr>
      </w:pPr>
    </w:p>
    <w:p w14:paraId="40FFA756">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14:paraId="0A699D04">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2B4B0459">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14:paraId="3ED4462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14:paraId="5EAEBC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14:paraId="5838825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14:paraId="39D3615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14:paraId="27EDBB0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14:paraId="7E6914D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E01182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3E5A2E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14:paraId="60A64AB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14:paraId="621701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14:paraId="3A0B40C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14:paraId="59F7A36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14:paraId="1393B3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2D63D406">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1BAFE9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14:paraId="104FF77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14:paraId="3170D39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14:paraId="3323080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14:paraId="18BACF4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14:paraId="3AB6BFC9">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641841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4D93A5D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14:paraId="1CBAD7A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6E9CC51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2B7F05C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30B986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79349DC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422181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6B14A1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14:paraId="63DF354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697AF9A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675FD94D">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58F3D9E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6705322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53784E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745BF42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14:paraId="170FF3E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319906B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5BC7A8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531FB83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01420E1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0A8E95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7B91F9C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33935AB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22A10D9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09F799A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2C5D99A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635F752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30C86A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53284DC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14:paraId="1516D01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14:paraId="286ABB1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14:paraId="7A584CF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14:paraId="6608885E">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14:paraId="4470C16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1E83668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348600E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14:paraId="3F4F997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25B79D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5028B3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5A08601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63C881D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4CDC53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7A9C8E2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14:paraId="08B70DB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05D1D9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3D5EE600">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7919176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76696AC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48C6AE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336CB69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14:paraId="41F6D13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169E7E9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1EFDBB7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6C871A3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787F269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E4A6F6A">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6695161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08D2B60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75A79E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7FDA7AD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14:paraId="000FE86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14:paraId="5878C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CB076D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55021E9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14:paraId="1BA76DA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14:paraId="598D5C7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14:paraId="105836C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14:paraId="47F7B13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14:paraId="68C27F75">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DFCFD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3338DAE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14:paraId="56CFB7C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583522E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4F462D2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402C153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14:paraId="4DABAAC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E89BCA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0050CB3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14:paraId="2AC758C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0BB2FDA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0F24525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745594E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14:paraId="52AC23C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F206F0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7DCCD62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14:paraId="77685D6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230839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72071EE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57B4BD4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14:paraId="4A3D3D5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A56F007">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14:paraId="288ABC3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443767D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14:paraId="1E8163D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14:paraId="1CF9543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14:paraId="7389BBD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14:paraId="0709D3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2B00718D">
      <w:pPr>
        <w:tabs>
          <w:tab w:val="left" w:pos="1573"/>
        </w:tabs>
        <w:adjustRightInd w:val="0"/>
        <w:snapToGrid w:val="0"/>
        <w:spacing w:line="360" w:lineRule="auto"/>
        <w:ind w:left="1573" w:hanging="1573" w:hangingChars="749"/>
        <w:rPr>
          <w:rFonts w:ascii="宋体" w:eastAsia="宋体" w:hAnsi="宋体" w:cs="Times New Roman" w:hint="eastAsia"/>
          <w:szCs w:val="21"/>
        </w:rPr>
      </w:pPr>
    </w:p>
    <w:p w14:paraId="03601190"/>
    <w:p w14:paraId="7ACFF6D8">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978DE9">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14:paraId="6C81F1E8">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14:paraId="1CFCDAFC">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14:paraId="3E162B0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039800C4">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14:paraId="41A51E3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FB9074">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14:paraId="2DB9D389">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41D00EA3">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14:paraId="42640A01">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14:paraId="45AB76FA">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765D4E2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602F138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5F8E8E7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5B9E3191">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8E94921">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CE79537">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E1388BE">
      <w:pPr>
        <w:adjustRightInd w:val="0"/>
        <w:snapToGrid w:val="0"/>
        <w:spacing w:line="360" w:lineRule="auto"/>
        <w:ind w:firstLine="412" w:firstLineChars="196"/>
        <w:rPr>
          <w:rFonts w:ascii="Times New Roman" w:eastAsia="宋体" w:hAnsi="Times New Roman" w:cs="Times New Roman"/>
          <w:szCs w:val="20"/>
          <w:highlight w:val="none"/>
        </w:rPr>
      </w:pPr>
    </w:p>
    <w:p w14:paraId="1174E6AE">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14:paraId="07A0C951">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6E8DC132">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14:paraId="49BAC8EF">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14:paraId="688FEB4A">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002682C8">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14:paraId="5994FE48">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14:paraId="059D91A2">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14:paraId="4C0CFB32">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14:paraId="6778CDD5">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14:paraId="430C6EC3">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729570CA">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730BA24A">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3AA9697">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14:paraId="232EAF0B">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14:paraId="37F6B495">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14:paraId="345C92FF">
      <w:pPr>
        <w:adjustRightInd w:val="0"/>
        <w:snapToGrid w:val="0"/>
        <w:spacing w:line="360" w:lineRule="auto"/>
        <w:ind w:firstLine="412" w:firstLineChars="196"/>
        <w:rPr>
          <w:rFonts w:ascii="宋体" w:eastAsia="宋体" w:hAnsi="宋体" w:cs="Times New Roman" w:hint="eastAsia"/>
          <w:szCs w:val="20"/>
          <w:highlight w:val="none"/>
        </w:rPr>
      </w:pPr>
    </w:p>
    <w:p w14:paraId="4B24D0CA">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14:paraId="494C3ADE">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14:paraId="1A3970AB">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14:paraId="26E902D2">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14:paraId="5CCB5CDE">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14:paraId="4E09B156">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0839A86E">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14:paraId="16EFAFCB">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14:paraId="286C784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14:paraId="169FEF52">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14:paraId="7F5335EF">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5A96184E">
      <w:pPr>
        <w:adjustRightInd w:val="0"/>
        <w:snapToGrid w:val="0"/>
        <w:spacing w:line="360" w:lineRule="auto"/>
        <w:ind w:firstLine="412" w:firstLineChars="196"/>
        <w:rPr>
          <w:rFonts w:ascii="宋体" w:eastAsia="宋体" w:hAnsi="宋体" w:cs="Times New Roman"/>
          <w:szCs w:val="20"/>
          <w:highlight w:val="none"/>
        </w:rPr>
      </w:pPr>
    </w:p>
    <w:p w14:paraId="5DEC90A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10D1B8DA">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39667584">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5A19F88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280780B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079906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47383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33C1096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3A431B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39B94855">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7299965E">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43D3A888">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0C262E8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49D510E2">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14:paraId="0A1383F0">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14:paraId="390CE955">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42EF54D9">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5FADD0E3">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14:paraId="29100D50">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14:paraId="35513BB0">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14:paraId="47C036A1">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14:paraId="204E7A6F">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14:paraId="419CA2F1">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14:paraId="71266D60">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14:paraId="0FA9161C">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14:paraId="74C5FA3D">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14:paraId="21A6E7B5">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02181B87">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14:paraId="5D1C8203">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14:paraId="3CFCF264">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14:paraId="16586450">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AFAA361">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78F7F200">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4FF6EEF">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0A64770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4D1363F">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76EA5A3F">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14:paraId="253EC784">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14:paraId="74737224">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14:paraId="5EC02F7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267D4C5">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14:paraId="4C1334AB">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0E5E71E4">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0B747875">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14:paraId="60163E8C">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18F9A56F">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26AEC40A">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8EE94A4">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208DACC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24D5B9B9">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2FBA593B">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14:paraId="3BE29F0A">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14:paraId="61045840">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14:paraId="5BCA930B">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27B8DC4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155BE38">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6B56E4AD">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771344C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3537DB2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26E8C65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585FC0F3">
      <w:pPr>
        <w:spacing w:line="360" w:lineRule="auto"/>
        <w:ind w:firstLine="420" w:firstLineChars="200"/>
        <w:rPr>
          <w:rFonts w:ascii="华文楷体" w:eastAsia="华文楷体" w:hAnsi="华文楷体" w:cs="仿宋_GB2312"/>
          <w:szCs w:val="21"/>
          <w:highlight w:val="none"/>
        </w:rPr>
      </w:pPr>
    </w:p>
    <w:p w14:paraId="243D3315">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694BD9F1">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14:paraId="3E3EAB5B">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706FE5AB">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26C7B27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5C4F0932">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09F8492F">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03C86C57">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14:paraId="2FAF7A22">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548C131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D92D64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3288F33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1CF0DAE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765BBA4E">
      <w:pPr>
        <w:autoSpaceDN w:val="0"/>
        <w:spacing w:line="440" w:lineRule="exact"/>
        <w:ind w:firstLine="420" w:firstLineChars="200"/>
        <w:rPr>
          <w:rFonts w:ascii="华文楷体" w:eastAsia="华文楷体" w:hAnsi="华文楷体" w:cs="仿宋_GB2312" w:hint="eastAsia"/>
          <w:szCs w:val="21"/>
          <w:highlight w:val="none"/>
        </w:rPr>
      </w:pPr>
    </w:p>
    <w:p w14:paraId="0DACE21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520C312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1DF1385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6644DBB9">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2F33F8B8">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3D088CE9">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14:paraId="755847E3">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14:paraId="6C0CDA41">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1FBB06C4">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14:paraId="5D0C8BB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14:paraId="5911AAE8">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14:paraId="28FEA901">
      <w:pPr>
        <w:widowControl w:val="0"/>
        <w:jc w:val="both"/>
        <w:rPr>
          <w:rFonts w:ascii="宋体" w:eastAsia="宋体" w:hAnsi="Courier New" w:cs="Times New Roman"/>
          <w:szCs w:val="21"/>
          <w:highlight w:val="none"/>
        </w:rPr>
      </w:pPr>
    </w:p>
    <w:p w14:paraId="2849B779">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F51F57D">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3CF4102D">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14:paraId="276F0E45">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14:paraId="128EE63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14:paraId="2314EB18">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14:paraId="2648485A">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14:paraId="6A5F0098">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14:paraId="29184118">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14:paraId="0466C10F">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14:paraId="591CE177">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14:paraId="57776F41">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14:paraId="262CA978">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14:paraId="19834AF8">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14:paraId="27A267A0">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14:paraId="746B7684">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14:paraId="5DC31AB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14:paraId="59E89CD4">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14:paraId="06923559">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14:paraId="2CDBBC0D">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14:paraId="4D552327">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14:paraId="35EA34E9">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14:paraId="24747B1E">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14:paraId="30B2F8AB">
      <w:pPr>
        <w:widowControl w:val="0"/>
        <w:adjustRightInd w:val="0"/>
        <w:snapToGrid w:val="0"/>
        <w:spacing w:line="360" w:lineRule="auto"/>
        <w:ind w:firstLine="420" w:firstLineChars="200"/>
        <w:jc w:val="left"/>
        <w:rPr>
          <w:rFonts w:ascii="宋体" w:eastAsia="宋体" w:hAnsi="宋体" w:cs="Times New Roman"/>
          <w:szCs w:val="21"/>
          <w:highlight w:val="none"/>
        </w:rPr>
      </w:pPr>
    </w:p>
    <w:p w14:paraId="16C3C8A7">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14:paraId="20AC3A2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14:paraId="5462A7A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14:paraId="24813D7A">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14:paraId="0C9B6EA9">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14:paraId="7201EF17">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14:paraId="3419AB5D">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14:paraId="3EDD446E">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14:paraId="48F738E0">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14:paraId="01CFD772">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14:paraId="12476386">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14:paraId="7AF735F2">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33DCB607">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14:paraId="0694693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6A05A28">
      <w:pPr>
        <w:rPr>
          <w:highlight w:val="none"/>
        </w:rPr>
      </w:pPr>
    </w:p>
    <w:p w14:paraId="2BA6922B">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14:paraId="0DE55968">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14:paraId="42995990">
      <w:pPr>
        <w:widowControl w:val="0"/>
        <w:adjustRightInd w:val="0"/>
        <w:snapToGrid w:val="0"/>
        <w:spacing w:line="360" w:lineRule="auto"/>
        <w:jc w:val="both"/>
        <w:rPr>
          <w:rFonts w:ascii="宋体" w:eastAsia="宋体" w:hAnsi="Courier New" w:cs="Times New Roman" w:hint="eastAsia"/>
          <w:szCs w:val="21"/>
        </w:rPr>
      </w:pPr>
    </w:p>
    <w:p w14:paraId="76A3435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71B8B2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00E808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5A722B9D">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060C8EE1">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05A56D31">
      <w:pPr>
        <w:widowControl/>
        <w:adjustRightInd w:val="0"/>
        <w:snapToGrid w:val="0"/>
        <w:spacing w:line="360" w:lineRule="auto"/>
        <w:ind w:firstLine="420" w:firstLineChars="200"/>
        <w:jc w:val="left"/>
        <w:rPr>
          <w:rFonts w:ascii="华文楷体" w:eastAsia="华文楷体" w:hAnsi="华文楷体" w:cs="Times New Roman"/>
          <w:szCs w:val="21"/>
        </w:rPr>
      </w:pPr>
    </w:p>
    <w:p w14:paraId="7D5F829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63B5EEA">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F947990">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10A6352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1D7B87D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14:paraId="092DF6C3">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rsidR="00BF1E87">
      <w:pPr>
        <w:adjustRightInd w:val="0"/>
        <w:snapToGrid w:val="0"/>
        <w:spacing w:line="360" w:lineRule="auto"/>
        <w:ind w:firstLine="420"/>
        <w:rPr>
          <w:rFonts w:ascii="宋体" w:hAnsi="宋体"/>
          <w:b/>
          <w:bCs/>
          <w:szCs w:val="44"/>
        </w:rPr>
      </w:pPr>
    </w:p>
    <w:p w:rsidR="00BF1E87">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14:paraId="568BAC32">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14:paraId="3008E9F5">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2DA94AC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0C3525D5">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14:paraId="67114EF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14:paraId="66118F0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A7EF33C">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14:paraId="1CE5CEF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14:paraId="51471010">
            <w:pPr>
              <w:tabs>
                <w:tab w:val="left" w:pos="5580"/>
              </w:tabs>
              <w:adjustRightInd w:val="0"/>
              <w:snapToGrid w:val="0"/>
              <w:spacing w:line="360" w:lineRule="auto"/>
              <w:jc w:val="center"/>
              <w:rPr>
                <w:rFonts w:ascii="华文楷体" w:eastAsia="华文楷体" w:hAnsi="华文楷体" w:cs="Times New Roman"/>
                <w:szCs w:val="21"/>
              </w:rPr>
            </w:pPr>
          </w:p>
        </w:tc>
      </w:tr>
      <w:tr w14:paraId="08437335">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14:paraId="5F6AA86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14:paraId="3526168C">
            <w:pPr>
              <w:tabs>
                <w:tab w:val="left" w:pos="5580"/>
              </w:tabs>
              <w:adjustRightInd w:val="0"/>
              <w:snapToGrid w:val="0"/>
              <w:spacing w:line="360" w:lineRule="auto"/>
              <w:jc w:val="center"/>
              <w:rPr>
                <w:rFonts w:ascii="华文楷体" w:eastAsia="华文楷体" w:hAnsi="华文楷体" w:cs="Times New Roman"/>
                <w:szCs w:val="21"/>
              </w:rPr>
            </w:pPr>
          </w:p>
        </w:tc>
      </w:tr>
    </w:tbl>
    <w:p w14:paraId="7AB1C497">
      <w:pPr>
        <w:adjustRightInd w:val="0"/>
        <w:snapToGrid w:val="0"/>
        <w:spacing w:line="360" w:lineRule="auto"/>
        <w:rPr>
          <w:rFonts w:ascii="华文楷体" w:eastAsia="华文楷体" w:hAnsi="华文楷体" w:cs="Times New Roman"/>
          <w:szCs w:val="21"/>
        </w:rPr>
      </w:pPr>
    </w:p>
    <w:p w14:paraId="5E4AD1C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BE8CAE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872A098">
      <w:pPr>
        <w:tabs>
          <w:tab w:val="left" w:pos="5580"/>
        </w:tabs>
        <w:adjustRightInd w:val="0"/>
        <w:snapToGrid w:val="0"/>
        <w:spacing w:line="360" w:lineRule="auto"/>
        <w:jc w:val="left"/>
        <w:rPr>
          <w:rFonts w:ascii="华文楷体" w:eastAsia="华文楷体" w:hAnsi="华文楷体" w:cs="Times New Roman"/>
          <w:szCs w:val="21"/>
        </w:rPr>
      </w:pPr>
    </w:p>
    <w:p w14:paraId="4D38EF7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2D956397">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2B34F27D">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1E7EE881">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A9F9739">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1AE9F83C"/>
    <w:p w14:paraId="03C78968">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2.17分项报价表</w:t>
      </w:r>
    </w:p>
    <w:p w14:paraId="564B6087">
      <w:pPr>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说明：1、采购内容不含服务的不提供表二，不含货物购置的不提供表三。表一、二、三总价之和应等于开标一览表投标总价。</w:t>
      </w:r>
    </w:p>
    <w:p w14:paraId="458FE2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如果不提供分项报价将视为没有实质性响应招标文件，投标人认为分项报价表格式不符合自身要求，格式可以自拟。</w:t>
      </w:r>
    </w:p>
    <w:p w14:paraId="449BB60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3.投标人如认为还有需要提供的内容可另列表说明，格式自拟。</w:t>
      </w:r>
    </w:p>
    <w:p w14:paraId="5CFD22C3">
      <w:pPr>
        <w:adjustRightInd w:val="0"/>
        <w:snapToGrid w:val="0"/>
        <w:spacing w:line="360" w:lineRule="auto"/>
        <w:jc w:val="center"/>
        <w:rPr>
          <w:rFonts w:ascii="华文楷体" w:eastAsia="华文楷体" w:hAnsi="华文楷体" w:cs="Times New Roman" w:hint="eastAsia"/>
          <w:b/>
          <w:szCs w:val="21"/>
        </w:rPr>
      </w:pPr>
    </w:p>
    <w:p w14:paraId="7FB4926A">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表一、分项报价表——软件开发</w:t>
      </w:r>
    </w:p>
    <w:p w14:paraId="4F6A867E">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13F8BEC1">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14:paraId="3B887759">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noWrap w:val="0"/>
            <w:vAlign w:val="center"/>
          </w:tcPr>
          <w:p w14:paraId="026DB27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noWrap w:val="0"/>
            <w:vAlign w:val="center"/>
          </w:tcPr>
          <w:p w14:paraId="06C5375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noWrap w:val="0"/>
            <w:vAlign w:val="center"/>
          </w:tcPr>
          <w:p w14:paraId="5079D055">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万元/人月</w:t>
            </w:r>
            <w:r>
              <w:rPr>
                <w:rFonts w:ascii="华文楷体" w:eastAsia="华文楷体" w:hAnsi="华文楷体" w:cs="Times New Roman" w:hint="eastAsia"/>
                <w:b/>
                <w:bCs/>
                <w:szCs w:val="21"/>
              </w:rPr>
              <w:t>)</w:t>
            </w:r>
          </w:p>
        </w:tc>
        <w:tc>
          <w:tcPr>
            <w:tcW w:w="700" w:type="pct"/>
            <w:noWrap w:val="0"/>
            <w:vAlign w:val="center"/>
          </w:tcPr>
          <w:p w14:paraId="49B644F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合价</w:t>
            </w:r>
            <w:r>
              <w:rPr>
                <w:rFonts w:ascii="华文楷体" w:eastAsia="华文楷体" w:hAnsi="华文楷体" w:cs="Times New Roman" w:hint="eastAsia"/>
                <w:b/>
                <w:bCs/>
                <w:szCs w:val="21"/>
              </w:rPr>
              <w:t>(</w:t>
            </w:r>
            <w:r>
              <w:rPr>
                <w:rFonts w:ascii="华文楷体" w:eastAsia="华文楷体" w:hAnsi="华文楷体" w:cs="Times New Roman"/>
                <w:b/>
                <w:bCs/>
                <w:szCs w:val="21"/>
              </w:rPr>
              <w:t>万元</w:t>
            </w:r>
            <w:r>
              <w:rPr>
                <w:rFonts w:ascii="华文楷体" w:eastAsia="华文楷体" w:hAnsi="华文楷体" w:cs="Times New Roman" w:hint="eastAsia"/>
                <w:b/>
                <w:bCs/>
                <w:szCs w:val="21"/>
              </w:rPr>
              <w:t>)</w:t>
            </w:r>
          </w:p>
        </w:tc>
      </w:tr>
      <w:tr w14:paraId="4F60E4E5">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14:paraId="2DDAAA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noWrap w:val="0"/>
            <w:vAlign w:val="center"/>
          </w:tcPr>
          <w:p w14:paraId="7AABA9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294A86DB">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03F05AAC">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292B2281">
            <w:pPr>
              <w:adjustRightInd w:val="0"/>
              <w:snapToGrid w:val="0"/>
              <w:spacing w:line="360" w:lineRule="auto"/>
              <w:jc w:val="left"/>
              <w:rPr>
                <w:rFonts w:ascii="华文楷体" w:eastAsia="华文楷体" w:hAnsi="华文楷体" w:cs="Times New Roman"/>
                <w:szCs w:val="21"/>
              </w:rPr>
            </w:pPr>
          </w:p>
        </w:tc>
      </w:tr>
      <w:tr w14:paraId="38453E63">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14:paraId="78083DF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0EF1C4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noWrap w:val="0"/>
            <w:vAlign w:val="center"/>
          </w:tcPr>
          <w:p w14:paraId="19861F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noWrap w:val="0"/>
            <w:vAlign w:val="center"/>
          </w:tcPr>
          <w:p w14:paraId="463EBD6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noWrap w:val="0"/>
            <w:vAlign w:val="center"/>
          </w:tcPr>
          <w:p w14:paraId="58BA98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5E5DC852">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6931B997">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02E16E9F">
            <w:pPr>
              <w:adjustRightInd w:val="0"/>
              <w:snapToGrid w:val="0"/>
              <w:spacing w:line="360" w:lineRule="auto"/>
              <w:jc w:val="left"/>
              <w:rPr>
                <w:rFonts w:ascii="华文楷体" w:eastAsia="华文楷体" w:hAnsi="华文楷体" w:cs="Times New Roman"/>
                <w:szCs w:val="21"/>
              </w:rPr>
            </w:pPr>
          </w:p>
        </w:tc>
      </w:tr>
      <w:tr w14:paraId="281D865C">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67C04D87">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2313E6BC">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646400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noWrap w:val="0"/>
            <w:vAlign w:val="center"/>
          </w:tcPr>
          <w:p w14:paraId="19F176A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40212B76">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4D33C357">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2991A2E5">
            <w:pPr>
              <w:adjustRightInd w:val="0"/>
              <w:snapToGrid w:val="0"/>
              <w:spacing w:line="360" w:lineRule="auto"/>
              <w:jc w:val="left"/>
              <w:rPr>
                <w:rFonts w:ascii="华文楷体" w:eastAsia="华文楷体" w:hAnsi="华文楷体" w:cs="Times New Roman"/>
                <w:szCs w:val="21"/>
              </w:rPr>
            </w:pPr>
          </w:p>
        </w:tc>
      </w:tr>
      <w:tr w14:paraId="3B6A6C08">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63CC2F63">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18560AA8">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01BED04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noWrap w:val="0"/>
            <w:vAlign w:val="center"/>
          </w:tcPr>
          <w:p w14:paraId="51A3BC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7F334356">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529D152F">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37919710">
            <w:pPr>
              <w:adjustRightInd w:val="0"/>
              <w:snapToGrid w:val="0"/>
              <w:spacing w:line="360" w:lineRule="auto"/>
              <w:jc w:val="left"/>
              <w:rPr>
                <w:rFonts w:ascii="华文楷体" w:eastAsia="华文楷体" w:hAnsi="华文楷体" w:cs="Times New Roman"/>
                <w:szCs w:val="21"/>
              </w:rPr>
            </w:pPr>
          </w:p>
        </w:tc>
      </w:tr>
      <w:tr w14:paraId="444FABA4">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4512FE6F">
            <w:pPr>
              <w:adjustRightInd w:val="0"/>
              <w:snapToGrid w:val="0"/>
              <w:spacing w:line="360" w:lineRule="auto"/>
              <w:jc w:val="left"/>
              <w:rPr>
                <w:rFonts w:ascii="华文楷体" w:eastAsia="华文楷体" w:hAnsi="华文楷体" w:cs="Times New Roman"/>
                <w:szCs w:val="21"/>
              </w:rPr>
            </w:pPr>
          </w:p>
        </w:tc>
        <w:tc>
          <w:tcPr>
            <w:tcW w:w="437" w:type="pct"/>
            <w:vMerge w:val="restart"/>
            <w:noWrap w:val="0"/>
            <w:vAlign w:val="center"/>
          </w:tcPr>
          <w:p w14:paraId="44C2D45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noWrap w:val="0"/>
            <w:vAlign w:val="center"/>
          </w:tcPr>
          <w:p w14:paraId="7E1169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noWrap w:val="0"/>
            <w:vAlign w:val="center"/>
          </w:tcPr>
          <w:p w14:paraId="7A1E978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005AE4D7">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68D0B299">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0FEDCAEE">
            <w:pPr>
              <w:adjustRightInd w:val="0"/>
              <w:snapToGrid w:val="0"/>
              <w:spacing w:line="360" w:lineRule="auto"/>
              <w:jc w:val="left"/>
              <w:rPr>
                <w:rFonts w:ascii="华文楷体" w:eastAsia="华文楷体" w:hAnsi="华文楷体" w:cs="Times New Roman"/>
                <w:szCs w:val="21"/>
              </w:rPr>
            </w:pPr>
          </w:p>
        </w:tc>
      </w:tr>
      <w:tr w14:paraId="75B2A2A5">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39F3347B">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06755452">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0686A3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noWrap w:val="0"/>
            <w:vAlign w:val="center"/>
          </w:tcPr>
          <w:p w14:paraId="25A2AA7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0F507140">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2D89CD5B">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0A414AF6">
            <w:pPr>
              <w:adjustRightInd w:val="0"/>
              <w:snapToGrid w:val="0"/>
              <w:spacing w:line="360" w:lineRule="auto"/>
              <w:jc w:val="left"/>
              <w:rPr>
                <w:rFonts w:ascii="华文楷体" w:eastAsia="华文楷体" w:hAnsi="华文楷体" w:cs="Times New Roman"/>
                <w:szCs w:val="21"/>
              </w:rPr>
            </w:pPr>
          </w:p>
        </w:tc>
      </w:tr>
      <w:tr w14:paraId="55AA0BAE">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3C304745">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54937EEF">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3AA1C1E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noWrap w:val="0"/>
            <w:vAlign w:val="center"/>
          </w:tcPr>
          <w:p w14:paraId="70A9BB8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274B3D3C">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4E857F2C">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0FA23013">
            <w:pPr>
              <w:adjustRightInd w:val="0"/>
              <w:snapToGrid w:val="0"/>
              <w:spacing w:line="360" w:lineRule="auto"/>
              <w:jc w:val="left"/>
              <w:rPr>
                <w:rFonts w:ascii="华文楷体" w:eastAsia="华文楷体" w:hAnsi="华文楷体" w:cs="Times New Roman"/>
                <w:szCs w:val="21"/>
              </w:rPr>
            </w:pPr>
          </w:p>
        </w:tc>
      </w:tr>
      <w:tr w14:paraId="620BE70E">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21A2AC79">
            <w:pPr>
              <w:adjustRightInd w:val="0"/>
              <w:snapToGrid w:val="0"/>
              <w:spacing w:line="360" w:lineRule="auto"/>
              <w:jc w:val="left"/>
              <w:rPr>
                <w:rFonts w:ascii="华文楷体" w:eastAsia="华文楷体" w:hAnsi="华文楷体" w:cs="Times New Roman"/>
                <w:szCs w:val="21"/>
              </w:rPr>
            </w:pPr>
          </w:p>
        </w:tc>
        <w:tc>
          <w:tcPr>
            <w:tcW w:w="437" w:type="pct"/>
            <w:vMerge w:val="restart"/>
            <w:noWrap w:val="0"/>
            <w:vAlign w:val="center"/>
          </w:tcPr>
          <w:p w14:paraId="3CE70A9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noWrap w:val="0"/>
            <w:vAlign w:val="center"/>
          </w:tcPr>
          <w:p w14:paraId="0297BBA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noWrap w:val="0"/>
            <w:vAlign w:val="center"/>
          </w:tcPr>
          <w:p w14:paraId="3723A5B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33746A27">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2430ABA6">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6C914607">
            <w:pPr>
              <w:adjustRightInd w:val="0"/>
              <w:snapToGrid w:val="0"/>
              <w:spacing w:line="360" w:lineRule="auto"/>
              <w:jc w:val="left"/>
              <w:rPr>
                <w:rFonts w:ascii="华文楷体" w:eastAsia="华文楷体" w:hAnsi="华文楷体" w:cs="Times New Roman"/>
                <w:szCs w:val="21"/>
              </w:rPr>
            </w:pPr>
          </w:p>
        </w:tc>
      </w:tr>
      <w:tr w14:paraId="095A4220">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1F84AFB8">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62273415">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4EA858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noWrap w:val="0"/>
            <w:vAlign w:val="center"/>
          </w:tcPr>
          <w:p w14:paraId="5DF617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01817B24">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39C0C068">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73199EEC">
            <w:pPr>
              <w:adjustRightInd w:val="0"/>
              <w:snapToGrid w:val="0"/>
              <w:spacing w:line="360" w:lineRule="auto"/>
              <w:jc w:val="left"/>
              <w:rPr>
                <w:rFonts w:ascii="华文楷体" w:eastAsia="华文楷体" w:hAnsi="华文楷体" w:cs="Times New Roman"/>
                <w:szCs w:val="21"/>
              </w:rPr>
            </w:pPr>
          </w:p>
        </w:tc>
      </w:tr>
      <w:tr w14:paraId="4D6D3467">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14:paraId="2BD754F3">
            <w:pPr>
              <w:adjustRightInd w:val="0"/>
              <w:snapToGrid w:val="0"/>
              <w:spacing w:line="360" w:lineRule="auto"/>
              <w:jc w:val="left"/>
              <w:rPr>
                <w:rFonts w:ascii="华文楷体" w:eastAsia="华文楷体" w:hAnsi="华文楷体" w:cs="Times New Roman"/>
                <w:szCs w:val="21"/>
              </w:rPr>
            </w:pPr>
          </w:p>
        </w:tc>
        <w:tc>
          <w:tcPr>
            <w:tcW w:w="437" w:type="pct"/>
            <w:vMerge/>
            <w:noWrap w:val="0"/>
            <w:vAlign w:val="center"/>
          </w:tcPr>
          <w:p w14:paraId="5DB6536A">
            <w:pPr>
              <w:adjustRightInd w:val="0"/>
              <w:snapToGrid w:val="0"/>
              <w:spacing w:line="360" w:lineRule="auto"/>
              <w:jc w:val="left"/>
              <w:rPr>
                <w:rFonts w:ascii="华文楷体" w:eastAsia="华文楷体" w:hAnsi="华文楷体" w:cs="Times New Roman"/>
                <w:szCs w:val="21"/>
              </w:rPr>
            </w:pPr>
          </w:p>
        </w:tc>
        <w:tc>
          <w:tcPr>
            <w:tcW w:w="1022" w:type="pct"/>
            <w:noWrap w:val="0"/>
            <w:vAlign w:val="center"/>
          </w:tcPr>
          <w:p w14:paraId="260559B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noWrap w:val="0"/>
            <w:vAlign w:val="center"/>
          </w:tcPr>
          <w:p w14:paraId="63A5C6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noWrap w:val="0"/>
            <w:vAlign w:val="center"/>
          </w:tcPr>
          <w:p w14:paraId="2E757B9C">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093A7DC8">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62B7B0DF">
            <w:pPr>
              <w:adjustRightInd w:val="0"/>
              <w:snapToGrid w:val="0"/>
              <w:spacing w:line="360" w:lineRule="auto"/>
              <w:jc w:val="left"/>
              <w:rPr>
                <w:rFonts w:ascii="华文楷体" w:eastAsia="华文楷体" w:hAnsi="华文楷体" w:cs="Times New Roman"/>
                <w:szCs w:val="21"/>
              </w:rPr>
            </w:pPr>
          </w:p>
        </w:tc>
      </w:tr>
      <w:tr w14:paraId="3BD8D65F">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14:paraId="4466D11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noWrap w:val="0"/>
            <w:vAlign w:val="center"/>
          </w:tcPr>
          <w:p w14:paraId="42D15D36">
            <w:pPr>
              <w:adjustRightInd w:val="0"/>
              <w:snapToGrid w:val="0"/>
              <w:spacing w:line="360" w:lineRule="auto"/>
              <w:jc w:val="left"/>
              <w:rPr>
                <w:rFonts w:ascii="华文楷体" w:eastAsia="华文楷体" w:hAnsi="华文楷体" w:cs="Times New Roman"/>
                <w:szCs w:val="21"/>
              </w:rPr>
            </w:pPr>
          </w:p>
        </w:tc>
        <w:tc>
          <w:tcPr>
            <w:tcW w:w="629" w:type="pct"/>
            <w:noWrap w:val="0"/>
            <w:vAlign w:val="center"/>
          </w:tcPr>
          <w:p w14:paraId="24CD951A">
            <w:pPr>
              <w:adjustRightInd w:val="0"/>
              <w:snapToGrid w:val="0"/>
              <w:spacing w:line="360" w:lineRule="auto"/>
              <w:jc w:val="left"/>
              <w:rPr>
                <w:rFonts w:ascii="华文楷体" w:eastAsia="华文楷体" w:hAnsi="华文楷体" w:cs="Times New Roman"/>
                <w:szCs w:val="21"/>
              </w:rPr>
            </w:pPr>
          </w:p>
        </w:tc>
        <w:tc>
          <w:tcPr>
            <w:tcW w:w="686" w:type="pct"/>
            <w:noWrap w:val="0"/>
            <w:vAlign w:val="center"/>
          </w:tcPr>
          <w:p w14:paraId="6DC595EE">
            <w:pPr>
              <w:adjustRightInd w:val="0"/>
              <w:snapToGrid w:val="0"/>
              <w:spacing w:line="360" w:lineRule="auto"/>
              <w:jc w:val="left"/>
              <w:rPr>
                <w:rFonts w:ascii="华文楷体" w:eastAsia="华文楷体" w:hAnsi="华文楷体" w:cs="Times New Roman"/>
                <w:szCs w:val="21"/>
              </w:rPr>
            </w:pPr>
          </w:p>
        </w:tc>
        <w:tc>
          <w:tcPr>
            <w:tcW w:w="955" w:type="pct"/>
            <w:noWrap w:val="0"/>
            <w:vAlign w:val="center"/>
          </w:tcPr>
          <w:p w14:paraId="6474CFA4">
            <w:pPr>
              <w:adjustRightInd w:val="0"/>
              <w:snapToGrid w:val="0"/>
              <w:spacing w:line="360" w:lineRule="auto"/>
              <w:jc w:val="left"/>
              <w:rPr>
                <w:rFonts w:ascii="华文楷体" w:eastAsia="华文楷体" w:hAnsi="华文楷体" w:cs="Times New Roman"/>
                <w:szCs w:val="21"/>
              </w:rPr>
            </w:pPr>
          </w:p>
        </w:tc>
        <w:tc>
          <w:tcPr>
            <w:tcW w:w="700" w:type="pct"/>
            <w:noWrap w:val="0"/>
            <w:vAlign w:val="center"/>
          </w:tcPr>
          <w:p w14:paraId="49E95E28">
            <w:pPr>
              <w:adjustRightInd w:val="0"/>
              <w:snapToGrid w:val="0"/>
              <w:spacing w:line="360" w:lineRule="auto"/>
              <w:jc w:val="left"/>
              <w:rPr>
                <w:rFonts w:ascii="华文楷体" w:eastAsia="华文楷体" w:hAnsi="华文楷体" w:cs="Times New Roman"/>
                <w:szCs w:val="21"/>
              </w:rPr>
            </w:pPr>
          </w:p>
        </w:tc>
      </w:tr>
    </w:tbl>
    <w:p w14:paraId="0CD0C2D1">
      <w:pPr>
        <w:adjustRightInd w:val="0"/>
        <w:snapToGrid w:val="0"/>
        <w:spacing w:line="360" w:lineRule="auto"/>
        <w:ind w:firstLine="420" w:firstLineChars="200"/>
        <w:rPr>
          <w:rFonts w:ascii="Times New Roman" w:eastAsia="宋体" w:hAnsi="Times New Roman" w:cs="Times New Roman" w:hint="eastAsia"/>
          <w:b/>
          <w:szCs w:val="20"/>
        </w:rPr>
      </w:pPr>
    </w:p>
    <w:p w14:paraId="2F35C502">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表二、分项报价表——服务内容</w:t>
      </w:r>
    </w:p>
    <w:p w14:paraId="3E344CE5">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DE2FE06">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14:paraId="7CC557A9">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14:paraId="7AB30F9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14:paraId="0E7873E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14:paraId="07FA2B2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14:paraId="1E98BEEE">
            <w:pPr>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14:paraId="2C5B020A">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550955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14DB11E9">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1F3A8647">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659A276A">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690A87F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03EA4FDC">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565A8CE6">
            <w:pPr>
              <w:snapToGrid w:val="0"/>
              <w:spacing w:line="360" w:lineRule="auto"/>
              <w:rPr>
                <w:rFonts w:ascii="华文楷体" w:eastAsia="华文楷体" w:hAnsi="华文楷体" w:cs="Times New Roman"/>
                <w:szCs w:val="21"/>
              </w:rPr>
            </w:pPr>
          </w:p>
        </w:tc>
      </w:tr>
      <w:tr w14:paraId="555B1CD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103C822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40B804B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38030FD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2C58DC1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4D79B5F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1D017C49">
            <w:pPr>
              <w:snapToGrid w:val="0"/>
              <w:spacing w:line="360" w:lineRule="auto"/>
              <w:rPr>
                <w:rFonts w:ascii="华文楷体" w:eastAsia="华文楷体" w:hAnsi="华文楷体" w:cs="Times New Roman"/>
                <w:szCs w:val="21"/>
              </w:rPr>
            </w:pPr>
          </w:p>
        </w:tc>
      </w:tr>
      <w:tr w14:paraId="4906227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449D8BA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645F2C7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1BD6150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6EA4EE0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3019B9B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40CB5D89">
            <w:pPr>
              <w:snapToGrid w:val="0"/>
              <w:spacing w:line="360" w:lineRule="auto"/>
              <w:rPr>
                <w:rFonts w:ascii="华文楷体" w:eastAsia="华文楷体" w:hAnsi="华文楷体" w:cs="Times New Roman"/>
                <w:szCs w:val="21"/>
              </w:rPr>
            </w:pPr>
          </w:p>
        </w:tc>
      </w:tr>
      <w:tr w14:paraId="66D82B2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5ED791AF">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4AE6455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7C8778C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5FB15D0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589ADD3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5122B8D9">
            <w:pPr>
              <w:snapToGrid w:val="0"/>
              <w:spacing w:line="360" w:lineRule="auto"/>
              <w:rPr>
                <w:rFonts w:ascii="华文楷体" w:eastAsia="华文楷体" w:hAnsi="华文楷体" w:cs="Times New Roman"/>
                <w:szCs w:val="21"/>
              </w:rPr>
            </w:pPr>
          </w:p>
        </w:tc>
      </w:tr>
      <w:tr w14:paraId="5A19A950">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14:paraId="68740F7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14:paraId="785D012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14:paraId="124985B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6DE2048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14:paraId="7E4D873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14:paraId="5354A8BF">
            <w:pPr>
              <w:snapToGrid w:val="0"/>
              <w:spacing w:line="360" w:lineRule="auto"/>
              <w:rPr>
                <w:rFonts w:ascii="华文楷体" w:eastAsia="华文楷体" w:hAnsi="华文楷体" w:cs="Times New Roman"/>
                <w:szCs w:val="21"/>
              </w:rPr>
            </w:pPr>
          </w:p>
        </w:tc>
      </w:tr>
      <w:tr w14:paraId="15EE0526">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14:paraId="379D1299">
            <w:pPr>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14:paraId="3F85A1B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61CF42">
      <w:pPr>
        <w:adjustRightInd w:val="0"/>
        <w:snapToGrid w:val="0"/>
        <w:spacing w:line="360" w:lineRule="auto"/>
        <w:rPr>
          <w:rFonts w:ascii="华文楷体" w:eastAsia="华文楷体" w:hAnsi="华文楷体" w:cs="Times New Roman" w:hint="eastAsia"/>
          <w:b/>
          <w:szCs w:val="21"/>
        </w:rPr>
      </w:pPr>
    </w:p>
    <w:p w14:paraId="0F1B8E24">
      <w:pPr>
        <w:adjustRightInd w:val="0"/>
        <w:snapToGrid w:val="0"/>
        <w:spacing w:line="360" w:lineRule="auto"/>
        <w:rPr>
          <w:rFonts w:ascii="华文楷体" w:eastAsia="华文楷体" w:hAnsi="华文楷体" w:cs="Times New Roman" w:hint="eastAsia"/>
          <w:b/>
          <w:szCs w:val="21"/>
        </w:rPr>
      </w:pPr>
    </w:p>
    <w:p w14:paraId="2ECDFF2F">
      <w:pPr>
        <w:adjustRightInd w:val="0"/>
        <w:snapToGrid w:val="0"/>
        <w:spacing w:line="360" w:lineRule="auto"/>
        <w:jc w:val="center"/>
        <w:rPr>
          <w:rFonts w:ascii="华文楷体" w:eastAsia="华文楷体" w:hAnsi="华文楷体" w:cs="Times New Roman" w:hint="eastAsia"/>
          <w:b/>
          <w:szCs w:val="21"/>
        </w:rPr>
      </w:pPr>
    </w:p>
    <w:p w14:paraId="40BB99DB">
      <w:pPr>
        <w:adjustRightInd w:val="0"/>
        <w:snapToGrid w:val="0"/>
        <w:spacing w:line="360" w:lineRule="auto"/>
        <w:jc w:val="center"/>
        <w:rPr>
          <w:rFonts w:ascii="华文楷体" w:eastAsia="华文楷体" w:hAnsi="华文楷体" w:cs="Times New Roman" w:hint="eastAsia"/>
          <w:b/>
          <w:szCs w:val="21"/>
        </w:rPr>
      </w:pPr>
    </w:p>
    <w:p w14:paraId="7EEB77D5">
      <w:pPr>
        <w:adjustRightInd w:val="0"/>
        <w:snapToGrid w:val="0"/>
        <w:spacing w:line="360" w:lineRule="auto"/>
        <w:jc w:val="center"/>
        <w:rPr>
          <w:rFonts w:ascii="华文楷体" w:eastAsia="华文楷体" w:hAnsi="华文楷体" w:cs="Times New Roman" w:hint="eastAsia"/>
          <w:b/>
          <w:szCs w:val="21"/>
        </w:rPr>
      </w:pPr>
    </w:p>
    <w:p w14:paraId="31D2548F">
      <w:pPr>
        <w:adjustRightInd w:val="0"/>
        <w:snapToGrid w:val="0"/>
        <w:spacing w:line="360" w:lineRule="auto"/>
        <w:jc w:val="center"/>
        <w:rPr>
          <w:rFonts w:ascii="华文楷体" w:eastAsia="华文楷体" w:hAnsi="华文楷体" w:cs="Times New Roman" w:hint="eastAsia"/>
          <w:b/>
          <w:szCs w:val="21"/>
        </w:rPr>
      </w:pPr>
    </w:p>
    <w:p w14:paraId="386B29D0">
      <w:pPr>
        <w:adjustRightInd w:val="0"/>
        <w:snapToGrid w:val="0"/>
        <w:spacing w:line="360" w:lineRule="auto"/>
        <w:jc w:val="center"/>
        <w:rPr>
          <w:rFonts w:ascii="华文楷体" w:eastAsia="华文楷体" w:hAnsi="华文楷体" w:cs="Times New Roman" w:hint="eastAsia"/>
          <w:b/>
          <w:szCs w:val="21"/>
        </w:rPr>
      </w:pPr>
    </w:p>
    <w:p w14:paraId="0EBB9905">
      <w:pPr>
        <w:adjustRightInd w:val="0"/>
        <w:snapToGrid w:val="0"/>
        <w:spacing w:line="360" w:lineRule="auto"/>
        <w:jc w:val="center"/>
        <w:rPr>
          <w:rFonts w:ascii="华文楷体" w:eastAsia="华文楷体" w:hAnsi="华文楷体" w:cs="Times New Roman" w:hint="eastAsia"/>
          <w:b/>
          <w:szCs w:val="21"/>
        </w:rPr>
      </w:pPr>
    </w:p>
    <w:p w14:paraId="0C3F0364">
      <w:pPr>
        <w:adjustRightInd w:val="0"/>
        <w:snapToGrid w:val="0"/>
        <w:spacing w:line="360" w:lineRule="auto"/>
        <w:jc w:val="center"/>
        <w:rPr>
          <w:rFonts w:ascii="华文楷体" w:eastAsia="华文楷体" w:hAnsi="华文楷体" w:cs="Times New Roman" w:hint="eastAsia"/>
          <w:b/>
          <w:szCs w:val="21"/>
        </w:rPr>
      </w:pPr>
    </w:p>
    <w:p w14:paraId="3703A602">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表三、分项报价表——货物购置</w:t>
      </w:r>
    </w:p>
    <w:p w14:paraId="0A55085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388CF96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14:paraId="6337570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14:paraId="3B70D9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14:paraId="3248488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14:paraId="68E4E1F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14:paraId="125737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14B43D6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14:paraId="4608AA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14:paraId="332E4D4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046A57AA">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14:paraId="4294AC5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35DB106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68FF8D2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320EBD2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5633D1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1EEDF6D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5B298362">
            <w:pPr>
              <w:adjustRightInd w:val="0"/>
              <w:snapToGrid w:val="0"/>
              <w:spacing w:line="360" w:lineRule="auto"/>
              <w:jc w:val="left"/>
              <w:rPr>
                <w:rFonts w:ascii="华文楷体" w:eastAsia="华文楷体" w:hAnsi="华文楷体" w:cs="Times New Roman"/>
                <w:szCs w:val="21"/>
              </w:rPr>
            </w:pPr>
          </w:p>
        </w:tc>
      </w:tr>
      <w:tr w14:paraId="07669276">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14:paraId="08B919F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38859EB8">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7ABA948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6E58BE8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02E63DE7">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357BA82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07A3CECD">
            <w:pPr>
              <w:adjustRightInd w:val="0"/>
              <w:snapToGrid w:val="0"/>
              <w:spacing w:line="360" w:lineRule="auto"/>
              <w:jc w:val="left"/>
              <w:rPr>
                <w:rFonts w:ascii="华文楷体" w:eastAsia="华文楷体" w:hAnsi="华文楷体" w:cs="Times New Roman"/>
                <w:szCs w:val="21"/>
              </w:rPr>
            </w:pPr>
          </w:p>
        </w:tc>
      </w:tr>
      <w:tr w14:paraId="0926126C">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14:paraId="2BFF994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14:paraId="66E3917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14:paraId="09A30434">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14:paraId="4E2090A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72D22D8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7FBD2093">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10FEB726">
            <w:pPr>
              <w:adjustRightInd w:val="0"/>
              <w:snapToGrid w:val="0"/>
              <w:spacing w:line="360" w:lineRule="auto"/>
              <w:jc w:val="left"/>
              <w:rPr>
                <w:rFonts w:ascii="华文楷体" w:eastAsia="华文楷体" w:hAnsi="华文楷体" w:cs="Times New Roman"/>
                <w:szCs w:val="21"/>
              </w:rPr>
            </w:pPr>
          </w:p>
        </w:tc>
      </w:tr>
      <w:tr w14:paraId="2E38A05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14:paraId="5FDFE14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14:paraId="7CF96D2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14:paraId="4FF3A22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14:paraId="08A2EA51">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14:paraId="022E1FAF">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14:paraId="6EDEA002">
            <w:pPr>
              <w:adjustRightInd w:val="0"/>
              <w:snapToGrid w:val="0"/>
              <w:spacing w:line="360" w:lineRule="auto"/>
              <w:jc w:val="left"/>
              <w:rPr>
                <w:rFonts w:ascii="华文楷体" w:eastAsia="华文楷体" w:hAnsi="华文楷体" w:cs="Times New Roman"/>
                <w:szCs w:val="21"/>
              </w:rPr>
            </w:pPr>
          </w:p>
        </w:tc>
      </w:tr>
      <w:tr w14:paraId="5F9D08CF">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14:paraId="7D3390E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14:paraId="33B1179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7C1A54">
      <w:pPr>
        <w:adjustRightInd w:val="0"/>
        <w:snapToGrid w:val="0"/>
        <w:spacing w:line="360" w:lineRule="auto"/>
        <w:ind w:firstLine="420"/>
        <w:outlineLvl w:val="9"/>
        <w:rPr>
          <w:rFonts w:ascii="宋体" w:eastAsia="宋体" w:hAnsi="宋体" w:cs="Times New Roman"/>
          <w:b/>
          <w:szCs w:val="21"/>
        </w:rPr>
      </w:pPr>
    </w:p>
    <w:p w14:paraId="47D404ED"/>
    <w:p w14:paraId="77F47D20">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14:paraId="716AE0C0">
      <w:pPr>
        <w:adjustRightInd w:val="0"/>
        <w:snapToGrid w:val="0"/>
        <w:spacing w:line="360" w:lineRule="auto"/>
        <w:jc w:val="left"/>
        <w:rPr>
          <w:rFonts w:ascii="宋体" w:eastAsia="宋体" w:hAnsi="宋体" w:cs="Times New Roman" w:hint="eastAsia"/>
          <w:b/>
          <w:szCs w:val="21"/>
        </w:rPr>
      </w:pPr>
    </w:p>
    <w:p w14:paraId="0AED120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099530AA">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648C0D90">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14:paraId="57E33F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14:paraId="3EEFE3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14:paraId="0A86276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14:paraId="501A93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14:paraId="727C290C">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14:paraId="4F2D12C9">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14:paraId="149BBECE">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14:paraId="1BA9B46E">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14:paraId="52DFFAFD">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303BDA1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6686798E">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7F254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25064135">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6B75980C">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3A60E491">
            <w:pPr>
              <w:adjustRightInd w:val="0"/>
              <w:snapToGrid w:val="0"/>
              <w:spacing w:line="360" w:lineRule="auto"/>
              <w:jc w:val="left"/>
              <w:rPr>
                <w:rFonts w:ascii="华文楷体" w:eastAsia="华文楷体" w:hAnsi="华文楷体" w:cs="Times New Roman"/>
                <w:szCs w:val="21"/>
              </w:rPr>
            </w:pPr>
          </w:p>
        </w:tc>
      </w:tr>
      <w:tr w14:paraId="78A22EFE">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14:paraId="59B76E30">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2241B341">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00B7ABA5">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4CDB8B1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155E9347">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6AD56641">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28497EF7">
            <w:pPr>
              <w:adjustRightInd w:val="0"/>
              <w:snapToGrid w:val="0"/>
              <w:spacing w:line="360" w:lineRule="auto"/>
              <w:jc w:val="left"/>
              <w:rPr>
                <w:rFonts w:ascii="华文楷体" w:eastAsia="华文楷体" w:hAnsi="华文楷体" w:cs="Times New Roman"/>
                <w:szCs w:val="21"/>
              </w:rPr>
            </w:pPr>
          </w:p>
        </w:tc>
      </w:tr>
      <w:tr w14:paraId="23C6A7C7">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14:paraId="783BE693">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14:paraId="42CE4CF7">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14:paraId="0B8A0C16">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14:paraId="7D980F5D">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14:paraId="1A9898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14:paraId="06835C95">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14:paraId="6F537F87">
            <w:pPr>
              <w:adjustRightInd w:val="0"/>
              <w:snapToGrid w:val="0"/>
              <w:spacing w:line="360" w:lineRule="auto"/>
              <w:jc w:val="left"/>
              <w:rPr>
                <w:rFonts w:ascii="华文楷体" w:eastAsia="华文楷体" w:hAnsi="华文楷体" w:cs="Times New Roman"/>
                <w:szCs w:val="21"/>
              </w:rPr>
            </w:pPr>
          </w:p>
        </w:tc>
      </w:tr>
    </w:tbl>
    <w:p w14:paraId="25147B99">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14:paraId="459B725E">
      <w:pPr>
        <w:adjustRightInd w:val="0"/>
        <w:snapToGrid w:val="0"/>
        <w:spacing w:line="360" w:lineRule="auto"/>
        <w:jc w:val="left"/>
        <w:rPr>
          <w:rFonts w:ascii="宋体" w:eastAsia="宋体" w:hAnsi="宋体" w:cs="Times New Roman" w:hint="eastAsia"/>
          <w:b/>
          <w:szCs w:val="21"/>
        </w:rPr>
      </w:pPr>
    </w:p>
    <w:p w14:paraId="76FC3490">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14:paraId="5A036F0A">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53A72D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14:paraId="4E621E6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0245901C">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14:paraId="648CD14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14:paraId="7ECFF21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14:paraId="572B599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14:paraId="1E9903E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757710C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14:paraId="69A9643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14:paraId="14474E4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14:paraId="2075B41F">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14:paraId="797305FA">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34BD5FA">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14:paraId="43C365E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38DDEED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14:paraId="6019FD3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14:paraId="145B7621">
            <w:pPr>
              <w:adjustRightInd w:val="0"/>
              <w:snapToGrid w:val="0"/>
              <w:jc w:val="center"/>
              <w:rPr>
                <w:rFonts w:ascii="华文楷体" w:eastAsia="华文楷体" w:hAnsi="华文楷体" w:cs="Times New Roman"/>
                <w:szCs w:val="21"/>
              </w:rPr>
            </w:pPr>
          </w:p>
        </w:tc>
      </w:tr>
      <w:tr w14:paraId="42158EF0">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14:paraId="1F9B731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14:paraId="3C315915">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14:paraId="0C73C4B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14:paraId="4CD2BB55">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E7ABEA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14:paraId="0B928CF9">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75ED866">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14:paraId="6A55508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14:paraId="1B5EB69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14:paraId="31CFEE8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14:paraId="20F3C94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64EA73E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14:paraId="3EE3EB54">
            <w:pPr>
              <w:adjustRightInd w:val="0"/>
              <w:snapToGrid w:val="0"/>
              <w:jc w:val="center"/>
              <w:rPr>
                <w:rFonts w:ascii="华文楷体" w:eastAsia="华文楷体" w:hAnsi="华文楷体" w:cs="Times New Roman" w:hint="eastAsia"/>
                <w:szCs w:val="21"/>
              </w:rPr>
            </w:pPr>
          </w:p>
          <w:p w14:paraId="5DCD7DED">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14:paraId="127E0AFC">
            <w:pPr>
              <w:adjustRightInd w:val="0"/>
              <w:snapToGrid w:val="0"/>
              <w:jc w:val="center"/>
              <w:rPr>
                <w:rFonts w:ascii="华文楷体" w:eastAsia="华文楷体" w:hAnsi="华文楷体" w:cs="Times New Roman" w:hint="eastAsia"/>
                <w:szCs w:val="21"/>
              </w:rPr>
            </w:pPr>
          </w:p>
          <w:p w14:paraId="00B8D65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14:paraId="756D6E74">
            <w:pPr>
              <w:adjustRightInd w:val="0"/>
              <w:snapToGrid w:val="0"/>
              <w:jc w:val="center"/>
              <w:rPr>
                <w:rFonts w:ascii="华文楷体" w:eastAsia="华文楷体" w:hAnsi="华文楷体" w:cs="Times New Roman" w:hint="eastAsia"/>
                <w:szCs w:val="21"/>
              </w:rPr>
            </w:pPr>
          </w:p>
          <w:p w14:paraId="6D810C4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14:paraId="0A6DF6BE">
            <w:pPr>
              <w:adjustRightInd w:val="0"/>
              <w:snapToGrid w:val="0"/>
              <w:jc w:val="center"/>
              <w:rPr>
                <w:rFonts w:ascii="华文楷体" w:eastAsia="华文楷体" w:hAnsi="华文楷体" w:cs="Times New Roman" w:hint="eastAsia"/>
                <w:szCs w:val="21"/>
              </w:rPr>
            </w:pPr>
          </w:p>
          <w:p w14:paraId="2A01C13D">
            <w:pPr>
              <w:adjustRightInd w:val="0"/>
              <w:snapToGrid w:val="0"/>
              <w:jc w:val="center"/>
              <w:rPr>
                <w:rFonts w:ascii="华文楷体" w:eastAsia="华文楷体" w:hAnsi="华文楷体" w:cs="Times New Roman"/>
                <w:szCs w:val="21"/>
              </w:rPr>
            </w:pPr>
          </w:p>
        </w:tc>
      </w:tr>
    </w:tbl>
    <w:p w14:paraId="7731591B">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2B74A6BB">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14:paraId="74864705"/>
    <w:p w14:paraId="3CCAC544">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14:paraId="6425EC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B6A2A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B4CE8D6">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14:paraId="4ABFE8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14:paraId="682C26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14:paraId="79BD16F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14:paraId="3F9265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14:paraId="32F0BA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14:paraId="4A74984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14:paraId="4F35AA9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716F36F">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14:paraId="373078F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14:paraId="2630E88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00A7132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14:paraId="0598E417">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14:paraId="1325A237">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14:paraId="26536EB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14:paraId="730506C8">
            <w:pPr>
              <w:adjustRightInd w:val="0"/>
              <w:snapToGrid w:val="0"/>
              <w:spacing w:line="360" w:lineRule="auto"/>
              <w:jc w:val="left"/>
              <w:rPr>
                <w:rFonts w:ascii="华文楷体" w:eastAsia="华文楷体" w:hAnsi="华文楷体" w:cs="Times New Roman"/>
                <w:szCs w:val="21"/>
              </w:rPr>
            </w:pPr>
          </w:p>
        </w:tc>
      </w:tr>
      <w:tr w14:paraId="0F8883CB">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14:paraId="5AFE97A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14:paraId="0E23037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60115B3A">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14:paraId="3B516E0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14:paraId="70AD9CF3">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14:paraId="09745B1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14:paraId="4A015F2C">
            <w:pPr>
              <w:adjustRightInd w:val="0"/>
              <w:snapToGrid w:val="0"/>
              <w:spacing w:line="360" w:lineRule="auto"/>
              <w:jc w:val="left"/>
              <w:rPr>
                <w:rFonts w:ascii="华文楷体" w:eastAsia="华文楷体" w:hAnsi="华文楷体" w:cs="Times New Roman"/>
                <w:szCs w:val="21"/>
              </w:rPr>
            </w:pPr>
          </w:p>
        </w:tc>
      </w:tr>
      <w:tr w14:paraId="6E5AAAC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14:paraId="0ADC46A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14:paraId="3A5ABCE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14:paraId="4AA4ADDF">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14:paraId="56C02E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14:paraId="7763D426">
            <w:pPr>
              <w:adjustRightInd w:val="0"/>
              <w:snapToGrid w:val="0"/>
              <w:spacing w:line="360" w:lineRule="auto"/>
              <w:jc w:val="left"/>
              <w:rPr>
                <w:rFonts w:ascii="华文楷体" w:eastAsia="华文楷体" w:hAnsi="华文楷体" w:cs="Times New Roman"/>
                <w:szCs w:val="21"/>
              </w:rPr>
            </w:pPr>
          </w:p>
        </w:tc>
      </w:tr>
    </w:tbl>
    <w:p w14:paraId="186DF61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79F265C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055A15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03B0373">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0658C99">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75443009"/>
    <w:p w14:paraId="1AA91D01">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14:paraId="7E858214">
      <w:pPr>
        <w:adjustRightInd w:val="0"/>
        <w:snapToGrid w:val="0"/>
        <w:spacing w:line="360" w:lineRule="auto"/>
        <w:ind w:firstLine="420"/>
        <w:outlineLvl w:val="9"/>
        <w:rPr>
          <w:rFonts w:ascii="宋体" w:eastAsia="宋体" w:hAnsi="宋体" w:cs="Times New Roman" w:hint="eastAsia"/>
          <w:b/>
          <w:szCs w:val="21"/>
        </w:rPr>
      </w:pPr>
    </w:p>
    <w:p w14:paraId="5AFC279C">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3B48983B">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14:paraId="0716C5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14:paraId="331416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14:paraId="4F1DB97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14:paraId="4F948EC2">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14:paraId="1EA291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14:paraId="153C002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3FB1B02E">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14:paraId="5817A5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14:paraId="0AFF58B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28621F2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200FC3F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14:paraId="7ACC68C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7D5ECCB6">
            <w:pPr>
              <w:adjustRightInd w:val="0"/>
              <w:snapToGrid w:val="0"/>
              <w:spacing w:line="360" w:lineRule="auto"/>
              <w:jc w:val="center"/>
              <w:rPr>
                <w:rFonts w:ascii="华文楷体" w:eastAsia="华文楷体" w:hAnsi="华文楷体" w:cs="Times New Roman"/>
                <w:szCs w:val="21"/>
              </w:rPr>
            </w:pPr>
          </w:p>
        </w:tc>
      </w:tr>
      <w:tr w14:paraId="16106AB9">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14:paraId="66EED7F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14:paraId="2AF43F5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2975E3F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3E58CE2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14:paraId="43F00FFD">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68B6EEBD">
            <w:pPr>
              <w:adjustRightInd w:val="0"/>
              <w:snapToGrid w:val="0"/>
              <w:spacing w:line="360" w:lineRule="auto"/>
              <w:jc w:val="center"/>
              <w:rPr>
                <w:rFonts w:ascii="华文楷体" w:eastAsia="华文楷体" w:hAnsi="华文楷体" w:cs="Times New Roman"/>
                <w:szCs w:val="21"/>
              </w:rPr>
            </w:pPr>
          </w:p>
        </w:tc>
      </w:tr>
      <w:tr w14:paraId="02D34FF5">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14:paraId="5A9809E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14:paraId="37DAF39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6EFA791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26B42D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14:paraId="157F726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1BC092B9">
            <w:pPr>
              <w:adjustRightInd w:val="0"/>
              <w:snapToGrid w:val="0"/>
              <w:spacing w:line="360" w:lineRule="auto"/>
              <w:jc w:val="center"/>
              <w:rPr>
                <w:rFonts w:ascii="华文楷体" w:eastAsia="华文楷体" w:hAnsi="华文楷体" w:cs="Times New Roman"/>
                <w:szCs w:val="21"/>
              </w:rPr>
            </w:pPr>
          </w:p>
        </w:tc>
      </w:tr>
      <w:tr w14:paraId="70AD6033">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14:paraId="1608196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14:paraId="1D24F4B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48B4AC5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3272A09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14:paraId="2985BF7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14:paraId="22C7217F">
            <w:pPr>
              <w:adjustRightInd w:val="0"/>
              <w:snapToGrid w:val="0"/>
              <w:spacing w:line="360" w:lineRule="auto"/>
              <w:jc w:val="center"/>
              <w:rPr>
                <w:rFonts w:ascii="华文楷体" w:eastAsia="华文楷体" w:hAnsi="华文楷体" w:cs="Times New Roman"/>
                <w:szCs w:val="21"/>
              </w:rPr>
            </w:pPr>
          </w:p>
        </w:tc>
      </w:tr>
    </w:tbl>
    <w:p w14:paraId="5785127B">
      <w:pPr>
        <w:adjustRightInd w:val="0"/>
        <w:snapToGrid w:val="0"/>
        <w:spacing w:line="360" w:lineRule="auto"/>
        <w:ind w:firstLine="420"/>
        <w:outlineLvl w:val="9"/>
        <w:rPr>
          <w:rFonts w:ascii="宋体" w:eastAsia="宋体" w:hAnsi="宋体" w:cs="Times New Roman" w:hint="eastAsia"/>
          <w:b/>
          <w:szCs w:val="21"/>
        </w:rPr>
      </w:pPr>
    </w:p>
    <w:p w14:paraId="70CC3C58">
      <w:pPr>
        <w:adjustRightInd w:val="0"/>
        <w:snapToGrid w:val="0"/>
        <w:spacing w:line="360" w:lineRule="auto"/>
        <w:ind w:firstLine="420"/>
        <w:outlineLvl w:val="9"/>
        <w:rPr>
          <w:rFonts w:ascii="宋体" w:eastAsia="宋体" w:hAnsi="宋体" w:cs="Times New Roman"/>
          <w:b/>
          <w:szCs w:val="21"/>
        </w:rPr>
      </w:pPr>
    </w:p>
    <w:p w14:paraId="7CADFD2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14:paraId="1A6CA34E">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14:paraId="37015EE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14:paraId="331B4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14:paraId="5F2269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14:paraId="6D0D72A5">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14:paraId="37A289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14:paraId="676918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610E9A">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14:paraId="0B558F4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14:paraId="32EF80E2">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6A50489F">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201E9166">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14:paraId="56368803">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4556E9B9">
            <w:pPr>
              <w:adjustRightInd w:val="0"/>
              <w:snapToGrid w:val="0"/>
              <w:spacing w:line="360" w:lineRule="auto"/>
              <w:jc w:val="center"/>
              <w:rPr>
                <w:rFonts w:ascii="华文楷体" w:eastAsia="华文楷体" w:hAnsi="华文楷体" w:cs="Times New Roman"/>
                <w:szCs w:val="21"/>
              </w:rPr>
            </w:pPr>
          </w:p>
        </w:tc>
      </w:tr>
      <w:tr w14:paraId="7ACF96CA">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14:paraId="4059F3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14:paraId="55BDA15E">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645A6494">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41C331C1">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14:paraId="5B50986B">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7E1CFC5A">
            <w:pPr>
              <w:adjustRightInd w:val="0"/>
              <w:snapToGrid w:val="0"/>
              <w:spacing w:line="360" w:lineRule="auto"/>
              <w:jc w:val="center"/>
              <w:rPr>
                <w:rFonts w:ascii="华文楷体" w:eastAsia="华文楷体" w:hAnsi="华文楷体" w:cs="Times New Roman"/>
                <w:szCs w:val="21"/>
              </w:rPr>
            </w:pPr>
          </w:p>
        </w:tc>
      </w:tr>
      <w:tr w14:paraId="46CE84BB">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14:paraId="171376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14:paraId="4F1759D9">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44BE5AC1">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78FC6323">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14:paraId="2D509419">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1DD11F8E">
            <w:pPr>
              <w:adjustRightInd w:val="0"/>
              <w:snapToGrid w:val="0"/>
              <w:spacing w:line="360" w:lineRule="auto"/>
              <w:jc w:val="center"/>
              <w:rPr>
                <w:rFonts w:ascii="华文楷体" w:eastAsia="华文楷体" w:hAnsi="华文楷体" w:cs="Times New Roman"/>
                <w:szCs w:val="21"/>
              </w:rPr>
            </w:pPr>
          </w:p>
        </w:tc>
      </w:tr>
      <w:tr w14:paraId="7913BBF9">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14:paraId="57F7D1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14:paraId="0FA23404">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6A65733F">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55FD4955">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14:paraId="70612BE9">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14:paraId="0B9F84C4">
            <w:pPr>
              <w:adjustRightInd w:val="0"/>
              <w:snapToGrid w:val="0"/>
              <w:spacing w:line="360" w:lineRule="auto"/>
              <w:jc w:val="center"/>
              <w:rPr>
                <w:rFonts w:ascii="华文楷体" w:eastAsia="华文楷体" w:hAnsi="华文楷体" w:cs="Times New Roman"/>
                <w:szCs w:val="21"/>
              </w:rPr>
            </w:pPr>
          </w:p>
        </w:tc>
      </w:tr>
    </w:tbl>
    <w:p w14:paraId="46366153">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14:paraId="45FC1B2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354DFB1">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14:paraId="74C2BC4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14:paraId="3FB4D95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14:paraId="0CC7FDE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14:paraId="6D914D6E">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14:paraId="58644D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14:paraId="0F822B0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DA58A49">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22A5580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14:paraId="2598B54C">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73C4CAD1">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76198B3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033432C5">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2DBF94EA">
            <w:pPr>
              <w:adjustRightInd w:val="0"/>
              <w:snapToGrid w:val="0"/>
              <w:spacing w:line="360" w:lineRule="auto"/>
              <w:jc w:val="center"/>
              <w:rPr>
                <w:rFonts w:ascii="华文楷体" w:eastAsia="华文楷体" w:hAnsi="华文楷体" w:cs="Times New Roman"/>
                <w:szCs w:val="21"/>
              </w:rPr>
            </w:pPr>
          </w:p>
        </w:tc>
      </w:tr>
      <w:tr w14:paraId="18367E50">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55682D5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14:paraId="24659B9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294BF3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0ABE66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2F4FFFC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2B0D0D18">
            <w:pPr>
              <w:adjustRightInd w:val="0"/>
              <w:snapToGrid w:val="0"/>
              <w:spacing w:line="360" w:lineRule="auto"/>
              <w:jc w:val="center"/>
              <w:rPr>
                <w:rFonts w:ascii="华文楷体" w:eastAsia="华文楷体" w:hAnsi="华文楷体" w:cs="Times New Roman"/>
                <w:szCs w:val="21"/>
              </w:rPr>
            </w:pPr>
          </w:p>
        </w:tc>
      </w:tr>
      <w:tr w14:paraId="0C45218D">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1EC44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14:paraId="4A224293">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49E11F6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2FE065B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1E25977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726CDAED">
            <w:pPr>
              <w:adjustRightInd w:val="0"/>
              <w:snapToGrid w:val="0"/>
              <w:spacing w:line="360" w:lineRule="auto"/>
              <w:jc w:val="center"/>
              <w:rPr>
                <w:rFonts w:ascii="华文楷体" w:eastAsia="华文楷体" w:hAnsi="华文楷体" w:cs="Times New Roman"/>
                <w:szCs w:val="21"/>
              </w:rPr>
            </w:pPr>
          </w:p>
        </w:tc>
      </w:tr>
      <w:tr w14:paraId="1672107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14:paraId="781C0C5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14:paraId="1597577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14:paraId="6981BA4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14:paraId="7EE18AFC">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14:paraId="3805BD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14:paraId="4696C18A">
            <w:pPr>
              <w:adjustRightInd w:val="0"/>
              <w:snapToGrid w:val="0"/>
              <w:spacing w:line="360" w:lineRule="auto"/>
              <w:jc w:val="center"/>
              <w:rPr>
                <w:rFonts w:ascii="华文楷体" w:eastAsia="华文楷体" w:hAnsi="华文楷体" w:cs="Times New Roman"/>
                <w:szCs w:val="21"/>
              </w:rPr>
            </w:pPr>
          </w:p>
        </w:tc>
      </w:tr>
    </w:tbl>
    <w:p w14:paraId="232783A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14:paraId="19682832">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2D47A58B"/>
    <w:p w14:paraId="54288E53">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14:paraId="235CBCB5">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14:paraId="60E5F8EF">
      <w:pPr>
        <w:adjustRightInd w:val="0"/>
        <w:snapToGrid w:val="0"/>
        <w:spacing w:line="360" w:lineRule="auto"/>
        <w:ind w:firstLine="420" w:firstLineChars="200"/>
        <w:rPr>
          <w:rFonts w:ascii="宋体" w:eastAsia="宋体" w:hAnsi="宋体" w:cs="Times New Roman"/>
          <w:szCs w:val="20"/>
        </w:rPr>
      </w:pPr>
    </w:p>
    <w:p w14:paraId="6E9D8E4C"/>
    <w:p w14:paraId="3541A5B1">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14:paraId="3EAF9ED7">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14:paraId="066DA266">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14:paraId="27F0C8E5"/>
    <w:p w14:paraId="14918FE9">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14:paraId="4324132D">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14:paraId="7943BB5A">
      <w:pPr>
        <w:adjustRightInd w:val="0"/>
        <w:snapToGrid w:val="0"/>
        <w:spacing w:line="360" w:lineRule="auto"/>
        <w:ind w:firstLine="412" w:firstLineChars="196"/>
        <w:rPr>
          <w:rFonts w:ascii="宋体" w:eastAsia="宋体" w:hAnsi="宋体" w:cs="Times New Roman"/>
          <w:szCs w:val="20"/>
        </w:rPr>
      </w:pP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bookmarkEnd w:id="7"/>
    <w:p w:rsidR="00BF1E87" w:rsidP="00961793">
      <w:pPr>
        <w:adjustRightInd w:val="0"/>
        <w:snapToGrid w:val="0"/>
        <w:spacing w:line="360" w:lineRule="auto"/>
        <w:ind w:firstLine="600" w:firstLineChars="200"/>
        <w:jc w:val="center"/>
        <w:outlineLvl w:val="1"/>
        <w:rPr>
          <w:b/>
          <w:bCs/>
          <w:sz w:val="30"/>
          <w:szCs w:val="30"/>
        </w:rPr>
      </w:pPr>
      <w:r>
        <w:rPr>
          <w:rFonts w:hint="eastAsia"/>
          <w:b/>
          <w:bCs/>
          <w:sz w:val="30"/>
          <w:szCs w:val="30"/>
        </w:rPr>
        <w:t>第三章</w:t>
      </w:r>
      <w:r>
        <w:rPr>
          <w:rFonts w:hint="eastAsia"/>
          <w:b/>
          <w:bCs/>
          <w:sz w:val="30"/>
          <w:szCs w:val="30"/>
        </w:rPr>
        <w:t xml:space="preserve">  </w:t>
      </w:r>
      <w:r>
        <w:rPr>
          <w:rFonts w:hint="eastAsia"/>
          <w:b/>
          <w:bCs/>
          <w:sz w:val="30"/>
          <w:szCs w:val="30"/>
        </w:rPr>
        <w:t>投标被拒绝条款通用部分</w:t>
      </w:r>
    </w:p>
    <w:p w:rsidR="00BF1E87">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3"/>
        </w:trPr>
        <w:tc>
          <w:tcPr>
            <w:tcW w:w="534" w:type="dxa"/>
            <w:vAlign w:val="center"/>
          </w:tcPr>
          <w:p w:rsidR="00BF1E87">
            <w:pPr>
              <w:jc w:val="left"/>
              <w:rPr>
                <w:sz w:val="18"/>
                <w:szCs w:val="18"/>
              </w:rPr>
            </w:pPr>
            <w:r>
              <w:rPr>
                <w:rFonts w:hint="eastAsia"/>
                <w:sz w:val="18"/>
                <w:szCs w:val="18"/>
              </w:rPr>
              <w:t>序号</w:t>
            </w:r>
          </w:p>
        </w:tc>
        <w:tc>
          <w:tcPr>
            <w:tcW w:w="792" w:type="dxa"/>
            <w:vAlign w:val="center"/>
          </w:tcPr>
          <w:p w:rsidR="00BF1E87">
            <w:pPr>
              <w:jc w:val="center"/>
              <w:rPr>
                <w:sz w:val="18"/>
                <w:szCs w:val="18"/>
              </w:rPr>
            </w:pPr>
            <w:r>
              <w:rPr>
                <w:rFonts w:hint="eastAsia"/>
                <w:sz w:val="18"/>
                <w:szCs w:val="18"/>
              </w:rPr>
              <w:t>对应</w:t>
            </w:r>
          </w:p>
          <w:p w:rsidR="00BF1E87">
            <w:pPr>
              <w:jc w:val="center"/>
              <w:rPr>
                <w:sz w:val="18"/>
                <w:szCs w:val="18"/>
              </w:rPr>
            </w:pPr>
            <w:r>
              <w:rPr>
                <w:rFonts w:hint="eastAsia"/>
                <w:sz w:val="18"/>
                <w:szCs w:val="18"/>
              </w:rPr>
              <w:t>条款号</w:t>
            </w:r>
          </w:p>
        </w:tc>
        <w:tc>
          <w:tcPr>
            <w:tcW w:w="7781" w:type="dxa"/>
            <w:gridSpan w:val="2"/>
            <w:vAlign w:val="center"/>
          </w:tcPr>
          <w:p w:rsidR="00BF1E8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9107" w:type="dxa"/>
          <w:tblLayout w:type="fixed"/>
          <w:tblLook w:val="0000"/>
        </w:tblPrEx>
        <w:trPr>
          <w:cantSplit/>
        </w:trPr>
        <w:tc>
          <w:tcPr>
            <w:tcW w:w="9107" w:type="dxa"/>
            <w:gridSpan w:val="4"/>
            <w:vAlign w:val="center"/>
          </w:tcPr>
          <w:p w:rsidR="00BF1E87">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1.3.1</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1.3.2</w:t>
            </w:r>
          </w:p>
        </w:tc>
        <w:tc>
          <w:tcPr>
            <w:tcW w:w="7723" w:type="dxa"/>
            <w:vAlign w:val="center"/>
          </w:tcPr>
          <w:p w:rsidR="00BF1E87">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1.3.3</w:t>
            </w:r>
          </w:p>
        </w:tc>
        <w:tc>
          <w:tcPr>
            <w:tcW w:w="7723" w:type="dxa"/>
            <w:vAlign w:val="center"/>
          </w:tcPr>
          <w:p w:rsidR="00BF1E87">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rsidR="00BF1E87">
            <w:pPr>
              <w:rPr>
                <w:rFonts w:ascii="宋体" w:hAnsi="宋体"/>
                <w:sz w:val="18"/>
                <w:szCs w:val="18"/>
              </w:rPr>
            </w:pPr>
            <w:r>
              <w:rPr>
                <w:rFonts w:hint="eastAsia"/>
                <w:bCs/>
                <w:sz w:val="18"/>
                <w:szCs w:val="18"/>
              </w:rPr>
              <w:t>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1.3.4</w:t>
            </w:r>
          </w:p>
        </w:tc>
        <w:tc>
          <w:tcPr>
            <w:tcW w:w="7723" w:type="dxa"/>
            <w:vAlign w:val="center"/>
          </w:tcPr>
          <w:p w:rsidR="00BF1E87">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1.3.5</w:t>
            </w:r>
          </w:p>
        </w:tc>
        <w:tc>
          <w:tcPr>
            <w:tcW w:w="7723" w:type="dxa"/>
            <w:vAlign w:val="center"/>
          </w:tcPr>
          <w:p w:rsidR="00BF1E87">
            <w:pPr>
              <w:rPr>
                <w:rFonts w:ascii="宋体" w:hAnsi="宋体"/>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w:t>
            </w:r>
            <w:r>
              <w:rPr>
                <w:rFonts w:ascii="宋体" w:hAnsi="宋体" w:hint="eastAsia"/>
                <w:sz w:val="18"/>
                <w:szCs w:val="18"/>
              </w:rPr>
              <w:t>联合体投标文件未附联合体协议的，其投标将被拒绝。</w:t>
            </w:r>
            <w:r>
              <w:rPr>
                <w:rFonts w:hint="eastAsia"/>
                <w:sz w:val="18"/>
                <w:szCs w:val="18"/>
              </w:rPr>
              <w:t>（</w:t>
            </w:r>
            <w:r>
              <w:rPr>
                <w:rFonts w:hint="eastAsia"/>
                <w:sz w:val="18"/>
                <w:szCs w:val="18"/>
              </w:rPr>
              <w:t>2</w:t>
            </w:r>
            <w:r>
              <w:rPr>
                <w:rFonts w:hint="eastAsia"/>
                <w:sz w:val="18"/>
                <w:szCs w:val="18"/>
              </w:rPr>
              <w:t>）以联合体形</w:t>
            </w:r>
            <w:r>
              <w:rPr>
                <w:rFonts w:hint="eastAsia"/>
                <w:sz w:val="18"/>
                <w:szCs w:val="18"/>
              </w:rPr>
              <w:t>式参加</w:t>
            </w:r>
            <w:r>
              <w:rPr>
                <w:rFonts w:hint="eastAsia"/>
                <w:sz w:val="18"/>
                <w:szCs w:val="18"/>
              </w:rPr>
              <w:t>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w:t>
            </w:r>
            <w:r>
              <w:rPr>
                <w:rFonts w:ascii="宋体" w:hAnsi="宋体" w:hint="eastAsia"/>
                <w:sz w:val="18"/>
                <w:szCs w:val="18"/>
              </w:rPr>
              <w:t>3</w:t>
            </w:r>
            <w:r>
              <w:rPr>
                <w:rFonts w:ascii="宋体" w:hAnsi="宋体" w:hint="eastAsia"/>
                <w:sz w:val="18"/>
                <w:szCs w:val="18"/>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w:t>
            </w:r>
            <w:r>
              <w:rPr>
                <w:rFonts w:ascii="宋体" w:hAnsi="宋体" w:hint="eastAsia"/>
                <w:sz w:val="18"/>
                <w:szCs w:val="18"/>
              </w:rPr>
              <w:t>4</w:t>
            </w:r>
            <w:r>
              <w:rPr>
                <w:rFonts w:ascii="宋体" w:hAnsi="宋体" w:hint="eastAsia"/>
                <w:sz w:val="18"/>
                <w:szCs w:val="18"/>
              </w:rPr>
              <w:t>）联合体各方均</w:t>
            </w:r>
            <w:r>
              <w:rPr>
                <w:rFonts w:ascii="宋体" w:hAnsi="宋体" w:hint="eastAsia"/>
                <w:sz w:val="18"/>
                <w:szCs w:val="18"/>
              </w:rPr>
              <w:t>不得同时再以自己独立的名义单独投标，也不得再同时参加其他的联合体。若该等情形被发现，其单独的投标和与此有关的联合体的投标均将被一并拒绝。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1.3.6</w:t>
            </w:r>
          </w:p>
        </w:tc>
        <w:tc>
          <w:tcPr>
            <w:tcW w:w="7723" w:type="dxa"/>
            <w:vAlign w:val="center"/>
          </w:tcPr>
          <w:p w:rsidR="00BF1E87">
            <w:pPr>
              <w:pStyle w:val="10"/>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bCs/>
                <w:sz w:val="18"/>
                <w:szCs w:val="18"/>
              </w:rPr>
              <w:t>1.3.7</w:t>
            </w:r>
          </w:p>
        </w:tc>
        <w:tc>
          <w:tcPr>
            <w:tcW w:w="7723" w:type="dxa"/>
            <w:vAlign w:val="center"/>
          </w:tcPr>
          <w:p w:rsidR="00BF1E87">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1.3.8</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bCs/>
                <w:sz w:val="18"/>
                <w:szCs w:val="18"/>
              </w:rPr>
              <w:t>1.3.9</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1.3.10</w:t>
            </w:r>
          </w:p>
        </w:tc>
        <w:tc>
          <w:tcPr>
            <w:tcW w:w="7723" w:type="dxa"/>
            <w:vAlign w:val="center"/>
          </w:tcPr>
          <w:p w:rsidR="00BF1E87">
            <w:pPr>
              <w:pStyle w:val="10"/>
              <w:numPr>
                <w:ilvl w:val="0"/>
                <w:numId w:val="0"/>
              </w:numPr>
              <w:tabs>
                <w:tab w:val="left" w:pos="34"/>
                <w:tab w:val="left" w:pos="709"/>
                <w:tab w:val="left" w:pos="1573"/>
              </w:tabs>
              <w:adjustRightInd w:val="0"/>
              <w:snapToGrid w:val="0"/>
              <w:spacing w:line="360" w:lineRule="auto"/>
              <w:ind w:left="34" w:leftChars="16"/>
              <w:rPr>
                <w:bCs/>
                <w:sz w:val="18"/>
                <w:szCs w:val="18"/>
              </w:rPr>
            </w:pPr>
            <w:r>
              <w:rPr>
                <w:rFonts w:hint="eastAsia"/>
                <w:sz w:val="18"/>
                <w:szCs w:val="18"/>
              </w:rPr>
              <w:t>关于知识产权：（</w:t>
            </w:r>
            <w:r>
              <w:rPr>
                <w:rFonts w:hint="eastAsia"/>
                <w:sz w:val="18"/>
                <w:szCs w:val="18"/>
              </w:rPr>
              <w:t>1</w:t>
            </w:r>
            <w:r>
              <w:rPr>
                <w:rFonts w:hint="eastAsia"/>
                <w:sz w:val="18"/>
                <w:szCs w:val="18"/>
              </w:rPr>
              <w:t>）在本项目软件开发中，所产生的源代码、执行文件和相关开发文档等知识产权为采购人所有，应按采购人要求及时交付采购人。投标人未经采购人授权不得留存或提供他用。如投标人不同意，则投标将被拒绝。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w:t>
            </w:r>
            <w:r>
              <w:rPr>
                <w:rFonts w:hint="eastAsia"/>
                <w:bCs/>
                <w:sz w:val="18"/>
                <w:szCs w:val="18"/>
              </w:rPr>
              <w:t>2</w:t>
            </w:r>
            <w:r>
              <w:rPr>
                <w:rFonts w:hint="eastAsia"/>
                <w:bCs/>
                <w:sz w:val="18"/>
                <w:szCs w:val="18"/>
              </w:rPr>
              <w:t>）投标人在本项目软件开发中使用第三方软件进行移植、修改和再开发的，应获得第三方软件著作权所有人的授权；如未使用第三方软件进行移植、修改和再开发的，投标人应</w:t>
            </w:r>
            <w:r>
              <w:rPr>
                <w:rFonts w:hint="eastAsia"/>
                <w:bCs/>
                <w:sz w:val="18"/>
                <w:szCs w:val="18"/>
              </w:rPr>
              <w:t>作出</w:t>
            </w:r>
            <w:r>
              <w:rPr>
                <w:rFonts w:hint="eastAsia"/>
                <w:bCs/>
                <w:sz w:val="18"/>
                <w:szCs w:val="18"/>
              </w:rPr>
              <w:t>承诺，否则投标将被</w:t>
            </w:r>
            <w:r>
              <w:rPr>
                <w:rFonts w:hint="eastAsia"/>
                <w:b/>
                <w:bCs/>
                <w:sz w:val="18"/>
                <w:szCs w:val="18"/>
              </w:rPr>
              <w:t>拒绝</w:t>
            </w:r>
            <w:r>
              <w:rPr>
                <w:rFonts w:hint="eastAsia"/>
                <w:bCs/>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1.3.11</w:t>
            </w:r>
          </w:p>
        </w:tc>
        <w:tc>
          <w:tcPr>
            <w:tcW w:w="7723" w:type="dxa"/>
            <w:vAlign w:val="center"/>
          </w:tcPr>
          <w:p w:rsidR="00BF1E87">
            <w:pPr>
              <w:tabs>
                <w:tab w:val="left" w:pos="1573"/>
              </w:tabs>
              <w:adjustRightInd w:val="0"/>
              <w:snapToGrid w:val="0"/>
              <w:spacing w:line="360" w:lineRule="auto"/>
              <w:rPr>
                <w:rFonts w:ascii="宋体" w:hAnsi="宋体"/>
                <w:sz w:val="18"/>
                <w:szCs w:val="18"/>
              </w:rPr>
            </w:pPr>
            <w:r>
              <w:rPr>
                <w:rFonts w:ascii="宋体" w:hAnsi="宋体" w:hint="eastAsia"/>
                <w:bCs/>
                <w:sz w:val="18"/>
                <w:szCs w:val="18"/>
              </w:rPr>
              <w:t>关于软件再开发的授权投标：（</w:t>
            </w:r>
            <w:r>
              <w:rPr>
                <w:rFonts w:ascii="宋体" w:hAnsi="宋体" w:hint="eastAsia"/>
                <w:bCs/>
                <w:sz w:val="18"/>
                <w:szCs w:val="18"/>
              </w:rPr>
              <w:t>1</w:t>
            </w:r>
            <w:r>
              <w:rPr>
                <w:rFonts w:ascii="宋体" w:hAnsi="宋体" w:hint="eastAsia"/>
                <w:bCs/>
                <w:sz w:val="18"/>
                <w:szCs w:val="18"/>
              </w:rPr>
              <w:t>）投标人开发本项目招标的软件时，若对其拥有全部著作权的软件进行移植、修改、再开发的，则不得再授权他人对该软件进行移植、修改、再开发并参加本项目的投标。否则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w:t>
            </w:r>
            <w:r>
              <w:rPr>
                <w:rFonts w:ascii="宋体" w:hAnsi="宋体" w:hint="eastAsia"/>
                <w:bCs/>
                <w:sz w:val="18"/>
                <w:szCs w:val="18"/>
              </w:rPr>
              <w:t>所有</w:t>
            </w:r>
            <w:r>
              <w:rPr>
                <w:rFonts w:ascii="宋体" w:hAnsi="宋体" w:hint="eastAsia"/>
                <w:sz w:val="18"/>
                <w:szCs w:val="18"/>
              </w:rPr>
              <w:t>第三</w:t>
            </w:r>
            <w:r>
              <w:rPr>
                <w:rFonts w:ascii="宋体" w:hAnsi="宋体" w:hint="eastAsia"/>
                <w:sz w:val="18"/>
                <w:szCs w:val="18"/>
              </w:rPr>
              <w:t>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1.3.12</w:t>
            </w:r>
          </w:p>
        </w:tc>
        <w:tc>
          <w:tcPr>
            <w:tcW w:w="7723" w:type="dxa"/>
            <w:vAlign w:val="center"/>
          </w:tcPr>
          <w:p w:rsidR="00BF1E87">
            <w:pPr>
              <w:tabs>
                <w:tab w:val="left" w:pos="1573"/>
              </w:tabs>
              <w:adjustRightInd w:val="0"/>
              <w:snapToGrid w:val="0"/>
              <w:spacing w:line="360" w:lineRule="auto"/>
              <w:rPr>
                <w:rFonts w:ascii="宋体" w:hAnsi="宋体"/>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1.3.13</w:t>
            </w:r>
          </w:p>
        </w:tc>
        <w:tc>
          <w:tcPr>
            <w:tcW w:w="7723" w:type="dxa"/>
            <w:vAlign w:val="center"/>
          </w:tcPr>
          <w:p w:rsidR="00BF1E87">
            <w:pPr>
              <w:tabs>
                <w:tab w:val="left" w:pos="1573"/>
              </w:tabs>
              <w:adjustRightInd w:val="0"/>
              <w:snapToGrid w:val="0"/>
              <w:spacing w:line="360" w:lineRule="auto"/>
              <w:rPr>
                <w:rFonts w:ascii="宋体" w:hAnsi="宋体"/>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：①用于本项目的设施、系统和数据与其他项目有明确、清晰的边界；②用于本项目的服务器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硬件设施具有最高管理权限；③具有防止数据泄露的管理和技术措施；④不存在规避监管的情形。</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1.4.1</w:t>
            </w:r>
          </w:p>
        </w:tc>
        <w:tc>
          <w:tcPr>
            <w:tcW w:w="7723" w:type="dxa"/>
            <w:vAlign w:val="center"/>
          </w:tcPr>
          <w:p w:rsidR="00BF1E87">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1.4.3</w:t>
            </w:r>
          </w:p>
        </w:tc>
        <w:tc>
          <w:tcPr>
            <w:tcW w:w="7723" w:type="dxa"/>
            <w:vAlign w:val="center"/>
          </w:tcPr>
          <w:p w:rsidR="00BF1E87">
            <w:pPr>
              <w:tabs>
                <w:tab w:val="left" w:pos="1573"/>
              </w:tabs>
              <w:adjustRightInd w:val="0"/>
              <w:snapToGrid w:val="0"/>
              <w:spacing w:line="360" w:lineRule="auto"/>
              <w:rPr>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1.5.1</w:t>
            </w:r>
          </w:p>
        </w:tc>
        <w:tc>
          <w:tcPr>
            <w:tcW w:w="7723" w:type="dxa"/>
            <w:vAlign w:val="center"/>
          </w:tcPr>
          <w:p w:rsidR="00BF1E87">
            <w:pPr>
              <w:tabs>
                <w:tab w:val="left" w:pos="8460"/>
              </w:tabs>
              <w:adjustRightInd w:val="0"/>
              <w:snapToGrid w:val="0"/>
              <w:spacing w:line="360" w:lineRule="auto"/>
              <w:jc w:val="left"/>
              <w:rPr>
                <w:rFonts w:ascii="宋体" w:hAnsi="宋体"/>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1.5.2</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1.5.3</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w:t>
            </w:r>
            <w:r>
              <w:rPr>
                <w:rFonts w:hint="eastAsia"/>
                <w:sz w:val="18"/>
                <w:szCs w:val="18"/>
              </w:rPr>
              <w:t>条有关进口产品投标要求的，投标将被拒绝。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1.5.4</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5.7</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5.8</w:t>
            </w:r>
            <w:r>
              <w:rPr>
                <w:rFonts w:hint="eastAsia"/>
                <w:b/>
                <w:sz w:val="18"/>
                <w:szCs w:val="18"/>
              </w:rPr>
              <w:t>条</w:t>
            </w:r>
            <w:r>
              <w:rPr>
                <w:rFonts w:hint="eastAsia"/>
                <w:sz w:val="18"/>
                <w:szCs w:val="18"/>
              </w:rPr>
              <w:t>提交有关资料的，投标将被拒绝。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1.5.5</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bCs/>
                <w:sz w:val="18"/>
                <w:szCs w:val="18"/>
              </w:rPr>
            </w:pPr>
            <w:r>
              <w:rPr>
                <w:rFonts w:ascii="宋体" w:hAnsi="宋体" w:hint="eastAsia"/>
                <w:bCs/>
                <w:sz w:val="18"/>
                <w:szCs w:val="18"/>
              </w:rPr>
              <w:t>1.6.3</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w:t>
            </w:r>
            <w:r>
              <w:rPr>
                <w:rFonts w:ascii="宋体" w:hAnsi="宋体" w:hint="eastAsia"/>
                <w:sz w:val="18"/>
                <w:szCs w:val="18"/>
              </w:rPr>
              <w:t>微企业</w:t>
            </w:r>
            <w:r>
              <w:rPr>
                <w:rFonts w:ascii="宋体" w:hAnsi="宋体" w:hint="eastAsia"/>
                <w:sz w:val="18"/>
                <w:szCs w:val="18"/>
              </w:rPr>
              <w:t>的比例不低于中小企业合同金额的</w:t>
            </w:r>
            <w:r>
              <w:rPr>
                <w:rFonts w:ascii="宋体" w:hAnsi="宋体" w:hint="eastAsia"/>
                <w:sz w:val="18"/>
                <w:szCs w:val="18"/>
              </w:rPr>
              <w:t>60%</w:t>
            </w:r>
            <w:r>
              <w:rPr>
                <w:rFonts w:ascii="宋体" w:hAnsi="宋体" w:hint="eastAsia"/>
                <w:sz w:val="18"/>
                <w:szCs w:val="18"/>
              </w:rPr>
              <w:t>），否则投标将被拒绝。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bCs/>
                <w:sz w:val="18"/>
                <w:szCs w:val="18"/>
              </w:rPr>
              <w:t>1.7.1</w:t>
            </w:r>
          </w:p>
        </w:tc>
        <w:tc>
          <w:tcPr>
            <w:tcW w:w="7723" w:type="dxa"/>
            <w:vAlign w:val="center"/>
          </w:tcPr>
          <w:p w:rsidR="00BF1E87">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w:t>
            </w:r>
            <w:r>
              <w:rPr>
                <w:rFonts w:ascii="宋体" w:hAnsi="宋体" w:hint="eastAsia"/>
                <w:sz w:val="18"/>
                <w:szCs w:val="18"/>
                <w:shd w:val="clear" w:color="auto" w:fill="FFFFFF"/>
              </w:rPr>
              <w:t>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Look w:val="0000"/>
        </w:tblPrEx>
        <w:trPr>
          <w:cantSplit/>
          <w:trHeight w:val="2274"/>
        </w:trPr>
        <w:tc>
          <w:tcPr>
            <w:tcW w:w="534" w:type="dxa"/>
            <w:vAlign w:val="center"/>
          </w:tcPr>
          <w:p w:rsidR="00BF1E87">
            <w:pPr>
              <w:numPr>
                <w:ilvl w:val="0"/>
                <w:numId w:val="3"/>
              </w:numPr>
              <w:spacing w:line="360" w:lineRule="auto"/>
              <w:ind w:left="0" w:firstLine="0"/>
              <w:jc w:val="left"/>
              <w:rPr>
                <w:rFonts w:ascii="宋体" w:hAnsi="宋体"/>
                <w:bCs/>
                <w:sz w:val="18"/>
                <w:szCs w:val="18"/>
              </w:rPr>
            </w:pPr>
          </w:p>
        </w:tc>
        <w:tc>
          <w:tcPr>
            <w:tcW w:w="850" w:type="dxa"/>
            <w:gridSpan w:val="2"/>
            <w:vAlign w:val="center"/>
          </w:tcPr>
          <w:p w:rsidR="00BF1E87">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BF1E87">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1.7.3</w:t>
            </w:r>
          </w:p>
        </w:tc>
        <w:tc>
          <w:tcPr>
            <w:tcW w:w="7723" w:type="dxa"/>
            <w:vAlign w:val="center"/>
          </w:tcPr>
          <w:p w:rsidR="00BF1E87">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w:t>
            </w:r>
            <w:r>
              <w:rPr>
                <w:rFonts w:ascii="宋体" w:hAnsi="宋体" w:hint="eastAsia"/>
                <w:sz w:val="18"/>
                <w:szCs w:val="18"/>
              </w:rPr>
              <w:t>在任何时候发现投标人以他人名义投标、相互串通投标，投标人提交的投标文件中提交虚假资料或失实资料的，或者以其他方式弄虚作假的，其投标将被拒绝并不</w:t>
            </w:r>
            <w:r>
              <w:rPr>
                <w:rFonts w:ascii="宋体" w:hAnsi="宋体" w:hint="eastAsia"/>
                <w:sz w:val="18"/>
                <w:szCs w:val="18"/>
              </w:rPr>
              <w:t>予退</w:t>
            </w:r>
            <w:r>
              <w:rPr>
                <w:rFonts w:ascii="宋体" w:hAnsi="宋体" w:hint="eastAsia"/>
                <w:sz w:val="18"/>
                <w:szCs w:val="18"/>
              </w:rPr>
              <w:t>还其投标保证金，并视情况依法追究责任。</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1.14.2</w:t>
            </w:r>
          </w:p>
        </w:tc>
        <w:tc>
          <w:tcPr>
            <w:tcW w:w="7723" w:type="dxa"/>
            <w:vAlign w:val="center"/>
          </w:tcPr>
          <w:p w:rsidR="00BF1E87">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w:t>
            </w:r>
            <w:r>
              <w:rPr>
                <w:rFonts w:ascii="宋体" w:hAnsi="宋体" w:hint="eastAsia"/>
                <w:sz w:val="18"/>
                <w:szCs w:val="18"/>
              </w:rPr>
              <w:t>全以下</w:t>
            </w:r>
            <w:r>
              <w:rPr>
                <w:rFonts w:ascii="宋体" w:hAnsi="宋体" w:hint="eastAsia"/>
                <w:sz w:val="18"/>
                <w:szCs w:val="18"/>
              </w:rPr>
              <w:t>商务文件（特别说明除外）：（</w:t>
            </w:r>
            <w:r>
              <w:rPr>
                <w:rFonts w:ascii="宋体" w:hAnsi="宋体" w:hint="eastAsia"/>
                <w:sz w:val="18"/>
                <w:szCs w:val="18"/>
              </w:rPr>
              <w:t>1</w:t>
            </w:r>
            <w:r>
              <w:rPr>
                <w:rFonts w:ascii="宋体" w:hAnsi="宋体" w:hint="eastAsia"/>
                <w:sz w:val="18"/>
                <w:szCs w:val="18"/>
              </w:rPr>
              <w:t>）法定代表人身份证明或授权委托书；（</w:t>
            </w:r>
            <w:r>
              <w:rPr>
                <w:rFonts w:ascii="宋体" w:hAnsi="宋体" w:hint="eastAsia"/>
                <w:sz w:val="18"/>
                <w:szCs w:val="18"/>
              </w:rPr>
              <w:t>2</w:t>
            </w:r>
            <w:r>
              <w:rPr>
                <w:rFonts w:ascii="宋体" w:hAnsi="宋体" w:hint="eastAsia"/>
                <w:sz w:val="18"/>
                <w:szCs w:val="18"/>
              </w:rPr>
              <w:t>）投标函；（</w:t>
            </w:r>
            <w:r>
              <w:rPr>
                <w:rFonts w:ascii="宋体" w:hAnsi="宋体"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；②以投标截止日为基准日，近一年内任何完税凭证或税务部门出具的税收减免证明；③以投标截止日为基准日，近一年内的任何一期社会保障资金缴纳凭证；④财务状况证明；⑤</w:t>
            </w:r>
            <w:r>
              <w:rPr>
                <w:rFonts w:ascii="宋体" w:hAnsi="宋体" w:hint="eastAsia"/>
                <w:sz w:val="18"/>
                <w:szCs w:val="18"/>
              </w:rPr>
              <w:t>近三年内参加政府采购活动中没有重大违法记录声明；⑥不使用第三方软件移植承诺书或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w:t>
            </w:r>
            <w:r>
              <w:rPr>
                <w:rFonts w:ascii="宋体" w:hAnsi="宋体" w:hint="eastAsia"/>
                <w:sz w:val="18"/>
                <w:szCs w:val="18"/>
              </w:rPr>
              <w:t>不</w:t>
            </w:r>
            <w:r>
              <w:rPr>
                <w:rFonts w:ascii="宋体" w:hAnsi="宋体" w:hint="eastAsia"/>
                <w:sz w:val="18"/>
                <w:szCs w:val="18"/>
              </w:rPr>
              <w:t>必须取得《气象专用技术装备使用许可证》的，可以不提供）；</w:t>
            </w:r>
            <w:r>
              <w:rPr>
                <w:rFonts w:ascii="宋体" w:hAnsi="宋体" w:hint="eastAsia"/>
                <w:bCs/>
                <w:sz w:val="18"/>
                <w:szCs w:val="18"/>
              </w:rPr>
              <w:t>⑧进口产品制造商授权书（投标货物不是进口产品的，不提供）；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w:t>
            </w:r>
            <w:r>
              <w:rPr>
                <w:rFonts w:ascii="宋体" w:hAnsi="宋体" w:hint="eastAsia"/>
                <w:bCs/>
                <w:sz w:val="18"/>
                <w:szCs w:val="18"/>
              </w:rPr>
              <w:t>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w:t>
            </w:r>
            <w:r>
              <w:rPr>
                <w:rFonts w:ascii="宋体" w:hAnsi="宋体" w:hint="eastAsia"/>
                <w:b/>
                <w:sz w:val="18"/>
                <w:szCs w:val="18"/>
              </w:rPr>
              <w:t>5.2</w:t>
            </w:r>
            <w:r>
              <w:rPr>
                <w:rFonts w:ascii="宋体" w:hAnsi="宋体" w:hint="eastAsia"/>
                <w:b/>
                <w:sz w:val="18"/>
                <w:szCs w:val="18"/>
              </w:rPr>
              <w:t>条</w:t>
            </w:r>
            <w:r>
              <w:rPr>
                <w:rFonts w:ascii="宋体" w:hAnsi="宋体" w:hint="eastAsia"/>
                <w:sz w:val="18"/>
                <w:szCs w:val="18"/>
              </w:rPr>
              <w:t>规定应提交的特殊资质条件证明文件。（</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1.14.3</w:t>
            </w:r>
          </w:p>
        </w:tc>
        <w:tc>
          <w:tcPr>
            <w:tcW w:w="7723" w:type="dxa"/>
          </w:tcPr>
          <w:p w:rsidR="00BF1E87">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w:t>
            </w:r>
            <w:r>
              <w:rPr>
                <w:rFonts w:ascii="宋体" w:hAnsi="宋体" w:hint="eastAsia"/>
                <w:sz w:val="18"/>
                <w:szCs w:val="18"/>
              </w:rPr>
              <w:t>全以下</w:t>
            </w:r>
            <w:r>
              <w:rPr>
                <w:rFonts w:ascii="宋体" w:hAnsi="宋体" w:hint="eastAsia"/>
                <w:sz w:val="18"/>
                <w:szCs w:val="18"/>
              </w:rPr>
              <w:t>技术文件（特别说明除外）：</w:t>
            </w:r>
            <w:r>
              <w:rPr>
                <w:rFonts w:ascii="宋体" w:hAnsi="宋体" w:hint="eastAsia"/>
                <w:sz w:val="18"/>
                <w:szCs w:val="18"/>
              </w:rPr>
              <w:t>1</w:t>
            </w:r>
            <w:r>
              <w:rPr>
                <w:rFonts w:ascii="宋体" w:hAnsi="宋体" w:hint="eastAsia"/>
                <w:sz w:val="18"/>
                <w:szCs w:val="18"/>
              </w:rPr>
              <w:t>、开标一览表；</w:t>
            </w:r>
            <w:r>
              <w:rPr>
                <w:rFonts w:ascii="宋体" w:hAnsi="宋体" w:hint="eastAsia"/>
                <w:sz w:val="18"/>
                <w:szCs w:val="18"/>
              </w:rPr>
              <w:t>2</w:t>
            </w:r>
            <w:r>
              <w:rPr>
                <w:rFonts w:ascii="宋体" w:hAnsi="宋体" w:hint="eastAsia"/>
                <w:sz w:val="18"/>
                <w:szCs w:val="18"/>
              </w:rPr>
              <w:t>、分项报价表；</w:t>
            </w:r>
            <w:r>
              <w:rPr>
                <w:rFonts w:ascii="宋体" w:hAnsi="宋体" w:hint="eastAsia"/>
                <w:sz w:val="18"/>
                <w:szCs w:val="18"/>
              </w:rPr>
              <w:t>3</w:t>
            </w:r>
            <w:r>
              <w:rPr>
                <w:rFonts w:ascii="宋体" w:hAnsi="宋体" w:hint="eastAsia"/>
                <w:sz w:val="18"/>
                <w:szCs w:val="18"/>
              </w:rPr>
              <w:t>、服务团队人员基本情况表（</w:t>
            </w:r>
            <w:r>
              <w:rPr>
                <w:rFonts w:ascii="宋体" w:hAnsi="宋体" w:hint="eastAsia"/>
                <w:sz w:val="18"/>
                <w:szCs w:val="18"/>
              </w:rPr>
              <w:t>如未要求组成专门的服务团队的，不提供）；</w:t>
            </w:r>
            <w:r>
              <w:rPr>
                <w:rFonts w:ascii="宋体" w:hAnsi="宋体" w:hint="eastAsia"/>
                <w:sz w:val="18"/>
                <w:szCs w:val="18"/>
              </w:rPr>
              <w:t>4</w:t>
            </w:r>
            <w:r>
              <w:rPr>
                <w:rFonts w:ascii="宋体" w:hAnsi="宋体" w:hint="eastAsia"/>
                <w:sz w:val="18"/>
                <w:szCs w:val="18"/>
              </w:rPr>
              <w:t>、技术要求偏离表；</w:t>
            </w:r>
            <w:r>
              <w:rPr>
                <w:rFonts w:ascii="宋体" w:hAnsi="宋体" w:hint="eastAsia"/>
                <w:sz w:val="18"/>
                <w:szCs w:val="18"/>
              </w:rPr>
              <w:t>5</w:t>
            </w:r>
            <w:r>
              <w:rPr>
                <w:rFonts w:ascii="宋体" w:hAnsi="宋体" w:hint="eastAsia"/>
                <w:sz w:val="18"/>
                <w:szCs w:val="18"/>
              </w:rPr>
              <w:t>、按照第五章投标人须知专用部分</w:t>
            </w:r>
            <w:r>
              <w:rPr>
                <w:rFonts w:ascii="宋体" w:hAnsi="宋体" w:hint="eastAsia"/>
                <w:sz w:val="18"/>
                <w:szCs w:val="18"/>
              </w:rPr>
              <w:t>5.13</w:t>
            </w:r>
            <w:r>
              <w:rPr>
                <w:rFonts w:ascii="宋体" w:hAnsi="宋体" w:hint="eastAsia"/>
                <w:sz w:val="18"/>
                <w:szCs w:val="18"/>
              </w:rPr>
              <w:t>条规定应提交的其他技术文件。</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1.15.2</w:t>
            </w:r>
          </w:p>
        </w:tc>
        <w:tc>
          <w:tcPr>
            <w:tcW w:w="7723" w:type="dxa"/>
            <w:vAlign w:val="center"/>
          </w:tcPr>
          <w:p w:rsidR="00BF1E87">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1.2.9</w:t>
            </w:r>
            <w:r>
              <w:rPr>
                <w:rFonts w:hint="eastAsia"/>
                <w:sz w:val="18"/>
                <w:szCs w:val="18"/>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1.16.3</w:t>
            </w:r>
          </w:p>
        </w:tc>
        <w:tc>
          <w:tcPr>
            <w:tcW w:w="7723" w:type="dxa"/>
            <w:vAlign w:val="center"/>
          </w:tcPr>
          <w:p w:rsidR="00BF1E87">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1.17.2</w:t>
            </w:r>
          </w:p>
        </w:tc>
        <w:tc>
          <w:tcPr>
            <w:tcW w:w="7723" w:type="dxa"/>
            <w:vAlign w:val="center"/>
          </w:tcPr>
          <w:p w:rsidR="00BF1E87">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1.17.4</w:t>
            </w:r>
          </w:p>
        </w:tc>
        <w:tc>
          <w:tcPr>
            <w:tcW w:w="7723" w:type="dxa"/>
            <w:vAlign w:val="center"/>
          </w:tcPr>
          <w:p w:rsidR="00BF1E87">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w:t>
            </w:r>
            <w:r>
              <w:rPr>
                <w:rFonts w:ascii="宋体" w:hAnsi="宋体" w:hint="eastAsia"/>
                <w:sz w:val="18"/>
                <w:szCs w:val="18"/>
              </w:rPr>
              <w:t>按包分别</w:t>
            </w:r>
            <w:r>
              <w:rPr>
                <w:rFonts w:ascii="宋体" w:hAnsi="宋体" w:hint="eastAsia"/>
                <w:sz w:val="18"/>
                <w:szCs w:val="18"/>
              </w:rPr>
              <w:t>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1.18</w:t>
            </w:r>
          </w:p>
        </w:tc>
        <w:tc>
          <w:tcPr>
            <w:tcW w:w="7723" w:type="dxa"/>
            <w:vAlign w:val="center"/>
          </w:tcPr>
          <w:p w:rsidR="00BF1E87">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1.20.1</w:t>
            </w:r>
          </w:p>
        </w:tc>
        <w:tc>
          <w:tcPr>
            <w:tcW w:w="7723" w:type="dxa"/>
            <w:vAlign w:val="center"/>
          </w:tcPr>
          <w:p w:rsidR="00BF1E87">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Look w:val="0000"/>
        </w:tblPrEx>
        <w:trPr>
          <w:cantSplit/>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1.22.3</w:t>
            </w:r>
          </w:p>
        </w:tc>
        <w:tc>
          <w:tcPr>
            <w:tcW w:w="7723" w:type="dxa"/>
            <w:vAlign w:val="center"/>
          </w:tcPr>
          <w:p w:rsidR="00BF1E87">
            <w:pPr>
              <w:tabs>
                <w:tab w:val="left" w:pos="1573"/>
              </w:tabs>
              <w:adjustRightInd w:val="0"/>
              <w:snapToGrid w:val="0"/>
              <w:spacing w:line="360" w:lineRule="auto"/>
              <w:rPr>
                <w:rFonts w:ascii="宋体" w:hAnsi="宋体" w:cs="Arial"/>
                <w:sz w:val="18"/>
                <w:szCs w:val="18"/>
              </w:rPr>
            </w:pPr>
            <w:r>
              <w:rPr>
                <w:rFonts w:ascii="宋体" w:hAnsi="宋体" w:hint="eastAsia"/>
                <w:sz w:val="18"/>
                <w:szCs w:val="18"/>
              </w:rPr>
              <w:t>在投标截止时间之前，投标人未完成加密电子投标文件上传，无论采购中心是否在投标截止时间前收到以光盘等存储介质提交的</w:t>
            </w:r>
            <w:r>
              <w:rPr>
                <w:rFonts w:ascii="宋体" w:hAnsi="宋体" w:hint="eastAsia"/>
                <w:bCs/>
                <w:sz w:val="18"/>
                <w:szCs w:val="18"/>
              </w:rPr>
              <w:t>投标文件电子版文件包，</w:t>
            </w:r>
            <w:r>
              <w:rPr>
                <w:rFonts w:ascii="宋体" w:hAnsi="宋体" w:hint="eastAsia"/>
                <w:sz w:val="18"/>
                <w:szCs w:val="18"/>
              </w:rPr>
              <w:t>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1.26.5</w:t>
            </w:r>
          </w:p>
        </w:tc>
        <w:tc>
          <w:tcPr>
            <w:tcW w:w="7723" w:type="dxa"/>
            <w:vAlign w:val="center"/>
          </w:tcPr>
          <w:p w:rsidR="00BF1E87">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1.26.8</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1.26.9</w:t>
            </w:r>
          </w:p>
        </w:tc>
        <w:tc>
          <w:tcPr>
            <w:tcW w:w="7723" w:type="dxa"/>
            <w:vAlign w:val="center"/>
          </w:tcPr>
          <w:p w:rsidR="00BF1E87">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）投标人提供产品或服务的交货（工）时间及地点、质保期不满足本招标文件要求的。</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1.27.2</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1.27.3</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w:t>
            </w:r>
            <w:r>
              <w:rPr>
                <w:rFonts w:hint="eastAsia"/>
                <w:sz w:val="18"/>
                <w:szCs w:val="18"/>
              </w:rPr>
              <w:t>员会应当将其作为无效投标处理。</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rPr>
                <w:rFonts w:ascii="宋体" w:hAnsi="宋体"/>
                <w:sz w:val="18"/>
                <w:szCs w:val="18"/>
              </w:rPr>
            </w:pPr>
            <w:r>
              <w:rPr>
                <w:rFonts w:ascii="宋体" w:hAnsi="宋体" w:hint="eastAsia"/>
                <w:sz w:val="18"/>
                <w:szCs w:val="18"/>
              </w:rPr>
              <w:t>1.30.1</w:t>
            </w:r>
          </w:p>
        </w:tc>
        <w:tc>
          <w:tcPr>
            <w:tcW w:w="7723" w:type="dxa"/>
            <w:vAlign w:val="center"/>
          </w:tcPr>
          <w:p w:rsidR="00BF1E87">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Look w:val="0000"/>
        </w:tblPrEx>
        <w:trPr>
          <w:cantSplit/>
          <w:trHeight w:val="376"/>
        </w:trPr>
        <w:tc>
          <w:tcPr>
            <w:tcW w:w="9107" w:type="dxa"/>
            <w:gridSpan w:val="4"/>
            <w:vAlign w:val="center"/>
          </w:tcPr>
          <w:p w:rsidR="00BF1E87">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2.6</w:t>
            </w:r>
          </w:p>
        </w:tc>
        <w:tc>
          <w:tcPr>
            <w:tcW w:w="7723" w:type="dxa"/>
            <w:vAlign w:val="center"/>
          </w:tcPr>
          <w:p w:rsidR="00BF1E87">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2.7</w:t>
            </w:r>
          </w:p>
        </w:tc>
        <w:tc>
          <w:tcPr>
            <w:tcW w:w="7723" w:type="dxa"/>
            <w:vAlign w:val="center"/>
          </w:tcPr>
          <w:p w:rsidR="00BF1E87">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2.11.5</w:t>
            </w:r>
          </w:p>
        </w:tc>
        <w:tc>
          <w:tcPr>
            <w:tcW w:w="7723" w:type="dxa"/>
            <w:vAlign w:val="center"/>
          </w:tcPr>
          <w:p w:rsidR="00BF1E87">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2.11.7</w:t>
            </w:r>
          </w:p>
        </w:tc>
        <w:tc>
          <w:tcPr>
            <w:tcW w:w="7723" w:type="dxa"/>
            <w:vAlign w:val="center"/>
          </w:tcPr>
          <w:p w:rsidR="00BF1E87">
            <w:pPr>
              <w:tabs>
                <w:tab w:val="left" w:pos="1573"/>
              </w:tabs>
              <w:adjustRightInd w:val="0"/>
              <w:snapToGrid w:val="0"/>
              <w:spacing w:line="360" w:lineRule="auto"/>
              <w:outlineLvl w:val="4"/>
              <w:rPr>
                <w:rFonts w:ascii="宋体" w:hAnsi="宋体"/>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w:t>
            </w:r>
            <w:r>
              <w:rPr>
                <w:rFonts w:ascii="宋体" w:hAnsi="宋体" w:hint="eastAsia"/>
                <w:sz w:val="18"/>
                <w:szCs w:val="18"/>
              </w:rPr>
              <w:t>函内容</w:t>
            </w:r>
            <w:r>
              <w:rPr>
                <w:rFonts w:ascii="宋体" w:hAnsi="宋体" w:hint="eastAsia"/>
                <w:sz w:val="18"/>
                <w:szCs w:val="18"/>
              </w:rPr>
              <w:t>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2.11.8</w:t>
            </w:r>
          </w:p>
        </w:tc>
        <w:tc>
          <w:tcPr>
            <w:tcW w:w="7723" w:type="dxa"/>
            <w:vAlign w:val="center"/>
          </w:tcPr>
          <w:p w:rsidR="00BF1E87">
            <w:pPr>
              <w:tabs>
                <w:tab w:val="left" w:pos="1573"/>
              </w:tabs>
              <w:adjustRightInd w:val="0"/>
              <w:snapToGrid w:val="0"/>
              <w:spacing w:line="360" w:lineRule="auto"/>
              <w:jc w:val="left"/>
              <w:outlineLvl w:val="4"/>
              <w:rPr>
                <w:rFonts w:ascii="宋体" w:hAnsi="宋体"/>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w:t>
            </w:r>
            <w:r>
              <w:rPr>
                <w:rFonts w:ascii="宋体" w:hAnsi="宋体" w:hint="eastAsia"/>
                <w:sz w:val="18"/>
                <w:szCs w:val="18"/>
              </w:rPr>
              <w:t>函内容</w:t>
            </w:r>
            <w:r>
              <w:rPr>
                <w:rFonts w:ascii="宋体" w:hAnsi="宋体" w:hint="eastAsia"/>
                <w:sz w:val="18"/>
                <w:szCs w:val="18"/>
              </w:rPr>
              <w:t>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Height w:val="376"/>
        </w:trPr>
        <w:tc>
          <w:tcPr>
            <w:tcW w:w="534" w:type="dxa"/>
            <w:vAlign w:val="center"/>
          </w:tcPr>
          <w:p w:rsidR="00BF1E87">
            <w:pPr>
              <w:numPr>
                <w:ilvl w:val="0"/>
                <w:numId w:val="3"/>
              </w:numPr>
              <w:ind w:left="0" w:firstLine="0"/>
              <w:jc w:val="left"/>
              <w:rPr>
                <w:rFonts w:ascii="宋体" w:hAnsi="宋体"/>
                <w:sz w:val="18"/>
                <w:szCs w:val="18"/>
              </w:rPr>
            </w:pPr>
          </w:p>
        </w:tc>
        <w:tc>
          <w:tcPr>
            <w:tcW w:w="850" w:type="dxa"/>
            <w:gridSpan w:val="2"/>
            <w:vAlign w:val="center"/>
          </w:tcPr>
          <w:p w:rsidR="00BF1E87">
            <w:pPr>
              <w:jc w:val="left"/>
              <w:rPr>
                <w:rFonts w:ascii="宋体" w:hAnsi="宋体"/>
                <w:sz w:val="18"/>
                <w:szCs w:val="18"/>
              </w:rPr>
            </w:pPr>
            <w:r>
              <w:rPr>
                <w:rFonts w:ascii="宋体" w:hAnsi="宋体" w:hint="eastAsia"/>
                <w:sz w:val="18"/>
                <w:szCs w:val="18"/>
              </w:rPr>
              <w:t>2.11.11</w:t>
            </w:r>
          </w:p>
        </w:tc>
        <w:tc>
          <w:tcPr>
            <w:tcW w:w="7723" w:type="dxa"/>
            <w:vAlign w:val="center"/>
          </w:tcPr>
          <w:p w:rsidR="00BF1E87">
            <w:pPr>
              <w:pStyle w:val="10"/>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BF1E87">
      <w:pPr>
        <w:spacing w:line="360" w:lineRule="auto"/>
        <w:jc w:val="left"/>
        <w:rPr>
          <w:b/>
          <w:bCs/>
          <w:sz w:val="44"/>
          <w:szCs w:val="44"/>
        </w:rPr>
      </w:pPr>
    </w:p>
    <w:p w:rsidR="00BF1E87">
      <w:pPr>
        <w:spacing w:line="360" w:lineRule="auto"/>
        <w:jc w:val="left"/>
        <w:rPr>
          <w:b/>
          <w:bCs/>
          <w:sz w:val="44"/>
          <w:szCs w:val="44"/>
        </w:rPr>
      </w:pPr>
      <w:r>
        <w:rPr>
          <w:b/>
          <w:bCs/>
          <w:sz w:val="44"/>
          <w:szCs w:val="44"/>
        </w:rPr>
        <w:br w:type="page"/>
      </w:r>
    </w:p>
    <w:p w:rsidR="00BF1E87">
      <w:pPr>
        <w:spacing w:line="360" w:lineRule="auto"/>
        <w:jc w:val="left"/>
        <w:rPr>
          <w:b/>
          <w:bCs/>
          <w:sz w:val="44"/>
          <w:szCs w:val="44"/>
        </w:rPr>
      </w:pPr>
    </w:p>
    <w:p w:rsidR="00BF1E87">
      <w:pPr>
        <w:spacing w:line="360" w:lineRule="auto"/>
        <w:jc w:val="center"/>
        <w:outlineLvl w:val="0"/>
        <w:rPr>
          <w:rFonts w:ascii="宋体" w:hAnsi="宋体"/>
          <w:b/>
          <w:sz w:val="48"/>
          <w:szCs w:val="36"/>
        </w:rPr>
      </w:pPr>
      <w:r>
        <w:rPr>
          <w:rFonts w:hint="eastAsia"/>
          <w:b/>
          <w:sz w:val="48"/>
          <w:szCs w:val="36"/>
        </w:rPr>
        <w:t>第二分册：专用部分</w:t>
      </w:r>
    </w:p>
    <w:p w:rsidR="00BF1E87">
      <w:pPr>
        <w:spacing w:line="360" w:lineRule="auto"/>
      </w:pPr>
    </w:p>
    <w:p w:rsidR="00BF1E87">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BF1E87">
      <w:pPr>
        <w:spacing w:line="360" w:lineRule="auto"/>
        <w:rPr>
          <w:b/>
          <w:bCs/>
          <w:szCs w:val="21"/>
        </w:rPr>
      </w:pPr>
    </w:p>
    <w:p w:rsidR="00BF1E87" w:rsidP="00961793">
      <w:pPr>
        <w:adjustRightInd w:val="0"/>
        <w:snapToGrid w:val="0"/>
        <w:spacing w:line="360" w:lineRule="auto"/>
        <w:ind w:firstLine="2157" w:firstLineChars="1027"/>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BF1E87" w:rsidP="00961793">
      <w:pPr>
        <w:adjustRightInd w:val="0"/>
        <w:snapToGrid w:val="0"/>
        <w:spacing w:line="360" w:lineRule="auto"/>
        <w:ind w:firstLine="2157" w:firstLineChars="1027"/>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BF1E87" w:rsidP="00961793">
      <w:pPr>
        <w:adjustRightInd w:val="0"/>
        <w:snapToGrid w:val="0"/>
        <w:spacing w:line="360" w:lineRule="auto"/>
        <w:ind w:firstLine="2157" w:firstLineChars="1027"/>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BF1E87" w:rsidP="00961793">
      <w:pPr>
        <w:adjustRightInd w:val="0"/>
        <w:snapToGrid w:val="0"/>
        <w:spacing w:line="360" w:lineRule="auto"/>
        <w:ind w:firstLine="2157" w:firstLineChars="1027"/>
        <w:jc w:val="left"/>
        <w:rPr>
          <w:b/>
          <w:bCs/>
          <w:szCs w:val="21"/>
        </w:rPr>
      </w:pPr>
      <w:r>
        <w:rPr>
          <w:rFonts w:hint="eastAsia"/>
          <w:b/>
          <w:szCs w:val="21"/>
        </w:rPr>
        <w:t>第七章</w:t>
      </w:r>
      <w:r>
        <w:rPr>
          <w:rFonts w:hint="eastAsia"/>
          <w:b/>
          <w:szCs w:val="21"/>
        </w:rPr>
        <w:t xml:space="preserve">  </w:t>
      </w:r>
      <w:r>
        <w:rPr>
          <w:rFonts w:hint="eastAsia"/>
          <w:b/>
          <w:szCs w:val="21"/>
        </w:rPr>
        <w:t>采购需求</w:t>
      </w:r>
    </w:p>
    <w:p w:rsidR="00BF1E87" w:rsidP="00961793">
      <w:pPr>
        <w:adjustRightInd w:val="0"/>
        <w:snapToGrid w:val="0"/>
        <w:spacing w:line="360" w:lineRule="auto"/>
        <w:ind w:firstLine="2157" w:firstLineChars="1027"/>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BF1E87">
      <w:pPr>
        <w:adjustRightInd w:val="0"/>
        <w:snapToGrid w:val="0"/>
        <w:spacing w:line="360" w:lineRule="auto"/>
        <w:jc w:val="left"/>
        <w:rPr>
          <w:b/>
          <w:bCs/>
          <w:szCs w:val="21"/>
        </w:rPr>
      </w:pPr>
      <w:r>
        <w:rPr>
          <w:b/>
          <w:bCs/>
          <w:szCs w:val="21"/>
        </w:rPr>
        <w:br w:type="page"/>
      </w:r>
    </w:p>
    <w:p w:rsidR="00BF1E87">
      <w:pPr>
        <w:adjustRightInd w:val="0"/>
        <w:snapToGrid w:val="0"/>
        <w:spacing w:line="360" w:lineRule="auto"/>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BF1E87">
      <w:pPr>
        <w:spacing w:line="360" w:lineRule="auto"/>
        <w:ind w:firstLine="420" w:firstLineChars="20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国家气象信息中心</w:t>
      </w:r>
      <w:bookmarkEnd w:id="21"/>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BF1E87" w:rsidP="00961793">
      <w:pPr>
        <w:spacing w:line="360" w:lineRule="auto"/>
        <w:ind w:firstLine="420" w:firstLineChars="200"/>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中国气象数据网架构升级及专题服务建设采购项目</w:t>
      </w:r>
      <w:bookmarkEnd w:id="22"/>
      <w:r>
        <w:rPr>
          <w:rFonts w:ascii="宋体" w:hAnsi="宋体" w:cs="宋体" w:hint="eastAsia"/>
          <w:b/>
          <w:bCs/>
          <w:szCs w:val="21"/>
        </w:rPr>
        <w:t>。</w:t>
      </w:r>
    </w:p>
    <w:p w:rsidR="00BF1E87" w:rsidP="00961793">
      <w:pPr>
        <w:spacing w:line="360" w:lineRule="auto"/>
        <w:ind w:firstLine="412" w:firstLineChars="196"/>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ZQCD-25014</w:t>
      </w:r>
      <w:bookmarkEnd w:id="23"/>
      <w:r>
        <w:rPr>
          <w:rFonts w:ascii="宋体" w:hAnsi="宋体" w:cs="宋体" w:hint="eastAsia"/>
          <w:b/>
          <w:bCs/>
          <w:szCs w:val="21"/>
        </w:rPr>
        <w:t>。</w:t>
      </w:r>
    </w:p>
    <w:p w:rsidR="00BF1E87" w:rsidP="00961793">
      <w:pPr>
        <w:spacing w:line="360" w:lineRule="auto"/>
        <w:ind w:firstLine="412" w:firstLineChars="196"/>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BF1E87">
      <w:pPr>
        <w:adjustRightInd w:val="0"/>
        <w:snapToGrid w:val="0"/>
        <w:spacing w:line="360" w:lineRule="auto"/>
        <w:ind w:firstLine="420" w:firstLineChars="20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rsidR="00BF1E87">
      <w:pPr>
        <w:adjustRightInd w:val="0"/>
        <w:snapToGrid w:val="0"/>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（详见第七章采购需求）</w:t>
      </w:r>
    </w:p>
    <w:p w:rsidR="00BF1E87">
      <w:pPr>
        <w:adjustRightInd w:val="0"/>
        <w:snapToGrid w:val="0"/>
        <w:spacing w:line="360" w:lineRule="auto"/>
        <w:ind w:firstLine="420" w:firstLineChars="20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上述服务产品及设备、系统软件的供应、运输、安装调试、培训及售后服务。</w:t>
      </w:r>
    </w:p>
    <w:p w:rsidR="00BF1E87">
      <w:pPr>
        <w:adjustRightInd w:val="0"/>
        <w:snapToGrid w:val="0"/>
        <w:spacing w:line="360" w:lineRule="auto"/>
        <w:ind w:firstLine="315" w:firstLineChars="150"/>
        <w:rPr>
          <w:rFonts w:ascii="宋体" w:hAnsi="宋体"/>
          <w:bCs/>
          <w:szCs w:val="21"/>
        </w:rPr>
      </w:pPr>
      <w:r>
        <w:rPr>
          <w:rFonts w:ascii="宋体" w:hAnsi="宋体" w:hint="eastAsia"/>
          <w:bCs/>
          <w:szCs w:val="21"/>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BF1E87">
      <w:pPr>
        <w:adjustRightInd w:val="0"/>
        <w:snapToGrid w:val="0"/>
        <w:spacing w:line="360" w:lineRule="auto"/>
        <w:ind w:firstLine="420" w:firstLineChars="20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5" w:name="合同履约期限_contractPerformancePeriod"/>
      <w:r>
        <w:rPr>
          <w:rFonts w:ascii="宋体" w:hAnsi="宋体" w:cs="微软雅黑" w:hint="eastAsia"/>
          <w:b/>
          <w:color w:val="0000FF"/>
          <w:kern w:val="0"/>
          <w:szCs w:val="21"/>
        </w:rPr>
        <w:t>合同签订后150天内交货，210天内完成安装调试并具备验收条件</w:t>
      </w:r>
      <w:bookmarkEnd w:id="25"/>
      <w:r>
        <w:rPr>
          <w:rFonts w:ascii="宋体" w:hAnsi="宋体" w:cs="微软雅黑" w:hint="eastAsia"/>
          <w:b/>
          <w:color w:val="0000FF"/>
          <w:kern w:val="0"/>
          <w:szCs w:val="21"/>
        </w:rPr>
        <w:t>。</w:t>
      </w:r>
    </w:p>
    <w:p w:rsidR="00BF1E87">
      <w:pPr>
        <w:adjustRightInd w:val="0"/>
        <w:snapToGrid w:val="0"/>
        <w:spacing w:line="360" w:lineRule="auto"/>
        <w:ind w:firstLine="420" w:firstLineChars="20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6" w:name="合同履约期限_performanceAddress"/>
      <w:r>
        <w:rPr>
          <w:rFonts w:ascii="宋体" w:hAnsi="宋体" w:cs="微软雅黑" w:hint="eastAsia"/>
          <w:b/>
          <w:color w:val="0000FF"/>
          <w:kern w:val="0"/>
          <w:szCs w:val="21"/>
        </w:rPr>
        <w:t>国家气象信息中心</w:t>
      </w:r>
      <w:bookmarkEnd w:id="26"/>
      <w:r>
        <w:rPr>
          <w:rFonts w:ascii="宋体" w:hAnsi="宋体" w:cs="微软雅黑" w:hint="eastAsia"/>
          <w:b/>
          <w:color w:val="0000FF"/>
          <w:kern w:val="0"/>
          <w:szCs w:val="21"/>
        </w:rPr>
        <w:t>。</w:t>
      </w:r>
    </w:p>
    <w:p w:rsidR="00BF1E87" w:rsidP="00961793">
      <w:pPr>
        <w:adjustRightInd w:val="0"/>
        <w:snapToGrid w:val="0"/>
        <w:spacing w:line="360" w:lineRule="auto"/>
        <w:ind w:firstLine="412" w:firstLineChars="196"/>
        <w:rPr>
          <w:rFonts w:ascii="宋体" w:hAnsi="宋体"/>
          <w:b/>
          <w:szCs w:val="24"/>
        </w:rPr>
      </w:pPr>
      <w:r>
        <w:rPr>
          <w:rFonts w:ascii="宋体" w:hAnsi="宋体" w:cs="宋体" w:hint="eastAsia"/>
          <w:b/>
          <w:szCs w:val="21"/>
        </w:rPr>
        <w:t>四、</w:t>
      </w:r>
      <w:r>
        <w:rPr>
          <w:rFonts w:ascii="宋体" w:hAnsi="宋体" w:hint="eastAsia"/>
          <w:b/>
          <w:szCs w:val="24"/>
        </w:rPr>
        <w:t>招标文件获取</w:t>
      </w:r>
    </w:p>
    <w:p w:rsidR="00BF1E87">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rsidR="00BF1E87">
      <w:pPr>
        <w:snapToGrid w:val="0"/>
        <w:spacing w:line="360" w:lineRule="auto"/>
        <w:ind w:firstLine="420" w:firstLineChars="20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BF1E87">
      <w:pPr>
        <w:snapToGrid w:val="0"/>
        <w:spacing w:line="360" w:lineRule="auto"/>
        <w:ind w:firstLine="420" w:firstLineChars="20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w:t>
      </w:r>
      <w:r>
        <w:rPr>
          <w:rFonts w:ascii="宋体" w:hint="eastAsia"/>
          <w:szCs w:val="21"/>
        </w:rPr>
        <w:t>按包号</w:t>
      </w:r>
      <w:r>
        <w:rPr>
          <w:rFonts w:ascii="宋体" w:hint="eastAsia"/>
          <w:szCs w:val="21"/>
        </w:rPr>
        <w:t>进行报名。</w:t>
      </w:r>
    </w:p>
    <w:p w:rsidR="00BF1E87">
      <w:pPr>
        <w:snapToGrid w:val="0"/>
        <w:spacing w:line="360" w:lineRule="auto"/>
        <w:ind w:firstLine="420" w:firstLineChars="200"/>
        <w:rPr>
          <w:rFonts w:ascii="宋体" w:hAnsi="宋体"/>
          <w:szCs w:val="21"/>
        </w:rPr>
      </w:pPr>
      <w:r>
        <w:rPr>
          <w:rFonts w:ascii="宋体" w:hAnsi="宋体" w:hint="eastAsia"/>
          <w:szCs w:val="21"/>
        </w:rPr>
        <w:t>网上报名时间</w:t>
      </w:r>
      <w:r>
        <w:rPr>
          <w:rFonts w:ascii="宋体" w:hint="eastAsia"/>
          <w:szCs w:val="21"/>
        </w:rPr>
        <w:t>：</w:t>
      </w:r>
      <w:bookmarkStart w:id="27" w:name="项目公告_signUpFirstTime"/>
      <w:r>
        <w:rPr>
          <w:rFonts w:ascii="宋体" w:hint="eastAsia"/>
          <w:szCs w:val="21"/>
        </w:rPr>
        <w:t>2025年06月06日 00:00:00</w:t>
      </w:r>
      <w:bookmarkEnd w:id="27"/>
      <w:r>
        <w:rPr>
          <w:rFonts w:ascii="宋体" w:hint="eastAsia"/>
          <w:szCs w:val="21"/>
        </w:rPr>
        <w:t>至</w:t>
      </w:r>
      <w:bookmarkStart w:id="28" w:name="项目公告_signUpLastTime"/>
      <w:r>
        <w:rPr>
          <w:rFonts w:ascii="宋体" w:hint="eastAsia"/>
          <w:szCs w:val="21"/>
        </w:rPr>
        <w:t>2025年06月13日 17:00:00</w:t>
      </w:r>
      <w:bookmarkEnd w:id="28"/>
      <w:r>
        <w:rPr>
          <w:rFonts w:ascii="宋体" w:hAnsi="宋体" w:hint="eastAsia"/>
          <w:szCs w:val="21"/>
        </w:rPr>
        <w:t>（北京时间）。请潜在供应商务必在网上报名截止时间前进行报名并</w:t>
      </w:r>
      <w:r>
        <w:rPr>
          <w:rFonts w:ascii="宋体" w:hAnsi="宋体" w:hint="eastAsia"/>
          <w:szCs w:val="21"/>
        </w:rPr>
        <w:t>按包号下载</w:t>
      </w:r>
      <w:r>
        <w:rPr>
          <w:rFonts w:ascii="宋体" w:hAnsi="宋体" w:hint="eastAsia"/>
          <w:szCs w:val="21"/>
        </w:rPr>
        <w:t>招标文件，超过报名截止时间的将无法报名。</w:t>
      </w:r>
    </w:p>
    <w:p w:rsidR="00BF1E87">
      <w:pPr>
        <w:snapToGrid w:val="0"/>
        <w:spacing w:line="360" w:lineRule="auto"/>
        <w:ind w:firstLine="420" w:firstLineChars="200"/>
        <w:rPr>
          <w:rFonts w:ascii="宋体" w:hAnsi="宋体"/>
          <w:szCs w:val="21"/>
        </w:rPr>
      </w:pPr>
      <w:r>
        <w:rPr>
          <w:rFonts w:ascii="宋体" w:hAnsi="宋体" w:hint="eastAsia"/>
          <w:szCs w:val="21"/>
        </w:rPr>
        <w:t>第三步：下载招标文件。潜在供应商报名成功后即可下载拟参加项目</w:t>
      </w:r>
      <w:r>
        <w:rPr>
          <w:rFonts w:ascii="宋体" w:hAnsi="宋体" w:hint="eastAsia"/>
          <w:szCs w:val="21"/>
        </w:rPr>
        <w:t>对应包号的</w:t>
      </w:r>
      <w:r>
        <w:rPr>
          <w:rFonts w:ascii="宋体" w:hAnsi="宋体" w:hint="eastAsia"/>
          <w:szCs w:val="21"/>
        </w:rPr>
        <w:t>招标文件。</w:t>
      </w:r>
    </w:p>
    <w:p w:rsidR="00BF1E87">
      <w:pPr>
        <w:adjustRightInd w:val="0"/>
        <w:snapToGrid w:val="0"/>
        <w:spacing w:line="360" w:lineRule="auto"/>
        <w:ind w:firstLine="420" w:firstLineChars="20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w:t>
      </w:r>
      <w:r>
        <w:rPr>
          <w:rFonts w:ascii="宋体" w:hint="eastAsia"/>
          <w:szCs w:val="21"/>
        </w:rPr>
        <w:t>前下载招标文件的，对招标文件的质疑期限从下载之日起计算。</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潜在供应商在报名及下载招标文件的过程中，涉及系统平台操作的技术问题，可致电采购中</w:t>
      </w:r>
      <w:r>
        <w:rPr>
          <w:rFonts w:ascii="宋体" w:hAnsi="宋体" w:hint="eastAsia"/>
          <w:bCs/>
          <w:szCs w:val="21"/>
        </w:rPr>
        <w:t>心技术支持电话。</w:t>
      </w:r>
    </w:p>
    <w:p w:rsidR="00BF1E87" w:rsidP="00961793">
      <w:pPr>
        <w:adjustRightInd w:val="0"/>
        <w:snapToGrid w:val="0"/>
        <w:spacing w:line="360" w:lineRule="auto"/>
        <w:ind w:firstLine="412" w:firstLineChars="196"/>
        <w:rPr>
          <w:rFonts w:ascii="宋体"/>
          <w:b/>
          <w:bCs/>
          <w:szCs w:val="21"/>
        </w:rPr>
      </w:pPr>
      <w:r>
        <w:rPr>
          <w:rFonts w:ascii="宋体" w:hint="eastAsia"/>
          <w:b/>
          <w:bCs/>
          <w:szCs w:val="21"/>
        </w:rPr>
        <w:t>五、投标截止时间及投标方式</w:t>
      </w:r>
    </w:p>
    <w:p w:rsidR="00BF1E87">
      <w:pPr>
        <w:adjustRightInd w:val="0"/>
        <w:snapToGrid w:val="0"/>
        <w:spacing w:line="360" w:lineRule="auto"/>
        <w:ind w:firstLine="420" w:firstLineChars="200"/>
        <w:rPr>
          <w:rFonts w:ascii="宋体"/>
          <w:szCs w:val="21"/>
        </w:rPr>
      </w:pPr>
      <w:r>
        <w:rPr>
          <w:rFonts w:ascii="宋体" w:hint="eastAsia"/>
          <w:szCs w:val="21"/>
        </w:rPr>
        <w:t>1</w:t>
      </w:r>
      <w:r>
        <w:rPr>
          <w:rFonts w:ascii="宋体" w:hint="eastAsia"/>
          <w:szCs w:val="21"/>
        </w:rPr>
        <w:t>、投标文件提交截止时间：</w:t>
      </w:r>
      <w:bookmarkStart w:id="29" w:name="项目公告_openBidTime"/>
      <w:r>
        <w:rPr>
          <w:rFonts w:ascii="宋体" w:hAnsi="宋体" w:hint="eastAsia"/>
          <w:bCs/>
          <w:szCs w:val="21"/>
        </w:rPr>
        <w:t>2025年06月27日 09:00:00</w:t>
      </w:r>
      <w:bookmarkEnd w:id="29"/>
      <w:r>
        <w:rPr>
          <w:rFonts w:ascii="宋体" w:hint="eastAsia"/>
          <w:bCs/>
          <w:szCs w:val="21"/>
        </w:rPr>
        <w:t>（北京时间）</w:t>
      </w:r>
      <w:r>
        <w:rPr>
          <w:rFonts w:ascii="宋体" w:hint="eastAsia"/>
          <w:szCs w:val="21"/>
        </w:rPr>
        <w:t>。</w:t>
      </w:r>
    </w:p>
    <w:p w:rsidR="00BF1E87">
      <w:pPr>
        <w:autoSpaceDN w:val="0"/>
        <w:spacing w:line="360" w:lineRule="auto"/>
        <w:ind w:firstLine="420" w:firstLineChars="20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BF1E87">
      <w:pPr>
        <w:autoSpaceDN w:val="0"/>
        <w:spacing w:line="360" w:lineRule="auto"/>
        <w:ind w:firstLine="420" w:firstLineChars="200"/>
        <w:rPr>
          <w:rFonts w:ascii="宋体" w:cs="微软雅黑"/>
          <w:szCs w:val="21"/>
        </w:rPr>
      </w:pPr>
      <w:r>
        <w:rPr>
          <w:rFonts w:ascii="宋体" w:hint="eastAsia"/>
          <w:szCs w:val="21"/>
        </w:rPr>
        <w:t>3</w:t>
      </w:r>
      <w:r>
        <w:rPr>
          <w:rFonts w:ascii="宋体" w:hint="eastAsia"/>
          <w:szCs w:val="21"/>
        </w:rPr>
        <w:t>、</w:t>
      </w:r>
      <w:r>
        <w:rPr>
          <w:rFonts w:ascii="宋体" w:hint="eastAsia"/>
          <w:szCs w:val="21"/>
        </w:rPr>
        <w:t>请符合</w:t>
      </w:r>
      <w:r>
        <w:rPr>
          <w:rFonts w:ascii="宋体" w:hint="eastAsia"/>
          <w:szCs w:val="21"/>
        </w:rPr>
        <w:t>投标条件的投标人安装投标（相应）工具，完</w:t>
      </w:r>
      <w:r>
        <w:rPr>
          <w:rFonts w:ascii="宋体" w:hint="eastAsia"/>
          <w:szCs w:val="21"/>
        </w:rPr>
        <w:t>成投标文件编制后于投标文件提交截止时间前上传加密的投标文件，</w:t>
      </w:r>
      <w:r>
        <w:rPr>
          <w:rFonts w:ascii="宋体" w:cs="微软雅黑" w:hint="eastAsia"/>
          <w:szCs w:val="21"/>
        </w:rPr>
        <w:t>文件上</w:t>
      </w:r>
      <w:r>
        <w:rPr>
          <w:rFonts w:ascii="宋体" w:cs="微软雅黑" w:hint="eastAsia"/>
          <w:szCs w:val="21"/>
        </w:rPr>
        <w:t>传成功</w:t>
      </w:r>
      <w:r>
        <w:rPr>
          <w:rFonts w:ascii="宋体" w:cs="微软雅黑" w:hint="eastAsia"/>
          <w:szCs w:val="21"/>
        </w:rPr>
        <w:t>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BF1E87">
      <w:pPr>
        <w:adjustRightInd w:val="0"/>
        <w:snapToGrid w:val="0"/>
        <w:spacing w:line="360" w:lineRule="auto"/>
        <w:ind w:firstLine="420" w:firstLineChars="200"/>
        <w:jc w:val="left"/>
        <w:rPr>
          <w:rFonts w:ascii="宋体" w:hAnsi="宋体"/>
          <w:bCs/>
          <w:szCs w:val="21"/>
        </w:rPr>
      </w:pPr>
      <w:r>
        <w:rPr>
          <w:rFonts w:ascii="宋体" w:hAnsi="宋体" w:hint="eastAsia"/>
          <w:szCs w:val="21"/>
        </w:rPr>
        <w:t>4</w:t>
      </w:r>
      <w:r>
        <w:rPr>
          <w:rFonts w:ascii="宋体" w:hAnsi="宋体" w:hint="eastAsia"/>
          <w:szCs w:val="21"/>
        </w:rPr>
        <w:t>、由于中国气象局政府采购中心电子采购系统尚处于试运行阶段，投标人除通过该系统上传加密的</w:t>
      </w:r>
      <w:r>
        <w:rPr>
          <w:rFonts w:ascii="宋体" w:hAnsi="宋体" w:hint="eastAsia"/>
          <w:bCs/>
          <w:szCs w:val="21"/>
        </w:rPr>
        <w:t>电子投标文件外，还应通过该系统下载投标文件电子版文件包，并使用</w:t>
      </w:r>
      <w:r>
        <w:rPr>
          <w:rFonts w:hint="eastAsia"/>
          <w:bCs/>
        </w:rPr>
        <w:t>不可擦写的刻录光盘或其他只读存储介质，密封后在投标截止时间前按本</w:t>
      </w:r>
      <w:r>
        <w:rPr>
          <w:rFonts w:ascii="宋体" w:hAnsi="宋体" w:hint="eastAsia"/>
          <w:szCs w:val="21"/>
        </w:rPr>
        <w:t>投标邀请书中规定的投标地址送至采购中心（不接受邮寄）。</w:t>
      </w:r>
      <w:r>
        <w:rPr>
          <w:rFonts w:ascii="宋体" w:hAnsi="宋体" w:hint="eastAsia"/>
          <w:bCs/>
          <w:szCs w:val="21"/>
        </w:rPr>
        <w:t>投标</w:t>
      </w:r>
      <w:r>
        <w:rPr>
          <w:rFonts w:ascii="宋体" w:hAnsi="宋体"/>
          <w:bCs/>
          <w:szCs w:val="21"/>
        </w:rPr>
        <w:t>截止时间后送达的</w:t>
      </w:r>
      <w:r>
        <w:rPr>
          <w:rFonts w:ascii="宋体" w:hAnsi="宋体" w:hint="eastAsia"/>
          <w:bCs/>
          <w:szCs w:val="21"/>
        </w:rPr>
        <w:t>将被</w:t>
      </w:r>
      <w:r>
        <w:rPr>
          <w:rFonts w:ascii="宋体" w:hAnsi="宋体"/>
          <w:bCs/>
          <w:szCs w:val="21"/>
        </w:rPr>
        <w:t>拒收</w:t>
      </w:r>
      <w:r>
        <w:rPr>
          <w:rFonts w:ascii="宋体" w:hAnsi="宋体" w:hint="eastAsia"/>
          <w:bCs/>
          <w:szCs w:val="21"/>
        </w:rPr>
        <w:t>。</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rsidR="00BF1E87" w:rsidP="00961793">
      <w:pPr>
        <w:tabs>
          <w:tab w:val="left" w:pos="1573"/>
        </w:tabs>
        <w:adjustRightInd w:val="0"/>
        <w:snapToGrid w:val="0"/>
        <w:spacing w:line="360" w:lineRule="auto"/>
        <w:ind w:firstLine="412" w:firstLineChars="196"/>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BF1E87" w:rsidP="00961793">
      <w:pPr>
        <w:tabs>
          <w:tab w:val="left" w:pos="1573"/>
        </w:tabs>
        <w:adjustRightInd w:val="0"/>
        <w:snapToGrid w:val="0"/>
        <w:spacing w:line="360" w:lineRule="auto"/>
        <w:ind w:firstLine="412" w:firstLineChars="196"/>
        <w:rPr>
          <w:rFonts w:ascii="宋体" w:hAnsi="宋体"/>
          <w:bCs/>
          <w:szCs w:val="21"/>
        </w:rPr>
      </w:pPr>
      <w:bookmarkStart w:id="30" w:name="开标地点_openArddress"/>
      <w:r>
        <w:rPr>
          <w:rFonts w:ascii="宋体" w:hAnsi="宋体" w:hint="eastAsia"/>
          <w:b/>
          <w:szCs w:val="21"/>
          <w:u w:val="single"/>
        </w:rPr>
        <w:t>北京市海淀区中关村南大街46号中国气象局北区7号楼2层大会议室（科技大楼前草坪西侧），届时请投标人的法定代表人或其授权的投标人授权代表准时到场参加。</w:t>
      </w:r>
      <w:bookmarkEnd w:id="30"/>
    </w:p>
    <w:p w:rsidR="00BF1E87" w:rsidP="00961793">
      <w:pPr>
        <w:tabs>
          <w:tab w:val="left" w:pos="1573"/>
        </w:tabs>
        <w:adjustRightInd w:val="0"/>
        <w:snapToGrid w:val="0"/>
        <w:spacing w:line="360" w:lineRule="auto"/>
        <w:ind w:firstLine="412" w:firstLineChars="196"/>
        <w:rPr>
          <w:rFonts w:ascii="宋体" w:hAnsi="宋体"/>
          <w:b/>
          <w:bCs/>
          <w:szCs w:val="21"/>
        </w:rPr>
      </w:pPr>
      <w:r>
        <w:rPr>
          <w:rFonts w:ascii="宋体" w:hAnsi="宋体" w:hint="eastAsia"/>
          <w:b/>
          <w:bCs/>
          <w:szCs w:val="21"/>
        </w:rPr>
        <w:t>七、信息发布</w:t>
      </w:r>
    </w:p>
    <w:p w:rsidR="00BF1E87">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本项目采购公告已在“中国政府采购网”等媒体上发布。</w:t>
      </w:r>
    </w:p>
    <w:p w:rsidR="00BF1E87" w:rsidP="00961793">
      <w:pPr>
        <w:tabs>
          <w:tab w:val="left" w:pos="943"/>
          <w:tab w:val="left" w:pos="1573"/>
        </w:tabs>
        <w:adjustRightInd w:val="0"/>
        <w:snapToGrid w:val="0"/>
        <w:spacing w:line="360" w:lineRule="auto"/>
        <w:ind w:firstLine="412" w:firstLineChars="196"/>
        <w:rPr>
          <w:rFonts w:ascii="宋体" w:hAnsi="宋体"/>
          <w:b/>
          <w:szCs w:val="21"/>
        </w:rPr>
      </w:pPr>
      <w:r>
        <w:rPr>
          <w:rFonts w:ascii="宋体" w:hAnsi="宋体" w:hint="eastAsia"/>
          <w:b/>
          <w:szCs w:val="21"/>
        </w:rPr>
        <w:t>八、联系方式</w:t>
      </w:r>
    </w:p>
    <w:p w:rsidR="00BF1E87" w:rsidP="00961793">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b/>
          <w:bCs/>
          <w:szCs w:val="21"/>
        </w:rPr>
        <w:t>采购中心</w:t>
      </w:r>
      <w:r>
        <w:rPr>
          <w:rFonts w:ascii="宋体" w:hAnsi="宋体" w:hint="eastAsia"/>
          <w:bCs/>
          <w:szCs w:val="21"/>
        </w:rPr>
        <w:t>联系方式</w:t>
      </w:r>
    </w:p>
    <w:p w:rsidR="00BF1E87">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rsidR="00BF1E87">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rsidR="00BF1E87">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rsidR="00BF1E87">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2" w:name="contactPhone"/>
      <w:r>
        <w:rPr>
          <w:rFonts w:ascii="宋体" w:hAnsi="宋体" w:cs="微软雅黑"/>
          <w:b/>
          <w:color w:val="0000FF"/>
          <w:kern w:val="0"/>
          <w:szCs w:val="21"/>
        </w:rPr>
        <w:t>010-68406136</w:t>
      </w:r>
      <w:bookmarkEnd w:id="32"/>
    </w:p>
    <w:p w:rsidR="00BF1E87">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BF1E87" w:rsidP="00961793">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BF1E87">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rsidR="00BF1E87">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陈京华</w:t>
      </w:r>
      <w:bookmarkEnd w:id="34"/>
    </w:p>
    <w:p w:rsidR="00BF1E87">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r>
        <w:rPr>
          <w:rFonts w:ascii="宋体" w:hAnsi="宋体" w:hint="eastAsia"/>
          <w:bCs/>
          <w:szCs w:val="21"/>
        </w:rPr>
        <w:t xml:space="preserve"> </w:t>
      </w:r>
      <w:bookmarkStart w:id="35" w:name="采购项目负责人办公电话_contactsTel"/>
      <w:r>
        <w:rPr>
          <w:rFonts w:ascii="宋体" w:hAnsi="宋体" w:hint="eastAsia"/>
          <w:bCs/>
          <w:szCs w:val="21"/>
        </w:rPr>
        <w:t>010-68409539</w:t>
      </w:r>
      <w:bookmarkEnd w:id="35"/>
    </w:p>
    <w:p w:rsidR="00BF1E87">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w:t>
      </w:r>
      <w:r>
        <w:rPr>
          <w:rFonts w:ascii="宋体" w:hAnsi="宋体" w:cs="微软雅黑"/>
          <w:b/>
          <w:color w:val="0000FF"/>
          <w:kern w:val="0"/>
          <w:szCs w:val="21"/>
        </w:rPr>
        <w:t>46</w:t>
      </w:r>
      <w:r>
        <w:rPr>
          <w:rFonts w:ascii="宋体" w:hAnsi="宋体" w:cs="微软雅黑"/>
          <w:b/>
          <w:color w:val="0000FF"/>
          <w:kern w:val="0"/>
          <w:szCs w:val="21"/>
        </w:rPr>
        <w:t>号北区</w:t>
      </w:r>
      <w:r>
        <w:rPr>
          <w:rFonts w:ascii="宋体" w:hAnsi="宋体" w:cs="微软雅黑"/>
          <w:b/>
          <w:color w:val="0000FF"/>
          <w:kern w:val="0"/>
          <w:szCs w:val="21"/>
        </w:rPr>
        <w:t>15</w:t>
      </w:r>
      <w:r>
        <w:rPr>
          <w:rFonts w:ascii="宋体" w:hAnsi="宋体" w:cs="微软雅黑"/>
          <w:b/>
          <w:color w:val="0000FF"/>
          <w:kern w:val="0"/>
          <w:szCs w:val="21"/>
        </w:rPr>
        <w:t>号楼</w:t>
      </w:r>
      <w:bookmarkEnd w:id="36"/>
    </w:p>
    <w:p w:rsidR="00BF1E87">
      <w:pPr>
        <w:adjustRightInd w:val="0"/>
        <w:snapToGrid w:val="0"/>
        <w:spacing w:line="360" w:lineRule="auto"/>
        <w:rPr>
          <w:rFonts w:ascii="宋体" w:hAnsi="宋体" w:cs="宋体"/>
          <w:szCs w:val="21"/>
        </w:rPr>
      </w:pPr>
      <w:r>
        <w:rPr>
          <w:rFonts w:ascii="宋体" w:hAnsi="宋体" w:cs="宋体" w:hint="eastAsia"/>
          <w:szCs w:val="21"/>
        </w:rPr>
        <w:t xml:space="preserve">    </w:t>
      </w:r>
    </w:p>
    <w:p w:rsidR="00BF1E87">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7" w:name="技术电话_technicalSupportPhoneNumber"/>
      <w:r>
        <w:rPr>
          <w:rFonts w:ascii="宋体" w:hAnsi="宋体" w:cs="宋体" w:hint="eastAsia"/>
          <w:szCs w:val="21"/>
        </w:rPr>
        <w:t>13031966291</w:t>
      </w:r>
      <w:bookmarkEnd w:id="37"/>
    </w:p>
    <w:p w:rsidR="00BF1E87">
      <w:pPr>
        <w:adjustRightInd w:val="0"/>
        <w:snapToGrid w:val="0"/>
        <w:spacing w:line="360" w:lineRule="auto"/>
        <w:jc w:val="center"/>
        <w:outlineLvl w:val="1"/>
        <w:rPr>
          <w:b/>
          <w:bCs/>
          <w:sz w:val="30"/>
          <w:szCs w:val="30"/>
        </w:rPr>
      </w:pPr>
      <w:r>
        <w:rPr>
          <w:b/>
          <w:bCs/>
          <w:szCs w:val="21"/>
        </w:rPr>
        <w:br w:type="page"/>
      </w:r>
      <w:bookmarkStart w:id="38" w:name="投标人须知专用部分_TBXZ"/>
      <w:r>
        <w:rPr>
          <w:rFonts w:hint="eastAsia"/>
          <w:b/>
          <w:bCs/>
          <w:sz w:val="30"/>
          <w:szCs w:val="30"/>
        </w:rPr>
        <w:t>第五章</w:t>
      </w:r>
      <w:r>
        <w:rPr>
          <w:rFonts w:hint="eastAsia"/>
          <w:b/>
          <w:bCs/>
          <w:sz w:val="30"/>
          <w:szCs w:val="30"/>
        </w:rPr>
        <w:t xml:space="preserve">  </w:t>
      </w:r>
      <w:r>
        <w:rPr>
          <w:rFonts w:hint="eastAsia"/>
          <w:b/>
          <w:bCs/>
          <w:sz w:val="30"/>
          <w:szCs w:val="30"/>
        </w:rPr>
        <w:t>投标人须知专用部分</w:t>
      </w:r>
    </w:p>
    <w:p w:rsidR="00BF1E87">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BF1E87">
      <w:pPr>
        <w:adjustRightInd w:val="0"/>
        <w:snapToGrid w:val="0"/>
        <w:spacing w:line="360" w:lineRule="auto"/>
        <w:ind w:firstLine="420" w:firstLineChars="200"/>
        <w:rPr>
          <w:rFonts w:ascii="宋体" w:hAnsi="宋体"/>
          <w:szCs w:val="21"/>
        </w:rPr>
      </w:pPr>
      <w:r>
        <w:rPr>
          <w:rFonts w:hint="eastAsia"/>
          <w:bCs/>
          <w:kern w:val="44"/>
          <w:szCs w:val="28"/>
        </w:rPr>
        <w:t>投标人须知专用部分</w:t>
      </w:r>
      <w:r>
        <w:rPr>
          <w:rFonts w:hint="eastAsia"/>
          <w:szCs w:val="21"/>
        </w:rPr>
        <w:t>表格中要求事项且已列入第三章、第八章投标被拒绝条款的，若有缺失或无效，将导致投标被拒绝且不允许在开标后补正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BF1E87">
      <w:pPr>
        <w:adjustRightInd w:val="0"/>
        <w:snapToGrid w:val="0"/>
        <w:spacing w:line="360" w:lineRule="auto"/>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gridCol w:w="1701"/>
        <w:gridCol w:w="520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7"/>
        </w:trPr>
        <w:tc>
          <w:tcPr>
            <w:tcW w:w="675" w:type="dxa"/>
            <w:vAlign w:val="center"/>
          </w:tcPr>
          <w:p w:rsidR="00BF1E87">
            <w:pPr>
              <w:jc w:val="center"/>
              <w:rPr>
                <w:b/>
                <w:szCs w:val="21"/>
              </w:rPr>
            </w:pPr>
            <w:r>
              <w:rPr>
                <w:rFonts w:hint="eastAsia"/>
                <w:b/>
                <w:szCs w:val="21"/>
              </w:rPr>
              <w:t>序号</w:t>
            </w:r>
          </w:p>
        </w:tc>
        <w:tc>
          <w:tcPr>
            <w:tcW w:w="1418" w:type="dxa"/>
            <w:vAlign w:val="center"/>
          </w:tcPr>
          <w:p w:rsidR="00BF1E87">
            <w:pPr>
              <w:jc w:val="center"/>
              <w:rPr>
                <w:b/>
                <w:szCs w:val="21"/>
              </w:rPr>
            </w:pPr>
            <w:r>
              <w:rPr>
                <w:rFonts w:hint="eastAsia"/>
                <w:b/>
                <w:szCs w:val="21"/>
              </w:rPr>
              <w:t>对应投标人须知通用部分的条款</w:t>
            </w:r>
          </w:p>
        </w:tc>
        <w:tc>
          <w:tcPr>
            <w:tcW w:w="1701" w:type="dxa"/>
            <w:vAlign w:val="center"/>
          </w:tcPr>
          <w:p w:rsidR="00BF1E87">
            <w:pPr>
              <w:jc w:val="center"/>
              <w:rPr>
                <w:b/>
                <w:szCs w:val="21"/>
              </w:rPr>
            </w:pPr>
            <w:r>
              <w:rPr>
                <w:rFonts w:hint="eastAsia"/>
                <w:b/>
                <w:szCs w:val="21"/>
              </w:rPr>
              <w:t>内容</w:t>
            </w:r>
          </w:p>
        </w:tc>
        <w:tc>
          <w:tcPr>
            <w:tcW w:w="5209" w:type="dxa"/>
            <w:vAlign w:val="center"/>
          </w:tcPr>
          <w:p w:rsidR="00BF1E87">
            <w:pPr>
              <w:jc w:val="center"/>
              <w:rPr>
                <w:b/>
                <w:szCs w:val="21"/>
              </w:rPr>
            </w:pPr>
            <w:r>
              <w:rPr>
                <w:rFonts w:hint="eastAsia"/>
                <w:b/>
                <w:szCs w:val="21"/>
              </w:rPr>
              <w:t>说明与要求</w:t>
            </w:r>
          </w:p>
        </w:tc>
      </w:tr>
      <w:tr>
        <w:tblPrEx>
          <w:tblW w:w="0" w:type="auto"/>
          <w:tblLayout w:type="fixed"/>
          <w:tblLook w:val="04A0"/>
        </w:tblPrEx>
        <w:trPr>
          <w:trHeight w:val="302"/>
        </w:trPr>
        <w:tc>
          <w:tcPr>
            <w:tcW w:w="675" w:type="dxa"/>
            <w:vAlign w:val="center"/>
          </w:tcPr>
          <w:p w:rsidR="00BF1E87">
            <w:pPr>
              <w:rPr>
                <w:szCs w:val="21"/>
              </w:rPr>
            </w:pPr>
            <w:r>
              <w:rPr>
                <w:rFonts w:hint="eastAsia"/>
                <w:szCs w:val="21"/>
              </w:rPr>
              <w:t>5.1</w:t>
            </w:r>
          </w:p>
        </w:tc>
        <w:tc>
          <w:tcPr>
            <w:tcW w:w="1418" w:type="dxa"/>
            <w:vAlign w:val="center"/>
          </w:tcPr>
          <w:p w:rsidR="00BF1E87">
            <w:pPr>
              <w:rPr>
                <w:szCs w:val="21"/>
              </w:rPr>
            </w:pPr>
            <w:r>
              <w:rPr>
                <w:rFonts w:hint="eastAsia"/>
                <w:szCs w:val="21"/>
              </w:rPr>
              <w:t>1.2.1</w:t>
            </w:r>
          </w:p>
        </w:tc>
        <w:tc>
          <w:tcPr>
            <w:tcW w:w="1701" w:type="dxa"/>
            <w:vAlign w:val="center"/>
          </w:tcPr>
          <w:p w:rsidR="00BF1E87">
            <w:pPr>
              <w:rPr>
                <w:szCs w:val="21"/>
              </w:rPr>
            </w:pPr>
            <w:r>
              <w:rPr>
                <w:rFonts w:hint="eastAsia"/>
                <w:szCs w:val="21"/>
              </w:rPr>
              <w:t>采购人名称</w:t>
            </w:r>
          </w:p>
        </w:tc>
        <w:tc>
          <w:tcPr>
            <w:tcW w:w="5209" w:type="dxa"/>
            <w:vAlign w:val="center"/>
          </w:tcPr>
          <w:p w:rsidR="00BF1E87">
            <w:pPr>
              <w:rPr>
                <w:rFonts w:ascii="宋体" w:hAnsi="宋体" w:cs="微软雅黑"/>
                <w:kern w:val="0"/>
                <w:szCs w:val="21"/>
              </w:rPr>
            </w:pPr>
            <w:bookmarkStart w:id="39" w:name="采购人2_recorderOrgName"/>
            <w:r>
              <w:rPr>
                <w:rFonts w:ascii="宋体" w:hAnsi="宋体" w:cs="微软雅黑" w:hint="eastAsia"/>
                <w:kern w:val="0"/>
                <w:szCs w:val="21"/>
              </w:rPr>
              <w:t>国家气象信息中心</w:t>
            </w:r>
            <w:bookmarkEnd w:id="39"/>
          </w:p>
        </w:tc>
      </w:tr>
      <w:tr>
        <w:tblPrEx>
          <w:tblW w:w="0" w:type="auto"/>
          <w:tblLayout w:type="fixed"/>
          <w:tblLook w:val="04A0"/>
        </w:tblPrEx>
        <w:trPr>
          <w:trHeight w:val="449"/>
        </w:trPr>
        <w:tc>
          <w:tcPr>
            <w:tcW w:w="675" w:type="dxa"/>
            <w:vAlign w:val="center"/>
          </w:tcPr>
          <w:p w:rsidR="00BF1E87">
            <w:pPr>
              <w:rPr>
                <w:szCs w:val="21"/>
              </w:rPr>
            </w:pPr>
            <w:r>
              <w:rPr>
                <w:rFonts w:hint="eastAsia"/>
                <w:szCs w:val="21"/>
              </w:rPr>
              <w:t>5.2</w:t>
            </w:r>
          </w:p>
        </w:tc>
        <w:tc>
          <w:tcPr>
            <w:tcW w:w="1418" w:type="dxa"/>
            <w:vAlign w:val="center"/>
          </w:tcPr>
          <w:p w:rsidR="00BF1E87">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BF1E87">
            <w:pPr>
              <w:rPr>
                <w:szCs w:val="21"/>
              </w:rPr>
            </w:pPr>
            <w:r>
              <w:rPr>
                <w:rFonts w:hint="eastAsia"/>
                <w:szCs w:val="21"/>
              </w:rPr>
              <w:t>投标人特殊资质条件</w:t>
            </w:r>
          </w:p>
        </w:tc>
        <w:tc>
          <w:tcPr>
            <w:tcW w:w="5209" w:type="dxa"/>
            <w:vAlign w:val="center"/>
          </w:tcPr>
          <w:p w:rsidR="00BF1E87">
            <w:pPr>
              <w:jc w:val="left"/>
              <w:rPr>
                <w:rFonts w:ascii="宋体" w:hAnsi="宋体" w:cs="微软雅黑"/>
                <w:kern w:val="0"/>
                <w:szCs w:val="21"/>
              </w:rPr>
            </w:pPr>
            <w:r>
              <w:rPr>
                <w:rFonts w:ascii="Calibri" w:hAnsi="Calibri" w:cs="微软雅黑" w:hint="eastAsia"/>
                <w:kern w:val="0"/>
                <w:szCs w:val="21"/>
              </w:rPr>
              <w:t>投标人应具有以下有效期超过投标截止日的资质：</w:t>
            </w:r>
            <w:bookmarkStart w:id="40" w:name="资_bidderQualificationValidBeyondDeadline"/>
            <w:r>
              <w:rPr>
                <w:rFonts w:ascii="宋体" w:hAnsi="宋体" w:cs="微软雅黑" w:hint="eastAsia"/>
                <w:kern w:val="0"/>
                <w:szCs w:val="21"/>
              </w:rPr>
              <w:t>无</w:t>
            </w:r>
            <w:bookmarkEnd w:id="40"/>
          </w:p>
        </w:tc>
      </w:tr>
      <w:tr>
        <w:tblPrEx>
          <w:tblW w:w="0" w:type="auto"/>
          <w:tblLayout w:type="fixed"/>
          <w:tblLook w:val="04A0"/>
        </w:tblPrEx>
        <w:trPr>
          <w:trHeight w:val="449"/>
        </w:trPr>
        <w:tc>
          <w:tcPr>
            <w:tcW w:w="675" w:type="dxa"/>
          </w:tcPr>
          <w:p w:rsidR="00BF1E87">
            <w:pPr>
              <w:rPr>
                <w:szCs w:val="21"/>
              </w:rPr>
            </w:pPr>
            <w:r>
              <w:rPr>
                <w:rFonts w:hint="eastAsia"/>
              </w:rPr>
              <w:t>5</w:t>
            </w:r>
            <w:r>
              <w:t>.</w:t>
            </w:r>
            <w:r>
              <w:rPr>
                <w:rFonts w:hint="eastAsia"/>
              </w:rPr>
              <w:t>3</w:t>
            </w:r>
          </w:p>
        </w:tc>
        <w:tc>
          <w:tcPr>
            <w:tcW w:w="1418" w:type="dxa"/>
          </w:tcPr>
          <w:p w:rsidR="00BF1E87">
            <w:pPr>
              <w:rPr>
                <w:szCs w:val="21"/>
              </w:rPr>
            </w:pPr>
            <w:r>
              <w:t>1.3.</w:t>
            </w:r>
            <w:r>
              <w:rPr>
                <w:rFonts w:hint="eastAsia"/>
              </w:rPr>
              <w:t>5</w:t>
            </w:r>
          </w:p>
        </w:tc>
        <w:tc>
          <w:tcPr>
            <w:tcW w:w="1701" w:type="dxa"/>
          </w:tcPr>
          <w:p w:rsidR="00BF1E87">
            <w:pPr>
              <w:rPr>
                <w:kern w:val="0"/>
                <w:szCs w:val="21"/>
              </w:rPr>
            </w:pPr>
            <w:r>
              <w:rPr>
                <w:rFonts w:hint="eastAsia"/>
              </w:rPr>
              <w:t>是否允许联合体投标</w:t>
            </w:r>
          </w:p>
        </w:tc>
        <w:tc>
          <w:tcPr>
            <w:tcW w:w="5209" w:type="dxa"/>
          </w:tcPr>
          <w:p w:rsidR="00BF1E87">
            <w:pPr>
              <w:rPr>
                <w:rFonts w:ascii="宋体" w:hAnsi="宋体" w:cs="微软雅黑"/>
                <w:kern w:val="0"/>
                <w:szCs w:val="21"/>
              </w:rPr>
            </w:pPr>
            <w:bookmarkStart w:id="41" w:name="联合体投标_jointFlagText"/>
            <w:r>
              <w:rPr>
                <w:rFonts w:ascii="宋体" w:hAnsi="宋体" w:cs="微软雅黑" w:hint="eastAsia"/>
                <w:kern w:val="0"/>
                <w:szCs w:val="21"/>
              </w:rPr>
              <w:t>不允许</w:t>
            </w:r>
            <w:bookmarkEnd w:id="41"/>
          </w:p>
        </w:tc>
      </w:tr>
      <w:tr>
        <w:tblPrEx>
          <w:tblW w:w="0" w:type="auto"/>
          <w:tblLayout w:type="fixed"/>
          <w:tblLook w:val="04A0"/>
        </w:tblPrEx>
        <w:trPr>
          <w:trHeight w:val="449"/>
        </w:trPr>
        <w:tc>
          <w:tcPr>
            <w:tcW w:w="675" w:type="dxa"/>
            <w:vAlign w:val="center"/>
          </w:tcPr>
          <w:p w:rsidR="00BF1E87">
            <w:pPr>
              <w:rPr>
                <w:szCs w:val="21"/>
              </w:rPr>
            </w:pPr>
            <w:r>
              <w:rPr>
                <w:rFonts w:hint="eastAsia"/>
                <w:szCs w:val="21"/>
              </w:rPr>
              <w:t>5.4</w:t>
            </w:r>
          </w:p>
        </w:tc>
        <w:tc>
          <w:tcPr>
            <w:tcW w:w="1418" w:type="dxa"/>
            <w:vAlign w:val="center"/>
          </w:tcPr>
          <w:p w:rsidR="00BF1E87">
            <w:pPr>
              <w:rPr>
                <w:szCs w:val="21"/>
              </w:rPr>
            </w:pPr>
            <w:r>
              <w:rPr>
                <w:rFonts w:hint="eastAsia"/>
                <w:szCs w:val="21"/>
              </w:rPr>
              <w:t>1.3.11</w:t>
            </w:r>
          </w:p>
        </w:tc>
        <w:tc>
          <w:tcPr>
            <w:tcW w:w="1701" w:type="dxa"/>
            <w:vAlign w:val="center"/>
          </w:tcPr>
          <w:p w:rsidR="00BF1E87">
            <w:pPr>
              <w:rPr>
                <w:szCs w:val="21"/>
              </w:rPr>
            </w:pPr>
            <w:r>
              <w:rPr>
                <w:rFonts w:ascii="Calibri" w:hAnsi="Calibri" w:hint="eastAsia"/>
                <w:kern w:val="0"/>
                <w:szCs w:val="21"/>
              </w:rPr>
              <w:t>本次采购是否包含软件开发</w:t>
            </w:r>
            <w:r>
              <w:rPr>
                <w:rFonts w:ascii="Calibri" w:hAnsi="Calibri" w:hint="eastAsia"/>
                <w:szCs w:val="21"/>
              </w:rPr>
              <w:t>相关的授权要求</w:t>
            </w:r>
          </w:p>
        </w:tc>
        <w:tc>
          <w:tcPr>
            <w:tcW w:w="5209" w:type="dxa"/>
            <w:vAlign w:val="center"/>
          </w:tcPr>
          <w:p w:rsidR="00BF1E87">
            <w:pPr>
              <w:rPr>
                <w:rFonts w:ascii="宋体" w:hAnsi="宋体" w:cs="微软雅黑"/>
                <w:kern w:val="0"/>
                <w:szCs w:val="21"/>
              </w:rPr>
            </w:pPr>
            <w:r>
              <w:rPr>
                <w:rFonts w:hint="eastAsia"/>
                <w:kern w:val="0"/>
                <w:szCs w:val="21"/>
              </w:rPr>
              <w:t>本次采购是否包含软件开发授权：</w:t>
            </w:r>
            <w:bookmarkStart w:id="42" w:name="软_includesSoftwareDevelopmentLicenseText"/>
            <w:r>
              <w:rPr>
                <w:rFonts w:ascii="宋体" w:hAnsi="宋体" w:cs="微软雅黑" w:hint="eastAsia"/>
                <w:b/>
                <w:color w:val="0000FF"/>
                <w:kern w:val="0"/>
                <w:szCs w:val="21"/>
              </w:rPr>
              <w:t>否</w:t>
            </w:r>
            <w:bookmarkEnd w:id="42"/>
          </w:p>
        </w:tc>
      </w:tr>
      <w:tr>
        <w:tblPrEx>
          <w:tblW w:w="0" w:type="auto"/>
          <w:tblLayout w:type="fixed"/>
          <w:tblLook w:val="04A0"/>
        </w:tblPrEx>
        <w:trPr>
          <w:trHeight w:val="449"/>
        </w:trPr>
        <w:tc>
          <w:tcPr>
            <w:tcW w:w="675" w:type="dxa"/>
            <w:vAlign w:val="center"/>
          </w:tcPr>
          <w:p w:rsidR="00BF1E87">
            <w:pPr>
              <w:rPr>
                <w:szCs w:val="21"/>
              </w:rPr>
            </w:pPr>
            <w:r>
              <w:rPr>
                <w:rFonts w:hint="eastAsia"/>
                <w:szCs w:val="21"/>
              </w:rPr>
              <w:t>5.5</w:t>
            </w:r>
          </w:p>
        </w:tc>
        <w:tc>
          <w:tcPr>
            <w:tcW w:w="1418" w:type="dxa"/>
            <w:vAlign w:val="center"/>
          </w:tcPr>
          <w:p w:rsidR="00BF1E87">
            <w:pPr>
              <w:rPr>
                <w:szCs w:val="21"/>
              </w:rPr>
            </w:pPr>
            <w:r>
              <w:rPr>
                <w:rFonts w:hint="eastAsia"/>
                <w:szCs w:val="21"/>
              </w:rPr>
              <w:t>1.4.1</w:t>
            </w:r>
          </w:p>
        </w:tc>
        <w:tc>
          <w:tcPr>
            <w:tcW w:w="1701" w:type="dxa"/>
            <w:vAlign w:val="center"/>
          </w:tcPr>
          <w:p w:rsidR="00BF1E87">
            <w:pPr>
              <w:rPr>
                <w:szCs w:val="21"/>
              </w:rPr>
            </w:pPr>
            <w:r>
              <w:rPr>
                <w:rFonts w:hint="eastAsia"/>
                <w:szCs w:val="21"/>
              </w:rPr>
              <w:t>是否需要组成专门服务团队以及相关要求</w:t>
            </w:r>
          </w:p>
        </w:tc>
        <w:tc>
          <w:tcPr>
            <w:tcW w:w="5209" w:type="dxa"/>
            <w:vAlign w:val="center"/>
          </w:tcPr>
          <w:p w:rsidR="00BF1E87">
            <w:pPr>
              <w:rPr>
                <w:rFonts w:ascii="宋体" w:hAnsi="宋体" w:cs="微软雅黑"/>
                <w:kern w:val="0"/>
                <w:szCs w:val="21"/>
              </w:rPr>
            </w:pPr>
            <w:bookmarkStart w:id="43" w:name="服务团队_isMakeSpecializedServiceFlagText"/>
            <w:r>
              <w:rPr>
                <w:rFonts w:ascii="宋体" w:hAnsi="宋体" w:cs="微软雅黑" w:hint="eastAsia"/>
                <w:kern w:val="0"/>
                <w:szCs w:val="21"/>
              </w:rPr>
              <w:t>需要，组成不少于</w:t>
            </w:r>
            <w:r>
              <w:rPr>
                <w:rFonts w:ascii="宋体" w:hAnsi="宋体" w:cs="微软雅黑" w:hint="eastAsia"/>
                <w:kern w:val="0"/>
                <w:szCs w:val="21"/>
              </w:rPr>
              <w:t xml:space="preserve"> 5</w:t>
            </w:r>
            <w:r>
              <w:rPr>
                <w:rFonts w:ascii="宋体" w:hAnsi="宋体" w:cs="微软雅黑" w:hint="eastAsia"/>
                <w:kern w:val="0"/>
                <w:szCs w:val="21"/>
              </w:rPr>
              <w:t xml:space="preserve"> </w:t>
            </w:r>
            <w:r>
              <w:rPr>
                <w:rFonts w:ascii="宋体" w:hAnsi="宋体" w:cs="微软雅黑" w:hint="eastAsia"/>
                <w:kern w:val="0"/>
                <w:szCs w:val="21"/>
              </w:rPr>
              <w:t>人的服务团队，具体要求详见第七章采购需求。</w:t>
            </w:r>
            <w:bookmarkEnd w:id="43"/>
          </w:p>
        </w:tc>
      </w:tr>
      <w:tr>
        <w:tblPrEx>
          <w:tblW w:w="0" w:type="auto"/>
          <w:tblLayout w:type="fixed"/>
          <w:tblLook w:val="04A0"/>
        </w:tblPrEx>
        <w:trPr>
          <w:trHeight w:val="449"/>
        </w:trPr>
        <w:tc>
          <w:tcPr>
            <w:tcW w:w="675" w:type="dxa"/>
            <w:vAlign w:val="center"/>
          </w:tcPr>
          <w:p w:rsidR="00BF1E87">
            <w:pPr>
              <w:rPr>
                <w:szCs w:val="21"/>
              </w:rPr>
            </w:pPr>
            <w:r>
              <w:rPr>
                <w:rFonts w:hint="eastAsia"/>
                <w:szCs w:val="21"/>
              </w:rPr>
              <w:t>5.6</w:t>
            </w:r>
          </w:p>
        </w:tc>
        <w:tc>
          <w:tcPr>
            <w:tcW w:w="1418" w:type="dxa"/>
            <w:vAlign w:val="center"/>
          </w:tcPr>
          <w:p w:rsidR="00BF1E87">
            <w:pPr>
              <w:rPr>
                <w:szCs w:val="21"/>
              </w:rPr>
            </w:pPr>
            <w:r>
              <w:rPr>
                <w:rFonts w:hint="eastAsia"/>
                <w:szCs w:val="21"/>
              </w:rPr>
              <w:t>1.4.3</w:t>
            </w:r>
          </w:p>
        </w:tc>
        <w:tc>
          <w:tcPr>
            <w:tcW w:w="1701" w:type="dxa"/>
            <w:vAlign w:val="center"/>
          </w:tcPr>
          <w:p w:rsidR="00BF1E87">
            <w:pPr>
              <w:rPr>
                <w:szCs w:val="21"/>
              </w:rPr>
            </w:pPr>
            <w:r>
              <w:rPr>
                <w:rFonts w:hint="eastAsia"/>
                <w:szCs w:val="21"/>
              </w:rPr>
              <w:t>是否驻场服务</w:t>
            </w:r>
          </w:p>
        </w:tc>
        <w:tc>
          <w:tcPr>
            <w:tcW w:w="5209" w:type="dxa"/>
            <w:vAlign w:val="center"/>
          </w:tcPr>
          <w:p w:rsidR="00BF1E87">
            <w:pPr>
              <w:rPr>
                <w:rFonts w:ascii="宋体" w:hAnsi="宋体" w:cs="微软雅黑"/>
                <w:kern w:val="0"/>
                <w:szCs w:val="21"/>
              </w:rPr>
            </w:pPr>
            <w:bookmarkStart w:id="44" w:name="驻场服务_residentServiceFlagText"/>
            <w:r>
              <w:rPr>
                <w:rFonts w:ascii="宋体" w:hAnsi="宋体" w:cs="微软雅黑" w:hint="eastAsia"/>
                <w:kern w:val="0"/>
                <w:szCs w:val="21"/>
              </w:rPr>
              <w:t>是，驻场服务人员不少于</w:t>
            </w:r>
            <w:r>
              <w:rPr>
                <w:rFonts w:ascii="宋体" w:hAnsi="宋体" w:cs="微软雅黑" w:hint="eastAsia"/>
                <w:kern w:val="0"/>
                <w:szCs w:val="21"/>
              </w:rPr>
              <w:t xml:space="preserve"> 5 </w:t>
            </w:r>
            <w:r>
              <w:rPr>
                <w:rFonts w:ascii="宋体" w:hAnsi="宋体" w:cs="微软雅黑" w:hint="eastAsia"/>
                <w:kern w:val="0"/>
                <w:szCs w:val="21"/>
              </w:rPr>
              <w:t>人，其相关要求详见第七章采购需求。</w:t>
            </w:r>
            <w:bookmarkEnd w:id="44"/>
          </w:p>
        </w:tc>
      </w:tr>
      <w:tr>
        <w:tblPrEx>
          <w:tblW w:w="0" w:type="auto"/>
          <w:tblLayout w:type="fixed"/>
          <w:tblLook w:val="04A0"/>
        </w:tblPrEx>
        <w:trPr>
          <w:trHeight w:val="609"/>
        </w:trPr>
        <w:tc>
          <w:tcPr>
            <w:tcW w:w="675" w:type="dxa"/>
            <w:vAlign w:val="center"/>
          </w:tcPr>
          <w:p w:rsidR="00BF1E87">
            <w:pPr>
              <w:rPr>
                <w:szCs w:val="21"/>
              </w:rPr>
            </w:pPr>
            <w:r>
              <w:rPr>
                <w:rFonts w:hint="eastAsia"/>
                <w:szCs w:val="21"/>
              </w:rPr>
              <w:t>5.7</w:t>
            </w:r>
          </w:p>
        </w:tc>
        <w:tc>
          <w:tcPr>
            <w:tcW w:w="1418" w:type="dxa"/>
            <w:vAlign w:val="center"/>
          </w:tcPr>
          <w:p w:rsidR="00BF1E87">
            <w:pPr>
              <w:jc w:val="left"/>
              <w:rPr>
                <w:szCs w:val="21"/>
              </w:rPr>
            </w:pPr>
            <w:r>
              <w:rPr>
                <w:rFonts w:hint="eastAsia"/>
                <w:szCs w:val="21"/>
              </w:rPr>
              <w:t>1.5</w:t>
            </w:r>
            <w:r>
              <w:rPr>
                <w:rFonts w:hint="eastAsia"/>
                <w:szCs w:val="21"/>
              </w:rPr>
              <w:t>、</w:t>
            </w:r>
            <w:r>
              <w:rPr>
                <w:rFonts w:hint="eastAsia"/>
                <w:szCs w:val="21"/>
              </w:rPr>
              <w:t>1.5.2</w:t>
            </w:r>
            <w:r>
              <w:rPr>
                <w:rFonts w:hint="eastAsia"/>
                <w:szCs w:val="21"/>
              </w:rPr>
              <w:t>、</w:t>
            </w:r>
            <w:r>
              <w:rPr>
                <w:rFonts w:hint="eastAsia"/>
                <w:szCs w:val="21"/>
              </w:rPr>
              <w:t>1.5.3</w:t>
            </w:r>
            <w:r>
              <w:rPr>
                <w:rFonts w:hint="eastAsia"/>
                <w:szCs w:val="21"/>
              </w:rPr>
              <w:t>、</w:t>
            </w:r>
            <w:r>
              <w:rPr>
                <w:rFonts w:hint="eastAsia"/>
                <w:szCs w:val="21"/>
              </w:rPr>
              <w:t>1.5.4</w:t>
            </w:r>
          </w:p>
        </w:tc>
        <w:tc>
          <w:tcPr>
            <w:tcW w:w="1701" w:type="dxa"/>
            <w:vAlign w:val="center"/>
          </w:tcPr>
          <w:p w:rsidR="00BF1E87">
            <w:pPr>
              <w:rPr>
                <w:szCs w:val="21"/>
              </w:rPr>
            </w:pPr>
            <w:r>
              <w:rPr>
                <w:rFonts w:hint="eastAsia"/>
                <w:szCs w:val="21"/>
              </w:rPr>
              <w:t>本次采购是否包括货物</w:t>
            </w:r>
          </w:p>
        </w:tc>
        <w:tc>
          <w:tcPr>
            <w:tcW w:w="5209" w:type="dxa"/>
            <w:vAlign w:val="center"/>
          </w:tcPr>
          <w:p w:rsidR="00BF1E87">
            <w:pPr>
              <w:rPr>
                <w:rFonts w:ascii="宋体" w:hAnsi="宋体" w:cs="微软雅黑"/>
                <w:kern w:val="0"/>
                <w:szCs w:val="21"/>
              </w:rPr>
            </w:pPr>
            <w:bookmarkStart w:id="45" w:name="选择是否为货物_includingGoodsFlagText"/>
            <w:r>
              <w:rPr>
                <w:rFonts w:ascii="宋体" w:hAnsi="宋体" w:cs="微软雅黑" w:hint="eastAsia"/>
                <w:kern w:val="0"/>
                <w:szCs w:val="21"/>
              </w:rPr>
              <w:t>否</w:t>
            </w:r>
            <w:bookmarkEnd w:id="45"/>
          </w:p>
        </w:tc>
      </w:tr>
      <w:tr>
        <w:tblPrEx>
          <w:tblW w:w="0" w:type="auto"/>
          <w:tblLayout w:type="fixed"/>
          <w:tblLook w:val="04A0"/>
        </w:tblPrEx>
        <w:trPr>
          <w:trHeight w:val="609"/>
        </w:trPr>
        <w:tc>
          <w:tcPr>
            <w:tcW w:w="675" w:type="dxa"/>
            <w:vAlign w:val="center"/>
          </w:tcPr>
          <w:p w:rsidR="00BF1E87">
            <w:pPr>
              <w:rPr>
                <w:szCs w:val="21"/>
              </w:rPr>
            </w:pPr>
            <w:r>
              <w:rPr>
                <w:rFonts w:hint="eastAsia"/>
                <w:szCs w:val="21"/>
              </w:rPr>
              <w:t>5.8</w:t>
            </w:r>
          </w:p>
        </w:tc>
        <w:tc>
          <w:tcPr>
            <w:tcW w:w="1418" w:type="dxa"/>
            <w:vAlign w:val="center"/>
          </w:tcPr>
          <w:p w:rsidR="00BF1E87">
            <w:pPr>
              <w:rPr>
                <w:szCs w:val="21"/>
              </w:rPr>
            </w:pPr>
            <w:r>
              <w:rPr>
                <w:rFonts w:hint="eastAsia"/>
                <w:szCs w:val="21"/>
              </w:rPr>
              <w:t>1.5.4</w:t>
            </w:r>
          </w:p>
        </w:tc>
        <w:tc>
          <w:tcPr>
            <w:tcW w:w="1701" w:type="dxa"/>
            <w:vAlign w:val="center"/>
          </w:tcPr>
          <w:p w:rsidR="00BF1E87">
            <w:pPr>
              <w:rPr>
                <w:szCs w:val="21"/>
              </w:rPr>
            </w:pPr>
            <w:r>
              <w:rPr>
                <w:rFonts w:ascii="Calibri" w:hAnsi="Calibri" w:hint="eastAsia"/>
                <w:szCs w:val="21"/>
              </w:rPr>
              <w:t>进口产品代理商应提交资料</w:t>
            </w:r>
          </w:p>
        </w:tc>
        <w:tc>
          <w:tcPr>
            <w:tcW w:w="5209" w:type="dxa"/>
            <w:vAlign w:val="center"/>
          </w:tcPr>
          <w:p w:rsidR="00BF1E87">
            <w:pPr>
              <w:rPr>
                <w:rFonts w:ascii="宋体" w:hAnsi="宋体" w:cs="微软雅黑"/>
                <w:b/>
                <w:color w:val="0000FF"/>
                <w:kern w:val="0"/>
                <w:szCs w:val="21"/>
              </w:rPr>
            </w:pPr>
            <w:r>
              <w:rPr>
                <w:rFonts w:ascii="宋体" w:hAnsi="宋体" w:cs="微软雅黑" w:hint="eastAsia"/>
                <w:kern w:val="0"/>
                <w:szCs w:val="21"/>
              </w:rPr>
              <w:t>进口产品制造商授权书</w:t>
            </w:r>
          </w:p>
        </w:tc>
      </w:tr>
      <w:tr>
        <w:tblPrEx>
          <w:tblW w:w="0" w:type="auto"/>
          <w:tblLayout w:type="fixed"/>
          <w:tblLook w:val="04A0"/>
        </w:tblPrEx>
        <w:trPr>
          <w:trHeight w:val="609"/>
        </w:trPr>
        <w:tc>
          <w:tcPr>
            <w:tcW w:w="675" w:type="dxa"/>
            <w:vAlign w:val="center"/>
          </w:tcPr>
          <w:p w:rsidR="00BF1E87">
            <w:pPr>
              <w:rPr>
                <w:rFonts w:ascii="Calibri" w:hAnsi="Calibri"/>
              </w:rPr>
            </w:pPr>
            <w:r>
              <w:rPr>
                <w:rFonts w:ascii="Calibri" w:hAnsi="Calibri" w:hint="eastAsia"/>
                <w:szCs w:val="22"/>
              </w:rPr>
              <w:t>5.9</w:t>
            </w:r>
          </w:p>
        </w:tc>
        <w:tc>
          <w:tcPr>
            <w:tcW w:w="1418" w:type="dxa"/>
            <w:vAlign w:val="center"/>
          </w:tcPr>
          <w:p w:rsidR="00BF1E87">
            <w:pPr>
              <w:rPr>
                <w:rFonts w:ascii="Calibri" w:hAnsi="Calibri"/>
              </w:rPr>
            </w:pPr>
            <w:r>
              <w:rPr>
                <w:rFonts w:ascii="Calibri" w:hAnsi="Calibri" w:hint="eastAsia"/>
                <w:szCs w:val="22"/>
              </w:rPr>
              <w:t>1.6.1</w:t>
            </w:r>
          </w:p>
        </w:tc>
        <w:tc>
          <w:tcPr>
            <w:tcW w:w="1701" w:type="dxa"/>
            <w:vAlign w:val="center"/>
          </w:tcPr>
          <w:p w:rsidR="00BF1E87">
            <w:pPr>
              <w:rPr>
                <w:rFonts w:ascii="Calibri" w:hAnsi="Calibri"/>
              </w:rPr>
            </w:pPr>
            <w:r>
              <w:rPr>
                <w:rFonts w:ascii="Calibri" w:hAnsi="Calibri" w:hint="eastAsia"/>
                <w:szCs w:val="22"/>
              </w:rPr>
              <w:t>采购标的对应的中小企业划分标准所属行业</w:t>
            </w:r>
          </w:p>
        </w:tc>
        <w:tc>
          <w:tcPr>
            <w:tcW w:w="5209" w:type="dxa"/>
            <w:vAlign w:val="center"/>
          </w:tcPr>
          <w:p w:rsidR="00BF1E87">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BF1E87">
            <w:pPr>
              <w:rPr>
                <w:rFonts w:ascii="宋体" w:hAnsi="宋体" w:cs="微软雅黑"/>
                <w:kern w:val="0"/>
                <w:szCs w:val="21"/>
              </w:rPr>
            </w:pPr>
            <w:bookmarkStart w:id="46" w:name="行业_smeIndustryClassification"/>
            <w:r>
              <w:rPr>
                <w:rFonts w:ascii="宋体" w:hAnsi="宋体" w:cs="微软雅黑" w:hint="eastAsia"/>
                <w:kern w:val="0"/>
                <w:szCs w:val="21"/>
              </w:rPr>
              <w:t>标的：中国气象数据网架构升级及专题服务建设，属于软件和信息技术服务行业</w:t>
            </w:r>
            <w:bookmarkEnd w:id="46"/>
          </w:p>
        </w:tc>
      </w:tr>
      <w:tr>
        <w:tblPrEx>
          <w:tblW w:w="0" w:type="auto"/>
          <w:tblLayout w:type="fixed"/>
          <w:tblLook w:val="04A0"/>
        </w:tblPrEx>
        <w:trPr>
          <w:trHeight w:val="609"/>
        </w:trPr>
        <w:tc>
          <w:tcPr>
            <w:tcW w:w="675" w:type="dxa"/>
            <w:vAlign w:val="center"/>
          </w:tcPr>
          <w:p w:rsidR="00BF1E87">
            <w:pPr>
              <w:rPr>
                <w:szCs w:val="21"/>
              </w:rPr>
            </w:pPr>
            <w:r>
              <w:rPr>
                <w:rFonts w:hint="eastAsia"/>
                <w:szCs w:val="21"/>
              </w:rPr>
              <w:t>5.10</w:t>
            </w:r>
          </w:p>
        </w:tc>
        <w:tc>
          <w:tcPr>
            <w:tcW w:w="1418" w:type="dxa"/>
            <w:vAlign w:val="center"/>
          </w:tcPr>
          <w:p w:rsidR="00BF1E87">
            <w:pPr>
              <w:rPr>
                <w:szCs w:val="21"/>
              </w:rPr>
            </w:pPr>
            <w:r>
              <w:rPr>
                <w:rFonts w:ascii="Calibri" w:hAnsi="Calibri" w:hint="eastAsia"/>
                <w:szCs w:val="21"/>
              </w:rPr>
              <w:t>1.6.3</w:t>
            </w:r>
          </w:p>
        </w:tc>
        <w:tc>
          <w:tcPr>
            <w:tcW w:w="1701" w:type="dxa"/>
            <w:vAlign w:val="center"/>
          </w:tcPr>
          <w:p w:rsidR="00BF1E87">
            <w:pPr>
              <w:rPr>
                <w:szCs w:val="21"/>
              </w:rPr>
            </w:pPr>
            <w:r>
              <w:rPr>
                <w:rFonts w:ascii="Calibri" w:hAnsi="Calibri" w:hint="eastAsia"/>
                <w:szCs w:val="21"/>
              </w:rPr>
              <w:t>是否预留采购份额面向中小企业采购</w:t>
            </w:r>
          </w:p>
        </w:tc>
        <w:tc>
          <w:tcPr>
            <w:tcW w:w="5209" w:type="dxa"/>
            <w:vAlign w:val="center"/>
          </w:tcPr>
          <w:p w:rsidR="00BF1E87">
            <w:pPr>
              <w:rPr>
                <w:rFonts w:ascii="宋体" w:hAnsi="宋体" w:cs="微软雅黑"/>
                <w:kern w:val="0"/>
                <w:szCs w:val="21"/>
              </w:rPr>
            </w:pPr>
            <w:bookmarkStart w:id="47" w:name="中小企业_minorEnterprisesFlagText"/>
            <w:r>
              <w:rPr>
                <w:rFonts w:ascii="Wingdings 2" w:hAnsi="Wingdings 2" w:cs="微软雅黑" w:hint="eastAsia"/>
                <w:kern w:val="0"/>
                <w:szCs w:val="21"/>
              </w:rPr>
              <w:t>是（不接受</w:t>
            </w:r>
            <w:r>
              <w:rPr>
                <w:rFonts w:ascii="Wingdings 2" w:hAnsi="Wingdings 2" w:cs="微软雅黑"/>
                <w:kern w:val="0"/>
                <w:szCs w:val="21"/>
              </w:rPr>
              <w:sym w:font="Wingdings 2" w:char="F020"/>
            </w:r>
            <w:r>
              <w:rPr>
                <w:rFonts w:ascii="Wingdings 2" w:hAnsi="Wingdings 2" w:cs="微软雅黑" w:hint="eastAsia"/>
                <w:kern w:val="0"/>
                <w:szCs w:val="21"/>
              </w:rPr>
              <w:t>中小企业以联合体或合同分包方式参加）</w:t>
            </w:r>
            <w:bookmarkEnd w:id="47"/>
          </w:p>
        </w:tc>
      </w:tr>
      <w:tr>
        <w:tblPrEx>
          <w:tblW w:w="0" w:type="auto"/>
          <w:tblLayout w:type="fixed"/>
          <w:tblLook w:val="04A0"/>
        </w:tblPrEx>
        <w:tc>
          <w:tcPr>
            <w:tcW w:w="675" w:type="dxa"/>
            <w:vAlign w:val="center"/>
          </w:tcPr>
          <w:p w:rsidR="00BF1E87">
            <w:pPr>
              <w:rPr>
                <w:szCs w:val="21"/>
              </w:rPr>
            </w:pPr>
            <w:r>
              <w:rPr>
                <w:rFonts w:hint="eastAsia"/>
                <w:szCs w:val="21"/>
              </w:rPr>
              <w:t>5.11</w:t>
            </w:r>
          </w:p>
        </w:tc>
        <w:tc>
          <w:tcPr>
            <w:tcW w:w="1418" w:type="dxa"/>
            <w:vAlign w:val="center"/>
          </w:tcPr>
          <w:p w:rsidR="00BF1E87">
            <w:pPr>
              <w:rPr>
                <w:szCs w:val="21"/>
              </w:rPr>
            </w:pPr>
            <w:r>
              <w:rPr>
                <w:rFonts w:hint="eastAsia"/>
                <w:szCs w:val="21"/>
              </w:rPr>
              <w:t>1.9.2</w:t>
            </w:r>
          </w:p>
        </w:tc>
        <w:tc>
          <w:tcPr>
            <w:tcW w:w="1701" w:type="dxa"/>
            <w:vAlign w:val="center"/>
          </w:tcPr>
          <w:p w:rsidR="00BF1E87">
            <w:pPr>
              <w:rPr>
                <w:szCs w:val="21"/>
              </w:rPr>
            </w:pPr>
            <w:r>
              <w:rPr>
                <w:rFonts w:hint="eastAsia"/>
                <w:szCs w:val="21"/>
              </w:rPr>
              <w:t>中标人是否交纳代理服务费</w:t>
            </w:r>
          </w:p>
        </w:tc>
        <w:tc>
          <w:tcPr>
            <w:tcW w:w="5209" w:type="dxa"/>
            <w:vAlign w:val="center"/>
          </w:tcPr>
          <w:p w:rsidR="00BF1E87">
            <w:pPr>
              <w:rPr>
                <w:rFonts w:ascii="宋体" w:hAnsi="宋体" w:cs="微软雅黑"/>
                <w:kern w:val="0"/>
                <w:szCs w:val="21"/>
              </w:rPr>
            </w:pPr>
            <w:bookmarkStart w:id="48" w:name="代理服务费_agentAmountText"/>
            <w:r>
              <w:rPr>
                <w:rFonts w:ascii="宋体" w:hAnsi="宋体" w:cs="微软雅黑" w:hint="eastAsia"/>
                <w:kern w:val="0"/>
                <w:szCs w:val="21"/>
              </w:rPr>
              <w:t>是，代理服务费：</w:t>
            </w:r>
            <w:r>
              <w:rPr>
                <w:rFonts w:ascii="宋体" w:hAnsi="宋体" w:cs="微软雅黑" w:hint="eastAsia"/>
                <w:kern w:val="0"/>
                <w:szCs w:val="21"/>
              </w:rPr>
              <w:t>2.20</w:t>
            </w:r>
            <w:r>
              <w:rPr>
                <w:rFonts w:ascii="宋体" w:hAnsi="宋体" w:cs="微软雅黑" w:hint="eastAsia"/>
                <w:kern w:val="0"/>
                <w:szCs w:val="21"/>
              </w:rPr>
              <w:t>万元。</w:t>
            </w:r>
            <w:bookmarkEnd w:id="48"/>
          </w:p>
        </w:tc>
      </w:tr>
      <w:tr>
        <w:tblPrEx>
          <w:tblW w:w="0" w:type="auto"/>
          <w:tblLayout w:type="fixed"/>
          <w:tblLook w:val="04A0"/>
        </w:tblPrEx>
        <w:tc>
          <w:tcPr>
            <w:tcW w:w="675" w:type="dxa"/>
          </w:tcPr>
          <w:p w:rsidR="00BF1E87">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12</w:t>
            </w:r>
          </w:p>
        </w:tc>
        <w:tc>
          <w:tcPr>
            <w:tcW w:w="1418" w:type="dxa"/>
          </w:tcPr>
          <w:p w:rsidR="00BF1E87">
            <w:pPr>
              <w:rPr>
                <w:rFonts w:ascii="Calibri" w:hAnsi="Calibri"/>
              </w:rPr>
            </w:pPr>
            <w:r>
              <w:rPr>
                <w:rFonts w:ascii="Calibri" w:hAnsi="Calibri"/>
                <w:szCs w:val="22"/>
              </w:rPr>
              <w:t>1.1</w:t>
            </w:r>
            <w:r>
              <w:rPr>
                <w:rFonts w:ascii="Calibri" w:hAnsi="Calibri" w:hint="eastAsia"/>
                <w:szCs w:val="22"/>
              </w:rPr>
              <w:t>2</w:t>
            </w:r>
            <w:r>
              <w:rPr>
                <w:rFonts w:ascii="Calibri" w:hAnsi="Calibri"/>
                <w:szCs w:val="22"/>
              </w:rPr>
              <w:t>.7</w:t>
            </w:r>
          </w:p>
        </w:tc>
        <w:tc>
          <w:tcPr>
            <w:tcW w:w="1701" w:type="dxa"/>
          </w:tcPr>
          <w:p w:rsidR="00BF1E87">
            <w:pPr>
              <w:rPr>
                <w:rFonts w:ascii="Calibri" w:hAnsi="Calibri"/>
              </w:rPr>
            </w:pPr>
            <w:r>
              <w:rPr>
                <w:rFonts w:ascii="Calibri" w:hAnsi="Calibri" w:hint="eastAsia"/>
                <w:szCs w:val="22"/>
              </w:rPr>
              <w:t>是否组织现场考察或开标前答疑会</w:t>
            </w:r>
          </w:p>
        </w:tc>
        <w:tc>
          <w:tcPr>
            <w:tcW w:w="5209" w:type="dxa"/>
          </w:tcPr>
          <w:p w:rsidR="00BF1E87">
            <w:pPr>
              <w:rPr>
                <w:rFonts w:ascii="宋体" w:hAnsi="宋体" w:cs="微软雅黑"/>
                <w:kern w:val="0"/>
                <w:szCs w:val="21"/>
              </w:rPr>
            </w:pPr>
            <w:bookmarkStart w:id="49" w:name="答疑会_answeringQuestionFlagText"/>
            <w:r>
              <w:rPr>
                <w:rFonts w:ascii="宋体" w:hAnsi="宋体" w:cs="微软雅黑" w:hint="eastAsia"/>
                <w:kern w:val="0"/>
                <w:szCs w:val="21"/>
              </w:rPr>
              <w:t>否</w:t>
            </w:r>
            <w:bookmarkEnd w:id="49"/>
          </w:p>
        </w:tc>
      </w:tr>
      <w:tr>
        <w:tblPrEx>
          <w:tblW w:w="0" w:type="auto"/>
          <w:tblLayout w:type="fixed"/>
          <w:tblLook w:val="04A0"/>
        </w:tblPrEx>
        <w:tc>
          <w:tcPr>
            <w:tcW w:w="675" w:type="dxa"/>
          </w:tcPr>
          <w:p w:rsidR="00BF1E87">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13</w:t>
            </w:r>
          </w:p>
        </w:tc>
        <w:tc>
          <w:tcPr>
            <w:tcW w:w="1418" w:type="dxa"/>
          </w:tcPr>
          <w:p w:rsidR="00BF1E87">
            <w:pPr>
              <w:rPr>
                <w:rFonts w:ascii="Calibri" w:hAnsi="Calibri"/>
              </w:rPr>
            </w:pPr>
            <w:r>
              <w:rPr>
                <w:rFonts w:ascii="Calibri" w:hAnsi="Calibri" w:hint="eastAsia"/>
                <w:szCs w:val="22"/>
              </w:rPr>
              <w:t>1.14.2</w:t>
            </w:r>
            <w:r>
              <w:rPr>
                <w:rFonts w:ascii="Calibri" w:hAnsi="Calibri" w:hint="eastAsia"/>
                <w:szCs w:val="22"/>
              </w:rPr>
              <w:t>、</w:t>
            </w:r>
            <w:r>
              <w:rPr>
                <w:rFonts w:ascii="Calibri" w:hAnsi="Calibri" w:hint="eastAsia"/>
                <w:szCs w:val="22"/>
              </w:rPr>
              <w:t>1.14.3</w:t>
            </w:r>
          </w:p>
        </w:tc>
        <w:tc>
          <w:tcPr>
            <w:tcW w:w="1701" w:type="dxa"/>
          </w:tcPr>
          <w:p w:rsidR="00BF1E87">
            <w:pPr>
              <w:rPr>
                <w:rFonts w:ascii="Calibri" w:hAnsi="Calibri"/>
              </w:rPr>
            </w:pPr>
            <w:r>
              <w:rPr>
                <w:rFonts w:ascii="Calibri" w:hAnsi="Calibri" w:hint="eastAsia"/>
                <w:szCs w:val="21"/>
              </w:rPr>
              <w:t>投标人应提交其他商务文件和技术文件</w:t>
            </w:r>
          </w:p>
        </w:tc>
        <w:tc>
          <w:tcPr>
            <w:tcW w:w="5209" w:type="dxa"/>
          </w:tcPr>
          <w:p w:rsidR="00BF1E87">
            <w:pPr>
              <w:rPr>
                <w:rFonts w:ascii="宋体" w:hAnsi="宋体" w:cs="微软雅黑"/>
                <w:kern w:val="0"/>
                <w:szCs w:val="21"/>
              </w:rPr>
            </w:pPr>
            <w:r>
              <w:rPr>
                <w:rFonts w:ascii="宋体" w:hAnsi="宋体" w:cs="微软雅黑" w:hint="eastAsia"/>
                <w:kern w:val="0"/>
                <w:szCs w:val="21"/>
              </w:rPr>
              <w:t>除通用</w:t>
            </w:r>
            <w:r>
              <w:rPr>
                <w:rFonts w:ascii="宋体" w:hAnsi="宋体" w:cs="微软雅黑" w:hint="eastAsia"/>
                <w:kern w:val="0"/>
                <w:szCs w:val="21"/>
              </w:rPr>
              <w:t>册</w:t>
            </w:r>
            <w:r>
              <w:rPr>
                <w:rFonts w:ascii="宋体" w:hAnsi="宋体" w:cs="微软雅黑" w:hint="eastAsia"/>
                <w:kern w:val="0"/>
                <w:szCs w:val="21"/>
              </w:rPr>
              <w:t>投标人须知要求提交的商务和技术文件外，投标人还应提交下列商务和技术文件：</w:t>
            </w:r>
          </w:p>
          <w:p w:rsidR="00BF1E87">
            <w:pPr>
              <w:rPr>
                <w:rFonts w:ascii="Calibri" w:hAnsi="Calibri"/>
              </w:rPr>
            </w:pPr>
            <w:r>
              <w:rPr>
                <w:rFonts w:ascii="宋体" w:hAnsi="宋体" w:cs="微软雅黑" w:hint="eastAsia"/>
                <w:kern w:val="0"/>
                <w:szCs w:val="21"/>
              </w:rPr>
              <w:t>无</w:t>
            </w:r>
          </w:p>
        </w:tc>
      </w:tr>
      <w:tr>
        <w:tblPrEx>
          <w:tblW w:w="0" w:type="auto"/>
          <w:tblLayout w:type="fixed"/>
          <w:tblLook w:val="04A0"/>
        </w:tblPrEx>
        <w:trPr>
          <w:trHeight w:val="650"/>
        </w:trPr>
        <w:tc>
          <w:tcPr>
            <w:tcW w:w="675" w:type="dxa"/>
            <w:vAlign w:val="center"/>
          </w:tcPr>
          <w:p w:rsidR="00BF1E87">
            <w:pPr>
              <w:rPr>
                <w:szCs w:val="21"/>
              </w:rPr>
            </w:pPr>
            <w:r>
              <w:rPr>
                <w:rFonts w:hint="eastAsia"/>
                <w:szCs w:val="21"/>
              </w:rPr>
              <w:t>5.14</w:t>
            </w:r>
          </w:p>
        </w:tc>
        <w:tc>
          <w:tcPr>
            <w:tcW w:w="1418" w:type="dxa"/>
            <w:vAlign w:val="center"/>
          </w:tcPr>
          <w:p w:rsidR="00BF1E87">
            <w:pPr>
              <w:rPr>
                <w:szCs w:val="21"/>
              </w:rPr>
            </w:pPr>
            <w:r>
              <w:rPr>
                <w:rFonts w:hint="eastAsia"/>
                <w:szCs w:val="21"/>
              </w:rPr>
              <w:t>1.16.1</w:t>
            </w:r>
          </w:p>
        </w:tc>
        <w:tc>
          <w:tcPr>
            <w:tcW w:w="1701" w:type="dxa"/>
            <w:vAlign w:val="center"/>
          </w:tcPr>
          <w:p w:rsidR="00BF1E87">
            <w:pPr>
              <w:rPr>
                <w:szCs w:val="21"/>
              </w:rPr>
            </w:pPr>
            <w:r>
              <w:rPr>
                <w:rFonts w:hint="eastAsia"/>
                <w:szCs w:val="21"/>
              </w:rPr>
              <w:t>本次招标是否需要提交投标保证金</w:t>
            </w:r>
          </w:p>
        </w:tc>
        <w:tc>
          <w:tcPr>
            <w:tcW w:w="5209" w:type="dxa"/>
            <w:vAlign w:val="center"/>
          </w:tcPr>
          <w:p w:rsidR="00BF1E87">
            <w:pPr>
              <w:rPr>
                <w:rFonts w:asciiTheme="minorEastAsia" w:hAnsiTheme="minorEastAsia" w:cstheme="minor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tblPrEx>
          <w:tblW w:w="0" w:type="auto"/>
          <w:tblLayout w:type="fixed"/>
          <w:tblLook w:val="04A0"/>
        </w:tblPrEx>
        <w:trPr>
          <w:trHeight w:val="126"/>
        </w:trPr>
        <w:tc>
          <w:tcPr>
            <w:tcW w:w="675" w:type="dxa"/>
            <w:vAlign w:val="center"/>
          </w:tcPr>
          <w:p w:rsidR="00BF1E87">
            <w:pPr>
              <w:rPr>
                <w:szCs w:val="21"/>
              </w:rPr>
            </w:pPr>
            <w:r>
              <w:rPr>
                <w:rFonts w:hint="eastAsia"/>
                <w:szCs w:val="21"/>
              </w:rPr>
              <w:t>5.15</w:t>
            </w:r>
          </w:p>
        </w:tc>
        <w:tc>
          <w:tcPr>
            <w:tcW w:w="1418" w:type="dxa"/>
            <w:vAlign w:val="center"/>
          </w:tcPr>
          <w:p w:rsidR="00BF1E87">
            <w:pPr>
              <w:rPr>
                <w:szCs w:val="21"/>
              </w:rPr>
            </w:pPr>
            <w:r>
              <w:rPr>
                <w:rFonts w:hint="eastAsia"/>
                <w:szCs w:val="21"/>
              </w:rPr>
              <w:t>1.18.1</w:t>
            </w:r>
          </w:p>
        </w:tc>
        <w:tc>
          <w:tcPr>
            <w:tcW w:w="1701" w:type="dxa"/>
            <w:vAlign w:val="center"/>
          </w:tcPr>
          <w:p w:rsidR="00BF1E87">
            <w:pPr>
              <w:rPr>
                <w:szCs w:val="21"/>
              </w:rPr>
            </w:pPr>
            <w:r>
              <w:rPr>
                <w:rFonts w:hint="eastAsia"/>
                <w:szCs w:val="21"/>
              </w:rPr>
              <w:t>是否允许投标人将项目非主体、非关键性工作交由他人完成</w:t>
            </w:r>
          </w:p>
        </w:tc>
        <w:tc>
          <w:tcPr>
            <w:tcW w:w="5209" w:type="dxa"/>
            <w:vAlign w:val="center"/>
          </w:tcPr>
          <w:p w:rsidR="00BF1E87">
            <w:pPr>
              <w:rPr>
                <w:rFonts w:ascii="宋体" w:hAnsi="宋体" w:cs="微软雅黑"/>
                <w:kern w:val="0"/>
                <w:szCs w:val="21"/>
              </w:rPr>
            </w:pPr>
            <w:bookmarkStart w:id="51" w:name="关键性工作_entrustingOthersFlagText"/>
            <w:r>
              <w:rPr>
                <w:rFonts w:ascii="Wingdings 2" w:hAnsi="Wingdings 2" w:cs="微软雅黑"/>
                <w:kern w:val="0"/>
                <w:szCs w:val="21"/>
              </w:rPr>
              <w:t>不允许</w:t>
            </w:r>
            <w:bookmarkEnd w:id="51"/>
          </w:p>
        </w:tc>
      </w:tr>
      <w:tr>
        <w:tblPrEx>
          <w:tblW w:w="0" w:type="auto"/>
          <w:tblLayout w:type="fixed"/>
          <w:tblLook w:val="04A0"/>
        </w:tblPrEx>
        <w:trPr>
          <w:trHeight w:val="556"/>
        </w:trPr>
        <w:tc>
          <w:tcPr>
            <w:tcW w:w="675" w:type="dxa"/>
            <w:vAlign w:val="center"/>
          </w:tcPr>
          <w:p w:rsidR="00BF1E87">
            <w:pPr>
              <w:rPr>
                <w:szCs w:val="21"/>
              </w:rPr>
            </w:pPr>
            <w:r>
              <w:rPr>
                <w:rFonts w:hint="eastAsia"/>
                <w:szCs w:val="21"/>
              </w:rPr>
              <w:t>5.16</w:t>
            </w:r>
          </w:p>
        </w:tc>
        <w:tc>
          <w:tcPr>
            <w:tcW w:w="1418" w:type="dxa"/>
            <w:vAlign w:val="center"/>
          </w:tcPr>
          <w:p w:rsidR="00BF1E87">
            <w:pPr>
              <w:rPr>
                <w:szCs w:val="21"/>
              </w:rPr>
            </w:pPr>
            <w:r>
              <w:rPr>
                <w:rFonts w:hint="eastAsia"/>
                <w:szCs w:val="21"/>
              </w:rPr>
              <w:t>1.17.2</w:t>
            </w:r>
          </w:p>
        </w:tc>
        <w:tc>
          <w:tcPr>
            <w:tcW w:w="1701" w:type="dxa"/>
            <w:vAlign w:val="center"/>
          </w:tcPr>
          <w:p w:rsidR="00BF1E87">
            <w:pPr>
              <w:rPr>
                <w:szCs w:val="21"/>
              </w:rPr>
            </w:pPr>
            <w:r>
              <w:rPr>
                <w:rFonts w:hint="eastAsia"/>
                <w:szCs w:val="21"/>
              </w:rPr>
              <w:t>项目预算</w:t>
            </w:r>
          </w:p>
        </w:tc>
        <w:tc>
          <w:tcPr>
            <w:tcW w:w="5209" w:type="dxa"/>
            <w:vAlign w:val="center"/>
          </w:tcPr>
          <w:p w:rsidR="00BF1E87">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2" w:name="预算金额_budgetAmount"/>
            <w:r>
              <w:rPr>
                <w:rFonts w:ascii="宋体" w:hAnsi="宋体" w:cs="微软雅黑" w:hint="eastAsia"/>
                <w:kern w:val="0"/>
                <w:szCs w:val="21"/>
              </w:rPr>
              <w:t>187.000000</w:t>
            </w:r>
            <w:bookmarkEnd w:id="52"/>
            <w:r>
              <w:rPr>
                <w:rFonts w:ascii="宋体" w:hAnsi="宋体" w:cs="微软雅黑" w:hint="eastAsia"/>
                <w:kern w:val="0"/>
                <w:szCs w:val="21"/>
              </w:rPr>
              <w:t>万元</w:t>
            </w:r>
            <w:r>
              <w:rPr>
                <w:rFonts w:hint="eastAsia"/>
                <w:szCs w:val="21"/>
              </w:rPr>
              <w:t>。</w:t>
            </w:r>
          </w:p>
        </w:tc>
      </w:tr>
      <w:tr>
        <w:tblPrEx>
          <w:tblW w:w="0" w:type="auto"/>
          <w:tblLayout w:type="fixed"/>
          <w:tblLook w:val="04A0"/>
        </w:tblPrEx>
        <w:trPr>
          <w:trHeight w:val="556"/>
        </w:trPr>
        <w:tc>
          <w:tcPr>
            <w:tcW w:w="675" w:type="dxa"/>
            <w:vAlign w:val="center"/>
          </w:tcPr>
          <w:p w:rsidR="00BF1E87">
            <w:pPr>
              <w:rPr>
                <w:szCs w:val="21"/>
              </w:rPr>
            </w:pPr>
            <w:r>
              <w:rPr>
                <w:rFonts w:hint="eastAsia"/>
                <w:szCs w:val="21"/>
              </w:rPr>
              <w:t>5.17</w:t>
            </w:r>
          </w:p>
        </w:tc>
        <w:tc>
          <w:tcPr>
            <w:tcW w:w="1418" w:type="dxa"/>
            <w:vAlign w:val="center"/>
          </w:tcPr>
          <w:p w:rsidR="00BF1E87">
            <w:pPr>
              <w:rPr>
                <w:szCs w:val="21"/>
              </w:rPr>
            </w:pPr>
            <w:r>
              <w:rPr>
                <w:rFonts w:hint="eastAsia"/>
                <w:szCs w:val="21"/>
              </w:rPr>
              <w:t>1.20.1</w:t>
            </w:r>
          </w:p>
        </w:tc>
        <w:tc>
          <w:tcPr>
            <w:tcW w:w="1701" w:type="dxa"/>
            <w:vAlign w:val="center"/>
          </w:tcPr>
          <w:p w:rsidR="00BF1E87">
            <w:pPr>
              <w:rPr>
                <w:szCs w:val="21"/>
              </w:rPr>
            </w:pPr>
            <w:r>
              <w:rPr>
                <w:rFonts w:hint="eastAsia"/>
                <w:szCs w:val="21"/>
              </w:rPr>
              <w:t>投标有效期</w:t>
            </w:r>
          </w:p>
        </w:tc>
        <w:tc>
          <w:tcPr>
            <w:tcW w:w="5209" w:type="dxa"/>
            <w:vAlign w:val="center"/>
          </w:tcPr>
          <w:p w:rsidR="00BF1E87">
            <w:pPr>
              <w:rPr>
                <w:szCs w:val="21"/>
              </w:rPr>
            </w:pPr>
            <w:bookmarkStart w:id="53" w:name="投标有效期_bidExpirationDate"/>
            <w:r>
              <w:rPr>
                <w:rFonts w:ascii="宋体" w:hAnsi="宋体" w:cs="微软雅黑" w:hint="eastAsia"/>
                <w:kern w:val="0"/>
                <w:szCs w:val="21"/>
              </w:rPr>
              <w:t>120日历天</w:t>
            </w:r>
            <w:bookmarkEnd w:id="53"/>
          </w:p>
        </w:tc>
      </w:tr>
      <w:tr>
        <w:tblPrEx>
          <w:tblW w:w="0" w:type="auto"/>
          <w:tblLayout w:type="fixed"/>
          <w:tblLook w:val="04A0"/>
        </w:tblPrEx>
        <w:trPr>
          <w:trHeight w:val="556"/>
        </w:trPr>
        <w:tc>
          <w:tcPr>
            <w:tcW w:w="675" w:type="dxa"/>
            <w:vAlign w:val="center"/>
          </w:tcPr>
          <w:p w:rsidR="00BF1E87">
            <w:pPr>
              <w:rPr>
                <w:szCs w:val="21"/>
              </w:rPr>
            </w:pPr>
            <w:r>
              <w:rPr>
                <w:rFonts w:hint="eastAsia"/>
                <w:szCs w:val="21"/>
              </w:rPr>
              <w:t>5.18</w:t>
            </w:r>
          </w:p>
        </w:tc>
        <w:tc>
          <w:tcPr>
            <w:tcW w:w="1418" w:type="dxa"/>
            <w:vAlign w:val="center"/>
          </w:tcPr>
          <w:p w:rsidR="00BF1E87">
            <w:pPr>
              <w:rPr>
                <w:szCs w:val="21"/>
              </w:rPr>
            </w:pPr>
            <w:r>
              <w:rPr>
                <w:rFonts w:hint="eastAsia"/>
                <w:szCs w:val="21"/>
              </w:rPr>
              <w:t>1.22.1</w:t>
            </w:r>
            <w:r>
              <w:rPr>
                <w:rFonts w:hint="eastAsia"/>
                <w:szCs w:val="21"/>
              </w:rPr>
              <w:t>、</w:t>
            </w:r>
            <w:r>
              <w:rPr>
                <w:rFonts w:hint="eastAsia"/>
                <w:szCs w:val="21"/>
              </w:rPr>
              <w:t>1.22.2</w:t>
            </w:r>
          </w:p>
        </w:tc>
        <w:tc>
          <w:tcPr>
            <w:tcW w:w="1701" w:type="dxa"/>
            <w:vAlign w:val="center"/>
          </w:tcPr>
          <w:p w:rsidR="00BF1E87">
            <w:pPr>
              <w:rPr>
                <w:szCs w:val="21"/>
              </w:rPr>
            </w:pPr>
            <w:r>
              <w:rPr>
                <w:rFonts w:hint="eastAsia"/>
                <w:szCs w:val="21"/>
              </w:rPr>
              <w:t>投标文件递交</w:t>
            </w:r>
          </w:p>
        </w:tc>
        <w:tc>
          <w:tcPr>
            <w:tcW w:w="5209" w:type="dxa"/>
            <w:vAlign w:val="center"/>
          </w:tcPr>
          <w:p w:rsidR="00BF1E87">
            <w:pPr>
              <w:rPr>
                <w:szCs w:val="21"/>
              </w:rPr>
            </w:pPr>
            <w:r>
              <w:rPr>
                <w:rFonts w:ascii="宋体" w:hAnsi="宋体" w:hint="eastAsia"/>
                <w:bCs/>
                <w:szCs w:val="21"/>
              </w:rPr>
              <w:t>除通过系统</w:t>
            </w:r>
            <w:r>
              <w:rPr>
                <w:rFonts w:ascii="宋体" w:hAnsi="Calibri" w:cs="微软雅黑" w:hint="eastAsia"/>
                <w:szCs w:val="21"/>
              </w:rPr>
              <w:t>上传加密的电子投标文件外，同时在线下提供</w:t>
            </w:r>
            <w:r>
              <w:rPr>
                <w:rFonts w:ascii="宋体" w:hAnsi="宋体" w:hint="eastAsia"/>
                <w:bCs/>
                <w:szCs w:val="21"/>
              </w:rPr>
              <w:t>通过系统下载的投标文件电子版文件包（使用</w:t>
            </w:r>
            <w:r>
              <w:rPr>
                <w:rFonts w:ascii="Calibri" w:hAnsi="Calibri" w:hint="eastAsia"/>
                <w:bCs/>
                <w:szCs w:val="22"/>
              </w:rPr>
              <w:t>不可擦写的刻录光盘或其他只读存储介质）</w:t>
            </w:r>
          </w:p>
        </w:tc>
      </w:tr>
      <w:tr>
        <w:tblPrEx>
          <w:tblW w:w="0" w:type="auto"/>
          <w:tblLayout w:type="fixed"/>
          <w:tblLook w:val="04A0"/>
        </w:tblPrEx>
        <w:trPr>
          <w:trHeight w:val="878"/>
        </w:trPr>
        <w:tc>
          <w:tcPr>
            <w:tcW w:w="675" w:type="dxa"/>
            <w:vAlign w:val="center"/>
          </w:tcPr>
          <w:p w:rsidR="00BF1E87"/>
        </w:tc>
        <w:tc>
          <w:tcPr>
            <w:tcW w:w="1418" w:type="dxa"/>
            <w:vAlign w:val="center"/>
          </w:tcPr>
          <w:p w:rsidR="00BF1E87"/>
        </w:tc>
        <w:tc>
          <w:tcPr>
            <w:tcW w:w="1701" w:type="dxa"/>
            <w:vAlign w:val="center"/>
          </w:tcPr>
          <w:p w:rsidR="00BF1E87"/>
        </w:tc>
        <w:tc>
          <w:tcPr>
            <w:tcW w:w="5209" w:type="dxa"/>
            <w:vAlign w:val="center"/>
          </w:tcPr>
          <w:p w:rsidR="00BF1E87"/>
        </w:tc>
      </w:tr>
      <w:tr>
        <w:tblPrEx>
          <w:tblW w:w="0" w:type="auto"/>
          <w:tblLayout w:type="fixed"/>
          <w:tblLook w:val="04A0"/>
        </w:tblPrEx>
        <w:trPr>
          <w:trHeight w:val="428"/>
        </w:trPr>
        <w:tc>
          <w:tcPr>
            <w:tcW w:w="675" w:type="dxa"/>
            <w:vAlign w:val="center"/>
          </w:tcPr>
          <w:p w:rsidR="00BF1E87">
            <w:pPr>
              <w:rPr>
                <w:szCs w:val="21"/>
              </w:rPr>
            </w:pPr>
            <w:r>
              <w:rPr>
                <w:rFonts w:hint="eastAsia"/>
                <w:szCs w:val="21"/>
              </w:rPr>
              <w:t>5.19</w:t>
            </w:r>
          </w:p>
        </w:tc>
        <w:tc>
          <w:tcPr>
            <w:tcW w:w="1418" w:type="dxa"/>
            <w:vAlign w:val="center"/>
          </w:tcPr>
          <w:p w:rsidR="00BF1E87">
            <w:pPr>
              <w:rPr>
                <w:szCs w:val="21"/>
              </w:rPr>
            </w:pPr>
            <w:r>
              <w:rPr>
                <w:rFonts w:hint="eastAsia"/>
                <w:szCs w:val="21"/>
              </w:rPr>
              <w:t>1.26.2</w:t>
            </w:r>
          </w:p>
        </w:tc>
        <w:tc>
          <w:tcPr>
            <w:tcW w:w="1701" w:type="dxa"/>
            <w:vAlign w:val="center"/>
          </w:tcPr>
          <w:p w:rsidR="00BF1E87">
            <w:pPr>
              <w:rPr>
                <w:szCs w:val="21"/>
              </w:rPr>
            </w:pPr>
            <w:r>
              <w:rPr>
                <w:rFonts w:hint="eastAsia"/>
                <w:szCs w:val="21"/>
              </w:rPr>
              <w:t>是否进行述标</w:t>
            </w:r>
          </w:p>
        </w:tc>
        <w:tc>
          <w:tcPr>
            <w:tcW w:w="5209" w:type="dxa"/>
            <w:vAlign w:val="center"/>
          </w:tcPr>
          <w:p w:rsidR="00BF1E87">
            <w:pPr>
              <w:rPr>
                <w:rFonts w:ascii="宋体" w:hAnsi="宋体" w:cs="微软雅黑"/>
                <w:kern w:val="0"/>
                <w:szCs w:val="21"/>
              </w:rPr>
            </w:pPr>
            <w:bookmarkStart w:id="54" w:name="进行述标_describeStandardFlagText"/>
            <w:r>
              <w:rPr>
                <w:rFonts w:ascii="宋体" w:hAnsi="宋体" w:cs="微软雅黑" w:hint="eastAsia"/>
                <w:kern w:val="0"/>
                <w:szCs w:val="21"/>
              </w:rPr>
              <w:t>否</w:t>
            </w:r>
            <w:bookmarkEnd w:id="54"/>
          </w:p>
        </w:tc>
      </w:tr>
      <w:tr>
        <w:tblPrEx>
          <w:tblW w:w="0" w:type="auto"/>
          <w:tblLayout w:type="fixed"/>
          <w:tblLook w:val="04A0"/>
        </w:tblPrEx>
        <w:trPr>
          <w:trHeight w:val="428"/>
        </w:trPr>
        <w:tc>
          <w:tcPr>
            <w:tcW w:w="675" w:type="dxa"/>
            <w:vAlign w:val="center"/>
          </w:tcPr>
          <w:p w:rsidR="00BF1E87">
            <w:pPr>
              <w:rPr>
                <w:szCs w:val="21"/>
              </w:rPr>
            </w:pPr>
            <w:r>
              <w:rPr>
                <w:rFonts w:hint="eastAsia"/>
                <w:szCs w:val="21"/>
              </w:rPr>
              <w:t>5.20</w:t>
            </w:r>
          </w:p>
        </w:tc>
        <w:tc>
          <w:tcPr>
            <w:tcW w:w="1418" w:type="dxa"/>
            <w:vAlign w:val="center"/>
          </w:tcPr>
          <w:p w:rsidR="00BF1E87">
            <w:pPr>
              <w:rPr>
                <w:szCs w:val="21"/>
              </w:rPr>
            </w:pPr>
          </w:p>
        </w:tc>
        <w:tc>
          <w:tcPr>
            <w:tcW w:w="1701" w:type="dxa"/>
            <w:vAlign w:val="center"/>
          </w:tcPr>
          <w:p w:rsidR="00BF1E87">
            <w:pPr>
              <w:rPr>
                <w:szCs w:val="21"/>
              </w:rPr>
            </w:pPr>
            <w:r>
              <w:rPr>
                <w:rFonts w:hint="eastAsia"/>
                <w:szCs w:val="21"/>
              </w:rPr>
              <w:t>采购资金的支付方式、时间、条件</w:t>
            </w:r>
          </w:p>
        </w:tc>
        <w:tc>
          <w:tcPr>
            <w:tcW w:w="5209" w:type="dxa"/>
            <w:vAlign w:val="center"/>
          </w:tcPr>
          <w:p w:rsidR="00BF1E87">
            <w:pPr>
              <w:rPr>
                <w:rFonts w:ascii="宋体" w:hAnsi="宋体"/>
                <w:szCs w:val="21"/>
              </w:rPr>
            </w:pPr>
            <w:r>
              <w:rPr>
                <w:rFonts w:hint="eastAsia"/>
                <w:szCs w:val="21"/>
              </w:rPr>
              <w:t>详见第九章采购合同</w:t>
            </w:r>
          </w:p>
        </w:tc>
      </w:tr>
      <w:tr>
        <w:tblPrEx>
          <w:tblW w:w="0" w:type="auto"/>
          <w:tblLayout w:type="fixed"/>
          <w:tblLook w:val="04A0"/>
        </w:tblPrEx>
        <w:trPr>
          <w:trHeight w:val="428"/>
        </w:trPr>
        <w:tc>
          <w:tcPr>
            <w:tcW w:w="675" w:type="dxa"/>
            <w:vAlign w:val="center"/>
          </w:tcPr>
          <w:p w:rsidR="00BF1E87">
            <w:pPr>
              <w:rPr>
                <w:szCs w:val="21"/>
              </w:rPr>
            </w:pPr>
            <w:r>
              <w:rPr>
                <w:rFonts w:hint="eastAsia"/>
                <w:szCs w:val="21"/>
              </w:rPr>
              <w:t>5.21</w:t>
            </w:r>
          </w:p>
        </w:tc>
        <w:tc>
          <w:tcPr>
            <w:tcW w:w="1418" w:type="dxa"/>
            <w:vAlign w:val="center"/>
          </w:tcPr>
          <w:p w:rsidR="00BF1E87">
            <w:pPr>
              <w:rPr>
                <w:szCs w:val="21"/>
              </w:rPr>
            </w:pPr>
          </w:p>
        </w:tc>
        <w:tc>
          <w:tcPr>
            <w:tcW w:w="1701" w:type="dxa"/>
            <w:vAlign w:val="center"/>
          </w:tcPr>
          <w:p w:rsidR="00BF1E87">
            <w:pPr>
              <w:rPr>
                <w:szCs w:val="21"/>
              </w:rPr>
            </w:pPr>
            <w:r>
              <w:rPr>
                <w:rFonts w:hint="eastAsia"/>
                <w:szCs w:val="21"/>
              </w:rPr>
              <w:t>其他事项</w:t>
            </w:r>
          </w:p>
        </w:tc>
        <w:tc>
          <w:tcPr>
            <w:tcW w:w="5209" w:type="dxa"/>
            <w:vAlign w:val="center"/>
          </w:tcPr>
          <w:p w:rsidR="00BF1E87">
            <w:pPr>
              <w:rPr>
                <w:szCs w:val="21"/>
              </w:rPr>
            </w:pPr>
            <w:bookmarkStart w:id="55" w:name="其他事项_ottherReemarks"/>
            <w:r>
              <w:rPr>
                <w:szCs w:val="21"/>
              </w:rPr>
              <w:t>无</w:t>
            </w:r>
            <w:bookmarkEnd w:id="55"/>
          </w:p>
        </w:tc>
      </w:tr>
    </w:tbl>
    <w:p w:rsidR="00BF1E87"/>
    <w:p w:rsidR="00A77B3E"/>
    <w:bookmarkEnd w:id="38"/>
    <w:p w:rsidR="00BF1E87">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space="708"/>
          <w:docGrid w:type="linesAndChars" w:linePitch="312"/>
        </w:sectPr>
      </w:pPr>
    </w:p>
    <w:p w:rsidR="00BF1E87">
      <w:pPr>
        <w:spacing w:before="120" w:beforeLines="50" w:line="360" w:lineRule="auto"/>
        <w:jc w:val="center"/>
        <w:outlineLvl w:val="1"/>
        <w:rPr>
          <w:rFonts w:ascii="宋体" w:hAnsi="宋体"/>
          <w:b/>
          <w:sz w:val="30"/>
          <w:szCs w:val="30"/>
        </w:rPr>
      </w:pPr>
      <w:r>
        <w:rPr>
          <w:rFonts w:ascii="宋体" w:hAnsi="宋体" w:hint="eastAsia"/>
          <w:b/>
          <w:sz w:val="30"/>
          <w:szCs w:val="30"/>
        </w:rPr>
        <w:t>第六章</w:t>
      </w:r>
      <w:r>
        <w:rPr>
          <w:rFonts w:ascii="宋体" w:hAnsi="宋体" w:hint="eastAsia"/>
          <w:b/>
          <w:sz w:val="30"/>
          <w:szCs w:val="30"/>
        </w:rPr>
        <w:t xml:space="preserve">  </w:t>
      </w:r>
      <w:r>
        <w:rPr>
          <w:rFonts w:ascii="宋体" w:hAnsi="宋体" w:hint="eastAsia"/>
          <w:b/>
          <w:sz w:val="30"/>
          <w:szCs w:val="30"/>
        </w:rPr>
        <w:t>评标方法和评标标准</w:t>
      </w:r>
    </w:p>
    <w:p w:rsidR="00BF1E87" w:rsidP="00961793">
      <w:pPr>
        <w:spacing w:line="360" w:lineRule="auto"/>
        <w:ind w:firstLine="412" w:firstLineChars="196"/>
        <w:jc w:val="left"/>
      </w:pPr>
      <w:r>
        <w:rPr>
          <w:rFonts w:ascii="宋体" w:hAnsi="宋体" w:hint="eastAsia"/>
          <w:b/>
          <w:szCs w:val="21"/>
        </w:rPr>
        <w:t>一、评标方法：</w:t>
      </w:r>
      <w:r>
        <w:t xml:space="preserve"> </w:t>
      </w:r>
    </w:p>
    <w:p w:rsidR="00BF1E87">
      <w:pPr>
        <w:spacing w:line="360" w:lineRule="auto"/>
        <w:jc w:val="left"/>
        <w:rPr>
          <w:rFonts w:ascii="宋体" w:hAnsi="宋体"/>
          <w:szCs w:val="21"/>
        </w:rPr>
      </w:pPr>
      <w:r>
        <w:rPr>
          <w:rFonts w:hint="eastAsia"/>
          <w:b/>
          <w:sz w:val="30"/>
          <w:szCs w:val="30"/>
        </w:rPr>
        <w:t xml:space="preserve">   </w:t>
      </w: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w:t>
      </w:r>
      <w:r>
        <w:rPr>
          <w:rFonts w:ascii="宋体" w:hAnsi="宋体" w:hint="eastAsia"/>
          <w:szCs w:val="21"/>
        </w:rPr>
        <w:t>作出</w:t>
      </w:r>
      <w:r>
        <w:rPr>
          <w:rFonts w:ascii="宋体" w:hAnsi="宋体" w:hint="eastAsia"/>
          <w:szCs w:val="21"/>
        </w:rPr>
        <w:t>书面说明。</w:t>
      </w:r>
    </w:p>
    <w:p w:rsidR="00BF1E87" w:rsidP="00961793">
      <w:pPr>
        <w:spacing w:line="360" w:lineRule="auto"/>
        <w:ind w:firstLine="412" w:firstLineChars="196"/>
        <w:rPr>
          <w:rFonts w:ascii="宋体" w:hAnsi="宋体"/>
          <w:b/>
          <w:bCs/>
          <w:szCs w:val="21"/>
        </w:rPr>
      </w:pPr>
      <w:r>
        <w:rPr>
          <w:rFonts w:ascii="宋体" w:hAnsi="宋体" w:hint="eastAsia"/>
          <w:b/>
          <w:bCs/>
          <w:szCs w:val="21"/>
        </w:rPr>
        <w:t>二、评分标准：</w:t>
      </w:r>
    </w:p>
    <w:p w:rsidR="00BF1E87">
      <w:pPr>
        <w:spacing w:line="360" w:lineRule="auto"/>
        <w:ind w:firstLine="420" w:firstLineChars="200"/>
        <w:jc w:val="left"/>
      </w:pPr>
      <w:r>
        <w:rPr>
          <w:rFonts w:ascii="宋体" w:hAnsi="宋体" w:hint="eastAsia"/>
          <w:szCs w:val="21"/>
        </w:rPr>
        <w:t>评分标准见下表</w:t>
      </w:r>
      <w:r>
        <w:rPr>
          <w:rFonts w:hint="eastAsia"/>
        </w:rPr>
        <w:t>。</w:t>
      </w:r>
    </w:p>
    <w:p w:rsidR="00BF1E87">
      <w:pPr>
        <w:spacing w:line="360" w:lineRule="auto"/>
        <w:jc w:val="left"/>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3"/>
        <w:gridCol w:w="813"/>
        <w:gridCol w:w="243"/>
        <w:gridCol w:w="71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采用低价优先法计算，公式：投标人得分=评标基准价/评标价×10</w:t>
              <w:cr/>
              <w:t xml:space="preserve"> 1、评标基准价：满足招标文件要求，且经过价格扣除后的最低投标价；</w:t>
              <w:cr/>
              <w:t xml:space="preserve"> 2、评标价：经过价格扣除的投标价 ；</w:t>
              <w:cr/>
              <w:t>3、按上述公式计算出每个投标单位的投标报价得分，保留小数点后二位，小数点后第三位四舍五入；</w:t>
              <w:cr/>
              <w:t>4、经评审委员会确认，报价明显低于其他通过符合性审查投标人的报价，有可能影响产品质量或者不能诚信履约的，且投标人提供的书面说明材料不能证明其报价合理性的，评标委员会应当将其作为无效投标处理。</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提供近3年的软件开发合同复印件，每提供一个得2分，最多得8分。</w:t>
              <w:cr/>
            </w:r>
          </w:p>
          <w:p>
            <w:r>
              <w:t>评审标准说明：</w:t>
            </w:r>
          </w:p>
          <w:p>
            <w:r>
              <w:t>1、需提供投标人的与本项目类似软件开发合同（必须包括合同首页、金额页、标的页、签字盖章页）复印件并加盖投标人公章。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售后服务方案（主观分）</w:t>
            </w:r>
          </w:p>
        </w:tc>
        <w:tc>
          <w:tcPr/>
          <w:p>
            <w:r>
              <w:t>勾选打分</w:t>
            </w:r>
            <w:r>
              <w:t>(6)</w:t>
            </w:r>
          </w:p>
        </w:tc>
        <w:tc>
          <w:tcPr/>
          <w:p>
            <w:r>
              <w:t>评审标准：</w:t>
            </w:r>
          </w:p>
          <w:p>
            <w:r>
              <w:t xml:space="preserve">建立合理的技术支持机构、明确技术支持的内容，成立专门的技术支持小组，提供完善周到的本地化服务及技术支持能力。售后服务方案内容全面，流程清晰，响应及时。书面承诺服务响应方面提供质保期内的7×24小时电话技术支持和保修，电话支持无法解决的问题必须提供现场技术支持，并应甲方服务保障要求，开展现场保障。不提供方案不得分。 </w:t>
              <w:cr/>
              <w:t xml:space="preserve">一档（0分） </w:t>
              <w:cr/>
              <w:t xml:space="preserve">二档（2分） </w:t>
              <w:cr/>
              <w:t xml:space="preserve">三档（4分） </w:t>
              <w:cr/>
              <w:t>四档（6分）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质保期内需求变更</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6</w:t>
            </w:r>
          </w:p>
        </w:tc>
        <w:tc>
          <w:tcPr>
            <w:vMerge/>
          </w:tcPr>
          <w:p>
            <w:r>
              <w:t>服务部分</w:t>
            </w:r>
          </w:p>
        </w:tc>
        <w:tc>
          <w:tcPr/>
          <w:p>
            <w:r>
              <w:t>知识产权</w:t>
            </w:r>
          </w:p>
        </w:tc>
        <w:tc>
          <w:tcPr/>
          <w:p>
            <w:r>
              <w:t>勾选打分</w:t>
            </w:r>
            <w:r>
              <w:t>(12)</w:t>
            </w:r>
          </w:p>
        </w:tc>
        <w:tc>
          <w:tcPr/>
          <w:p>
            <w:r>
              <w:t>评审标准：</w:t>
            </w:r>
          </w:p>
          <w:p>
            <w:r>
              <w:t>具有数据管理、数据服务、地理信息系统相关软件著作权，每提供一个软著证书得 1 分，最多得 3 分，不提供不得分。</w:t>
              <w:cr/>
              <w:t>具有数据共享服务技术相关专利，每提供一个得3分，最多得 9 分，不提供不得分。</w:t>
            </w:r>
          </w:p>
          <w:p>
            <w:r>
              <w:t>评审标准说明：</w:t>
            </w:r>
          </w:p>
          <w:p>
            <w:r>
              <w:t>需提供证书复印件，并加盖投标人公章，否则不得分。</w:t>
            </w:r>
          </w:p>
          <w:p/>
        </w:tc>
      </w:tr>
      <w:tr>
        <w:tblPrEx>
          <w:tblW w:w="5000" w:type="pct"/>
          <w:tblCellMar>
            <w:left w:w="108" w:type="dxa"/>
            <w:right w:w="108" w:type="dxa"/>
          </w:tblCellMar>
        </w:tblPrEx>
        <w:tc>
          <w:tcPr/>
          <w:p>
            <w:r>
              <w:t>7</w:t>
            </w:r>
          </w:p>
        </w:tc>
        <w:tc>
          <w:tcPr>
            <w:vMerge/>
          </w:tcPr>
          <w:p>
            <w:r>
              <w:t>服务部分</w:t>
            </w:r>
          </w:p>
        </w:tc>
        <w:tc>
          <w:tcPr/>
          <w:p>
            <w:r>
              <w:t>技术团队</w:t>
            </w:r>
          </w:p>
        </w:tc>
        <w:tc>
          <w:tcPr/>
          <w:p>
            <w:r>
              <w:t>区间打分</w:t>
            </w:r>
            <w:r>
              <w:t>(16)</w:t>
            </w:r>
          </w:p>
        </w:tc>
        <w:tc>
          <w:tcPr/>
          <w:p>
            <w:r>
              <w:t>评审标准：</w:t>
            </w:r>
          </w:p>
          <w:p>
            <w:r>
              <w:t xml:space="preserve">投标人应组成本项目开发服务团队，团队组织结构清晰。具体如下： </w:t>
              <w:cr/>
              <w:t xml:space="preserve">1、项目经理具备相关专业（包括气象、计算机、地理信息等相关专业）高级及以上职称，并且具有3年及以上同类项目开发经验的，得3分。 </w:t>
              <w:cr/>
              <w:t>2、拟派本项目团队成员中有计算机、地理信息系统等相关专业高级或以上技术职称的，每有一人得1 分，有计算机、地理信息系统等相关专业中级技术职称的，每有一人得0.5分。本项最高得7分。</w:t>
              <w:cr/>
              <w:t xml:space="preserve"> 3、承诺组成项目组成员5人及以上，得3分；2-3（含）人，得1分；项目组成员低于2人，不得分。</w:t>
              <w:cr/>
              <w:t xml:space="preserve"> 4、承诺驻场人员在5人以上得3分，否则不得分。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(4)</w:t>
            </w:r>
          </w:p>
        </w:tc>
        <w:tc>
          <w:tcPr/>
          <w:p>
            <w:r>
              <w:t>评审标准：</w:t>
            </w:r>
          </w:p>
          <w:p>
            <w:r>
              <w:t>提供培训计划和方案，包括制订科学合理的培训计划表、培训对象、培训内容、培训课时、培训材料，培训地点等。</w:t>
              <w:cr/>
              <w:t>一档（0分）</w:t>
              <w:cr/>
              <w:t>二档（2分）</w:t>
              <w:cr/>
              <w:t>三档（4分）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二档：同时提供承诺和培训方案，但培训方案不完整（指缺失培训计划、培训大纲、培训课表任意一项）；</w:t>
              <w:cr/>
              <w:t>三档：同时提供承诺和培训方案，培训方案完整，课程设计重点突出、针对性强，完全满足采购文件需求。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软件开发计划</w:t>
            </w:r>
          </w:p>
        </w:tc>
        <w:tc>
          <w:tcPr/>
          <w:p>
            <w:r>
              <w:t>勾选打分</w:t>
            </w:r>
            <w:r>
              <w:t>(2)</w:t>
            </w:r>
          </w:p>
        </w:tc>
        <w:tc>
          <w:tcPr/>
          <w:p>
            <w:r>
              <w:t>评审标准：</w:t>
            </w:r>
          </w:p>
          <w:p>
            <w:r>
              <w:t>一档（0分）</w:t>
              <w:cr/>
              <w:t>二档（1分）</w:t>
              <w:cr/>
              <w:t>三档（2分）</w:t>
            </w:r>
          </w:p>
          <w:p>
            <w:r>
              <w:t>评审标准说明：</w:t>
            </w:r>
          </w:p>
          <w:p>
            <w:r>
              <w:t>提供软件开发计划。具体评分标准如下：</w:t>
              <w:cr/>
              <w:t>一档：未提供软件开发计划。</w:t>
              <w:cr/>
              <w:t>二档：软件开发计划较完整，有一定针对性，软件开发工作分解与人员安排合理，里程碑设计一般；</w:t>
              <w:cr/>
              <w:t>三档：软件开发计划完整可行，针对性强，软件开发工作分解与人员安排合理，里程碑设计合理。</w:t>
              <w:cr/>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tcPr>
          <w:p>
            <w:r>
              <w:t>服务部分</w:t>
            </w:r>
          </w:p>
        </w:tc>
        <w:tc>
          <w:tcPr/>
          <w:p>
            <w:r>
              <w:t>项目需求理解</w:t>
            </w:r>
          </w:p>
        </w:tc>
        <w:tc>
          <w:tcPr/>
          <w:p>
            <w:r>
              <w:t>勾选打分</w:t>
            </w:r>
            <w:r>
              <w:t>(3)</w:t>
            </w:r>
          </w:p>
        </w:tc>
        <w:tc>
          <w:tcPr/>
          <w:p>
            <w:r>
              <w:t>评审标准：</w:t>
            </w:r>
          </w:p>
          <w:p>
            <w:r>
              <w:t>一档（0分）</w:t>
              <w:cr/>
              <w:t>二档（1分）</w:t>
              <w:cr/>
              <w:t>三档（2分）</w:t>
              <w:cr/>
              <w:t>四档（3分）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12</w:t>
            </w:r>
          </w:p>
        </w:tc>
        <w:tc>
          <w:tcPr>
            <w:vMerge w:val="restart"/>
          </w:tcPr>
          <w:p>
            <w:r>
              <w:t>技术部分</w:t>
            </w:r>
          </w:p>
        </w:tc>
        <w:tc>
          <w:tcPr/>
          <w:p>
            <w:r>
              <w:t>针对本项目的合理化建议（主观分）</w:t>
            </w:r>
          </w:p>
        </w:tc>
        <w:tc>
          <w:tcPr/>
          <w:p>
            <w:r>
              <w:t>勾选打分</w:t>
            </w:r>
            <w:r>
              <w:t>(2)</w:t>
            </w:r>
          </w:p>
        </w:tc>
        <w:tc>
          <w:tcPr/>
          <w:p>
            <w:r>
              <w:t>评审标准：</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每一项得0.5分，最高不超过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13</w:t>
            </w:r>
          </w:p>
        </w:tc>
        <w:tc>
          <w:tcPr>
            <w:vMerge/>
          </w:tcPr>
          <w:p>
            <w:r>
              <w:t>技术部分</w:t>
            </w:r>
          </w:p>
        </w:tc>
        <w:tc>
          <w:tcPr/>
          <w:p>
            <w:r>
              <w:t>技术方案</w:t>
            </w:r>
          </w:p>
        </w:tc>
        <w:tc>
          <w:tcPr/>
          <w:p>
            <w:r>
              <w:t>勾选打分</w:t>
            </w:r>
            <w:r>
              <w:t>(6)</w:t>
            </w:r>
          </w:p>
        </w:tc>
        <w:tc>
          <w:tcPr/>
          <w:p>
            <w:r>
              <w:t>评审标准：</w:t>
            </w:r>
          </w:p>
          <w:p>
            <w:r>
              <w:t>一档（0分）</w:t>
              <w:cr/>
              <w:t>二档（2分）</w:t>
              <w:cr/>
              <w:t>三档（4分）</w:t>
              <w:cr/>
              <w:t>四档（6分）</w:t>
            </w:r>
          </w:p>
          <w:p>
            <w:r>
              <w:t>评审标准说明：</w:t>
            </w:r>
          </w:p>
          <w:p>
            <w:r>
              <w:t>提出技术方案，评分标准如下：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14</w:t>
            </w:r>
          </w:p>
        </w:tc>
        <w:tc>
          <w:tcPr>
            <w:vMerge/>
          </w:tcPr>
          <w:p>
            <w:r>
              <w:t>技术部分</w:t>
            </w:r>
          </w:p>
        </w:tc>
        <w:tc>
          <w:tcPr/>
          <w:p>
            <w:r>
              <w:t>软件开发功能需求分析</w:t>
            </w:r>
          </w:p>
        </w:tc>
        <w:tc>
          <w:tcPr/>
          <w:p>
            <w:r>
              <w:t>勾选打分</w:t>
            </w:r>
            <w:r>
              <w:t>(3)</w:t>
            </w:r>
          </w:p>
        </w:tc>
        <w:tc>
          <w:tcPr/>
          <w:p>
            <w:r>
              <w:t>评审标准：</w:t>
            </w:r>
          </w:p>
          <w:p>
            <w:r>
              <w:t>评审标准：</w:t>
              <w:cr/>
              <w:t xml:space="preserve">对软件系统各模块进行功能需求拆分，并对各个功能点进行详细功能需求分析，完全覆盖招标文件功能要求，需求分析完整详细合理。 按如下档位赋分： </w:t>
              <w:cr/>
              <w:t>一档（0分）</w:t>
              <w:cr/>
              <w:t>二档（1分）</w:t>
              <w:cr/>
              <w:t>三档（2分）</w:t>
              <w:cr/>
              <w:t>四档（3分）</w:t>
            </w:r>
          </w:p>
          <w:p>
            <w:r>
              <w:t>评审标准说明：</w:t>
            </w:r>
          </w:p>
          <w:p>
            <w:r>
              <w:t>评审标准说明：</w:t>
              <w:cr/>
              <w:t xml:space="preserve">提供软件系统各模块功能需求分析。具体评分标准如下： </w:t>
              <w:cr/>
              <w:t xml:space="preserve">一档：无软件功能开发需求分析； </w:t>
              <w:cr/>
              <w:t>二档：软件功能开发需求分析不完整，未对软件系统各模块进行功能需求拆分，分析不具体、不充分、不详细；</w:t>
              <w:cr/>
              <w:t xml:space="preserve"> 三档：软件功能开发需求分析较完整，对软件系统各模块进行功能需求拆分，分析具体，但不充分、不详细；</w:t>
              <w:cr/>
              <w:t xml:space="preserve"> 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15</w:t>
            </w:r>
          </w:p>
        </w:tc>
        <w:tc>
          <w:tcPr>
            <w:vMerge/>
          </w:tcPr>
          <w:p>
            <w:r>
              <w:t>技术部分</w:t>
            </w:r>
          </w:p>
        </w:tc>
        <w:tc>
          <w:tcPr/>
          <w:p>
            <w:r>
              <w:t>软件开发非功能需求分析</w:t>
            </w:r>
          </w:p>
        </w:tc>
        <w:tc>
          <w:tcPr/>
          <w:p>
            <w:r>
              <w:t>勾选打分</w:t>
            </w:r>
            <w:r>
              <w:t>(3)</w:t>
            </w:r>
          </w:p>
        </w:tc>
        <w:tc>
          <w:tcPr/>
          <w:p>
            <w:r>
              <w:t>评审标准：</w:t>
            </w:r>
          </w:p>
          <w:p>
            <w:r>
              <w:t>对软件系统的非功能需求进行充分分析，完全覆盖招标文件需求，需求分析完整详细合理。</w:t>
              <w:cr/>
              <w:t xml:space="preserve">按如下档位赋分： </w:t>
              <w:cr/>
              <w:t>一档（0分）</w:t>
              <w:cr/>
              <w:t xml:space="preserve">二档（1分） </w:t>
              <w:cr/>
              <w:t xml:space="preserve">三档（2分） </w:t>
              <w:cr/>
              <w:t>四档（3分）</w:t>
            </w:r>
          </w:p>
          <w:p>
            <w:r>
              <w:t>评审标准说明：</w:t>
            </w:r>
          </w:p>
          <w:p>
            <w:r>
              <w:t>评审标准说明：</w:t>
              <w:cr/>
              <w:t>提供软件系统各模块非功能需求分析。具体评分标准如下：</w:t>
              <w:cr/>
              <w:t>一档：无软件非功能开发需求分析；</w:t>
              <w:cr/>
              <w:t>二档：软件非功能开发需求分析不完整，未对软件系统各模块进行非功能需求拆分，分析不具体、不充分、不详细；</w:t>
              <w:cr/>
              <w:t>三档：软件非功能开发需求分析较完整，对软件系统各模块进行非功能需求拆分，分析具体，但不充分、不详细；</w:t>
              <w:cr/>
              <w:t>四档：软件非功能开发需求分析完整，对软件系统各模块进行非功能需求拆分，并对各个非功能点进行详细非功能需求分析，完全覆盖招标文件非功能要求，且完整详细合理。</w:t>
            </w:r>
          </w:p>
          <w:p/>
        </w:tc>
      </w:tr>
      <w:tr>
        <w:tblPrEx>
          <w:tblW w:w="5000" w:type="pct"/>
          <w:tblCellMar>
            <w:left w:w="108" w:type="dxa"/>
            <w:right w:w="108" w:type="dxa"/>
          </w:tblCellMar>
        </w:tblPrEx>
        <w:tc>
          <w:tcPr/>
          <w:p>
            <w:r>
              <w:t>16</w:t>
            </w:r>
          </w:p>
        </w:tc>
        <w:tc>
          <w:tcPr>
            <w:vMerge/>
          </w:tcPr>
          <w:p>
            <w:r>
              <w:t>技术部分</w:t>
            </w:r>
          </w:p>
        </w:tc>
        <w:tc>
          <w:tcPr/>
          <w:p>
            <w:r>
              <w:t>软件开发接口需求分析</w:t>
            </w:r>
          </w:p>
        </w:tc>
        <w:tc>
          <w:tcPr/>
          <w:p>
            <w:r>
              <w:t>勾选打分</w:t>
            </w:r>
            <w:r>
              <w:t>(3)</w:t>
            </w:r>
          </w:p>
        </w:tc>
        <w:tc>
          <w:tcPr/>
          <w:p>
            <w:r>
              <w:t>评审标准：</w:t>
            </w:r>
          </w:p>
          <w:p>
            <w:r>
              <w:t>对软件系统的接口进行充分分析，完全覆盖招标文件需求，需求分析完整详细合理。</w:t>
              <w:cr/>
              <w:t>按如下档位赋分：</w:t>
              <w:cr/>
              <w:t xml:space="preserve">一档（0分） </w:t>
              <w:cr/>
              <w:t xml:space="preserve">二档（1分） </w:t>
              <w:cr/>
              <w:t>三档（2分）</w:t>
              <w:cr/>
              <w:t>四档（3分）</w:t>
            </w:r>
          </w:p>
          <w:p>
            <w:r>
              <w:t>评审标准说明：</w:t>
            </w:r>
          </w:p>
          <w:p>
            <w:r>
              <w:t>评审标准说明：</w:t>
              <w:cr/>
              <w:t>提供软件系统各模块接口需求分析。具体评分标准如下：</w:t>
              <w:cr/>
              <w:t>一档：无软件接口开发需求分析；</w:t>
              <w:cr/>
              <w:t>二档：软件接口开发需求分析不完整，未对软件系统各模块进行接口需求拆分，分析不具体、不充分、不详细；</w:t>
              <w:cr/>
              <w:t>三档：软件接口开发需求分析较完整，对软件系统各模块进行接口需求拆分，分析具体，但不充分、不详细；</w:t>
              <w:cr/>
              <w:t>四档：软件接口开发需求分析完整，对软件系统各模块进行接口需求拆分，并对各个接口进行详细结构需求分析，完全覆盖招标文件接口要求，且完整详细合理。</w:t>
            </w:r>
          </w:p>
          <w:p/>
        </w:tc>
      </w:tr>
      <w:tr>
        <w:tblPrEx>
          <w:tblW w:w="5000" w:type="pct"/>
          <w:tblCellMar>
            <w:left w:w="108" w:type="dxa"/>
            <w:right w:w="108" w:type="dxa"/>
          </w:tblCellMar>
        </w:tblPrEx>
        <w:tc>
          <w:tcPr/>
          <w:p>
            <w:r>
              <w:t>17</w:t>
            </w:r>
          </w:p>
        </w:tc>
        <w:tc>
          <w:tcPr>
            <w:vMerge/>
          </w:tcPr>
          <w:p>
            <w:r>
              <w:t>技术部分</w:t>
            </w:r>
          </w:p>
        </w:tc>
        <w:tc>
          <w:tcPr/>
          <w:p>
            <w:r>
              <w:t>软件开发数据需求分析</w:t>
            </w:r>
          </w:p>
        </w:tc>
        <w:tc>
          <w:tcPr/>
          <w:p>
            <w:r>
              <w:t>勾选打分</w:t>
            </w:r>
            <w:r>
              <w:t>(3)</w:t>
            </w:r>
          </w:p>
        </w:tc>
        <w:tc>
          <w:tcPr/>
          <w:p>
            <w:r>
              <w:t>评审标准：</w:t>
            </w:r>
          </w:p>
          <w:p>
            <w:r>
              <w:t>对软件系统数据进行充分分析，完全覆盖招标文件需求，需求分析完整详细合理。</w:t>
              <w:cr/>
              <w:t xml:space="preserve">按如下档位赋分： </w:t>
              <w:cr/>
              <w:t xml:space="preserve">一档（0分） </w:t>
              <w:cr/>
              <w:t xml:space="preserve">二档（1分） </w:t>
              <w:cr/>
              <w:t xml:space="preserve">三档（2分） </w:t>
              <w:cr/>
              <w:t>四档（3分）</w:t>
            </w:r>
          </w:p>
          <w:p>
            <w:r>
              <w:t>评审标准说明：</w:t>
            </w:r>
          </w:p>
          <w:p>
            <w:r>
              <w:t>评审标准说明：</w:t>
              <w:cr/>
              <w:t>提供软件系统各模块数据需求分析。具体评分标准如下：</w:t>
              <w:cr/>
              <w:t>一档：无软件数据开发需求分析；</w:t>
              <w:cr/>
              <w:t>二档：软件数据开发需求分析不完整，未对软件系统各模块进行数据需求拆分，分析不具体、不充分、不详细；</w:t>
              <w:cr/>
              <w:t>三档：软件数据开发需求分析较完整，对软件系统各模块进行数据需求拆分，分析具体，但不充分、不详细；</w:t>
              <w:cr/>
              <w:t>四档：软件数据开发需求分析完整，对软件系统各模块进行数据需求拆分，并对各个数据点进行详细数据需求分析，完全覆盖招标文件数据要求，且完整详细合理。</w:t>
            </w:r>
          </w:p>
          <w:p/>
        </w:tc>
      </w:tr>
      <w:tr>
        <w:tblPrEx>
          <w:tblW w:w="5000" w:type="pct"/>
          <w:tblCellMar>
            <w:left w:w="108" w:type="dxa"/>
            <w:right w:w="108" w:type="dxa"/>
          </w:tblCellMar>
        </w:tblPrEx>
        <w:tc>
          <w:tcPr/>
          <w:p>
            <w:r>
              <w:t>18</w:t>
            </w:r>
          </w:p>
        </w:tc>
        <w:tc>
          <w:tcPr>
            <w:vMerge/>
          </w:tcPr>
          <w:p>
            <w:r>
              <w:t>技术部分</w:t>
            </w:r>
          </w:p>
        </w:tc>
        <w:tc>
          <w:tcPr/>
          <w:p>
            <w:r>
              <w:t>风险管理方案（主观分）</w:t>
            </w:r>
          </w:p>
        </w:tc>
        <w:tc>
          <w:tcPr/>
          <w:p>
            <w:r>
              <w:t>勾选打分</w:t>
            </w:r>
            <w:r>
              <w:t>(2)</w:t>
            </w:r>
          </w:p>
        </w:tc>
        <w:tc>
          <w:tcPr/>
          <w:p>
            <w:r>
              <w:t>评审标准：</w:t>
            </w:r>
          </w:p>
          <w:p>
            <w:r>
              <w:t>一档（0分）</w:t>
              <w:cr/>
              <w:t>二档（1分）</w:t>
              <w:cr/>
              <w:t>三档（2分）</w:t>
            </w:r>
          </w:p>
          <w:p>
            <w:r>
              <w:t>评审标准说明：</w:t>
            </w:r>
          </w:p>
          <w:p>
            <w:r>
              <w:t>针对项目实施过程中，因国家政策、实施环境、重大技术等发生变化可能带来的项目实施风险，拟定风险管控方案。</w:t>
              <w:cr/>
              <w:t>一档：未提供方案。</w:t>
              <w:cr/>
              <w:t>二档：方案简单，无针对性，方案内容不全，详细程度一般，措施针对性可行性一般。</w:t>
              <w:cr/>
              <w:t>三档：方案内容全面、详细合理、措施针对性强，切实可行。</w:t>
            </w:r>
          </w:p>
          <w:p/>
        </w:tc>
      </w:tr>
    </w:tbl>
    <w:p w:rsidR="00A77B3E">
      <w:r>
        <w:t xml:space="preserve">      </w:t>
      </w:r>
    </w:p>
    <w:p w:rsidR="00A77B3E"/>
    <w:p w:rsidR="00A77B3E">
      <w:bookmarkEnd w:id="56"/>
    </w:p>
    <w:p w:rsidR="00E82B5B" w:rsidP="00161A51">
      <w:pPr>
        <w:rPr>
          <w:rFonts w:hint="eastAsia"/>
          <w:lang w:val="zh-CN"/>
        </w:rPr>
      </w:pPr>
      <w:r>
        <w:rPr>
          <w:bCs/>
          <w:szCs w:val="21"/>
        </w:rPr>
        <w:br w:type="page"/>
      </w:r>
      <w:bookmarkStart w:id="57" w:name="插入_采购需求书"/>
      <w:bookmarkStart w:id="58" w:name="_Toc176762275_0"/>
      <w:bookmarkStart w:id="59" w:name="_Toc176757428_0"/>
      <w:bookmarkStart w:id="60" w:name="_Toc176762790_0"/>
      <w:bookmarkStart w:id="61" w:name="_Toc161475252_0"/>
      <w:bookmarkStart w:id="62" w:name="_Toc176762303_0"/>
      <w:bookmarkStart w:id="63" w:name="_Toc138148080_0"/>
      <w:bookmarkStart w:id="64" w:name="_Toc161475280_0"/>
      <w:bookmarkStart w:id="65" w:name="_Toc176762818_0"/>
      <w:bookmarkStart w:id="66" w:name="_Toc176757456_0"/>
    </w:p>
    <w:p w:rsidR="00E82B5B" w:rsidP="00161A51">
      <w:pPr>
        <w:rPr>
          <w:rFonts w:hint="eastAsia"/>
          <w:lang w:val="zh-CN"/>
        </w:rPr>
      </w:pPr>
    </w:p>
    <w:p w:rsidR="00E82B5B" w:rsidRPr="00B827FA" w:rsidP="00B827FA">
      <w:pPr>
        <w:jc w:val="center"/>
        <w:rPr>
          <w:rFonts w:hint="eastAsia"/>
          <w:b/>
          <w:sz w:val="36"/>
          <w:lang w:val="zh-CN"/>
        </w:rPr>
      </w:pPr>
      <w:r w:rsidRPr="00B827FA" w:rsidR="00B827FA">
        <w:rPr>
          <w:rFonts w:hint="eastAsia"/>
          <w:b/>
          <w:sz w:val="36"/>
          <w:lang w:val="zh-CN"/>
        </w:rPr>
        <w:t>第七章  采购需求</w:t>
      </w:r>
    </w:p>
    <w:p w:rsidR="00E82B5B" w:rsidP="00161A51">
      <w:pPr>
        <w:rPr>
          <w:rFonts w:hint="eastAsia"/>
          <w:lang w:val="zh-CN"/>
        </w:rPr>
      </w:pPr>
    </w:p>
    <w:p w:rsidR="00E82B5B" w:rsidP="00161A51">
      <w:pPr>
        <w:rPr>
          <w:lang w:val="zh-CN"/>
        </w:rPr>
      </w:pPr>
    </w:p>
    <w:p w:rsidR="00E82B5B" w:rsidP="00161A51">
      <w:pPr>
        <w:rPr>
          <w:lang w:val="zh-CN"/>
        </w:rPr>
      </w:pPr>
    </w:p>
    <w:p w:rsidR="00E82B5B" w:rsidP="00161A51">
      <w:pPr>
        <w:rPr>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spacing w:before="120" w:beforeLines="50" w:after="120" w:afterLines="50"/>
        <w:jc w:val="center"/>
        <w:rPr>
          <w:rFonts w:hint="eastAsia"/>
          <w:b/>
          <w:sz w:val="52"/>
          <w:lang w:val="zh-CN"/>
        </w:rPr>
      </w:pPr>
      <w:bookmarkStart w:id="67" w:name="OLE_LINK1"/>
      <w:bookmarkStart w:id="68" w:name="OLE_LINK2"/>
      <w:r w:rsidR="00CE022C">
        <w:rPr>
          <w:rFonts w:hint="eastAsia"/>
          <w:b/>
          <w:sz w:val="52"/>
        </w:rPr>
        <w:t>国家气象科学数据中心数据支撑能力</w:t>
      </w:r>
      <w:r>
        <w:rPr>
          <w:rFonts w:hint="eastAsia"/>
          <w:b/>
          <w:sz w:val="52"/>
        </w:rPr>
        <w:t>建设项目</w:t>
      </w:r>
      <w:r>
        <w:rPr>
          <w:rFonts w:hint="eastAsia"/>
          <w:b/>
          <w:sz w:val="52"/>
          <w:lang w:val="zh-CN"/>
        </w:rPr>
        <w:t>任务书</w:t>
      </w: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E82B5B" w:rsidP="00161A51">
      <w:pPr>
        <w:rPr>
          <w:rFonts w:hint="eastAsia"/>
          <w:lang w:val="zh-CN"/>
        </w:rPr>
      </w:pPr>
    </w:p>
    <w:p w:rsidR="00802C4E" w:rsidP="00161A51">
      <w:pPr>
        <w:pStyle w:val="Heading1"/>
        <w:keepNext/>
        <w:keepLines/>
        <w:widowControl w:val="0"/>
        <w:numPr>
          <w:ilvl w:val="0"/>
          <w:numId w:val="18"/>
        </w:numPr>
        <w:tabs>
          <w:tab w:val="num" w:pos="432"/>
        </w:tabs>
        <w:spacing w:before="100" w:beforeAutospacing="1" w:after="100" w:afterAutospacing="1" w:line="360" w:lineRule="auto"/>
        <w:ind w:left="0" w:firstLine="0"/>
        <w:jc w:val="both"/>
        <w:rPr>
          <w:rFonts w:hint="eastAsia"/>
        </w:rPr>
      </w:pPr>
      <w:bookmarkStart w:id="69" w:name="_Toc199166572"/>
      <w:r w:rsidR="00E82B5B">
        <w:rPr>
          <w:rFonts w:hint="eastAsia"/>
        </w:rPr>
        <w:t>项目背景</w:t>
      </w:r>
      <w:bookmarkEnd w:id="69"/>
    </w:p>
    <w:p w:rsidR="002976CC" w:rsidRPr="002976CC" w:rsidP="00161A51">
      <w:pPr>
        <w:pStyle w:val="NormalIndent"/>
        <w:ind w:firstLine="480"/>
      </w:pPr>
      <w:r w:rsidRPr="002976CC">
        <w:t>随着数字经济和智慧社会建设的不断推进，气象服务在国家治理、行业发展和公众生活中的战略地位愈发凸显。作为连接基础观测、科学研究与社会应用的重要桥梁，气象数据服务与综合业务平台已成为推动行业数字化转型、提升业务协同水平和满足多元化应用需求的核心支撑。近年来，面对气候变化带来的复杂挑战、行业用户对高精度、高时效信息的需求激增，以及新兴领域如交通、文旅、低空经济等对气象服务提出的新要求，现有平台亟需通过技术升级和服务创新实现跨越式发展。</w:t>
      </w:r>
    </w:p>
    <w:p w:rsidR="002976CC" w:rsidRPr="002976CC" w:rsidP="00161A51">
      <w:pPr>
        <w:pStyle w:val="NormalIndent"/>
        <w:ind w:firstLine="480"/>
      </w:pPr>
      <w:r w:rsidRPr="002976CC">
        <w:t>本项目正是在这一背景下提出，立足于强化气象数据服务能力、提升综合业务网站智能化水平、增强数据产品评估与分析能力，全面推进气象行业从单一数据供给向综合智能服务的转型升级。项目不仅聚焦于优化系统架构、提升平台性能和用户体验，更强调面向行业的深度应用拓展与定制化服务能力建设，助力行业用户实现更高效、更精准的气象信息获取与利用。在国家数字化发展战略和气象现代化建设的总体框架下，项目将有力推动气象实况与数据平台在更大范围内落地，构建协同共享、分布式、可持续的服务网络。</w:t>
      </w:r>
    </w:p>
    <w:p w:rsidR="007F3D12" w:rsidP="00161A51">
      <w:pPr>
        <w:pStyle w:val="NormalIndent"/>
        <w:ind w:firstLine="480"/>
        <w:rPr>
          <w:rFonts w:hint="eastAsia"/>
        </w:rPr>
      </w:pPr>
      <w:r w:rsidRPr="002976CC" w:rsidR="002976CC">
        <w:t>此外，项目还顺应人工智能、数据分析等前沿技术的发展潮流，推动气象数据服务向智能化、自动化迈进，大幅提升数据应用的深度与广度。通过完善服务体系、创新应用场景、强化评估分析能力，本项目不仅是对现有气象服务能力的提升，更是面向未来需求、支撑行业高质量发展的关键一步。项目建设的全面推进，将为国家重大需求、重点行业发展以及提升公众气象服务福祉提供坚实保障，助力我国气象服务水平迈向新台阶。</w:t>
      </w:r>
    </w:p>
    <w:p w:rsidR="00E82B5B" w:rsidP="00161A51">
      <w:pPr>
        <w:pStyle w:val="Heading1"/>
        <w:keepNext/>
        <w:keepLines/>
        <w:widowControl w:val="0"/>
        <w:numPr>
          <w:ilvl w:val="0"/>
          <w:numId w:val="18"/>
        </w:numPr>
        <w:tabs>
          <w:tab w:val="num" w:pos="432"/>
        </w:tabs>
        <w:spacing w:before="100" w:beforeAutospacing="1" w:after="100" w:afterAutospacing="1" w:line="360" w:lineRule="auto"/>
        <w:ind w:left="0" w:firstLine="0"/>
        <w:jc w:val="both"/>
      </w:pPr>
      <w:bookmarkStart w:id="70" w:name="_Toc199166573"/>
      <w:r>
        <w:rPr>
          <w:rFonts w:hint="eastAsia"/>
        </w:rPr>
        <w:t>建设目标和内容</w:t>
      </w:r>
      <w:bookmarkEnd w:id="70"/>
    </w:p>
    <w:p w:rsidR="00862964" w:rsidRPr="0091002B" w:rsidP="00161A51">
      <w:pPr>
        <w:pStyle w:val="NormalIndent"/>
        <w:ind w:firstLine="480"/>
        <w:rPr>
          <w:rFonts w:hint="eastAsia"/>
        </w:rPr>
      </w:pPr>
      <w:r w:rsidRPr="0091002B">
        <w:rPr>
          <w:rFonts w:hint="eastAsia"/>
        </w:rPr>
        <w:t>（1）强化气象数据服务能力</w:t>
      </w:r>
    </w:p>
    <w:p w:rsidR="00862964" w:rsidRPr="0091002B" w:rsidP="00161A51">
      <w:pPr>
        <w:pStyle w:val="NormalIndent"/>
        <w:ind w:firstLine="480"/>
        <w:rPr>
          <w:rFonts w:hint="eastAsia"/>
        </w:rPr>
      </w:pPr>
      <w:r w:rsidRPr="00411C16" w:rsidR="00B9375A">
        <w:rPr>
          <w:rFonts w:hint="eastAsia"/>
          <w:color w:val="000000"/>
        </w:rPr>
        <w:t>实现平台的日常运维、接口升级和数据稳定性保障，确保业务连续性与高可用性。</w:t>
      </w:r>
      <w:r w:rsidRPr="00411C16">
        <w:rPr>
          <w:rFonts w:hint="eastAsia"/>
          <w:color w:val="000000"/>
        </w:rPr>
        <w:t>面向交通</w:t>
      </w:r>
      <w:r w:rsidRPr="0091002B">
        <w:rPr>
          <w:rFonts w:hint="eastAsia"/>
        </w:rPr>
        <w:t>、文旅、低空经济等行业构建气象影响分析图层，提供行业融合应用；建设自动生成和定制检索的自评报告模块，提升报告编制效率；推动气象实况与数据平台在省级上线，支持省级平台部署与后续运维；升级整体架构以扩展跨系统、跨平台服务能力，优化性能和用户体验；完善与联合基金汇交栏目的整合，新增功能以满足未来需求。</w:t>
      </w:r>
    </w:p>
    <w:p w:rsidR="00862964" w:rsidRPr="0091002B" w:rsidP="00161A51">
      <w:pPr>
        <w:pStyle w:val="NormalIndent"/>
        <w:ind w:firstLine="480"/>
        <w:rPr>
          <w:rFonts w:hint="eastAsia"/>
        </w:rPr>
      </w:pPr>
      <w:r w:rsidRPr="0091002B">
        <w:rPr>
          <w:rFonts w:hint="eastAsia"/>
        </w:rPr>
        <w:t>（2）提升气象综合业务网站服务能力</w:t>
      </w:r>
    </w:p>
    <w:p w:rsidR="00862964" w:rsidRPr="0091002B" w:rsidP="00161A51">
      <w:pPr>
        <w:pStyle w:val="NormalIndent"/>
        <w:ind w:firstLine="480"/>
        <w:rPr>
          <w:rFonts w:hint="eastAsia"/>
        </w:rPr>
      </w:pPr>
      <w:r w:rsidRPr="0091002B">
        <w:rPr>
          <w:rFonts w:hint="eastAsia"/>
        </w:rPr>
        <w:t>拓展三维可视化系统数据接入，优化展示效果与速度；建设低空经济孪生城市应用；运维二维实况制图等现有模块。</w:t>
      </w:r>
    </w:p>
    <w:p w:rsidR="00862964" w:rsidRPr="0091002B" w:rsidP="00161A51">
      <w:pPr>
        <w:pStyle w:val="NormalIndent"/>
        <w:ind w:firstLine="480"/>
        <w:rPr>
          <w:rFonts w:hint="eastAsia"/>
        </w:rPr>
      </w:pPr>
      <w:r w:rsidRPr="0091002B">
        <w:rPr>
          <w:rFonts w:hint="eastAsia"/>
        </w:rPr>
        <w:t>（3）增强数据产品应用评估分析</w:t>
      </w:r>
    </w:p>
    <w:p w:rsidR="00777B59" w:rsidRPr="00777B59" w:rsidP="00161A51">
      <w:pPr>
        <w:pStyle w:val="NormalIndent"/>
        <w:ind w:firstLine="480"/>
        <w:rPr>
          <w:rFonts w:hint="eastAsia"/>
        </w:rPr>
      </w:pPr>
      <w:r w:rsidRPr="0091002B" w:rsidR="00862964">
        <w:rPr>
          <w:rFonts w:hint="eastAsia"/>
        </w:rPr>
        <w:t>新增应急响应分析统计页面、数据累加工具页面、数据运维工具页面；开发PPT识别工具用于会商评估；实现工作月报自动生成；完善气象数据服务评估系统功能</w:t>
      </w:r>
      <w:r>
        <w:rPr>
          <w:rFonts w:hint="eastAsia"/>
        </w:rPr>
        <w:t>。</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71" w:name="_Toc199166574"/>
      <w:bookmarkEnd w:id="58"/>
      <w:bookmarkEnd w:id="59"/>
      <w:bookmarkEnd w:id="60"/>
      <w:bookmarkEnd w:id="61"/>
      <w:r>
        <w:t>功能要求</w:t>
      </w:r>
      <w:bookmarkEnd w:id="71"/>
    </w:p>
    <w:p w:rsidR="00E82B5B" w:rsidP="00161A51">
      <w:pPr>
        <w:pStyle w:val="Heading2"/>
        <w:keepNext/>
        <w:keepLines/>
        <w:widowControl w:val="0"/>
        <w:numPr>
          <w:ilvl w:val="1"/>
          <w:numId w:val="18"/>
        </w:numPr>
        <w:tabs>
          <w:tab w:val="left" w:pos="576"/>
        </w:tabs>
        <w:spacing w:before="260" w:after="260" w:line="360" w:lineRule="auto"/>
        <w:ind w:left="576" w:hanging="576"/>
        <w:jc w:val="both"/>
        <w:rPr>
          <w:rFonts w:hint="eastAsia"/>
        </w:rPr>
      </w:pPr>
      <w:bookmarkStart w:id="72" w:name="_Toc199166575"/>
      <w:r>
        <w:rPr>
          <w:rFonts w:hint="eastAsia"/>
        </w:rPr>
        <w:t>功能概述</w:t>
      </w:r>
      <w:bookmarkEnd w:id="72"/>
    </w:p>
    <w:p w:rsidR="00120577" w:rsidP="00161A51">
      <w:pPr>
        <w:spacing w:before="120" w:beforeLines="50" w:after="120" w:afterLines="50"/>
        <w:ind w:firstLine="420" w:firstLineChars="200"/>
        <w:rPr>
          <w:rFonts w:hint="eastAsia"/>
        </w:rPr>
      </w:pPr>
      <w:r w:rsidR="00E82B5B">
        <w:rPr>
          <w:rFonts w:hint="eastAsia"/>
        </w:rPr>
        <w:t>本项目基于</w:t>
      </w:r>
      <w:r w:rsidR="00E82B5B">
        <w:rPr>
          <w:rFonts w:hint="eastAsia"/>
        </w:rPr>
        <w:t>“</w:t>
      </w:r>
      <w:r w:rsidR="00E82B5B">
        <w:rPr>
          <w:rFonts w:hint="eastAsia"/>
        </w:rPr>
        <w:t>天擎</w:t>
      </w:r>
      <w:r w:rsidR="00E82B5B">
        <w:rPr>
          <w:rFonts w:hint="eastAsia"/>
        </w:rPr>
        <w:t>”</w:t>
      </w:r>
      <w:r w:rsidR="00A306C2">
        <w:rPr>
          <w:rFonts w:hint="eastAsia"/>
        </w:rPr>
        <w:t>气象大数据云平台</w:t>
      </w:r>
      <w:r w:rsidR="00E82B5B">
        <w:rPr>
          <w:rFonts w:hint="eastAsia"/>
        </w:rPr>
        <w:t>系统现有成果进行建设，数据环境生成依托于</w:t>
      </w:r>
      <w:r w:rsidR="00E82B5B">
        <w:rPr>
          <w:rFonts w:hint="eastAsia"/>
        </w:rPr>
        <w:t>“</w:t>
      </w:r>
      <w:r w:rsidR="00E82B5B">
        <w:rPr>
          <w:rFonts w:hint="eastAsia"/>
        </w:rPr>
        <w:t>天擎</w:t>
      </w:r>
      <w:r w:rsidR="00E82B5B">
        <w:rPr>
          <w:rFonts w:hint="eastAsia"/>
        </w:rPr>
        <w:t>”</w:t>
      </w:r>
      <w:r w:rsidR="00E82B5B">
        <w:rPr>
          <w:rFonts w:hint="eastAsia"/>
        </w:rPr>
        <w:t>气象大数据云平台。</w:t>
      </w:r>
      <w:r w:rsidR="00A6232B">
        <w:rPr>
          <w:rFonts w:hint="eastAsia"/>
        </w:rPr>
        <w:t>完成</w:t>
      </w:r>
      <w:r w:rsidR="00926553">
        <w:rPr>
          <w:rFonts w:hint="eastAsia"/>
        </w:rPr>
        <w:t>提升气象综合业务网站服务能力、强化气象数据服务能力、</w:t>
      </w:r>
      <w:r w:rsidR="00A409FD">
        <w:rPr>
          <w:rFonts w:hint="eastAsia"/>
        </w:rPr>
        <w:t>增强</w:t>
      </w:r>
      <w:r w:rsidR="00926553">
        <w:rPr>
          <w:rFonts w:hint="eastAsia"/>
        </w:rPr>
        <w:t>数据产品与应用评估分析三个任务的建设工作</w:t>
      </w:r>
      <w:r w:rsidR="00A6232B">
        <w:rPr>
          <w:rFonts w:hint="eastAsia"/>
        </w:rPr>
        <w:t>。</w:t>
      </w:r>
    </w:p>
    <w:p w:rsidR="00120577" w:rsidP="00161A51">
      <w:pPr>
        <w:pStyle w:val="Heading2"/>
        <w:keepNext/>
        <w:keepLines/>
        <w:widowControl w:val="0"/>
        <w:numPr>
          <w:ilvl w:val="1"/>
          <w:numId w:val="18"/>
        </w:numPr>
        <w:tabs>
          <w:tab w:val="left" w:pos="576"/>
        </w:tabs>
        <w:spacing w:before="260" w:after="260" w:line="360" w:lineRule="auto"/>
        <w:ind w:left="576" w:hanging="576"/>
        <w:jc w:val="both"/>
      </w:pPr>
      <w:bookmarkStart w:id="73" w:name="_Toc497489545"/>
      <w:bookmarkStart w:id="74" w:name="_Toc497489644"/>
      <w:bookmarkStart w:id="75" w:name="_Toc497489569"/>
      <w:bookmarkStart w:id="76" w:name="_Toc497489716"/>
      <w:bookmarkStart w:id="77" w:name="_Toc497489493"/>
      <w:bookmarkStart w:id="78" w:name="_Toc497489492"/>
      <w:bookmarkStart w:id="79" w:name="_Toc497489947"/>
      <w:bookmarkStart w:id="80" w:name="_Toc497489554"/>
      <w:bookmarkStart w:id="81" w:name="_Toc497489521"/>
      <w:bookmarkStart w:id="82" w:name="_Toc497489563"/>
      <w:bookmarkStart w:id="83" w:name="_Toc497489611"/>
      <w:bookmarkStart w:id="84" w:name="_Toc497489686"/>
      <w:bookmarkStart w:id="85" w:name="_Toc497489653"/>
      <w:bookmarkStart w:id="86" w:name="_Toc497489659"/>
      <w:bookmarkStart w:id="87" w:name="_Toc497489674"/>
      <w:bookmarkStart w:id="88" w:name="_Toc497489542"/>
      <w:bookmarkStart w:id="89" w:name="_Toc497489641"/>
      <w:bookmarkStart w:id="90" w:name="_Toc497489638"/>
      <w:bookmarkStart w:id="91" w:name="_Toc497489608"/>
      <w:bookmarkStart w:id="92" w:name="_Toc497489713"/>
      <w:bookmarkStart w:id="93" w:name="_Toc497489756"/>
      <w:bookmarkStart w:id="94" w:name="_Toc497489773"/>
      <w:bookmarkStart w:id="95" w:name="_Toc497489770"/>
      <w:bookmarkStart w:id="96" w:name="_Toc497489581"/>
      <w:bookmarkStart w:id="97" w:name="_Toc497489566"/>
      <w:bookmarkStart w:id="98" w:name="_Toc497489578"/>
      <w:bookmarkStart w:id="99" w:name="_Toc497489671"/>
      <w:bookmarkStart w:id="100" w:name="_Toc497489767"/>
      <w:bookmarkStart w:id="101" w:name="_Toc497489737"/>
      <w:bookmarkStart w:id="102" w:name="_Toc497489704"/>
      <w:bookmarkStart w:id="103" w:name="_Toc497489489"/>
      <w:bookmarkStart w:id="104" w:name="_Toc497489707"/>
      <w:bookmarkStart w:id="105" w:name="_Toc497489731"/>
      <w:bookmarkStart w:id="106" w:name="_Toc497489620"/>
      <w:bookmarkStart w:id="107" w:name="_Toc497489734"/>
      <w:bookmarkStart w:id="108" w:name="_Toc497489692"/>
      <w:bookmarkStart w:id="109" w:name="_Toc497489755"/>
      <w:bookmarkStart w:id="110" w:name="_Toc497489749"/>
      <w:bookmarkStart w:id="111" w:name="_Toc497489572"/>
      <w:bookmarkStart w:id="112" w:name="_Toc497489757"/>
      <w:bookmarkStart w:id="113" w:name="_Toc497489689"/>
      <w:bookmarkStart w:id="114" w:name="_Toc497489599"/>
      <w:bookmarkStart w:id="115" w:name="_Toc497489914"/>
      <w:bookmarkStart w:id="116" w:name="_Toc497489740"/>
      <w:bookmarkStart w:id="117" w:name="_Toc497489677"/>
      <w:bookmarkStart w:id="118" w:name="_Toc497489509"/>
      <w:bookmarkStart w:id="119" w:name="_Toc497489725"/>
      <w:bookmarkStart w:id="120" w:name="_Toc497489974"/>
      <w:bookmarkStart w:id="121" w:name="_Toc497489851"/>
      <w:bookmarkStart w:id="122" w:name="_Toc497489680"/>
      <w:bookmarkStart w:id="123" w:name="_Toc497489710"/>
      <w:bookmarkStart w:id="124" w:name="_Toc497489764"/>
      <w:bookmarkStart w:id="125" w:name="_Toc497489896"/>
      <w:bookmarkStart w:id="126" w:name="_Toc497489821"/>
      <w:bookmarkStart w:id="127" w:name="_Toc497489836"/>
      <w:bookmarkStart w:id="128" w:name="_Toc497489776"/>
      <w:bookmarkStart w:id="129" w:name="_Toc497489575"/>
      <w:bookmarkStart w:id="130" w:name="_Toc497489782"/>
      <w:bookmarkStart w:id="131" w:name="_Toc497489722"/>
      <w:bookmarkStart w:id="132" w:name="_Toc497489605"/>
      <w:bookmarkStart w:id="133" w:name="_Toc497489596"/>
      <w:bookmarkStart w:id="134" w:name="_Toc497489866"/>
      <w:bookmarkStart w:id="135" w:name="_Toc497489983"/>
      <w:bookmarkStart w:id="136" w:name="_Toc497489809"/>
      <w:bookmarkStart w:id="137" w:name="_Toc497489743"/>
      <w:bookmarkStart w:id="138" w:name="_Toc497489908"/>
      <w:bookmarkStart w:id="139" w:name="_Toc497489746"/>
      <w:bookmarkStart w:id="140" w:name="_Toc497489698"/>
      <w:bookmarkStart w:id="141" w:name="_Toc497489875"/>
      <w:bookmarkStart w:id="142" w:name="_Toc497489968"/>
      <w:bookmarkStart w:id="143" w:name="_Toc497489803"/>
      <w:bookmarkStart w:id="144" w:name="_Toc497489872"/>
      <w:bookmarkStart w:id="145" w:name="_Toc497489590"/>
      <w:bookmarkStart w:id="146" w:name="_Toc497489668"/>
      <w:bookmarkStart w:id="147" w:name="_Toc497489881"/>
      <w:bookmarkStart w:id="148" w:name="_Toc497489848"/>
      <w:bookmarkStart w:id="149" w:name="_Toc497489932"/>
      <w:bookmarkStart w:id="150" w:name="_Toc497489941"/>
      <w:bookmarkStart w:id="151" w:name="_Toc497489833"/>
      <w:bookmarkStart w:id="152" w:name="_Toc497489905"/>
      <w:bookmarkStart w:id="153" w:name="_Toc497489785"/>
      <w:bookmarkStart w:id="154" w:name="_Toc497489944"/>
      <w:bookmarkStart w:id="155" w:name="_Toc497489854"/>
      <w:bookmarkStart w:id="156" w:name="_Toc497489794"/>
      <w:bookmarkStart w:id="157" w:name="_Toc497489791"/>
      <w:bookmarkStart w:id="158" w:name="_Toc497490004"/>
      <w:bookmarkStart w:id="159" w:name="_Toc497489860"/>
      <w:bookmarkStart w:id="160" w:name="_Toc497489938"/>
      <w:bookmarkStart w:id="161" w:name="_Toc497489827"/>
      <w:bookmarkStart w:id="162" w:name="_Toc497489806"/>
      <w:bookmarkStart w:id="163" w:name="_Toc497489899"/>
      <w:bookmarkStart w:id="164" w:name="_Toc497489971"/>
      <w:bookmarkStart w:id="165" w:name="_Toc497489962"/>
      <w:bookmarkStart w:id="166" w:name="_Toc497489965"/>
      <w:bookmarkStart w:id="167" w:name="_Toc497489878"/>
      <w:bookmarkStart w:id="168" w:name="_Toc497489788"/>
      <w:bookmarkStart w:id="169" w:name="_Toc497489830"/>
      <w:bookmarkStart w:id="170" w:name="_Toc497489845"/>
      <w:bookmarkStart w:id="171" w:name="_Toc497489992"/>
      <w:bookmarkStart w:id="172" w:name="_Toc497489812"/>
      <w:bookmarkStart w:id="173" w:name="_Toc497489863"/>
      <w:bookmarkStart w:id="174" w:name="_Toc497489953"/>
      <w:bookmarkStart w:id="175" w:name="_Toc497489956"/>
      <w:bookmarkStart w:id="176" w:name="_Toc497489959"/>
      <w:bookmarkStart w:id="177" w:name="_Toc497489512"/>
      <w:bookmarkStart w:id="178" w:name="_Toc497489557"/>
      <w:bookmarkStart w:id="179" w:name="_Toc497489980"/>
      <w:bookmarkStart w:id="180" w:name="_Toc497489548"/>
      <w:bookmarkStart w:id="181" w:name="_Toc497489920"/>
      <w:bookmarkStart w:id="182" w:name="_Toc497489587"/>
      <w:bookmarkStart w:id="183" w:name="_Toc497489665"/>
      <w:bookmarkStart w:id="184" w:name="_Toc497489490"/>
      <w:bookmarkStart w:id="185" w:name="_Toc497489536"/>
      <w:bookmarkStart w:id="186" w:name="_Toc497490001"/>
      <w:bookmarkStart w:id="187" w:name="_Toc497489647"/>
      <w:bookmarkStart w:id="188" w:name="_Toc497489818"/>
      <w:bookmarkStart w:id="189" w:name="_Toc497489986"/>
      <w:bookmarkStart w:id="190" w:name="_Toc497489800"/>
      <w:bookmarkStart w:id="191" w:name="_Toc497489530"/>
      <w:bookmarkStart w:id="192" w:name="_Toc497489884"/>
      <w:bookmarkStart w:id="193" w:name="_Toc497489923"/>
      <w:bookmarkStart w:id="194" w:name="_Toc497489998"/>
      <w:bookmarkStart w:id="195" w:name="_Toc497490015"/>
      <w:bookmarkStart w:id="196" w:name="_Toc497489488"/>
      <w:bookmarkStart w:id="197" w:name="_Toc497489515"/>
      <w:bookmarkStart w:id="198" w:name="_Toc497489839"/>
      <w:bookmarkStart w:id="199" w:name="_Toc497489995"/>
      <w:bookmarkStart w:id="200" w:name="_Toc497490010"/>
      <w:bookmarkStart w:id="201" w:name="_Toc497489842"/>
      <w:bookmarkStart w:id="202" w:name="_Toc497489902"/>
      <w:bookmarkStart w:id="203" w:name="_Toc497489911"/>
      <w:bookmarkStart w:id="204" w:name="_Toc497489539"/>
      <w:bookmarkStart w:id="205" w:name="_Toc497490013"/>
      <w:bookmarkStart w:id="206" w:name="_Toc497489503"/>
      <w:bookmarkStart w:id="207" w:name="_Toc497489560"/>
      <w:bookmarkStart w:id="208" w:name="_Toc497489977"/>
      <w:bookmarkStart w:id="209" w:name="_Toc497489524"/>
      <w:bookmarkStart w:id="210" w:name="_Toc497489662"/>
      <w:bookmarkStart w:id="211" w:name="_Toc497489989"/>
      <w:bookmarkStart w:id="212" w:name="_Toc497489929"/>
      <w:bookmarkStart w:id="213" w:name="_Toc497489626"/>
      <w:bookmarkStart w:id="214" w:name="_Toc497489695"/>
      <w:bookmarkStart w:id="215" w:name="_Toc497490016"/>
      <w:bookmarkStart w:id="216" w:name="_Toc497489487"/>
      <w:bookmarkStart w:id="217" w:name="_Toc497489491"/>
      <w:bookmarkStart w:id="218" w:name="_Toc497490014"/>
      <w:bookmarkStart w:id="219" w:name="_Toc497489527"/>
      <w:bookmarkStart w:id="220" w:name="_Toc497489602"/>
      <w:bookmarkStart w:id="221" w:name="_Toc497489935"/>
      <w:bookmarkStart w:id="222" w:name="_Toc497489533"/>
      <w:bookmarkStart w:id="223" w:name="_Toc497489632"/>
      <w:bookmarkStart w:id="224" w:name="_Toc497489518"/>
      <w:bookmarkStart w:id="225" w:name="_Toc497489506"/>
      <w:bookmarkStart w:id="226" w:name="_Toc497489617"/>
      <w:bookmarkStart w:id="227" w:name="_Toc497489926"/>
      <w:bookmarkStart w:id="228" w:name="_Toc497489683"/>
      <w:bookmarkStart w:id="229" w:name="_Toc497489500"/>
      <w:bookmarkStart w:id="230" w:name="_Toc497489650"/>
      <w:bookmarkStart w:id="231" w:name="_Toc497489629"/>
      <w:bookmarkStart w:id="232" w:name="_Toc497489584"/>
      <w:bookmarkStart w:id="233" w:name="_Toc497489701"/>
      <w:bookmarkStart w:id="234" w:name="_Toc497489635"/>
      <w:bookmarkStart w:id="235" w:name="_Toc497489623"/>
      <w:bookmarkStart w:id="236" w:name="_Toc395794193"/>
      <w:bookmarkStart w:id="237" w:name="_Toc199166576"/>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hint="eastAsia"/>
        </w:rPr>
        <w:t>提升气象综合业务网站服务能力</w:t>
      </w:r>
      <w:bookmarkEnd w:id="237"/>
    </w:p>
    <w:p w:rsidR="003A19D7" w:rsidRPr="00646F36" w:rsidP="00161A51">
      <w:pPr>
        <w:pStyle w:val="NormalIndent"/>
        <w:ind w:firstLine="482"/>
        <w:rPr>
          <w:rFonts w:hint="eastAsia"/>
          <w:b/>
          <w:bCs/>
        </w:rPr>
      </w:pPr>
      <w:r w:rsidRPr="00646F36">
        <w:rPr>
          <w:rFonts w:hint="eastAsia"/>
          <w:b/>
          <w:bCs/>
        </w:rPr>
        <w:t>（1）三维可视化系统数据接入与展示优化</w:t>
      </w:r>
    </w:p>
    <w:p w:rsidR="003A19D7" w:rsidP="00161A51">
      <w:pPr>
        <w:pStyle w:val="NormalIndent"/>
        <w:ind w:firstLine="480"/>
        <w:rPr>
          <w:rFonts w:hint="eastAsia"/>
        </w:rPr>
      </w:pPr>
      <w:r>
        <w:rPr>
          <w:rFonts w:hint="eastAsia"/>
        </w:rPr>
        <w:t>增加更多气象数据源接入三维可视化系统，优化渲染效果与加载速度，实现更流畅、逼真的三维展示体验。</w:t>
      </w:r>
    </w:p>
    <w:p w:rsidR="003A19D7" w:rsidRPr="00646F36" w:rsidP="00161A51">
      <w:pPr>
        <w:pStyle w:val="NormalIndent"/>
        <w:ind w:firstLine="482"/>
        <w:rPr>
          <w:rFonts w:hint="eastAsia"/>
          <w:b/>
          <w:bCs/>
        </w:rPr>
      </w:pPr>
      <w:r w:rsidRPr="00646F36">
        <w:rPr>
          <w:rFonts w:hint="eastAsia"/>
          <w:b/>
          <w:bCs/>
        </w:rPr>
        <w:t>（2）基于语料库的智能客服</w:t>
      </w:r>
    </w:p>
    <w:p w:rsidR="003A19D7" w:rsidP="00161A51">
      <w:pPr>
        <w:pStyle w:val="NormalIndent"/>
        <w:ind w:firstLine="480"/>
        <w:rPr>
          <w:rFonts w:hint="eastAsia"/>
        </w:rPr>
      </w:pPr>
      <w:r>
        <w:rPr>
          <w:rFonts w:hint="eastAsia"/>
        </w:rPr>
        <w:t>开发结合气象业务语料库的智能客服机器人，实现用户问题的智能理解与自动应答，提升网站服务智能化水平。</w:t>
      </w:r>
    </w:p>
    <w:p w:rsidR="003A19D7" w:rsidRPr="00646F36" w:rsidP="00161A51">
      <w:pPr>
        <w:pStyle w:val="NormalIndent"/>
        <w:ind w:firstLine="482"/>
        <w:rPr>
          <w:rFonts w:hint="eastAsia"/>
          <w:b/>
          <w:bCs/>
        </w:rPr>
      </w:pPr>
      <w:r w:rsidRPr="00646F36">
        <w:rPr>
          <w:rFonts w:hint="eastAsia"/>
          <w:b/>
          <w:bCs/>
        </w:rPr>
        <w:t>（3）低空经济孪生城市建设</w:t>
      </w:r>
    </w:p>
    <w:p w:rsidR="003A19D7" w:rsidP="00161A51">
      <w:pPr>
        <w:pStyle w:val="NormalIndent"/>
        <w:ind w:firstLine="480"/>
        <w:rPr>
          <w:rFonts w:hint="eastAsia"/>
        </w:rPr>
      </w:pPr>
      <w:r>
        <w:rPr>
          <w:rFonts w:hint="eastAsia"/>
        </w:rPr>
        <w:t>基于低空经济需求，开发孪生城市应用模块，模拟和分析城市内低空经济活动与气象环境的互动关系，提供决策支持。</w:t>
      </w:r>
    </w:p>
    <w:p w:rsidR="003A19D7" w:rsidRPr="00646F36" w:rsidP="00161A51">
      <w:pPr>
        <w:pStyle w:val="NormalIndent"/>
        <w:ind w:firstLine="482"/>
        <w:rPr>
          <w:rFonts w:hint="eastAsia"/>
          <w:b/>
          <w:bCs/>
        </w:rPr>
      </w:pPr>
      <w:r w:rsidRPr="00646F36">
        <w:rPr>
          <w:rFonts w:hint="eastAsia"/>
          <w:b/>
          <w:bCs/>
        </w:rPr>
        <w:t>（4）二维实况制图及相关模块运维</w:t>
      </w:r>
    </w:p>
    <w:p w:rsidR="003A19D7" w:rsidRPr="003A19D7" w:rsidP="00161A51">
      <w:pPr>
        <w:pStyle w:val="NormalIndent"/>
        <w:ind w:firstLine="480"/>
        <w:rPr>
          <w:rFonts w:hint="eastAsia"/>
        </w:rPr>
      </w:pPr>
      <w:r>
        <w:rPr>
          <w:rFonts w:hint="eastAsia"/>
        </w:rPr>
        <w:t>持续运维和优化二维实况制图模块及相关气候变化数据库系统，确保数据展示的准确性、稳定性和实时性。</w:t>
      </w:r>
    </w:p>
    <w:p w:rsidR="00120577" w:rsidP="00161A51">
      <w:pPr>
        <w:pStyle w:val="Heading2"/>
        <w:keepNext/>
        <w:keepLines/>
        <w:widowControl w:val="0"/>
        <w:numPr>
          <w:ilvl w:val="1"/>
          <w:numId w:val="18"/>
        </w:numPr>
        <w:tabs>
          <w:tab w:val="left" w:pos="576"/>
        </w:tabs>
        <w:spacing w:before="260" w:after="260" w:line="360" w:lineRule="auto"/>
        <w:ind w:left="576" w:hanging="576"/>
        <w:jc w:val="both"/>
      </w:pPr>
      <w:bookmarkStart w:id="238" w:name="_Toc199166577"/>
      <w:r>
        <w:rPr>
          <w:rFonts w:hint="eastAsia"/>
        </w:rPr>
        <w:t>强化气象数据服务能力</w:t>
      </w:r>
      <w:bookmarkEnd w:id="238"/>
    </w:p>
    <w:p w:rsidR="00B9375A" w:rsidRPr="00B9375A" w:rsidP="00B9375A">
      <w:pPr>
        <w:pStyle w:val="NormalIndent"/>
        <w:ind w:firstLine="482"/>
        <w:rPr>
          <w:b/>
          <w:bCs/>
          <w:color w:val="FF0000"/>
        </w:rPr>
      </w:pPr>
      <w:r w:rsidRPr="00B9375A">
        <w:rPr>
          <w:rFonts w:hint="eastAsia"/>
          <w:b/>
          <w:bCs/>
          <w:color w:val="FF0000"/>
        </w:rPr>
        <w:t>（1）常规运维与数据稳定性保障</w:t>
      </w:r>
    </w:p>
    <w:p w:rsidR="00B9375A" w:rsidRPr="00B9375A" w:rsidP="00B9375A">
      <w:pPr>
        <w:pStyle w:val="NormalIndent"/>
        <w:ind w:firstLine="480"/>
        <w:rPr>
          <w:rFonts w:hint="eastAsia"/>
          <w:color w:val="FF0000"/>
        </w:rPr>
      </w:pPr>
      <w:r w:rsidRPr="00B9375A">
        <w:rPr>
          <w:rFonts w:hint="eastAsia"/>
          <w:color w:val="FF0000"/>
        </w:rPr>
        <w:t>实现</w:t>
      </w:r>
      <w:r>
        <w:rPr>
          <w:rFonts w:hint="eastAsia"/>
          <w:color w:val="FF0000"/>
        </w:rPr>
        <w:t>国家气象科学</w:t>
      </w:r>
      <w:r w:rsidRPr="00B9375A">
        <w:rPr>
          <w:rFonts w:hint="eastAsia"/>
          <w:color w:val="FF0000"/>
        </w:rPr>
        <w:t>数据网相关栏目、平台</w:t>
      </w:r>
      <w:r w:rsidR="00E563C3">
        <w:rPr>
          <w:rFonts w:hint="eastAsia"/>
          <w:color w:val="FF0000"/>
        </w:rPr>
        <w:t>、子系统</w:t>
      </w:r>
      <w:r w:rsidRPr="00B9375A">
        <w:rPr>
          <w:rFonts w:hint="eastAsia"/>
          <w:color w:val="FF0000"/>
        </w:rPr>
        <w:t>的日常维护、接口优化和数据稳定性的保障，确保业务连续性与高可用性。</w:t>
      </w:r>
    </w:p>
    <w:p w:rsidR="003A19D7" w:rsidRPr="00E841A2" w:rsidP="00161A51">
      <w:pPr>
        <w:pStyle w:val="NormalIndent"/>
        <w:ind w:firstLine="482"/>
        <w:rPr>
          <w:rFonts w:hint="eastAsia"/>
          <w:b/>
          <w:bCs/>
        </w:rPr>
      </w:pPr>
      <w:r w:rsidRPr="00E841A2">
        <w:rPr>
          <w:rFonts w:hint="eastAsia"/>
          <w:b/>
          <w:bCs/>
        </w:rPr>
        <w:t>（</w:t>
      </w:r>
      <w:r w:rsidR="00B9375A">
        <w:rPr>
          <w:rFonts w:hint="eastAsia"/>
          <w:b/>
          <w:bCs/>
        </w:rPr>
        <w:t>2</w:t>
      </w:r>
      <w:r w:rsidRPr="00E841A2">
        <w:rPr>
          <w:rFonts w:hint="eastAsia"/>
          <w:b/>
          <w:bCs/>
        </w:rPr>
        <w:t>）行业气象影响分析图层构建</w:t>
      </w:r>
    </w:p>
    <w:p w:rsidR="003A19D7" w:rsidP="00161A51">
      <w:pPr>
        <w:pStyle w:val="NormalIndent"/>
        <w:ind w:firstLine="480"/>
        <w:rPr>
          <w:rFonts w:hint="eastAsia"/>
        </w:rPr>
      </w:pPr>
      <w:r>
        <w:rPr>
          <w:rFonts w:hint="eastAsia"/>
        </w:rPr>
        <w:t>针对交通、文旅、低空经济等重点行业，构建气象影响分析图层，提供行业专属气象影响评估与可视化分析服务，助力行业融合应用开发。</w:t>
      </w:r>
    </w:p>
    <w:p w:rsidR="003A19D7" w:rsidRPr="00E841A2" w:rsidP="00161A51">
      <w:pPr>
        <w:pStyle w:val="NormalIndent"/>
        <w:ind w:firstLine="482"/>
        <w:rPr>
          <w:rFonts w:hint="eastAsia"/>
          <w:b/>
          <w:bCs/>
        </w:rPr>
      </w:pPr>
      <w:r w:rsidRPr="00E841A2">
        <w:rPr>
          <w:rFonts w:hint="eastAsia"/>
          <w:b/>
          <w:bCs/>
        </w:rPr>
        <w:t>（</w:t>
      </w:r>
      <w:r w:rsidR="00B9375A">
        <w:rPr>
          <w:rFonts w:hint="eastAsia"/>
          <w:b/>
          <w:bCs/>
        </w:rPr>
        <w:t>3</w:t>
      </w:r>
      <w:r w:rsidRPr="00E841A2">
        <w:rPr>
          <w:rFonts w:hint="eastAsia"/>
          <w:b/>
          <w:bCs/>
        </w:rPr>
        <w:t>）自评报告自动生成与定制检索</w:t>
      </w:r>
    </w:p>
    <w:p w:rsidR="003A19D7" w:rsidP="00161A51">
      <w:pPr>
        <w:pStyle w:val="NormalIndent"/>
        <w:ind w:firstLine="480"/>
        <w:rPr>
          <w:rFonts w:hint="eastAsia"/>
        </w:rPr>
      </w:pPr>
      <w:r>
        <w:rPr>
          <w:rFonts w:hint="eastAsia"/>
        </w:rPr>
        <w:t>建设面向平台的数据自评报告自动生成模块，并提供定制化检索功能，提高报告编制效率、减少人工操作、提升数据利用度。</w:t>
      </w:r>
    </w:p>
    <w:p w:rsidR="003A19D7" w:rsidRPr="00E841A2" w:rsidP="00161A51">
      <w:pPr>
        <w:pStyle w:val="NormalIndent"/>
        <w:ind w:firstLine="482"/>
        <w:rPr>
          <w:rFonts w:hint="eastAsia"/>
          <w:b/>
          <w:bCs/>
        </w:rPr>
      </w:pPr>
      <w:r w:rsidRPr="00E841A2">
        <w:rPr>
          <w:rFonts w:hint="eastAsia"/>
          <w:b/>
          <w:bCs/>
        </w:rPr>
        <w:t>（</w:t>
      </w:r>
      <w:r w:rsidR="00B9375A">
        <w:rPr>
          <w:rFonts w:hint="eastAsia"/>
          <w:b/>
          <w:bCs/>
        </w:rPr>
        <w:t>4</w:t>
      </w:r>
      <w:r w:rsidRPr="00E841A2">
        <w:rPr>
          <w:rFonts w:hint="eastAsia"/>
          <w:b/>
          <w:bCs/>
        </w:rPr>
        <w:t>）省级气象实况与数据平台推广</w:t>
      </w:r>
    </w:p>
    <w:p w:rsidR="003A19D7" w:rsidP="00161A51">
      <w:pPr>
        <w:pStyle w:val="NormalIndent"/>
        <w:ind w:firstLine="480"/>
        <w:rPr>
          <w:rFonts w:hint="eastAsia"/>
        </w:rPr>
      </w:pPr>
      <w:r>
        <w:rPr>
          <w:rFonts w:hint="eastAsia"/>
        </w:rPr>
        <w:t>推动气象实况与数据平台在2</w:t>
      </w:r>
      <w:r>
        <w:rPr>
          <w:rFonts w:hint="eastAsia"/>
        </w:rPr>
        <w:t>–</w:t>
      </w:r>
      <w:r>
        <w:rPr>
          <w:rFonts w:hint="eastAsia"/>
        </w:rPr>
        <w:t>3个省级单位上线运行，提供后续运维与支持，形成分布式气象数据服务体系。</w:t>
      </w:r>
    </w:p>
    <w:p w:rsidR="003A19D7" w:rsidRPr="00E841A2" w:rsidP="00161A51">
      <w:pPr>
        <w:pStyle w:val="NormalIndent"/>
        <w:ind w:firstLine="482"/>
        <w:rPr>
          <w:rFonts w:hint="eastAsia"/>
          <w:b/>
          <w:bCs/>
        </w:rPr>
      </w:pPr>
      <w:r w:rsidRPr="00E841A2">
        <w:rPr>
          <w:rFonts w:hint="eastAsia"/>
          <w:b/>
          <w:bCs/>
        </w:rPr>
        <w:t>（</w:t>
      </w:r>
      <w:r w:rsidR="00B9375A">
        <w:rPr>
          <w:rFonts w:hint="eastAsia"/>
          <w:b/>
          <w:bCs/>
        </w:rPr>
        <w:t>5</w:t>
      </w:r>
      <w:r w:rsidRPr="00E841A2">
        <w:rPr>
          <w:rFonts w:hint="eastAsia"/>
          <w:b/>
          <w:bCs/>
        </w:rPr>
        <w:t>）平台架构升级与跨平台服务能力扩展</w:t>
      </w:r>
    </w:p>
    <w:p w:rsidR="003A19D7" w:rsidP="00161A51">
      <w:pPr>
        <w:pStyle w:val="NormalIndent"/>
        <w:ind w:firstLine="480"/>
        <w:rPr>
          <w:rFonts w:hint="eastAsia"/>
        </w:rPr>
      </w:pPr>
      <w:r>
        <w:rPr>
          <w:rFonts w:hint="eastAsia"/>
        </w:rPr>
        <w:t>对数据网现有架构进行升级，扩展系统的跨平台、跨系统服务能力，全面提升平台性能、响应速度和用户体验。</w:t>
      </w:r>
    </w:p>
    <w:p w:rsidR="003A19D7" w:rsidRPr="00E841A2" w:rsidP="00161A51">
      <w:pPr>
        <w:pStyle w:val="NormalIndent"/>
        <w:ind w:firstLine="482"/>
        <w:rPr>
          <w:rFonts w:hint="eastAsia"/>
          <w:b/>
          <w:bCs/>
        </w:rPr>
      </w:pPr>
      <w:r w:rsidRPr="00E841A2">
        <w:rPr>
          <w:rFonts w:hint="eastAsia"/>
          <w:b/>
          <w:bCs/>
        </w:rPr>
        <w:t>（</w:t>
      </w:r>
      <w:r w:rsidR="00B9375A">
        <w:rPr>
          <w:rFonts w:hint="eastAsia"/>
          <w:b/>
          <w:bCs/>
        </w:rPr>
        <w:t>6</w:t>
      </w:r>
      <w:r w:rsidRPr="00E841A2">
        <w:rPr>
          <w:rFonts w:hint="eastAsia"/>
          <w:b/>
          <w:bCs/>
        </w:rPr>
        <w:t>）联合基金汇交功能完善</w:t>
      </w:r>
    </w:p>
    <w:p w:rsidR="00B77494" w:rsidRPr="00B77494" w:rsidP="00161A51">
      <w:pPr>
        <w:pStyle w:val="NormalIndent"/>
        <w:ind w:firstLine="480"/>
        <w:rPr>
          <w:rFonts w:hint="eastAsia"/>
        </w:rPr>
      </w:pPr>
      <w:r w:rsidR="003A19D7">
        <w:rPr>
          <w:rFonts w:hint="eastAsia"/>
        </w:rPr>
        <w:t>完善与联合基金汇交栏目的现有功能，开发满足后续业务需求的新功能模块，增强系统灵活性与业务支撑能力</w:t>
      </w:r>
      <w:r w:rsidRPr="00B77494" w:rsidR="003A19D7">
        <w:rPr>
          <w:rFonts w:hint="eastAsia"/>
        </w:rPr>
        <w:t>。</w:t>
      </w:r>
    </w:p>
    <w:p w:rsidR="00120577" w:rsidP="00161A51">
      <w:pPr>
        <w:pStyle w:val="Heading2"/>
        <w:keepNext/>
        <w:keepLines/>
        <w:widowControl w:val="0"/>
        <w:numPr>
          <w:ilvl w:val="1"/>
          <w:numId w:val="18"/>
        </w:numPr>
        <w:tabs>
          <w:tab w:val="left" w:pos="576"/>
        </w:tabs>
        <w:spacing w:before="260" w:after="260" w:line="360" w:lineRule="auto"/>
        <w:ind w:left="576" w:hanging="576"/>
        <w:jc w:val="both"/>
        <w:rPr>
          <w:rFonts w:hint="eastAsia"/>
        </w:rPr>
      </w:pPr>
      <w:bookmarkStart w:id="239" w:name="_Toc199166578"/>
      <w:r w:rsidR="00E841A2">
        <w:rPr>
          <w:rFonts w:hint="eastAsia"/>
        </w:rPr>
        <w:t>增强数据产品与应用评估分析</w:t>
      </w:r>
      <w:bookmarkEnd w:id="239"/>
    </w:p>
    <w:p w:rsidR="00E841A2" w:rsidRPr="00E841A2" w:rsidP="00161A51">
      <w:pPr>
        <w:pStyle w:val="NormalIndent"/>
        <w:ind w:firstLine="482"/>
        <w:rPr>
          <w:rFonts w:hint="eastAsia"/>
          <w:b/>
          <w:bCs/>
        </w:rPr>
      </w:pPr>
      <w:r w:rsidRPr="00E841A2">
        <w:rPr>
          <w:rFonts w:hint="eastAsia"/>
          <w:b/>
          <w:bCs/>
        </w:rPr>
        <w:t>（1）应急响应分析统计页面开发</w:t>
      </w:r>
    </w:p>
    <w:p w:rsidR="00E841A2" w:rsidRPr="00E841A2" w:rsidP="00161A51">
      <w:pPr>
        <w:pStyle w:val="NormalIndent"/>
        <w:ind w:firstLine="480"/>
        <w:rPr>
          <w:rFonts w:hint="eastAsia"/>
        </w:rPr>
      </w:pPr>
      <w:r w:rsidRPr="00E841A2">
        <w:rPr>
          <w:rFonts w:hint="eastAsia"/>
        </w:rPr>
        <w:t>开发面向突发事件的应急响应分析统计页面，集成多源数据，支持应急监测、统计分析和可视化展示。</w:t>
      </w:r>
    </w:p>
    <w:p w:rsidR="00E841A2" w:rsidRPr="00E841A2" w:rsidP="00161A51">
      <w:pPr>
        <w:pStyle w:val="NormalIndent"/>
        <w:ind w:firstLine="482"/>
        <w:rPr>
          <w:rFonts w:hint="eastAsia"/>
          <w:b/>
          <w:bCs/>
        </w:rPr>
      </w:pPr>
      <w:r w:rsidRPr="00E841A2">
        <w:rPr>
          <w:rFonts w:hint="eastAsia"/>
          <w:b/>
          <w:bCs/>
        </w:rPr>
        <w:t>（2）数据累加工具页面开发</w:t>
      </w:r>
    </w:p>
    <w:p w:rsidR="00E841A2" w:rsidRPr="00E841A2" w:rsidP="00161A51">
      <w:pPr>
        <w:pStyle w:val="NormalIndent"/>
        <w:ind w:firstLine="480"/>
        <w:rPr>
          <w:rFonts w:hint="eastAsia"/>
        </w:rPr>
      </w:pPr>
      <w:r w:rsidRPr="00E841A2">
        <w:rPr>
          <w:rFonts w:hint="eastAsia"/>
        </w:rPr>
        <w:t>开发针对多时段、多要素气象数据的数据累加工具，方便用户进行累计值计算与分析。</w:t>
      </w:r>
    </w:p>
    <w:p w:rsidR="00E841A2" w:rsidRPr="00E841A2" w:rsidP="00161A51">
      <w:pPr>
        <w:pStyle w:val="NormalIndent"/>
        <w:ind w:firstLine="482"/>
        <w:rPr>
          <w:rFonts w:hint="eastAsia"/>
          <w:b/>
          <w:bCs/>
        </w:rPr>
      </w:pPr>
      <w:r w:rsidRPr="00E841A2">
        <w:rPr>
          <w:rFonts w:hint="eastAsia"/>
          <w:b/>
          <w:bCs/>
        </w:rPr>
        <w:t>（3）数据运维工具页面开发</w:t>
      </w:r>
    </w:p>
    <w:p w:rsidR="00E841A2" w:rsidRPr="00E841A2" w:rsidP="00161A51">
      <w:pPr>
        <w:pStyle w:val="NormalIndent"/>
        <w:ind w:firstLine="480"/>
        <w:rPr>
          <w:rFonts w:hint="eastAsia"/>
        </w:rPr>
      </w:pPr>
      <w:r w:rsidRPr="00E841A2">
        <w:rPr>
          <w:rFonts w:hint="eastAsia"/>
        </w:rPr>
        <w:t>提供便捷的数据运维工具页面，支持数据批量管理、质量检查与修正，提升运维效率。</w:t>
      </w:r>
    </w:p>
    <w:p w:rsidR="00E841A2" w:rsidRPr="00E841A2" w:rsidP="00161A51">
      <w:pPr>
        <w:pStyle w:val="NormalIndent"/>
        <w:ind w:firstLine="482"/>
        <w:rPr>
          <w:rFonts w:hint="eastAsia"/>
          <w:b/>
          <w:bCs/>
        </w:rPr>
      </w:pPr>
      <w:r w:rsidRPr="00E841A2">
        <w:rPr>
          <w:rFonts w:hint="eastAsia"/>
          <w:b/>
          <w:bCs/>
        </w:rPr>
        <w:t>（4）会商评估系统PPT识别工具开发</w:t>
      </w:r>
    </w:p>
    <w:p w:rsidR="00E841A2" w:rsidRPr="00E841A2" w:rsidP="00161A51">
      <w:pPr>
        <w:pStyle w:val="NormalIndent"/>
        <w:ind w:firstLine="480"/>
        <w:rPr>
          <w:rFonts w:hint="eastAsia"/>
        </w:rPr>
      </w:pPr>
      <w:r w:rsidRPr="00E841A2">
        <w:rPr>
          <w:rFonts w:hint="eastAsia"/>
        </w:rPr>
        <w:t>开发PPT内容识别工具，自动提取和分析会商评估PPT文件中的关键信息，降低人工整理负担。</w:t>
      </w:r>
    </w:p>
    <w:p w:rsidR="00E841A2" w:rsidRPr="00E841A2" w:rsidP="00161A51">
      <w:pPr>
        <w:pStyle w:val="NormalIndent"/>
        <w:ind w:firstLine="482"/>
        <w:rPr>
          <w:rFonts w:hint="eastAsia"/>
          <w:b/>
          <w:bCs/>
        </w:rPr>
      </w:pPr>
      <w:r w:rsidRPr="00E841A2">
        <w:rPr>
          <w:rFonts w:hint="eastAsia"/>
          <w:b/>
          <w:bCs/>
        </w:rPr>
        <w:t>（5）工作月报自动生成模块开发</w:t>
      </w:r>
    </w:p>
    <w:p w:rsidR="00E841A2" w:rsidRPr="00E841A2" w:rsidP="00161A51">
      <w:pPr>
        <w:pStyle w:val="NormalIndent"/>
        <w:ind w:firstLine="480"/>
        <w:rPr>
          <w:rFonts w:hint="eastAsia"/>
        </w:rPr>
      </w:pPr>
      <w:r w:rsidRPr="00E841A2">
        <w:rPr>
          <w:rFonts w:hint="eastAsia"/>
        </w:rPr>
        <w:t>实现基于业务数据的工作月报自动生成，支持模板配置、内容定制与一键导出，提高报告编制效率。</w:t>
      </w:r>
    </w:p>
    <w:p w:rsidR="00E841A2" w:rsidRPr="00E841A2" w:rsidP="00161A51">
      <w:pPr>
        <w:pStyle w:val="NormalIndent"/>
        <w:ind w:firstLine="482"/>
        <w:rPr>
          <w:rFonts w:hint="eastAsia"/>
          <w:b/>
          <w:bCs/>
        </w:rPr>
      </w:pPr>
      <w:r w:rsidRPr="00E841A2">
        <w:rPr>
          <w:rFonts w:hint="eastAsia"/>
          <w:b/>
          <w:bCs/>
        </w:rPr>
        <w:t>（6）气象数据服务评估系统功能改进</w:t>
      </w:r>
    </w:p>
    <w:p w:rsidR="006F4510" w:rsidRPr="00120577" w:rsidP="00161A51">
      <w:pPr>
        <w:pStyle w:val="NormalIndent"/>
        <w:ind w:firstLine="480"/>
        <w:rPr>
          <w:rFonts w:hint="eastAsia"/>
        </w:rPr>
      </w:pPr>
      <w:r w:rsidRPr="00E841A2" w:rsidR="00E841A2">
        <w:rPr>
          <w:rFonts w:hint="eastAsia"/>
        </w:rPr>
        <w:t>持续改进气象数据服务评估系统，优化评估模型与分析方法，丰富评估维度与指标体系</w:t>
      </w:r>
      <w:r w:rsidR="009B17A2">
        <w:rPr>
          <w:rFonts w:hint="eastAsia"/>
        </w:rPr>
        <w:t>。</w:t>
      </w:r>
    </w:p>
    <w:p w:rsidR="00E82B5B" w:rsidP="00161A51">
      <w:pPr>
        <w:pStyle w:val="Heading2"/>
        <w:keepNext/>
        <w:keepLines/>
        <w:widowControl w:val="0"/>
        <w:numPr>
          <w:ilvl w:val="1"/>
          <w:numId w:val="18"/>
        </w:numPr>
        <w:tabs>
          <w:tab w:val="clear" w:pos="576"/>
        </w:tabs>
        <w:spacing w:before="260" w:after="240" w:line="360" w:lineRule="auto"/>
        <w:ind w:left="0" w:firstLine="0"/>
        <w:jc w:val="left"/>
      </w:pPr>
      <w:bookmarkStart w:id="240" w:name="_Toc530476501"/>
      <w:bookmarkStart w:id="241" w:name="_Toc530476575"/>
      <w:bookmarkStart w:id="242" w:name="_Toc530477526"/>
      <w:bookmarkStart w:id="243" w:name="_Toc530476737"/>
      <w:bookmarkStart w:id="244" w:name="_Toc530476568"/>
      <w:bookmarkStart w:id="245" w:name="_Toc530477527"/>
      <w:bookmarkStart w:id="246" w:name="_Toc530476495"/>
      <w:bookmarkStart w:id="247" w:name="_Toc530476572"/>
      <w:bookmarkStart w:id="248" w:name="_Toc530476570"/>
      <w:bookmarkStart w:id="249" w:name="_Toc530476498"/>
      <w:bookmarkStart w:id="250" w:name="_Toc530476574"/>
      <w:bookmarkStart w:id="251" w:name="_Toc530477524"/>
      <w:bookmarkStart w:id="252" w:name="_Toc530477532"/>
      <w:bookmarkStart w:id="253" w:name="_Toc530476580"/>
      <w:bookmarkStart w:id="254" w:name="_Toc530477521"/>
      <w:bookmarkStart w:id="255" w:name="_Toc530477523"/>
      <w:bookmarkStart w:id="256" w:name="_Toc530476504"/>
      <w:bookmarkStart w:id="257" w:name="_Toc530476499"/>
      <w:bookmarkStart w:id="258" w:name="_Toc530476744"/>
      <w:bookmarkStart w:id="259" w:name="_Toc530476748"/>
      <w:bookmarkStart w:id="260" w:name="_Toc530476503"/>
      <w:bookmarkStart w:id="261" w:name="_Toc530477531"/>
      <w:bookmarkStart w:id="262" w:name="_Toc530476746"/>
      <w:bookmarkStart w:id="263" w:name="_Toc530476579"/>
      <w:bookmarkStart w:id="264" w:name="_Toc530476738"/>
      <w:bookmarkStart w:id="265" w:name="_Toc530476493"/>
      <w:bookmarkStart w:id="266" w:name="_Toc530476743"/>
      <w:bookmarkStart w:id="267" w:name="_Toc530476745"/>
      <w:bookmarkStart w:id="268" w:name="_Toc530477525"/>
      <w:bookmarkStart w:id="269" w:name="_Toc530477529"/>
      <w:bookmarkStart w:id="270" w:name="_Toc530476741"/>
      <w:bookmarkStart w:id="271" w:name="_Toc530476573"/>
      <w:bookmarkStart w:id="272" w:name="_Toc530476578"/>
      <w:bookmarkStart w:id="273" w:name="_Toc530476749"/>
      <w:bookmarkStart w:id="274" w:name="_Toc530477522"/>
      <w:bookmarkStart w:id="275" w:name="_Toc530476740"/>
      <w:bookmarkStart w:id="276" w:name="_Toc530476742"/>
      <w:bookmarkStart w:id="277" w:name="_Toc530477530"/>
      <w:bookmarkStart w:id="278" w:name="_Toc530476500"/>
      <w:bookmarkStart w:id="279" w:name="_Toc530476492"/>
      <w:bookmarkStart w:id="280" w:name="_Toc530476577"/>
      <w:bookmarkStart w:id="281" w:name="_Toc530476496"/>
      <w:bookmarkStart w:id="282" w:name="_Toc530476502"/>
      <w:bookmarkStart w:id="283" w:name="_Toc530476494"/>
      <w:bookmarkStart w:id="284" w:name="_Toc530476571"/>
      <w:bookmarkStart w:id="285" w:name="_Toc530476747"/>
      <w:bookmarkStart w:id="286" w:name="_Toc530476739"/>
      <w:bookmarkStart w:id="287" w:name="_Toc173723790"/>
      <w:bookmarkStart w:id="288" w:name="_Toc171218560"/>
      <w:bookmarkStart w:id="289" w:name="_Toc173723837"/>
      <w:bookmarkStart w:id="290" w:name="_Toc391375334"/>
      <w:bookmarkStart w:id="291" w:name="_Toc395794200"/>
      <w:bookmarkStart w:id="292" w:name="_Toc173723971"/>
      <w:bookmarkStart w:id="293" w:name="_Toc173724504"/>
      <w:bookmarkStart w:id="294" w:name="_Toc530477533"/>
      <w:bookmarkStart w:id="295" w:name="_Toc530476569"/>
      <w:bookmarkStart w:id="296" w:name="_Toc530477528"/>
      <w:bookmarkStart w:id="297" w:name="_Toc530476497"/>
      <w:bookmarkStart w:id="298" w:name="_Toc530476576"/>
      <w:bookmarkStart w:id="299" w:name="_Toc199166579"/>
      <w:bookmarkEnd w:id="236"/>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94"/>
      <w:bookmarkEnd w:id="295"/>
      <w:bookmarkEnd w:id="296"/>
      <w:bookmarkEnd w:id="297"/>
      <w:bookmarkEnd w:id="298"/>
      <w:r>
        <w:rPr>
          <w:rFonts w:hint="eastAsia"/>
        </w:rPr>
        <w:t>故障处理要求</w:t>
      </w:r>
      <w:bookmarkEnd w:id="287"/>
      <w:bookmarkEnd w:id="288"/>
      <w:bookmarkEnd w:id="289"/>
      <w:bookmarkEnd w:id="290"/>
      <w:bookmarkEnd w:id="291"/>
      <w:bookmarkEnd w:id="292"/>
      <w:bookmarkEnd w:id="293"/>
      <w:bookmarkEnd w:id="299"/>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00" w:name="_Toc395794201"/>
      <w:bookmarkStart w:id="301" w:name="_Toc391375335"/>
      <w:bookmarkStart w:id="302" w:name="_Toc199166580"/>
      <w:r>
        <w:rPr>
          <w:rFonts w:hint="eastAsia"/>
        </w:rPr>
        <w:t>软件系统出错处理</w:t>
      </w:r>
      <w:bookmarkEnd w:id="300"/>
      <w:bookmarkEnd w:id="301"/>
      <w:bookmarkEnd w:id="302"/>
    </w:p>
    <w:p w:rsidR="00E82B5B" w:rsidP="00161A51">
      <w:pPr>
        <w:ind w:firstLine="420"/>
      </w:pPr>
      <w:r>
        <w:rPr>
          <w:rFonts w:hint="eastAsia"/>
        </w:rPr>
        <w:t>用户界面错误：在界面出错后，给出一个友好的错误提示界面，并且记录错误日志，通过监控系统发送告警信息，并提供一段时间的日志复查，为故障处理提供依据。</w:t>
      </w:r>
    </w:p>
    <w:p w:rsidR="00E82B5B" w:rsidP="00161A51">
      <w:pPr>
        <w:ind w:firstLine="420"/>
      </w:pPr>
      <w:r>
        <w:rPr>
          <w:rFonts w:hint="eastAsia"/>
        </w:rPr>
        <w:t>服务错误：当各类业务处理服务出错后，提供处理状态回滚，记录错误日志，通过监控系统发送告警信息，为故障处理提供依据。可采用人工干预的方式重新启动服务，继续执行尚未完成的作业。</w:t>
      </w:r>
    </w:p>
    <w:p w:rsidR="00E82B5B" w:rsidP="00161A51">
      <w:pPr>
        <w:pStyle w:val="Heading3"/>
        <w:keepNext/>
        <w:keepLines/>
        <w:widowControl w:val="0"/>
        <w:numPr>
          <w:ilvl w:val="2"/>
          <w:numId w:val="18"/>
        </w:numPr>
        <w:tabs>
          <w:tab w:val="left" w:pos="720"/>
        </w:tabs>
        <w:spacing w:before="260" w:after="260" w:line="360" w:lineRule="auto"/>
        <w:ind w:left="720" w:hanging="720"/>
        <w:jc w:val="both"/>
        <w:rPr>
          <w:rFonts w:hint="eastAsia"/>
        </w:rPr>
      </w:pPr>
      <w:bookmarkStart w:id="303" w:name="_Toc391375336"/>
      <w:bookmarkStart w:id="304" w:name="_Toc395794202"/>
      <w:bookmarkStart w:id="305" w:name="_Toc199166581"/>
      <w:r>
        <w:rPr>
          <w:rFonts w:hint="eastAsia"/>
        </w:rPr>
        <w:t>系统容错与数据备份</w:t>
      </w:r>
      <w:bookmarkEnd w:id="303"/>
      <w:bookmarkEnd w:id="304"/>
      <w:bookmarkEnd w:id="305"/>
    </w:p>
    <w:p w:rsidR="00E82B5B" w:rsidP="00161A51">
      <w:pPr>
        <w:ind w:firstLine="420"/>
      </w:pPr>
      <w:r>
        <w:rPr>
          <w:rFonts w:hint="eastAsia"/>
        </w:rPr>
        <w:t>除正在运行的设备外，主要设备和易损件要有备份和容错；有备份设备或备件的，做到热备份、自动切换，无法作到的，要作好切换准备；系统软件的备份依托气象专有云和阿里云平台，应用程序要备份当前运行版本，应用数据要按日进行备份。</w:t>
      </w:r>
    </w:p>
    <w:p w:rsidR="00E82B5B" w:rsidP="00161A51">
      <w:pPr>
        <w:pStyle w:val="Heading4"/>
        <w:keepNext/>
        <w:keepLines/>
        <w:widowControl w:val="0"/>
        <w:numPr>
          <w:ilvl w:val="3"/>
          <w:numId w:val="18"/>
        </w:numPr>
        <w:tabs>
          <w:tab w:val="left" w:pos="864"/>
        </w:tabs>
        <w:spacing w:before="280" w:after="290" w:line="360" w:lineRule="auto"/>
        <w:ind w:left="864" w:hanging="864"/>
        <w:jc w:val="both"/>
      </w:pPr>
      <w:bookmarkStart w:id="306" w:name="_Toc391375337"/>
      <w:r>
        <w:rPr>
          <w:rFonts w:hint="eastAsia"/>
        </w:rPr>
        <w:t>服务器容错技术</w:t>
      </w:r>
      <w:bookmarkEnd w:id="306"/>
    </w:p>
    <w:p w:rsidR="00E82B5B" w:rsidP="00161A51">
      <w:pPr>
        <w:ind w:firstLine="420"/>
      </w:pPr>
      <w:r>
        <w:rPr>
          <w:rFonts w:hint="eastAsia"/>
        </w:rPr>
        <w:t>由于服务器承担着关键业务，其数据和运行的安全问题显得非常重要。对气象事业来说，利用计算机系统来提供及时可靠的信息和服务实必不可少的；另一方面，计算机硬件与软件都不可避免的会发生故障，这些故障有可能给气象业务带来极大的损失，甚至整个服务终止，网络的瘫痪。本项目</w:t>
      </w:r>
      <w:r>
        <w:t>每天24小时不间断的自动运行</w:t>
      </w:r>
      <w:r>
        <w:rPr>
          <w:rFonts w:hint="eastAsia"/>
        </w:rPr>
        <w:t>，对系统的高可用性显得更为重要。因此，必须有适当的措施来确保计算机系统提供不间断的服务，以维护系统的可用性。</w:t>
      </w:r>
    </w:p>
    <w:p w:rsidR="00E82B5B" w:rsidP="00161A51">
      <w:pPr>
        <w:ind w:firstLine="420"/>
      </w:pPr>
      <w:r>
        <w:rPr>
          <w:rFonts w:hint="eastAsia"/>
        </w:rPr>
        <w:t>系统的可用性通常在两种情况下会受到影响，一种是系统宕机、错误操作和管理引起的异常失败，另一种是由于系统维护和升级，需要安装新的硬件或软件而正常关机。高可靠性系统必须为这两种情况提供不间断的系统服务。</w:t>
      </w:r>
    </w:p>
    <w:p w:rsidR="00E82B5B" w:rsidP="00161A51">
      <w:pPr>
        <w:ind w:firstLine="420"/>
      </w:pPr>
      <w:r>
        <w:rPr>
          <w:rFonts w:hint="eastAsia"/>
        </w:rPr>
        <w:t>高可用性系统是在冗余的通常可用性基础之上，运用高可靠性软件而构成。高可靠性软件用于自动监测系统的运行状态，在一台服务器出现故障的情况下，自动把设定的服务转道另一台服务器上。</w:t>
      </w:r>
    </w:p>
    <w:p w:rsidR="00E82B5B" w:rsidP="00161A51">
      <w:pPr>
        <w:ind w:firstLine="420"/>
      </w:pPr>
      <w:r>
        <w:rPr>
          <w:rFonts w:hint="eastAsia"/>
        </w:rPr>
        <w:t>高可用性系统具有以下功能：</w:t>
      </w:r>
    </w:p>
    <w:p w:rsidR="00E82B5B" w:rsidP="00161A51">
      <w:pPr>
        <w:numPr>
          <w:ilvl w:val="1"/>
          <w:numId w:val="20"/>
        </w:numPr>
        <w:tabs>
          <w:tab w:val="left" w:pos="840"/>
        </w:tabs>
      </w:pPr>
      <w:r>
        <w:rPr>
          <w:rFonts w:hint="eastAsia"/>
        </w:rPr>
        <w:t>软件故障监测与排除</w:t>
      </w:r>
    </w:p>
    <w:p w:rsidR="00E82B5B" w:rsidP="00161A51">
      <w:pPr>
        <w:numPr>
          <w:ilvl w:val="1"/>
          <w:numId w:val="20"/>
        </w:numPr>
        <w:tabs>
          <w:tab w:val="left" w:pos="840"/>
        </w:tabs>
      </w:pPr>
      <w:r>
        <w:rPr>
          <w:rFonts w:hint="eastAsia"/>
        </w:rPr>
        <w:t>备份和数据保护</w:t>
      </w:r>
    </w:p>
    <w:p w:rsidR="00E82B5B" w:rsidP="00161A51">
      <w:pPr>
        <w:numPr>
          <w:ilvl w:val="1"/>
          <w:numId w:val="20"/>
        </w:numPr>
        <w:tabs>
          <w:tab w:val="left" w:pos="840"/>
        </w:tabs>
      </w:pPr>
      <w:r>
        <w:rPr>
          <w:rFonts w:hint="eastAsia"/>
        </w:rPr>
        <w:t>管理站能够监视各站点的运行情况，能随时或定时报告系统运行状况，故障能及时报告和告警，并有必要的控制手段</w:t>
      </w:r>
    </w:p>
    <w:p w:rsidR="00E82B5B" w:rsidP="00161A51">
      <w:pPr>
        <w:numPr>
          <w:ilvl w:val="1"/>
          <w:numId w:val="20"/>
        </w:numPr>
        <w:tabs>
          <w:tab w:val="left" w:pos="840"/>
        </w:tabs>
      </w:pPr>
      <w:r>
        <w:rPr>
          <w:rFonts w:hint="eastAsia"/>
        </w:rPr>
        <w:t>实现错误隔离以及主、备份服务器间的服务切换</w:t>
      </w:r>
    </w:p>
    <w:p w:rsidR="00E82B5B" w:rsidP="00161A51">
      <w:pPr>
        <w:ind w:firstLine="420"/>
      </w:pPr>
      <w:r>
        <w:rPr>
          <w:rFonts w:hint="eastAsia"/>
        </w:rPr>
        <w:t>本次项目建设的所有作业运行软件采取双机或多机备份方案。利用服务器集群技术，故障转移技术提供高可用系统，从系统环境上杜绝单点故障的发生。</w:t>
      </w:r>
    </w:p>
    <w:p w:rsidR="00E82B5B" w:rsidP="00161A51">
      <w:pPr>
        <w:pStyle w:val="Heading4"/>
        <w:keepNext/>
        <w:keepLines/>
        <w:widowControl w:val="0"/>
        <w:numPr>
          <w:ilvl w:val="3"/>
          <w:numId w:val="18"/>
        </w:numPr>
        <w:tabs>
          <w:tab w:val="left" w:pos="864"/>
        </w:tabs>
        <w:spacing w:before="280" w:after="290" w:line="360" w:lineRule="auto"/>
        <w:ind w:left="864" w:hanging="864"/>
        <w:jc w:val="both"/>
      </w:pPr>
      <w:bookmarkStart w:id="307" w:name="_Toc391375339"/>
      <w:r>
        <w:rPr>
          <w:rFonts w:hint="eastAsia"/>
        </w:rPr>
        <w:t>数据备份</w:t>
      </w:r>
      <w:bookmarkEnd w:id="307"/>
    </w:p>
    <w:p w:rsidR="00E82B5B" w:rsidP="00161A51">
      <w:pPr>
        <w:ind w:firstLine="420"/>
      </w:pPr>
      <w:r>
        <w:rPr>
          <w:rFonts w:hint="eastAsia"/>
        </w:rPr>
        <w:t>数据备份能将故障引起的后果降低到最低限度。数据的备份是保证数据安全的第一要素。能把数据拷贝到一种存储介质，当数据出现问题时，可以进行还原。当硬盘出现故障时，磁盘的容错功能，可以将数据恢复。</w:t>
      </w:r>
    </w:p>
    <w:p w:rsidR="00E82B5B" w:rsidP="00161A51">
      <w:pPr>
        <w:ind w:firstLine="420"/>
      </w:pPr>
      <w:r>
        <w:rPr>
          <w:rFonts w:hint="eastAsia"/>
        </w:rPr>
        <w:t>数据备份包括：软件备份和数据库备份。应用程序要备份当前运行版本，应用数据库要按日进行备份。</w:t>
      </w:r>
    </w:p>
    <w:p w:rsidR="00E82B5B" w:rsidP="00161A51">
      <w:pPr>
        <w:pStyle w:val="Heading2"/>
        <w:keepNext/>
        <w:keepLines/>
        <w:widowControl w:val="0"/>
        <w:numPr>
          <w:ilvl w:val="1"/>
          <w:numId w:val="18"/>
        </w:numPr>
        <w:tabs>
          <w:tab w:val="clear" w:pos="576"/>
        </w:tabs>
        <w:spacing w:before="260" w:after="240" w:line="360" w:lineRule="auto"/>
        <w:ind w:left="0" w:firstLine="0"/>
        <w:jc w:val="left"/>
      </w:pPr>
      <w:bookmarkStart w:id="308" w:name="_Toc171218561"/>
      <w:bookmarkStart w:id="309" w:name="_Toc173723791"/>
      <w:bookmarkStart w:id="310" w:name="_Toc173723972"/>
      <w:bookmarkStart w:id="311" w:name="_Toc173724505"/>
      <w:bookmarkStart w:id="312" w:name="_Toc173723838"/>
      <w:bookmarkStart w:id="313" w:name="_Toc391375340"/>
      <w:bookmarkStart w:id="314" w:name="_Toc395794203"/>
      <w:bookmarkStart w:id="315" w:name="_Toc199166582"/>
      <w:r>
        <w:rPr>
          <w:rFonts w:hint="eastAsia"/>
        </w:rPr>
        <w:t>其他专门要求</w:t>
      </w:r>
      <w:bookmarkEnd w:id="308"/>
      <w:bookmarkEnd w:id="309"/>
      <w:bookmarkEnd w:id="310"/>
      <w:bookmarkEnd w:id="311"/>
      <w:bookmarkEnd w:id="312"/>
      <w:bookmarkEnd w:id="313"/>
      <w:bookmarkEnd w:id="314"/>
      <w:bookmarkEnd w:id="315"/>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16" w:name="_Toc90990258"/>
      <w:bookmarkStart w:id="317" w:name="_Toc391375341"/>
      <w:bookmarkStart w:id="318" w:name="_Toc395794204"/>
      <w:bookmarkStart w:id="319" w:name="_Toc86812813"/>
      <w:bookmarkStart w:id="320" w:name="_Toc199166583"/>
      <w:r>
        <w:rPr>
          <w:rFonts w:hint="eastAsia"/>
        </w:rPr>
        <w:t>稳定性要求</w:t>
      </w:r>
      <w:bookmarkEnd w:id="316"/>
      <w:bookmarkEnd w:id="317"/>
      <w:bookmarkEnd w:id="318"/>
      <w:bookmarkEnd w:id="319"/>
      <w:bookmarkEnd w:id="320"/>
    </w:p>
    <w:p w:rsidR="00E82B5B" w:rsidP="00161A51">
      <w:pPr>
        <w:ind w:firstLine="420"/>
      </w:pPr>
      <w:r>
        <w:rPr>
          <w:rFonts w:hint="eastAsia"/>
        </w:rPr>
        <w:t>本系统</w:t>
      </w:r>
      <w:r>
        <w:t>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E82B5B" w:rsidP="00161A51">
      <w:pPr>
        <w:ind w:firstLine="420"/>
      </w:pPr>
      <w:r>
        <w:rPr>
          <w:rFonts w:hint="eastAsia"/>
        </w:rPr>
        <w:t>本系统需要提供7</w:t>
      </w:r>
      <w:r>
        <w:rPr>
          <w:rFonts w:hint="eastAsia"/>
        </w:rPr>
        <w:t>×</w:t>
      </w:r>
      <w:r>
        <w:rPr>
          <w:rFonts w:hint="eastAsia"/>
        </w:rPr>
        <w:t>24小时不间断服务，因此，</w:t>
      </w:r>
      <w:r>
        <w:t>无论是计算机硬件系统还是软件系统都必须具有较高的可靠性和故障后快速恢复的能力。具体要求如下：</w:t>
      </w:r>
    </w:p>
    <w:p w:rsidR="00E82B5B" w:rsidP="00161A51">
      <w:pPr>
        <w:numPr>
          <w:ilvl w:val="1"/>
          <w:numId w:val="20"/>
        </w:numPr>
        <w:tabs>
          <w:tab w:val="left" w:pos="840"/>
        </w:tabs>
      </w:pPr>
      <w:r>
        <w:t>应用软件开发中严格遵循软件工程国标的开发、测试和集成规范。</w:t>
      </w:r>
    </w:p>
    <w:p w:rsidR="00E82B5B" w:rsidP="00161A51">
      <w:pPr>
        <w:numPr>
          <w:ilvl w:val="1"/>
          <w:numId w:val="20"/>
        </w:numPr>
        <w:tabs>
          <w:tab w:val="left" w:pos="840"/>
        </w:tabs>
      </w:pPr>
      <w:r>
        <w:t>在支撑平台可靠性的保证下，关键高可用业务系统在1</w:t>
      </w:r>
      <w:r>
        <w:rPr>
          <w:rFonts w:hint="eastAsia"/>
        </w:rPr>
        <w:t>小时</w:t>
      </w:r>
      <w:r>
        <w:t>内恢复运行状态。</w:t>
      </w:r>
    </w:p>
    <w:p w:rsidR="00E82B5B" w:rsidP="00161A51">
      <w:pPr>
        <w:ind w:firstLine="420"/>
      </w:pPr>
      <w:r>
        <w:rPr>
          <w:rFonts w:hint="eastAsia"/>
        </w:rPr>
        <w:t>同时系统应达到如下的成熟性标准、容错性标准：</w:t>
      </w:r>
    </w:p>
    <w:p w:rsidR="00E82B5B" w:rsidP="00161A51">
      <w:pPr>
        <w:numPr>
          <w:ilvl w:val="1"/>
          <w:numId w:val="20"/>
        </w:numPr>
        <w:tabs>
          <w:tab w:val="left" w:pos="840"/>
        </w:tabs>
      </w:pPr>
      <w:r>
        <w:rPr>
          <w:rFonts w:hint="eastAsia"/>
        </w:rPr>
        <w:t>成熟性标准：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7*24小时业务运行期间，平均故障间隔时间（MTBF：</w:t>
      </w:r>
      <w:r>
        <w:rPr>
          <w:rFonts w:ascii="Arial" w:hAnsi="Arial" w:cs="Arial"/>
        </w:rPr>
        <w:t>Mean Time Between Failure</w:t>
      </w:r>
      <w:r>
        <w:rPr>
          <w:rFonts w:hint="eastAsia"/>
        </w:rPr>
        <w:t>）不小于1个月。</w:t>
      </w:r>
    </w:p>
    <w:p w:rsidR="00E82B5B" w:rsidP="00161A51">
      <w:pPr>
        <w:numPr>
          <w:ilvl w:val="1"/>
          <w:numId w:val="20"/>
        </w:numPr>
        <w:tabs>
          <w:tab w:val="left" w:pos="840"/>
        </w:tabs>
      </w:pPr>
      <w:r>
        <w:rPr>
          <w:rFonts w:hint="eastAsia"/>
        </w:rPr>
        <w:t>容错性标准：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软件接口句法性错误检出、屏蔽率100％，其它软件错误的截获不超出直接传递控制的模块范围；</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关键进程偶发故障恢复率100％；</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主机单点故障恢复率100％；</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主机单点故障主备切换可自动完成。</w:t>
      </w:r>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21" w:name="_Toc86812814"/>
      <w:bookmarkStart w:id="322" w:name="_Toc90990259"/>
      <w:bookmarkStart w:id="323" w:name="_Toc391375343"/>
      <w:bookmarkStart w:id="324" w:name="_Toc395794206"/>
      <w:bookmarkStart w:id="325" w:name="_Toc199166584"/>
      <w:r>
        <w:rPr>
          <w:rFonts w:hint="eastAsia"/>
        </w:rPr>
        <w:t>灵活性要求</w:t>
      </w:r>
      <w:bookmarkEnd w:id="324"/>
      <w:bookmarkEnd w:id="325"/>
    </w:p>
    <w:p w:rsidR="00E82B5B" w:rsidP="00161A51">
      <w:pPr>
        <w:ind w:firstLine="420"/>
      </w:pPr>
      <w:r>
        <w:rPr>
          <w:rFonts w:hint="eastAsia"/>
        </w:rPr>
        <w:t>在操作方式、运行环境、与其他软件的接口以及开发计划等发生变化时，应具有相应的适应能力。</w:t>
      </w:r>
    </w:p>
    <w:p w:rsidR="00E82B5B" w:rsidP="00161A51">
      <w:pPr>
        <w:ind w:firstLine="420"/>
      </w:pPr>
      <w:r>
        <w:rPr>
          <w:rFonts w:hint="eastAsia"/>
        </w:rPr>
        <w:t>系统遵循开放的标准和技术、标准的软件接口开发。</w:t>
      </w:r>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26" w:name="_Toc395794207"/>
      <w:bookmarkStart w:id="327" w:name="_Toc199166585"/>
      <w:r>
        <w:rPr>
          <w:rFonts w:hint="eastAsia"/>
        </w:rPr>
        <w:t>易用性要求</w:t>
      </w:r>
      <w:bookmarkEnd w:id="321"/>
      <w:bookmarkEnd w:id="322"/>
      <w:bookmarkEnd w:id="323"/>
      <w:bookmarkEnd w:id="326"/>
      <w:bookmarkEnd w:id="327"/>
    </w:p>
    <w:p w:rsidR="00E82B5B" w:rsidP="00161A51">
      <w:pPr>
        <w:ind w:firstLine="420"/>
      </w:pPr>
      <w:r>
        <w:t>在日常的业务运行中，每天24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E82B5B" w:rsidP="00161A51">
      <w:pPr>
        <w:numPr>
          <w:ilvl w:val="1"/>
          <w:numId w:val="20"/>
        </w:numPr>
        <w:tabs>
          <w:tab w:val="left" w:pos="840"/>
        </w:tabs>
      </w:pPr>
      <w:r>
        <w:rPr>
          <w:rFonts w:hint="eastAsia"/>
        </w:rPr>
        <w:t>易理解性标准：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软件运行期内的各种监视显示信息是自描述的和图形、图像化的，与软件的逻辑概念和业务的物理概念是一致的和易于理解的。</w:t>
      </w:r>
    </w:p>
    <w:p w:rsidR="00E82B5B" w:rsidP="00161A51">
      <w:pPr>
        <w:numPr>
          <w:ilvl w:val="1"/>
          <w:numId w:val="20"/>
        </w:numPr>
        <w:tabs>
          <w:tab w:val="left" w:pos="840"/>
        </w:tabs>
      </w:pPr>
      <w:r>
        <w:rPr>
          <w:rFonts w:hint="eastAsia"/>
        </w:rPr>
        <w:t>易学性标准：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用户手册准确无误、易读易懂，能够帮助一般用户很快地了解和使用系统。</w:t>
      </w:r>
    </w:p>
    <w:p w:rsidR="00E82B5B" w:rsidP="00161A51">
      <w:pPr>
        <w:numPr>
          <w:ilvl w:val="1"/>
          <w:numId w:val="20"/>
        </w:numPr>
        <w:tabs>
          <w:tab w:val="left" w:pos="840"/>
        </w:tabs>
      </w:pPr>
      <w:r>
        <w:rPr>
          <w:rFonts w:hint="eastAsia"/>
        </w:rPr>
        <w:t>易操作性标准：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操作界面是图形化的，且具有菜单和快捷键等多种方式；</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操作命令或菜单选择是可导引的，即可引导用户输入正确、完整的命令或完成正确的菜单选择。</w:t>
      </w:r>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28" w:name="_Toc395794208"/>
      <w:bookmarkStart w:id="329" w:name="_Toc86812816"/>
      <w:bookmarkStart w:id="330" w:name="_Toc90990261"/>
      <w:bookmarkStart w:id="331" w:name="_Toc391375344"/>
      <w:bookmarkStart w:id="332" w:name="_Toc199166586"/>
      <w:r>
        <w:rPr>
          <w:rFonts w:hint="eastAsia"/>
        </w:rPr>
        <w:t>维护性要求</w:t>
      </w:r>
      <w:bookmarkEnd w:id="328"/>
      <w:bookmarkEnd w:id="329"/>
      <w:bookmarkEnd w:id="330"/>
      <w:bookmarkEnd w:id="331"/>
      <w:bookmarkEnd w:id="332"/>
    </w:p>
    <w:p w:rsidR="00E82B5B" w:rsidP="00161A51">
      <w:pPr>
        <w:ind w:firstLine="420"/>
      </w:pPr>
      <w: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w:t>
      </w:r>
      <w:r>
        <w:rPr>
          <w:rFonts w:hint="eastAsia"/>
        </w:rPr>
        <w:t>易改变性、</w:t>
      </w:r>
      <w:r>
        <w:t>稳定性和易测试性</w:t>
      </w:r>
      <w:r>
        <w:rPr>
          <w:rFonts w:hint="eastAsia"/>
        </w:rPr>
        <w:t>。</w:t>
      </w:r>
    </w:p>
    <w:p w:rsidR="00E82B5B" w:rsidP="00161A51">
      <w:pPr>
        <w:numPr>
          <w:ilvl w:val="1"/>
          <w:numId w:val="20"/>
        </w:numPr>
        <w:tabs>
          <w:tab w:val="left" w:pos="840"/>
        </w:tabs>
      </w:pPr>
      <w:r>
        <w:rPr>
          <w:rFonts w:hint="eastAsia"/>
        </w:rPr>
        <w:t>易分析性标准：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所有应用软件能够捕获到的计算机系统故障或应用软件错误都应在尽可能低的级别上探查和捕获并以适当的形式记录或向操作员发送错误状态与报告；</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错误状态和报告（或消息）应是统一编码、结构化和自描述的。即从错误状态码和错误消息正文串即可判断软件捕获到的错误的位置、类型和可能的原因；</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错误报告（或消息）对于可预知（即可与程序的控制流程同步捕获到）的错误应能定位到独立的处理步骤或函数，不可预知（即不可与程序的控制流程同步捕获到）的错误应能定位到模块或进程。</w:t>
      </w:r>
    </w:p>
    <w:p w:rsidR="00E82B5B" w:rsidP="00161A51">
      <w:pPr>
        <w:numPr>
          <w:ilvl w:val="1"/>
          <w:numId w:val="20"/>
        </w:numPr>
        <w:tabs>
          <w:tab w:val="left" w:pos="840"/>
        </w:tabs>
      </w:pPr>
      <w:r>
        <w:rPr>
          <w:rFonts w:hint="eastAsia"/>
        </w:rPr>
        <w:t>易改变性标准：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处理软件的任务及其任务环境参数可从外部配置和修改，并可从数据库中自动生成；</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公用接口（包括错误状态码、常数等）结构应统一说明，所有对这些接口说明的引用都应当指向同一个说明实体。</w:t>
      </w:r>
    </w:p>
    <w:p w:rsidR="00E82B5B" w:rsidP="00161A51">
      <w:pPr>
        <w:numPr>
          <w:ilvl w:val="1"/>
          <w:numId w:val="20"/>
        </w:numPr>
        <w:tabs>
          <w:tab w:val="left" w:pos="840"/>
        </w:tabs>
      </w:pPr>
      <w:r>
        <w:rPr>
          <w:rFonts w:hint="eastAsia"/>
        </w:rPr>
        <w:t>稳定性标准：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软件模块整体上应是结构化、层次化和功能单一的；</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软件模块的处理和接口应是封装的。即处理的改变仅影响其所在的模块，接口的改变仅影响使用该接口的模块。</w:t>
      </w:r>
    </w:p>
    <w:p w:rsidR="00E82B5B" w:rsidP="00161A51">
      <w:pPr>
        <w:numPr>
          <w:ilvl w:val="1"/>
          <w:numId w:val="20"/>
        </w:numPr>
        <w:tabs>
          <w:tab w:val="left" w:pos="840"/>
        </w:tabs>
      </w:pPr>
      <w:r>
        <w:rPr>
          <w:rFonts w:hint="eastAsia"/>
        </w:rPr>
        <w:t>易测试性标准：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软件接口是标准化的；</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测试程序有测试模拟和工具软件支持，可自动或半自动执行；</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测试程序是可固化和可重复的。</w:t>
      </w:r>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33" w:name="_Toc391375345"/>
      <w:bookmarkStart w:id="334" w:name="_Toc90990262"/>
      <w:bookmarkStart w:id="335" w:name="_Toc86812817"/>
      <w:bookmarkStart w:id="336" w:name="_Toc395794209"/>
      <w:bookmarkStart w:id="337" w:name="_Toc199166587"/>
      <w:r>
        <w:rPr>
          <w:rFonts w:hint="eastAsia"/>
        </w:rPr>
        <w:t>可移植性要求</w:t>
      </w:r>
      <w:bookmarkEnd w:id="333"/>
      <w:bookmarkEnd w:id="334"/>
      <w:bookmarkEnd w:id="335"/>
      <w:bookmarkEnd w:id="336"/>
      <w:bookmarkEnd w:id="337"/>
    </w:p>
    <w:p w:rsidR="00E82B5B" w:rsidP="00161A51">
      <w:pPr>
        <w:numPr>
          <w:ilvl w:val="1"/>
          <w:numId w:val="20"/>
        </w:numPr>
        <w:tabs>
          <w:tab w:val="left" w:pos="840"/>
        </w:tabs>
      </w:pPr>
      <w:r>
        <w:rPr>
          <w:rFonts w:hint="eastAsia"/>
        </w:rPr>
        <w:t>适应性标准：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功能、模块也是外部可配置的，以适应不同的应用环境。</w:t>
      </w:r>
    </w:p>
    <w:p w:rsidR="00E82B5B" w:rsidP="00161A51">
      <w:pPr>
        <w:numPr>
          <w:ilvl w:val="1"/>
          <w:numId w:val="20"/>
        </w:numPr>
        <w:tabs>
          <w:tab w:val="left" w:pos="840"/>
        </w:tabs>
      </w:pPr>
      <w:r>
        <w:rPr>
          <w:rFonts w:hint="eastAsia"/>
        </w:rPr>
        <w:t>易安装性标准：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通过简单配置实现软件的安装和升级过程。</w:t>
      </w:r>
    </w:p>
    <w:p w:rsidR="00E82B5B" w:rsidP="00161A51">
      <w:pPr>
        <w:numPr>
          <w:ilvl w:val="1"/>
          <w:numId w:val="20"/>
        </w:numPr>
        <w:tabs>
          <w:tab w:val="left" w:pos="840"/>
        </w:tabs>
      </w:pPr>
      <w:r>
        <w:rPr>
          <w:rFonts w:hint="eastAsia"/>
        </w:rPr>
        <w:t>易替换性标准：</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软件单元（计算机软部件设计中确定的能单独测试的一部分软件）是静态可替换的；</w:t>
      </w:r>
    </w:p>
    <w:p w:rsidR="00E82B5B" w:rsidP="00161A51">
      <w:pPr>
        <w:pStyle w:val="ListBullet2"/>
        <w:widowControl w:val="0"/>
        <w:numPr>
          <w:ilvl w:val="1"/>
          <w:numId w:val="19"/>
        </w:numPr>
        <w:tabs>
          <w:tab w:val="clear" w:pos="840"/>
          <w:tab w:val="left" w:pos="1260"/>
        </w:tabs>
        <w:spacing w:line="360" w:lineRule="auto"/>
        <w:ind w:left="1260" w:hanging="420"/>
        <w:jc w:val="both"/>
      </w:pPr>
      <w:r>
        <w:rPr>
          <w:rFonts w:hint="eastAsia"/>
        </w:rPr>
        <w:t>关键进程是动态可替换的。</w:t>
      </w:r>
    </w:p>
    <w:p w:rsidR="00E82B5B" w:rsidP="00161A51">
      <w:pPr>
        <w:pStyle w:val="Heading3"/>
        <w:keepNext/>
        <w:keepLines/>
        <w:widowControl w:val="0"/>
        <w:numPr>
          <w:ilvl w:val="2"/>
          <w:numId w:val="18"/>
        </w:numPr>
        <w:tabs>
          <w:tab w:val="left" w:pos="720"/>
        </w:tabs>
        <w:spacing w:before="260" w:after="260" w:line="360" w:lineRule="auto"/>
        <w:ind w:left="720" w:hanging="720"/>
        <w:jc w:val="both"/>
      </w:pPr>
      <w:bookmarkStart w:id="338" w:name="_Toc395794210"/>
      <w:bookmarkStart w:id="339" w:name="_Toc391375346"/>
      <w:bookmarkStart w:id="340" w:name="_Toc199166588"/>
      <w:r>
        <w:rPr>
          <w:rFonts w:hint="eastAsia"/>
        </w:rPr>
        <w:t>可扩展性要求</w:t>
      </w:r>
      <w:bookmarkEnd w:id="338"/>
      <w:bookmarkEnd w:id="339"/>
      <w:bookmarkEnd w:id="340"/>
    </w:p>
    <w:p w:rsidR="00E82B5B" w:rsidP="00161A51">
      <w:pPr>
        <w:ind w:firstLine="420"/>
      </w:pPr>
      <w:r>
        <w:rPr>
          <w:rFonts w:hint="eastAsia"/>
        </w:rPr>
        <w:t>本系统应具有较好的可扩展性，为系统的进一步扩充和改造提供方便。</w:t>
      </w:r>
    </w:p>
    <w:p w:rsidR="00E82B5B" w:rsidP="00161A51">
      <w:pPr>
        <w:ind w:firstLine="420"/>
        <w:rPr>
          <w:rFonts w:hint="eastAsia"/>
        </w:rPr>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w:t>
      </w:r>
      <w:r>
        <w:t>气象数据服务的扩展</w:t>
      </w:r>
      <w:r>
        <w:rPr>
          <w:rFonts w:hint="eastAsia"/>
        </w:rPr>
        <w:t>要求。系统同时以参数化的形式设置数据的安全级别和可访问性，实行服务管理的动态控制。</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41" w:name="_Toc176762809"/>
      <w:bookmarkStart w:id="342" w:name="_Toc176757447"/>
      <w:bookmarkStart w:id="343" w:name="_Toc176762294"/>
      <w:bookmarkStart w:id="344" w:name="_Toc138148071"/>
      <w:bookmarkStart w:id="345" w:name="_Toc161475271"/>
      <w:bookmarkStart w:id="346" w:name="_Toc199166589"/>
      <w:r>
        <w:t>设计约束与要求</w:t>
      </w:r>
      <w:bookmarkEnd w:id="341"/>
      <w:bookmarkEnd w:id="342"/>
      <w:bookmarkEnd w:id="343"/>
      <w:bookmarkEnd w:id="344"/>
      <w:bookmarkEnd w:id="345"/>
      <w:bookmarkEnd w:id="346"/>
    </w:p>
    <w:p w:rsidR="00E82B5B" w:rsidP="00161A51">
      <w:pPr>
        <w:pStyle w:val="NormalIndent"/>
        <w:numPr>
          <w:ilvl w:val="0"/>
          <w:numId w:val="21"/>
        </w:numPr>
        <w:ind w:firstLineChars="0"/>
      </w:pPr>
      <w:r>
        <w:rPr>
          <w:rFonts w:hint="eastAsia"/>
        </w:rPr>
        <w:t>所有资源建设，应来自于</w:t>
      </w:r>
      <w:r>
        <w:rPr>
          <w:rFonts w:hint="eastAsia"/>
        </w:rPr>
        <w:t>“</w:t>
      </w:r>
      <w:r>
        <w:rPr>
          <w:rFonts w:hint="eastAsia"/>
        </w:rPr>
        <w:t>天擎</w:t>
      </w:r>
      <w:r>
        <w:rPr>
          <w:rFonts w:hint="eastAsia"/>
        </w:rPr>
        <w:t>”</w:t>
      </w:r>
      <w:r>
        <w:rPr>
          <w:rFonts w:hint="eastAsia"/>
        </w:rPr>
        <w:t>大数据云平台资源池。</w:t>
      </w:r>
    </w:p>
    <w:p w:rsidR="00E82B5B" w:rsidRPr="00CE022C" w:rsidP="00161A51">
      <w:pPr>
        <w:pStyle w:val="NormalIndent"/>
        <w:numPr>
          <w:ilvl w:val="0"/>
          <w:numId w:val="21"/>
        </w:numPr>
        <w:ind w:firstLineChars="0"/>
        <w:rPr>
          <w:rFonts w:hint="eastAsia"/>
        </w:rPr>
      </w:pPr>
      <w:r>
        <w:rPr>
          <w:rFonts w:hint="eastAsia"/>
        </w:rPr>
        <w:t>所有服务产品及元数据，应来自</w:t>
      </w:r>
      <w:r>
        <w:rPr>
          <w:rFonts w:hint="eastAsia"/>
        </w:rPr>
        <w:t>“</w:t>
      </w:r>
      <w:r>
        <w:rPr>
          <w:rFonts w:hint="eastAsia"/>
        </w:rPr>
        <w:t>天擎</w:t>
      </w:r>
      <w:r>
        <w:rPr>
          <w:rFonts w:hint="eastAsia"/>
        </w:rPr>
        <w:t>”</w:t>
      </w:r>
      <w:r>
        <w:rPr>
          <w:rFonts w:hint="eastAsia"/>
        </w:rPr>
        <w:t>气象大数据云平台存储。</w:t>
      </w:r>
    </w:p>
    <w:p w:rsidR="00E82B5B" w:rsidP="00161A51">
      <w:pPr>
        <w:pStyle w:val="NormalIndent"/>
        <w:numPr>
          <w:ilvl w:val="0"/>
          <w:numId w:val="21"/>
        </w:numPr>
        <w:ind w:firstLineChars="0"/>
        <w:rPr>
          <w:rFonts w:hint="eastAsia"/>
        </w:rPr>
      </w:pPr>
      <w:r>
        <w:rPr>
          <w:rFonts w:hint="eastAsia"/>
        </w:rPr>
        <w:t>采用成熟可靠的技术、遵循通用开放的标准，构建安全、可靠、实时、易用的服务平台；</w:t>
      </w:r>
    </w:p>
    <w:p w:rsidR="00E82B5B" w:rsidP="00161A51">
      <w:pPr>
        <w:pStyle w:val="NormalIndent"/>
        <w:numPr>
          <w:ilvl w:val="0"/>
          <w:numId w:val="21"/>
        </w:numPr>
        <w:ind w:firstLineChars="0"/>
        <w:rPr>
          <w:rFonts w:hint="eastAsia"/>
        </w:rPr>
      </w:pPr>
      <w:r>
        <w:rPr>
          <w:rFonts w:hint="eastAsia"/>
        </w:rPr>
        <w:t>B/S系统采用JAVAEE（J2EE）技术架构，系统界面采用浏览器方式；</w:t>
      </w:r>
    </w:p>
    <w:p w:rsidR="00E82B5B" w:rsidP="00161A51">
      <w:pPr>
        <w:pStyle w:val="NormalIndent"/>
        <w:numPr>
          <w:ilvl w:val="0"/>
          <w:numId w:val="21"/>
        </w:numPr>
        <w:ind w:firstLineChars="0"/>
        <w:rPr>
          <w:rFonts w:hint="eastAsia"/>
        </w:rPr>
      </w:pPr>
      <w:r>
        <w:rPr>
          <w:rFonts w:hint="eastAsia"/>
        </w:rPr>
        <w:t>在技术实现上要满足系统后台运行环境支持UNIX、Linux、Windows等主流操作系统，部署环境支持云平台；服务器、存储和虚拟化软件技术产品与现有云平台软硬件环境完全兼容、无缝整合、协同工作，不影响原有业务运行。</w:t>
      </w:r>
    </w:p>
    <w:p w:rsidR="00E82B5B" w:rsidP="00161A51">
      <w:pPr>
        <w:pStyle w:val="NormalIndent"/>
        <w:numPr>
          <w:ilvl w:val="0"/>
          <w:numId w:val="21"/>
        </w:numPr>
        <w:ind w:firstLineChars="0"/>
      </w:pPr>
      <w:r>
        <w:rPr>
          <w:rFonts w:hint="eastAsia"/>
        </w:rPr>
        <w:t>支持并兼容IE8+、Chrome、Firefox等主流浏览器的最新版本。</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47" w:name="_Toc199166590"/>
      <w:bookmarkEnd w:id="62"/>
      <w:bookmarkEnd w:id="63"/>
      <w:bookmarkEnd w:id="64"/>
      <w:bookmarkEnd w:id="65"/>
      <w:bookmarkEnd w:id="66"/>
      <w:r>
        <w:rPr>
          <w:rFonts w:hint="eastAsia"/>
        </w:rPr>
        <w:t>进度要求</w:t>
      </w:r>
      <w:bookmarkEnd w:id="347"/>
    </w:p>
    <w:p w:rsidR="00E82B5B" w:rsidP="00161A51">
      <w:pPr>
        <w:snapToGrid w:val="0"/>
        <w:ind w:firstLine="482"/>
      </w:pPr>
      <w:r>
        <w:rPr>
          <w:rFonts w:hint="eastAsia"/>
        </w:rPr>
        <w:t>本项目</w:t>
      </w:r>
      <w:r>
        <w:t>要求完全按软件工程的方法和过程实施，其研制过程主要包括需求分析、概要设计、详细设计与编码调试、测试与系统集成</w:t>
      </w:r>
      <w:r>
        <w:rPr>
          <w:rFonts w:hint="eastAsia"/>
        </w:rPr>
        <w:t>、试运行、系统验收六</w:t>
      </w:r>
      <w:r>
        <w:t>个阶段，</w:t>
      </w:r>
      <w:r>
        <w:rPr>
          <w:rFonts w:hint="eastAsia"/>
        </w:rPr>
        <w:t>研制周期为12个月，</w:t>
      </w:r>
      <w:r>
        <w:t>下表给出了任务各阶段的进度要求：</w:t>
      </w:r>
    </w:p>
    <w:p w:rsidR="00E82B5B" w:rsidP="00161A51">
      <w:pPr>
        <w:spacing w:before="120" w:beforeLines="50"/>
        <w:jc w:val="center"/>
      </w:pPr>
      <w:r>
        <w:t>表</w:t>
      </w:r>
      <w:r>
        <w:rPr>
          <w:rFonts w:hint="eastAsia"/>
        </w:rPr>
        <w:t>6</w:t>
      </w:r>
      <w:r>
        <w:t>－</w:t>
      </w:r>
      <w:r>
        <w:rPr>
          <w:rFonts w:hint="eastAsia"/>
        </w:rPr>
        <w:t>1项目</w:t>
      </w:r>
      <w:r>
        <w:rPr>
          <w:rFonts w:ascii="宋体" w:hAnsi="宋体" w:hint="eastAsia"/>
        </w:rPr>
        <w:t>开发进度表</w:t>
      </w:r>
    </w:p>
    <w:tbl>
      <w:tblPr>
        <w:tblStyle w:val="TableNormal"/>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46"/>
        <w:gridCol w:w="1407"/>
        <w:gridCol w:w="5160"/>
      </w:tblGrid>
      <w:tr>
        <w:tblPrEx>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146" w:type="dxa"/>
            <w:shd w:val="clear" w:color="auto" w:fill="D0CECE"/>
            <w:vAlign w:val="center"/>
          </w:tcPr>
          <w:p w:rsidR="00E82B5B" w:rsidP="00161A51">
            <w:pPr>
              <w:snapToGrid w:val="0"/>
              <w:spacing w:before="120" w:beforeLines="50" w:after="120" w:afterLines="50"/>
              <w:jc w:val="center"/>
              <w:rPr>
                <w:b/>
                <w:szCs w:val="21"/>
              </w:rPr>
            </w:pPr>
            <w:r>
              <w:rPr>
                <w:b/>
                <w:szCs w:val="21"/>
              </w:rPr>
              <w:t>软件研发过程</w:t>
            </w:r>
          </w:p>
        </w:tc>
        <w:tc>
          <w:tcPr>
            <w:tcW w:w="1407" w:type="dxa"/>
            <w:shd w:val="clear" w:color="auto" w:fill="D0CECE"/>
            <w:vAlign w:val="center"/>
          </w:tcPr>
          <w:p w:rsidR="00E82B5B" w:rsidP="00161A51">
            <w:pPr>
              <w:snapToGrid w:val="0"/>
              <w:spacing w:before="120" w:beforeLines="50" w:after="120" w:afterLines="50"/>
              <w:jc w:val="center"/>
              <w:rPr>
                <w:b/>
                <w:szCs w:val="21"/>
              </w:rPr>
            </w:pPr>
            <w:r>
              <w:rPr>
                <w:b/>
                <w:szCs w:val="21"/>
              </w:rPr>
              <w:t>进度要求</w:t>
            </w:r>
          </w:p>
        </w:tc>
        <w:tc>
          <w:tcPr>
            <w:tcW w:w="5160" w:type="dxa"/>
            <w:shd w:val="clear" w:color="auto" w:fill="D0CECE"/>
            <w:vAlign w:val="center"/>
          </w:tcPr>
          <w:p w:rsidR="00E82B5B" w:rsidP="00161A51">
            <w:pPr>
              <w:snapToGrid w:val="0"/>
              <w:spacing w:before="120" w:beforeLines="50" w:after="120" w:afterLines="50"/>
              <w:jc w:val="center"/>
              <w:rPr>
                <w:b/>
                <w:szCs w:val="21"/>
              </w:rPr>
            </w:pPr>
            <w:r>
              <w:rPr>
                <w:b/>
                <w:szCs w:val="21"/>
              </w:rPr>
              <w:t>基本要求</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szCs w:val="21"/>
              </w:rPr>
              <w:t>需求分析</w:t>
            </w:r>
          </w:p>
        </w:tc>
        <w:tc>
          <w:tcPr>
            <w:tcW w:w="1407" w:type="dxa"/>
            <w:vAlign w:val="center"/>
          </w:tcPr>
          <w:p w:rsidR="00E82B5B" w:rsidP="00161A51">
            <w:pPr>
              <w:snapToGrid w:val="0"/>
              <w:spacing w:before="120" w:beforeLines="50" w:after="120" w:afterLines="50"/>
              <w:jc w:val="center"/>
              <w:rPr>
                <w:szCs w:val="21"/>
              </w:rPr>
            </w:pPr>
            <w:r>
              <w:rPr>
                <w:rFonts w:hint="eastAsia"/>
                <w:szCs w:val="21"/>
              </w:rPr>
              <w:t>2</w:t>
            </w:r>
          </w:p>
        </w:tc>
        <w:tc>
          <w:tcPr>
            <w:tcW w:w="5160" w:type="dxa"/>
            <w:vAlign w:val="center"/>
          </w:tcPr>
          <w:p w:rsidR="00E82B5B" w:rsidP="00161A51">
            <w:pPr>
              <w:snapToGrid w:val="0"/>
              <w:spacing w:before="120" w:beforeLines="50" w:after="120" w:afterLines="50"/>
              <w:rPr>
                <w:szCs w:val="21"/>
              </w:rPr>
            </w:pPr>
            <w:r>
              <w:rPr>
                <w:rFonts w:hint="eastAsia"/>
                <w:szCs w:val="21"/>
              </w:rPr>
              <w:t>完成任务书中</w:t>
            </w:r>
            <w:r>
              <w:rPr>
                <w:szCs w:val="21"/>
              </w:rPr>
              <w:t>所有软件功能的分析</w:t>
            </w:r>
            <w:r>
              <w:rPr>
                <w:rFonts w:hint="eastAsia"/>
                <w:szCs w:val="21"/>
              </w:rPr>
              <w:t>，</w:t>
            </w:r>
            <w:r>
              <w:rPr>
                <w:szCs w:val="21"/>
              </w:rPr>
              <w:t>提交软件需求阶段应提交的各类文档，通过</w:t>
            </w:r>
            <w:r>
              <w:rPr>
                <w:rFonts w:hint="eastAsia"/>
                <w:szCs w:val="21"/>
              </w:rPr>
              <w:t>甲方组织的评审</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szCs w:val="21"/>
              </w:rPr>
              <w:t>概要设计</w:t>
            </w:r>
          </w:p>
        </w:tc>
        <w:tc>
          <w:tcPr>
            <w:tcW w:w="1407" w:type="dxa"/>
            <w:vAlign w:val="center"/>
          </w:tcPr>
          <w:p w:rsidR="00E82B5B" w:rsidP="00161A51">
            <w:pPr>
              <w:snapToGrid w:val="0"/>
              <w:spacing w:before="120" w:beforeLines="50" w:after="120" w:afterLines="50"/>
              <w:jc w:val="center"/>
              <w:rPr>
                <w:szCs w:val="21"/>
              </w:rPr>
            </w:pPr>
            <w:r>
              <w:rPr>
                <w:rFonts w:hint="eastAsia"/>
                <w:szCs w:val="21"/>
              </w:rPr>
              <w:t>1</w:t>
            </w:r>
          </w:p>
        </w:tc>
        <w:tc>
          <w:tcPr>
            <w:tcW w:w="5160" w:type="dxa"/>
            <w:vAlign w:val="center"/>
          </w:tcPr>
          <w:p w:rsidR="00E82B5B" w:rsidP="00161A51">
            <w:pPr>
              <w:snapToGrid w:val="0"/>
              <w:spacing w:before="120" w:beforeLines="50" w:after="120" w:afterLines="50"/>
              <w:rPr>
                <w:szCs w:val="21"/>
              </w:rPr>
            </w:pPr>
            <w:r>
              <w:rPr>
                <w:rFonts w:hint="eastAsia"/>
                <w:szCs w:val="21"/>
              </w:rPr>
              <w:t>完成任务书中</w:t>
            </w:r>
            <w:r>
              <w:rPr>
                <w:szCs w:val="21"/>
              </w:rPr>
              <w:t>所有软件功能的</w:t>
            </w:r>
            <w:r>
              <w:rPr>
                <w:rFonts w:hint="eastAsia"/>
                <w:szCs w:val="21"/>
              </w:rPr>
              <w:t>设计，</w:t>
            </w:r>
            <w:r>
              <w:rPr>
                <w:szCs w:val="21"/>
              </w:rPr>
              <w:t>提交概要设计阶段应提交的各类文档，提供客户端原型设计，通过</w:t>
            </w:r>
            <w:r>
              <w:rPr>
                <w:rFonts w:hint="eastAsia"/>
                <w:szCs w:val="21"/>
              </w:rPr>
              <w:t>甲方组织的评审</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szCs w:val="21"/>
              </w:rPr>
              <w:t>详细设计与编码调试</w:t>
            </w:r>
          </w:p>
        </w:tc>
        <w:tc>
          <w:tcPr>
            <w:tcW w:w="1407" w:type="dxa"/>
            <w:vAlign w:val="center"/>
          </w:tcPr>
          <w:p w:rsidR="00E82B5B" w:rsidP="00161A51">
            <w:pPr>
              <w:snapToGrid w:val="0"/>
              <w:spacing w:before="120" w:beforeLines="50" w:after="120" w:afterLines="50"/>
              <w:jc w:val="center"/>
              <w:rPr>
                <w:szCs w:val="21"/>
              </w:rPr>
            </w:pPr>
            <w:r w:rsidR="001608E1">
              <w:rPr>
                <w:szCs w:val="21"/>
              </w:rPr>
              <w:t>7</w:t>
            </w:r>
          </w:p>
        </w:tc>
        <w:tc>
          <w:tcPr>
            <w:tcW w:w="5160" w:type="dxa"/>
            <w:vAlign w:val="center"/>
          </w:tcPr>
          <w:p w:rsidR="00E82B5B" w:rsidP="00161A51">
            <w:pPr>
              <w:snapToGrid w:val="0"/>
              <w:spacing w:before="120" w:beforeLines="50" w:after="120" w:afterLines="50"/>
              <w:rPr>
                <w:szCs w:val="21"/>
              </w:rPr>
            </w:pPr>
            <w:r>
              <w:rPr>
                <w:szCs w:val="21"/>
              </w:rPr>
              <w:t>完成详细设计、程序编码、调试和单元测试</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rFonts w:hint="eastAsia"/>
                <w:szCs w:val="21"/>
              </w:rPr>
              <w:t>系统部署</w:t>
            </w:r>
          </w:p>
        </w:tc>
        <w:tc>
          <w:tcPr>
            <w:tcW w:w="1407" w:type="dxa"/>
            <w:vAlign w:val="center"/>
          </w:tcPr>
          <w:p w:rsidR="00E82B5B" w:rsidP="00161A51">
            <w:pPr>
              <w:snapToGrid w:val="0"/>
              <w:spacing w:before="120" w:beforeLines="50" w:after="120" w:afterLines="50"/>
              <w:jc w:val="center"/>
              <w:rPr>
                <w:szCs w:val="21"/>
              </w:rPr>
            </w:pPr>
            <w:r w:rsidR="001608E1">
              <w:rPr>
                <w:szCs w:val="21"/>
              </w:rPr>
              <w:t>0.5</w:t>
            </w:r>
          </w:p>
        </w:tc>
        <w:tc>
          <w:tcPr>
            <w:tcW w:w="5160" w:type="dxa"/>
            <w:vAlign w:val="center"/>
          </w:tcPr>
          <w:p w:rsidR="00E82B5B" w:rsidP="00161A51">
            <w:pPr>
              <w:snapToGrid w:val="0"/>
              <w:spacing w:before="120" w:beforeLines="50" w:after="120" w:afterLines="50"/>
              <w:rPr>
                <w:szCs w:val="21"/>
              </w:rPr>
            </w:pPr>
            <w:r>
              <w:rPr>
                <w:szCs w:val="21"/>
              </w:rPr>
              <w:t>完成系统功能确认测试、</w:t>
            </w:r>
            <w:r>
              <w:rPr>
                <w:rFonts w:hint="eastAsia"/>
                <w:szCs w:val="21"/>
              </w:rPr>
              <w:t>运行环境配置、</w:t>
            </w:r>
            <w:r>
              <w:rPr>
                <w:szCs w:val="21"/>
              </w:rPr>
              <w:t>系统应用集成</w:t>
            </w:r>
            <w:r>
              <w:rPr>
                <w:rFonts w:hint="eastAsia"/>
                <w:szCs w:val="21"/>
              </w:rPr>
              <w:t>与部署</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rFonts w:hint="eastAsia"/>
                <w:szCs w:val="21"/>
              </w:rPr>
              <w:t>试运行</w:t>
            </w:r>
          </w:p>
        </w:tc>
        <w:tc>
          <w:tcPr>
            <w:tcW w:w="1407" w:type="dxa"/>
            <w:vAlign w:val="center"/>
          </w:tcPr>
          <w:p w:rsidR="00E82B5B" w:rsidP="00161A51">
            <w:pPr>
              <w:snapToGrid w:val="0"/>
              <w:spacing w:before="120" w:beforeLines="50" w:after="120" w:afterLines="50"/>
              <w:jc w:val="center"/>
              <w:rPr>
                <w:rFonts w:hint="eastAsia"/>
                <w:szCs w:val="21"/>
              </w:rPr>
            </w:pPr>
            <w:r>
              <w:rPr>
                <w:rFonts w:hint="eastAsia"/>
                <w:szCs w:val="21"/>
              </w:rPr>
              <w:t>1</w:t>
            </w:r>
          </w:p>
        </w:tc>
        <w:tc>
          <w:tcPr>
            <w:tcW w:w="5160" w:type="dxa"/>
            <w:vAlign w:val="center"/>
          </w:tcPr>
          <w:p w:rsidR="00E82B5B" w:rsidP="00161A51">
            <w:pPr>
              <w:snapToGrid w:val="0"/>
              <w:spacing w:before="120" w:beforeLines="50" w:after="120" w:afterLines="50"/>
              <w:rPr>
                <w:szCs w:val="21"/>
              </w:rPr>
            </w:pPr>
            <w:r>
              <w:rPr>
                <w:rFonts w:hint="eastAsia"/>
                <w:szCs w:val="21"/>
              </w:rPr>
              <w:t>完成业务试运行</w:t>
            </w:r>
          </w:p>
        </w:tc>
      </w:tr>
      <w:tr>
        <w:tblPrEx>
          <w:tblW w:w="8713" w:type="dxa"/>
          <w:jc w:val="center"/>
          <w:tblInd w:w="0" w:type="dxa"/>
          <w:tblLook w:val="0000"/>
        </w:tblPrEx>
        <w:trPr>
          <w:jc w:val="center"/>
        </w:trPr>
        <w:tc>
          <w:tcPr>
            <w:tcW w:w="2146" w:type="dxa"/>
            <w:vAlign w:val="center"/>
          </w:tcPr>
          <w:p w:rsidR="00E82B5B" w:rsidP="00161A51">
            <w:pPr>
              <w:snapToGrid w:val="0"/>
              <w:spacing w:before="120" w:beforeLines="50" w:after="120" w:afterLines="50"/>
              <w:rPr>
                <w:szCs w:val="21"/>
              </w:rPr>
            </w:pPr>
            <w:r>
              <w:rPr>
                <w:rFonts w:hint="eastAsia"/>
                <w:szCs w:val="21"/>
              </w:rPr>
              <w:t>系统终验</w:t>
            </w:r>
          </w:p>
        </w:tc>
        <w:tc>
          <w:tcPr>
            <w:tcW w:w="1407" w:type="dxa"/>
            <w:vAlign w:val="center"/>
          </w:tcPr>
          <w:p w:rsidR="00E82B5B" w:rsidP="00161A51">
            <w:pPr>
              <w:snapToGrid w:val="0"/>
              <w:spacing w:before="120" w:beforeLines="50" w:after="120" w:afterLines="50"/>
              <w:jc w:val="center"/>
              <w:rPr>
                <w:szCs w:val="21"/>
              </w:rPr>
            </w:pPr>
            <w:r w:rsidR="001608E1">
              <w:rPr>
                <w:rFonts w:hint="eastAsia"/>
                <w:szCs w:val="21"/>
              </w:rPr>
              <w:t>0.5</w:t>
            </w:r>
          </w:p>
        </w:tc>
        <w:tc>
          <w:tcPr>
            <w:tcW w:w="5160" w:type="dxa"/>
            <w:vAlign w:val="center"/>
          </w:tcPr>
          <w:p w:rsidR="00E82B5B" w:rsidP="00161A51">
            <w:pPr>
              <w:snapToGrid w:val="0"/>
              <w:spacing w:before="120" w:beforeLines="50" w:after="120" w:afterLines="50"/>
              <w:rPr>
                <w:szCs w:val="21"/>
              </w:rPr>
            </w:pPr>
            <w:r>
              <w:rPr>
                <w:szCs w:val="21"/>
              </w:rPr>
              <w:t>完成</w:t>
            </w:r>
            <w:r>
              <w:rPr>
                <w:rFonts w:hint="eastAsia"/>
                <w:szCs w:val="21"/>
              </w:rPr>
              <w:t>系统最终验收并移交</w:t>
            </w:r>
          </w:p>
        </w:tc>
      </w:tr>
    </w:tbl>
    <w:p w:rsidR="00E82B5B" w:rsidP="00161A51">
      <w:pPr>
        <w:snapToGrid w:val="0"/>
        <w:ind w:firstLine="482"/>
      </w:pP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48" w:name="_Toc199166591"/>
      <w:r>
        <w:rPr>
          <w:rFonts w:hint="eastAsia"/>
        </w:rPr>
        <w:t>软件交付物要求</w:t>
      </w:r>
      <w:bookmarkEnd w:id="348"/>
    </w:p>
    <w:p w:rsidR="00E82B5B" w:rsidP="00161A51">
      <w:pPr>
        <w:pStyle w:val="NormalIndent"/>
        <w:ind w:firstLineChars="0"/>
        <w:rPr>
          <w:rFonts w:hint="eastAsia"/>
        </w:rPr>
      </w:pPr>
      <w:r>
        <w:rPr>
          <w:rFonts w:hint="eastAsia"/>
        </w:rPr>
        <w:t>（1）产品交付物</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11"/>
        <w:gridCol w:w="7196"/>
      </w:tblGrid>
      <w:tr>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E82B5B" w:rsidP="00161A51">
            <w:pPr>
              <w:pStyle w:val="B0"/>
              <w:spacing w:before="120" w:beforeLines="50" w:after="120" w:afterLines="50" w:line="360" w:lineRule="auto"/>
              <w:rPr>
                <w:rFonts w:ascii="宋体" w:eastAsia="宋体" w:hAnsi="宋体" w:hint="eastAsia"/>
              </w:rPr>
            </w:pPr>
            <w:r>
              <w:rPr>
                <w:rFonts w:ascii="宋体" w:eastAsia="宋体" w:hAnsi="宋体" w:hint="eastAsia"/>
              </w:rPr>
              <w:t>序号</w:t>
            </w:r>
          </w:p>
        </w:tc>
        <w:tc>
          <w:tcPr>
            <w:tcW w:w="7260" w:type="dxa"/>
            <w:shd w:val="pct10" w:color="auto" w:fill="auto"/>
          </w:tcPr>
          <w:p w:rsidR="00E82B5B" w:rsidP="00161A51">
            <w:pPr>
              <w:pStyle w:val="B0"/>
              <w:spacing w:before="120" w:beforeLines="50" w:after="120" w:afterLines="50" w:line="360" w:lineRule="auto"/>
              <w:rPr>
                <w:rFonts w:ascii="宋体" w:eastAsia="宋体" w:hAnsi="宋体" w:hint="eastAsia"/>
              </w:rPr>
            </w:pPr>
            <w:r>
              <w:rPr>
                <w:rFonts w:ascii="宋体" w:eastAsia="宋体" w:hAnsi="宋体" w:hint="eastAsia"/>
              </w:rPr>
              <w:t>产品名称</w:t>
            </w:r>
          </w:p>
        </w:tc>
      </w:tr>
      <w:tr>
        <w:tblPrEx>
          <w:tblW w:w="0" w:type="auto"/>
          <w:jc w:val="center"/>
          <w:tblInd w:w="0" w:type="dxa"/>
          <w:tblLook w:val="0000"/>
        </w:tblPrEx>
        <w:trPr>
          <w:jc w:val="center"/>
        </w:trPr>
        <w:tc>
          <w:tcPr>
            <w:tcW w:w="1421" w:type="dxa"/>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1</w:t>
            </w:r>
          </w:p>
        </w:tc>
        <w:tc>
          <w:tcPr>
            <w:tcW w:w="7260" w:type="dxa"/>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应用软件安装包</w:t>
            </w:r>
          </w:p>
        </w:tc>
      </w:tr>
      <w:tr>
        <w:tblPrEx>
          <w:tblW w:w="0" w:type="auto"/>
          <w:jc w:val="center"/>
          <w:tblInd w:w="0" w:type="dxa"/>
          <w:tblLook w:val="0000"/>
        </w:tblPrEx>
        <w:trPr>
          <w:jc w:val="center"/>
        </w:trPr>
        <w:tc>
          <w:tcPr>
            <w:tcW w:w="1421" w:type="dxa"/>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2</w:t>
            </w:r>
          </w:p>
        </w:tc>
        <w:tc>
          <w:tcPr>
            <w:tcW w:w="7260" w:type="dxa"/>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源代码、工程文件及程序说明</w:t>
            </w:r>
          </w:p>
        </w:tc>
      </w:tr>
    </w:tbl>
    <w:p w:rsidR="00E82B5B" w:rsidP="00B20BBE">
      <w:pPr>
        <w:pStyle w:val="NormalIndent"/>
        <w:numPr>
          <w:ilvl w:val="0"/>
          <w:numId w:val="22"/>
        </w:numPr>
        <w:spacing w:before="240" w:beforeLines="100"/>
        <w:ind w:firstLineChars="0"/>
        <w:rPr>
          <w:rFonts w:hint="eastAsia"/>
        </w:rPr>
      </w:pPr>
      <w:r>
        <w:rPr>
          <w:rFonts w:hint="eastAsia"/>
        </w:rPr>
        <w:t>文档交付物</w:t>
      </w: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67"/>
        <w:gridCol w:w="2870"/>
        <w:gridCol w:w="2870"/>
      </w:tblGrid>
      <w:tr w:rsidTr="00CE022C">
        <w:tblPrEx>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666" w:type="pct"/>
            <w:shd w:val="pct10" w:color="auto" w:fill="auto"/>
          </w:tcPr>
          <w:p w:rsidR="00E82B5B" w:rsidP="00161A51">
            <w:pPr>
              <w:pStyle w:val="B0"/>
              <w:spacing w:before="120" w:beforeLines="50" w:after="120" w:afterLines="50" w:line="360" w:lineRule="auto"/>
              <w:rPr>
                <w:rFonts w:ascii="宋体" w:eastAsia="宋体" w:hAnsi="宋体" w:hint="eastAsia"/>
              </w:rPr>
            </w:pPr>
            <w:r>
              <w:rPr>
                <w:rFonts w:ascii="宋体" w:eastAsia="宋体" w:hAnsi="宋体" w:hint="eastAsia"/>
              </w:rPr>
              <w:t>工作内容</w:t>
            </w:r>
          </w:p>
        </w:tc>
        <w:tc>
          <w:tcPr>
            <w:tcW w:w="1667" w:type="pct"/>
            <w:shd w:val="pct10" w:color="auto" w:fill="auto"/>
          </w:tcPr>
          <w:p w:rsidR="00E82B5B" w:rsidP="00161A51">
            <w:pPr>
              <w:pStyle w:val="B0"/>
              <w:spacing w:before="120" w:beforeLines="50" w:after="120" w:afterLines="50" w:line="360" w:lineRule="auto"/>
              <w:rPr>
                <w:rFonts w:ascii="宋体" w:eastAsia="宋体" w:hAnsi="宋体" w:hint="eastAsia"/>
              </w:rPr>
            </w:pPr>
            <w:r>
              <w:rPr>
                <w:rFonts w:ascii="宋体" w:eastAsia="宋体" w:hAnsi="宋体" w:hint="eastAsia"/>
              </w:rPr>
              <w:t>技术文档</w:t>
            </w:r>
          </w:p>
        </w:tc>
        <w:tc>
          <w:tcPr>
            <w:tcW w:w="1667" w:type="pct"/>
            <w:shd w:val="pct10" w:color="auto" w:fill="auto"/>
          </w:tcPr>
          <w:p w:rsidR="00E82B5B" w:rsidP="00161A51">
            <w:pPr>
              <w:pStyle w:val="B0"/>
              <w:spacing w:before="120" w:beforeLines="50" w:after="120" w:afterLines="50" w:line="360" w:lineRule="auto"/>
              <w:rPr>
                <w:rFonts w:ascii="宋体" w:eastAsia="宋体" w:hAnsi="宋体" w:hint="eastAsia"/>
              </w:rPr>
            </w:pPr>
            <w:r>
              <w:rPr>
                <w:rFonts w:ascii="宋体" w:eastAsia="宋体" w:hAnsi="宋体" w:hint="eastAsia"/>
              </w:rPr>
              <w:t>管理文档</w:t>
            </w:r>
          </w:p>
        </w:tc>
      </w:tr>
      <w:tr w:rsidTr="00CE022C">
        <w:tblPrEx>
          <w:tblW w:w="5000" w:type="pct"/>
          <w:jc w:val="center"/>
          <w:tblInd w:w="0" w:type="dxa"/>
          <w:tblLook w:val="0000"/>
        </w:tblPrEx>
        <w:trPr>
          <w:jc w:val="center"/>
        </w:trPr>
        <w:tc>
          <w:tcPr>
            <w:tcW w:w="1666"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需求分析</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软件需求规格说明书</w:t>
            </w:r>
          </w:p>
        </w:tc>
        <w:tc>
          <w:tcPr>
            <w:tcW w:w="1667" w:type="pct"/>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设计和开发</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概要设计说明书</w:t>
            </w:r>
          </w:p>
        </w:tc>
        <w:tc>
          <w:tcPr>
            <w:tcW w:w="1667" w:type="pct"/>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vMerge w:val="restar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测试</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软件系统测试方案</w:t>
            </w:r>
          </w:p>
        </w:tc>
        <w:tc>
          <w:tcPr>
            <w:tcW w:w="1667" w:type="pct"/>
            <w:vMerge w:val="restart"/>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vMerge/>
          </w:tcPr>
          <w:p w:rsidR="00E82B5B" w:rsidP="00161A51">
            <w:pPr>
              <w:pStyle w:val="B"/>
              <w:spacing w:before="120" w:beforeLines="50" w:after="120" w:afterLines="50" w:line="360" w:lineRule="auto"/>
              <w:rPr>
                <w:rFonts w:ascii="宋体" w:eastAsia="宋体" w:hAnsi="宋体" w:hint="eastAsia"/>
              </w:rPr>
            </w:pP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软件系统测试报告</w:t>
            </w:r>
          </w:p>
        </w:tc>
        <w:tc>
          <w:tcPr>
            <w:tcW w:w="1667" w:type="pct"/>
            <w:vMerge/>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vMerge w:val="restar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试运行</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用户手册</w:t>
            </w:r>
          </w:p>
        </w:tc>
        <w:tc>
          <w:tcPr>
            <w:tcW w:w="1667" w:type="pct"/>
            <w:vMerge w:val="restart"/>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vMerge/>
          </w:tcPr>
          <w:p w:rsidR="00E82B5B" w:rsidP="00161A51">
            <w:pPr>
              <w:pStyle w:val="B"/>
              <w:spacing w:before="120" w:beforeLines="50" w:after="120" w:afterLines="50" w:line="360" w:lineRule="auto"/>
              <w:rPr>
                <w:rFonts w:ascii="宋体" w:eastAsia="宋体" w:hAnsi="宋体" w:hint="eastAsia"/>
              </w:rPr>
            </w:pPr>
          </w:p>
        </w:tc>
        <w:tc>
          <w:tcPr>
            <w:tcW w:w="1667" w:type="pct"/>
          </w:tcPr>
          <w:p w:rsidR="00E82B5B" w:rsidP="00161A51">
            <w:pPr>
              <w:pStyle w:val="B"/>
              <w:spacing w:before="120" w:beforeLines="50" w:after="120" w:afterLines="50" w:line="360" w:lineRule="auto"/>
              <w:rPr>
                <w:rFonts w:ascii="宋体" w:eastAsia="宋体" w:hAnsi="宋体"/>
              </w:rPr>
            </w:pPr>
            <w:r>
              <w:rPr>
                <w:rFonts w:ascii="宋体" w:eastAsia="宋体" w:hAnsi="宋体" w:hint="eastAsia"/>
              </w:rPr>
              <w:t>软件程序及模块清单</w:t>
            </w:r>
          </w:p>
        </w:tc>
        <w:tc>
          <w:tcPr>
            <w:tcW w:w="1667" w:type="pct"/>
            <w:vMerge/>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vMerge/>
          </w:tcPr>
          <w:p w:rsidR="00E82B5B" w:rsidP="00161A51">
            <w:pPr>
              <w:pStyle w:val="B"/>
              <w:spacing w:before="120" w:beforeLines="50" w:after="120" w:afterLines="50" w:line="360" w:lineRule="auto"/>
              <w:rPr>
                <w:rFonts w:ascii="宋体" w:eastAsia="宋体" w:hAnsi="宋体" w:hint="eastAsia"/>
              </w:rPr>
            </w:pP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试运行评估报告</w:t>
            </w:r>
          </w:p>
        </w:tc>
        <w:tc>
          <w:tcPr>
            <w:tcW w:w="1667" w:type="pct"/>
          </w:tcPr>
          <w:p w:rsidR="00E82B5B" w:rsidP="00161A51">
            <w:pPr>
              <w:pStyle w:val="B"/>
              <w:spacing w:before="120" w:beforeLines="50" w:after="120" w:afterLines="50" w:line="360" w:lineRule="auto"/>
              <w:rPr>
                <w:rFonts w:ascii="宋体" w:eastAsia="宋体" w:hAnsi="宋体" w:hint="eastAsia"/>
              </w:rPr>
            </w:pPr>
          </w:p>
        </w:tc>
      </w:tr>
      <w:tr w:rsidTr="00CE022C">
        <w:tblPrEx>
          <w:tblW w:w="5000" w:type="pct"/>
          <w:jc w:val="center"/>
          <w:tblInd w:w="0" w:type="dxa"/>
          <w:tblLook w:val="0000"/>
        </w:tblPrEx>
        <w:trPr>
          <w:jc w:val="center"/>
        </w:trPr>
        <w:tc>
          <w:tcPr>
            <w:tcW w:w="1666"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培训</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培训教程</w:t>
            </w:r>
          </w:p>
        </w:tc>
        <w:tc>
          <w:tcPr>
            <w:tcW w:w="1667"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培训计划</w:t>
            </w:r>
          </w:p>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培训记录</w:t>
            </w:r>
          </w:p>
        </w:tc>
      </w:tr>
      <w:tr w:rsidTr="00CE022C">
        <w:tblPrEx>
          <w:tblW w:w="5000" w:type="pct"/>
          <w:jc w:val="center"/>
          <w:tblInd w:w="0" w:type="dxa"/>
          <w:tblLook w:val="0000"/>
        </w:tblPrEx>
        <w:trPr>
          <w:jc w:val="center"/>
        </w:trPr>
        <w:tc>
          <w:tcPr>
            <w:tcW w:w="1666"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终验</w:t>
            </w:r>
          </w:p>
        </w:tc>
        <w:tc>
          <w:tcPr>
            <w:tcW w:w="1667" w:type="pct"/>
          </w:tcPr>
          <w:p w:rsidR="00E82B5B" w:rsidP="00161A51">
            <w:pPr>
              <w:pStyle w:val="B"/>
              <w:spacing w:before="120" w:beforeLines="50" w:after="120" w:afterLines="50" w:line="360" w:lineRule="auto"/>
              <w:rPr>
                <w:rFonts w:ascii="宋体" w:eastAsia="宋体" w:hAnsi="宋体" w:hint="eastAsia"/>
              </w:rPr>
            </w:pPr>
          </w:p>
        </w:tc>
        <w:tc>
          <w:tcPr>
            <w:tcW w:w="1667" w:type="pct"/>
          </w:tcPr>
          <w:p w:rsidR="00E82B5B" w:rsidP="00161A51">
            <w:pPr>
              <w:pStyle w:val="B"/>
              <w:spacing w:before="120" w:beforeLines="50" w:after="120" w:afterLines="50" w:line="360" w:lineRule="auto"/>
              <w:rPr>
                <w:rFonts w:ascii="宋体" w:eastAsia="宋体" w:hAnsi="宋体"/>
              </w:rPr>
            </w:pPr>
            <w:r>
              <w:rPr>
                <w:rFonts w:ascii="宋体" w:eastAsia="宋体" w:hAnsi="宋体" w:hint="eastAsia"/>
              </w:rPr>
              <w:t>终验申请</w:t>
            </w:r>
          </w:p>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终验计划</w:t>
            </w:r>
          </w:p>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终验报告</w:t>
            </w:r>
          </w:p>
        </w:tc>
      </w:tr>
      <w:tr w:rsidTr="00CE022C">
        <w:tblPrEx>
          <w:tblW w:w="5000" w:type="pct"/>
          <w:jc w:val="center"/>
          <w:tblInd w:w="0" w:type="dxa"/>
          <w:tblLook w:val="0000"/>
        </w:tblPrEx>
        <w:trPr>
          <w:jc w:val="center"/>
        </w:trPr>
        <w:tc>
          <w:tcPr>
            <w:tcW w:w="1666" w:type="pct"/>
          </w:tcPr>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其他</w:t>
            </w:r>
          </w:p>
        </w:tc>
        <w:tc>
          <w:tcPr>
            <w:tcW w:w="1667" w:type="pct"/>
          </w:tcPr>
          <w:p w:rsidR="00E82B5B" w:rsidP="00161A51">
            <w:pPr>
              <w:pStyle w:val="B"/>
              <w:spacing w:before="120" w:beforeLines="50" w:after="120" w:afterLines="50" w:line="360" w:lineRule="auto"/>
              <w:rPr>
                <w:rFonts w:ascii="宋体" w:eastAsia="宋体" w:hAnsi="宋体" w:hint="eastAsia"/>
              </w:rPr>
            </w:pPr>
          </w:p>
        </w:tc>
        <w:tc>
          <w:tcPr>
            <w:tcW w:w="1667" w:type="pct"/>
          </w:tcPr>
          <w:p w:rsidR="003B0FC3" w:rsidP="00161A51">
            <w:pPr>
              <w:pStyle w:val="B"/>
              <w:spacing w:before="120" w:beforeLines="50" w:after="120" w:afterLines="50" w:line="360" w:lineRule="auto"/>
              <w:rPr>
                <w:rFonts w:ascii="宋体" w:eastAsia="宋体" w:hAnsi="宋体"/>
              </w:rPr>
            </w:pPr>
            <w:r>
              <w:rPr>
                <w:rFonts w:ascii="宋体" w:eastAsia="宋体" w:hAnsi="宋体" w:hint="eastAsia"/>
              </w:rPr>
              <w:t>项目周报</w:t>
            </w:r>
          </w:p>
          <w:p w:rsidR="00E82B5B" w:rsidP="00161A51">
            <w:pPr>
              <w:pStyle w:val="B"/>
              <w:spacing w:before="120" w:beforeLines="50" w:after="120" w:afterLines="50" w:line="360" w:lineRule="auto"/>
              <w:rPr>
                <w:rFonts w:ascii="宋体" w:eastAsia="宋体" w:hAnsi="宋体" w:hint="eastAsia"/>
              </w:rPr>
            </w:pPr>
            <w:r>
              <w:rPr>
                <w:rFonts w:ascii="宋体" w:eastAsia="宋体" w:hAnsi="宋体" w:hint="eastAsia"/>
              </w:rPr>
              <w:t>会议纪要</w:t>
            </w:r>
          </w:p>
        </w:tc>
      </w:tr>
    </w:tbl>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49" w:name="_Toc199166592"/>
      <w:r>
        <w:rPr>
          <w:rFonts w:hint="eastAsia"/>
        </w:rPr>
        <w:t>项目组织与管理要求</w:t>
      </w:r>
      <w:bookmarkEnd w:id="349"/>
    </w:p>
    <w:p w:rsidR="00E82B5B" w:rsidP="00161A51">
      <w:pPr>
        <w:pStyle w:val="Heading2"/>
        <w:keepNext/>
        <w:keepLines/>
        <w:widowControl w:val="0"/>
        <w:numPr>
          <w:ilvl w:val="1"/>
          <w:numId w:val="18"/>
        </w:numPr>
        <w:tabs>
          <w:tab w:val="left" w:pos="576"/>
        </w:tabs>
        <w:spacing w:before="260" w:after="260" w:line="360" w:lineRule="auto"/>
        <w:ind w:left="576" w:hanging="576"/>
        <w:jc w:val="both"/>
        <w:rPr>
          <w:rFonts w:hint="eastAsia"/>
        </w:rPr>
      </w:pPr>
      <w:bookmarkStart w:id="350" w:name="_Toc199166593"/>
      <w:r>
        <w:rPr>
          <w:rFonts w:hint="eastAsia"/>
        </w:rPr>
        <w:t>编制软件开发实施进度计划并组织实施</w:t>
      </w:r>
      <w:bookmarkEnd w:id="350"/>
    </w:p>
    <w:p w:rsidR="00E82B5B" w:rsidP="00161A51">
      <w:pPr>
        <w:pStyle w:val="NormalIndent"/>
        <w:numPr>
          <w:ilvl w:val="0"/>
          <w:numId w:val="23"/>
        </w:numPr>
        <w:ind w:firstLineChars="0"/>
        <w:rPr>
          <w:rFonts w:hint="eastAsia"/>
        </w:rPr>
      </w:pPr>
      <w:r>
        <w:rPr>
          <w:rFonts w:hint="eastAsia"/>
        </w:rPr>
        <w:t>提供软件开发实施计划。</w:t>
      </w:r>
    </w:p>
    <w:p w:rsidR="00E82B5B" w:rsidP="00161A51">
      <w:pPr>
        <w:pStyle w:val="NormalIndent"/>
        <w:numPr>
          <w:ilvl w:val="0"/>
          <w:numId w:val="23"/>
        </w:numPr>
        <w:ind w:firstLineChars="0"/>
        <w:rPr>
          <w:rFonts w:hint="eastAsia"/>
        </w:rPr>
      </w:pPr>
      <w:r>
        <w:rPr>
          <w:rFonts w:hint="eastAsia"/>
        </w:rPr>
        <w:t>每周向甲方提供工作实施进展情况，并提出相关建议。</w:t>
      </w:r>
    </w:p>
    <w:p w:rsidR="00E82B5B" w:rsidP="00161A51">
      <w:pPr>
        <w:pStyle w:val="NormalIndent"/>
        <w:numPr>
          <w:ilvl w:val="0"/>
          <w:numId w:val="23"/>
        </w:numPr>
        <w:ind w:firstLineChars="0"/>
        <w:rPr>
          <w:rFonts w:hint="eastAsia"/>
        </w:rPr>
      </w:pPr>
      <w:r>
        <w:rPr>
          <w:rFonts w:hint="eastAsia"/>
        </w:rPr>
        <w:t>解决软件开发实施过程中出现的各种技术问题。</w:t>
      </w:r>
    </w:p>
    <w:p w:rsidR="00E82B5B" w:rsidP="00161A51">
      <w:pPr>
        <w:pStyle w:val="NormalIndent"/>
        <w:numPr>
          <w:ilvl w:val="0"/>
          <w:numId w:val="23"/>
        </w:numPr>
        <w:ind w:firstLineChars="0"/>
        <w:rPr>
          <w:rFonts w:hint="eastAsia"/>
        </w:rPr>
      </w:pPr>
      <w:r>
        <w:rPr>
          <w:rFonts w:hint="eastAsia"/>
        </w:rPr>
        <w:t>协助甲方处理实施过程中出现的质量事故。</w:t>
      </w:r>
    </w:p>
    <w:p w:rsidR="00E82B5B" w:rsidP="00161A51">
      <w:pPr>
        <w:pStyle w:val="NormalIndent"/>
        <w:numPr>
          <w:ilvl w:val="0"/>
          <w:numId w:val="23"/>
        </w:numPr>
        <w:ind w:firstLineChars="0"/>
        <w:rPr>
          <w:rFonts w:hint="eastAsia"/>
        </w:rPr>
      </w:pPr>
      <w:r>
        <w:rPr>
          <w:rFonts w:hint="eastAsia"/>
        </w:rPr>
        <w:t>计划周密，当项目建设过程中出现变化时，要能及时做出调整。</w:t>
      </w:r>
    </w:p>
    <w:p w:rsidR="00E82B5B" w:rsidP="00161A51">
      <w:pPr>
        <w:pStyle w:val="NormalIndent"/>
        <w:numPr>
          <w:ilvl w:val="0"/>
          <w:numId w:val="23"/>
        </w:numPr>
        <w:ind w:firstLineChars="0"/>
        <w:rPr>
          <w:rFonts w:hint="eastAsia"/>
        </w:rPr>
      </w:pPr>
      <w:r>
        <w:rPr>
          <w:rFonts w:hint="eastAsia"/>
        </w:rPr>
        <w:t>要有规范的进度管理机制。</w:t>
      </w:r>
    </w:p>
    <w:p w:rsidR="00E82B5B" w:rsidP="00161A51">
      <w:pPr>
        <w:pStyle w:val="Heading2"/>
        <w:keepNext/>
        <w:keepLines/>
        <w:widowControl w:val="0"/>
        <w:numPr>
          <w:ilvl w:val="1"/>
          <w:numId w:val="18"/>
        </w:numPr>
        <w:tabs>
          <w:tab w:val="left" w:pos="576"/>
        </w:tabs>
        <w:spacing w:before="260" w:after="260" w:line="360" w:lineRule="auto"/>
        <w:ind w:left="576" w:hanging="576"/>
        <w:jc w:val="both"/>
        <w:rPr>
          <w:rFonts w:hint="eastAsia"/>
        </w:rPr>
      </w:pPr>
      <w:bookmarkStart w:id="351" w:name="_Toc199166594"/>
      <w:r>
        <w:rPr>
          <w:rFonts w:hint="eastAsia"/>
        </w:rPr>
        <w:t>进行项目开发的日常组织、管理、协调</w:t>
      </w:r>
      <w:bookmarkEnd w:id="351"/>
    </w:p>
    <w:p w:rsidR="00E82B5B" w:rsidP="00161A51">
      <w:pPr>
        <w:pStyle w:val="NormalIndent"/>
        <w:numPr>
          <w:ilvl w:val="0"/>
          <w:numId w:val="24"/>
        </w:numPr>
        <w:ind w:firstLineChars="0"/>
        <w:rPr>
          <w:rFonts w:hint="eastAsia"/>
        </w:rPr>
      </w:pPr>
      <w:r>
        <w:rPr>
          <w:rFonts w:hint="eastAsia"/>
        </w:rPr>
        <w:t>参加甲方组织与项目建设有关的各类会议。</w:t>
      </w:r>
    </w:p>
    <w:p w:rsidR="00E82B5B" w:rsidP="00161A51">
      <w:pPr>
        <w:pStyle w:val="NormalIndent"/>
        <w:numPr>
          <w:ilvl w:val="0"/>
          <w:numId w:val="24"/>
        </w:numPr>
        <w:ind w:firstLineChars="0"/>
        <w:rPr>
          <w:rFonts w:hint="eastAsia"/>
        </w:rPr>
      </w:pPr>
      <w:r>
        <w:rPr>
          <w:rFonts w:hint="eastAsia"/>
        </w:rPr>
        <w:t>要遵循相应的项目管理规范，并有相应的项目管理文档。</w:t>
      </w:r>
    </w:p>
    <w:p w:rsidR="00E82B5B" w:rsidP="00161A51">
      <w:pPr>
        <w:pStyle w:val="NormalIndent"/>
        <w:numPr>
          <w:ilvl w:val="0"/>
          <w:numId w:val="24"/>
        </w:numPr>
        <w:ind w:firstLineChars="0"/>
        <w:rPr>
          <w:rFonts w:hint="eastAsia"/>
        </w:rPr>
      </w:pPr>
      <w:r>
        <w:rPr>
          <w:rFonts w:hint="eastAsia"/>
        </w:rPr>
        <w:t>对项目建设任务中出现的调整，要及时做出安排，并尊重甲方的安排。</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52" w:name="_Toc199166595"/>
      <w:r>
        <w:rPr>
          <w:rFonts w:hint="eastAsia"/>
        </w:rPr>
        <w:t>项目的人员及组织机构要求</w:t>
      </w:r>
      <w:bookmarkEnd w:id="352"/>
    </w:p>
    <w:p w:rsidR="00E82B5B" w:rsidP="00161A51">
      <w:pPr>
        <w:pStyle w:val="NormalIndent"/>
        <w:ind w:firstLineChars="0"/>
        <w:rPr>
          <w:rFonts w:hint="eastAsia"/>
        </w:rPr>
      </w:pPr>
      <w:r>
        <w:rPr>
          <w:rFonts w:hint="eastAsia"/>
        </w:rPr>
        <w:t>乙方必须成立合理的组织机构，建立健全保障设计、开发工作顺利实施的各项管理制度和质量保证体系，安排好足够的高素质人才参加本项目工作。</w:t>
      </w:r>
    </w:p>
    <w:p w:rsidR="00E82B5B" w:rsidP="00161A51">
      <w:pPr>
        <w:pStyle w:val="NormalIndent"/>
        <w:ind w:firstLineChars="0"/>
        <w:rPr>
          <w:rFonts w:hint="eastAsia"/>
        </w:rPr>
      </w:pPr>
      <w:r>
        <w:rPr>
          <w:rFonts w:hint="eastAsia"/>
        </w:rPr>
        <w:t>在组织机构中应明确各岗位的职责、任职资格及成果，确保项目顺利实施，应分别配备有项目经理、技术负责人承担本项目工作。</w:t>
      </w:r>
    </w:p>
    <w:p w:rsidR="00E82B5B" w:rsidP="00161A51">
      <w:pPr>
        <w:pStyle w:val="NormalIndent"/>
        <w:ind w:firstLineChars="0"/>
      </w:pPr>
      <w:r>
        <w:rPr>
          <w:rFonts w:hint="eastAsia"/>
        </w:rPr>
        <w:t>乙方应确保服务于本项目的核心技术人员及主要开发人员稳定，团队人数不少于4人，未经甲方允许不得调整核心团队成员，甲方有权要求更换乙方项目团队成员。</w:t>
      </w:r>
    </w:p>
    <w:p w:rsidR="001D4711"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pPr>
      <w:bookmarkStart w:id="353" w:name="_Toc456802898"/>
      <w:bookmarkStart w:id="354" w:name="_Toc199166596"/>
      <w:r w:rsidRPr="00894342">
        <w:rPr>
          <w:rFonts w:hint="eastAsia"/>
        </w:rPr>
        <w:t>项目评审验收要求</w:t>
      </w:r>
      <w:bookmarkEnd w:id="353"/>
      <w:bookmarkEnd w:id="354"/>
    </w:p>
    <w:p w:rsidR="001D4711" w:rsidRPr="001D4711" w:rsidP="00161A51">
      <w:pPr>
        <w:pStyle w:val="NormalIndent"/>
        <w:ind w:firstLineChars="0"/>
        <w:rPr>
          <w:rFonts w:hint="eastAsia"/>
        </w:rPr>
      </w:pPr>
      <w:r w:rsidRPr="003B5E81">
        <w:rPr>
          <w:rFonts w:hint="eastAsia"/>
        </w:rPr>
        <w:t>通过甲方组织的需求评审后形成项目评审验收方案，制订出一套明确的可操作性的评价指标，作为甲方评价开发工作的标准，用于本项目的评审和验收。</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55" w:name="_Toc199166597"/>
      <w:r>
        <w:rPr>
          <w:rFonts w:hint="eastAsia"/>
        </w:rPr>
        <w:t>培训要求</w:t>
      </w:r>
      <w:bookmarkEnd w:id="355"/>
    </w:p>
    <w:p w:rsidR="00E82B5B" w:rsidP="00161A51">
      <w:pPr>
        <w:pStyle w:val="NormalIndent"/>
        <w:ind w:firstLineChars="0"/>
        <w:rPr>
          <w:rFonts w:hint="eastAsia"/>
        </w:rPr>
      </w:pPr>
      <w:r>
        <w:rPr>
          <w:rFonts w:hint="eastAsia"/>
        </w:rPr>
        <w:t>1）培训方式应包括现场培训和集中培训，并应在进行培训之前向甲方提交一份详细的培训计划。</w:t>
      </w:r>
    </w:p>
    <w:p w:rsidR="00E82B5B" w:rsidP="00161A51">
      <w:pPr>
        <w:pStyle w:val="NormalIndent"/>
        <w:ind w:firstLineChars="0"/>
        <w:rPr>
          <w:rFonts w:hint="eastAsia"/>
        </w:rPr>
      </w:pPr>
      <w:r>
        <w:rPr>
          <w:rFonts w:hint="eastAsia"/>
        </w:rPr>
        <w:t>2）乙方应以培训目标的实现为目的组织培训，确保每一位系统使用人员能够独立、熟练地完成操作，保证系统用户能够独立处理软件系统故障和进行简单的功能调整。</w:t>
      </w:r>
    </w:p>
    <w:p w:rsidR="00E82B5B" w:rsidP="00161A51">
      <w:pPr>
        <w:pStyle w:val="NormalIndent"/>
        <w:ind w:firstLineChars="0"/>
        <w:rPr>
          <w:rFonts w:hint="eastAsia"/>
        </w:rPr>
      </w:pPr>
      <w:r>
        <w:rPr>
          <w:rFonts w:hint="eastAsia"/>
        </w:rPr>
        <w:t>3）集中培训地点由甲方根据本项目实际情况确定，确保培训次数不少于</w:t>
      </w:r>
      <w:r w:rsidR="00BA1E9E">
        <w:rPr>
          <w:rFonts w:hint="eastAsia"/>
        </w:rPr>
        <w:t>12课时，培训人数不低于10人</w:t>
      </w:r>
      <w:r>
        <w:rPr>
          <w:rFonts w:hint="eastAsia"/>
        </w:rPr>
        <w:t>，具体培训时间由甲方与乙方根据项目进展情况协商确定。</w:t>
      </w:r>
    </w:p>
    <w:p w:rsidR="00E82B5B" w:rsidP="00161A51">
      <w:pPr>
        <w:pStyle w:val="NormalIndent"/>
        <w:ind w:firstLineChars="0"/>
        <w:rPr>
          <w:rFonts w:hint="eastAsia"/>
        </w:rPr>
      </w:pPr>
      <w:r>
        <w:rPr>
          <w:rFonts w:hint="eastAsia"/>
        </w:rPr>
        <w:t>4）乙方负责为培训搭建所需的环境，并提供培训教材等相关用品。</w:t>
      </w:r>
    </w:p>
    <w:p w:rsidR="001D4711" w:rsidRPr="001D4711" w:rsidP="00161A51">
      <w:pPr>
        <w:pStyle w:val="NormalIndent"/>
        <w:ind w:firstLineChars="0"/>
        <w:rPr>
          <w:rFonts w:hint="eastAsia"/>
        </w:rPr>
      </w:pPr>
      <w:r w:rsidR="00E82B5B">
        <w:rPr>
          <w:rFonts w:hint="eastAsia"/>
        </w:rPr>
        <w:t>5）乙方人承担培训产生的食宿、场地、教师等一切费用。</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56" w:name="_Toc199166598"/>
      <w:r>
        <w:rPr>
          <w:rFonts w:hint="eastAsia"/>
        </w:rPr>
        <w:t>安全保密要求</w:t>
      </w:r>
      <w:bookmarkEnd w:id="356"/>
    </w:p>
    <w:p w:rsidR="00E82B5B" w:rsidP="00161A51">
      <w:pPr>
        <w:pStyle w:val="NormalIndent"/>
        <w:ind w:firstLine="480"/>
        <w:rPr>
          <w:rFonts w:hint="eastAsia"/>
        </w:rPr>
      </w:pPr>
      <w:r>
        <w:rPr>
          <w:rFonts w:hint="eastAsia"/>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供项目建设使用，乙方在项目执行过程中如发生气象数据丢失、转让或交易等行为，甲方将根据合同和相关法规要求乙方赔偿并追究法律责任。</w:t>
      </w:r>
    </w:p>
    <w:p w:rsidR="00E82B5B" w:rsidP="00161A51">
      <w:pPr>
        <w:pStyle w:val="NormalIndent"/>
        <w:ind w:firstLineChars="0"/>
      </w:pPr>
      <w:r>
        <w:rPr>
          <w:rFonts w:hint="eastAsia"/>
        </w:rPr>
        <w:t>乙方必须对项目技术文件以及由甲方提供的所有内部材料、技术文档和信息予以保密。乙方必须遵守与甲方签订的保密协议，未经甲方书面许可，乙方不得以任何形式向第三方透露本项目的任何内容。</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57" w:name="_Toc199166599"/>
      <w:r>
        <w:rPr>
          <w:rFonts w:hint="eastAsia"/>
        </w:rPr>
        <w:t>售后服务要求</w:t>
      </w:r>
      <w:bookmarkEnd w:id="357"/>
    </w:p>
    <w:p w:rsidR="00E82B5B" w:rsidP="00161A51">
      <w:pPr>
        <w:pStyle w:val="NormalIndent"/>
        <w:ind w:firstLineChars="0"/>
        <w:rPr>
          <w:rFonts w:hint="eastAsia"/>
        </w:rPr>
      </w:pPr>
      <w:r>
        <w:rPr>
          <w:rFonts w:hint="eastAsia"/>
        </w:rPr>
        <w:t>本项目要求乙方能够提供从系统终验之日起1年免费技术支持服务。</w:t>
      </w:r>
    </w:p>
    <w:p w:rsidR="00E82B5B" w:rsidP="00161A51">
      <w:pPr>
        <w:pStyle w:val="NormalIndent"/>
        <w:ind w:firstLineChars="0"/>
      </w:pPr>
      <w:r>
        <w:t>系统发生异常情况，在接到</w:t>
      </w:r>
      <w:r>
        <w:rPr>
          <w:rFonts w:hint="eastAsia"/>
        </w:rPr>
        <w:t>甲方</w:t>
      </w:r>
      <w:r>
        <w:t>的通知后，</w:t>
      </w:r>
      <w:r>
        <w:rPr>
          <w:rFonts w:hint="eastAsia"/>
        </w:rPr>
        <w:t>乙方</w:t>
      </w:r>
      <w:r>
        <w:t>技术人员应提供7*24小时的服务响应，</w:t>
      </w:r>
      <w:r>
        <w:rPr>
          <w:rFonts w:hint="eastAsia"/>
        </w:rPr>
        <w:t>随时进行</w:t>
      </w:r>
      <w:r>
        <w:t>电话应答；</w:t>
      </w:r>
      <w:r>
        <w:rPr>
          <w:rFonts w:hint="eastAsia"/>
        </w:rPr>
        <w:t>30分钟</w:t>
      </w:r>
      <w:r>
        <w:t>内完成远程登录诊断；在</w:t>
      </w:r>
      <w:r>
        <w:rPr>
          <w:rFonts w:hint="eastAsia"/>
        </w:rPr>
        <w:t>1</w:t>
      </w:r>
      <w:r>
        <w:t>小时内到达</w:t>
      </w:r>
      <w:r>
        <w:rPr>
          <w:rFonts w:hint="eastAsia"/>
        </w:rPr>
        <w:t>国家局</w:t>
      </w:r>
      <w:r>
        <w:t>现场解决疑难。</w:t>
      </w:r>
    </w:p>
    <w:p w:rsidR="00E82B5B" w:rsidP="00161A51">
      <w:pPr>
        <w:pStyle w:val="NormalIndent"/>
        <w:ind w:firstLineChars="0"/>
      </w:pPr>
      <w:r>
        <w:rPr>
          <w:rFonts w:hint="eastAsia"/>
        </w:rPr>
        <w:t>质量</w:t>
      </w:r>
      <w:r>
        <w:t>保证期后，</w:t>
      </w:r>
      <w:r>
        <w:rPr>
          <w:rFonts w:hint="eastAsia"/>
        </w:rPr>
        <w:t>乙方</w:t>
      </w:r>
      <w:r>
        <w:t>仍应根据合同要求向</w:t>
      </w:r>
      <w:r>
        <w:rPr>
          <w:rFonts w:hint="eastAsia"/>
        </w:rPr>
        <w:t>甲方</w:t>
      </w:r>
      <w:r>
        <w:t>提供技术服务，以合理价格提供软件功能改进技术服务。</w:t>
      </w:r>
    </w:p>
    <w:p w:rsidR="00E82B5B" w:rsidP="00161A51">
      <w:pPr>
        <w:pStyle w:val="NormalIndent"/>
        <w:ind w:firstLineChars="0"/>
        <w:rPr>
          <w:rFonts w:hint="eastAsia"/>
        </w:rPr>
      </w:pPr>
      <w:r>
        <w:rPr>
          <w:rFonts w:hint="eastAsia"/>
        </w:rPr>
        <w:t>质量</w:t>
      </w:r>
      <w:r>
        <w:t>保证期</w:t>
      </w:r>
      <w:r>
        <w:rPr>
          <w:rFonts w:hint="eastAsia"/>
        </w:rPr>
        <w:t>间</w:t>
      </w:r>
      <w:r>
        <w:t>的维护服务不收取任何额外费用，</w:t>
      </w:r>
      <w:r>
        <w:rPr>
          <w:rFonts w:hint="eastAsia"/>
        </w:rPr>
        <w:t>质量</w:t>
      </w:r>
      <w:r>
        <w:t>保证期后</w:t>
      </w:r>
      <w:r>
        <w:rPr>
          <w:rFonts w:hint="eastAsia"/>
        </w:rPr>
        <w:t>按合同约定进行维护。</w:t>
      </w:r>
    </w:p>
    <w:p w:rsidR="00E82B5B" w:rsidP="00161A51">
      <w:pPr>
        <w:pStyle w:val="Heading1"/>
        <w:keepNext/>
        <w:keepLines/>
        <w:widowControl w:val="0"/>
        <w:numPr>
          <w:ilvl w:val="0"/>
          <w:numId w:val="18"/>
        </w:numPr>
        <w:tabs>
          <w:tab w:val="left" w:pos="432"/>
        </w:tabs>
        <w:spacing w:before="100" w:beforeAutospacing="1" w:after="100" w:afterAutospacing="1" w:line="360" w:lineRule="auto"/>
        <w:ind w:left="0" w:firstLine="0"/>
        <w:jc w:val="both"/>
        <w:rPr>
          <w:rFonts w:hint="eastAsia"/>
        </w:rPr>
      </w:pPr>
      <w:bookmarkStart w:id="358" w:name="_Toc199166600"/>
      <w:r>
        <w:rPr>
          <w:rFonts w:hint="eastAsia"/>
        </w:rPr>
        <w:t>知识产权要求</w:t>
      </w:r>
      <w:bookmarkEnd w:id="358"/>
    </w:p>
    <w:p w:rsidR="00E82B5B" w:rsidP="00161A51">
      <w:pPr>
        <w:pStyle w:val="NormalIndent"/>
        <w:ind w:firstLineChars="0"/>
        <w:rPr>
          <w:rFonts w:hint="eastAsia"/>
        </w:rPr>
      </w:pPr>
      <w:r>
        <w:rPr>
          <w:rFonts w:hint="eastAsia"/>
        </w:rPr>
        <w:t>全部及/或任何部分的相关知识产权，包括相关权益，归甲方共有。乙方有不可争议的义务确保采购人依据本次采购所获得的知识产权不存在任何瑕疵并且可以不受限制地行使相关权利，包括各项延伸权利。若因此发生任何争议均应当由乙方独自承担全部及/或任何责任，包括但不限于应当承担其自身及采购方为排除任何争议或瑕疵所应当或所需支付的一切相关/或由此引起的费用。</w:t>
      </w:r>
    </w:p>
    <w:p w:rsidR="00E82B5B" w:rsidP="00161A51">
      <w:pPr>
        <w:pStyle w:val="NormalIndent"/>
        <w:ind w:firstLineChars="0"/>
        <w:rPr>
          <w:rFonts w:hint="eastAsia"/>
        </w:rPr>
      </w:pPr>
      <w:r>
        <w:rPr>
          <w:rFonts w:hint="eastAsia"/>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支付的一切相关及/或由此引起的费用。</w:t>
      </w:r>
    </w:p>
    <w:p w:rsidR="00E82B5B" w:rsidP="00161A51">
      <w:pPr>
        <w:pStyle w:val="NormalIndent"/>
        <w:ind w:firstLineChars="0"/>
        <w:rPr>
          <w:rFonts w:hint="eastAsia"/>
        </w:rPr>
      </w:pPr>
      <w:r>
        <w:rPr>
          <w:rFonts w:hint="eastAsia"/>
        </w:rPr>
        <w:t>为甲方提供与本项目设计、开发和集成有关的各类技术咨询服务。</w:t>
      </w:r>
    </w:p>
    <w:p w:rsidR="00E82B5B" w:rsidP="00161A51">
      <w:pPr>
        <w:pStyle w:val="NormalIndent"/>
        <w:ind w:firstLineChars="0"/>
        <w:rPr>
          <w:rFonts w:hint="eastAsia"/>
        </w:rPr>
      </w:pPr>
      <w:r>
        <w:rPr>
          <w:rFonts w:hint="eastAsia"/>
        </w:rPr>
        <w:t>协助甲方预见本项目设计、开发和系统集成工作中和项目其他建设工作中可能发生的问题和困难，并向甲方提出解决的办法或建议。</w:t>
      </w:r>
    </w:p>
    <w:p w:rsidR="00E82B5B" w:rsidP="00161A51">
      <w:pPr>
        <w:pStyle w:val="NormalIndent"/>
        <w:ind w:firstLineChars="0"/>
        <w:rPr>
          <w:rFonts w:hint="eastAsia"/>
        </w:rPr>
      </w:pPr>
      <w:r>
        <w:rPr>
          <w:rFonts w:hint="eastAsia"/>
        </w:rPr>
        <w:t>在系统的运行维护阶段提供技术支持。对运行过程中出现的新问题提供建议和解决方案。</w:t>
      </w:r>
    </w:p>
    <w:p w:rsidR="00E82B5B" w:rsidP="00161A51">
      <w:pPr>
        <w:pStyle w:val="NormalIndent"/>
        <w:ind w:firstLineChars="0"/>
        <w:rPr>
          <w:rFonts w:hint="eastAsia"/>
        </w:rPr>
      </w:pPr>
      <w:r>
        <w:rPr>
          <w:rFonts w:hint="eastAsia"/>
        </w:rPr>
        <w:t>提供其他与项目相关的服务。</w:t>
      </w:r>
    </w:p>
    <w:p w:rsidR="00E82B5B" w:rsidP="00161A51">
      <w:pPr>
        <w:pStyle w:val="NormalIndent"/>
        <w:ind w:firstLineChars="0"/>
        <w:rPr>
          <w:rFonts w:hint="eastAsia"/>
        </w:rPr>
      </w:pPr>
      <w:r>
        <w:rPr>
          <w:rFonts w:hint="eastAsia"/>
        </w:rPr>
        <w:t>积极协助配合甲方开展与项目有关的工作。</w:t>
      </w:r>
    </w:p>
    <w:p w:rsidR="00E82B5B" w:rsidP="00161A51">
      <w:pPr>
        <w:pStyle w:val="NormalIndent"/>
        <w:ind w:firstLineChars="0"/>
      </w:pPr>
      <w:r>
        <w:rPr>
          <w:rFonts w:hint="eastAsia"/>
        </w:rPr>
        <w:t>技术支持工作需要及时、有效，充分满足项目建设的需求。</w:t>
      </w:r>
      <w:bookmarkEnd w:id="67"/>
      <w:bookmarkEnd w:id="68"/>
    </w:p>
    <w:p w:rsidR="00A77B3E"/>
    <w:p w:rsidR="00E82B5B" w:rsidP="00161A51">
      <w:pPr>
        <w:rPr>
          <w:rFonts w:hint="eastAsia"/>
          <w:lang w:val="zh-CN"/>
        </w:rPr>
        <w:sectPr w:rsidSect="00E64CF9">
          <w:footerReference w:type="default" r:id="rId6"/>
          <w:pgSz w:w="11906" w:h="16838"/>
          <w:pgMar w:top="1440" w:right="1474" w:bottom="1440" w:left="2041" w:header="851" w:footer="992" w:gutter="0"/>
          <w:pgNumType w:start="0"/>
          <w:cols w:space="720"/>
          <w:titlePg/>
          <w:docGrid w:linePitch="326"/>
        </w:sectPr>
      </w:pPr>
      <w:bookmarkEnd w:id="57"/>
    </w:p>
    <w:p w14:paraId="24E5547E">
      <w:pPr>
        <w:spacing w:before="156" w:beforeLines="50" w:line="360" w:lineRule="auto"/>
        <w:jc w:val="center"/>
        <w:outlineLvl w:val="1"/>
        <w:rPr>
          <w:rFonts w:ascii="宋体" w:hAnsi="宋体"/>
          <w:b/>
          <w:sz w:val="30"/>
          <w:szCs w:val="30"/>
          <w:highlight w:val="none"/>
        </w:rPr>
      </w:pPr>
      <w:bookmarkStart w:id="359" w:name="投标被拒绝条款专用部分_JJTK"/>
      <w:r>
        <w:rPr>
          <w:rFonts w:ascii="宋体" w:hAnsi="宋体" w:cs="Times New Roman" w:hint="eastAsia"/>
          <w:b/>
          <w:sz w:val="30"/>
          <w:szCs w:val="30"/>
          <w:highlight w:val="none"/>
        </w:rPr>
        <w:t>第八章  投标被拒绝条款专用部分</w:t>
      </w:r>
    </w:p>
    <w:p w14:paraId="5DB778D0">
      <w:pPr>
        <w:adjustRightInd w:val="0"/>
        <w:snapToGrid w:val="0"/>
        <w:spacing w:before="156" w:beforeLines="50" w:line="360" w:lineRule="auto"/>
        <w:rPr>
          <w:rFonts w:ascii="宋体" w:hAnsi="宋体"/>
          <w:szCs w:val="21"/>
          <w:highlight w:val="none"/>
        </w:rPr>
      </w:pPr>
    </w:p>
    <w:p w14:paraId="5AFD06B0">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8790D3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7BB0F8EF">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14:paraId="016AC386">
            <w:pPr>
              <w:jc w:val="center"/>
              <w:rPr>
                <w:sz w:val="18"/>
                <w:szCs w:val="18"/>
                <w:highlight w:val="none"/>
              </w:rPr>
            </w:pPr>
            <w:r>
              <w:rPr>
                <w:rFonts w:ascii="Times New Roman" w:hAnsi="Times New Roman" w:cs="Times New Roman" w:hint="eastAsia"/>
                <w:sz w:val="18"/>
                <w:szCs w:val="18"/>
                <w:highlight w:val="none"/>
              </w:rPr>
              <w:t>对应</w:t>
            </w:r>
          </w:p>
          <w:p w14:paraId="704C8567">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14:paraId="5E42B40C">
            <w:pPr>
              <w:jc w:val="center"/>
              <w:rPr>
                <w:sz w:val="18"/>
                <w:szCs w:val="18"/>
                <w:highlight w:val="none"/>
              </w:rPr>
            </w:pPr>
            <w:r>
              <w:rPr>
                <w:rFonts w:ascii="Times New Roman" w:hAnsi="Times New Roman" w:cs="Times New Roman" w:hint="eastAsia"/>
                <w:sz w:val="18"/>
                <w:szCs w:val="18"/>
                <w:highlight w:val="none"/>
              </w:rPr>
              <w:t>内 容</w:t>
            </w:r>
          </w:p>
        </w:tc>
      </w:tr>
      <w:tr w14:paraId="681E4763">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3122A6DF">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14:paraId="102CCB54">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7CAC594C">
            <w:pPr>
              <w:numPr>
                <w:ilvl w:val="0"/>
                <w:numId w:val="6"/>
              </w:numPr>
              <w:rPr>
                <w:rFonts w:ascii="宋体" w:hAnsi="宋体"/>
                <w:sz w:val="18"/>
                <w:szCs w:val="18"/>
                <w:highlight w:val="none"/>
              </w:rPr>
            </w:pPr>
          </w:p>
        </w:tc>
        <w:tc>
          <w:tcPr>
            <w:tcW w:w="898" w:type="dxa"/>
            <w:noWrap w:val="0"/>
            <w:vAlign w:val="center"/>
          </w:tcPr>
          <w:p w14:paraId="34358777">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14:paraId="4E053F4C">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14:paraId="3DD881D5">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F190BF2">
            <w:pPr>
              <w:numPr>
                <w:ilvl w:val="0"/>
                <w:numId w:val="6"/>
              </w:numPr>
              <w:rPr>
                <w:rFonts w:ascii="宋体" w:hAnsi="宋体"/>
                <w:sz w:val="18"/>
                <w:szCs w:val="18"/>
                <w:highlight w:val="none"/>
              </w:rPr>
            </w:pPr>
          </w:p>
        </w:tc>
        <w:tc>
          <w:tcPr>
            <w:tcW w:w="898" w:type="dxa"/>
            <w:noWrap w:val="0"/>
            <w:vAlign w:val="center"/>
          </w:tcPr>
          <w:p w14:paraId="73244436">
            <w:pPr>
              <w:jc w:val="center"/>
              <w:rPr>
                <w:rFonts w:ascii="宋体" w:hAnsi="宋体"/>
                <w:sz w:val="18"/>
                <w:szCs w:val="18"/>
                <w:highlight w:val="none"/>
              </w:rPr>
            </w:pPr>
          </w:p>
        </w:tc>
        <w:tc>
          <w:tcPr>
            <w:tcW w:w="7347" w:type="dxa"/>
            <w:noWrap w:val="0"/>
            <w:vAlign w:val="center"/>
          </w:tcPr>
          <w:p w14:paraId="627BA65C">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04F7D90A">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3118C2F6">
            <w:pPr>
              <w:jc w:val="center"/>
              <w:rPr>
                <w:sz w:val="18"/>
                <w:szCs w:val="18"/>
                <w:highlight w:val="none"/>
              </w:rPr>
            </w:pPr>
            <w:r>
              <w:rPr>
                <w:rFonts w:ascii="Times New Roman" w:hAnsi="Times New Roman" w:cs="Times New Roman" w:hint="eastAsia"/>
                <w:b/>
                <w:sz w:val="18"/>
                <w:szCs w:val="18"/>
                <w:highlight w:val="none"/>
              </w:rPr>
              <w:t>第七章  采购需求</w:t>
            </w:r>
          </w:p>
        </w:tc>
      </w:tr>
      <w:tr w14:paraId="08AA54EC">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3338927F">
            <w:pPr>
              <w:numPr>
                <w:ilvl w:val="0"/>
                <w:numId w:val="6"/>
              </w:numPr>
              <w:rPr>
                <w:rFonts w:ascii="宋体" w:hAnsi="宋体"/>
                <w:sz w:val="18"/>
                <w:szCs w:val="18"/>
                <w:highlight w:val="none"/>
              </w:rPr>
            </w:pPr>
          </w:p>
        </w:tc>
        <w:tc>
          <w:tcPr>
            <w:tcW w:w="898" w:type="dxa"/>
            <w:noWrap w:val="0"/>
            <w:vAlign w:val="center"/>
          </w:tcPr>
          <w:p w14:paraId="10CD488F">
            <w:pPr>
              <w:jc w:val="center"/>
              <w:rPr>
                <w:rFonts w:ascii="宋体" w:hAnsi="宋体"/>
                <w:sz w:val="18"/>
                <w:szCs w:val="18"/>
                <w:highlight w:val="none"/>
              </w:rPr>
            </w:pPr>
          </w:p>
        </w:tc>
        <w:tc>
          <w:tcPr>
            <w:tcW w:w="7347" w:type="dxa"/>
            <w:noWrap w:val="0"/>
            <w:vAlign w:val="center"/>
          </w:tcPr>
          <w:p w14:paraId="44EC6DF9">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14:paraId="0FC6B9CC">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14:paraId="564B7DD1">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359"/>
    </w:p>
    <w:p w:rsidR="00BF1E87">
      <w:pPr>
        <w:spacing w:line="360" w:lineRule="auto"/>
        <w:jc w:val="center"/>
        <w:outlineLvl w:val="0"/>
        <w:rPr>
          <w:b/>
          <w:sz w:val="48"/>
          <w:szCs w:val="36"/>
        </w:rPr>
      </w:pPr>
      <w:r>
        <w:rPr>
          <w:rFonts w:hint="eastAsia"/>
          <w:b/>
          <w:sz w:val="48"/>
          <w:szCs w:val="36"/>
        </w:rPr>
        <w:t>第三分册：采购合同</w:t>
      </w:r>
    </w:p>
    <w:p w:rsidR="00BF1E87">
      <w:pPr>
        <w:spacing w:line="360" w:lineRule="auto"/>
        <w:rPr>
          <w:b/>
          <w:bCs/>
          <w:sz w:val="28"/>
          <w:szCs w:val="28"/>
        </w:rPr>
      </w:pPr>
    </w:p>
    <w:p w:rsidR="001C796E" w:rsidP="00330FEF">
      <w:pPr>
        <w:spacing w:line="360" w:lineRule="auto"/>
        <w:ind w:firstLine="3066" w:firstLineChars="1460"/>
        <w:jc w:val="left"/>
        <w:rPr>
          <w:rFonts w:ascii="Times New Roman" w:eastAsia="宋体" w:hAnsi="Times New Roman" w:cs="Times New Roman"/>
          <w:b/>
          <w:bCs/>
          <w:szCs w:val="21"/>
        </w:rPr>
      </w:pPr>
      <w:bookmarkStart w:id="360"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1C796E" w:rsidP="00330FEF">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1C796E">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1C796E">
      <w:pPr>
        <w:rPr>
          <w:rFonts w:ascii="宋体" w:eastAsia="宋体" w:hAnsi="宋体" w:cs="宋体"/>
          <w:b/>
          <w:bCs/>
          <w:spacing w:val="-20"/>
          <w:kern w:val="44"/>
          <w:sz w:val="40"/>
          <w:szCs w:val="40"/>
        </w:rPr>
      </w:pPr>
    </w:p>
    <w:p w:rsidR="001C796E">
      <w:pPr>
        <w:rPr>
          <w:rFonts w:ascii="宋体" w:eastAsia="宋体" w:hAnsi="宋体" w:cs="宋体"/>
          <w:b/>
          <w:bCs/>
          <w:spacing w:val="-20"/>
          <w:kern w:val="44"/>
          <w:sz w:val="40"/>
          <w:szCs w:val="40"/>
        </w:rPr>
      </w:pPr>
    </w:p>
    <w:p w:rsidR="001C796E">
      <w:pPr>
        <w:rPr>
          <w:rFonts w:ascii="宋体" w:eastAsia="宋体" w:hAnsi="宋体" w:cs="宋体"/>
          <w:b/>
          <w:bCs/>
          <w:spacing w:val="-20"/>
          <w:kern w:val="44"/>
          <w:sz w:val="40"/>
          <w:szCs w:val="40"/>
        </w:rPr>
      </w:pPr>
    </w:p>
    <w:p w:rsidR="001C796E">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1C796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1C796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C796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C796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1C796E">
      <w:pPr>
        <w:rPr>
          <w:rFonts w:ascii="Times New Roman" w:eastAsia="宋体" w:hAnsi="Times New Roman" w:cs="Times New Roman"/>
          <w:szCs w:val="20"/>
        </w:rPr>
      </w:pPr>
    </w:p>
    <w:p w:rsidR="001C79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1C796E">
      <w:pPr>
        <w:rPr>
          <w:rFonts w:ascii="Times New Roman" w:eastAsia="黑体" w:hAnsi="Times New Roman" w:cs="Times New Roman"/>
          <w:sz w:val="44"/>
          <w:szCs w:val="44"/>
        </w:rPr>
      </w:pPr>
    </w:p>
    <w:p w:rsidR="001C796E">
      <w:pPr>
        <w:rPr>
          <w:rFonts w:ascii="Times New Roman" w:eastAsia="黑体" w:hAnsi="Times New Roman" w:cs="Times New Roman"/>
          <w:sz w:val="44"/>
          <w:szCs w:val="44"/>
        </w:rPr>
      </w:pPr>
    </w:p>
    <w:p w:rsidR="001C796E">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1C796E">
      <w:pPr>
        <w:ind w:firstLine="640" w:firstLineChars="200"/>
        <w:rPr>
          <w:rFonts w:ascii="仿宋_GB2312" w:eastAsia="仿宋_GB2312" w:hAnsi="仿宋_GB2312" w:cs="仿宋_GB2312"/>
          <w:sz w:val="32"/>
          <w:szCs w:val="32"/>
        </w:rPr>
      </w:pPr>
    </w:p>
    <w:p w:rsidR="001C796E">
      <w:pPr>
        <w:numPr>
          <w:ilvl w:val="0"/>
          <w:numId w:val="2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1C796E">
      <w:pPr>
        <w:numPr>
          <w:ilvl w:val="0"/>
          <w:numId w:val="2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1C796E">
      <w:pPr>
        <w:numPr>
          <w:ilvl w:val="0"/>
          <w:numId w:val="2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1C796E">
      <w:pPr>
        <w:widowControl/>
        <w:jc w:val="left"/>
        <w:rPr>
          <w:rFonts w:ascii="宋体" w:eastAsia="宋体" w:hAnsi="宋体" w:cs="Times New Roman"/>
          <w:szCs w:val="21"/>
        </w:rPr>
      </w:pPr>
      <w:r>
        <w:rPr>
          <w:rFonts w:ascii="宋体" w:eastAsia="宋体" w:hAnsi="宋体" w:cs="Times New Roman"/>
          <w:szCs w:val="21"/>
        </w:rPr>
        <w:br w:type="page"/>
      </w:r>
    </w:p>
    <w:p w:rsidR="001C796E">
      <w:pPr>
        <w:snapToGrid w:val="0"/>
        <w:spacing w:line="360" w:lineRule="auto"/>
        <w:ind w:firstLine="420"/>
        <w:rPr>
          <w:rFonts w:ascii="宋体" w:eastAsia="宋体" w:hAnsi="宋体" w:cs="Times New Roman"/>
          <w:szCs w:val="21"/>
        </w:rPr>
      </w:pPr>
    </w:p>
    <w:p w:rsidR="001C796E">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1C796E">
      <w:pPr>
        <w:snapToGrid w:val="0"/>
        <w:spacing w:line="360" w:lineRule="auto"/>
        <w:ind w:firstLine="420"/>
        <w:jc w:val="center"/>
        <w:rPr>
          <w:rFonts w:ascii="宋体" w:eastAsia="宋体" w:hAnsi="宋体" w:cs="Times New Roman"/>
          <w:szCs w:val="21"/>
        </w:rPr>
      </w:pPr>
    </w:p>
    <w:p w:rsidR="001C796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1C796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1C796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1C796E" w:rsidP="00330FEF">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1C796E">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1C796E">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1C796E">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1C796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1C796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1C796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1C796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1C796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1C796E">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C796E">
            <w:pPr>
              <w:tabs>
                <w:tab w:val="left" w:pos="1573"/>
              </w:tabs>
              <w:autoSpaceDE w:val="0"/>
              <w:autoSpaceDN w:val="0"/>
              <w:adjustRightInd w:val="0"/>
              <w:snapToGrid w:val="0"/>
              <w:spacing w:line="360" w:lineRule="auto"/>
              <w:rPr>
                <w:rFonts w:ascii="宋体" w:eastAsia="宋体" w:hAnsi="宋体" w:cs="Times New Roman"/>
                <w:szCs w:val="21"/>
              </w:rPr>
            </w:pPr>
          </w:p>
        </w:tc>
      </w:tr>
    </w:tbl>
    <w:p w:rsidR="001C796E" w:rsidP="00330FE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330FEF">
        <w:rPr>
          <w:rFonts w:ascii="宋体" w:eastAsia="宋体" w:hAnsi="宋体" w:cs="Times New Roman" w:hint="eastAsia"/>
          <w:szCs w:val="21"/>
        </w:rPr>
        <w:t>90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1C796E">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3</w:t>
      </w:r>
      <w:r>
        <w:rPr>
          <w:rFonts w:ascii="宋体" w:eastAsia="宋体" w:hAnsi="宋体" w:cs="Times New Roman" w:hint="eastAsia"/>
          <w:szCs w:val="21"/>
        </w:rPr>
        <w:t>、</w:t>
      </w:r>
      <w:r>
        <w:rPr>
          <w:rFonts w:ascii="宋体" w:eastAsia="宋体" w:hAnsi="宋体" w:cs="Times New Roman" w:hint="eastAsia"/>
          <w:szCs w:val="21"/>
        </w:rPr>
        <w:t>保修期满后付款：保修期满期满后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330FEF">
        <w:rPr>
          <w:rFonts w:ascii="宋体" w:eastAsia="宋体" w:hAnsi="宋体" w:cs="微软雅黑" w:hint="eastAsia"/>
          <w:b/>
          <w:color w:val="0000FF"/>
          <w:kern w:val="0"/>
          <w:szCs w:val="21"/>
        </w:rPr>
        <w:t>10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1C796E">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1C796E">
      <w:pPr>
        <w:tabs>
          <w:tab w:val="left" w:pos="1573"/>
        </w:tabs>
        <w:adjustRightInd w:val="0"/>
        <w:snapToGrid w:val="0"/>
        <w:spacing w:line="360" w:lineRule="auto"/>
        <w:ind w:firstLine="412" w:firstLineChars="196"/>
        <w:jc w:val="left"/>
        <w:rPr>
          <w:rFonts w:ascii="宋体" w:eastAsia="宋体" w:hAnsi="宋体" w:cs="Times New Roman"/>
          <w:szCs w:val="28"/>
        </w:rPr>
      </w:pP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1C796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1C796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1C796E">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1C796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1C796E">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1C796E">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w:t>
      </w:r>
      <w:r>
        <w:rPr>
          <w:rFonts w:ascii="宋体" w:eastAsia="宋体" w:hAnsi="宋体" w:cs="Times New Roman" w:hint="eastAsia"/>
          <w:szCs w:val="20"/>
        </w:rPr>
        <w:t>研</w:t>
      </w:r>
      <w:r>
        <w:rPr>
          <w:rFonts w:ascii="宋体" w:eastAsia="宋体" w:hAnsi="宋体" w:cs="Times New Roman" w:hint="eastAsia"/>
          <w:szCs w:val="20"/>
        </w:rPr>
        <w:t>判，明确管控责任，</w:t>
      </w:r>
      <w:r>
        <w:rPr>
          <w:rFonts w:ascii="宋体" w:eastAsia="宋体" w:hAnsi="宋体" w:cs="Times New Roman" w:hint="eastAsia"/>
          <w:szCs w:val="20"/>
        </w:rPr>
        <w:t>提出有针对性的处置措施和替代方案。如本项目不属于上述项目，“八、风险管理”可省略）</w:t>
      </w: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1C796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1C796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1C796E" w:rsidP="00330FE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C796E">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C796E">
      <w:pPr>
        <w:tabs>
          <w:tab w:val="left" w:pos="1573"/>
        </w:tabs>
        <w:adjustRightInd w:val="0"/>
        <w:snapToGrid w:val="0"/>
        <w:ind w:firstLine="315" w:firstLineChars="150"/>
        <w:jc w:val="left"/>
        <w:rPr>
          <w:rFonts w:ascii="宋体" w:eastAsia="宋体" w:hAnsi="宋体" w:cs="Times New Roman"/>
          <w:szCs w:val="21"/>
          <w:u w:val="single"/>
        </w:rPr>
      </w:pP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C796E">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C796E">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C796E" w:rsidP="00330FEF">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1C796E" w:rsidP="00330FE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1C796E">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1C796E" w:rsidP="00330FEF">
      <w:pPr>
        <w:tabs>
          <w:tab w:val="left" w:pos="1573"/>
        </w:tabs>
        <w:adjustRightInd w:val="0"/>
        <w:snapToGrid w:val="0"/>
        <w:spacing w:line="360" w:lineRule="auto"/>
        <w:ind w:firstLine="420" w:firstLineChars="200"/>
        <w:jc w:val="left"/>
        <w:rPr>
          <w:rFonts w:ascii="宋体" w:eastAsia="宋体" w:hAnsi="宋体" w:cs="Times New Roman"/>
          <w:b/>
          <w:szCs w:val="28"/>
        </w:rPr>
      </w:pPr>
    </w:p>
    <w:p w:rsidR="001C796E" w:rsidP="00330FE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1C79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1C796E" w:rsidP="00330FEF">
      <w:pPr>
        <w:tabs>
          <w:tab w:val="left" w:pos="1573"/>
        </w:tabs>
        <w:adjustRightInd w:val="0"/>
        <w:snapToGrid w:val="0"/>
        <w:spacing w:line="360" w:lineRule="auto"/>
        <w:ind w:firstLine="412" w:firstLineChars="196"/>
        <w:jc w:val="left"/>
        <w:rPr>
          <w:rFonts w:ascii="宋体" w:eastAsia="宋体" w:hAnsi="宋体" w:cs="Times New Roman"/>
          <w:b/>
          <w:szCs w:val="28"/>
        </w:rPr>
      </w:pPr>
    </w:p>
    <w:p w:rsidR="001C796E" w:rsidP="00330FEF">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1C796E" w:rsidP="00330FEF">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1C796E" w:rsidP="00330FEF">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1C796E" w:rsidP="00330FEF">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1C796E" w:rsidP="00330FEF">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 xml:space="preserve">                             </w:t>
      </w:r>
      <w:r>
        <w:rPr>
          <w:rFonts w:ascii="宋体" w:eastAsia="宋体" w:hAnsi="宋体" w:cs="Times New Roman" w:hint="eastAsia"/>
          <w:b/>
          <w:szCs w:val="21"/>
        </w:rPr>
        <w:t>签约日期：</w:t>
      </w:r>
    </w:p>
    <w:p w:rsidR="001C796E">
      <w:pPr>
        <w:widowControl/>
        <w:jc w:val="left"/>
        <w:rPr>
          <w:rFonts w:ascii="宋体" w:eastAsia="宋体" w:hAnsi="宋体" w:cs="Times New Roman"/>
          <w:b/>
          <w:szCs w:val="21"/>
        </w:rPr>
      </w:pPr>
      <w:r>
        <w:rPr>
          <w:rFonts w:ascii="宋体" w:eastAsia="宋体" w:hAnsi="宋体" w:cs="Times New Roman"/>
          <w:b/>
          <w:szCs w:val="21"/>
        </w:rPr>
        <w:br w:type="page"/>
      </w:r>
    </w:p>
    <w:p w:rsidR="001C796E">
      <w:pPr>
        <w:spacing w:line="360" w:lineRule="auto"/>
        <w:jc w:val="left"/>
        <w:rPr>
          <w:rFonts w:ascii="Times New Roman" w:eastAsia="宋体" w:hAnsi="Times New Roman" w:cs="Times New Roman"/>
          <w:b/>
          <w:bCs/>
          <w:sz w:val="44"/>
          <w:szCs w:val="44"/>
        </w:rPr>
      </w:pPr>
    </w:p>
    <w:p w:rsidR="001C796E">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1C796E">
      <w:pPr>
        <w:tabs>
          <w:tab w:val="left" w:pos="1573"/>
        </w:tabs>
        <w:snapToGrid w:val="0"/>
        <w:spacing w:line="360" w:lineRule="auto"/>
        <w:jc w:val="center"/>
        <w:rPr>
          <w:rFonts w:ascii="宋体" w:eastAsia="宋体" w:hAnsi="宋体" w:cs="Times New Roman"/>
          <w:szCs w:val="21"/>
        </w:rPr>
      </w:pPr>
    </w:p>
    <w:p w:rsidR="001C796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1C796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1C796E">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、“第三人”是指本合同双方以外的任何中国境内、外的自然人、法人或其他经济组织。</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w:t>
      </w:r>
      <w:r>
        <w:rPr>
          <w:rFonts w:ascii="宋体" w:eastAsia="宋体" w:hAnsi="宋体" w:cs="Times New Roman" w:hint="eastAsia"/>
          <w:szCs w:val="21"/>
        </w:rPr>
        <w:t>的要求编制和投递，并最终被采购中心接受的投标文件。</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1C796E">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w:t>
      </w:r>
      <w:r>
        <w:rPr>
          <w:rFonts w:ascii="宋体" w:eastAsia="宋体" w:hAnsi="宋体" w:cs="Times New Roman" w:hint="eastAsia"/>
          <w:szCs w:val="21"/>
        </w:rPr>
        <w:t>的一切费用均以人民币结算及支付。</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1C796E">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1C796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1C796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1C796E">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w:t>
      </w:r>
      <w:r>
        <w:rPr>
          <w:rFonts w:ascii="宋体" w:eastAsia="宋体" w:hAnsi="宋体" w:cs="Times New Roman" w:hint="eastAsia"/>
          <w:szCs w:val="21"/>
        </w:rPr>
        <w:t>。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1C796E">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w:t>
      </w:r>
      <w:r>
        <w:rPr>
          <w:rFonts w:ascii="宋体" w:eastAsia="宋体" w:hAnsi="宋体" w:cs="Times New Roman" w:hint="eastAsia"/>
          <w:szCs w:val="21"/>
        </w:rPr>
        <w:t>据本合同不应被合理的推论为其已经同意转移的版权、专利、商业秘密、商标或其他知识产权的所有权。</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、符合法律规定及当事人约定的原则：任何相关事项均应当符合法律规定，及应当符合当事人约定。</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w:t>
      </w:r>
      <w:r>
        <w:rPr>
          <w:rFonts w:ascii="宋体" w:eastAsia="宋体" w:hAnsi="宋体" w:cs="Times New Roman" w:hint="eastAsia"/>
          <w:szCs w:val="21"/>
        </w:rPr>
        <w:t>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w:t>
      </w:r>
      <w:r>
        <w:rPr>
          <w:rFonts w:ascii="宋体" w:eastAsia="宋体" w:hAnsi="宋体" w:cs="Times New Roman" w:hint="eastAsia"/>
          <w:szCs w:val="21"/>
        </w:rPr>
        <w:t>权、专利、商业秘密、商标和其他知识产权以及所有权和其他权益。</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1C796E" w:rsidP="00330FEF">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w:t>
      </w:r>
      <w:r>
        <w:rPr>
          <w:rFonts w:ascii="宋体" w:eastAsia="宋体" w:hAnsi="宋体" w:cs="Times New Roman" w:hint="eastAsia"/>
          <w:szCs w:val="21"/>
        </w:rPr>
        <w:t>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1C796E">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w:t>
      </w:r>
      <w:r>
        <w:rPr>
          <w:rFonts w:ascii="宋体" w:eastAsia="宋体" w:hAnsi="宋体" w:cs="Times New Roman" w:hint="eastAsia"/>
          <w:szCs w:val="21"/>
        </w:rPr>
        <w:t>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w:t>
      </w:r>
      <w:r>
        <w:rPr>
          <w:rFonts w:ascii="宋体" w:eastAsia="宋体" w:hAnsi="宋体" w:cs="Times New Roman" w:hint="eastAsia"/>
          <w:szCs w:val="21"/>
        </w:rPr>
        <w:t>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w:t>
      </w:r>
      <w:r>
        <w:rPr>
          <w:rFonts w:ascii="宋体" w:eastAsia="宋体" w:hAnsi="宋体" w:cs="Times New Roman" w:hint="eastAsia"/>
          <w:szCs w:val="21"/>
        </w:rPr>
        <w:t>，甲方有权对因此造成的损失追究责任；构成犯罪的，由司法机关追究其刑事责任：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1C796E" w:rsidP="00330FE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1C796E" w:rsidP="00330FE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1C796E" w:rsidP="00330FE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w:t>
      </w:r>
      <w:r>
        <w:rPr>
          <w:rFonts w:ascii="宋体" w:eastAsia="宋体" w:hAnsi="宋体" w:cs="Times New Roman" w:hint="eastAsia"/>
          <w:szCs w:val="21"/>
        </w:rPr>
        <w:t>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1C796E">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代理商等均已清楚本次政府采购招标中的政府或其部门、采购中</w:t>
      </w:r>
      <w:r>
        <w:rPr>
          <w:rFonts w:ascii="宋体" w:eastAsia="宋体" w:hAnsi="宋体" w:cs="Times New Roman" w:hint="eastAsia"/>
          <w:szCs w:val="21"/>
        </w:rPr>
        <w:t>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w:t>
      </w:r>
      <w:r>
        <w:rPr>
          <w:rFonts w:ascii="宋体" w:eastAsia="宋体" w:hAnsi="宋体" w:cs="Times New Roman" w:hint="eastAsia"/>
          <w:szCs w:val="21"/>
        </w:rPr>
        <w:t>、动乱、瘟疫、严重火灾、洪水、地震、风暴或其他自然灾害，以及本合同各方不可预见、不可防止并不能避免或克服的一切其他因素及事件。</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w:t>
      </w:r>
      <w:r>
        <w:rPr>
          <w:rFonts w:ascii="宋体" w:eastAsia="宋体" w:hAnsi="宋体" w:cs="Times New Roman" w:hint="eastAsia"/>
          <w:szCs w:val="21"/>
        </w:rPr>
        <w:t>为送达；如果以传真方式发送，发件人在收到传真报告后视为送达；如果采用电话或电子邮件的方式，则应在发送后由对方以书面方式予以确认。</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w:t>
      </w:r>
      <w:r>
        <w:rPr>
          <w:rFonts w:ascii="宋体" w:eastAsia="宋体" w:hAnsi="宋体" w:cs="Times New Roman" w:hint="eastAsia"/>
          <w:szCs w:val="21"/>
        </w:rPr>
        <w:t>密负有保密义务。</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中标人已经泄露或公开的，无须再承担保密责任。</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w:t>
      </w:r>
      <w:r>
        <w:rPr>
          <w:rFonts w:ascii="宋体" w:eastAsia="宋体" w:hAnsi="宋体" w:cs="Times New Roman" w:hint="eastAsia"/>
          <w:szCs w:val="21"/>
        </w:rPr>
        <w:t>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w:t>
      </w:r>
      <w:r>
        <w:rPr>
          <w:rFonts w:ascii="宋体" w:eastAsia="宋体" w:hAnsi="宋体" w:cs="Times New Roman" w:hint="eastAsia"/>
          <w:szCs w:val="21"/>
        </w:rPr>
        <w:t>本合同因下列原因而终止：</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w:t>
      </w:r>
      <w:r>
        <w:rPr>
          <w:rFonts w:ascii="宋体" w:eastAsia="宋体" w:hAnsi="宋体" w:cs="Times New Roman" w:hint="eastAsia"/>
          <w:szCs w:val="21"/>
        </w:rPr>
        <w:t>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w:t>
      </w:r>
      <w:r>
        <w:rPr>
          <w:rFonts w:ascii="宋体" w:eastAsia="宋体" w:hAnsi="宋体" w:cs="Times New Roman" w:hint="eastAsia"/>
          <w:szCs w:val="21"/>
        </w:rPr>
        <w:t>败诉方承担。</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1C796E">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w:t>
      </w:r>
      <w:r>
        <w:rPr>
          <w:rFonts w:ascii="宋体" w:eastAsia="宋体" w:hAnsi="宋体" w:cs="Times New Roman" w:hint="eastAsia"/>
          <w:szCs w:val="21"/>
        </w:rPr>
        <w:t>和变化以及对合同条款的影响等。</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w:t>
      </w:r>
      <w:r>
        <w:rPr>
          <w:rFonts w:ascii="宋体" w:eastAsia="宋体" w:hAnsi="宋体" w:cs="Times New Roman" w:hint="eastAsia"/>
          <w:szCs w:val="21"/>
        </w:rPr>
        <w:t>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1C796E">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1C79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1C796E" w:rsidP="00330FE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1C796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w:t>
      </w:r>
      <w:r>
        <w:rPr>
          <w:rFonts w:ascii="宋体" w:eastAsia="宋体" w:hAnsi="宋体" w:cs="Times New Roman" w:hint="eastAsia"/>
          <w:szCs w:val="21"/>
        </w:rPr>
        <w:t>服务委托等须事先取得采购人书面同意并且须遵守相关法律、法规；有关联合投标须在本次招标允许的情况下并须符合本次招标的全部规定。</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1C79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、本合同涉及的招标文件和投标文件，正本由中国气象局政府采购中心保存。</w:t>
      </w:r>
    </w:p>
    <w:p w:rsidR="001C796E">
      <w:pPr>
        <w:tabs>
          <w:tab w:val="left" w:pos="1573"/>
        </w:tabs>
        <w:adjustRightInd w:val="0"/>
        <w:snapToGrid w:val="0"/>
        <w:spacing w:line="360" w:lineRule="auto"/>
        <w:ind w:firstLine="412" w:firstLineChars="196"/>
        <w:jc w:val="left"/>
        <w:rPr>
          <w:rFonts w:ascii="宋体" w:eastAsia="宋体" w:hAnsi="宋体" w:cs="Times New Roman"/>
          <w:szCs w:val="21"/>
        </w:rPr>
      </w:pPr>
    </w:p>
    <w:p w:rsidR="001C796E"/>
    <w:p w:rsidR="00A77B3E"/>
    <w:p w:rsidR="001C796E" w:rsidP="00330FEF">
      <w:pPr>
        <w:spacing w:line="360" w:lineRule="auto"/>
        <w:ind w:firstLine="3066" w:firstLineChars="1460"/>
        <w:jc w:val="left"/>
        <w:rPr>
          <w:rFonts w:ascii="Times New Roman" w:eastAsia="宋体" w:hAnsi="Times New Roman" w:cs="Times New Roman"/>
          <w:b/>
          <w:bCs/>
          <w:szCs w:val="21"/>
        </w:rPr>
      </w:pPr>
      <w:bookmarkEnd w:id="360"/>
    </w:p>
    <w:p w:rsidR="00BF1E87">
      <w:pPr>
        <w:rPr>
          <w:rFonts w:ascii="Calibri" w:hAnsi="Calibri"/>
          <w:szCs w:val="22"/>
        </w:rPr>
      </w:pPr>
    </w:p>
    <w:p w:rsidR="00BF1E87">
      <w:pPr>
        <w:spacing w:line="360" w:lineRule="auto"/>
        <w:jc w:val="left"/>
        <w:rPr>
          <w:b/>
          <w:bCs/>
          <w:sz w:val="44"/>
          <w:szCs w:val="44"/>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1"/>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等线">
    <w:altName w:val="Arial Unicode MS"/>
    <w:panose1 w:val="02010600030101010101"/>
    <w:charset w:val="86"/>
    <w:family w:val="auto"/>
    <w:pitch w:val="variable"/>
    <w:sig w:usb0="00000000"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Footer"/>
      <w:jc w:val="center"/>
    </w:pPr>
    <w:r>
      <w:fldChar w:fldCharType="begin"/>
    </w:r>
    <w:r>
      <w:instrText xml:space="preserve"> PAGE   \* MERGEFORMAT </w:instrText>
    </w:r>
    <w:r>
      <w:fldChar w:fldCharType="separate"/>
    </w:r>
    <w:r w:rsidRPr="00961793" w:rsidR="00961793">
      <w:rPr>
        <w:noProof/>
        <w:lang w:val="zh-CN"/>
      </w:rPr>
      <w:t>75</w:t>
    </w:r>
    <w:r>
      <w:fldChar w:fldCharType="end"/>
    </w:r>
  </w:p>
  <w:p w:rsidR="00BF1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82B5B" w:rsidP="005A1BC4">
    <w:pPr>
      <w:pStyle w:val="Footer"/>
      <w:jc w:val="center"/>
      <w:rPr>
        <w:rFonts w:hint="eastAsia"/>
      </w:rPr>
    </w:pPr>
    <w:r w:rsidR="00445D3D">
      <w:fldChar w:fldCharType="begin"/>
    </w:r>
    <w:r w:rsidR="00445D3D">
      <w:instrText>PAGE   \* MERGEFORMAT</w:instrText>
    </w:r>
    <w:r w:rsidR="00445D3D">
      <w:fldChar w:fldCharType="separate"/>
    </w:r>
    <w:r w:rsidRPr="00BA1E9E" w:rsidR="00BA1E9E">
      <w:rPr>
        <w:noProof/>
        <w:lang w:val="zh-CN"/>
      </w:rPr>
      <w:t>2</w:t>
    </w:r>
    <w:r w:rsidR="00445D3D">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snapToGrid w:val="0"/>
      <w:jc w:val="center"/>
      <w:rPr>
        <w:sz w:val="18"/>
      </w:rPr>
    </w:pPr>
    <w:r>
      <w:rPr>
        <w:sz w:val="18"/>
      </w:rPr>
      <w:fldChar w:fldCharType="begin"/>
    </w:r>
    <w:r>
      <w:rPr>
        <w:sz w:val="18"/>
      </w:rPr>
      <w:instrText xml:space="preserve"> PAGE   \* MERGEFORMAT </w:instrText>
    </w:r>
    <w:r>
      <w:rPr>
        <w:sz w:val="18"/>
      </w:rPr>
      <w:fldChar w:fldCharType="separate"/>
    </w:r>
    <w:r w:rsidRPr="00961793" w:rsidR="00961793">
      <w:rPr>
        <w:noProof/>
        <w:sz w:val="18"/>
        <w:lang w:val="zh-CN"/>
      </w:rPr>
      <w:t>98</w:t>
    </w:r>
    <w:r>
      <w:rPr>
        <w:sz w:val="18"/>
      </w:rPr>
      <w:fldChar w:fldCharType="end"/>
    </w:r>
  </w:p>
  <w:p w:rsidR="00BF1E87">
    <w:pPr>
      <w:snapToGrid w:val="0"/>
      <w:jc w:val="left"/>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Footer"/>
      <w:jc w:val="center"/>
    </w:pPr>
    <w:r>
      <w:fldChar w:fldCharType="begin"/>
    </w:r>
    <w:r>
      <w:instrText xml:space="preserve"> PAGE   \* MERGEFORMAT </w:instrText>
    </w:r>
    <w:r>
      <w:fldChar w:fldCharType="separate"/>
    </w:r>
    <w:r w:rsidRPr="003E5C0A" w:rsidR="003E5C0A">
      <w:rPr>
        <w:noProof/>
        <w:lang w:val="zh-CN"/>
      </w:rPr>
      <w:t>113</w:t>
    </w:r>
    <w:r>
      <w:fldChar w:fldCharType="end"/>
    </w:r>
  </w:p>
  <w:p w:rsidR="00BF1E8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color="silver" stroked="f">
          <v:fill opacity="0.5"/>
          <v:textpath style="font-family:宋体;font-size:8pt"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textpath style="font-family:宋体;font-size:8pt"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textpath style="font-family:宋体;font-size:8pt"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F1E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1.1pt" o:bullet="t">
        <v:imagedata r:id="rId1" o:title=""/>
      </v:shape>
    </w:pict>
  </w:numPicBullet>
  <w:numPicBullet w:numPicBulletId="1">
    <w:pict>
      <v:shape id="_x0000_i1027" type="#_x0000_t75" style="width:11.1pt;height:11.1pt" o:bullet="t">
        <v:imagedata r:id="rId2" o:title=""/>
      </v:shape>
    </w:pict>
  </w:numPicBullet>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83D48EF"/>
    <w:multiLevelType w:val="multilevel"/>
    <w:tmpl w:val="083D48EF"/>
    <w:lvl w:ilvl="0">
      <w:start w:val="1"/>
      <w:numFmt w:val="bullet"/>
      <w:lvlText w:val=""/>
      <w:lvlPicBulletId w:val="0"/>
      <w:lvlJc w:val="left"/>
      <w:pPr>
        <w:tabs>
          <w:tab w:val="num" w:pos="840"/>
        </w:tabs>
        <w:ind w:left="840" w:hanging="420"/>
      </w:pPr>
      <w:rPr>
        <w:rFonts w:ascii="Wingdings" w:hAnsi="Wingdings" w:hint="default"/>
      </w:rPr>
    </w:lvl>
    <w:lvl w:ilvl="1">
      <w:start w:val="1"/>
      <w:numFmt w:val="bullet"/>
      <w:lvlText w:val=""/>
      <w:lvlPicBulletId w:val="1"/>
      <w:lvlJc w:val="left"/>
      <w:pPr>
        <w:tabs>
          <w:tab w:val="num" w:pos="840"/>
        </w:tabs>
        <w:ind w:left="840" w:hanging="420"/>
      </w:pPr>
      <w:rPr>
        <w:rFonts w:ascii="Symbol" w:hAnsi="Symbol" w:hint="default"/>
        <w:color w:val="auto"/>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8C26D2F"/>
    <w:multiLevelType w:val="multilevel"/>
    <w:tmpl w:val="18C26D2F"/>
    <w:lvl w:ilvl="0">
      <w:start w:val="1"/>
      <w:numFmt w:val="lowerLetter"/>
      <w:lvlText w:val="%1．"/>
      <w:lvlJc w:val="left"/>
      <w:pPr>
        <w:tabs>
          <w:tab w:val="num" w:pos="360"/>
        </w:tabs>
        <w:ind w:left="360" w:hanging="360"/>
      </w:pPr>
      <w:rPr>
        <w:rFonts w:hint="eastAsia"/>
      </w:rPr>
    </w:lvl>
    <w:lvl w:ilvl="1">
      <w:start w:val="1"/>
      <w:numFmt w:val="bullet"/>
      <w:lvlText w:val=""/>
      <w:lvlPicBulletId w:val="0"/>
      <w:lvlJc w:val="left"/>
      <w:pPr>
        <w:tabs>
          <w:tab w:val="num" w:pos="840"/>
        </w:tabs>
        <w:ind w:left="840" w:hanging="420"/>
      </w:pPr>
      <w:rPr>
        <w:rFonts w:ascii="Wingdings" w:hAnsi="Wingdings" w:hint="default"/>
      </w:rPr>
    </w:lvl>
    <w:lvl w:ilvl="2">
      <w:start w:val="1"/>
      <w:numFmt w:val="decimal"/>
      <w:lvlText w:val="（%3）"/>
      <w:lvlJc w:val="left"/>
      <w:pPr>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EFAF4E5"/>
    <w:multiLevelType w:val="singleLevel"/>
    <w:tmpl w:val="93FE6617"/>
    <w:lvl w:ilvl="0">
      <w:start w:val="1"/>
      <w:numFmt w:val="decimal"/>
      <w:lvlText w:val="%1."/>
      <w:lvlJc w:val="left"/>
      <w:pPr>
        <w:tabs>
          <w:tab w:val="left" w:pos="880"/>
        </w:tabs>
      </w:pPr>
    </w:lvl>
  </w:abstractNum>
  <w:abstractNum w:abstractNumId="7">
    <w:nsid w:val="1FDB795F"/>
    <w:multiLevelType w:val="singleLevel"/>
    <w:tmpl w:val="93FE6617"/>
    <w:lvl w:ilvl="0">
      <w:start w:val="1"/>
      <w:numFmt w:val="decimal"/>
      <w:lvlText w:val="%1."/>
      <w:lvlJc w:val="left"/>
      <w:pPr>
        <w:tabs>
          <w:tab w:val="left" w:pos="880"/>
        </w:tabs>
      </w:pPr>
    </w:lvl>
  </w:abstractNum>
  <w:abstractNum w:abstractNumId="8">
    <w:nsid w:val="271E622F"/>
    <w:multiLevelType w:val="singleLevel"/>
    <w:tmpl w:val="93FE6617"/>
    <w:lvl w:ilvl="0">
      <w:start w:val="1"/>
      <w:numFmt w:val="decimal"/>
      <w:lvlText w:val="%1."/>
      <w:lvlJc w:val="left"/>
      <w:pPr>
        <w:tabs>
          <w:tab w:val="left" w:pos="880"/>
        </w:tabs>
      </w:pPr>
    </w:lvl>
  </w:abstractNum>
  <w:abstractNum w:abstractNumId="9">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0">
    <w:nsid w:val="2D18C03F"/>
    <w:multiLevelType w:val="singleLevel"/>
    <w:tmpl w:val="93FE6617"/>
    <w:lvl w:ilvl="0">
      <w:start w:val="1"/>
      <w:numFmt w:val="decimal"/>
      <w:lvlText w:val="%1."/>
      <w:lvlJc w:val="left"/>
      <w:pPr>
        <w:tabs>
          <w:tab w:val="left" w:pos="880"/>
        </w:tabs>
      </w:pPr>
    </w:lvl>
  </w:abstractNum>
  <w:abstractNum w:abstractNumId="11">
    <w:nsid w:val="2D8E09CB"/>
    <w:multiLevelType w:val="singleLevel"/>
    <w:tmpl w:val="93FE6617"/>
    <w:lvl w:ilvl="0">
      <w:start w:val="1"/>
      <w:numFmt w:val="decimal"/>
      <w:lvlText w:val="%1."/>
      <w:lvlJc w:val="left"/>
      <w:pPr>
        <w:tabs>
          <w:tab w:val="left" w:pos="880"/>
        </w:tabs>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69A4FB8"/>
    <w:multiLevelType w:val="singleLevel"/>
    <w:tmpl w:val="93FE6617"/>
    <w:lvl w:ilvl="0">
      <w:start w:val="1"/>
      <w:numFmt w:val="decimal"/>
      <w:lvlText w:val="%1."/>
      <w:lvlJc w:val="left"/>
      <w:pPr>
        <w:tabs>
          <w:tab w:val="left" w:pos="880"/>
        </w:tabs>
      </w:pPr>
    </w:lvl>
  </w:abstractNum>
  <w:abstractNum w:abstractNumId="14">
    <w:nsid w:val="3A20CAAF"/>
    <w:multiLevelType w:val="singleLevel"/>
    <w:tmpl w:val="3A20CAAF"/>
    <w:lvl w:ilvl="0">
      <w:start w:val="2"/>
      <w:numFmt w:val="decimal"/>
      <w:suff w:val="nothing"/>
      <w:lvlText w:val="（%1）"/>
      <w:lvlJc w:val="left"/>
    </w:lvl>
  </w:abstractNum>
  <w:abstractNum w:abstractNumId="15">
    <w:nsid w:val="41D78102"/>
    <w:multiLevelType w:val="singleLevel"/>
    <w:tmpl w:val="93FE6617"/>
    <w:lvl w:ilvl="0">
      <w:start w:val="1"/>
      <w:numFmt w:val="decimal"/>
      <w:lvlText w:val="%1."/>
      <w:lvlJc w:val="left"/>
      <w:pPr>
        <w:tabs>
          <w:tab w:val="left" w:pos="880"/>
        </w:tabs>
      </w:pPr>
    </w:lvl>
  </w:abstractNum>
  <w:abstractNum w:abstractNumId="16">
    <w:nsid w:val="462B3E4F"/>
    <w:multiLevelType w:val="singleLevel"/>
    <w:tmpl w:val="93FE6617"/>
    <w:lvl w:ilvl="0">
      <w:start w:val="1"/>
      <w:numFmt w:val="decimal"/>
      <w:lvlText w:val="%1."/>
      <w:lvlJc w:val="left"/>
      <w:pPr>
        <w:tabs>
          <w:tab w:val="left" w:pos="880"/>
        </w:tabs>
      </w:pPr>
    </w:lvl>
  </w:abstractNum>
  <w:abstractNum w:abstractNumId="17">
    <w:nsid w:val="48AE6FF2"/>
    <w:multiLevelType w:val="multilevel"/>
    <w:tmpl w:val="48AE6F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8">
    <w:nsid w:val="51991928"/>
    <w:multiLevelType w:val="multilevel"/>
    <w:tmpl w:val="51991928"/>
    <w:lvl w:ilvl="0">
      <w:start w:val="1"/>
      <w:numFmt w:val="decimal"/>
      <w:pStyle w:val="Heading1"/>
      <w:lvlText w:val="%1"/>
      <w:lvlJc w:val="left"/>
      <w:pPr>
        <w:tabs>
          <w:tab w:val="num" w:pos="432"/>
        </w:tabs>
        <w:ind w:left="432" w:hanging="432"/>
      </w:pPr>
      <w:rPr>
        <w:rFonts w:ascii="Arial" w:eastAsia="黑体" w:hAnsi="Arial" w:hint="default"/>
        <w:b/>
        <w:i w:val="0"/>
        <w:color w:val="auto"/>
        <w:sz w:val="30"/>
      </w:rPr>
    </w:lvl>
    <w:lvl w:ilvl="1">
      <w:start w:val="1"/>
      <w:numFmt w:val="decimal"/>
      <w:pStyle w:val="Heading2"/>
      <w:lvlText w:val="%1.%2"/>
      <w:lvlJc w:val="left"/>
      <w:pPr>
        <w:tabs>
          <w:tab w:val="num" w:pos="576"/>
        </w:tabs>
        <w:ind w:left="576" w:hanging="576"/>
      </w:pPr>
      <w:rPr>
        <w:rFonts w:ascii="Times New Roman" w:eastAsia="宋体" w:hAnsi="Times New Roman" w:hint="default"/>
        <w:b/>
        <w:i w:val="0"/>
        <w:sz w:val="30"/>
      </w:rPr>
    </w:lvl>
    <w:lvl w:ilvl="2">
      <w:start w:val="1"/>
      <w:numFmt w:val="decimal"/>
      <w:pStyle w:val="Heading3"/>
      <w:lvlText w:val="%1.%2.%3"/>
      <w:lvlJc w:val="left"/>
      <w:pPr>
        <w:tabs>
          <w:tab w:val="num" w:pos="720"/>
        </w:tabs>
        <w:ind w:left="720" w:hanging="720"/>
      </w:pPr>
      <w:rPr>
        <w:rFonts w:ascii="Arial" w:eastAsia="黑体" w:hAnsi="Arial" w:hint="default"/>
        <w:b/>
        <w:i w:val="0"/>
        <w:sz w:val="28"/>
      </w:rPr>
    </w:lvl>
    <w:lvl w:ilvl="3">
      <w:start w:val="1"/>
      <w:numFmt w:val="decimal"/>
      <w:pStyle w:val="Heading4"/>
      <w:isLgl/>
      <w:lvlText w:val="%1.%2.%3.%4"/>
      <w:lvlJc w:val="left"/>
      <w:pPr>
        <w:tabs>
          <w:tab w:val="num" w:pos="864"/>
        </w:tabs>
        <w:ind w:left="864" w:hanging="864"/>
      </w:pPr>
      <w:rPr>
        <w:rFonts w:ascii="Times New Roman" w:eastAsia="宋体" w:hAnsi="Times New Roman" w:hint="default"/>
        <w:b/>
        <w:i w:val="0"/>
        <w:sz w:val="24"/>
      </w:rPr>
    </w:lvl>
    <w:lvl w:ilvl="4">
      <w:start w:val="1"/>
      <w:numFmt w:val="decimal"/>
      <w:lvlText w:val="%1.%2.%3.%4.%5"/>
      <w:lvlJc w:val="left"/>
      <w:pPr>
        <w:tabs>
          <w:tab w:val="num" w:pos="1008"/>
        </w:tabs>
        <w:ind w:left="1008" w:hanging="1008"/>
      </w:pPr>
      <w:rPr>
        <w:rFonts w:ascii="Times New Roman" w:eastAsia="宋体" w:hAnsi="Times New Roman" w:hint="default"/>
        <w:b/>
        <w:i w:val="0"/>
        <w:sz w:val="21"/>
      </w:rPr>
    </w:lvl>
    <w:lvl w:ilvl="5">
      <w:start w:val="1"/>
      <w:numFmt w:val="decimal"/>
      <w:lvlText w:val="%1.%2.%3.%4.%5.%6"/>
      <w:lvlJc w:val="left"/>
      <w:pPr>
        <w:tabs>
          <w:tab w:val="num" w:pos="1152"/>
        </w:tabs>
        <w:ind w:left="1152" w:hanging="1152"/>
      </w:pPr>
      <w:rPr>
        <w:rFonts w:ascii="Times New Roman" w:eastAsia="黑体" w:hAnsi="Times New Roman" w:hint="default"/>
        <w:sz w:val="21"/>
      </w:rPr>
    </w:lvl>
    <w:lvl w:ilvl="6">
      <w:start w:val="1"/>
      <w:numFmt w:val="decimal"/>
      <w:lvlText w:val="%1.%2.%3.%4.%5.%6.%7"/>
      <w:lvlJc w:val="left"/>
      <w:pPr>
        <w:tabs>
          <w:tab w:val="num" w:pos="1440"/>
        </w:tabs>
        <w:ind w:left="1296" w:hanging="1296"/>
      </w:pPr>
      <w:rPr>
        <w:rFonts w:hint="eastAsia"/>
      </w:rPr>
    </w:lvl>
    <w:lvl w:ilvl="7">
      <w:start w:val="1"/>
      <w:numFmt w:val="decimal"/>
      <w:lvlText w:val="%1.%2.%3.%4.%5.%6.%7.%8"/>
      <w:lvlJc w:val="left"/>
      <w:pPr>
        <w:tabs>
          <w:tab w:val="num" w:pos="180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9">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0">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1">
    <w:nsid w:val="67355C81"/>
    <w:multiLevelType w:val="singleLevel"/>
    <w:tmpl w:val="93FE6617"/>
    <w:lvl w:ilvl="0">
      <w:start w:val="1"/>
      <w:numFmt w:val="decimal"/>
      <w:lvlText w:val="%1."/>
      <w:lvlJc w:val="left"/>
      <w:pPr>
        <w:tabs>
          <w:tab w:val="left" w:pos="880"/>
        </w:tabs>
      </w:pPr>
    </w:lvl>
  </w:abstractNum>
  <w:abstractNum w:abstractNumId="22">
    <w:nsid w:val="6B6874D8"/>
    <w:multiLevelType w:val="singleLevel"/>
    <w:tmpl w:val="93FE6617"/>
    <w:lvl w:ilvl="0">
      <w:start w:val="1"/>
      <w:numFmt w:val="decimal"/>
      <w:lvlText w:val="%1."/>
      <w:lvlJc w:val="left"/>
      <w:pPr>
        <w:tabs>
          <w:tab w:val="left" w:pos="880"/>
        </w:tabs>
      </w:pPr>
    </w:lvl>
  </w:abstractNum>
  <w:abstractNum w:abstractNumId="23">
    <w:nsid w:val="705A2399"/>
    <w:multiLevelType w:val="singleLevel"/>
    <w:tmpl w:val="93FE6617"/>
    <w:lvl w:ilvl="0">
      <w:start w:val="1"/>
      <w:numFmt w:val="decimal"/>
      <w:lvlText w:val="%1."/>
      <w:lvlJc w:val="left"/>
      <w:pPr>
        <w:tabs>
          <w:tab w:val="left" w:pos="880"/>
        </w:tabs>
      </w:pPr>
    </w:lvl>
  </w:abstractNum>
  <w:abstractNum w:abstractNumId="24">
    <w:nsid w:val="71377EFE"/>
    <w:multiLevelType w:val="singleLevel"/>
    <w:tmpl w:val="93FE6617"/>
    <w:lvl w:ilvl="0">
      <w:start w:val="1"/>
      <w:numFmt w:val="decimal"/>
      <w:lvlText w:val="%1."/>
      <w:lvlJc w:val="left"/>
      <w:pPr>
        <w:tabs>
          <w:tab w:val="left" w:pos="880"/>
        </w:tabs>
      </w:pPr>
    </w:lvl>
  </w:abstractNum>
  <w:abstractNum w:abstractNumId="25">
    <w:nsid w:val="74DEC082"/>
    <w:multiLevelType w:val="singleLevel"/>
    <w:tmpl w:val="93FE6617"/>
    <w:lvl w:ilvl="0">
      <w:start w:val="1"/>
      <w:numFmt w:val="decimal"/>
      <w:lvlText w:val="%1."/>
      <w:lvlJc w:val="left"/>
      <w:pPr>
        <w:tabs>
          <w:tab w:val="left" w:pos="880"/>
        </w:tabs>
      </w:pPr>
    </w:lvl>
  </w:abstractNum>
  <w:abstractNum w:abstractNumId="26">
    <w:nsid w:val="7B9962B0"/>
    <w:multiLevelType w:val="singleLevel"/>
    <w:tmpl w:val="93FE6617"/>
    <w:lvl w:ilvl="0">
      <w:start w:val="1"/>
      <w:numFmt w:val="decimal"/>
      <w:lvlText w:val="%1."/>
      <w:lvlJc w:val="left"/>
      <w:pPr>
        <w:tabs>
          <w:tab w:val="left" w:pos="880"/>
        </w:tabs>
      </w:pPr>
    </w:lvl>
  </w:abstractNum>
  <w:num w:numId="1">
    <w:abstractNumId w:val="2"/>
  </w:num>
  <w:num w:numId="2">
    <w:abstractNumId w:val="1"/>
  </w:num>
  <w:num w:numId="3">
    <w:abstractNumId w:val="4"/>
  </w:num>
  <w:num w:numId="4">
    <w:abstractNumId w:val="0"/>
  </w:num>
  <w:num w:numId="5">
    <w:abstractNumId w:val="9"/>
  </w:num>
  <w:num w:numId="6">
    <w:abstractNumId w:val="12"/>
  </w:num>
  <w:num w:numId="7">
    <w:abstractNumId w:val="16"/>
  </w:num>
  <w:num w:numId="8">
    <w:abstractNumId w:val="11"/>
  </w:num>
  <w:num w:numId="9">
    <w:abstractNumId w:val="24"/>
  </w:num>
  <w:num w:numId="10">
    <w:abstractNumId w:val="22"/>
  </w:num>
  <w:num w:numId="11">
    <w:abstractNumId w:val="25"/>
  </w:num>
  <w:num w:numId="12">
    <w:abstractNumId w:val="7"/>
  </w:num>
  <w:num w:numId="13">
    <w:abstractNumId w:val="13"/>
  </w:num>
  <w:num w:numId="14">
    <w:abstractNumId w:val="6"/>
  </w:num>
  <w:num w:numId="15">
    <w:abstractNumId w:val="10"/>
  </w:num>
  <w:num w:numId="16">
    <w:abstractNumId w:val="8"/>
  </w:num>
  <w:num w:numId="17">
    <w:abstractNumId w:val="23"/>
  </w:num>
  <w:num w:numId="18">
    <w:abstractNumId w:val="18"/>
  </w:num>
  <w:num w:numId="19">
    <w:abstractNumId w:val="3"/>
  </w:num>
  <w:num w:numId="20">
    <w:abstractNumId w:val="5"/>
  </w:num>
  <w:num w:numId="21">
    <w:abstractNumId w:val="17"/>
  </w:num>
  <w:num w:numId="22">
    <w:abstractNumId w:val="14"/>
  </w:num>
  <w:num w:numId="23">
    <w:abstractNumId w:val="19"/>
  </w:num>
  <w:num w:numId="24">
    <w:abstractNumId w:val="20"/>
  </w:num>
  <w:num w:numId="25">
    <w:abstractNumId w:val="26"/>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oNotDisplayPageBoundaries/>
  <w:bordersDoNotSurroundHeader/>
  <w:bordersDoNotSurroundFooter/>
  <w:proofState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95B"/>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577"/>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8E1"/>
    <w:rsid w:val="00160B5C"/>
    <w:rsid w:val="00160FB7"/>
    <w:rsid w:val="00161A51"/>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C796E"/>
    <w:rsid w:val="001D04D6"/>
    <w:rsid w:val="001D3AE5"/>
    <w:rsid w:val="001D4479"/>
    <w:rsid w:val="001D449B"/>
    <w:rsid w:val="001D4711"/>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976CC"/>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0FEF"/>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19D7"/>
    <w:rsid w:val="003A30B5"/>
    <w:rsid w:val="003A4338"/>
    <w:rsid w:val="003A4FAE"/>
    <w:rsid w:val="003A54E6"/>
    <w:rsid w:val="003A5FFE"/>
    <w:rsid w:val="003A661F"/>
    <w:rsid w:val="003A718A"/>
    <w:rsid w:val="003A7A2D"/>
    <w:rsid w:val="003B0FC3"/>
    <w:rsid w:val="003B175C"/>
    <w:rsid w:val="003B2A16"/>
    <w:rsid w:val="003B489F"/>
    <w:rsid w:val="003B5E81"/>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E5C0A"/>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16"/>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3D"/>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1BC4"/>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6F36"/>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10"/>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56C"/>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77B59"/>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3D12"/>
    <w:rsid w:val="007F4135"/>
    <w:rsid w:val="007F4BE4"/>
    <w:rsid w:val="007F5E9F"/>
    <w:rsid w:val="007F6665"/>
    <w:rsid w:val="007F6E2E"/>
    <w:rsid w:val="007F7AC8"/>
    <w:rsid w:val="00800551"/>
    <w:rsid w:val="00802C4E"/>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2964"/>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4342"/>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002B"/>
    <w:rsid w:val="0091255C"/>
    <w:rsid w:val="00912955"/>
    <w:rsid w:val="00915024"/>
    <w:rsid w:val="00915F1C"/>
    <w:rsid w:val="009223A1"/>
    <w:rsid w:val="00922C10"/>
    <w:rsid w:val="00922D8C"/>
    <w:rsid w:val="00923497"/>
    <w:rsid w:val="009235D9"/>
    <w:rsid w:val="009241D3"/>
    <w:rsid w:val="0092487A"/>
    <w:rsid w:val="0092642D"/>
    <w:rsid w:val="00926553"/>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793"/>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7A2"/>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C2"/>
    <w:rsid w:val="00A306E2"/>
    <w:rsid w:val="00A30E42"/>
    <w:rsid w:val="00A31149"/>
    <w:rsid w:val="00A31DDF"/>
    <w:rsid w:val="00A32D0F"/>
    <w:rsid w:val="00A36E6B"/>
    <w:rsid w:val="00A373BC"/>
    <w:rsid w:val="00A3775E"/>
    <w:rsid w:val="00A404C9"/>
    <w:rsid w:val="00A409FD"/>
    <w:rsid w:val="00A443E9"/>
    <w:rsid w:val="00A51B54"/>
    <w:rsid w:val="00A5453E"/>
    <w:rsid w:val="00A55188"/>
    <w:rsid w:val="00A554A2"/>
    <w:rsid w:val="00A566E1"/>
    <w:rsid w:val="00A56E09"/>
    <w:rsid w:val="00A61158"/>
    <w:rsid w:val="00A6232B"/>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0BBE"/>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494"/>
    <w:rsid w:val="00B77648"/>
    <w:rsid w:val="00B77A18"/>
    <w:rsid w:val="00B80661"/>
    <w:rsid w:val="00B80DCE"/>
    <w:rsid w:val="00B812E0"/>
    <w:rsid w:val="00B817DB"/>
    <w:rsid w:val="00B827FA"/>
    <w:rsid w:val="00B82A15"/>
    <w:rsid w:val="00B847FF"/>
    <w:rsid w:val="00B8502E"/>
    <w:rsid w:val="00B85D5B"/>
    <w:rsid w:val="00B868FD"/>
    <w:rsid w:val="00B87DF6"/>
    <w:rsid w:val="00B90828"/>
    <w:rsid w:val="00B9375A"/>
    <w:rsid w:val="00B95948"/>
    <w:rsid w:val="00B95DE2"/>
    <w:rsid w:val="00B97055"/>
    <w:rsid w:val="00BA1E9E"/>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1E87"/>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38CF"/>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022C"/>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1F18"/>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3A"/>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563C3"/>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2B5B"/>
    <w:rsid w:val="00E83689"/>
    <w:rsid w:val="00E841A2"/>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D73"/>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2DD27016"/>
    <w:rsid w:val="3E5E12A1"/>
    <w:rsid w:val="42781119"/>
    <w:rsid w:val="436667A6"/>
    <w:rsid w:val="497A4294"/>
    <w:rsid w:val="4A936B87"/>
    <w:rsid w:val="4EBD5EAD"/>
    <w:rsid w:val="54A30F88"/>
    <w:rsid w:val="60BB7BE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List Bullet 2" w:uiPriority="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eastAsia="zh-CN"/>
    </w:rPr>
  </w:style>
  <w:style w:type="paragraph" w:styleId="Heading1">
    <w:name w:val="heading 1"/>
    <w:aliases w:val="1st level,BMS Heading 1,Chapter title,H1,Head 1 (Chapter heading,Head1,Heading 0,Heading 11,Heading apps,I1,Level 1,Level 1 Head,Level 1 Topic Heading,Level 11,PIM 1,Section Head,h1,heading 1,l1,l1+toc 1,level 1,tzy1,tzy11,tzy111,tzy112,tzy12,tzy13"/>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aliases w:val="H2,H21,H210,H2101,H2102,H211,H2111,H2112,H212,H2121,H213,H22,H221,H2211,H222,H23,H231,H2311,H232,H24,H241,H2411,H242,H25,H251,H2511,H252,H26,H261,H262,H27,H271,H272,H28,H281,H282,H29,H291,H292,HD2,Heading 2 CCBS,Heading 2 Hidden,Titre3,h2,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aliases w:val="(Alt+3),(Alt+3)1,1.1.1 Heading 3,1.2.3.,3,3heading,3rd level,Bold Head,H3,Heading,Heading 2.3,Heading 3 - old,Heading 31,Level 3 Head,Map,PIM 3,Titles,bh,h3,heading 3,level_3,prop3,sect1.2.3,sect1.2.31,sect1.2.311,sect1.2.312,sect1.2.32,sect1.2.33"/>
    <w:basedOn w:val="Normal"/>
    <w:next w:val="Normal"/>
    <w:qFormat/>
    <w:pPr>
      <w:keepNext/>
      <w:keepLines/>
      <w:spacing w:before="260" w:after="260" w:line="416" w:lineRule="atLeast"/>
      <w:outlineLvl w:val="2"/>
    </w:pPr>
    <w:rPr>
      <w:b/>
      <w:bCs/>
      <w:sz w:val="32"/>
      <w:szCs w:val="32"/>
    </w:rPr>
  </w:style>
  <w:style w:type="paragraph" w:styleId="Heading4">
    <w:name w:val="heading 4"/>
    <w:aliases w:val="First Subheading,H4,PIM 4,Ref Heading 1,Ref Heading 11,Ref Heading 111,Ref Heading 112,Ref Heading 12,Ref Heading 13,bl,h4,rh1,rh11,rh111,rh112,rh12,rh13,sect 1.2.3.4,sect 1.2.3.41,sect 1.2.3.411,sect 1.2.3.412,sect 1.2.3.42,sect 1.2.3.43,第三层条,第四层"/>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eastAsia="zh-CN"/>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eastAsia="zh-CN"/>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eastAsia="zh-CN"/>
    </w:rPr>
  </w:style>
  <w:style w:type="character" w:customStyle="1" w:styleId="Char11">
    <w:name w:val="批注文字 Char1"/>
    <w:uiPriority w:val="99"/>
    <w:semiHidden/>
  </w:style>
  <w:style w:type="paragraph" w:styleId="NormalIndent">
    <w:name w:val="Normal Indent"/>
    <w:aliases w:val="宋体,小四,正文非缩进,正文非缩进1,正文非缩进11,正文非缩进12,正文非缩进2,正文非缩进21,正文非缩进22,正文非缩进3,正文非缩进31,正文非缩进32,正文非缩进4,正文非缩进41,正文非缩进42,正文非缩进5,正文非缩进51,正文非缩进52,正文非缩进6,正文非缩进7,特点,表正文,表正文1,表正文11,表正文12,表正文2,表正文21,表正文22,表正文3,表正文31,表正文32,表正文4,表正文41,表正文42,表正文5,表正文51,表正文52,表正文6,表正文7,表正文8"/>
    <w:basedOn w:val="Normal"/>
    <w:link w:val="a2"/>
    <w:qFormat/>
    <w:rsid w:val="00961793"/>
    <w:pPr>
      <w:spacing w:line="360" w:lineRule="auto"/>
      <w:ind w:firstLine="420" w:firstLineChars="200"/>
    </w:pPr>
    <w:rPr>
      <w:sz w:val="24"/>
      <w:szCs w:val="24"/>
    </w:rPr>
  </w:style>
  <w:style w:type="character" w:customStyle="1" w:styleId="a2">
    <w:name w:val="正文缩进 字符"/>
    <w:aliases w:val="正文非缩进 字符,正文非缩进1 字符,正文非缩进11 字符,正文非缩进2 字符,正文非缩进21 字符,正文非缩进3 字符,正文非缩进31 字符,正文非缩进4 字符,正文非缩进41 字符,正文非缩进5 字符,正文非缩进51 字符,正文非缩进6 字符,正文非缩进7 字符,表正文 字符,表正文1 字符,表正文11 字符,表正文2 字符,表正文21 字符,表正文3 字符,表正文31 字符,表正文4 字符,表正文41 字符,表正文5 字符,表正文51 字符,表正文6 字符,表正文7 字符"/>
    <w:link w:val="NormalIndent"/>
    <w:qFormat/>
    <w:rsid w:val="00961793"/>
    <w:rPr>
      <w:kern w:val="2"/>
      <w:sz w:val="24"/>
      <w:szCs w:val="24"/>
      <w:lang w:eastAsia="zh-CN"/>
    </w:rPr>
  </w:style>
  <w:style w:type="paragraph" w:styleId="ListBullet2">
    <w:name w:val="List Bullet 2"/>
    <w:basedOn w:val="Normal"/>
    <w:rsid w:val="00961793"/>
    <w:pPr>
      <w:numPr>
        <w:ilvl w:val="1"/>
        <w:numId w:val="2"/>
      </w:numPr>
      <w:tabs>
        <w:tab w:val="left" w:pos="840"/>
      </w:tabs>
      <w:spacing w:line="360" w:lineRule="auto"/>
    </w:pPr>
    <w:rPr>
      <w:sz w:val="24"/>
      <w:szCs w:val="24"/>
    </w:rPr>
  </w:style>
  <w:style w:type="paragraph" w:customStyle="1" w:styleId="B">
    <w:name w:val="B表格正文"/>
    <w:qFormat/>
    <w:rsid w:val="00961793"/>
    <w:rPr>
      <w:rFonts w:ascii="Calibri" w:eastAsia="黑体" w:hAnsi="Calibri"/>
      <w:kern w:val="2"/>
      <w:sz w:val="21"/>
      <w:szCs w:val="21"/>
      <w:lang w:eastAsia="zh-CN"/>
    </w:rPr>
  </w:style>
  <w:style w:type="paragraph" w:customStyle="1" w:styleId="B0">
    <w:name w:val="B表头样式"/>
    <w:next w:val="Normal"/>
    <w:qFormat/>
    <w:rsid w:val="00961793"/>
    <w:pPr>
      <w:jc w:val="center"/>
    </w:pPr>
    <w:rPr>
      <w:rFonts w:ascii="Calibri" w:eastAsia="黑体" w:hAnsi="Calibri"/>
      <w:b/>
      <w:kern w:val="2"/>
      <w:sz w:val="21"/>
      <w:szCs w:val="21"/>
      <w:lang w:eastAsia="zh-CN"/>
    </w:rPr>
  </w:style>
  <w:style w:type="paragraph" w:styleId="TOCHeading">
    <w:name w:val="TOC Heading"/>
    <w:basedOn w:val="Heading1"/>
    <w:next w:val="Normal"/>
    <w:uiPriority w:val="39"/>
    <w:qFormat/>
    <w:pPr>
      <w:widowControl/>
      <w:numPr>
        <w:numId w:val="0"/>
      </w:numPr>
      <w:tabs>
        <w:tab w:val="clear" w:pos="432"/>
      </w:tabs>
      <w:spacing w:before="480" w:after="0" w:line="276" w:lineRule="auto"/>
      <w:ind w:firstLine="0"/>
      <w:jc w:val="left"/>
      <w:outlineLvl w:val="9"/>
    </w:pPr>
    <w:rPr>
      <w:rFonts w:ascii="Cambria" w:hAnsi="Cambria"/>
      <w:color w:val="365F91"/>
      <w:kern w:val="0"/>
      <w:sz w:val="28"/>
      <w:szCs w:val="28"/>
    </w:rPr>
  </w:style>
  <w:style w:type="paragraph" w:styleId="TOC2">
    <w:name w:val="toc 2"/>
    <w:basedOn w:val="Normal"/>
    <w:next w:val="Normal"/>
    <w:uiPriority w:val="39"/>
    <w:unhideWhenUsed/>
    <w:qFormat/>
    <w:pPr>
      <w:widowControl/>
      <w:spacing w:after="100" w:line="276" w:lineRule="auto"/>
      <w:ind w:left="220"/>
      <w:jc w:val="left"/>
    </w:pPr>
    <w:rPr>
      <w:rFonts w:ascii="Calibri" w:hAnsi="Calibri"/>
      <w:kern w:val="0"/>
      <w:sz w:val="22"/>
      <w:szCs w:val="22"/>
    </w:rPr>
  </w:style>
  <w:style w:type="paragraph" w:styleId="TOC3">
    <w:name w:val="toc 3"/>
    <w:basedOn w:val="Normal"/>
    <w:next w:val="Normal"/>
    <w:uiPriority w:val="39"/>
    <w:unhideWhenUsed/>
    <w:qFormat/>
    <w:pPr>
      <w:widowControl/>
      <w:spacing w:after="100" w:line="276" w:lineRule="auto"/>
      <w:ind w:left="440"/>
      <w:jc w:val="left"/>
    </w:pPr>
    <w:rPr>
      <w:rFonts w:ascii="Calibri" w:hAnsi="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96</Pages>
  <Words>10899</Words>
  <Characters>62125</Characters>
  <Application>Microsoft Office Word</Application>
  <DocSecurity>0</DocSecurity>
  <Lines>517</Lines>
  <Paragraphs>145</Paragraphs>
  <ScaleCrop>false</ScaleCrop>
  <Company>中国气象局</Company>
  <LinksUpToDate>false</LinksUpToDate>
  <CharactersWithSpaces>72879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陈小超</cp:lastModifiedBy>
  <cp:revision>2</cp:revision>
  <cp:lastPrinted>2014-06-19T06:19:00Z</cp:lastPrinted>
  <dcterms:created xsi:type="dcterms:W3CDTF">2025-06-06T07:06:00Z</dcterms:created>
  <dcterms:modified xsi:type="dcterms:W3CDTF">2025-06-06T07:06:00Z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2052-12.1.0.21171</vt:lpwstr>
  </property>
  <property fmtid="{D5CDD505-2E9C-101B-9397-08002B2CF9AE}" pid="4" name="KSOTemplateDocerSaveRecord">
    <vt:lpwstr>eyJoZGlkIjoiM2FkMjdjNjAxZjdmYjI5MjMyNmE5MTA5ZjJkMDM4NmEiLCJ1c2VySWQiOiI0MTI2MjIxMDYifQ==</vt:lpwstr>
  </property>
</Properties>
</file>