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云南省大气探测技术保障中心特种气象观测设备建设项目设备采购项目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ZQCD-25224</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2025年08月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云南省大气探测技术保障中心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云南省大气探测技术保障中心特种气象观测设备建设项目设备采购项目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ZQCD-25224</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合同签订后30天内交货，60天内完成安装调试并具备验收条件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云南相关州市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2025年08月27日 00:00:00</w:t>
      </w:r>
      <w:bookmarkEnd w:id="26"/>
      <w:r>
        <w:rPr>
          <w:rFonts w:ascii="宋体" w:hint="eastAsia"/>
          <w:szCs w:val="21"/>
          <w:highlight w:val="none"/>
        </w:rPr>
        <w:t>至</w:t>
      </w:r>
      <w:bookmarkStart w:id="27" w:name="项目公告_signUpLastTime"/>
      <w:r>
        <w:rPr>
          <w:rFonts w:ascii="宋体" w:hint="eastAsia"/>
          <w:szCs w:val="21"/>
          <w:highlight w:val="none"/>
        </w:rPr>
        <w:t>2025年09月02日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2025年09月19日 14:30:00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杜建君</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云南省大气探测技术保障中心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解莉燕</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0871-64114397</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云南省昆明市西昌路77号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云南省大气探测技术保障中心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允许</w:t>
            </w:r>
            <w:bookmarkEnd w:id="40"/>
            <w:bookmarkStart w:id="41" w:name="_GoBack"/>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2" w:name="进口产品_agentMaterials"/>
            <w:r>
              <w:rPr>
                <w:rFonts w:ascii="宋体" w:hAnsi="宋体" w:cs="微软雅黑" w:hint="eastAsia"/>
                <w:kern w:val="0"/>
                <w:szCs w:val="21"/>
                <w:highlight w:val="none"/>
              </w:rPr>
              <w:t>无</w:t>
            </w:r>
            <w:bookmarkEnd w:id="42"/>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3" w:name="是否设有核心产品_coreFlagText"/>
            <w:r>
              <w:rPr>
                <w:rFonts w:asciiTheme="minorEastAsia" w:eastAsiaTheme="minorEastAsia" w:hAnsiTheme="minorEastAsia" w:cstheme="minorEastAsia" w:hint="eastAsia"/>
                <w:kern w:val="0"/>
                <w:szCs w:val="21"/>
                <w:highlight w:val="none"/>
              </w:rPr>
              <w:t>设有，核心产品为公路交通气象观测站</w:t>
            </w:r>
            <w:bookmarkEnd w:id="43"/>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4" w:name="联合体投标_jointFlagText"/>
            <w:r>
              <w:rPr>
                <w:rFonts w:ascii="宋体" w:hAnsi="宋体" w:cs="微软雅黑" w:hint="eastAsia"/>
                <w:kern w:val="0"/>
                <w:szCs w:val="21"/>
                <w:highlight w:val="none"/>
              </w:rPr>
              <w:t>不允许</w:t>
            </w:r>
            <w:bookmarkEnd w:id="44"/>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5"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必须，以下产品需要提供至投标截止日仍有效的《气象专用技术装备使用许可证》：1、公路交通气象观测站</w:t>
            </w:r>
            <w:bookmarkEnd w:id="45"/>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6" w:name="进口产品投标_entranceFlagText"/>
            <w:r>
              <w:rPr>
                <w:rFonts w:asciiTheme="minorEastAsia" w:eastAsiaTheme="minorEastAsia" w:hAnsiTheme="minorEastAsia" w:cstheme="minorEastAsia" w:hint="eastAsia"/>
                <w:kern w:val="0"/>
                <w:szCs w:val="21"/>
                <w:highlight w:val="none"/>
              </w:rPr>
              <w:t>不允许</w:t>
            </w:r>
            <w:bookmarkEnd w:id="46"/>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标的： 1、公路交通气象观测站，2、太阳辐射站 ，3、高原特色农业站，属于  工业  行业；</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8"/>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9" w:name="中标服务费_finalAmountText"/>
            <w:r>
              <w:rPr>
                <w:rFonts w:hint="eastAsia"/>
                <w:highlight w:val="none"/>
                <w:lang w:eastAsia="zh-CN"/>
              </w:rPr>
              <w:t>是，中标服务费：2.9万元。</w:t>
            </w:r>
            <w:bookmarkEnd w:id="49"/>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2" w:name="预算金额_budgetAmount"/>
            <w:r>
              <w:rPr>
                <w:rFonts w:ascii="宋体" w:hAnsi="宋体" w:cs="微软雅黑" w:hint="eastAsia"/>
                <w:kern w:val="0"/>
                <w:szCs w:val="21"/>
                <w:highlight w:val="none"/>
              </w:rPr>
              <w:t>275.000000</w:t>
            </w:r>
            <w:bookmarkEnd w:id="52"/>
            <w:r>
              <w:rPr>
                <w:rFonts w:ascii="宋体" w:hAnsi="宋体" w:cs="微软雅黑" w:hint="eastAsia"/>
                <w:kern w:val="0"/>
                <w:szCs w:val="21"/>
                <w:highlight w:val="none"/>
              </w:rPr>
              <w:t>万元</w:t>
            </w:r>
            <w:bookmarkStart w:id="53" w:name="预算明细_packMoneyDetail"/>
            <w:r>
              <w:rPr>
                <w:rFonts w:hint="eastAsia"/>
                <w:szCs w:val="21"/>
                <w:highlight w:val="none"/>
              </w:rPr>
              <w:t>,包 1 采购预算(或最高限价)为人民币 275.000000 万元</w:t>
            </w:r>
            <w:bookmarkEnd w:id="53"/>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4" w:name="关键性工作_entrustingOthersFlagText"/>
            <w:r>
              <w:rPr>
                <w:rFonts w:ascii="Wingdings 2" w:hAnsi="Wingdings 2" w:cs="微软雅黑"/>
                <w:kern w:val="0"/>
                <w:szCs w:val="21"/>
                <w:highlight w:val="none"/>
              </w:rPr>
              <w:t>不允许</w:t>
            </w:r>
            <w:bookmarkEnd w:id="54"/>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提供公路交通气象观测站、农业气象站、热电式数字直接辐射表，热电式数字总辐射表，热电式数字长波辐射表销售合同。每提供一种设备的销售合同得1分（同一合同中包括上述多个设备的，按上述设备种类数计算合同数），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(3)</w:t>
            </w:r>
          </w:p>
        </w:tc>
        <w:tc>
          <w:tcPr/>
          <w:p>
            <w:r>
              <w:t>评审标准：</w:t>
            </w:r>
          </w:p>
          <w:p>
            <w:r>
              <w:t>针对本项目采购的公路交通气象观测站、农业气象站、热电式数字直接辐射表，热电式数字总辐射表，热电式数字长波辐射表，</w:t>
              <w:cr/>
              <w:t>承诺每提前10天交货的得1分，最多得3分。否则不得分。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针对公路交通气象观测站、农业气象站、热电式数字直接辐射表，热电式数字总辐射表，热电式数字长波辐射表，每提供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2、除项目经理外至少3人具有2年及以上相关工作经验的，得2分；为本项目派出的技术人员至少2人具有1年及以上相关工作经验的，得1分；其他不得分。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投标产品技术性能（客观分）</w:t>
            </w:r>
          </w:p>
        </w:tc>
        <w:tc>
          <w:tcPr/>
          <w:p>
            <w:r>
              <w:t>区间打分</w:t>
            </w:r>
            <w:r>
              <w:t>(40)</w:t>
            </w:r>
          </w:p>
        </w:tc>
        <w:tc>
          <w:tcPr/>
          <w:p>
            <w:r>
              <w:t>评审标准：</w:t>
            </w:r>
          </w:p>
          <w:p>
            <w:r>
              <w:t>标注#的重要指标共25项，每满足1项（如有多个下级指标，则每个下级指标均应满足）得1.6分，满分40分。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投标产品技术方案（主观分）</w:t>
            </w:r>
          </w:p>
        </w:tc>
        <w:tc>
          <w:tcPr/>
          <w:p>
            <w:r>
              <w:t>勾选打分</w:t>
            </w:r>
            <w:r>
              <w:t>(2)</w:t>
            </w:r>
          </w:p>
        </w:tc>
        <w:tc>
          <w:tcPr/>
          <w:p>
            <w:r>
              <w:t>评审标准：</w:t>
            </w:r>
          </w:p>
          <w:p>
            <w:r>
              <w:t>一档0分</w:t>
              <w:cr/>
              <w:t>二档0.5分</w:t>
              <w:cr/>
              <w:t>三档1分</w:t>
              <w:cr/>
              <w:t>四档2分</w:t>
            </w:r>
          </w:p>
          <w:p>
            <w:r>
              <w:t>评审标准说明：</w:t>
            </w:r>
          </w:p>
          <w:p>
            <w:r>
              <w:t>根据投标人提供的技术方案进行评分，具体评分标准如下：</w:t>
              <w:cr/>
              <w:t xml:space="preserve">一档：未提供技术方案。 </w:t>
              <w:cr/>
              <w:t xml:space="preserve">二档：技术方案能按照招标文件的格式进行响应，技术响应比较浅显，缺乏针对性。 </w:t>
              <w:cr/>
              <w:t xml:space="preserve">三档：技术方案基本能按照招标文件的要求进行响应，有一定针对性，基本满足采购文件的需求。 </w:t>
              <w:cr/>
              <w:t>四档：技术方案能按照招标文件的要求进行响应，详细具体，针对性强，与项目实际情况相契合，完全满足采购文件的需求。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针对交通气象观测站、农业气象站、热电式数字直接辐射表，热电式数字总辐射表，热电式数字长波辐射表，测试报告应涵盖恒温试验、冲击试验、盐雾试验等内容，每包含一项得1分，最多得3分。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b/>
          <w:bCs/>
          <w:sz w:val="28"/>
          <w:szCs w:val="20"/>
        </w:rPr>
      </w:pPr>
      <w:r>
        <w:rPr>
          <w:rFonts w:ascii="仿宋" w:eastAsia="仿宋" w:hAnsi="仿宋" w:cs="仿宋" w:hint="eastAsia"/>
          <w:b/>
          <w:bCs/>
          <w:sz w:val="28"/>
          <w:szCs w:val="20"/>
          <w:lang w:val="en-US" w:eastAsia="zh-CN"/>
        </w:rPr>
        <w:t>一、项目概况及总体要求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lang w:val="en-US" w:eastAsia="zh-CN"/>
        </w:rPr>
        <w:t>该项目来源于2025年云南高质量发展气象服务保障工程。项目在全省建设8套太阳辐射站，在普洱咖啡基地建设1套农业气象观测站，在曲靖建设2套公路交通气象观测站，提高农业气象监测预警和服务能力，筑牢地方防灾减灾防线，以推动云南气象高质量发展。</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b/>
          <w:bCs/>
          <w:sz w:val="28"/>
          <w:szCs w:val="20"/>
          <w:lang w:val="en-US" w:eastAsia="zh-CN"/>
        </w:rPr>
        <w:t>二、设备需求一览表</w:t>
      </w:r>
      <w:r>
        <w:rPr>
          <w:rFonts w:ascii="仿宋" w:eastAsia="仿宋" w:hAnsi="仿宋" w:cs="仿宋" w:hint="eastAsia"/>
          <w:sz w:val="28"/>
          <w:szCs w:val="20"/>
          <w:lang w:val="en-US" w:eastAsia="zh-CN"/>
        </w:rPr>
        <w:t>（见第七章 采购需求 附表）</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b/>
          <w:bCs/>
          <w:sz w:val="28"/>
          <w:szCs w:val="20"/>
          <w:lang w:val="en-US" w:eastAsia="zh-CN"/>
        </w:rPr>
        <w:t>三、技术性能指标</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lang w:val="en-US" w:eastAsia="zh-CN"/>
        </w:rPr>
        <w:t>3.</w:t>
      </w:r>
      <w:r>
        <w:rPr>
          <w:rFonts w:ascii="仿宋" w:eastAsia="仿宋" w:hAnsi="仿宋" w:cs="仿宋" w:hint="default"/>
          <w:sz w:val="28"/>
          <w:szCs w:val="20"/>
          <w:lang w:val="en-US" w:eastAsia="zh-CN"/>
        </w:rPr>
        <w:t>1</w:t>
      </w:r>
      <w:r>
        <w:rPr>
          <w:rFonts w:ascii="仿宋" w:eastAsia="仿宋" w:hAnsi="仿宋" w:cs="仿宋" w:hint="eastAsia"/>
          <w:sz w:val="28"/>
          <w:szCs w:val="20"/>
          <w:lang w:val="en-US" w:eastAsia="zh-CN"/>
        </w:rPr>
        <w:t>太阳辐射站</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color w:val="auto"/>
          <w:sz w:val="28"/>
          <w:szCs w:val="20"/>
        </w:rPr>
      </w:pPr>
      <w:r>
        <w:rPr>
          <w:rFonts w:ascii="仿宋" w:eastAsia="仿宋" w:hAnsi="仿宋" w:cs="仿宋" w:hint="eastAsia"/>
          <w:color w:val="auto"/>
          <w:sz w:val="28"/>
          <w:szCs w:val="20"/>
          <w:lang w:val="en-US" w:eastAsia="zh-CN"/>
        </w:rPr>
        <w:t>太阳辐射站观测项目包括</w:t>
      </w:r>
      <w:r>
        <w:rPr>
          <w:rFonts w:ascii="仿宋" w:eastAsia="仿宋" w:hAnsi="仿宋" w:cs="仿宋" w:hint="eastAsia"/>
          <w:color w:val="auto"/>
          <w:sz w:val="28"/>
          <w:szCs w:val="20"/>
          <w:highlight w:val="none"/>
          <w:lang w:val="en-US" w:eastAsia="zh-CN"/>
        </w:rPr>
        <w:t>6种要素：总辐射、反射辐射、散射辐射、直接辐射、大气长波辐射、地面长波辐射。</w:t>
      </w:r>
      <w:r>
        <w:rPr>
          <w:rFonts w:ascii="仿宋" w:eastAsia="仿宋" w:hAnsi="仿宋" w:cs="仿宋" w:hint="eastAsia"/>
          <w:color w:val="auto"/>
          <w:sz w:val="28"/>
          <w:szCs w:val="20"/>
          <w:lang w:val="en-US" w:eastAsia="zh-CN"/>
        </w:rPr>
        <w:t>另外</w:t>
      </w:r>
      <w:r>
        <w:rPr>
          <w:rFonts w:ascii="仿宋" w:eastAsia="仿宋" w:hAnsi="仿宋" w:cs="仿宋" w:hint="default"/>
          <w:color w:val="auto"/>
          <w:sz w:val="28"/>
          <w:szCs w:val="20"/>
          <w:lang w:val="en-US" w:eastAsia="zh-CN"/>
        </w:rPr>
        <w:t>还</w:t>
      </w:r>
      <w:r>
        <w:rPr>
          <w:rFonts w:ascii="仿宋" w:eastAsia="仿宋" w:hAnsi="仿宋" w:cs="仿宋" w:hint="eastAsia"/>
          <w:color w:val="auto"/>
          <w:sz w:val="28"/>
          <w:szCs w:val="20"/>
          <w:lang w:val="en-US" w:eastAsia="zh-CN"/>
        </w:rPr>
        <w:t>会产生</w:t>
      </w:r>
      <w:r>
        <w:rPr>
          <w:rFonts w:ascii="仿宋" w:eastAsia="仿宋" w:hAnsi="仿宋" w:cs="仿宋" w:hint="default"/>
          <w:color w:val="auto"/>
          <w:sz w:val="28"/>
          <w:szCs w:val="20"/>
          <w:lang w:val="en-US" w:eastAsia="zh-CN"/>
        </w:rPr>
        <w:t>一个</w:t>
      </w:r>
      <w:r>
        <w:rPr>
          <w:rFonts w:ascii="仿宋" w:eastAsia="仿宋" w:hAnsi="仿宋" w:cs="仿宋" w:hint="eastAsia"/>
          <w:color w:val="auto"/>
          <w:sz w:val="28"/>
          <w:szCs w:val="20"/>
          <w:lang w:val="en-US" w:eastAsia="zh-CN"/>
        </w:rPr>
        <w:t>导出</w:t>
      </w:r>
      <w:r>
        <w:rPr>
          <w:rFonts w:ascii="仿宋" w:eastAsia="仿宋" w:hAnsi="仿宋" w:cs="仿宋" w:hint="default"/>
          <w:color w:val="auto"/>
          <w:sz w:val="28"/>
          <w:szCs w:val="20"/>
          <w:lang w:val="en-US" w:eastAsia="zh-CN"/>
        </w:rPr>
        <w:t>量—净全辐射</w:t>
      </w:r>
      <w:r>
        <w:rPr>
          <w:rFonts w:ascii="仿宋" w:eastAsia="仿宋" w:hAnsi="仿宋" w:cs="仿宋" w:hint="eastAsia"/>
          <w:color w:val="auto"/>
          <w:sz w:val="28"/>
          <w:szCs w:val="20"/>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lang w:val="en-US" w:eastAsia="zh-CN"/>
        </w:rPr>
        <w:t>一级辐射观测站的硬件分辐射传感器、数据采集系统、电源系统、通信系统和辅助设备。</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lang w:val="en-US" w:eastAsia="zh-CN"/>
        </w:rPr>
        <w:t>辐射传感器包括：数字式总辐射传感器、数字式散射辐射传感器、数字式反射辐射传感器、数字式直接辐射传感器、数字式大气长波辐射传感器、数字式地面长波传感器。</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lang w:val="en-US" w:eastAsia="zh-CN"/>
        </w:rPr>
        <w:t>辅助设备包括：总辐射加热通风罩、大气长波加热通风罩、散射辐射加热通风罩、全自动太阳跟踪器、辐射分采集器及安装支架。</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b/>
          <w:bCs/>
          <w:sz w:val="28"/>
          <w:szCs w:val="20"/>
        </w:rPr>
      </w:pPr>
      <w:r>
        <w:rPr>
          <w:rFonts w:ascii="仿宋" w:eastAsia="仿宋" w:hAnsi="仿宋" w:cs="仿宋" w:hint="eastAsia"/>
          <w:b/>
          <w:bCs/>
          <w:sz w:val="28"/>
          <w:szCs w:val="20"/>
          <w:lang w:val="en-US" w:eastAsia="zh-CN"/>
        </w:rPr>
        <w:t>技术指标：</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lang w:val="en-US" w:eastAsia="zh-CN"/>
        </w:rPr>
        <w:t>热电式数字总辐射：光谱范围300nm-3000nm;响应时间（95%响应）&lt;20s;稳定性±1.5%;</w:t>
      </w:r>
      <w:r>
        <w:rPr>
          <w:rFonts w:ascii="仿宋" w:eastAsia="仿宋" w:hAnsi="仿宋" w:cs="仿宋" w:hint="eastAsia"/>
          <w:sz w:val="28"/>
          <w:szCs w:val="20"/>
          <w:highlight w:val="yellow"/>
          <w:lang w:val="en-US" w:eastAsia="zh-CN"/>
        </w:rPr>
        <w:t>#绝缘电阻大于10MΩ</w:t>
      </w:r>
      <w:r>
        <w:rPr>
          <w:rFonts w:ascii="仿宋" w:eastAsia="仿宋" w:hAnsi="仿宋" w:cs="仿宋" w:hint="eastAsia"/>
          <w:sz w:val="28"/>
          <w:szCs w:val="20"/>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lang w:val="en-US" w:eastAsia="zh-CN"/>
        </w:rPr>
        <w:t>热电式数字长波辐射表：光谱范围4.5μm-42μm；响应时间（95%响应）&lt;30s；年稳定性±3%</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lang w:val="en-US" w:eastAsia="zh-CN"/>
        </w:rPr>
        <w:t>热电式数字直接辐射表：光谱范围300nm-3000nm;响应时间（95%响应）&lt;20s;稳定性±0.5%。</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lang w:val="en-US" w:eastAsia="zh-CN"/>
        </w:rPr>
        <w:t>3.2农业气象观测站</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lang w:val="en-US" w:eastAsia="zh-CN"/>
        </w:rPr>
        <w:t>农业气象观测站包括8种要素：温度，湿度，风向，风速，日照时数，雨量，2层地温（0cm、20cm），2层土壤水分（20cm、40cm），光合有效。</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lang w:val="en-US" w:eastAsia="zh-CN"/>
        </w:rPr>
        <w:t>农业气象观测站的硬件分传感器、数据采集系统、电源系统、通信系统和辅助设备。</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lang w:val="en-US" w:eastAsia="zh-CN"/>
        </w:rPr>
        <w:t>传感器包括：温湿度传感器，风向风速传感器，日照时数传感器，雨量传感器，地温传感器，土壤水分传感器，光合有效传感器。</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lang w:val="en-US" w:eastAsia="zh-CN"/>
        </w:rPr>
        <w:t>辅助设备包括：风杆，防辐射罩，显示屏等。</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lang w:val="en-US" w:eastAsia="zh-CN"/>
        </w:rPr>
        <w:t>观测要素指标：</w:t>
      </w:r>
    </w:p>
    <w:tbl>
      <w:tblPr>
        <w:tblStyle w:val="TableNormal"/>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779"/>
        <w:gridCol w:w="2127"/>
        <w:gridCol w:w="2126"/>
        <w:gridCol w:w="2305"/>
      </w:tblGrid>
      <w:tr>
        <w:tblPrEx>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1779"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b/>
                <w:szCs w:val="21"/>
              </w:rPr>
            </w:pPr>
            <w:r>
              <w:rPr>
                <w:rStyle w:val="a2"/>
                <w:rFonts w:ascii="仿宋" w:eastAsia="仿宋" w:hAnsi="仿宋" w:cs="仿宋" w:hint="eastAsia"/>
                <w:b/>
                <w:szCs w:val="21"/>
              </w:rPr>
              <w:t>项目</w:t>
            </w:r>
          </w:p>
        </w:tc>
        <w:tc>
          <w:tcPr>
            <w:tcW w:w="2127"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kinsoku/>
              <w:wordWrap/>
              <w:overflowPunct/>
              <w:topLinePunct w:val="0"/>
              <w:bidi w:val="0"/>
              <w:spacing w:line="480" w:lineRule="exact"/>
              <w:jc w:val="center"/>
              <w:textAlignment w:val="auto"/>
              <w:rPr>
                <w:rStyle w:val="a2"/>
                <w:rFonts w:ascii="仿宋" w:eastAsia="仿宋" w:hAnsi="仿宋" w:cs="仿宋" w:hint="eastAsia"/>
                <w:b/>
                <w:szCs w:val="21"/>
              </w:rPr>
            </w:pPr>
            <w:r>
              <w:rPr>
                <w:rStyle w:val="a2"/>
                <w:rFonts w:ascii="仿宋" w:eastAsia="仿宋" w:hAnsi="仿宋" w:cs="仿宋" w:hint="eastAsia"/>
                <w:b/>
                <w:szCs w:val="21"/>
              </w:rPr>
              <w:t>测量范围</w:t>
            </w:r>
          </w:p>
        </w:tc>
        <w:tc>
          <w:tcPr>
            <w:tcW w:w="2126" w:type="dxa"/>
            <w:tcBorders>
              <w:top w:val="single" w:sz="6" w:space="0" w:color="auto"/>
              <w:left w:val="single" w:sz="6" w:space="0" w:color="auto"/>
              <w:bottom w:val="single" w:sz="6" w:space="0" w:color="auto"/>
              <w:right w:val="single" w:sz="4" w:space="0" w:color="auto"/>
            </w:tcBorders>
            <w:vAlign w:val="center"/>
          </w:tcPr>
          <w:p>
            <w:pPr>
              <w:keepNext w:val="0"/>
              <w:keepLines w:val="0"/>
              <w:pageBreakBefore w:val="0"/>
              <w:kinsoku/>
              <w:wordWrap/>
              <w:overflowPunct/>
              <w:topLinePunct w:val="0"/>
              <w:bidi w:val="0"/>
              <w:spacing w:line="480" w:lineRule="exact"/>
              <w:jc w:val="center"/>
              <w:textAlignment w:val="auto"/>
              <w:rPr>
                <w:rStyle w:val="a2"/>
                <w:rFonts w:ascii="仿宋" w:eastAsia="仿宋" w:hAnsi="仿宋" w:cs="仿宋" w:hint="eastAsia"/>
                <w:b/>
                <w:szCs w:val="21"/>
              </w:rPr>
            </w:pPr>
            <w:r>
              <w:rPr>
                <w:rStyle w:val="a2"/>
                <w:rFonts w:ascii="仿宋" w:eastAsia="仿宋" w:hAnsi="仿宋" w:cs="仿宋" w:hint="eastAsia"/>
                <w:b/>
                <w:szCs w:val="21"/>
              </w:rPr>
              <w:t>分辨率</w:t>
            </w:r>
          </w:p>
        </w:tc>
        <w:tc>
          <w:tcPr>
            <w:tcW w:w="2305" w:type="dxa"/>
            <w:tcBorders>
              <w:top w:val="single" w:sz="6" w:space="0" w:color="auto"/>
              <w:left w:val="single" w:sz="4" w:space="0" w:color="auto"/>
              <w:bottom w:val="single" w:sz="6" w:space="0" w:color="auto"/>
              <w:right w:val="single" w:sz="8" w:space="0" w:color="auto"/>
            </w:tcBorders>
            <w:vAlign w:val="center"/>
          </w:tcPr>
          <w:p>
            <w:pPr>
              <w:keepNext w:val="0"/>
              <w:keepLines w:val="0"/>
              <w:pageBreakBefore w:val="0"/>
              <w:kinsoku/>
              <w:wordWrap/>
              <w:overflowPunct/>
              <w:topLinePunct w:val="0"/>
              <w:bidi w:val="0"/>
              <w:spacing w:line="480" w:lineRule="exact"/>
              <w:jc w:val="center"/>
              <w:textAlignment w:val="auto"/>
              <w:rPr>
                <w:rStyle w:val="a2"/>
                <w:rFonts w:ascii="仿宋" w:eastAsia="仿宋" w:hAnsi="仿宋" w:cs="仿宋" w:hint="eastAsia"/>
                <w:b/>
                <w:szCs w:val="21"/>
              </w:rPr>
            </w:pPr>
            <w:r>
              <w:rPr>
                <w:rStyle w:val="a2"/>
                <w:rFonts w:ascii="仿宋" w:eastAsia="仿宋" w:hAnsi="仿宋" w:cs="仿宋" w:hint="eastAsia"/>
                <w:b/>
                <w:szCs w:val="21"/>
              </w:rPr>
              <w:t>最大允许误差</w:t>
            </w:r>
          </w:p>
        </w:tc>
      </w:tr>
      <w:tr>
        <w:tblPrEx>
          <w:tblW w:w="8337" w:type="dxa"/>
          <w:jc w:val="center"/>
          <w:tblLayout w:type="fixed"/>
          <w:tblCellMar>
            <w:top w:w="0" w:type="dxa"/>
            <w:left w:w="108" w:type="dxa"/>
            <w:bottom w:w="0" w:type="dxa"/>
            <w:right w:w="108" w:type="dxa"/>
          </w:tblCellMar>
        </w:tblPrEx>
        <w:trPr>
          <w:jc w:val="center"/>
        </w:trPr>
        <w:tc>
          <w:tcPr>
            <w:tcW w:w="1779"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szCs w:val="21"/>
              </w:rPr>
            </w:pPr>
            <w:r>
              <w:rPr>
                <w:rStyle w:val="a2"/>
                <w:rFonts w:ascii="仿宋" w:eastAsia="仿宋" w:hAnsi="仿宋" w:cs="仿宋" w:hint="eastAsia"/>
                <w:szCs w:val="21"/>
              </w:rPr>
              <w:t>气温</w:t>
            </w:r>
          </w:p>
        </w:tc>
        <w:tc>
          <w:tcPr>
            <w:tcW w:w="2127"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szCs w:val="21"/>
              </w:rPr>
            </w:pPr>
            <w:r>
              <w:rPr>
                <w:rStyle w:val="a2"/>
                <w:rFonts w:ascii="仿宋" w:eastAsia="仿宋" w:hAnsi="仿宋" w:cs="仿宋" w:hint="eastAsia"/>
                <w:szCs w:val="21"/>
                <w:highlight w:val="yellow"/>
                <w:lang w:val="en-US" w:eastAsia="zh-CN"/>
              </w:rPr>
              <w:t>#</w:t>
            </w:r>
            <w:r>
              <w:rPr>
                <w:rStyle w:val="a2"/>
                <w:rFonts w:ascii="仿宋" w:eastAsia="仿宋" w:hAnsi="仿宋" w:cs="仿宋" w:hint="eastAsia"/>
                <w:szCs w:val="21"/>
                <w:highlight w:val="yellow"/>
              </w:rPr>
              <w:t>-40~50℃</w:t>
            </w:r>
          </w:p>
        </w:tc>
        <w:tc>
          <w:tcPr>
            <w:tcW w:w="2126" w:type="dxa"/>
            <w:tcBorders>
              <w:top w:val="single" w:sz="6" w:space="0" w:color="auto"/>
              <w:left w:val="single" w:sz="6" w:space="0" w:color="auto"/>
              <w:bottom w:val="single" w:sz="6" w:space="0" w:color="auto"/>
              <w:right w:val="single" w:sz="4" w:space="0" w:color="auto"/>
            </w:tcBorders>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szCs w:val="21"/>
              </w:rPr>
            </w:pPr>
            <w:r>
              <w:rPr>
                <w:rStyle w:val="a2"/>
                <w:rFonts w:ascii="仿宋" w:eastAsia="仿宋" w:hAnsi="仿宋" w:cs="仿宋" w:hint="eastAsia"/>
                <w:szCs w:val="21"/>
                <w:highlight w:val="yellow"/>
                <w:lang w:val="en-US" w:eastAsia="zh-CN"/>
              </w:rPr>
              <w:t>#</w:t>
            </w:r>
            <w:r>
              <w:rPr>
                <w:rStyle w:val="a2"/>
                <w:rFonts w:ascii="仿宋" w:eastAsia="仿宋" w:hAnsi="仿宋" w:cs="仿宋" w:hint="eastAsia"/>
                <w:szCs w:val="21"/>
                <w:highlight w:val="yellow"/>
              </w:rPr>
              <w:t>0.1℃</w:t>
            </w:r>
          </w:p>
        </w:tc>
        <w:tc>
          <w:tcPr>
            <w:tcW w:w="2305" w:type="dxa"/>
            <w:tcBorders>
              <w:top w:val="single" w:sz="6" w:space="0" w:color="auto"/>
              <w:left w:val="single" w:sz="4" w:space="0" w:color="auto"/>
              <w:bottom w:val="single" w:sz="6" w:space="0" w:color="auto"/>
              <w:right w:val="single" w:sz="8" w:space="0" w:color="auto"/>
            </w:tcBorders>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szCs w:val="21"/>
              </w:rPr>
            </w:pPr>
            <w:r>
              <w:rPr>
                <w:rStyle w:val="a2"/>
                <w:rFonts w:ascii="仿宋" w:eastAsia="仿宋" w:hAnsi="仿宋" w:cs="仿宋" w:hint="eastAsia"/>
                <w:szCs w:val="21"/>
                <w:highlight w:val="yellow"/>
                <w:lang w:val="en-US" w:eastAsia="zh-CN"/>
              </w:rPr>
              <w:t>#</w:t>
            </w:r>
            <w:r>
              <w:rPr>
                <w:rStyle w:val="a2"/>
                <w:rFonts w:ascii="仿宋" w:eastAsia="仿宋" w:hAnsi="仿宋" w:cs="仿宋" w:hint="eastAsia"/>
                <w:szCs w:val="21"/>
                <w:highlight w:val="yellow"/>
              </w:rPr>
              <w:t>±0.3℃</w:t>
            </w:r>
          </w:p>
        </w:tc>
      </w:tr>
      <w:tr>
        <w:tblPrEx>
          <w:tblW w:w="8337" w:type="dxa"/>
          <w:jc w:val="center"/>
          <w:tblLayout w:type="fixed"/>
          <w:tblCellMar>
            <w:top w:w="0" w:type="dxa"/>
            <w:left w:w="108" w:type="dxa"/>
            <w:bottom w:w="0" w:type="dxa"/>
            <w:right w:w="108" w:type="dxa"/>
          </w:tblCellMar>
        </w:tblPrEx>
        <w:trPr>
          <w:jc w:val="center"/>
        </w:trPr>
        <w:tc>
          <w:tcPr>
            <w:tcW w:w="1779"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szCs w:val="21"/>
              </w:rPr>
            </w:pPr>
            <w:r>
              <w:rPr>
                <w:rStyle w:val="a2"/>
                <w:rFonts w:ascii="仿宋" w:eastAsia="仿宋" w:hAnsi="仿宋" w:cs="仿宋" w:hint="eastAsia"/>
                <w:szCs w:val="21"/>
              </w:rPr>
              <w:t>相对湿度</w:t>
            </w:r>
          </w:p>
        </w:tc>
        <w:tc>
          <w:tcPr>
            <w:tcW w:w="2127"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szCs w:val="21"/>
              </w:rPr>
            </w:pPr>
            <w:r>
              <w:rPr>
                <w:rStyle w:val="a2"/>
                <w:rFonts w:ascii="仿宋" w:eastAsia="仿宋" w:hAnsi="仿宋" w:cs="仿宋" w:hint="eastAsia"/>
                <w:szCs w:val="21"/>
              </w:rPr>
              <w:t>0~100%RH</w:t>
            </w:r>
          </w:p>
        </w:tc>
        <w:tc>
          <w:tcPr>
            <w:tcW w:w="2126" w:type="dxa"/>
            <w:tcBorders>
              <w:top w:val="single" w:sz="6" w:space="0" w:color="auto"/>
              <w:left w:val="single" w:sz="6" w:space="0" w:color="auto"/>
              <w:bottom w:val="single" w:sz="6" w:space="0" w:color="auto"/>
              <w:right w:val="single" w:sz="4" w:space="0" w:color="auto"/>
            </w:tcBorders>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szCs w:val="21"/>
              </w:rPr>
            </w:pPr>
            <w:r>
              <w:rPr>
                <w:rStyle w:val="a2"/>
                <w:rFonts w:ascii="仿宋" w:eastAsia="仿宋" w:hAnsi="仿宋" w:cs="仿宋" w:hint="eastAsia"/>
                <w:szCs w:val="21"/>
              </w:rPr>
              <w:t>1%RH</w:t>
            </w:r>
          </w:p>
        </w:tc>
        <w:tc>
          <w:tcPr>
            <w:tcW w:w="2305" w:type="dxa"/>
            <w:tcBorders>
              <w:top w:val="single" w:sz="6" w:space="0" w:color="auto"/>
              <w:left w:val="single" w:sz="4" w:space="0" w:color="auto"/>
              <w:bottom w:val="single" w:sz="6" w:space="0" w:color="auto"/>
              <w:right w:val="single" w:sz="8" w:space="0" w:color="auto"/>
            </w:tcBorders>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szCs w:val="21"/>
              </w:rPr>
            </w:pPr>
            <w:r>
              <w:rPr>
                <w:rStyle w:val="a2"/>
                <w:rFonts w:ascii="仿宋" w:eastAsia="仿宋" w:hAnsi="仿宋" w:cs="仿宋" w:hint="eastAsia"/>
                <w:szCs w:val="21"/>
              </w:rPr>
              <w:t>±3%（≤80%）</w:t>
            </w:r>
          </w:p>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szCs w:val="21"/>
              </w:rPr>
            </w:pPr>
            <w:r>
              <w:rPr>
                <w:rStyle w:val="a2"/>
                <w:rFonts w:ascii="仿宋" w:eastAsia="仿宋" w:hAnsi="仿宋" w:cs="仿宋" w:hint="eastAsia"/>
                <w:szCs w:val="21"/>
              </w:rPr>
              <w:t>±5%（＞80%）</w:t>
            </w:r>
          </w:p>
        </w:tc>
      </w:tr>
      <w:tr>
        <w:tblPrEx>
          <w:tblW w:w="8337" w:type="dxa"/>
          <w:jc w:val="center"/>
          <w:tblLayout w:type="fixed"/>
          <w:tblCellMar>
            <w:top w:w="0" w:type="dxa"/>
            <w:left w:w="108" w:type="dxa"/>
            <w:bottom w:w="0" w:type="dxa"/>
            <w:right w:w="108" w:type="dxa"/>
          </w:tblCellMar>
        </w:tblPrEx>
        <w:trPr>
          <w:trHeight w:val="502"/>
          <w:jc w:val="center"/>
        </w:trPr>
        <w:tc>
          <w:tcPr>
            <w:tcW w:w="1779"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szCs w:val="21"/>
              </w:rPr>
            </w:pPr>
            <w:r>
              <w:rPr>
                <w:rStyle w:val="a2"/>
                <w:rFonts w:ascii="仿宋" w:eastAsia="仿宋" w:hAnsi="仿宋" w:cs="仿宋" w:hint="eastAsia"/>
                <w:szCs w:val="21"/>
              </w:rPr>
              <w:t>风向</w:t>
            </w:r>
          </w:p>
        </w:tc>
        <w:tc>
          <w:tcPr>
            <w:tcW w:w="2127"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szCs w:val="21"/>
              </w:rPr>
            </w:pPr>
            <w:r>
              <w:rPr>
                <w:rStyle w:val="a2"/>
                <w:rFonts w:ascii="仿宋" w:eastAsia="仿宋" w:hAnsi="仿宋" w:cs="仿宋" w:hint="eastAsia"/>
                <w:szCs w:val="21"/>
                <w:highlight w:val="yellow"/>
                <w:lang w:val="en-US" w:eastAsia="zh-CN"/>
              </w:rPr>
              <w:t>#</w:t>
            </w:r>
            <w:r>
              <w:rPr>
                <w:rStyle w:val="a2"/>
                <w:rFonts w:ascii="仿宋" w:eastAsia="仿宋" w:hAnsi="仿宋" w:cs="仿宋" w:hint="eastAsia"/>
                <w:szCs w:val="21"/>
                <w:highlight w:val="yellow"/>
              </w:rPr>
              <w:t>0~360 º</w:t>
            </w:r>
          </w:p>
        </w:tc>
        <w:tc>
          <w:tcPr>
            <w:tcW w:w="2126" w:type="dxa"/>
            <w:tcBorders>
              <w:top w:val="single" w:sz="6" w:space="0" w:color="auto"/>
              <w:left w:val="single" w:sz="6" w:space="0" w:color="auto"/>
              <w:bottom w:val="single" w:sz="6" w:space="0" w:color="auto"/>
              <w:right w:val="single" w:sz="4" w:space="0" w:color="auto"/>
            </w:tcBorders>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szCs w:val="21"/>
              </w:rPr>
            </w:pPr>
            <w:r>
              <w:rPr>
                <w:rStyle w:val="a2"/>
                <w:rFonts w:ascii="仿宋" w:eastAsia="仿宋" w:hAnsi="仿宋" w:cs="仿宋" w:hint="eastAsia"/>
                <w:szCs w:val="21"/>
                <w:highlight w:val="yellow"/>
                <w:lang w:val="en-US" w:eastAsia="zh-CN"/>
              </w:rPr>
              <w:t>#</w:t>
            </w:r>
            <w:r>
              <w:rPr>
                <w:rStyle w:val="a2"/>
                <w:rFonts w:ascii="仿宋" w:eastAsia="仿宋" w:hAnsi="仿宋" w:cs="仿宋" w:hint="eastAsia"/>
                <w:szCs w:val="21"/>
                <w:highlight w:val="yellow"/>
              </w:rPr>
              <w:t>3º</w:t>
            </w:r>
          </w:p>
        </w:tc>
        <w:tc>
          <w:tcPr>
            <w:tcW w:w="2305" w:type="dxa"/>
            <w:tcBorders>
              <w:top w:val="single" w:sz="6" w:space="0" w:color="auto"/>
              <w:left w:val="single" w:sz="4" w:space="0" w:color="auto"/>
              <w:bottom w:val="single" w:sz="6" w:space="0" w:color="auto"/>
              <w:right w:val="single" w:sz="8" w:space="0" w:color="auto"/>
            </w:tcBorders>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szCs w:val="21"/>
              </w:rPr>
            </w:pPr>
            <w:r>
              <w:rPr>
                <w:rStyle w:val="a2"/>
                <w:rFonts w:ascii="仿宋" w:eastAsia="仿宋" w:hAnsi="仿宋" w:cs="仿宋" w:hint="eastAsia"/>
                <w:szCs w:val="21"/>
                <w:highlight w:val="yellow"/>
                <w:lang w:val="en-US" w:eastAsia="zh-CN"/>
              </w:rPr>
              <w:t>#</w:t>
            </w:r>
            <w:r>
              <w:rPr>
                <w:rStyle w:val="a2"/>
                <w:rFonts w:ascii="仿宋" w:eastAsia="仿宋" w:hAnsi="仿宋" w:cs="仿宋" w:hint="eastAsia"/>
                <w:szCs w:val="21"/>
                <w:highlight w:val="yellow"/>
              </w:rPr>
              <w:t>±5°</w:t>
            </w:r>
          </w:p>
        </w:tc>
      </w:tr>
      <w:tr>
        <w:tblPrEx>
          <w:tblW w:w="8337" w:type="dxa"/>
          <w:jc w:val="center"/>
          <w:tblLayout w:type="fixed"/>
          <w:tblCellMar>
            <w:top w:w="0" w:type="dxa"/>
            <w:left w:w="108" w:type="dxa"/>
            <w:bottom w:w="0" w:type="dxa"/>
            <w:right w:w="108" w:type="dxa"/>
          </w:tblCellMar>
        </w:tblPrEx>
        <w:trPr>
          <w:jc w:val="center"/>
        </w:trPr>
        <w:tc>
          <w:tcPr>
            <w:tcW w:w="1779"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szCs w:val="21"/>
              </w:rPr>
            </w:pPr>
            <w:r>
              <w:rPr>
                <w:rStyle w:val="a2"/>
                <w:rFonts w:ascii="仿宋" w:eastAsia="仿宋" w:hAnsi="仿宋" w:cs="仿宋" w:hint="eastAsia"/>
                <w:szCs w:val="21"/>
              </w:rPr>
              <w:t>风速</w:t>
            </w:r>
          </w:p>
        </w:tc>
        <w:tc>
          <w:tcPr>
            <w:tcW w:w="2127"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szCs w:val="21"/>
              </w:rPr>
            </w:pPr>
            <w:r>
              <w:rPr>
                <w:rStyle w:val="a2"/>
                <w:rFonts w:ascii="仿宋" w:eastAsia="仿宋" w:hAnsi="仿宋" w:cs="仿宋" w:hint="eastAsia"/>
                <w:szCs w:val="21"/>
                <w:highlight w:val="yellow"/>
                <w:lang w:val="en-US" w:eastAsia="zh-CN"/>
              </w:rPr>
              <w:t>#</w:t>
            </w:r>
            <w:r>
              <w:rPr>
                <w:rStyle w:val="a2"/>
                <w:rFonts w:ascii="仿宋" w:eastAsia="仿宋" w:hAnsi="仿宋" w:cs="仿宋" w:hint="eastAsia"/>
                <w:szCs w:val="21"/>
                <w:highlight w:val="yellow"/>
              </w:rPr>
              <w:t>0~75m/s</w:t>
            </w:r>
          </w:p>
        </w:tc>
        <w:tc>
          <w:tcPr>
            <w:tcW w:w="2126" w:type="dxa"/>
            <w:tcBorders>
              <w:top w:val="single" w:sz="6" w:space="0" w:color="auto"/>
              <w:left w:val="single" w:sz="6" w:space="0" w:color="auto"/>
              <w:bottom w:val="single" w:sz="6" w:space="0" w:color="auto"/>
              <w:right w:val="single" w:sz="4" w:space="0" w:color="auto"/>
            </w:tcBorders>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szCs w:val="21"/>
              </w:rPr>
            </w:pPr>
            <w:r>
              <w:rPr>
                <w:rStyle w:val="a2"/>
                <w:rFonts w:ascii="仿宋" w:eastAsia="仿宋" w:hAnsi="仿宋" w:cs="仿宋" w:hint="eastAsia"/>
                <w:szCs w:val="21"/>
                <w:highlight w:val="yellow"/>
                <w:lang w:val="en-US" w:eastAsia="zh-CN"/>
              </w:rPr>
              <w:t>#</w:t>
            </w:r>
            <w:r>
              <w:rPr>
                <w:rStyle w:val="a2"/>
                <w:rFonts w:ascii="仿宋" w:eastAsia="仿宋" w:hAnsi="仿宋" w:cs="仿宋" w:hint="eastAsia"/>
                <w:szCs w:val="21"/>
                <w:highlight w:val="yellow"/>
              </w:rPr>
              <w:t>0.1m/s</w:t>
            </w:r>
          </w:p>
        </w:tc>
        <w:tc>
          <w:tcPr>
            <w:tcW w:w="2305" w:type="dxa"/>
            <w:tcBorders>
              <w:top w:val="single" w:sz="6" w:space="0" w:color="auto"/>
              <w:left w:val="single" w:sz="4" w:space="0" w:color="auto"/>
              <w:bottom w:val="single" w:sz="6" w:space="0" w:color="auto"/>
              <w:right w:val="single" w:sz="8" w:space="0" w:color="auto"/>
            </w:tcBorders>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szCs w:val="21"/>
              </w:rPr>
            </w:pPr>
            <w:r>
              <w:rPr>
                <w:rStyle w:val="a2"/>
                <w:rFonts w:ascii="仿宋" w:eastAsia="仿宋" w:hAnsi="仿宋" w:cs="仿宋" w:hint="eastAsia"/>
                <w:szCs w:val="21"/>
                <w:highlight w:val="yellow"/>
                <w:lang w:val="en-US" w:eastAsia="zh-CN"/>
              </w:rPr>
              <w:t>#</w:t>
            </w:r>
            <w:r>
              <w:rPr>
                <w:rStyle w:val="a2"/>
                <w:rFonts w:ascii="仿宋" w:eastAsia="仿宋" w:hAnsi="仿宋" w:cs="仿宋" w:hint="eastAsia"/>
                <w:szCs w:val="21"/>
                <w:highlight w:val="yellow"/>
              </w:rPr>
              <w:t>±（0.5+0.03V）m/s</w:t>
            </w:r>
          </w:p>
        </w:tc>
      </w:tr>
      <w:tr>
        <w:tblPrEx>
          <w:tblW w:w="8337" w:type="dxa"/>
          <w:jc w:val="center"/>
          <w:tblLayout w:type="fixed"/>
          <w:tblCellMar>
            <w:top w:w="0" w:type="dxa"/>
            <w:left w:w="108" w:type="dxa"/>
            <w:bottom w:w="0" w:type="dxa"/>
            <w:right w:w="108" w:type="dxa"/>
          </w:tblCellMar>
        </w:tblPrEx>
        <w:trPr>
          <w:jc w:val="center"/>
        </w:trPr>
        <w:tc>
          <w:tcPr>
            <w:tcW w:w="1779"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szCs w:val="21"/>
              </w:rPr>
            </w:pPr>
            <w:r>
              <w:rPr>
                <w:rStyle w:val="a2"/>
                <w:rFonts w:ascii="仿宋" w:eastAsia="仿宋" w:hAnsi="仿宋" w:cs="仿宋" w:hint="eastAsia"/>
                <w:szCs w:val="21"/>
              </w:rPr>
              <w:t>降水量</w:t>
            </w:r>
          </w:p>
        </w:tc>
        <w:tc>
          <w:tcPr>
            <w:tcW w:w="2127"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szCs w:val="21"/>
              </w:rPr>
            </w:pPr>
            <w:r>
              <w:rPr>
                <w:rStyle w:val="a2"/>
                <w:rFonts w:ascii="仿宋" w:eastAsia="仿宋" w:hAnsi="仿宋" w:cs="仿宋" w:hint="eastAsia"/>
                <w:szCs w:val="21"/>
                <w:highlight w:val="yellow"/>
                <w:lang w:val="en-US" w:eastAsia="zh-CN"/>
              </w:rPr>
              <w:t>#</w:t>
            </w:r>
            <w:r>
              <w:rPr>
                <w:rStyle w:val="a2"/>
                <w:rFonts w:ascii="仿宋" w:eastAsia="仿宋" w:hAnsi="仿宋" w:cs="仿宋" w:hint="eastAsia"/>
                <w:szCs w:val="21"/>
                <w:highlight w:val="yellow"/>
              </w:rPr>
              <w:t>雨强0～4mm/min</w:t>
            </w:r>
          </w:p>
        </w:tc>
        <w:tc>
          <w:tcPr>
            <w:tcW w:w="2126" w:type="dxa"/>
            <w:tcBorders>
              <w:top w:val="single" w:sz="6" w:space="0" w:color="auto"/>
              <w:left w:val="single" w:sz="6" w:space="0" w:color="auto"/>
              <w:bottom w:val="single" w:sz="6" w:space="0" w:color="auto"/>
              <w:right w:val="single" w:sz="4" w:space="0" w:color="auto"/>
            </w:tcBorders>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szCs w:val="21"/>
              </w:rPr>
            </w:pPr>
            <w:r>
              <w:rPr>
                <w:rStyle w:val="a2"/>
                <w:rFonts w:ascii="仿宋" w:eastAsia="仿宋" w:hAnsi="仿宋" w:cs="仿宋" w:hint="eastAsia"/>
                <w:szCs w:val="21"/>
                <w:highlight w:val="yellow"/>
                <w:lang w:val="en-US" w:eastAsia="zh-CN"/>
              </w:rPr>
              <w:t>#</w:t>
            </w:r>
            <w:r>
              <w:rPr>
                <w:rStyle w:val="a2"/>
                <w:rFonts w:ascii="仿宋" w:eastAsia="仿宋" w:hAnsi="仿宋" w:cs="仿宋" w:hint="eastAsia"/>
                <w:szCs w:val="21"/>
                <w:highlight w:val="yellow"/>
              </w:rPr>
              <w:t>0.1mm</w:t>
            </w:r>
          </w:p>
        </w:tc>
        <w:tc>
          <w:tcPr>
            <w:tcW w:w="2305" w:type="dxa"/>
            <w:tcBorders>
              <w:top w:val="single" w:sz="6" w:space="0" w:color="auto"/>
              <w:left w:val="single" w:sz="4" w:space="0" w:color="auto"/>
              <w:bottom w:val="single" w:sz="6" w:space="0" w:color="auto"/>
              <w:right w:val="single" w:sz="8" w:space="0" w:color="auto"/>
            </w:tcBorders>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szCs w:val="21"/>
                <w:highlight w:val="yellow"/>
              </w:rPr>
            </w:pPr>
            <w:r>
              <w:rPr>
                <w:rStyle w:val="a2"/>
                <w:rFonts w:ascii="仿宋" w:eastAsia="仿宋" w:hAnsi="仿宋" w:cs="仿宋" w:hint="eastAsia"/>
                <w:szCs w:val="21"/>
                <w:highlight w:val="yellow"/>
                <w:lang w:val="en-US" w:eastAsia="zh-CN"/>
              </w:rPr>
              <w:t>#</w:t>
            </w:r>
            <w:r>
              <w:rPr>
                <w:rStyle w:val="a2"/>
                <w:rFonts w:ascii="仿宋" w:eastAsia="仿宋" w:hAnsi="仿宋" w:cs="仿宋" w:hint="eastAsia"/>
                <w:szCs w:val="21"/>
                <w:highlight w:val="yellow"/>
              </w:rPr>
              <w:t>±0.4mm（≤10mm）</w:t>
            </w:r>
          </w:p>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szCs w:val="21"/>
              </w:rPr>
            </w:pPr>
            <w:r>
              <w:rPr>
                <w:rStyle w:val="a2"/>
                <w:rFonts w:ascii="仿宋" w:eastAsia="仿宋" w:hAnsi="仿宋" w:cs="仿宋" w:hint="eastAsia"/>
                <w:szCs w:val="21"/>
              </w:rPr>
              <w:t>±4%（＞10mm）</w:t>
            </w:r>
          </w:p>
        </w:tc>
      </w:tr>
      <w:tr>
        <w:tblPrEx>
          <w:tblW w:w="8337" w:type="dxa"/>
          <w:jc w:val="center"/>
          <w:tblLayout w:type="fixed"/>
          <w:tblCellMar>
            <w:top w:w="0" w:type="dxa"/>
            <w:left w:w="108" w:type="dxa"/>
            <w:bottom w:w="0" w:type="dxa"/>
            <w:right w:w="108" w:type="dxa"/>
          </w:tblCellMar>
        </w:tblPrEx>
        <w:trPr>
          <w:jc w:val="center"/>
        </w:trPr>
        <w:tc>
          <w:tcPr>
            <w:tcW w:w="1779"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szCs w:val="21"/>
              </w:rPr>
            </w:pPr>
            <w:r>
              <w:rPr>
                <w:rStyle w:val="a2"/>
                <w:rFonts w:ascii="仿宋" w:eastAsia="仿宋" w:hAnsi="仿宋" w:cs="仿宋" w:hint="eastAsia"/>
                <w:szCs w:val="21"/>
              </w:rPr>
              <w:t>光合有效辐射</w:t>
            </w:r>
          </w:p>
        </w:tc>
        <w:tc>
          <w:tcPr>
            <w:tcW w:w="2127"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szCs w:val="21"/>
              </w:rPr>
            </w:pPr>
            <w:r>
              <w:rPr>
                <w:rStyle w:val="a2"/>
                <w:rFonts w:ascii="仿宋" w:eastAsia="仿宋" w:hAnsi="仿宋" w:cs="仿宋" w:hint="eastAsia"/>
                <w:szCs w:val="21"/>
              </w:rPr>
              <w:t>0~5000μmol/m²/s</w:t>
            </w:r>
          </w:p>
        </w:tc>
        <w:tc>
          <w:tcPr>
            <w:tcW w:w="2126" w:type="dxa"/>
            <w:tcBorders>
              <w:top w:val="single" w:sz="6" w:space="0" w:color="auto"/>
              <w:left w:val="single" w:sz="6" w:space="0" w:color="auto"/>
              <w:bottom w:val="single" w:sz="6" w:space="0" w:color="auto"/>
              <w:right w:val="single" w:sz="4" w:space="0" w:color="auto"/>
            </w:tcBorders>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szCs w:val="21"/>
              </w:rPr>
            </w:pPr>
            <w:r>
              <w:rPr>
                <w:rStyle w:val="a2"/>
                <w:rFonts w:ascii="仿宋" w:eastAsia="仿宋" w:hAnsi="仿宋" w:cs="仿宋" w:hint="eastAsia"/>
                <w:szCs w:val="21"/>
              </w:rPr>
              <w:t>10μmol/m²/s</w:t>
            </w:r>
          </w:p>
        </w:tc>
        <w:tc>
          <w:tcPr>
            <w:tcW w:w="2305" w:type="dxa"/>
            <w:tcBorders>
              <w:top w:val="single" w:sz="6" w:space="0" w:color="auto"/>
              <w:left w:val="single" w:sz="4" w:space="0" w:color="auto"/>
              <w:bottom w:val="single" w:sz="6" w:space="0" w:color="auto"/>
              <w:right w:val="single" w:sz="8" w:space="0" w:color="auto"/>
            </w:tcBorders>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szCs w:val="21"/>
              </w:rPr>
            </w:pPr>
            <w:r>
              <w:rPr>
                <w:rStyle w:val="a2"/>
                <w:rFonts w:ascii="仿宋" w:eastAsia="仿宋" w:hAnsi="仿宋" w:cs="仿宋" w:hint="eastAsia"/>
                <w:szCs w:val="21"/>
              </w:rPr>
              <w:t>±10%（日累计）</w:t>
            </w:r>
          </w:p>
        </w:tc>
      </w:tr>
      <w:tr>
        <w:tblPrEx>
          <w:tblW w:w="8337" w:type="dxa"/>
          <w:jc w:val="center"/>
          <w:tblLayout w:type="fixed"/>
          <w:tblCellMar>
            <w:top w:w="0" w:type="dxa"/>
            <w:left w:w="108" w:type="dxa"/>
            <w:bottom w:w="0" w:type="dxa"/>
            <w:right w:w="108" w:type="dxa"/>
          </w:tblCellMar>
        </w:tblPrEx>
        <w:trPr>
          <w:jc w:val="center"/>
        </w:trPr>
        <w:tc>
          <w:tcPr>
            <w:tcW w:w="1779"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szCs w:val="21"/>
              </w:rPr>
            </w:pPr>
            <w:r>
              <w:rPr>
                <w:rStyle w:val="a2"/>
                <w:rFonts w:ascii="仿宋" w:eastAsia="仿宋" w:hAnsi="仿宋" w:cs="仿宋" w:hint="eastAsia"/>
                <w:szCs w:val="21"/>
              </w:rPr>
              <w:t>日照</w:t>
            </w:r>
          </w:p>
        </w:tc>
        <w:tc>
          <w:tcPr>
            <w:tcW w:w="2127"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szCs w:val="21"/>
              </w:rPr>
            </w:pPr>
            <w:r>
              <w:rPr>
                <w:rStyle w:val="a2"/>
                <w:rFonts w:ascii="仿宋" w:eastAsia="仿宋" w:hAnsi="仿宋" w:cs="仿宋" w:hint="eastAsia"/>
                <w:szCs w:val="21"/>
              </w:rPr>
              <w:t>0～24h</w:t>
            </w:r>
          </w:p>
        </w:tc>
        <w:tc>
          <w:tcPr>
            <w:tcW w:w="2126" w:type="dxa"/>
            <w:tcBorders>
              <w:top w:val="single" w:sz="6" w:space="0" w:color="auto"/>
              <w:left w:val="single" w:sz="6" w:space="0" w:color="auto"/>
              <w:bottom w:val="single" w:sz="6" w:space="0" w:color="auto"/>
              <w:right w:val="single" w:sz="4" w:space="0" w:color="auto"/>
            </w:tcBorders>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szCs w:val="21"/>
              </w:rPr>
            </w:pPr>
            <w:r>
              <w:rPr>
                <w:rStyle w:val="a2"/>
                <w:rFonts w:ascii="仿宋" w:eastAsia="仿宋" w:hAnsi="仿宋" w:cs="仿宋" w:hint="eastAsia"/>
                <w:szCs w:val="21"/>
              </w:rPr>
              <w:t>1min</w:t>
            </w:r>
          </w:p>
        </w:tc>
        <w:tc>
          <w:tcPr>
            <w:tcW w:w="2305" w:type="dxa"/>
            <w:tcBorders>
              <w:top w:val="single" w:sz="6" w:space="0" w:color="auto"/>
              <w:left w:val="single" w:sz="4" w:space="0" w:color="auto"/>
              <w:bottom w:val="single" w:sz="6" w:space="0" w:color="auto"/>
              <w:right w:val="single" w:sz="8" w:space="0" w:color="auto"/>
            </w:tcBorders>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szCs w:val="21"/>
              </w:rPr>
            </w:pPr>
            <w:r>
              <w:rPr>
                <w:rStyle w:val="a2"/>
                <w:rFonts w:ascii="仿宋" w:eastAsia="仿宋" w:hAnsi="仿宋" w:cs="仿宋" w:hint="eastAsia"/>
                <w:szCs w:val="21"/>
              </w:rPr>
              <w:t>±10%（月累计）</w:t>
            </w:r>
          </w:p>
        </w:tc>
      </w:tr>
      <w:tr>
        <w:tblPrEx>
          <w:tblW w:w="8337" w:type="dxa"/>
          <w:jc w:val="center"/>
          <w:tblLayout w:type="fixed"/>
          <w:tblCellMar>
            <w:top w:w="0" w:type="dxa"/>
            <w:left w:w="108" w:type="dxa"/>
            <w:bottom w:w="0" w:type="dxa"/>
            <w:right w:w="108" w:type="dxa"/>
          </w:tblCellMar>
        </w:tblPrEx>
        <w:trPr>
          <w:jc w:val="center"/>
        </w:trPr>
        <w:tc>
          <w:tcPr>
            <w:tcW w:w="1779"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szCs w:val="21"/>
              </w:rPr>
            </w:pPr>
            <w:r>
              <w:rPr>
                <w:rStyle w:val="a2"/>
                <w:rFonts w:ascii="仿宋" w:eastAsia="仿宋" w:hAnsi="仿宋" w:cs="仿宋" w:hint="eastAsia"/>
                <w:szCs w:val="21"/>
              </w:rPr>
              <w:t>土壤温度</w:t>
            </w:r>
          </w:p>
        </w:tc>
        <w:tc>
          <w:tcPr>
            <w:tcW w:w="2127"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szCs w:val="21"/>
              </w:rPr>
            </w:pPr>
            <w:r>
              <w:rPr>
                <w:rStyle w:val="a2"/>
                <w:rFonts w:ascii="仿宋" w:eastAsia="仿宋" w:hAnsi="仿宋" w:cs="仿宋" w:hint="eastAsia"/>
                <w:szCs w:val="21"/>
              </w:rPr>
              <w:t>-40~80℃</w:t>
            </w:r>
          </w:p>
        </w:tc>
        <w:tc>
          <w:tcPr>
            <w:tcW w:w="2126" w:type="dxa"/>
            <w:tcBorders>
              <w:top w:val="single" w:sz="6" w:space="0" w:color="auto"/>
              <w:left w:val="single" w:sz="6" w:space="0" w:color="auto"/>
              <w:bottom w:val="single" w:sz="6" w:space="0" w:color="auto"/>
              <w:right w:val="single" w:sz="4" w:space="0" w:color="auto"/>
            </w:tcBorders>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szCs w:val="21"/>
              </w:rPr>
            </w:pPr>
            <w:r>
              <w:rPr>
                <w:rStyle w:val="a2"/>
                <w:rFonts w:ascii="仿宋" w:eastAsia="仿宋" w:hAnsi="仿宋" w:cs="仿宋" w:hint="eastAsia"/>
                <w:szCs w:val="21"/>
              </w:rPr>
              <w:t>0.1℃</w:t>
            </w:r>
          </w:p>
        </w:tc>
        <w:tc>
          <w:tcPr>
            <w:tcW w:w="2305" w:type="dxa"/>
            <w:tcBorders>
              <w:top w:val="single" w:sz="6" w:space="0" w:color="auto"/>
              <w:left w:val="single" w:sz="4" w:space="0" w:color="auto"/>
              <w:bottom w:val="single" w:sz="6" w:space="0" w:color="auto"/>
              <w:right w:val="single" w:sz="8" w:space="0" w:color="auto"/>
            </w:tcBorders>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szCs w:val="21"/>
              </w:rPr>
            </w:pPr>
            <w:r>
              <w:rPr>
                <w:rStyle w:val="a2"/>
                <w:rFonts w:ascii="仿宋" w:eastAsia="仿宋" w:hAnsi="仿宋" w:cs="仿宋" w:hint="eastAsia"/>
                <w:szCs w:val="21"/>
              </w:rPr>
              <w:t>±0.5℃(50℃～80℃)</w:t>
            </w:r>
          </w:p>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szCs w:val="21"/>
              </w:rPr>
            </w:pPr>
            <w:r>
              <w:rPr>
                <w:rStyle w:val="a2"/>
                <w:rFonts w:ascii="仿宋" w:eastAsia="仿宋" w:hAnsi="仿宋" w:cs="仿宋" w:hint="eastAsia"/>
                <w:szCs w:val="21"/>
              </w:rPr>
              <w:t>±0.2℃（-40℃～50℃）</w:t>
            </w:r>
          </w:p>
        </w:tc>
      </w:tr>
      <w:tr>
        <w:tblPrEx>
          <w:tblW w:w="8337" w:type="dxa"/>
          <w:jc w:val="center"/>
          <w:tblLayout w:type="fixed"/>
          <w:tblCellMar>
            <w:top w:w="0" w:type="dxa"/>
            <w:left w:w="108" w:type="dxa"/>
            <w:bottom w:w="0" w:type="dxa"/>
            <w:right w:w="108" w:type="dxa"/>
          </w:tblCellMar>
        </w:tblPrEx>
        <w:trPr>
          <w:jc w:val="center"/>
        </w:trPr>
        <w:tc>
          <w:tcPr>
            <w:tcW w:w="1779"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szCs w:val="21"/>
              </w:rPr>
            </w:pPr>
            <w:r>
              <w:rPr>
                <w:rStyle w:val="a2"/>
                <w:rFonts w:ascii="仿宋" w:eastAsia="仿宋" w:hAnsi="仿宋" w:cs="仿宋" w:hint="eastAsia"/>
                <w:szCs w:val="21"/>
              </w:rPr>
              <w:t>土壤水分</w:t>
            </w:r>
          </w:p>
        </w:tc>
        <w:tc>
          <w:tcPr>
            <w:tcW w:w="2127" w:type="dxa"/>
            <w:tcBorders>
              <w:top w:val="single" w:sz="6" w:space="0" w:color="auto"/>
              <w:left w:val="single" w:sz="6" w:space="0" w:color="auto"/>
              <w:bottom w:val="single" w:sz="6" w:space="0" w:color="auto"/>
              <w:right w:val="single" w:sz="6" w:space="0" w:color="auto"/>
            </w:tcBorders>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szCs w:val="21"/>
              </w:rPr>
            </w:pPr>
            <w:r>
              <w:rPr>
                <w:rStyle w:val="a2"/>
                <w:rFonts w:ascii="仿宋" w:eastAsia="仿宋" w:hAnsi="仿宋" w:cs="仿宋" w:hint="eastAsia"/>
                <w:szCs w:val="21"/>
              </w:rPr>
              <w:t>0~100%</w:t>
            </w:r>
          </w:p>
        </w:tc>
        <w:tc>
          <w:tcPr>
            <w:tcW w:w="2126" w:type="dxa"/>
            <w:tcBorders>
              <w:top w:val="single" w:sz="6" w:space="0" w:color="auto"/>
              <w:left w:val="single" w:sz="6" w:space="0" w:color="auto"/>
              <w:bottom w:val="single" w:sz="6" w:space="0" w:color="auto"/>
              <w:right w:val="single" w:sz="4" w:space="0" w:color="auto"/>
            </w:tcBorders>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szCs w:val="21"/>
              </w:rPr>
            </w:pPr>
            <w:r>
              <w:rPr>
                <w:rStyle w:val="a2"/>
                <w:rFonts w:ascii="仿宋" w:eastAsia="仿宋" w:hAnsi="仿宋" w:cs="仿宋" w:hint="eastAsia"/>
                <w:szCs w:val="21"/>
              </w:rPr>
              <w:t>1%</w:t>
            </w:r>
          </w:p>
        </w:tc>
        <w:tc>
          <w:tcPr>
            <w:tcW w:w="2305" w:type="dxa"/>
            <w:tcBorders>
              <w:top w:val="single" w:sz="6" w:space="0" w:color="auto"/>
              <w:left w:val="single" w:sz="4" w:space="0" w:color="auto"/>
              <w:bottom w:val="single" w:sz="6" w:space="0" w:color="auto"/>
              <w:right w:val="single" w:sz="8" w:space="0" w:color="auto"/>
            </w:tcBorders>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szCs w:val="21"/>
              </w:rPr>
            </w:pPr>
            <w:r>
              <w:rPr>
                <w:rStyle w:val="a2"/>
                <w:rFonts w:ascii="仿宋" w:eastAsia="仿宋" w:hAnsi="仿宋" w:cs="仿宋" w:hint="eastAsia"/>
                <w:szCs w:val="21"/>
              </w:rPr>
              <w:t>±5%（田间）</w:t>
            </w:r>
          </w:p>
        </w:tc>
      </w:tr>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lang w:val="en-US" w:eastAsia="zh-CN"/>
        </w:rPr>
        <w:t>3.3交通气象观测站</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color w:val="auto"/>
          <w:sz w:val="28"/>
          <w:szCs w:val="20"/>
        </w:rPr>
      </w:pPr>
      <w:r>
        <w:rPr>
          <w:rFonts w:ascii="仿宋" w:eastAsia="仿宋" w:hAnsi="仿宋" w:cs="仿宋" w:hint="eastAsia"/>
          <w:color w:val="auto"/>
          <w:sz w:val="28"/>
          <w:szCs w:val="20"/>
          <w:lang w:val="en-US" w:eastAsia="zh-CN"/>
        </w:rPr>
        <w:t>交通气象观测站包括温度，湿度，风向，风速，雨量，气压，能见度，路面温度，路基温度，雪深。</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lang w:val="en-US" w:eastAsia="zh-CN"/>
        </w:rPr>
        <w:t>交通气象观测站的硬件分传感器、数据采集系统、电源系统、通信系统和辅助设备。</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lang w:val="en-US" w:eastAsia="zh-CN"/>
        </w:rPr>
        <w:t>传感器包括：温湿度传感器，风向风速传感器，雨量传感器，气压传感器，能见度传感器，路面传感器，路基传感器，雪深传感器。</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lang w:val="en-US" w:eastAsia="zh-CN"/>
        </w:rPr>
        <w:t>辅助设备包括：立柱，防辐射罩，实景系统等。</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lang w:val="en-US" w:eastAsia="zh-CN"/>
        </w:rPr>
        <w:t>观测要素指标：</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567"/>
        <w:gridCol w:w="2291"/>
        <w:gridCol w:w="3077"/>
        <w:gridCol w:w="2068"/>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587"/>
        </w:trPr>
        <w:tc>
          <w:tcPr>
            <w:tcW w:w="870" w:type="pct"/>
            <w:noWrap/>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b w:val="0"/>
                <w:bCs/>
                <w:szCs w:val="21"/>
              </w:rPr>
            </w:pPr>
            <w:r>
              <w:rPr>
                <w:rStyle w:val="a2"/>
                <w:rFonts w:ascii="仿宋" w:eastAsia="仿宋" w:hAnsi="仿宋" w:cs="仿宋" w:hint="eastAsia"/>
                <w:b w:val="0"/>
                <w:bCs/>
                <w:szCs w:val="21"/>
              </w:rPr>
              <w:t>测量要素</w:t>
            </w:r>
          </w:p>
        </w:tc>
        <w:tc>
          <w:tcPr>
            <w:tcW w:w="1272" w:type="pct"/>
            <w:noWrap/>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b w:val="0"/>
                <w:bCs/>
                <w:szCs w:val="21"/>
              </w:rPr>
            </w:pPr>
            <w:r>
              <w:rPr>
                <w:rStyle w:val="a2"/>
                <w:rFonts w:ascii="仿宋" w:eastAsia="仿宋" w:hAnsi="仿宋" w:cs="仿宋" w:hint="eastAsia"/>
                <w:b w:val="0"/>
                <w:bCs/>
                <w:szCs w:val="21"/>
              </w:rPr>
              <w:t>测量范围</w:t>
            </w:r>
          </w:p>
        </w:tc>
        <w:tc>
          <w:tcPr>
            <w:tcW w:w="1708" w:type="pct"/>
            <w:noWrap/>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b w:val="0"/>
                <w:bCs/>
                <w:szCs w:val="21"/>
              </w:rPr>
            </w:pPr>
            <w:r>
              <w:rPr>
                <w:rStyle w:val="a2"/>
                <w:rFonts w:ascii="仿宋" w:eastAsia="仿宋" w:hAnsi="仿宋" w:cs="仿宋" w:hint="eastAsia"/>
                <w:b w:val="0"/>
                <w:bCs/>
                <w:szCs w:val="21"/>
              </w:rPr>
              <w:t>准确度</w:t>
            </w:r>
          </w:p>
        </w:tc>
        <w:tc>
          <w:tcPr>
            <w:tcW w:w="1148" w:type="pct"/>
            <w:noWrap/>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b w:val="0"/>
                <w:bCs/>
                <w:szCs w:val="21"/>
              </w:rPr>
            </w:pPr>
            <w:r>
              <w:rPr>
                <w:rStyle w:val="a2"/>
                <w:rFonts w:ascii="仿宋" w:eastAsia="仿宋" w:hAnsi="仿宋" w:cs="仿宋" w:hint="eastAsia"/>
                <w:b w:val="0"/>
                <w:bCs/>
                <w:szCs w:val="21"/>
              </w:rPr>
              <w:t>分辨力</w:t>
            </w:r>
          </w:p>
        </w:tc>
      </w:tr>
      <w:tr>
        <w:tblPrEx>
          <w:tblW w:w="5000" w:type="pct"/>
          <w:tblInd w:w="0" w:type="dxa"/>
          <w:tblLayout w:type="fixed"/>
          <w:tblCellMar>
            <w:top w:w="0" w:type="dxa"/>
            <w:left w:w="108" w:type="dxa"/>
            <w:bottom w:w="0" w:type="dxa"/>
            <w:right w:w="108" w:type="dxa"/>
          </w:tblCellMar>
        </w:tblPrEx>
        <w:trPr>
          <w:trHeight w:val="270"/>
        </w:trPr>
        <w:tc>
          <w:tcPr>
            <w:tcW w:w="870" w:type="pct"/>
            <w:noWrap/>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b w:val="0"/>
                <w:bCs/>
                <w:szCs w:val="21"/>
              </w:rPr>
            </w:pPr>
            <w:r>
              <w:rPr>
                <w:rStyle w:val="a2"/>
                <w:rFonts w:ascii="仿宋" w:eastAsia="仿宋" w:hAnsi="仿宋" w:cs="仿宋" w:hint="eastAsia"/>
                <w:b w:val="0"/>
                <w:bCs/>
                <w:szCs w:val="21"/>
              </w:rPr>
              <w:t>气    温</w:t>
            </w:r>
          </w:p>
        </w:tc>
        <w:tc>
          <w:tcPr>
            <w:tcW w:w="1272" w:type="pct"/>
            <w:noWrap/>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b w:val="0"/>
                <w:bCs/>
                <w:szCs w:val="21"/>
                <w:highlight w:val="yellow"/>
              </w:rPr>
            </w:pPr>
            <w:r>
              <w:rPr>
                <w:rStyle w:val="a2"/>
                <w:rFonts w:ascii="仿宋" w:eastAsia="仿宋" w:hAnsi="仿宋" w:cs="仿宋" w:hint="eastAsia"/>
                <w:szCs w:val="21"/>
                <w:highlight w:val="yellow"/>
                <w:lang w:val="en-US" w:eastAsia="zh-CN"/>
              </w:rPr>
              <w:t>#</w:t>
            </w:r>
            <w:r>
              <w:rPr>
                <w:rStyle w:val="a2"/>
                <w:rFonts w:ascii="仿宋" w:eastAsia="仿宋" w:hAnsi="仿宋" w:cs="仿宋" w:hint="eastAsia"/>
                <w:b w:val="0"/>
                <w:bCs/>
                <w:szCs w:val="21"/>
                <w:highlight w:val="yellow"/>
              </w:rPr>
              <w:t>-50～+60℃</w:t>
            </w:r>
          </w:p>
        </w:tc>
        <w:tc>
          <w:tcPr>
            <w:tcW w:w="1708" w:type="pct"/>
            <w:noWrap/>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b w:val="0"/>
                <w:bCs/>
                <w:szCs w:val="21"/>
                <w:highlight w:val="yellow"/>
              </w:rPr>
            </w:pPr>
            <w:r>
              <w:rPr>
                <w:rStyle w:val="a2"/>
                <w:rFonts w:ascii="仿宋" w:eastAsia="仿宋" w:hAnsi="仿宋" w:cs="仿宋" w:hint="eastAsia"/>
                <w:szCs w:val="21"/>
                <w:highlight w:val="yellow"/>
                <w:lang w:val="en-US" w:eastAsia="zh-CN"/>
              </w:rPr>
              <w:t>#</w:t>
            </w:r>
            <w:r>
              <w:rPr>
                <w:rStyle w:val="a2"/>
                <w:rFonts w:ascii="仿宋" w:eastAsia="仿宋" w:hAnsi="仿宋" w:cs="仿宋" w:hint="eastAsia"/>
                <w:b w:val="0"/>
                <w:bCs/>
                <w:szCs w:val="21"/>
                <w:highlight w:val="yellow"/>
              </w:rPr>
              <w:t>±0.2℃</w:t>
            </w:r>
          </w:p>
        </w:tc>
        <w:tc>
          <w:tcPr>
            <w:tcW w:w="1148" w:type="pct"/>
            <w:noWrap/>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b w:val="0"/>
                <w:bCs/>
                <w:szCs w:val="21"/>
                <w:highlight w:val="yellow"/>
              </w:rPr>
            </w:pPr>
            <w:r>
              <w:rPr>
                <w:rStyle w:val="a2"/>
                <w:rFonts w:ascii="仿宋" w:eastAsia="仿宋" w:hAnsi="仿宋" w:cs="仿宋" w:hint="eastAsia"/>
                <w:szCs w:val="21"/>
                <w:highlight w:val="yellow"/>
                <w:lang w:val="en-US" w:eastAsia="zh-CN"/>
              </w:rPr>
              <w:t>#</w:t>
            </w:r>
            <w:r>
              <w:rPr>
                <w:rStyle w:val="a2"/>
                <w:rFonts w:ascii="仿宋" w:eastAsia="仿宋" w:hAnsi="仿宋" w:cs="仿宋" w:hint="eastAsia"/>
                <w:b w:val="0"/>
                <w:bCs/>
                <w:szCs w:val="21"/>
                <w:highlight w:val="yellow"/>
              </w:rPr>
              <w:t>0.1℃</w:t>
            </w:r>
          </w:p>
        </w:tc>
      </w:tr>
      <w:tr>
        <w:tblPrEx>
          <w:tblW w:w="5000" w:type="pct"/>
          <w:tblInd w:w="0" w:type="dxa"/>
          <w:tblLayout w:type="fixed"/>
          <w:tblCellMar>
            <w:top w:w="0" w:type="dxa"/>
            <w:left w:w="108" w:type="dxa"/>
            <w:bottom w:w="0" w:type="dxa"/>
            <w:right w:w="108" w:type="dxa"/>
          </w:tblCellMar>
        </w:tblPrEx>
        <w:trPr>
          <w:trHeight w:val="540"/>
        </w:trPr>
        <w:tc>
          <w:tcPr>
            <w:tcW w:w="870" w:type="pct"/>
            <w:noWrap/>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b w:val="0"/>
                <w:bCs/>
                <w:szCs w:val="21"/>
              </w:rPr>
            </w:pPr>
            <w:r>
              <w:rPr>
                <w:rStyle w:val="a2"/>
                <w:rFonts w:ascii="仿宋" w:eastAsia="仿宋" w:hAnsi="仿宋" w:cs="仿宋" w:hint="eastAsia"/>
                <w:b w:val="0"/>
                <w:bCs/>
                <w:szCs w:val="21"/>
              </w:rPr>
              <w:t>湿    度</w:t>
            </w:r>
          </w:p>
        </w:tc>
        <w:tc>
          <w:tcPr>
            <w:tcW w:w="1272" w:type="pct"/>
            <w:noWrap/>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b w:val="0"/>
                <w:bCs/>
                <w:szCs w:val="21"/>
              </w:rPr>
            </w:pPr>
            <w:r>
              <w:rPr>
                <w:rStyle w:val="a2"/>
                <w:rFonts w:ascii="仿宋" w:eastAsia="仿宋" w:hAnsi="仿宋" w:cs="仿宋" w:hint="eastAsia"/>
                <w:b w:val="0"/>
                <w:bCs/>
                <w:szCs w:val="21"/>
              </w:rPr>
              <w:t>5～100%RH</w:t>
            </w:r>
          </w:p>
        </w:tc>
        <w:tc>
          <w:tcPr>
            <w:tcW w:w="1708" w:type="pct"/>
            <w:noWrap w:val="0"/>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b w:val="0"/>
                <w:bCs/>
                <w:szCs w:val="21"/>
              </w:rPr>
            </w:pPr>
            <w:r>
              <w:rPr>
                <w:rStyle w:val="a2"/>
                <w:rFonts w:ascii="仿宋" w:eastAsia="仿宋" w:hAnsi="仿宋" w:cs="仿宋" w:hint="eastAsia"/>
                <w:b w:val="0"/>
                <w:bCs/>
                <w:szCs w:val="21"/>
              </w:rPr>
              <w:t>±3%RH（≤80%RH）</w:t>
            </w:r>
          </w:p>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b w:val="0"/>
                <w:bCs/>
                <w:szCs w:val="21"/>
              </w:rPr>
            </w:pPr>
            <w:r>
              <w:rPr>
                <w:rStyle w:val="a2"/>
                <w:rFonts w:ascii="仿宋" w:eastAsia="仿宋" w:hAnsi="仿宋" w:cs="仿宋" w:hint="eastAsia"/>
                <w:b w:val="0"/>
                <w:bCs/>
                <w:szCs w:val="21"/>
              </w:rPr>
              <w:t>±5%RH（&gt;80%RH）</w:t>
            </w:r>
          </w:p>
        </w:tc>
        <w:tc>
          <w:tcPr>
            <w:tcW w:w="1148" w:type="pct"/>
            <w:noWrap/>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b w:val="0"/>
                <w:bCs/>
                <w:szCs w:val="21"/>
              </w:rPr>
            </w:pPr>
            <w:r>
              <w:rPr>
                <w:rStyle w:val="a2"/>
                <w:rFonts w:ascii="仿宋" w:eastAsia="仿宋" w:hAnsi="仿宋" w:cs="仿宋" w:hint="eastAsia"/>
                <w:b w:val="0"/>
                <w:bCs/>
                <w:szCs w:val="21"/>
              </w:rPr>
              <w:t>1%</w:t>
            </w:r>
          </w:p>
        </w:tc>
      </w:tr>
      <w:tr>
        <w:tblPrEx>
          <w:tblW w:w="5000" w:type="pct"/>
          <w:tblInd w:w="0" w:type="dxa"/>
          <w:tblLayout w:type="fixed"/>
          <w:tblCellMar>
            <w:top w:w="0" w:type="dxa"/>
            <w:left w:w="108" w:type="dxa"/>
            <w:bottom w:w="0" w:type="dxa"/>
            <w:right w:w="108" w:type="dxa"/>
          </w:tblCellMar>
        </w:tblPrEx>
        <w:trPr>
          <w:trHeight w:val="270"/>
        </w:trPr>
        <w:tc>
          <w:tcPr>
            <w:tcW w:w="870" w:type="pct"/>
            <w:noWrap/>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b w:val="0"/>
                <w:bCs/>
                <w:szCs w:val="21"/>
              </w:rPr>
            </w:pPr>
            <w:r>
              <w:rPr>
                <w:rStyle w:val="a2"/>
                <w:rFonts w:ascii="仿宋" w:eastAsia="仿宋" w:hAnsi="仿宋" w:cs="仿宋" w:hint="eastAsia"/>
                <w:b w:val="0"/>
                <w:bCs/>
                <w:szCs w:val="21"/>
              </w:rPr>
              <w:t>风    向</w:t>
            </w:r>
          </w:p>
        </w:tc>
        <w:tc>
          <w:tcPr>
            <w:tcW w:w="1272" w:type="pct"/>
            <w:noWrap/>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b w:val="0"/>
                <w:bCs/>
                <w:szCs w:val="21"/>
                <w:highlight w:val="yellow"/>
              </w:rPr>
            </w:pPr>
            <w:r>
              <w:rPr>
                <w:rStyle w:val="a2"/>
                <w:rFonts w:ascii="仿宋" w:eastAsia="仿宋" w:hAnsi="仿宋" w:cs="仿宋" w:hint="eastAsia"/>
                <w:szCs w:val="21"/>
                <w:highlight w:val="yellow"/>
                <w:lang w:val="en-US" w:eastAsia="zh-CN"/>
              </w:rPr>
              <w:t>#</w:t>
            </w:r>
            <w:r>
              <w:rPr>
                <w:rStyle w:val="a2"/>
                <w:rFonts w:ascii="仿宋" w:eastAsia="仿宋" w:hAnsi="仿宋" w:cs="仿宋" w:hint="eastAsia"/>
                <w:b w:val="0"/>
                <w:bCs/>
                <w:szCs w:val="21"/>
                <w:highlight w:val="yellow"/>
              </w:rPr>
              <w:t>0～360°</w:t>
            </w:r>
          </w:p>
        </w:tc>
        <w:tc>
          <w:tcPr>
            <w:tcW w:w="1708" w:type="pct"/>
            <w:noWrap/>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b w:val="0"/>
                <w:bCs/>
                <w:szCs w:val="21"/>
                <w:highlight w:val="yellow"/>
              </w:rPr>
            </w:pPr>
            <w:r>
              <w:rPr>
                <w:rStyle w:val="a2"/>
                <w:rFonts w:ascii="仿宋" w:eastAsia="仿宋" w:hAnsi="仿宋" w:cs="仿宋" w:hint="eastAsia"/>
                <w:szCs w:val="21"/>
                <w:highlight w:val="yellow"/>
                <w:lang w:val="en-US" w:eastAsia="zh-CN"/>
              </w:rPr>
              <w:t>#</w:t>
            </w:r>
            <w:r>
              <w:rPr>
                <w:rStyle w:val="a2"/>
                <w:rFonts w:ascii="仿宋" w:eastAsia="仿宋" w:hAnsi="仿宋" w:cs="仿宋" w:hint="eastAsia"/>
                <w:b w:val="0"/>
                <w:bCs/>
                <w:szCs w:val="21"/>
                <w:highlight w:val="yellow"/>
              </w:rPr>
              <w:t>±5°</w:t>
            </w:r>
          </w:p>
        </w:tc>
        <w:tc>
          <w:tcPr>
            <w:tcW w:w="1148" w:type="pct"/>
            <w:noWrap/>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b w:val="0"/>
                <w:bCs/>
                <w:szCs w:val="21"/>
                <w:highlight w:val="yellow"/>
              </w:rPr>
            </w:pPr>
            <w:r>
              <w:rPr>
                <w:rStyle w:val="a2"/>
                <w:rFonts w:ascii="仿宋" w:eastAsia="仿宋" w:hAnsi="仿宋" w:cs="仿宋" w:hint="eastAsia"/>
                <w:szCs w:val="21"/>
                <w:highlight w:val="yellow"/>
                <w:lang w:val="en-US" w:eastAsia="zh-CN"/>
              </w:rPr>
              <w:t>#</w:t>
            </w:r>
            <w:r>
              <w:rPr>
                <w:rStyle w:val="a2"/>
                <w:rFonts w:ascii="仿宋" w:eastAsia="仿宋" w:hAnsi="仿宋" w:cs="仿宋" w:hint="eastAsia"/>
                <w:b w:val="0"/>
                <w:bCs/>
                <w:szCs w:val="21"/>
                <w:highlight w:val="yellow"/>
              </w:rPr>
              <w:t>3°</w:t>
            </w:r>
          </w:p>
        </w:tc>
      </w:tr>
      <w:tr>
        <w:tblPrEx>
          <w:tblW w:w="5000" w:type="pct"/>
          <w:tblInd w:w="0" w:type="dxa"/>
          <w:tblLayout w:type="fixed"/>
          <w:tblCellMar>
            <w:top w:w="0" w:type="dxa"/>
            <w:left w:w="108" w:type="dxa"/>
            <w:bottom w:w="0" w:type="dxa"/>
            <w:right w:w="108" w:type="dxa"/>
          </w:tblCellMar>
        </w:tblPrEx>
        <w:trPr>
          <w:trHeight w:val="270"/>
        </w:trPr>
        <w:tc>
          <w:tcPr>
            <w:tcW w:w="870" w:type="pct"/>
            <w:noWrap/>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b w:val="0"/>
                <w:bCs/>
                <w:szCs w:val="21"/>
              </w:rPr>
            </w:pPr>
            <w:r>
              <w:rPr>
                <w:rStyle w:val="a2"/>
                <w:rFonts w:ascii="仿宋" w:eastAsia="仿宋" w:hAnsi="仿宋" w:cs="仿宋" w:hint="eastAsia"/>
                <w:b w:val="0"/>
                <w:bCs/>
                <w:szCs w:val="21"/>
              </w:rPr>
              <w:t>风    速</w:t>
            </w:r>
          </w:p>
        </w:tc>
        <w:tc>
          <w:tcPr>
            <w:tcW w:w="1272" w:type="pct"/>
            <w:noWrap/>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b w:val="0"/>
                <w:bCs/>
                <w:szCs w:val="21"/>
                <w:highlight w:val="yellow"/>
              </w:rPr>
            </w:pPr>
            <w:r>
              <w:rPr>
                <w:rStyle w:val="a2"/>
                <w:rFonts w:ascii="仿宋" w:eastAsia="仿宋" w:hAnsi="仿宋" w:cs="仿宋" w:hint="eastAsia"/>
                <w:szCs w:val="21"/>
                <w:highlight w:val="yellow"/>
                <w:lang w:val="en-US" w:eastAsia="zh-CN"/>
              </w:rPr>
              <w:t>#</w:t>
            </w:r>
            <w:r>
              <w:rPr>
                <w:rStyle w:val="a2"/>
                <w:rFonts w:ascii="仿宋" w:eastAsia="仿宋" w:hAnsi="仿宋" w:cs="仿宋" w:hint="eastAsia"/>
                <w:b w:val="0"/>
                <w:bCs/>
                <w:szCs w:val="21"/>
                <w:highlight w:val="yellow"/>
              </w:rPr>
              <w:t>0～60m/s</w:t>
            </w:r>
          </w:p>
        </w:tc>
        <w:tc>
          <w:tcPr>
            <w:tcW w:w="1708" w:type="pct"/>
            <w:noWrap/>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b w:val="0"/>
                <w:bCs/>
                <w:szCs w:val="21"/>
                <w:highlight w:val="yellow"/>
              </w:rPr>
            </w:pPr>
            <w:r>
              <w:rPr>
                <w:rStyle w:val="a2"/>
                <w:rFonts w:ascii="仿宋" w:eastAsia="仿宋" w:hAnsi="仿宋" w:cs="仿宋" w:hint="eastAsia"/>
                <w:szCs w:val="21"/>
                <w:highlight w:val="yellow"/>
                <w:lang w:val="en-US" w:eastAsia="zh-CN"/>
              </w:rPr>
              <w:t>#</w:t>
            </w:r>
            <w:r>
              <w:rPr>
                <w:rStyle w:val="a2"/>
                <w:rFonts w:ascii="仿宋" w:eastAsia="仿宋" w:hAnsi="仿宋" w:cs="仿宋" w:hint="eastAsia"/>
                <w:b w:val="0"/>
                <w:bCs/>
                <w:szCs w:val="21"/>
                <w:highlight w:val="yellow"/>
              </w:rPr>
              <w:t>±（0.5+0.03V）m/s</w:t>
            </w:r>
          </w:p>
        </w:tc>
        <w:tc>
          <w:tcPr>
            <w:tcW w:w="1148" w:type="pct"/>
            <w:noWrap/>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b w:val="0"/>
                <w:bCs/>
                <w:szCs w:val="21"/>
                <w:highlight w:val="yellow"/>
              </w:rPr>
            </w:pPr>
            <w:r>
              <w:rPr>
                <w:rStyle w:val="a2"/>
                <w:rFonts w:ascii="仿宋" w:eastAsia="仿宋" w:hAnsi="仿宋" w:cs="仿宋" w:hint="eastAsia"/>
                <w:szCs w:val="21"/>
                <w:highlight w:val="yellow"/>
                <w:lang w:val="en-US" w:eastAsia="zh-CN"/>
              </w:rPr>
              <w:t>#</w:t>
            </w:r>
            <w:r>
              <w:rPr>
                <w:rStyle w:val="a2"/>
                <w:rFonts w:ascii="仿宋" w:eastAsia="仿宋" w:hAnsi="仿宋" w:cs="仿宋" w:hint="eastAsia"/>
                <w:b w:val="0"/>
                <w:bCs/>
                <w:szCs w:val="21"/>
                <w:highlight w:val="yellow"/>
              </w:rPr>
              <w:t>0.1m/s</w:t>
            </w:r>
          </w:p>
        </w:tc>
      </w:tr>
      <w:tr>
        <w:tblPrEx>
          <w:tblW w:w="5000" w:type="pct"/>
          <w:tblInd w:w="0" w:type="dxa"/>
          <w:tblLayout w:type="fixed"/>
          <w:tblCellMar>
            <w:top w:w="0" w:type="dxa"/>
            <w:left w:w="108" w:type="dxa"/>
            <w:bottom w:w="0" w:type="dxa"/>
            <w:right w:w="108" w:type="dxa"/>
          </w:tblCellMar>
        </w:tblPrEx>
        <w:trPr>
          <w:trHeight w:val="540"/>
        </w:trPr>
        <w:tc>
          <w:tcPr>
            <w:tcW w:w="870" w:type="pct"/>
            <w:noWrap/>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b w:val="0"/>
                <w:bCs/>
                <w:szCs w:val="21"/>
              </w:rPr>
            </w:pPr>
            <w:r>
              <w:rPr>
                <w:rStyle w:val="a2"/>
                <w:rFonts w:ascii="仿宋" w:eastAsia="仿宋" w:hAnsi="仿宋" w:cs="仿宋" w:hint="eastAsia"/>
                <w:b w:val="0"/>
                <w:bCs/>
                <w:szCs w:val="21"/>
              </w:rPr>
              <w:t>雨    量</w:t>
            </w:r>
          </w:p>
        </w:tc>
        <w:tc>
          <w:tcPr>
            <w:tcW w:w="1272" w:type="pct"/>
            <w:noWrap/>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b w:val="0"/>
                <w:bCs/>
                <w:szCs w:val="21"/>
              </w:rPr>
            </w:pPr>
            <w:r>
              <w:rPr>
                <w:rStyle w:val="a2"/>
                <w:rFonts w:ascii="仿宋" w:eastAsia="仿宋" w:hAnsi="仿宋" w:cs="仿宋" w:hint="eastAsia"/>
                <w:szCs w:val="21"/>
                <w:highlight w:val="yellow"/>
                <w:lang w:val="en-US" w:eastAsia="zh-CN"/>
              </w:rPr>
              <w:t>#</w:t>
            </w:r>
            <w:r>
              <w:rPr>
                <w:rStyle w:val="a2"/>
                <w:rFonts w:ascii="仿宋" w:eastAsia="仿宋" w:hAnsi="仿宋" w:cs="仿宋" w:hint="eastAsia"/>
                <w:b w:val="0"/>
                <w:bCs/>
                <w:szCs w:val="21"/>
                <w:highlight w:val="yellow"/>
              </w:rPr>
              <w:t>0～4mm/min</w:t>
            </w:r>
          </w:p>
        </w:tc>
        <w:tc>
          <w:tcPr>
            <w:tcW w:w="1708" w:type="pct"/>
            <w:noWrap w:val="0"/>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b w:val="0"/>
                <w:bCs/>
                <w:szCs w:val="21"/>
              </w:rPr>
            </w:pPr>
            <w:r>
              <w:rPr>
                <w:rStyle w:val="a2"/>
                <w:rFonts w:ascii="仿宋" w:eastAsia="仿宋" w:hAnsi="仿宋" w:cs="仿宋" w:hint="eastAsia"/>
                <w:szCs w:val="21"/>
                <w:highlight w:val="yellow"/>
                <w:lang w:val="en-US" w:eastAsia="zh-CN"/>
              </w:rPr>
              <w:t>#</w:t>
            </w:r>
            <w:r>
              <w:rPr>
                <w:rStyle w:val="a2"/>
                <w:rFonts w:ascii="仿宋" w:eastAsia="仿宋" w:hAnsi="仿宋" w:cs="仿宋" w:hint="eastAsia"/>
                <w:b w:val="0"/>
                <w:bCs/>
                <w:szCs w:val="21"/>
                <w:highlight w:val="yellow"/>
              </w:rPr>
              <w:t>±0.4mm（≤10mm）</w:t>
            </w:r>
            <w:r>
              <w:rPr>
                <w:rStyle w:val="a2"/>
                <w:rFonts w:ascii="仿宋" w:eastAsia="仿宋" w:hAnsi="仿宋" w:cs="仿宋" w:hint="eastAsia"/>
                <w:b w:val="0"/>
                <w:bCs/>
                <w:szCs w:val="21"/>
              </w:rPr>
              <w:br/>
            </w:r>
            <w:r>
              <w:rPr>
                <w:rStyle w:val="a2"/>
                <w:rFonts w:ascii="仿宋" w:eastAsia="仿宋" w:hAnsi="仿宋" w:cs="仿宋" w:hint="eastAsia"/>
                <w:b w:val="0"/>
                <w:bCs/>
                <w:szCs w:val="21"/>
              </w:rPr>
              <w:t>±4%（＞10mm）</w:t>
            </w:r>
          </w:p>
        </w:tc>
        <w:tc>
          <w:tcPr>
            <w:tcW w:w="1148" w:type="pct"/>
            <w:noWrap/>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b w:val="0"/>
                <w:bCs/>
                <w:szCs w:val="21"/>
              </w:rPr>
            </w:pPr>
            <w:r>
              <w:rPr>
                <w:rStyle w:val="a2"/>
                <w:rFonts w:ascii="仿宋" w:eastAsia="仿宋" w:hAnsi="仿宋" w:cs="仿宋" w:hint="eastAsia"/>
                <w:szCs w:val="21"/>
                <w:highlight w:val="yellow"/>
                <w:lang w:val="en-US" w:eastAsia="zh-CN"/>
              </w:rPr>
              <w:t>#</w:t>
            </w:r>
            <w:r>
              <w:rPr>
                <w:rStyle w:val="a2"/>
                <w:rFonts w:ascii="仿宋" w:eastAsia="仿宋" w:hAnsi="仿宋" w:cs="仿宋" w:hint="eastAsia"/>
                <w:b w:val="0"/>
                <w:bCs/>
                <w:szCs w:val="21"/>
                <w:highlight w:val="yellow"/>
              </w:rPr>
              <w:t>0.1mm</w:t>
            </w:r>
          </w:p>
        </w:tc>
      </w:tr>
      <w:tr>
        <w:tblPrEx>
          <w:tblW w:w="5000" w:type="pct"/>
          <w:tblInd w:w="0" w:type="dxa"/>
          <w:tblLayout w:type="fixed"/>
          <w:tblCellMar>
            <w:top w:w="0" w:type="dxa"/>
            <w:left w:w="108" w:type="dxa"/>
            <w:bottom w:w="0" w:type="dxa"/>
            <w:right w:w="108" w:type="dxa"/>
          </w:tblCellMar>
        </w:tblPrEx>
        <w:trPr>
          <w:trHeight w:val="810"/>
        </w:trPr>
        <w:tc>
          <w:tcPr>
            <w:tcW w:w="870" w:type="pct"/>
            <w:noWrap/>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b w:val="0"/>
                <w:bCs/>
                <w:szCs w:val="21"/>
              </w:rPr>
            </w:pPr>
            <w:r>
              <w:rPr>
                <w:rStyle w:val="a2"/>
                <w:rFonts w:ascii="仿宋" w:eastAsia="仿宋" w:hAnsi="仿宋" w:cs="仿宋" w:hint="eastAsia"/>
                <w:b w:val="0"/>
                <w:bCs/>
                <w:szCs w:val="21"/>
              </w:rPr>
              <w:t>路面温度</w:t>
            </w:r>
          </w:p>
        </w:tc>
        <w:tc>
          <w:tcPr>
            <w:tcW w:w="1272" w:type="pct"/>
            <w:noWrap/>
            <w:vAlign w:val="center"/>
          </w:tcPr>
          <w:p>
            <w:pPr>
              <w:keepNext w:val="0"/>
              <w:keepLines w:val="0"/>
              <w:pageBreakBefore w:val="0"/>
              <w:kinsoku/>
              <w:wordWrap/>
              <w:overflowPunct/>
              <w:topLinePunct w:val="0"/>
              <w:bidi w:val="0"/>
              <w:spacing w:line="480" w:lineRule="exact"/>
              <w:ind w:right="-17" w:rightChars="0"/>
              <w:jc w:val="center"/>
              <w:textAlignment w:val="auto"/>
              <w:rPr>
                <w:rStyle w:val="a2"/>
                <w:rFonts w:ascii="仿宋" w:eastAsia="仿宋" w:hAnsi="仿宋" w:cs="仿宋" w:hint="eastAsia"/>
                <w:b w:val="0"/>
                <w:bCs/>
                <w:szCs w:val="21"/>
              </w:rPr>
            </w:pPr>
            <w:r>
              <w:rPr>
                <w:rStyle w:val="a2"/>
                <w:rFonts w:ascii="仿宋" w:eastAsia="仿宋" w:hAnsi="仿宋" w:cs="仿宋" w:hint="eastAsia"/>
                <w:b w:val="0"/>
                <w:bCs/>
                <w:szCs w:val="21"/>
              </w:rPr>
              <w:t>-60～+80℃</w:t>
            </w:r>
          </w:p>
        </w:tc>
        <w:tc>
          <w:tcPr>
            <w:tcW w:w="1708" w:type="pct"/>
            <w:noWrap w:val="0"/>
            <w:vAlign w:val="center"/>
          </w:tcPr>
          <w:p>
            <w:pPr>
              <w:keepNext w:val="0"/>
              <w:keepLines w:val="0"/>
              <w:pageBreakBefore w:val="0"/>
              <w:kinsoku/>
              <w:wordWrap/>
              <w:overflowPunct/>
              <w:topLinePunct w:val="0"/>
              <w:bidi w:val="0"/>
              <w:spacing w:line="480" w:lineRule="exact"/>
              <w:ind w:right="-17" w:rightChars="0"/>
              <w:jc w:val="center"/>
              <w:textAlignment w:val="auto"/>
              <w:rPr>
                <w:rStyle w:val="a2"/>
                <w:rFonts w:ascii="仿宋" w:eastAsia="仿宋" w:hAnsi="仿宋" w:cs="仿宋" w:hint="eastAsia"/>
                <w:b w:val="0"/>
                <w:bCs/>
                <w:szCs w:val="21"/>
              </w:rPr>
            </w:pPr>
            <w:r>
              <w:rPr>
                <w:rStyle w:val="a2"/>
                <w:rFonts w:ascii="仿宋" w:eastAsia="仿宋" w:hAnsi="仿宋" w:cs="仿宋" w:hint="eastAsia"/>
                <w:b w:val="0"/>
                <w:bCs/>
                <w:szCs w:val="21"/>
              </w:rPr>
              <w:t>±0.2℃</w:t>
            </w:r>
          </w:p>
        </w:tc>
        <w:tc>
          <w:tcPr>
            <w:tcW w:w="1148" w:type="pct"/>
            <w:noWrap/>
            <w:vAlign w:val="center"/>
          </w:tcPr>
          <w:p>
            <w:pPr>
              <w:keepNext w:val="0"/>
              <w:keepLines w:val="0"/>
              <w:pageBreakBefore w:val="0"/>
              <w:kinsoku/>
              <w:wordWrap/>
              <w:overflowPunct/>
              <w:topLinePunct w:val="0"/>
              <w:bidi w:val="0"/>
              <w:spacing w:line="480" w:lineRule="exact"/>
              <w:ind w:right="-17" w:rightChars="0"/>
              <w:jc w:val="center"/>
              <w:textAlignment w:val="auto"/>
              <w:rPr>
                <w:rStyle w:val="a2"/>
                <w:rFonts w:ascii="仿宋" w:eastAsia="仿宋" w:hAnsi="仿宋" w:cs="仿宋" w:hint="eastAsia"/>
                <w:b w:val="0"/>
                <w:bCs/>
                <w:szCs w:val="21"/>
              </w:rPr>
            </w:pPr>
            <w:r>
              <w:rPr>
                <w:rStyle w:val="a2"/>
                <w:rFonts w:ascii="仿宋" w:eastAsia="仿宋" w:hAnsi="仿宋" w:cs="仿宋" w:hint="eastAsia"/>
                <w:b w:val="0"/>
                <w:bCs/>
                <w:szCs w:val="21"/>
              </w:rPr>
              <w:t>0.1℃</w:t>
            </w:r>
          </w:p>
        </w:tc>
      </w:tr>
      <w:tr>
        <w:tblPrEx>
          <w:tblW w:w="5000" w:type="pct"/>
          <w:tblInd w:w="0" w:type="dxa"/>
          <w:tblLayout w:type="fixed"/>
          <w:tblCellMar>
            <w:top w:w="0" w:type="dxa"/>
            <w:left w:w="108" w:type="dxa"/>
            <w:bottom w:w="0" w:type="dxa"/>
            <w:right w:w="108" w:type="dxa"/>
          </w:tblCellMar>
        </w:tblPrEx>
        <w:trPr>
          <w:trHeight w:val="270"/>
        </w:trPr>
        <w:tc>
          <w:tcPr>
            <w:tcW w:w="870" w:type="pct"/>
            <w:noWrap/>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b w:val="0"/>
                <w:bCs/>
                <w:szCs w:val="21"/>
              </w:rPr>
            </w:pPr>
            <w:r>
              <w:rPr>
                <w:rStyle w:val="a2"/>
                <w:rFonts w:ascii="仿宋" w:eastAsia="仿宋" w:hAnsi="仿宋" w:cs="仿宋" w:hint="eastAsia"/>
                <w:b w:val="0"/>
                <w:bCs/>
                <w:szCs w:val="21"/>
              </w:rPr>
              <w:t>路基温度</w:t>
            </w:r>
          </w:p>
        </w:tc>
        <w:tc>
          <w:tcPr>
            <w:tcW w:w="1272" w:type="pct"/>
            <w:noWrap/>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b w:val="0"/>
                <w:bCs/>
                <w:szCs w:val="21"/>
              </w:rPr>
            </w:pPr>
            <w:r>
              <w:rPr>
                <w:rStyle w:val="a2"/>
                <w:rFonts w:ascii="仿宋" w:eastAsia="仿宋" w:hAnsi="仿宋" w:cs="仿宋" w:hint="eastAsia"/>
                <w:b w:val="0"/>
                <w:bCs/>
                <w:szCs w:val="21"/>
              </w:rPr>
              <w:t>-60～+80℃</w:t>
            </w:r>
          </w:p>
        </w:tc>
        <w:tc>
          <w:tcPr>
            <w:tcW w:w="1708" w:type="pct"/>
            <w:noWrap/>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b w:val="0"/>
                <w:bCs/>
                <w:szCs w:val="21"/>
              </w:rPr>
            </w:pPr>
            <w:r>
              <w:rPr>
                <w:rStyle w:val="a2"/>
                <w:rFonts w:ascii="仿宋" w:eastAsia="仿宋" w:hAnsi="仿宋" w:cs="仿宋" w:hint="eastAsia"/>
                <w:b w:val="0"/>
                <w:bCs/>
                <w:szCs w:val="21"/>
              </w:rPr>
              <w:t>±0.2℃</w:t>
            </w:r>
          </w:p>
        </w:tc>
        <w:tc>
          <w:tcPr>
            <w:tcW w:w="1148" w:type="pct"/>
            <w:noWrap/>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b w:val="0"/>
                <w:bCs/>
                <w:szCs w:val="21"/>
              </w:rPr>
            </w:pPr>
            <w:r>
              <w:rPr>
                <w:rStyle w:val="a2"/>
                <w:rFonts w:ascii="仿宋" w:eastAsia="仿宋" w:hAnsi="仿宋" w:cs="仿宋" w:hint="eastAsia"/>
                <w:b w:val="0"/>
                <w:bCs/>
                <w:szCs w:val="21"/>
              </w:rPr>
              <w:t>0.1℃</w:t>
            </w:r>
          </w:p>
        </w:tc>
      </w:tr>
      <w:tr>
        <w:tblPrEx>
          <w:tblW w:w="5000" w:type="pct"/>
          <w:tblInd w:w="0" w:type="dxa"/>
          <w:tblLayout w:type="fixed"/>
          <w:tblCellMar>
            <w:top w:w="0" w:type="dxa"/>
            <w:left w:w="108" w:type="dxa"/>
            <w:bottom w:w="0" w:type="dxa"/>
            <w:right w:w="108" w:type="dxa"/>
          </w:tblCellMar>
        </w:tblPrEx>
        <w:trPr>
          <w:trHeight w:val="270"/>
        </w:trPr>
        <w:tc>
          <w:tcPr>
            <w:tcW w:w="870" w:type="pct"/>
            <w:noWrap/>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b w:val="0"/>
                <w:bCs/>
                <w:szCs w:val="21"/>
              </w:rPr>
            </w:pPr>
            <w:r>
              <w:rPr>
                <w:rStyle w:val="a2"/>
                <w:rFonts w:ascii="仿宋" w:eastAsia="仿宋" w:hAnsi="仿宋" w:cs="仿宋" w:hint="eastAsia"/>
                <w:b w:val="0"/>
                <w:bCs/>
                <w:szCs w:val="21"/>
              </w:rPr>
              <w:t>能见度</w:t>
            </w:r>
          </w:p>
        </w:tc>
        <w:tc>
          <w:tcPr>
            <w:tcW w:w="1272" w:type="pct"/>
            <w:noWrap/>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b w:val="0"/>
                <w:bCs/>
                <w:szCs w:val="21"/>
              </w:rPr>
            </w:pPr>
            <w:r>
              <w:rPr>
                <w:rStyle w:val="a2"/>
                <w:rFonts w:ascii="仿宋" w:eastAsia="仿宋" w:hAnsi="仿宋" w:cs="仿宋" w:hint="eastAsia"/>
                <w:b w:val="0"/>
                <w:bCs/>
                <w:szCs w:val="21"/>
              </w:rPr>
              <w:t>10～</w:t>
            </w:r>
            <w:r>
              <w:rPr>
                <w:rStyle w:val="a2"/>
                <w:rFonts w:ascii="仿宋" w:eastAsia="仿宋" w:hAnsi="仿宋" w:cs="仿宋" w:hint="eastAsia"/>
                <w:b w:val="0"/>
                <w:bCs/>
                <w:szCs w:val="21"/>
                <w:lang w:val="en-US" w:eastAsia="zh-CN"/>
              </w:rPr>
              <w:t>35</w:t>
            </w:r>
            <w:r>
              <w:rPr>
                <w:rStyle w:val="a2"/>
                <w:rFonts w:ascii="仿宋" w:eastAsia="仿宋" w:hAnsi="仿宋" w:cs="仿宋" w:hint="eastAsia"/>
                <w:b w:val="0"/>
                <w:bCs/>
                <w:szCs w:val="21"/>
              </w:rPr>
              <w:t>000m</w:t>
            </w:r>
          </w:p>
        </w:tc>
        <w:tc>
          <w:tcPr>
            <w:tcW w:w="1708" w:type="pct"/>
            <w:noWrap/>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b w:val="0"/>
                <w:bCs/>
                <w:szCs w:val="21"/>
              </w:rPr>
            </w:pPr>
            <w:r>
              <w:rPr>
                <w:rStyle w:val="a2"/>
                <w:rFonts w:ascii="仿宋" w:eastAsia="仿宋" w:hAnsi="仿宋" w:cs="仿宋" w:hint="eastAsia"/>
                <w:b w:val="0"/>
                <w:bCs/>
                <w:szCs w:val="21"/>
                <w:lang w:val="en-US" w:eastAsia="zh-CN"/>
              </w:rPr>
              <w:t>≤10KM</w:t>
            </w:r>
            <w:r>
              <w:rPr>
                <w:rStyle w:val="a2"/>
                <w:rFonts w:ascii="仿宋" w:eastAsia="仿宋" w:hAnsi="仿宋" w:cs="仿宋" w:hint="eastAsia"/>
                <w:b w:val="0"/>
                <w:bCs/>
                <w:szCs w:val="21"/>
              </w:rPr>
              <w:t xml:space="preserve">     ±10 %</w:t>
            </w:r>
          </w:p>
          <w:p>
            <w:pPr>
              <w:keepNext w:val="0"/>
              <w:keepLines w:val="0"/>
              <w:pageBreakBefore w:val="0"/>
              <w:kinsoku/>
              <w:wordWrap/>
              <w:overflowPunct/>
              <w:topLinePunct w:val="0"/>
              <w:bidi w:val="0"/>
              <w:spacing w:line="480" w:lineRule="exact"/>
              <w:ind w:right="-17" w:firstLine="630" w:firstLineChars="300"/>
              <w:jc w:val="both"/>
              <w:textAlignment w:val="auto"/>
              <w:rPr>
                <w:rStyle w:val="a2"/>
                <w:rFonts w:ascii="仿宋" w:eastAsia="仿宋" w:hAnsi="仿宋" w:cs="仿宋" w:hint="eastAsia"/>
                <w:b w:val="0"/>
                <w:bCs/>
                <w:szCs w:val="21"/>
              </w:rPr>
            </w:pPr>
            <w:r>
              <w:rPr>
                <w:rStyle w:val="a2"/>
                <w:rFonts w:ascii="仿宋" w:eastAsia="仿宋" w:hAnsi="仿宋" w:cs="仿宋" w:hint="eastAsia"/>
                <w:b w:val="0"/>
                <w:bCs/>
                <w:szCs w:val="21"/>
                <w:lang w:val="en-US" w:eastAsia="zh-CN"/>
              </w:rPr>
              <w:t>&gt;10kkm</w:t>
            </w:r>
            <w:r>
              <w:rPr>
                <w:rStyle w:val="a2"/>
                <w:rFonts w:ascii="仿宋" w:eastAsia="仿宋" w:hAnsi="仿宋" w:cs="仿宋" w:hint="eastAsia"/>
                <w:b w:val="0"/>
                <w:bCs/>
                <w:szCs w:val="21"/>
              </w:rPr>
              <w:t xml:space="preserve">  </w:t>
            </w:r>
            <w:r>
              <w:rPr>
                <w:rStyle w:val="a2"/>
                <w:rFonts w:ascii="仿宋" w:eastAsia="仿宋" w:hAnsi="仿宋" w:cs="仿宋" w:hint="eastAsia"/>
                <w:b w:val="0"/>
                <w:bCs/>
                <w:szCs w:val="21"/>
                <w:lang w:val="en-US" w:eastAsia="zh-CN"/>
              </w:rPr>
              <w:t xml:space="preserve">   </w:t>
            </w:r>
            <w:r>
              <w:rPr>
                <w:rStyle w:val="a2"/>
                <w:rFonts w:ascii="仿宋" w:eastAsia="仿宋" w:hAnsi="仿宋" w:cs="仿宋" w:hint="eastAsia"/>
                <w:b w:val="0"/>
                <w:bCs/>
                <w:szCs w:val="21"/>
              </w:rPr>
              <w:t>±15 %</w:t>
            </w:r>
          </w:p>
        </w:tc>
        <w:tc>
          <w:tcPr>
            <w:tcW w:w="1148" w:type="pct"/>
            <w:noWrap/>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b w:val="0"/>
                <w:bCs/>
                <w:szCs w:val="21"/>
              </w:rPr>
            </w:pPr>
            <w:r>
              <w:rPr>
                <w:rStyle w:val="a2"/>
                <w:rFonts w:ascii="仿宋" w:eastAsia="仿宋" w:hAnsi="仿宋" w:cs="仿宋" w:hint="eastAsia"/>
                <w:b w:val="0"/>
                <w:bCs/>
                <w:szCs w:val="21"/>
              </w:rPr>
              <w:t>1</w:t>
            </w:r>
            <w:r>
              <w:rPr>
                <w:rStyle w:val="a2"/>
                <w:rFonts w:ascii="仿宋" w:eastAsia="仿宋" w:hAnsi="仿宋" w:cs="仿宋" w:hint="eastAsia"/>
                <w:b w:val="0"/>
                <w:bCs/>
                <w:szCs w:val="21"/>
                <w:lang w:val="en-US" w:eastAsia="zh-CN"/>
              </w:rPr>
              <w:t>0</w:t>
            </w:r>
            <w:r>
              <w:rPr>
                <w:rStyle w:val="a2"/>
                <w:rFonts w:ascii="仿宋" w:eastAsia="仿宋" w:hAnsi="仿宋" w:cs="仿宋" w:hint="eastAsia"/>
                <w:b w:val="0"/>
                <w:bCs/>
                <w:szCs w:val="21"/>
              </w:rPr>
              <w:t>m</w:t>
            </w:r>
          </w:p>
        </w:tc>
      </w:tr>
      <w:tr>
        <w:tblPrEx>
          <w:tblW w:w="5000" w:type="pct"/>
          <w:tblInd w:w="0" w:type="dxa"/>
          <w:tblLayout w:type="fixed"/>
          <w:tblCellMar>
            <w:top w:w="0" w:type="dxa"/>
            <w:left w:w="108" w:type="dxa"/>
            <w:bottom w:w="0" w:type="dxa"/>
            <w:right w:w="108" w:type="dxa"/>
          </w:tblCellMar>
        </w:tblPrEx>
        <w:trPr>
          <w:trHeight w:val="270"/>
        </w:trPr>
        <w:tc>
          <w:tcPr>
            <w:tcW w:w="870" w:type="pct"/>
            <w:noWrap/>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b w:val="0"/>
                <w:bCs/>
                <w:szCs w:val="21"/>
              </w:rPr>
            </w:pPr>
            <w:r>
              <w:rPr>
                <w:rStyle w:val="a2"/>
                <w:rFonts w:ascii="仿宋" w:eastAsia="仿宋" w:hAnsi="仿宋" w:cs="仿宋" w:hint="eastAsia"/>
                <w:b w:val="0"/>
                <w:bCs/>
                <w:szCs w:val="21"/>
                <w:lang w:val="en-US" w:eastAsia="zh-CN"/>
              </w:rPr>
              <w:t>雪深</w:t>
            </w:r>
          </w:p>
        </w:tc>
        <w:tc>
          <w:tcPr>
            <w:tcW w:w="1272" w:type="pct"/>
            <w:noWrap/>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b w:val="0"/>
                <w:bCs/>
                <w:szCs w:val="21"/>
              </w:rPr>
            </w:pPr>
            <w:r>
              <w:rPr>
                <w:rStyle w:val="a2"/>
                <w:rFonts w:ascii="仿宋" w:eastAsia="仿宋" w:hAnsi="仿宋" w:cs="仿宋" w:hint="eastAsia"/>
                <w:b w:val="0"/>
                <w:bCs/>
                <w:szCs w:val="21"/>
                <w:lang w:val="en-US" w:eastAsia="zh-CN"/>
              </w:rPr>
              <w:t>0-200cm</w:t>
            </w:r>
          </w:p>
        </w:tc>
        <w:tc>
          <w:tcPr>
            <w:tcW w:w="1708" w:type="pct"/>
            <w:noWrap/>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b w:val="0"/>
                <w:bCs/>
                <w:szCs w:val="21"/>
              </w:rPr>
            </w:pPr>
            <w:r>
              <w:rPr>
                <w:rStyle w:val="a2"/>
                <w:rFonts w:ascii="仿宋" w:eastAsia="仿宋" w:hAnsi="仿宋" w:cs="仿宋" w:hint="eastAsia"/>
                <w:b w:val="0"/>
                <w:bCs/>
                <w:szCs w:val="21"/>
                <w:lang w:val="en-US" w:eastAsia="zh-CN"/>
              </w:rPr>
              <w:t>0.1cm</w:t>
            </w:r>
          </w:p>
        </w:tc>
        <w:tc>
          <w:tcPr>
            <w:tcW w:w="1148" w:type="pct"/>
            <w:noWrap/>
            <w:vAlign w:val="center"/>
          </w:tcPr>
          <w:p>
            <w:pPr>
              <w:keepNext w:val="0"/>
              <w:keepLines w:val="0"/>
              <w:pageBreakBefore w:val="0"/>
              <w:kinsoku/>
              <w:wordWrap/>
              <w:overflowPunct/>
              <w:topLinePunct w:val="0"/>
              <w:bidi w:val="0"/>
              <w:spacing w:line="480" w:lineRule="exact"/>
              <w:ind w:right="-17"/>
              <w:jc w:val="center"/>
              <w:textAlignment w:val="auto"/>
              <w:rPr>
                <w:rStyle w:val="a2"/>
                <w:rFonts w:ascii="仿宋" w:eastAsia="仿宋" w:hAnsi="仿宋" w:cs="仿宋" w:hint="eastAsia"/>
                <w:b w:val="0"/>
                <w:bCs/>
                <w:szCs w:val="21"/>
              </w:rPr>
            </w:pPr>
            <w:r>
              <w:rPr>
                <w:rStyle w:val="a2"/>
                <w:rFonts w:ascii="仿宋" w:eastAsia="仿宋" w:hAnsi="仿宋" w:cs="仿宋" w:hint="eastAsia"/>
                <w:b w:val="0"/>
                <w:bCs/>
                <w:szCs w:val="21"/>
                <w:lang w:val="en-US" w:eastAsia="zh-CN"/>
              </w:rPr>
              <w:t>±1cm</w:t>
            </w:r>
          </w:p>
        </w:tc>
      </w:tr>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lang w:val="en-US" w:eastAsia="zh-CN"/>
        </w:rPr>
        <w:t>3.4.软件系统</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lang w:val="en-US" w:eastAsia="zh-CN"/>
        </w:rPr>
        <w:t>3.4.1中心站软件</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lang w:val="en-US" w:eastAsia="zh-CN"/>
        </w:rPr>
        <w:t>具备数据接收、储存、传输、统计、查询及图表显示功能，中心站与客户端之间应采用B/S或C/S的工作方式。观测设备数据采集、传输能支持统一版中心站软件，提供相关通信模块和底层控件的相关技术支持，数据1分钟内能够到用户端桌面。数据通信与数据处理能支持分离部署，后期能够实时生成和上传符合国家气象局规范要求的BUFR文件，能够提供气象数据检索以及通信状态和设备状态的实时监控信息，能够将气象数据实时同步到气象局内部的各类二次应用数据库，具备较好的技术支持和软件研发能力。</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lang w:val="en-US" w:eastAsia="zh-CN"/>
        </w:rPr>
        <w:t>3.4.2客户端软件</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lang w:val="en-US" w:eastAsia="zh-CN"/>
        </w:rPr>
        <w:t>具备状态信息和观测数据的实时监控、统计、报警、查询及图表显示功能。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lang w:val="en-US" w:eastAsia="zh-CN"/>
        </w:rPr>
        <w:t>3.4.3软件开发及后续服务</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lang w:val="en-US" w:eastAsia="zh-CN"/>
        </w:rPr>
        <w:t>根据需要，在签订保密协议的情况下，投标供应商应将软件系统源程序提供用于应用开发。投标供应商后续软件升级，应无偿提供采购方使用。</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b w:val="0"/>
          <w:bCs w:val="0"/>
          <w:sz w:val="28"/>
          <w:szCs w:val="20"/>
        </w:rPr>
      </w:pPr>
      <w:r>
        <w:rPr>
          <w:rFonts w:ascii="仿宋" w:eastAsia="仿宋" w:hAnsi="仿宋" w:cs="仿宋" w:hint="eastAsia"/>
          <w:b w:val="0"/>
          <w:bCs w:val="0"/>
          <w:sz w:val="28"/>
          <w:szCs w:val="20"/>
          <w:lang w:val="en-US" w:eastAsia="zh-CN"/>
        </w:rPr>
        <w:t>3.4.4</w:t>
      </w:r>
      <w:r>
        <w:rPr>
          <w:rFonts w:ascii="仿宋" w:eastAsia="仿宋" w:hAnsi="仿宋" w:cs="仿宋" w:hint="eastAsia"/>
          <w:b w:val="0"/>
          <w:bCs w:val="0"/>
          <w:sz w:val="28"/>
          <w:szCs w:val="20"/>
        </w:rPr>
        <w:t>投标产品软件兼容性要求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sz w:val="28"/>
          <w:szCs w:val="20"/>
        </w:rPr>
      </w:pPr>
      <w:r>
        <w:rPr>
          <w:rFonts w:ascii="仿宋" w:eastAsia="仿宋" w:hAnsi="仿宋" w:cs="仿宋" w:hint="eastAsia"/>
          <w:sz w:val="28"/>
          <w:szCs w:val="20"/>
        </w:rPr>
        <w:t>设备支持</w:t>
      </w:r>
      <w:r>
        <w:rPr>
          <w:rFonts w:ascii="仿宋" w:eastAsia="仿宋" w:hAnsi="仿宋" w:cs="仿宋" w:hint="eastAsia"/>
          <w:sz w:val="28"/>
          <w:szCs w:val="20"/>
          <w:lang w:eastAsia="zh-CN"/>
        </w:rPr>
        <w:t>中国气象</w:t>
      </w:r>
      <w:r>
        <w:rPr>
          <w:rFonts w:ascii="仿宋" w:eastAsia="仿宋" w:hAnsi="仿宋" w:cs="仿宋" w:hint="eastAsia"/>
          <w:sz w:val="28"/>
          <w:szCs w:val="20"/>
        </w:rPr>
        <w:t>局和</w:t>
      </w:r>
      <w:r>
        <w:rPr>
          <w:rFonts w:ascii="仿宋" w:eastAsia="仿宋" w:hAnsi="仿宋" w:cs="仿宋" w:hint="eastAsia"/>
          <w:sz w:val="28"/>
          <w:szCs w:val="20"/>
          <w:lang w:eastAsia="zh-CN"/>
        </w:rPr>
        <w:t>云南省气象局</w:t>
      </w:r>
      <w:r>
        <w:rPr>
          <w:rFonts w:ascii="仿宋" w:eastAsia="仿宋" w:hAnsi="仿宋" w:cs="仿宋" w:hint="eastAsia"/>
          <w:sz w:val="28"/>
          <w:szCs w:val="20"/>
        </w:rPr>
        <w:t>的气象通讯协议，可无缝接入业务网络系统，实现与国家局和省局网络系统、国家局天衡天衍平台无缝接入，完全符合甲方相关要求和规范，保证其系统的兼容性和功能的完整性。</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b/>
          <w:bCs/>
          <w:sz w:val="28"/>
          <w:szCs w:val="20"/>
        </w:rPr>
      </w:pPr>
      <w:r>
        <w:rPr>
          <w:rFonts w:ascii="仿宋" w:eastAsia="仿宋" w:hAnsi="仿宋" w:cs="仿宋" w:hint="eastAsia"/>
          <w:b/>
          <w:bCs/>
          <w:sz w:val="28"/>
          <w:szCs w:val="20"/>
        </w:rPr>
        <w:t>四、检验考核要求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sz w:val="28"/>
          <w:szCs w:val="20"/>
        </w:rPr>
      </w:pPr>
      <w:r>
        <w:rPr>
          <w:rFonts w:ascii="仿宋" w:eastAsia="仿宋" w:hAnsi="仿宋" w:cs="仿宋" w:hint="eastAsia"/>
          <w:sz w:val="28"/>
          <w:szCs w:val="20"/>
        </w:rPr>
        <w:t>设备出厂、包装运输、安装调试、设备验收、保修及售后服务、工程进度方面还应满足以下要求：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b w:val="0"/>
          <w:bCs w:val="0"/>
          <w:sz w:val="28"/>
          <w:szCs w:val="20"/>
        </w:rPr>
      </w:pPr>
      <w:r>
        <w:rPr>
          <w:rFonts w:ascii="仿宋" w:eastAsia="仿宋" w:hAnsi="仿宋" w:cs="仿宋" w:hint="eastAsia"/>
          <w:b w:val="0"/>
          <w:bCs w:val="0"/>
          <w:sz w:val="28"/>
          <w:szCs w:val="20"/>
          <w:lang w:val="en-US" w:eastAsia="zh-CN"/>
        </w:rPr>
        <w:t>4.1</w:t>
      </w:r>
      <w:r>
        <w:rPr>
          <w:rFonts w:ascii="仿宋" w:eastAsia="仿宋" w:hAnsi="仿宋" w:cs="仿宋" w:hint="eastAsia"/>
          <w:b w:val="0"/>
          <w:bCs w:val="0"/>
          <w:sz w:val="28"/>
          <w:szCs w:val="20"/>
        </w:rPr>
        <w:t>设备出厂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sz w:val="28"/>
          <w:szCs w:val="20"/>
        </w:rPr>
      </w:pPr>
      <w:r>
        <w:rPr>
          <w:rFonts w:ascii="仿宋" w:eastAsia="仿宋" w:hAnsi="仿宋" w:cs="仿宋" w:hint="eastAsia"/>
          <w:sz w:val="28"/>
          <w:szCs w:val="20"/>
        </w:rPr>
        <w:t>（1）保证所提供产品的数量、质量。</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sz w:val="28"/>
          <w:szCs w:val="20"/>
        </w:rPr>
      </w:pPr>
      <w:r>
        <w:rPr>
          <w:rFonts w:ascii="仿宋" w:eastAsia="仿宋" w:hAnsi="仿宋" w:cs="仿宋" w:hint="eastAsia"/>
          <w:sz w:val="28"/>
          <w:szCs w:val="20"/>
        </w:rPr>
        <w:t>（2)出厂前要经买方人员严格测试和检查，确保设备长期稳定、可靠地运行。</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b w:val="0"/>
          <w:bCs w:val="0"/>
          <w:sz w:val="28"/>
          <w:szCs w:val="20"/>
        </w:rPr>
      </w:pPr>
      <w:r>
        <w:rPr>
          <w:rFonts w:ascii="仿宋" w:eastAsia="仿宋" w:hAnsi="仿宋" w:cs="仿宋" w:hint="eastAsia"/>
          <w:b w:val="0"/>
          <w:bCs w:val="0"/>
          <w:sz w:val="28"/>
          <w:szCs w:val="20"/>
          <w:lang w:val="en-US" w:eastAsia="zh-CN"/>
        </w:rPr>
        <w:t>4</w:t>
      </w:r>
      <w:r>
        <w:rPr>
          <w:rFonts w:ascii="仿宋" w:eastAsia="仿宋" w:hAnsi="仿宋" w:cs="仿宋" w:hint="eastAsia"/>
          <w:b w:val="0"/>
          <w:bCs w:val="0"/>
          <w:sz w:val="28"/>
          <w:szCs w:val="20"/>
        </w:rPr>
        <w:t>.2包装和运输要求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sz w:val="28"/>
          <w:szCs w:val="20"/>
        </w:rPr>
      </w:pPr>
      <w:r>
        <w:rPr>
          <w:rFonts w:ascii="仿宋" w:eastAsia="仿宋" w:hAnsi="仿宋" w:cs="仿宋" w:hint="eastAsia"/>
          <w:sz w:val="28"/>
          <w:szCs w:val="20"/>
        </w:rPr>
        <w:t>（1）中标人须在合同签定后按约定时间将设备运到招标人指定的地点，运费由中标人承担。</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sz w:val="28"/>
          <w:szCs w:val="20"/>
        </w:rPr>
      </w:pPr>
      <w:r>
        <w:rPr>
          <w:rFonts w:ascii="仿宋" w:eastAsia="仿宋" w:hAnsi="仿宋" w:cs="仿宋" w:hint="eastAsia"/>
          <w:sz w:val="28"/>
          <w:szCs w:val="20"/>
        </w:rPr>
        <w:t>（2）设备的精密部件要用木箱包装，箱内应有填充物，以防振动。箱外要有防水、朝上标记或“小心轻放”字样。一般不易损坏的零部件可用纸箱或其它方式包装。如因乙方包装不当等原因造成损坏和丢失，应由中标人负责免费修复或补缺，因此而拖延的工期，按照延迟发货对待。</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b w:val="0"/>
          <w:bCs w:val="0"/>
          <w:sz w:val="28"/>
          <w:szCs w:val="20"/>
        </w:rPr>
      </w:pPr>
      <w:r>
        <w:rPr>
          <w:rFonts w:ascii="仿宋" w:eastAsia="仿宋" w:hAnsi="仿宋" w:cs="仿宋" w:hint="eastAsia"/>
          <w:b w:val="0"/>
          <w:bCs w:val="0"/>
          <w:sz w:val="28"/>
          <w:szCs w:val="20"/>
          <w:lang w:val="en-US" w:eastAsia="zh-CN"/>
        </w:rPr>
        <w:t>4</w:t>
      </w:r>
      <w:r>
        <w:rPr>
          <w:rFonts w:ascii="仿宋" w:eastAsia="仿宋" w:hAnsi="仿宋" w:cs="仿宋" w:hint="eastAsia"/>
          <w:b w:val="0"/>
          <w:bCs w:val="0"/>
          <w:sz w:val="28"/>
          <w:szCs w:val="20"/>
        </w:rPr>
        <w:t>.3安装、调试</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sz w:val="28"/>
          <w:szCs w:val="20"/>
        </w:rPr>
      </w:pPr>
      <w:r>
        <w:rPr>
          <w:rFonts w:ascii="仿宋" w:eastAsia="仿宋" w:hAnsi="仿宋" w:cs="仿宋" w:hint="eastAsia"/>
          <w:sz w:val="28"/>
          <w:szCs w:val="20"/>
        </w:rPr>
        <w:t>（1）设备安装由中标人负责。</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sz w:val="28"/>
          <w:szCs w:val="20"/>
        </w:rPr>
      </w:pPr>
      <w:r>
        <w:rPr>
          <w:rFonts w:ascii="仿宋" w:eastAsia="仿宋" w:hAnsi="仿宋" w:cs="仿宋" w:hint="eastAsia"/>
          <w:sz w:val="28"/>
          <w:szCs w:val="20"/>
        </w:rPr>
        <w:t>（2）设备的基础建设（包括预埋件、防雷等基础建设，不含地勘）和设备安装由中标人负责。基础建设和安装调试费等相关费用均包含在报价中。</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sz w:val="28"/>
          <w:szCs w:val="20"/>
        </w:rPr>
      </w:pPr>
      <w:r>
        <w:rPr>
          <w:rFonts w:ascii="仿宋" w:eastAsia="仿宋" w:hAnsi="仿宋" w:cs="仿宋" w:hint="eastAsia"/>
          <w:sz w:val="28"/>
          <w:szCs w:val="20"/>
        </w:rPr>
        <w:t>（3）设备安装调试过程中，中标人应作详细检验记录。安装调试结果应该符合有关标准的要求。检验记录应提供给采购人。</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sz w:val="28"/>
          <w:szCs w:val="20"/>
        </w:rPr>
      </w:pPr>
      <w:r>
        <w:rPr>
          <w:rFonts w:ascii="仿宋" w:eastAsia="仿宋" w:hAnsi="仿宋" w:cs="仿宋" w:hint="eastAsia"/>
          <w:sz w:val="28"/>
          <w:szCs w:val="20"/>
        </w:rPr>
        <w:t>（4）中标人需要充分考虑系统运行中所需要的软硬件配套设备。在系统设备安装和调试期间，采购人有权派出技术人员参加，中标人有义务对其进行指导。</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sz w:val="28"/>
          <w:szCs w:val="20"/>
        </w:rPr>
      </w:pPr>
      <w:r>
        <w:rPr>
          <w:rFonts w:ascii="仿宋" w:eastAsia="仿宋" w:hAnsi="仿宋" w:cs="仿宋" w:hint="eastAsia"/>
          <w:sz w:val="28"/>
          <w:szCs w:val="20"/>
        </w:rPr>
        <w:t>（5）中标人提出设备调试的内容、项目、指标和方法，提供全部安装、调试过程中所需的特殊工具和易损件，并自带专用仪器仪表设备。中标人有责任对采购人的技术人员提出的问题作出解答。调试应进行详细记录，系统调试结束后，由中标人设备安装调试技术人员签字后交给采购人验收。</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b w:val="0"/>
          <w:bCs w:val="0"/>
          <w:sz w:val="28"/>
          <w:szCs w:val="20"/>
        </w:rPr>
      </w:pPr>
      <w:r>
        <w:rPr>
          <w:rFonts w:ascii="仿宋" w:eastAsia="仿宋" w:hAnsi="仿宋" w:cs="仿宋" w:hint="eastAsia"/>
          <w:b w:val="0"/>
          <w:bCs w:val="0"/>
          <w:sz w:val="28"/>
          <w:szCs w:val="20"/>
          <w:lang w:val="en-US" w:eastAsia="zh-CN"/>
        </w:rPr>
        <w:t>4</w:t>
      </w:r>
      <w:r>
        <w:rPr>
          <w:rFonts w:ascii="仿宋" w:eastAsia="仿宋" w:hAnsi="仿宋" w:cs="仿宋" w:hint="eastAsia"/>
          <w:b w:val="0"/>
          <w:bCs w:val="0"/>
          <w:sz w:val="28"/>
          <w:szCs w:val="20"/>
        </w:rPr>
        <w:t>.4设备验收</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sz w:val="28"/>
          <w:szCs w:val="20"/>
        </w:rPr>
      </w:pPr>
      <w:r>
        <w:rPr>
          <w:rFonts w:ascii="仿宋" w:eastAsia="仿宋" w:hAnsi="仿宋" w:cs="仿宋" w:hint="eastAsia"/>
          <w:sz w:val="28"/>
          <w:szCs w:val="20"/>
        </w:rPr>
        <w:t>（1）设备安装、调试达到功能规格需求书规定的指标后，可进行初步验收。验收规范(包括项目、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sz w:val="28"/>
          <w:szCs w:val="20"/>
        </w:rPr>
      </w:pPr>
      <w:r>
        <w:rPr>
          <w:rFonts w:ascii="仿宋" w:eastAsia="仿宋" w:hAnsi="仿宋" w:cs="仿宋" w:hint="eastAsia"/>
          <w:sz w:val="28"/>
          <w:szCs w:val="20"/>
        </w:rPr>
        <w:t>（2）设备经过1个月试运行期，达到功能规格需求书的要求时，可进行最终验收。在试运行期间，由于设备质量等造成某些指标达不到要求，允许中标人更换或进行修复，但试运行期另加1个月。</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sz w:val="28"/>
          <w:szCs w:val="20"/>
        </w:rPr>
      </w:pPr>
      <w:r>
        <w:rPr>
          <w:rFonts w:ascii="仿宋" w:eastAsia="仿宋" w:hAnsi="仿宋" w:cs="仿宋" w:hint="eastAsia"/>
          <w:sz w:val="28"/>
          <w:szCs w:val="20"/>
        </w:rPr>
        <w:t>（4）设备安装调试和试运行结束后，采购人组织最终验收。当满足以下条件时，采购人确认验收合格签署验收合格证：</w:t>
      </w:r>
    </w:p>
    <w:p>
      <w:pPr>
        <w:keepNext w:val="0"/>
        <w:keepLines w:val="0"/>
        <w:pageBreakBefore w:val="0"/>
        <w:widowControl w:val="0"/>
        <w:numPr>
          <w:ilvl w:val="0"/>
          <w:numId w:val="4"/>
        </w:numPr>
        <w:kinsoku/>
        <w:wordWrap/>
        <w:overflowPunct/>
        <w:topLinePunct w:val="0"/>
        <w:autoSpaceDE/>
        <w:autoSpaceDN/>
        <w:bidi w:val="0"/>
        <w:adjustRightInd/>
        <w:snapToGrid/>
        <w:spacing w:line="560" w:lineRule="exact"/>
        <w:textAlignment w:val="auto"/>
        <w:rPr>
          <w:rFonts w:ascii="仿宋" w:eastAsia="仿宋" w:hAnsi="仿宋" w:cs="仿宋"/>
          <w:sz w:val="28"/>
          <w:szCs w:val="20"/>
        </w:rPr>
      </w:pPr>
      <w:r>
        <w:rPr>
          <w:rFonts w:ascii="仿宋" w:eastAsia="仿宋" w:hAnsi="仿宋" w:cs="仿宋" w:hint="eastAsia"/>
          <w:sz w:val="28"/>
          <w:szCs w:val="20"/>
        </w:rPr>
        <w:t>中标人已提供合同中签署的全部货物及完整技术资料；</w:t>
      </w:r>
    </w:p>
    <w:p>
      <w:pPr>
        <w:keepNext w:val="0"/>
        <w:keepLines w:val="0"/>
        <w:pageBreakBefore w:val="0"/>
        <w:widowControl w:val="0"/>
        <w:numPr>
          <w:ilvl w:val="0"/>
          <w:numId w:val="4"/>
        </w:numPr>
        <w:kinsoku/>
        <w:wordWrap/>
        <w:overflowPunct/>
        <w:topLinePunct w:val="0"/>
        <w:autoSpaceDE/>
        <w:autoSpaceDN/>
        <w:bidi w:val="0"/>
        <w:adjustRightInd/>
        <w:snapToGrid/>
        <w:spacing w:line="560" w:lineRule="exact"/>
        <w:textAlignment w:val="auto"/>
        <w:rPr>
          <w:rFonts w:ascii="仿宋" w:eastAsia="仿宋" w:hAnsi="仿宋" w:cs="仿宋"/>
          <w:sz w:val="28"/>
          <w:szCs w:val="20"/>
        </w:rPr>
      </w:pPr>
      <w:r>
        <w:rPr>
          <w:rFonts w:ascii="仿宋" w:eastAsia="仿宋" w:hAnsi="仿宋" w:cs="仿宋" w:hint="eastAsia"/>
          <w:sz w:val="28"/>
          <w:szCs w:val="20"/>
        </w:rPr>
        <w:t>货物符合技术规格，性能满足要求；</w:t>
      </w:r>
    </w:p>
    <w:p>
      <w:pPr>
        <w:keepNext w:val="0"/>
        <w:keepLines w:val="0"/>
        <w:pageBreakBefore w:val="0"/>
        <w:widowControl w:val="0"/>
        <w:numPr>
          <w:ilvl w:val="0"/>
          <w:numId w:val="4"/>
        </w:numPr>
        <w:kinsoku/>
        <w:wordWrap/>
        <w:overflowPunct/>
        <w:topLinePunct w:val="0"/>
        <w:autoSpaceDE/>
        <w:autoSpaceDN/>
        <w:bidi w:val="0"/>
        <w:adjustRightInd/>
        <w:snapToGrid/>
        <w:spacing w:line="560" w:lineRule="exact"/>
        <w:textAlignment w:val="auto"/>
        <w:rPr>
          <w:rFonts w:ascii="仿宋" w:eastAsia="仿宋" w:hAnsi="仿宋" w:cs="仿宋"/>
          <w:sz w:val="28"/>
          <w:szCs w:val="20"/>
        </w:rPr>
      </w:pPr>
      <w:r>
        <w:rPr>
          <w:rFonts w:ascii="仿宋" w:eastAsia="仿宋" w:hAnsi="仿宋" w:cs="仿宋" w:hint="eastAsia"/>
          <w:sz w:val="28"/>
          <w:szCs w:val="20"/>
        </w:rPr>
        <w:t>安装工程符合技术要求，系统性能满足要求，设备正常运行。</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b w:val="0"/>
          <w:bCs w:val="0"/>
          <w:sz w:val="28"/>
          <w:szCs w:val="20"/>
        </w:rPr>
      </w:pPr>
      <w:r>
        <w:rPr>
          <w:rFonts w:ascii="仿宋" w:eastAsia="仿宋" w:hAnsi="仿宋" w:cs="仿宋" w:hint="eastAsia"/>
          <w:b w:val="0"/>
          <w:bCs w:val="0"/>
          <w:sz w:val="28"/>
          <w:szCs w:val="20"/>
          <w:lang w:val="en-US" w:eastAsia="zh-CN"/>
        </w:rPr>
        <w:t>4</w:t>
      </w:r>
      <w:r>
        <w:rPr>
          <w:rFonts w:ascii="仿宋" w:eastAsia="仿宋" w:hAnsi="仿宋" w:cs="仿宋" w:hint="eastAsia"/>
          <w:b w:val="0"/>
          <w:bCs w:val="0"/>
          <w:sz w:val="28"/>
          <w:szCs w:val="20"/>
        </w:rPr>
        <w:t>.5保修及售后服务</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sz w:val="28"/>
          <w:szCs w:val="20"/>
        </w:rPr>
      </w:pPr>
      <w:r>
        <w:rPr>
          <w:rFonts w:ascii="仿宋" w:eastAsia="仿宋" w:hAnsi="仿宋" w:cs="仿宋" w:hint="eastAsia"/>
          <w:sz w:val="28"/>
          <w:szCs w:val="20"/>
        </w:rPr>
        <w:t xml:space="preserve">（1）保修期内因设备设计、质量出现问题，均由设备供应商即时无偿解决（包括更换器件）；设备安装后的试运行期间（一个月）内，遇设备故障或数据明显异常、性能不达标等，中标人负责48小时内到站对故障设备进行测试和更换，确保设备正常投入业务运行。 </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sz w:val="28"/>
          <w:szCs w:val="20"/>
        </w:rPr>
      </w:pPr>
      <w:r>
        <w:rPr>
          <w:rFonts w:ascii="仿宋" w:eastAsia="仿宋" w:hAnsi="仿宋" w:cs="仿宋" w:hint="eastAsia"/>
          <w:sz w:val="28"/>
          <w:szCs w:val="20"/>
        </w:rPr>
        <w:t>（2）合同签定后，中标人指定负责本工程的项目经理，负责协调中标人在项目全过程的各项工作，如工程进度、设备定制及设备供应、软件定制开发、图纸文件、包装运输、现场安装、调试验收等。中标人需为本项目组建专业售后服务团队，售后服务团队人员经验丰富，有较强的理论及实践经验。保证项目中设备单次故障恢复时间不超过 72小时的要求，在规定时间内完成故障站点现场维修。并承诺团队人员在本项目服务期不随意更换，若出现人员变动，须经采购人同意。</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sz w:val="28"/>
          <w:szCs w:val="20"/>
        </w:rPr>
      </w:pPr>
      <w:r>
        <w:rPr>
          <w:rFonts w:ascii="仿宋" w:eastAsia="仿宋" w:hAnsi="仿宋" w:cs="仿宋" w:hint="eastAsia"/>
          <w:sz w:val="28"/>
          <w:szCs w:val="20"/>
        </w:rPr>
        <w:t>（3）在质保期内，设备供应商应提供详细的售后服务计划，内容包括售后服务方式、人员配置、服务期限、故障响应及维修时间、零配件供应方式等情况。设备供应商服务时间应为7×24小时。质保期过后，设备供应商仍有义务提供技术服务（包括提供设备维护、备件等）。</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b w:val="0"/>
          <w:bCs w:val="0"/>
          <w:sz w:val="28"/>
          <w:szCs w:val="20"/>
        </w:rPr>
      </w:pPr>
      <w:r>
        <w:rPr>
          <w:rFonts w:ascii="仿宋" w:eastAsia="仿宋" w:hAnsi="仿宋" w:cs="仿宋" w:hint="eastAsia"/>
          <w:b w:val="0"/>
          <w:bCs w:val="0"/>
          <w:sz w:val="28"/>
          <w:szCs w:val="20"/>
          <w:lang w:val="en-US" w:eastAsia="zh-CN"/>
        </w:rPr>
        <w:t>4</w:t>
      </w:r>
      <w:r>
        <w:rPr>
          <w:rFonts w:ascii="仿宋" w:eastAsia="仿宋" w:hAnsi="仿宋" w:cs="仿宋" w:hint="eastAsia"/>
          <w:b w:val="0"/>
          <w:bCs w:val="0"/>
          <w:sz w:val="28"/>
          <w:szCs w:val="20"/>
        </w:rPr>
        <w:t>.6工程进度</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sz w:val="28"/>
          <w:szCs w:val="20"/>
        </w:rPr>
      </w:pPr>
      <w:r>
        <w:rPr>
          <w:rFonts w:ascii="仿宋" w:eastAsia="仿宋" w:hAnsi="仿宋" w:cs="仿宋" w:hint="eastAsia"/>
          <w:sz w:val="28"/>
          <w:szCs w:val="20"/>
        </w:rPr>
        <w:t>（1）合同签订后根据招标人的要求安排发货。</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sz w:val="28"/>
          <w:szCs w:val="20"/>
        </w:rPr>
      </w:pPr>
      <w:r>
        <w:rPr>
          <w:rFonts w:ascii="仿宋" w:eastAsia="仿宋" w:hAnsi="仿宋" w:cs="仿宋" w:hint="eastAsia"/>
          <w:sz w:val="28"/>
          <w:szCs w:val="20"/>
        </w:rPr>
        <w:t>（2）设备到达安装现场后，收到招标人通知五日内到达现场， 完成设备的安装、调测以及供电系统的联调工作。</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sz w:val="28"/>
          <w:szCs w:val="20"/>
        </w:rPr>
      </w:pPr>
      <w:r>
        <w:rPr>
          <w:rFonts w:ascii="仿宋" w:eastAsia="仿宋" w:hAnsi="仿宋" w:cs="仿宋" w:hint="eastAsia"/>
          <w:sz w:val="28"/>
          <w:szCs w:val="20"/>
        </w:rPr>
        <w:t>（3）中标人应根据招标人的工程进度要求，提出具体的工程进度安排。中标人应提交本项目的项目计划进度表。该计划进度表首先对本项目的工作内容进行分解，针对不同的工作内容提出相应的实施进度表，并提供相应的阶段性工作成果以及邀请采购人进行阶段性验收。</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b/>
          <w:bCs/>
          <w:sz w:val="28"/>
          <w:szCs w:val="20"/>
        </w:rPr>
      </w:pPr>
      <w:r>
        <w:rPr>
          <w:rFonts w:ascii="仿宋" w:eastAsia="仿宋" w:hAnsi="仿宋" w:cs="仿宋" w:hint="eastAsia"/>
          <w:b/>
          <w:bCs/>
          <w:sz w:val="28"/>
          <w:szCs w:val="20"/>
        </w:rPr>
        <w:t>五、服务</w:t>
      </w:r>
      <w:r>
        <w:rPr>
          <w:rFonts w:ascii="仿宋" w:eastAsia="仿宋" w:hAnsi="仿宋" w:cs="仿宋" w:hint="eastAsia"/>
          <w:b/>
          <w:bCs/>
          <w:sz w:val="28"/>
          <w:szCs w:val="20"/>
          <w:lang w:eastAsia="zh-CN"/>
        </w:rPr>
        <w:t>团队</w:t>
      </w:r>
      <w:r>
        <w:rPr>
          <w:rFonts w:ascii="仿宋" w:eastAsia="仿宋" w:hAnsi="仿宋" w:cs="仿宋" w:hint="eastAsia"/>
          <w:b/>
          <w:bCs/>
          <w:sz w:val="28"/>
          <w:szCs w:val="20"/>
        </w:rPr>
        <w:t>和质保期服务要求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lang w:val="en-US" w:eastAsia="zh-CN"/>
        </w:rPr>
        <w:t>5.1</w:t>
      </w: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sz w:val="28"/>
          <w:szCs w:val="20"/>
        </w:rPr>
      </w:pPr>
      <w:r>
        <w:rPr>
          <w:rFonts w:ascii="仿宋" w:eastAsia="仿宋" w:hAnsi="仿宋" w:cs="仿宋" w:hint="eastAsia"/>
          <w:sz w:val="28"/>
          <w:szCs w:val="20"/>
          <w:lang w:val="en-US" w:eastAsia="zh-CN"/>
        </w:rPr>
        <w:t>5.2</w:t>
      </w: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Pr>
          <w:rFonts w:ascii="仿宋" w:eastAsia="仿宋" w:hAnsi="仿宋" w:cs="仿宋" w:hint="eastAsia"/>
          <w:sz w:val="28"/>
          <w:szCs w:val="20"/>
          <w:highlight w:val="yellow"/>
          <w:lang w:val="en-US" w:eastAsia="zh-CN"/>
        </w:rPr>
        <w:t>8</w:t>
      </w:r>
      <w:r>
        <w:rPr>
          <w:rFonts w:ascii="仿宋" w:eastAsia="仿宋" w:hAnsi="仿宋" w:cs="仿宋" w:hint="eastAsia"/>
          <w:sz w:val="28"/>
          <w:szCs w:val="20"/>
          <w:highlight w:val="yellow"/>
        </w:rPr>
        <w:t>个</w:t>
      </w:r>
      <w:r>
        <w:rPr>
          <w:rFonts w:ascii="仿宋" w:eastAsia="仿宋" w:hAnsi="仿宋" w:cs="仿宋"/>
          <w:sz w:val="28"/>
          <w:szCs w:val="20"/>
          <w:highlight w:val="yellow"/>
        </w:rPr>
        <w:t>课时，培训人数不少于</w:t>
      </w:r>
      <w:r>
        <w:rPr>
          <w:rFonts w:ascii="仿宋" w:eastAsia="仿宋" w:hAnsi="仿宋" w:cs="仿宋" w:hint="eastAsia"/>
          <w:sz w:val="28"/>
          <w:szCs w:val="20"/>
          <w:highlight w:val="yellow"/>
          <w:lang w:val="en-US" w:eastAsia="zh-CN"/>
        </w:rPr>
        <w:t>30</w:t>
      </w:r>
      <w:r>
        <w:rPr>
          <w:rFonts w:ascii="仿宋" w:eastAsia="仿宋" w:hAnsi="仿宋" w:cs="仿宋" w:hint="eastAsia"/>
          <w:sz w:val="28"/>
          <w:szCs w:val="20"/>
          <w:highlight w:val="yellow"/>
        </w:rPr>
        <w:t>人</w:t>
      </w:r>
      <w:r>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培训内容包括设备安装、使用、日常维护、观测原理及产品应用，培训时间及地点双方协商确定。</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lang w:val="en-US" w:eastAsia="zh-CN"/>
        </w:rPr>
        <w:t>5.3</w:t>
      </w:r>
      <w:r>
        <w:rPr>
          <w:rFonts w:ascii="仿宋" w:eastAsia="仿宋" w:hAnsi="仿宋" w:cs="仿宋" w:hint="eastAsia"/>
          <w:sz w:val="28"/>
          <w:szCs w:val="20"/>
        </w:rPr>
        <w:t>中标方按照业务运行规范要求执行，确保设备可稳定运行，主要工作包括：巡检、年维护等巡检巡查工作，以及关键器件及系统故障的维修等。故障维修和巡检巡查等需按照质保指导意见要求执行，并提供相关承诺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highlight w:val="yellow"/>
        </w:rPr>
        <w:t>（1）设备供应商对所有设备提供自验收合格后8年的质保服务*，</w:t>
      </w:r>
      <w:r>
        <w:rPr>
          <w:rFonts w:ascii="仿宋" w:eastAsia="仿宋" w:hAnsi="仿宋" w:cs="仿宋" w:hint="eastAsia"/>
          <w:sz w:val="28"/>
          <w:szCs w:val="20"/>
        </w:rPr>
        <w:t>需提供设备质保承诺函原件（格式自拟）。保修期内因设备设计、质量出现问题，均由设备供应商即时无偿解决（包括更换器件）；设备安装后的试运行期间（六个月）内，遇设备故障或数据明显异常、性能不达标等，中标人负责48小时内到站对故障设备进行测试和更换，确保设备正常投入业务运行。</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rPr>
        <w:t>（2）在质保期内，设备供应商服务时间应为7×24小时，当投标产品或软件遭到损坏或出现故障时，要在用户报修之时起4小时内做出响应，开展维修维护工作，视情况双方协商设备恢复正常运行时限。</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宋体" w:hAnsi="宋体" w:hint="eastAsia"/>
          <w:szCs w:val="21"/>
        </w:rPr>
      </w:pPr>
      <w:r>
        <w:rPr>
          <w:rFonts w:ascii="仿宋" w:eastAsia="仿宋" w:hAnsi="仿宋" w:cs="仿宋" w:hint="eastAsia"/>
          <w:sz w:val="28"/>
          <w:szCs w:val="20"/>
        </w:rPr>
        <w:t>（3）质保期过后，设备供应商仍有义务提供技术服务（包括提供设备维护、备件等）。</w:t>
      </w:r>
    </w:p>
    <w:p>
      <w:pPr>
        <w:spacing w:line="360" w:lineRule="auto"/>
        <w:ind w:firstLine="420" w:firstLineChars="200"/>
        <w:rPr>
          <w:rFonts w:ascii="宋体" w:eastAsia="宋体" w:hAnsi="宋体" w:cs="Times New Roman"/>
          <w:szCs w:val="21"/>
        </w:rPr>
      </w:pPr>
    </w:p>
    <w:p>
      <w:pPr>
        <w:spacing w:line="360" w:lineRule="auto"/>
        <w:rPr>
          <w:rFonts w:ascii="宋体" w:eastAsia="宋体" w:hAnsi="宋体" w:cs="Times New Roman"/>
          <w:szCs w:val="21"/>
        </w:rPr>
      </w:pPr>
      <w:r>
        <w:rPr>
          <w:rFonts w:ascii="宋体" w:eastAsia="宋体" w:hAnsi="宋体" w:cs="Times New Roman" w:hint="eastAsia"/>
          <w:szCs w:val="21"/>
        </w:rPr>
        <w:t>第七章 采购需求 附表</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67"/>
        <w:gridCol w:w="864"/>
        <w:gridCol w:w="437"/>
        <w:gridCol w:w="608"/>
        <w:gridCol w:w="694"/>
        <w:gridCol w:w="437"/>
        <w:gridCol w:w="5254"/>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公路交通气象观测站</w:t>
            </w:r>
          </w:p>
        </w:tc>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500,000.00</w:t>
            </w:r>
          </w:p>
        </w:tc>
        <w:tc>
          <w:tcPr/>
          <w:p>
            <w:pPr>
              <w:autoSpaceDE w:val="0"/>
              <w:jc w:val="center"/>
              <w:rPr>
                <w:rFonts w:asciiTheme="minorEastAsia" w:hAnsiTheme="minorEastAsia" w:cstheme="minorEastAsia" w:hint="eastAsia"/>
                <w:kern w:val="0"/>
                <w:szCs w:val="21"/>
              </w:rPr>
            </w:pPr>
            <w:r>
              <w:t>30</w:t>
            </w:r>
          </w:p>
        </w:tc>
        <w:tc>
          <w:tcPr/>
          <w:p>
            <w:pPr>
              <w:autoSpaceDE w:val="0"/>
              <w:autoSpaceDN w:val="0"/>
              <w:adjustRightInd w:val="0"/>
              <w:spacing w:before="48"/>
              <w:ind w:right="-20"/>
              <w:jc w:val="center"/>
              <w:rPr>
                <w:rFonts w:asciiTheme="minorEastAsia" w:hAnsiTheme="minorEastAsia" w:cstheme="minorEastAsia"/>
                <w:kern w:val="0"/>
                <w:szCs w:val="21"/>
              </w:rPr>
            </w:pPr>
            <w:r>
              <w:t>观测项目包括温度，湿度，风向，风速，雨量，气压，能见度，路面温度，路基温度，雪深。</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高原特色农业站</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250,000.00</w:t>
            </w:r>
          </w:p>
        </w:tc>
        <w:tc>
          <w:tcPr/>
          <w:p>
            <w:pPr>
              <w:autoSpaceDE w:val="0"/>
              <w:jc w:val="center"/>
              <w:rPr>
                <w:rFonts w:asciiTheme="minorEastAsia" w:hAnsiTheme="minorEastAsia" w:cstheme="minorEastAsia" w:hint="eastAsia"/>
                <w:kern w:val="0"/>
                <w:szCs w:val="21"/>
              </w:rPr>
            </w:pPr>
            <w:r>
              <w:t>30</w:t>
            </w:r>
          </w:p>
        </w:tc>
        <w:tc>
          <w:tcPr/>
          <w:p>
            <w:pPr>
              <w:autoSpaceDE w:val="0"/>
              <w:autoSpaceDN w:val="0"/>
              <w:adjustRightInd w:val="0"/>
              <w:spacing w:before="48"/>
              <w:ind w:right="-20"/>
              <w:jc w:val="center"/>
              <w:rPr>
                <w:rFonts w:asciiTheme="minorEastAsia" w:hAnsiTheme="minorEastAsia" w:cstheme="minorEastAsia"/>
                <w:kern w:val="0"/>
                <w:szCs w:val="21"/>
              </w:rPr>
            </w:pPr>
            <w:r>
              <w:t>观测项目包括8种要素：温度，湿度，风向，风速，日照时数，雨量，2层地温（0cm、20cm），2层土壤水分（20cm、40cm），光合有效。</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太阳辐射站</w:t>
            </w:r>
          </w:p>
        </w:tc>
        <w:tc>
          <w:tcPr/>
          <w:p>
            <w:pPr>
              <w:autoSpaceDE w:val="0"/>
              <w:jc w:val="center"/>
              <w:rPr>
                <w:rFonts w:asciiTheme="minorEastAsia" w:hAnsiTheme="minorEastAsia" w:cstheme="minorEastAsia"/>
                <w:kern w:val="0"/>
                <w:szCs w:val="21"/>
              </w:rPr>
            </w:pPr>
            <w:r>
              <w:t>8</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2,000,000.00</w:t>
            </w:r>
          </w:p>
        </w:tc>
        <w:tc>
          <w:tcPr/>
          <w:p>
            <w:pPr>
              <w:autoSpaceDE w:val="0"/>
              <w:jc w:val="center"/>
              <w:rPr>
                <w:rFonts w:asciiTheme="minorEastAsia" w:hAnsiTheme="minorEastAsia" w:cstheme="minorEastAsia" w:hint="eastAsia"/>
                <w:kern w:val="0"/>
                <w:szCs w:val="21"/>
              </w:rPr>
            </w:pPr>
            <w:r>
              <w:t>60</w:t>
            </w:r>
          </w:p>
        </w:tc>
        <w:tc>
          <w:tcPr/>
          <w:p>
            <w:pPr>
              <w:autoSpaceDE w:val="0"/>
              <w:autoSpaceDN w:val="0"/>
              <w:adjustRightInd w:val="0"/>
              <w:spacing w:before="48"/>
              <w:ind w:right="-20"/>
              <w:jc w:val="center"/>
              <w:rPr>
                <w:rFonts w:asciiTheme="minorEastAsia" w:hAnsiTheme="minorEastAsia" w:cstheme="minorEastAsia"/>
                <w:kern w:val="0"/>
                <w:szCs w:val="21"/>
              </w:rPr>
            </w:pPr>
            <w:r>
              <w:t>观测项目包括6种要素：总辐射、反射辐射、散射辐射、直接辐射、大气长波辐射、地面长波辐射。另外还会产生一个导出量—净全辐射。</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2,750,000.00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76"/>
        <w:gridCol w:w="2154"/>
        <w:gridCol w:w="1544"/>
        <w:gridCol w:w="476"/>
        <w:gridCol w:w="1086"/>
        <w:gridCol w:w="905"/>
        <w:gridCol w:w="781"/>
        <w:gridCol w:w="110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云南省大气探测技术保障中心</w:t>
            </w:r>
          </w:p>
        </w:tc>
        <w:tc>
          <w:tcPr/>
          <w:p>
            <w:r>
              <w:t>公路交通气象观测站</w:t>
            </w:r>
          </w:p>
        </w:tc>
        <w:tc>
          <w:tcPr/>
          <w:p>
            <w:r>
              <w:t>2</w:t>
            </w:r>
          </w:p>
        </w:tc>
        <w:tc>
          <w:tcPr/>
          <w:p>
            <w:r>
              <w:t>500000.00</w:t>
            </w:r>
          </w:p>
        </w:tc>
        <w:tc>
          <w:tcPr>
            <w:vMerge w:val="restart"/>
          </w:tcPr>
          <w:p>
            <w:r>
              <w:t xml:space="preserve">2750000.00  </w:t>
            </w:r>
          </w:p>
        </w:tc>
        <w:tc>
          <w:tcPr/>
          <w:p>
            <w:r>
              <w:t>曲靖</w:t>
            </w:r>
          </w:p>
        </w:tc>
        <w:tc>
          <w:tcPr/>
          <w:p>
            <w:r>
              <w:t>087164114397</w:t>
            </w:r>
          </w:p>
        </w:tc>
      </w:tr>
      <w:tr>
        <w:tblPrEx>
          <w:tblW w:w="5000" w:type="pct"/>
          <w:tblCellMar>
            <w:left w:w="108" w:type="dxa"/>
            <w:right w:w="108" w:type="dxa"/>
          </w:tblCellMar>
        </w:tblPrEx>
        <w:tc>
          <w:tcPr/>
          <w:p>
            <w:r>
              <w:t>2</w:t>
            </w:r>
          </w:p>
        </w:tc>
        <w:tc>
          <w:tcPr>
            <w:vMerge/>
          </w:tcPr>
          <w:p>
            <w:r>
              <w:t>云南省大气探测技术保障中心</w:t>
            </w:r>
          </w:p>
        </w:tc>
        <w:tc>
          <w:tcPr/>
          <w:p>
            <w:r>
              <w:t>太阳辐射站</w:t>
            </w:r>
          </w:p>
        </w:tc>
        <w:tc>
          <w:tcPr/>
          <w:p>
            <w:r>
              <w:t>8</w:t>
            </w:r>
          </w:p>
        </w:tc>
        <w:tc>
          <w:tcPr/>
          <w:p>
            <w:r>
              <w:t>2000000.00</w:t>
            </w:r>
          </w:p>
        </w:tc>
        <w:tc>
          <w:tcPr>
            <w:vMerge/>
          </w:tcPr>
          <w:p>
            <w:r>
              <w:t xml:space="preserve">2750000.00  </w:t>
            </w:r>
          </w:p>
        </w:tc>
        <w:tc>
          <w:tcPr/>
          <w:p>
            <w:r>
              <w:t>相关州市</w:t>
            </w:r>
          </w:p>
        </w:tc>
        <w:tc>
          <w:tcPr/>
          <w:p>
            <w:r>
              <w:t>097164114397</w:t>
            </w:r>
          </w:p>
        </w:tc>
      </w:tr>
      <w:tr>
        <w:tblPrEx>
          <w:tblW w:w="5000" w:type="pct"/>
          <w:tblCellMar>
            <w:left w:w="108" w:type="dxa"/>
            <w:right w:w="108" w:type="dxa"/>
          </w:tblCellMar>
        </w:tblPrEx>
        <w:tc>
          <w:tcPr/>
          <w:p>
            <w:r>
              <w:t>3</w:t>
            </w:r>
          </w:p>
        </w:tc>
        <w:tc>
          <w:tcPr>
            <w:vMerge/>
          </w:tcPr>
          <w:p>
            <w:r>
              <w:t>云南省大气探测技术保障中心</w:t>
            </w:r>
          </w:p>
        </w:tc>
        <w:tc>
          <w:tcPr/>
          <w:p>
            <w:r>
              <w:t>高原特色农业站</w:t>
            </w:r>
          </w:p>
        </w:tc>
        <w:tc>
          <w:tcPr/>
          <w:p>
            <w:r>
              <w:t>1</w:t>
            </w:r>
          </w:p>
        </w:tc>
        <w:tc>
          <w:tcPr/>
          <w:p>
            <w:r>
              <w:t>250000.00</w:t>
            </w:r>
          </w:p>
        </w:tc>
        <w:tc>
          <w:tcPr>
            <w:vMerge/>
          </w:tcPr>
          <w:p>
            <w:r>
              <w:t xml:space="preserve">2750000.00  </w:t>
            </w:r>
          </w:p>
        </w:tc>
        <w:tc>
          <w:tcPr/>
          <w:p>
            <w:r>
              <w:t>普洱</w:t>
            </w:r>
          </w:p>
        </w:tc>
        <w:tc>
          <w:tcPr/>
          <w:p>
            <w:r>
              <w:t>087164114397</w:t>
            </w: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68"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w:t>
            </w:r>
            <w:r>
              <w:rPr>
                <w:rFonts w:ascii="宋体" w:hAnsi="宋体" w:hint="eastAsia"/>
                <w:sz w:val="18"/>
                <w:szCs w:val="18"/>
                <w:highlight w:val="none"/>
                <w:lang w:val="en-US" w:eastAsia="zh-CN"/>
              </w:rPr>
              <w:t>7</w:t>
            </w: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rPr>
              <w:t>投标人需要提供至投标截止日仍有效的路交通气象观测站《气象专用技术装备使用许可证》</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rPr>
                <w:rFonts w:cs="微软雅黑" w:hint="eastAsia"/>
                <w:b/>
                <w:color w:val="0000FF"/>
                <w:kern w:val="0"/>
                <w:sz w:val="18"/>
                <w:szCs w:val="18"/>
                <w:highlight w:val="none"/>
              </w:rPr>
            </w:pPr>
            <w:r>
              <w:rPr>
                <w:rFonts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spacing w:line="360" w:lineRule="auto"/>
        <w:ind w:firstLine="3066" w:firstLineChars="1460"/>
        <w:jc w:val="left"/>
        <w:rPr>
          <w:b/>
          <w:bCs/>
          <w:szCs w:val="21"/>
          <w:highlight w:val="none"/>
        </w:rPr>
      </w:pPr>
      <w:bookmarkStart w:id="69" w:name="采购公告合同部分_ZBGGHT"/>
      <w:bookmarkStart w:id="70" w:name="_GoBack_0"/>
      <w:r>
        <w:rPr>
          <w:rFonts w:hint="eastAsia"/>
          <w:b/>
          <w:bCs/>
          <w:szCs w:val="21"/>
          <w:highlight w:val="none"/>
        </w:rPr>
        <w:t>第九章  采购合同</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6"/>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A8"/>
      </w:r>
      <w:r>
        <w:rPr>
          <w:rFonts w:ascii="宋体" w:hAnsi="宋体" w:hint="eastAsia"/>
          <w:szCs w:val="21"/>
          <w:highlight w:val="none"/>
        </w:rPr>
        <w:t>分期付款：</w:t>
      </w:r>
      <w:r>
        <w:rPr>
          <w:rFonts w:ascii="宋体" w:hAnsi="宋体" w:hint="eastAsia"/>
          <w:szCs w:val="21"/>
          <w:highlight w:val="none"/>
          <w:u w:val="single"/>
        </w:rPr>
        <w:t xml:space="preserve">  （应明确分期支付合同款项的各期比例和支付条件，各期支付条件应与分期履约验收情况挂钩）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5"/>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7"/>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3" w:name="_Toc27624"/>
      <w:r>
        <w:rPr>
          <w:rFonts w:ascii="黑体" w:hAnsi="黑体" w:hint="eastAsia"/>
          <w:b w:val="0"/>
          <w:bCs w:val="0"/>
          <w:sz w:val="28"/>
          <w:szCs w:val="28"/>
          <w:highlight w:val="none"/>
        </w:rPr>
        <w:t>第二节 政府采购合同通用条款</w:t>
      </w:r>
      <w:bookmarkEnd w:id="73"/>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0"/>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1"/>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5"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bookmarkEnd w:id="70"/>
    <w:p w:rsidR="00A77B3E"/>
    <w:p>
      <w:pPr>
        <w:spacing w:line="360" w:lineRule="auto"/>
        <w:ind w:firstLine="3066" w:firstLineChars="1460"/>
        <w:jc w:val="left"/>
        <w:rPr>
          <w:b/>
          <w:bCs/>
          <w:szCs w:val="21"/>
          <w:highlight w:val="none"/>
        </w:rPr>
      </w:pPr>
      <w:bookmarkEnd w:id="69"/>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1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Arial Unicode MS">
    <w:panose1 w:val="020B0604020202020204"/>
    <w:charset w:val="80"/>
    <w:family w:val="swiss"/>
    <w:pitch w:val="default"/>
    <w:sig w:usb0="FFFFFFFF" w:usb1="E9FFFFFF" w:usb2="0000003F" w:usb3="00000000" w:csb0="603F01FF" w:csb1="FFFF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4F6CD6DD"/>
    <w:multiLevelType w:val="singleLevel"/>
    <w:tmpl w:val="4F6CD6DD"/>
    <w:lvl w:ilvl="0">
      <w:start w:val="1"/>
      <w:numFmt w:val="bullet"/>
      <w:lvlText w:val=""/>
      <w:lvlJc w:val="left"/>
      <w:pPr>
        <w:ind w:left="420" w:hanging="420"/>
      </w:pPr>
      <w:rPr>
        <w:rFonts w:ascii="Wingdings" w:hAnsi="Wingdings" w:hint="default"/>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customStyle="1" w:styleId="a2">
    <w:name w:val="普通(网站) 字符"/>
    <w:link w:val="DocumentMap"/>
    <w:qFormat/>
    <w:locked/>
    <w:rPr>
      <w:rFonts w:ascii="Arial Unicode MS" w:eastAsia="Arial Unicode MS" w:hAnsi="Arial Unicode MS" w:cstheme="minorBidi"/>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25716</Words>
  <Characters>27253</Characters>
  <Application>Microsoft Office Word</Application>
  <DocSecurity>0</DocSecurity>
  <Lines>209</Lines>
  <Paragraphs>59</Paragraphs>
  <ScaleCrop>false</ScaleCrop>
  <Company>中国气象局</Company>
  <LinksUpToDate>false</LinksUpToDate>
  <CharactersWithSpaces>27436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2025-07-01T07:52:43Z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2052-12.1.0.21541</vt:lpwstr>
  </property>
  <property fmtid="{D5CDD505-2E9C-101B-9397-08002B2CF9AE}" pid="4" name="KSOTemplateDocerSaveRecord">
    <vt:lpwstr>eyJoZGlkIjoiM2FkMjdjNjAxZjdmYjI5MjMyNmE5MTA5ZjJkMDM4NmEiLCJ1c2VySWQiOiI0MTI2MjIxMDYifQ==</vt:lpwstr>
  </property>
</Properties>
</file>