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2025年地基遥感垂直观测系统毫米波测云仪采购项目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ZQCD-25222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青岛市气象综合保障中心;大连市气象装备保障中心;厦门市气象灾害防御技术中心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2025年地基遥感垂直观测系统毫米波测云仪采购项目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ZQCD-25222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青岛、大连、厦门</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2025年08月07日 00:00:00</w:t>
      </w:r>
      <w:bookmarkEnd w:id="26"/>
      <w:r>
        <w:rPr>
          <w:rFonts w:ascii="宋体" w:hint="eastAsia"/>
          <w:szCs w:val="21"/>
          <w:highlight w:val="none"/>
        </w:rPr>
        <w:t>至</w:t>
      </w:r>
      <w:bookmarkStart w:id="27" w:name="项目公告_signUpLastTime"/>
      <w:r>
        <w:rPr>
          <w:rFonts w:ascii="宋体" w:hint="eastAsia"/>
          <w:szCs w:val="21"/>
          <w:highlight w:val="none"/>
        </w:rPr>
        <w:t>2025年08月15日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2025年09月01日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北京市海淀区中关村南大街46号中国气象局北区7号楼2层大会议室</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青岛市气象综合保障中心;大连市气象装备保障中心;厦门市气象灾害防御技术中心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李航</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0532-82791087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青岛市市南区伏龙山4号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青岛市气象综合保障中心;大连市气象装备保障中心;厦门市气象灾害防御技术中心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不允许（仅针对以下产品：1、毫米波测云仪不允许代理商投标）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必须，以下产品需要提供至投标截止日仍有效的《气象专用技术装备使用许可证》：1、毫米波测云仪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（1）标的：毫米波测云仪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270.000000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270.000000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销售合同必须包括毫米波测云仪，每提供1份合同得1分，最多得5分。否则不得分。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针对本项目采购的毫米波测云仪，</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针对毫米波测云仪，每提供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针对毫米波测云仪，测试报告应涵盖温度、湿热、盐雾、淋雨、包装运输等内容，每包含一项得0.6分，最多得3分。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658"/>
        <w:gridCol w:w="2126"/>
        <w:gridCol w:w="1719"/>
        <w:gridCol w:w="4863"/>
      </w:tblGrid>
      <w:tr>
        <w:tblPrEx>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311"/>
          <w:jc w:val="center"/>
        </w:trPr>
        <w:tc>
          <w:tcPr>
            <w:tcW w:w="658" w:type="dxa"/>
            <w:vAlign w:val="center"/>
          </w:tcPr>
          <w:p>
            <w:pPr>
              <w:pStyle w:val="TableParagraph"/>
              <w:autoSpaceDE w:val="0"/>
              <w:autoSpaceDN w:val="0"/>
              <w:adjustRightInd w:val="0"/>
              <w:snapToGrid w:val="0"/>
              <w:spacing w:before="42"/>
              <w:ind w:left="108"/>
              <w:jc w:val="center"/>
              <w:rPr>
                <w:rFonts w:ascii="仿宋" w:eastAsia="仿宋" w:hAnsi="仿宋" w:cs="仿宋" w:hint="eastAsia"/>
                <w:b/>
                <w:sz w:val="24"/>
                <w:szCs w:val="24"/>
              </w:rPr>
            </w:pPr>
            <w:r>
              <w:rPr>
                <w:rFonts w:ascii="仿宋" w:eastAsia="仿宋" w:hAnsi="仿宋" w:cs="仿宋" w:hint="eastAsia"/>
                <w:b/>
                <w:w w:val="95"/>
                <w:sz w:val="24"/>
                <w:szCs w:val="24"/>
              </w:rPr>
              <w:t>序号</w:t>
            </w:r>
          </w:p>
        </w:tc>
        <w:tc>
          <w:tcPr>
            <w:tcW w:w="3845" w:type="dxa"/>
            <w:gridSpan w:val="2"/>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rPr>
            </w:pPr>
            <w:r>
              <w:rPr>
                <w:rFonts w:ascii="仿宋" w:eastAsia="仿宋" w:hAnsi="仿宋" w:cs="仿宋" w:hint="eastAsia"/>
                <w:b/>
                <w:w w:val="95"/>
                <w:sz w:val="24"/>
                <w:szCs w:val="24"/>
              </w:rPr>
              <w:t>参数</w:t>
            </w:r>
          </w:p>
        </w:tc>
        <w:tc>
          <w:tcPr>
            <w:tcW w:w="4863" w:type="dxa"/>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rPr>
            </w:pPr>
            <w:r>
              <w:rPr>
                <w:rFonts w:ascii="仿宋" w:eastAsia="仿宋" w:hAnsi="仿宋" w:cs="仿宋" w:hint="eastAsia"/>
                <w:b/>
                <w:sz w:val="24"/>
                <w:szCs w:val="24"/>
              </w:rPr>
              <w:t>技术指标</w:t>
            </w:r>
          </w:p>
        </w:tc>
      </w:tr>
      <w:tr>
        <w:tblPrEx>
          <w:tblW w:w="9366" w:type="dxa"/>
          <w:jc w:val="center"/>
          <w:tblLayout w:type="fixed"/>
          <w:tblCellMar>
            <w:top w:w="0" w:type="dxa"/>
            <w:left w:w="0" w:type="dxa"/>
            <w:bottom w:w="0" w:type="dxa"/>
            <w:right w:w="0" w:type="dxa"/>
          </w:tblCellMar>
          <w:tblLook w:val="0000"/>
        </w:tblPrEx>
        <w:trPr>
          <w:trHeight w:val="320"/>
          <w:jc w:val="center"/>
        </w:trPr>
        <w:tc>
          <w:tcPr>
            <w:tcW w:w="658" w:type="dxa"/>
            <w:vAlign w:val="center"/>
          </w:tcPr>
          <w:p>
            <w:pPr>
              <w:pStyle w:val="TableParagraph"/>
              <w:autoSpaceDE w:val="0"/>
              <w:autoSpaceDN w:val="0"/>
              <w:adjustRightInd w:val="0"/>
              <w:snapToGrid w:val="0"/>
              <w:ind w:right="95"/>
              <w:jc w:val="center"/>
              <w:rPr>
                <w:rFonts w:ascii="仿宋" w:eastAsia="仿宋" w:hAnsi="仿宋" w:cs="仿宋" w:hint="eastAsia"/>
                <w:bCs/>
                <w:sz w:val="24"/>
                <w:szCs w:val="24"/>
              </w:rPr>
            </w:pPr>
            <w:r>
              <w:rPr>
                <w:rFonts w:ascii="仿宋" w:eastAsia="仿宋" w:hAnsi="仿宋" w:cs="仿宋" w:hint="eastAsia"/>
                <w:bCs/>
                <w:sz w:val="24"/>
                <w:szCs w:val="24"/>
              </w:rPr>
              <w:t>1</w:t>
            </w:r>
          </w:p>
        </w:tc>
        <w:tc>
          <w:tcPr>
            <w:tcW w:w="3845" w:type="dxa"/>
            <w:gridSpan w:val="2"/>
            <w:vAlign w:val="center"/>
          </w:tcPr>
          <w:p>
            <w:pPr>
              <w:pStyle w:val="TableParagraph"/>
              <w:autoSpaceDE w:val="0"/>
              <w:autoSpaceDN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体制</w:t>
            </w:r>
          </w:p>
        </w:tc>
        <w:tc>
          <w:tcPr>
            <w:tcW w:w="4863" w:type="dxa"/>
            <w:vAlign w:val="center"/>
          </w:tcPr>
          <w:p>
            <w:pPr>
              <w:pStyle w:val="TableParagraph"/>
              <w:autoSpaceDE w:val="0"/>
              <w:autoSpaceDN w:val="0"/>
              <w:adjustRightInd w:val="0"/>
              <w:snapToGrid w:val="0"/>
              <w:rPr>
                <w:rFonts w:ascii="仿宋" w:eastAsia="仿宋" w:hAnsi="仿宋" w:cs="仿宋" w:hint="eastAsia"/>
                <w:bCs/>
                <w:sz w:val="24"/>
                <w:szCs w:val="24"/>
                <w:lang w:eastAsia="zh-CN"/>
              </w:rPr>
            </w:pPr>
            <w:r>
              <w:rPr>
                <w:rFonts w:ascii="仿宋" w:eastAsia="仿宋" w:hAnsi="仿宋" w:cs="仿宋" w:hint="eastAsia"/>
                <w:bCs/>
                <w:sz w:val="24"/>
                <w:szCs w:val="24"/>
                <w:lang w:eastAsia="zh-CN"/>
              </w:rPr>
              <w:t>全固态、全相参多普勒、脉冲压缩</w:t>
            </w:r>
          </w:p>
        </w:tc>
      </w:tr>
      <w:tr>
        <w:tblPrEx>
          <w:tblW w:w="9366" w:type="dxa"/>
          <w:jc w:val="center"/>
          <w:tblLayout w:type="fixed"/>
          <w:tblCellMar>
            <w:top w:w="0" w:type="dxa"/>
            <w:left w:w="0" w:type="dxa"/>
            <w:bottom w:w="0" w:type="dxa"/>
            <w:right w:w="0" w:type="dxa"/>
          </w:tblCellMar>
          <w:tblLook w:val="0000"/>
        </w:tblPrEx>
        <w:trPr>
          <w:trHeight w:val="320"/>
          <w:jc w:val="center"/>
        </w:trPr>
        <w:tc>
          <w:tcPr>
            <w:tcW w:w="658" w:type="dxa"/>
            <w:vAlign w:val="center"/>
          </w:tcPr>
          <w:p>
            <w:pPr>
              <w:pStyle w:val="TableParagraph"/>
              <w:autoSpaceDE w:val="0"/>
              <w:autoSpaceDN w:val="0"/>
              <w:adjustRightInd w:val="0"/>
              <w:snapToGrid w:val="0"/>
              <w:ind w:right="95"/>
              <w:jc w:val="center"/>
              <w:rPr>
                <w:rFonts w:ascii="仿宋" w:eastAsia="仿宋" w:hAnsi="仿宋" w:cs="仿宋" w:hint="eastAsia"/>
                <w:bCs/>
                <w:sz w:val="24"/>
                <w:szCs w:val="24"/>
              </w:rPr>
            </w:pPr>
            <w:r>
              <w:rPr>
                <w:rFonts w:ascii="仿宋" w:eastAsia="仿宋" w:hAnsi="仿宋" w:cs="仿宋" w:hint="eastAsia"/>
                <w:bCs/>
                <w:sz w:val="24"/>
                <w:szCs w:val="24"/>
              </w:rPr>
              <w:t>2</w:t>
            </w:r>
          </w:p>
        </w:tc>
        <w:tc>
          <w:tcPr>
            <w:tcW w:w="3845" w:type="dxa"/>
            <w:gridSpan w:val="2"/>
            <w:vAlign w:val="center"/>
          </w:tcPr>
          <w:p>
            <w:pPr>
              <w:pStyle w:val="TableParagraph"/>
              <w:autoSpaceDE w:val="0"/>
              <w:autoSpaceDN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工作频率</w:t>
            </w:r>
          </w:p>
        </w:tc>
        <w:tc>
          <w:tcPr>
            <w:tcW w:w="4863" w:type="dxa"/>
            <w:vAlign w:val="center"/>
          </w:tcPr>
          <w:p>
            <w:pPr>
              <w:pStyle w:val="TableParagraph"/>
              <w:autoSpaceDE w:val="0"/>
              <w:autoSpaceDN w:val="0"/>
              <w:adjustRightInd w:val="0"/>
              <w:snapToGrid w:val="0"/>
              <w:rPr>
                <w:rFonts w:ascii="仿宋" w:eastAsia="仿宋" w:hAnsi="仿宋" w:cs="仿宋" w:hint="eastAsia"/>
                <w:bCs/>
                <w:sz w:val="24"/>
                <w:szCs w:val="24"/>
              </w:rPr>
            </w:pPr>
            <w:r>
              <w:rPr>
                <w:rFonts w:ascii="仿宋" w:eastAsia="仿宋" w:hAnsi="仿宋" w:cs="仿宋" w:hint="eastAsia"/>
                <w:bCs/>
                <w:spacing w:val="-1"/>
                <w:sz w:val="24"/>
                <w:szCs w:val="24"/>
              </w:rPr>
              <w:t>Ka</w:t>
            </w:r>
            <w:r>
              <w:rPr>
                <w:rFonts w:ascii="仿宋" w:eastAsia="仿宋" w:hAnsi="仿宋" w:cs="仿宋" w:hint="eastAsia"/>
                <w:bCs/>
                <w:spacing w:val="-12"/>
                <w:sz w:val="24"/>
                <w:szCs w:val="24"/>
              </w:rPr>
              <w:t xml:space="preserve"> 波段，</w:t>
            </w:r>
            <w:r>
              <w:rPr>
                <w:rFonts w:ascii="仿宋" w:eastAsia="仿宋" w:hAnsi="仿宋" w:cs="仿宋" w:hint="eastAsia"/>
                <w:bCs/>
                <w:sz w:val="24"/>
                <w:szCs w:val="24"/>
              </w:rPr>
              <w:t>35GHz</w:t>
            </w:r>
            <w:r>
              <w:rPr>
                <w:rFonts w:ascii="仿宋" w:eastAsia="仿宋" w:hAnsi="仿宋" w:cs="仿宋" w:hint="eastAsia"/>
                <w:bCs/>
                <w:sz w:val="24"/>
                <w:szCs w:val="24"/>
              </w:rPr>
              <w:t>±</w:t>
            </w:r>
            <w:r>
              <w:rPr>
                <w:rFonts w:ascii="仿宋" w:eastAsia="仿宋" w:hAnsi="仿宋" w:cs="仿宋" w:hint="eastAsia"/>
                <w:bCs/>
                <w:sz w:val="24"/>
                <w:szCs w:val="24"/>
              </w:rPr>
              <w:t>500MHz</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r>
              <w:rPr>
                <w:rFonts w:ascii="仿宋" w:eastAsia="仿宋" w:hAnsi="仿宋" w:cs="仿宋" w:hint="eastAsia"/>
                <w:bCs/>
                <w:sz w:val="24"/>
                <w:szCs w:val="24"/>
              </w:rPr>
              <w:t>3</w:t>
            </w:r>
          </w:p>
        </w:tc>
        <w:tc>
          <w:tcPr>
            <w:tcW w:w="3845" w:type="dxa"/>
            <w:gridSpan w:val="2"/>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天线扫描方式</w:t>
            </w:r>
          </w:p>
        </w:tc>
        <w:tc>
          <w:tcPr>
            <w:tcW w:w="4863" w:type="dxa"/>
            <w:vAlign w:val="center"/>
          </w:tcPr>
          <w:p>
            <w:pPr>
              <w:pStyle w:val="TableParagraph"/>
              <w:autoSpaceDE w:val="0"/>
              <w:autoSpaceDN w:val="0"/>
              <w:adjustRightInd w:val="0"/>
              <w:snapToGrid w:val="0"/>
              <w:spacing w:before="41"/>
              <w:rPr>
                <w:rFonts w:ascii="仿宋" w:eastAsia="仿宋" w:hAnsi="仿宋" w:cs="仿宋" w:hint="eastAsia"/>
                <w:bCs/>
                <w:sz w:val="24"/>
                <w:szCs w:val="24"/>
              </w:rPr>
            </w:pPr>
            <w:r>
              <w:rPr>
                <w:rFonts w:ascii="仿宋" w:eastAsia="仿宋" w:hAnsi="仿宋" w:cs="仿宋" w:hint="eastAsia"/>
                <w:bCs/>
                <w:sz w:val="24"/>
                <w:szCs w:val="24"/>
              </w:rPr>
              <w:t>垂直固定指向</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r>
              <w:rPr>
                <w:rFonts w:ascii="仿宋" w:eastAsia="仿宋" w:hAnsi="仿宋" w:cs="仿宋" w:hint="eastAsia"/>
                <w:bCs/>
                <w:sz w:val="24"/>
                <w:szCs w:val="24"/>
              </w:rPr>
              <w:t>4</w:t>
            </w:r>
          </w:p>
        </w:tc>
        <w:tc>
          <w:tcPr>
            <w:tcW w:w="3845" w:type="dxa"/>
            <w:gridSpan w:val="2"/>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天线口径</w:t>
            </w:r>
          </w:p>
        </w:tc>
        <w:tc>
          <w:tcPr>
            <w:tcW w:w="4863" w:type="dxa"/>
            <w:vAlign w:val="center"/>
          </w:tcPr>
          <w:p>
            <w:pPr>
              <w:pStyle w:val="TableParagraph"/>
              <w:autoSpaceDE w:val="0"/>
              <w:autoSpaceDN w:val="0"/>
              <w:adjustRightInd w:val="0"/>
              <w:snapToGrid w:val="0"/>
              <w:spacing w:before="41"/>
              <w:rPr>
                <w:rFonts w:ascii="仿宋" w:eastAsia="仿宋" w:hAnsi="仿宋" w:cs="仿宋" w:hint="eastAsia"/>
                <w:bCs/>
                <w:sz w:val="24"/>
                <w:szCs w:val="24"/>
              </w:rPr>
            </w:pPr>
            <w:r>
              <w:rPr>
                <w:rFonts w:ascii="仿宋" w:eastAsia="仿宋" w:hAnsi="仿宋" w:cs="仿宋" w:hint="eastAsia"/>
                <w:bCs/>
                <w:sz w:val="24"/>
                <w:szCs w:val="24"/>
              </w:rPr>
              <w:t>1.8m</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r>
              <w:rPr>
                <w:rFonts w:ascii="仿宋" w:eastAsia="仿宋" w:hAnsi="仿宋" w:cs="仿宋" w:hint="eastAsia"/>
                <w:bCs/>
                <w:sz w:val="24"/>
                <w:szCs w:val="24"/>
              </w:rPr>
              <w:t>5</w:t>
            </w:r>
          </w:p>
        </w:tc>
        <w:tc>
          <w:tcPr>
            <w:tcW w:w="3845" w:type="dxa"/>
            <w:gridSpan w:val="2"/>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highlight w:val="yellow"/>
              </w:rPr>
              <w:t>#天线罩双程损耗</w:t>
            </w:r>
          </w:p>
        </w:tc>
        <w:tc>
          <w:tcPr>
            <w:tcW w:w="4863" w:type="dxa"/>
            <w:vAlign w:val="center"/>
          </w:tcPr>
          <w:p>
            <w:pPr>
              <w:pStyle w:val="TableParagraph"/>
              <w:autoSpaceDE w:val="0"/>
              <w:autoSpaceDN w:val="0"/>
              <w:adjustRightInd w:val="0"/>
              <w:snapToGrid w:val="0"/>
              <w:spacing w:before="41"/>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2dB</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r>
              <w:rPr>
                <w:rFonts w:ascii="仿宋" w:eastAsia="仿宋" w:hAnsi="仿宋" w:cs="仿宋" w:hint="eastAsia"/>
                <w:bCs/>
                <w:sz w:val="24"/>
                <w:szCs w:val="24"/>
              </w:rPr>
              <w:t>6</w:t>
            </w:r>
          </w:p>
        </w:tc>
        <w:tc>
          <w:tcPr>
            <w:tcW w:w="3845" w:type="dxa"/>
            <w:gridSpan w:val="2"/>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收发馈线损耗</w:t>
            </w:r>
          </w:p>
        </w:tc>
        <w:tc>
          <w:tcPr>
            <w:tcW w:w="4863" w:type="dxa"/>
            <w:vAlign w:val="center"/>
          </w:tcPr>
          <w:p>
            <w:pPr>
              <w:pStyle w:val="TableParagraph"/>
              <w:autoSpaceDE w:val="0"/>
              <w:autoSpaceDN w:val="0"/>
              <w:adjustRightInd w:val="0"/>
              <w:snapToGrid w:val="0"/>
              <w:spacing w:before="41"/>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3dB</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r>
              <w:rPr>
                <w:rFonts w:ascii="仿宋" w:eastAsia="仿宋" w:hAnsi="仿宋" w:cs="仿宋" w:hint="eastAsia"/>
                <w:bCs/>
                <w:sz w:val="24"/>
                <w:szCs w:val="24"/>
              </w:rPr>
              <w:t>7</w:t>
            </w:r>
          </w:p>
        </w:tc>
        <w:tc>
          <w:tcPr>
            <w:tcW w:w="3845" w:type="dxa"/>
            <w:gridSpan w:val="2"/>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highlight w:val="yellow"/>
              </w:rPr>
              <w:t>#偏振类型</w:t>
            </w:r>
          </w:p>
        </w:tc>
        <w:tc>
          <w:tcPr>
            <w:tcW w:w="4863" w:type="dxa"/>
            <w:vAlign w:val="center"/>
          </w:tcPr>
          <w:p>
            <w:pPr>
              <w:pStyle w:val="TableParagraph"/>
              <w:autoSpaceDE w:val="0"/>
              <w:autoSpaceDN w:val="0"/>
              <w:adjustRightInd w:val="0"/>
              <w:snapToGrid w:val="0"/>
              <w:spacing w:before="41"/>
              <w:rPr>
                <w:rFonts w:ascii="仿宋" w:eastAsia="仿宋" w:hAnsi="仿宋" w:cs="仿宋" w:hint="eastAsia"/>
                <w:bCs/>
                <w:sz w:val="24"/>
                <w:szCs w:val="24"/>
              </w:rPr>
            </w:pPr>
            <w:r>
              <w:rPr>
                <w:rFonts w:ascii="仿宋" w:eastAsia="仿宋" w:hAnsi="仿宋" w:cs="仿宋" w:hint="eastAsia"/>
                <w:bCs/>
                <w:sz w:val="24"/>
                <w:szCs w:val="24"/>
              </w:rPr>
              <w:t>单发双收线偏振</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8</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天线波束宽度</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0.6</w:t>
            </w:r>
            <w:r>
              <w:rPr>
                <w:rFonts w:ascii="仿宋" w:eastAsia="仿宋" w:hAnsi="仿宋" w:cs="仿宋" w:hint="eastAsia"/>
                <w:bCs/>
                <w:sz w:val="24"/>
                <w:szCs w:val="24"/>
              </w:rPr>
              <w:t>°</w:t>
            </w:r>
          </w:p>
        </w:tc>
      </w:tr>
      <w:tr>
        <w:tblPrEx>
          <w:tblW w:w="9366" w:type="dxa"/>
          <w:jc w:val="center"/>
          <w:tblLayout w:type="fixed"/>
          <w:tblCellMar>
            <w:top w:w="0" w:type="dxa"/>
            <w:left w:w="0" w:type="dxa"/>
            <w:bottom w:w="0" w:type="dxa"/>
            <w:right w:w="0" w:type="dxa"/>
          </w:tblCellMar>
          <w:tblLook w:val="0000"/>
        </w:tblPrEx>
        <w:trPr>
          <w:trHeight w:val="25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9</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天线第一副瓣</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-20dB</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10</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highlight w:val="yellow"/>
              </w:rPr>
            </w:pPr>
            <w:r>
              <w:rPr>
                <w:rFonts w:ascii="仿宋" w:eastAsia="仿宋" w:hAnsi="仿宋" w:cs="仿宋" w:hint="eastAsia"/>
                <w:bCs/>
                <w:sz w:val="24"/>
                <w:szCs w:val="24"/>
                <w:highlight w:val="yellow"/>
              </w:rPr>
              <w:t>#天线增益</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50dB</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11</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highlight w:val="yellow"/>
              </w:rPr>
            </w:pPr>
            <w:r>
              <w:rPr>
                <w:rFonts w:ascii="仿宋" w:eastAsia="仿宋" w:hAnsi="仿宋" w:cs="仿宋" w:hint="eastAsia"/>
                <w:bCs/>
                <w:sz w:val="24"/>
                <w:szCs w:val="24"/>
                <w:highlight w:val="yellow"/>
              </w:rPr>
              <w:t>#发射峰值功率</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20W</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12</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highlight w:val="yellow"/>
              </w:rPr>
            </w:pPr>
            <w:r>
              <w:rPr>
                <w:rFonts w:ascii="仿宋" w:eastAsia="仿宋" w:hAnsi="仿宋" w:cs="仿宋" w:hint="eastAsia"/>
                <w:bCs/>
                <w:sz w:val="24"/>
                <w:szCs w:val="24"/>
                <w:highlight w:val="yellow"/>
              </w:rPr>
              <w:t>#发射功率稳定度</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0.3dB</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13</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最窄脉冲宽度</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1</w:t>
            </w:r>
            <w:r>
              <w:rPr>
                <w:rFonts w:ascii="仿宋" w:eastAsia="仿宋" w:hAnsi="仿宋" w:cs="仿宋" w:hint="eastAsia"/>
                <w:bCs/>
                <w:sz w:val="24"/>
                <w:szCs w:val="24"/>
              </w:rPr>
              <w:t>μ</w:t>
            </w:r>
            <w:r>
              <w:rPr>
                <w:rFonts w:ascii="仿宋" w:eastAsia="仿宋" w:hAnsi="仿宋" w:cs="仿宋" w:hint="eastAsia"/>
                <w:bCs/>
                <w:sz w:val="24"/>
                <w:szCs w:val="24"/>
              </w:rPr>
              <w:t>s</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14</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接收机增益</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30dB（不含AGC）</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15</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highlight w:val="yellow"/>
              </w:rPr>
              <w:t>#接收机噪声系数</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6dB</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16</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极限改善因子</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25dB</w:t>
            </w:r>
          </w:p>
        </w:tc>
      </w:tr>
      <w:tr>
        <w:tblPrEx>
          <w:tblW w:w="9366" w:type="dxa"/>
          <w:jc w:val="center"/>
          <w:tblLayout w:type="fixed"/>
          <w:tblCellMar>
            <w:top w:w="0" w:type="dxa"/>
            <w:left w:w="0" w:type="dxa"/>
            <w:bottom w:w="0" w:type="dxa"/>
            <w:right w:w="0" w:type="dxa"/>
          </w:tblCellMar>
          <w:tblLook w:val="0000"/>
        </w:tblPrEx>
        <w:trPr>
          <w:trHeight w:val="310"/>
          <w:jc w:val="center"/>
        </w:trPr>
        <w:tc>
          <w:tcPr>
            <w:tcW w:w="658" w:type="dxa"/>
            <w:vAlign w:val="center"/>
          </w:tcPr>
          <w:p>
            <w:pPr>
              <w:pStyle w:val="TableParagraph"/>
              <w:autoSpaceDE w:val="0"/>
              <w:autoSpaceDN w:val="0"/>
              <w:adjustRightInd w:val="0"/>
              <w:snapToGrid w:val="0"/>
              <w:ind w:right="95"/>
              <w:jc w:val="center"/>
              <w:rPr>
                <w:rFonts w:ascii="仿宋" w:eastAsia="仿宋" w:hAnsi="仿宋" w:cs="仿宋" w:hint="eastAsia"/>
                <w:bCs/>
                <w:sz w:val="24"/>
                <w:szCs w:val="24"/>
              </w:rPr>
            </w:pPr>
            <w:r>
              <w:rPr>
                <w:rFonts w:ascii="仿宋" w:eastAsia="仿宋" w:hAnsi="仿宋" w:cs="仿宋" w:hint="eastAsia"/>
                <w:bCs/>
                <w:sz w:val="24"/>
                <w:szCs w:val="24"/>
              </w:rPr>
              <w:t>17</w:t>
            </w:r>
          </w:p>
        </w:tc>
        <w:tc>
          <w:tcPr>
            <w:tcW w:w="3845" w:type="dxa"/>
            <w:gridSpan w:val="2"/>
            <w:vAlign w:val="center"/>
          </w:tcPr>
          <w:p>
            <w:pPr>
              <w:pStyle w:val="TableParagraph"/>
              <w:autoSpaceDE w:val="0"/>
              <w:autoSpaceDN w:val="0"/>
              <w:adjustRightInd w:val="0"/>
              <w:snapToGrid w:val="0"/>
              <w:ind w:left="107"/>
              <w:rPr>
                <w:rFonts w:ascii="仿宋" w:eastAsia="仿宋" w:hAnsi="仿宋" w:cs="仿宋" w:hint="eastAsia"/>
                <w:bCs/>
                <w:sz w:val="24"/>
                <w:szCs w:val="24"/>
                <w:highlight w:val="yellow"/>
                <w:lang w:eastAsia="zh-CN"/>
              </w:rPr>
            </w:pPr>
            <w:r>
              <w:rPr>
                <w:rFonts w:ascii="仿宋" w:eastAsia="仿宋" w:hAnsi="仿宋" w:cs="仿宋" w:hint="eastAsia"/>
                <w:bCs/>
                <w:sz w:val="24"/>
                <w:szCs w:val="24"/>
                <w:highlight w:val="yellow"/>
                <w:lang w:eastAsia="zh-CN"/>
              </w:rPr>
              <w:t>#接收系统线性动态范围</w:t>
            </w:r>
          </w:p>
        </w:tc>
        <w:tc>
          <w:tcPr>
            <w:tcW w:w="4863" w:type="dxa"/>
            <w:vAlign w:val="center"/>
          </w:tcPr>
          <w:p>
            <w:pPr>
              <w:pStyle w:val="TableParagraph"/>
              <w:autoSpaceDE w:val="0"/>
              <w:autoSpaceDN w:val="0"/>
              <w:adjustRightInd w:val="0"/>
              <w:snapToGrid w:val="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80dB</w:t>
            </w:r>
          </w:p>
        </w:tc>
      </w:tr>
      <w:tr>
        <w:tblPrEx>
          <w:tblW w:w="9366" w:type="dxa"/>
          <w:jc w:val="center"/>
          <w:tblLayout w:type="fixed"/>
          <w:tblCellMar>
            <w:top w:w="0" w:type="dxa"/>
            <w:left w:w="0" w:type="dxa"/>
            <w:bottom w:w="0" w:type="dxa"/>
            <w:right w:w="0" w:type="dxa"/>
          </w:tblCellMar>
          <w:tblLook w:val="0000"/>
        </w:tblPrEx>
        <w:trPr>
          <w:trHeight w:val="560"/>
          <w:jc w:val="center"/>
        </w:trPr>
        <w:tc>
          <w:tcPr>
            <w:tcW w:w="658" w:type="dxa"/>
            <w:vAlign w:val="center"/>
          </w:tcPr>
          <w:p>
            <w:pPr>
              <w:pStyle w:val="TableParagraph"/>
              <w:autoSpaceDE w:val="0"/>
              <w:autoSpaceDN w:val="0"/>
              <w:adjustRightInd w:val="0"/>
              <w:snapToGrid w:val="0"/>
              <w:ind w:right="95"/>
              <w:jc w:val="center"/>
              <w:rPr>
                <w:rFonts w:ascii="仿宋" w:eastAsia="仿宋" w:hAnsi="仿宋" w:cs="仿宋" w:hint="eastAsia"/>
                <w:bCs/>
                <w:sz w:val="24"/>
                <w:szCs w:val="24"/>
              </w:rPr>
            </w:pPr>
            <w:r>
              <w:rPr>
                <w:rFonts w:ascii="仿宋" w:eastAsia="仿宋" w:hAnsi="仿宋" w:cs="仿宋" w:hint="eastAsia"/>
                <w:bCs/>
                <w:sz w:val="24"/>
                <w:szCs w:val="24"/>
              </w:rPr>
              <w:t>18</w:t>
            </w:r>
          </w:p>
        </w:tc>
        <w:tc>
          <w:tcPr>
            <w:tcW w:w="3845" w:type="dxa"/>
            <w:gridSpan w:val="2"/>
            <w:vAlign w:val="center"/>
          </w:tcPr>
          <w:p>
            <w:pPr>
              <w:pStyle w:val="TableParagraph"/>
              <w:autoSpaceDE w:val="0"/>
              <w:autoSpaceDN w:val="0"/>
              <w:adjustRightInd w:val="0"/>
              <w:snapToGrid w:val="0"/>
              <w:ind w:left="107"/>
              <w:rPr>
                <w:rFonts w:ascii="仿宋" w:eastAsia="仿宋" w:hAnsi="仿宋" w:cs="仿宋" w:hint="eastAsia"/>
                <w:bCs/>
                <w:sz w:val="24"/>
                <w:szCs w:val="24"/>
                <w:lang w:eastAsia="zh-CN"/>
              </w:rPr>
            </w:pPr>
            <w:r>
              <w:rPr>
                <w:rFonts w:ascii="仿宋" w:eastAsia="仿宋" w:hAnsi="仿宋" w:cs="仿宋" w:hint="eastAsia"/>
                <w:bCs/>
                <w:sz w:val="24"/>
                <w:szCs w:val="24"/>
                <w:highlight w:val="yellow"/>
                <w:lang w:eastAsia="zh-CN"/>
              </w:rPr>
              <w:t>#系统最小可测信号功率</w:t>
            </w:r>
          </w:p>
        </w:tc>
        <w:tc>
          <w:tcPr>
            <w:tcW w:w="4863" w:type="dxa"/>
            <w:vAlign w:val="center"/>
          </w:tcPr>
          <w:p>
            <w:pPr>
              <w:pStyle w:val="TableParagraph"/>
              <w:autoSpaceDE w:val="0"/>
              <w:autoSpaceDN w:val="0"/>
              <w:adjustRightInd w:val="0"/>
              <w:snapToGrid w:val="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-110dBm；</w:t>
            </w:r>
            <w:r>
              <w:rPr>
                <w:rFonts w:ascii="仿宋" w:eastAsia="仿宋" w:hAnsi="仿宋" w:cs="仿宋" w:hint="eastAsia"/>
                <w:sz w:val="24"/>
                <w:szCs w:val="24"/>
              </w:rPr>
              <w:t>≤</w:t>
            </w:r>
            <w:r>
              <w:rPr>
                <w:rFonts w:ascii="仿宋" w:eastAsia="仿宋" w:hAnsi="仿宋" w:cs="仿宋" w:hint="eastAsia"/>
                <w:sz w:val="24"/>
                <w:szCs w:val="24"/>
              </w:rPr>
              <w:t>-30dBZ（10km高度，不计大气衰减）</w:t>
            </w:r>
          </w:p>
        </w:tc>
      </w:tr>
      <w:tr>
        <w:tblPrEx>
          <w:tblW w:w="9366" w:type="dxa"/>
          <w:jc w:val="center"/>
          <w:tblLayout w:type="fixed"/>
          <w:tblCellMar>
            <w:top w:w="0" w:type="dxa"/>
            <w:left w:w="0" w:type="dxa"/>
            <w:bottom w:w="0" w:type="dxa"/>
            <w:right w:w="0" w:type="dxa"/>
          </w:tblCellMar>
          <w:tblLook w:val="0000"/>
        </w:tblPrEx>
        <w:trPr>
          <w:trHeight w:val="290"/>
          <w:jc w:val="center"/>
        </w:trPr>
        <w:tc>
          <w:tcPr>
            <w:tcW w:w="658" w:type="dxa"/>
            <w:vAlign w:val="center"/>
          </w:tcPr>
          <w:p>
            <w:pPr>
              <w:pStyle w:val="TableParagraph"/>
              <w:autoSpaceDE w:val="0"/>
              <w:autoSpaceDN w:val="0"/>
              <w:adjustRightInd w:val="0"/>
              <w:snapToGrid w:val="0"/>
              <w:ind w:right="95"/>
              <w:jc w:val="center"/>
              <w:rPr>
                <w:rFonts w:ascii="仿宋" w:eastAsia="仿宋" w:hAnsi="仿宋" w:cs="仿宋" w:hint="eastAsia"/>
                <w:bCs/>
                <w:sz w:val="24"/>
                <w:szCs w:val="24"/>
              </w:rPr>
            </w:pPr>
            <w:r>
              <w:rPr>
                <w:rFonts w:ascii="仿宋" w:eastAsia="仿宋" w:hAnsi="仿宋" w:cs="仿宋" w:hint="eastAsia"/>
                <w:bCs/>
                <w:sz w:val="24"/>
                <w:szCs w:val="24"/>
              </w:rPr>
              <w:t>19</w:t>
            </w:r>
          </w:p>
        </w:tc>
        <w:tc>
          <w:tcPr>
            <w:tcW w:w="3845" w:type="dxa"/>
            <w:gridSpan w:val="2"/>
            <w:vAlign w:val="center"/>
          </w:tcPr>
          <w:p>
            <w:pPr>
              <w:pStyle w:val="TableParagraph"/>
              <w:autoSpaceDE w:val="0"/>
              <w:autoSpaceDN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系统相干性</w:t>
            </w:r>
          </w:p>
        </w:tc>
        <w:tc>
          <w:tcPr>
            <w:tcW w:w="4863" w:type="dxa"/>
            <w:vAlign w:val="center"/>
          </w:tcPr>
          <w:p>
            <w:pPr>
              <w:pStyle w:val="TableParagraph"/>
              <w:autoSpaceDE w:val="0"/>
              <w:autoSpaceDN w:val="0"/>
              <w:adjustRightInd w:val="0"/>
              <w:snapToGrid w:val="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0.4</w:t>
            </w:r>
            <w:r>
              <w:rPr>
                <w:rFonts w:ascii="仿宋" w:eastAsia="仿宋" w:hAnsi="仿宋" w:cs="仿宋" w:hint="eastAsia"/>
                <w:bCs/>
                <w:sz w:val="24"/>
                <w:szCs w:val="24"/>
              </w:rPr>
              <w:t>°</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r>
              <w:rPr>
                <w:rFonts w:ascii="仿宋" w:eastAsia="仿宋" w:hAnsi="仿宋" w:cs="仿宋" w:hint="eastAsia"/>
                <w:bCs/>
                <w:sz w:val="24"/>
                <w:szCs w:val="24"/>
              </w:rPr>
              <w:t>20</w:t>
            </w:r>
          </w:p>
        </w:tc>
        <w:tc>
          <w:tcPr>
            <w:tcW w:w="3845" w:type="dxa"/>
            <w:gridSpan w:val="2"/>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探测高度范围</w:t>
            </w:r>
          </w:p>
        </w:tc>
        <w:tc>
          <w:tcPr>
            <w:tcW w:w="4863"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15km</w:t>
            </w:r>
          </w:p>
        </w:tc>
      </w:tr>
      <w:tr>
        <w:tblPrEx>
          <w:tblW w:w="9366" w:type="dxa"/>
          <w:jc w:val="center"/>
          <w:tblLayout w:type="fixed"/>
          <w:tblCellMar>
            <w:top w:w="0" w:type="dxa"/>
            <w:left w:w="0" w:type="dxa"/>
            <w:bottom w:w="0" w:type="dxa"/>
            <w:right w:w="0" w:type="dxa"/>
          </w:tblCellMar>
          <w:tblLook w:val="0000"/>
        </w:tblPrEx>
        <w:trPr>
          <w:trHeight w:val="311"/>
          <w:jc w:val="center"/>
        </w:trPr>
        <w:tc>
          <w:tcPr>
            <w:tcW w:w="658" w:type="dxa"/>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r>
              <w:rPr>
                <w:rFonts w:ascii="仿宋" w:eastAsia="仿宋" w:hAnsi="仿宋" w:cs="仿宋" w:hint="eastAsia"/>
                <w:bCs/>
                <w:sz w:val="24"/>
                <w:szCs w:val="24"/>
              </w:rPr>
              <w:t>21</w:t>
            </w:r>
          </w:p>
        </w:tc>
        <w:tc>
          <w:tcPr>
            <w:tcW w:w="3845" w:type="dxa"/>
            <w:gridSpan w:val="2"/>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探测盲区</w:t>
            </w:r>
          </w:p>
        </w:tc>
        <w:tc>
          <w:tcPr>
            <w:tcW w:w="4863"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150m</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22</w:t>
            </w:r>
          </w:p>
        </w:tc>
        <w:tc>
          <w:tcPr>
            <w:tcW w:w="3845" w:type="dxa"/>
            <w:gridSpan w:val="2"/>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距离分辨率</w:t>
            </w:r>
          </w:p>
        </w:tc>
        <w:tc>
          <w:tcPr>
            <w:tcW w:w="4863"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30m</w:t>
            </w:r>
          </w:p>
        </w:tc>
      </w:tr>
      <w:tr>
        <w:tblPrEx>
          <w:tblW w:w="9366" w:type="dxa"/>
          <w:jc w:val="center"/>
          <w:tblLayout w:type="fixed"/>
          <w:tblCellMar>
            <w:top w:w="0" w:type="dxa"/>
            <w:left w:w="0" w:type="dxa"/>
            <w:bottom w:w="0" w:type="dxa"/>
            <w:right w:w="0" w:type="dxa"/>
          </w:tblCellMar>
          <w:tblLook w:val="0000"/>
        </w:tblPrEx>
        <w:trPr>
          <w:trHeight w:val="311"/>
          <w:jc w:val="center"/>
        </w:trPr>
        <w:tc>
          <w:tcPr>
            <w:tcW w:w="658" w:type="dxa"/>
            <w:vMerge w:val="restart"/>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r>
              <w:rPr>
                <w:rFonts w:ascii="仿宋" w:eastAsia="仿宋" w:hAnsi="仿宋" w:cs="仿宋" w:hint="eastAsia"/>
                <w:bCs/>
                <w:sz w:val="24"/>
                <w:szCs w:val="24"/>
              </w:rPr>
              <w:t>23</w:t>
            </w:r>
          </w:p>
        </w:tc>
        <w:tc>
          <w:tcPr>
            <w:tcW w:w="2126" w:type="dxa"/>
            <w:vMerge w:val="restart"/>
            <w:vAlign w:val="center"/>
          </w:tcPr>
          <w:p>
            <w:pPr>
              <w:pStyle w:val="TableParagraph"/>
              <w:autoSpaceDE w:val="0"/>
              <w:autoSpaceDN w:val="0"/>
              <w:adjustRightInd w:val="0"/>
              <w:snapToGrid w:val="0"/>
              <w:spacing w:before="133"/>
              <w:ind w:left="107"/>
              <w:rPr>
                <w:rFonts w:ascii="仿宋" w:eastAsia="仿宋" w:hAnsi="仿宋" w:cs="仿宋" w:hint="eastAsia"/>
                <w:bCs/>
                <w:sz w:val="24"/>
                <w:szCs w:val="24"/>
              </w:rPr>
            </w:pPr>
            <w:r>
              <w:rPr>
                <w:rFonts w:ascii="仿宋" w:eastAsia="仿宋" w:hAnsi="仿宋" w:cs="仿宋" w:hint="eastAsia"/>
                <w:bCs/>
                <w:sz w:val="24"/>
                <w:szCs w:val="24"/>
              </w:rPr>
              <w:t>参数测量范围</w:t>
            </w:r>
          </w:p>
        </w:tc>
        <w:tc>
          <w:tcPr>
            <w:tcW w:w="1719"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lang w:eastAsia="zh-CN"/>
              </w:rPr>
            </w:pPr>
            <w:r>
              <w:rPr>
                <w:rFonts w:ascii="仿宋" w:eastAsia="仿宋" w:hAnsi="仿宋" w:cs="仿宋" w:hint="eastAsia"/>
                <w:bCs/>
                <w:sz w:val="24"/>
                <w:szCs w:val="24"/>
                <w:lang w:eastAsia="zh-CN"/>
              </w:rPr>
              <w:t>反射率因子测量范围（Z）</w:t>
            </w:r>
          </w:p>
        </w:tc>
        <w:tc>
          <w:tcPr>
            <w:tcW w:w="4863"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-40～+30dBZ</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2"/>
              <w:ind w:right="95"/>
              <w:jc w:val="center"/>
              <w:rPr>
                <w:rFonts w:ascii="仿宋" w:eastAsia="仿宋" w:hAnsi="仿宋" w:cs="仿宋" w:hint="eastAsia"/>
                <w:bCs/>
                <w:sz w:val="24"/>
                <w:szCs w:val="24"/>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2"/>
              <w:ind w:left="107"/>
              <w:rPr>
                <w:rFonts w:ascii="仿宋" w:eastAsia="仿宋" w:hAnsi="仿宋" w:cs="仿宋" w:hint="eastAsia"/>
                <w:bCs/>
                <w:sz w:val="24"/>
                <w:szCs w:val="24"/>
              </w:rPr>
            </w:pPr>
            <w:r>
              <w:rPr>
                <w:rFonts w:ascii="仿宋" w:eastAsia="仿宋" w:hAnsi="仿宋" w:cs="仿宋" w:hint="eastAsia"/>
                <w:bCs/>
                <w:sz w:val="24"/>
                <w:szCs w:val="24"/>
              </w:rPr>
              <w:t>速度测量范围（V）</w:t>
            </w:r>
          </w:p>
        </w:tc>
        <w:tc>
          <w:tcPr>
            <w:tcW w:w="4863" w:type="dxa"/>
            <w:vAlign w:val="center"/>
          </w:tcPr>
          <w:p>
            <w:pPr>
              <w:pStyle w:val="TableParagraph"/>
              <w:autoSpaceDE w:val="0"/>
              <w:autoSpaceDN w:val="0"/>
              <w:adjustRightInd w:val="0"/>
              <w:snapToGrid w:val="0"/>
              <w:spacing w:before="42"/>
              <w:ind w:left="107"/>
              <w:rPr>
                <w:rFonts w:ascii="仿宋" w:eastAsia="仿宋" w:hAnsi="仿宋" w:cs="仿宋" w:hint="eastAsia"/>
                <w:bCs/>
                <w:sz w:val="24"/>
                <w:szCs w:val="24"/>
              </w:rPr>
            </w:pPr>
            <w:r>
              <w:rPr>
                <w:rFonts w:ascii="仿宋" w:eastAsia="仿宋" w:hAnsi="仿宋" w:cs="仿宋" w:hint="eastAsia"/>
                <w:bCs/>
                <w:sz w:val="24"/>
                <w:szCs w:val="24"/>
              </w:rPr>
              <w:t>-15～+15m/s</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谱宽测量范围（W）</w:t>
            </w:r>
          </w:p>
        </w:tc>
        <w:tc>
          <w:tcPr>
            <w:tcW w:w="4863"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0～15m/s</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restart"/>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r>
              <w:rPr>
                <w:rFonts w:ascii="仿宋" w:eastAsia="仿宋" w:hAnsi="仿宋" w:cs="仿宋" w:hint="eastAsia"/>
                <w:bCs/>
                <w:sz w:val="24"/>
                <w:szCs w:val="24"/>
              </w:rPr>
              <w:t>24</w:t>
            </w:r>
          </w:p>
        </w:tc>
        <w:tc>
          <w:tcPr>
            <w:tcW w:w="2126" w:type="dxa"/>
            <w:vMerge w:val="restart"/>
            <w:vAlign w:val="center"/>
          </w:tcPr>
          <w:p>
            <w:pPr>
              <w:autoSpaceDE w:val="0"/>
              <w:autoSpaceDN w:val="0"/>
              <w:adjustRightInd w:val="0"/>
              <w:snapToGrid w:val="0"/>
              <w:jc w:val="left"/>
              <w:rPr>
                <w:rFonts w:ascii="仿宋" w:eastAsia="仿宋" w:hAnsi="仿宋" w:cs="仿宋" w:hint="eastAsia"/>
                <w:bCs/>
              </w:rPr>
            </w:pPr>
            <w:r>
              <w:rPr>
                <w:rFonts w:ascii="仿宋" w:eastAsia="仿宋" w:hAnsi="仿宋" w:cs="仿宋" w:hint="eastAsia"/>
                <w:bCs/>
                <w:sz w:val="24"/>
                <w:highlight w:val="yellow"/>
              </w:rPr>
              <w:t>#参数测量精度</w:t>
            </w:r>
          </w:p>
        </w:tc>
        <w:tc>
          <w:tcPr>
            <w:tcW w:w="1719"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反射率因子（Z）</w:t>
            </w:r>
          </w:p>
        </w:tc>
        <w:tc>
          <w:tcPr>
            <w:tcW w:w="4863"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1dBZ</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径向速度（V）</w:t>
            </w:r>
          </w:p>
        </w:tc>
        <w:tc>
          <w:tcPr>
            <w:tcW w:w="4863"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0.5m/s</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速度谱宽（W）</w:t>
            </w:r>
          </w:p>
        </w:tc>
        <w:tc>
          <w:tcPr>
            <w:tcW w:w="4863"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0.5m/s</w:t>
            </w:r>
          </w:p>
        </w:tc>
      </w:tr>
      <w:tr>
        <w:tblPrEx>
          <w:tblW w:w="9366" w:type="dxa"/>
          <w:jc w:val="center"/>
          <w:tblLayout w:type="fixed"/>
          <w:tblCellMar>
            <w:top w:w="0" w:type="dxa"/>
            <w:left w:w="0" w:type="dxa"/>
            <w:bottom w:w="0" w:type="dxa"/>
            <w:right w:w="0" w:type="dxa"/>
          </w:tblCellMar>
          <w:tblLook w:val="0000"/>
        </w:tblPrEx>
        <w:trPr>
          <w:trHeight w:val="840"/>
          <w:jc w:val="center"/>
        </w:trPr>
        <w:tc>
          <w:tcPr>
            <w:tcW w:w="658" w:type="dxa"/>
            <w:vMerge w:val="restart"/>
            <w:vAlign w:val="center"/>
          </w:tcPr>
          <w:p>
            <w:pPr>
              <w:pStyle w:val="TableParagraph"/>
              <w:autoSpaceDE w:val="0"/>
              <w:autoSpaceDN w:val="0"/>
              <w:adjustRightInd w:val="0"/>
              <w:snapToGrid w:val="0"/>
              <w:ind w:right="95"/>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25</w:t>
            </w:r>
          </w:p>
        </w:tc>
        <w:tc>
          <w:tcPr>
            <w:tcW w:w="2126" w:type="dxa"/>
            <w:vMerge w:val="restart"/>
            <w:vAlign w:val="center"/>
          </w:tcPr>
          <w:p>
            <w:pPr>
              <w:pStyle w:val="TableParagraph"/>
              <w:autoSpaceDE w:val="0"/>
              <w:autoSpaceDN w:val="0"/>
              <w:adjustRightInd w:val="0"/>
              <w:snapToGrid w:val="0"/>
              <w:spacing w:before="1"/>
              <w:ind w:left="107"/>
              <w:rPr>
                <w:rFonts w:ascii="仿宋" w:eastAsia="仿宋" w:hAnsi="仿宋" w:cs="仿宋" w:hint="eastAsia"/>
                <w:bCs/>
                <w:sz w:val="24"/>
                <w:szCs w:val="24"/>
              </w:rPr>
            </w:pPr>
            <w:r>
              <w:rPr>
                <w:rFonts w:ascii="仿宋" w:eastAsia="仿宋" w:hAnsi="仿宋" w:cs="仿宋" w:hint="eastAsia"/>
                <w:bCs/>
                <w:sz w:val="24"/>
                <w:szCs w:val="24"/>
              </w:rPr>
              <w:t>物理量产品</w:t>
            </w:r>
          </w:p>
        </w:tc>
        <w:tc>
          <w:tcPr>
            <w:tcW w:w="1719" w:type="dxa"/>
            <w:vAlign w:val="center"/>
          </w:tcPr>
          <w:p>
            <w:pPr>
              <w:pStyle w:val="TableParagraph"/>
              <w:autoSpaceDE w:val="0"/>
              <w:autoSpaceDN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云顶高度</w:t>
            </w:r>
          </w:p>
        </w:tc>
        <w:tc>
          <w:tcPr>
            <w:tcW w:w="4863" w:type="dxa"/>
            <w:vAlign w:val="center"/>
          </w:tcPr>
          <w:p>
            <w:pPr>
              <w:pStyle w:val="TableParagraph"/>
              <w:autoSpaceDE w:val="0"/>
              <w:autoSpaceDN w:val="0"/>
              <w:adjustRightInd w:val="0"/>
              <w:snapToGrid w:val="0"/>
              <w:spacing w:before="148"/>
              <w:ind w:left="107"/>
              <w:rPr>
                <w:rFonts w:ascii="仿宋" w:eastAsia="仿宋" w:hAnsi="仿宋" w:cs="仿宋" w:hint="eastAsia"/>
                <w:bCs/>
                <w:sz w:val="24"/>
                <w:szCs w:val="24"/>
                <w:lang w:eastAsia="zh-CN"/>
              </w:rPr>
            </w:pPr>
            <w:r>
              <w:rPr>
                <w:rFonts w:ascii="仿宋" w:eastAsia="仿宋" w:hAnsi="仿宋" w:cs="仿宋" w:hint="eastAsia"/>
                <w:bCs/>
                <w:spacing w:val="-1"/>
                <w:sz w:val="24"/>
                <w:szCs w:val="24"/>
                <w:lang w:eastAsia="zh-CN"/>
              </w:rPr>
              <w:t>云高＜1000m</w:t>
            </w:r>
            <w:r>
              <w:rPr>
                <w:rFonts w:ascii="仿宋" w:eastAsia="仿宋" w:hAnsi="仿宋" w:cs="仿宋" w:hint="eastAsia"/>
                <w:bCs/>
                <w:spacing w:val="-12"/>
                <w:sz w:val="24"/>
                <w:szCs w:val="24"/>
                <w:lang w:eastAsia="zh-CN"/>
              </w:rPr>
              <w:t xml:space="preserve"> 时，</w:t>
            </w:r>
            <w:r>
              <w:rPr>
                <w:rFonts w:ascii="仿宋" w:eastAsia="仿宋" w:hAnsi="仿宋" w:cs="仿宋" w:hint="eastAsia"/>
                <w:bCs/>
                <w:spacing w:val="-12"/>
                <w:sz w:val="24"/>
                <w:szCs w:val="24"/>
                <w:lang w:eastAsia="zh-CN"/>
              </w:rPr>
              <w:t>±</w:t>
            </w:r>
            <w:r>
              <w:rPr>
                <w:rFonts w:ascii="仿宋" w:eastAsia="仿宋" w:hAnsi="仿宋" w:cs="仿宋" w:hint="eastAsia"/>
                <w:bCs/>
                <w:sz w:val="24"/>
                <w:szCs w:val="24"/>
                <w:lang w:eastAsia="zh-CN"/>
              </w:rPr>
              <w:t>100m；云高</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1000m</w:t>
            </w:r>
            <w:r>
              <w:rPr>
                <w:rFonts w:ascii="仿宋" w:eastAsia="仿宋" w:hAnsi="仿宋" w:cs="仿宋" w:hint="eastAsia"/>
                <w:bCs/>
                <w:spacing w:val="-16"/>
                <w:sz w:val="24"/>
                <w:szCs w:val="24"/>
                <w:lang w:eastAsia="zh-CN"/>
              </w:rPr>
              <w:t xml:space="preserve"> 时，</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10%</w:t>
            </w:r>
          </w:p>
        </w:tc>
      </w:tr>
      <w:tr>
        <w:tblPrEx>
          <w:tblW w:w="9366" w:type="dxa"/>
          <w:jc w:val="center"/>
          <w:tblLayout w:type="fixed"/>
          <w:tblCellMar>
            <w:top w:w="0" w:type="dxa"/>
            <w:left w:w="0" w:type="dxa"/>
            <w:bottom w:w="0" w:type="dxa"/>
            <w:right w:w="0" w:type="dxa"/>
          </w:tblCellMar>
          <w:tblLook w:val="0000"/>
        </w:tblPrEx>
        <w:trPr>
          <w:trHeight w:val="840"/>
          <w:jc w:val="center"/>
        </w:trPr>
        <w:tc>
          <w:tcPr>
            <w:tcW w:w="658" w:type="dxa"/>
            <w:vMerge/>
            <w:vAlign w:val="center"/>
          </w:tcPr>
          <w:p>
            <w:pPr>
              <w:pStyle w:val="TableParagraph"/>
              <w:autoSpaceDE w:val="0"/>
              <w:autoSpaceDN w:val="0"/>
              <w:adjustRightInd w:val="0"/>
              <w:snapToGrid w:val="0"/>
              <w:ind w:right="95"/>
              <w:jc w:val="center"/>
              <w:rPr>
                <w:rFonts w:ascii="仿宋" w:eastAsia="仿宋" w:hAnsi="仿宋" w:cs="仿宋" w:hint="eastAsia"/>
                <w:bCs/>
                <w:sz w:val="24"/>
                <w:szCs w:val="24"/>
                <w:lang w:eastAsia="zh-CN"/>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云底高度</w:t>
            </w:r>
          </w:p>
        </w:tc>
        <w:tc>
          <w:tcPr>
            <w:tcW w:w="4863" w:type="dxa"/>
            <w:vAlign w:val="center"/>
          </w:tcPr>
          <w:p>
            <w:pPr>
              <w:pStyle w:val="TableParagraph"/>
              <w:autoSpaceDE w:val="0"/>
              <w:autoSpaceDN w:val="0"/>
              <w:adjustRightInd w:val="0"/>
              <w:snapToGrid w:val="0"/>
              <w:spacing w:before="150"/>
              <w:ind w:left="107"/>
              <w:rPr>
                <w:rFonts w:ascii="仿宋" w:eastAsia="仿宋" w:hAnsi="仿宋" w:cs="仿宋" w:hint="eastAsia"/>
                <w:bCs/>
                <w:sz w:val="24"/>
                <w:szCs w:val="24"/>
                <w:lang w:eastAsia="zh-CN"/>
              </w:rPr>
            </w:pPr>
            <w:r>
              <w:rPr>
                <w:rFonts w:ascii="仿宋" w:eastAsia="仿宋" w:hAnsi="仿宋" w:cs="仿宋" w:hint="eastAsia"/>
                <w:bCs/>
                <w:spacing w:val="-1"/>
                <w:sz w:val="24"/>
                <w:szCs w:val="24"/>
                <w:lang w:eastAsia="zh-CN"/>
              </w:rPr>
              <w:t>云高＜1000m</w:t>
            </w:r>
            <w:r>
              <w:rPr>
                <w:rFonts w:ascii="仿宋" w:eastAsia="仿宋" w:hAnsi="仿宋" w:cs="仿宋" w:hint="eastAsia"/>
                <w:bCs/>
                <w:spacing w:val="-12"/>
                <w:sz w:val="24"/>
                <w:szCs w:val="24"/>
                <w:lang w:eastAsia="zh-CN"/>
              </w:rPr>
              <w:t xml:space="preserve"> 时，</w:t>
            </w:r>
            <w:r>
              <w:rPr>
                <w:rFonts w:ascii="仿宋" w:eastAsia="仿宋" w:hAnsi="仿宋" w:cs="仿宋" w:hint="eastAsia"/>
                <w:bCs/>
                <w:spacing w:val="-12"/>
                <w:sz w:val="24"/>
                <w:szCs w:val="24"/>
                <w:lang w:eastAsia="zh-CN"/>
              </w:rPr>
              <w:t>±</w:t>
            </w:r>
            <w:r>
              <w:rPr>
                <w:rFonts w:ascii="仿宋" w:eastAsia="仿宋" w:hAnsi="仿宋" w:cs="仿宋" w:hint="eastAsia"/>
                <w:bCs/>
                <w:sz w:val="24"/>
                <w:szCs w:val="24"/>
                <w:lang w:eastAsia="zh-CN"/>
              </w:rPr>
              <w:t>100m；云高</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1000m</w:t>
            </w:r>
            <w:r>
              <w:rPr>
                <w:rFonts w:ascii="仿宋" w:eastAsia="仿宋" w:hAnsi="仿宋" w:cs="仿宋" w:hint="eastAsia"/>
                <w:bCs/>
                <w:spacing w:val="-16"/>
                <w:sz w:val="24"/>
                <w:szCs w:val="24"/>
                <w:lang w:eastAsia="zh-CN"/>
              </w:rPr>
              <w:t xml:space="preserve"> 时，</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10%</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restart"/>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26</w:t>
            </w:r>
          </w:p>
        </w:tc>
        <w:tc>
          <w:tcPr>
            <w:tcW w:w="2126" w:type="dxa"/>
            <w:vMerge w:val="restart"/>
            <w:vAlign w:val="center"/>
          </w:tcPr>
          <w:p>
            <w:pPr>
              <w:pStyle w:val="TableParagraph"/>
              <w:autoSpaceDE w:val="0"/>
              <w:autoSpaceDN w:val="0"/>
              <w:adjustRightInd w:val="0"/>
              <w:snapToGrid w:val="0"/>
              <w:spacing w:before="132"/>
              <w:ind w:left="107"/>
              <w:rPr>
                <w:rFonts w:ascii="仿宋" w:eastAsia="仿宋" w:hAnsi="仿宋" w:cs="仿宋" w:hint="eastAsia"/>
                <w:bCs/>
                <w:sz w:val="24"/>
                <w:szCs w:val="24"/>
              </w:rPr>
            </w:pPr>
            <w:r>
              <w:rPr>
                <w:rFonts w:ascii="仿宋" w:eastAsia="仿宋" w:hAnsi="仿宋" w:cs="仿宋" w:hint="eastAsia"/>
                <w:bCs/>
                <w:sz w:val="24"/>
                <w:szCs w:val="24"/>
              </w:rPr>
              <w:t>数据处理单元</w:t>
            </w:r>
          </w:p>
        </w:tc>
        <w:tc>
          <w:tcPr>
            <w:tcW w:w="1719"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处理能力</w:t>
            </w:r>
          </w:p>
        </w:tc>
        <w:tc>
          <w:tcPr>
            <w:tcW w:w="4863"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pacing w:val="-1"/>
                <w:sz w:val="24"/>
                <w:szCs w:val="24"/>
              </w:rPr>
              <w:t>CPU：Interl</w:t>
            </w:r>
            <w:r>
              <w:rPr>
                <w:rFonts w:ascii="仿宋" w:eastAsia="仿宋" w:hAnsi="仿宋" w:cs="仿宋" w:hint="eastAsia"/>
                <w:bCs/>
                <w:spacing w:val="3"/>
                <w:sz w:val="24"/>
                <w:szCs w:val="24"/>
              </w:rPr>
              <w:t xml:space="preserve"> </w:t>
            </w:r>
            <w:r>
              <w:rPr>
                <w:rFonts w:ascii="仿宋" w:eastAsia="仿宋" w:hAnsi="仿宋" w:cs="仿宋" w:hint="eastAsia"/>
                <w:bCs/>
                <w:sz w:val="24"/>
                <w:szCs w:val="24"/>
              </w:rPr>
              <w:t>i7</w:t>
            </w:r>
            <w:r>
              <w:rPr>
                <w:rFonts w:ascii="仿宋" w:eastAsia="仿宋" w:hAnsi="仿宋" w:cs="仿宋" w:hint="eastAsia"/>
                <w:bCs/>
                <w:spacing w:val="-16"/>
                <w:sz w:val="24"/>
                <w:szCs w:val="24"/>
              </w:rPr>
              <w:t>以上</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1"/>
              <w:ind w:right="95"/>
              <w:jc w:val="center"/>
              <w:rPr>
                <w:rFonts w:ascii="仿宋" w:eastAsia="仿宋" w:hAnsi="仿宋" w:cs="仿宋" w:hint="eastAsia"/>
                <w:bCs/>
                <w:sz w:val="24"/>
                <w:szCs w:val="24"/>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存储能力</w:t>
            </w:r>
          </w:p>
        </w:tc>
        <w:tc>
          <w:tcPr>
            <w:tcW w:w="4863" w:type="dxa"/>
            <w:vAlign w:val="center"/>
          </w:tcPr>
          <w:p>
            <w:pPr>
              <w:pStyle w:val="TableParagraph"/>
              <w:autoSpaceDE w:val="0"/>
              <w:autoSpaceDN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1TB</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操作系统</w:t>
            </w:r>
          </w:p>
        </w:tc>
        <w:tc>
          <w:tcPr>
            <w:tcW w:w="4863"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Linux/Windows</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通信接口</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pacing w:val="-5"/>
                <w:sz w:val="24"/>
                <w:szCs w:val="24"/>
                <w:lang w:eastAsia="zh-CN"/>
              </w:rPr>
              <w:t xml:space="preserve">网络通信、光纤通信、串口和 </w:t>
            </w:r>
            <w:r>
              <w:rPr>
                <w:rFonts w:ascii="仿宋" w:eastAsia="仿宋" w:hAnsi="仿宋" w:cs="仿宋" w:hint="eastAsia"/>
                <w:bCs/>
                <w:sz w:val="24"/>
                <w:szCs w:val="24"/>
                <w:lang w:eastAsia="zh-CN"/>
              </w:rPr>
              <w:t>USB</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lang w:eastAsia="zh-CN"/>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工作环境温度</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-40～+50</w:t>
            </w:r>
            <w:r>
              <w:rPr>
                <w:rFonts w:ascii="仿宋" w:eastAsia="仿宋" w:hAnsi="仿宋" w:cs="仿宋" w:hint="eastAsia"/>
                <w:bCs/>
                <w:sz w:val="24"/>
                <w:szCs w:val="24"/>
              </w:rPr>
              <w:t>℃</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restart"/>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27</w:t>
            </w:r>
          </w:p>
        </w:tc>
        <w:tc>
          <w:tcPr>
            <w:tcW w:w="2126" w:type="dxa"/>
            <w:vMerge w:val="restart"/>
            <w:vAlign w:val="center"/>
          </w:tcPr>
          <w:p>
            <w:pPr>
              <w:autoSpaceDE w:val="0"/>
              <w:autoSpaceDN w:val="0"/>
              <w:adjustRightInd w:val="0"/>
              <w:snapToGrid w:val="0"/>
              <w:jc w:val="left"/>
              <w:rPr>
                <w:rFonts w:ascii="仿宋" w:eastAsia="仿宋" w:hAnsi="仿宋" w:cs="仿宋" w:hint="eastAsia"/>
                <w:bCs/>
              </w:rPr>
            </w:pPr>
            <w:r>
              <w:rPr>
                <w:rFonts w:ascii="仿宋" w:eastAsia="仿宋" w:hAnsi="仿宋" w:cs="仿宋" w:hint="eastAsia"/>
                <w:bCs/>
                <w:sz w:val="24"/>
              </w:rPr>
              <w:t>产品标准输出控制单元</w:t>
            </w:r>
          </w:p>
        </w:tc>
        <w:tc>
          <w:tcPr>
            <w:tcW w:w="1719"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硬件要求</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a)</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系统组成：</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主要包含板级化控制器盒体、系统主机、系统电源、数据处理模块、数据存储及质控模块五部分；</w:t>
            </w:r>
          </w:p>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b)</w:t>
            </w:r>
            <w:r>
              <w:rPr>
                <w:rFonts w:ascii="仿宋" w:eastAsia="仿宋" w:hAnsi="仿宋" w:cs="仿宋" w:hint="eastAsia"/>
                <w:bCs/>
                <w:sz w:val="24"/>
                <w:szCs w:val="24"/>
              </w:rPr>
              <w:tab/>
            </w:r>
            <w:r>
              <w:rPr>
                <w:rFonts w:ascii="仿宋" w:eastAsia="仿宋" w:hAnsi="仿宋" w:cs="仿宋" w:hint="eastAsia"/>
                <w:bCs/>
                <w:sz w:val="24"/>
                <w:szCs w:val="24"/>
              </w:rPr>
              <w:t>对外接口：</w:t>
            </w:r>
          </w:p>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HDMI*1、RJ45*2，10/100/1000Mbps自适应、USB3.2 Gen1*2、RS-232 COM*1；</w:t>
            </w:r>
          </w:p>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c)</w:t>
            </w:r>
            <w:r>
              <w:rPr>
                <w:rFonts w:ascii="仿宋" w:eastAsia="仿宋" w:hAnsi="仿宋" w:cs="仿宋" w:hint="eastAsia"/>
                <w:bCs/>
                <w:sz w:val="24"/>
                <w:szCs w:val="24"/>
              </w:rPr>
              <w:tab/>
            </w:r>
            <w:r>
              <w:rPr>
                <w:rFonts w:ascii="仿宋" w:eastAsia="仿宋" w:hAnsi="仿宋" w:cs="仿宋" w:hint="eastAsia"/>
                <w:bCs/>
                <w:sz w:val="24"/>
                <w:szCs w:val="24"/>
              </w:rPr>
              <w:t>系统配置：</w:t>
            </w:r>
          </w:p>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CPU：Interl i7-7600U，双核四线程；主频：2.8GHz，支持Turbo Boost睿频至3.9GHz；</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硬盘：带掉电保护固态msata 1TB</w:t>
            </w:r>
          </w:p>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内存：8GB</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软件功能要求</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a)</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测云仪数据接收：系统接收测云仪数据文件，通过监控本地文件夹的方式获取：状态数据文件、谱数据文件、标定数据文件。</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b)</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数据质量控制：包括对反射率因子、径向速度、速度谱宽质量控制，并具有质控前后数据对比分析显示功能。</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c)</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关键参数监控：包括站点信息、标定参数、测云仪参数、运行参数等信息，以及关键参数变更记录显示。</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d)</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测云仪远程监控：具有开/关机、参数设置、运行状态、错误故障的远程监控功能。包括监控收发系统、信号处理等核心部件运行状态，并具有故障分析统计功能。</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e)</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产品显示：提供多视图切换（单视图、双视图、四视图、六视图）。</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f)</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测云仪远程控制：对测云仪运行、停止并填写测云仪控制记录，可查询测云仪控制操作员等信息。</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g)</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业务过程：具有自定标、日常维护、数据传输、故障管理、维修记录。</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h)</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测云仪健康分析：具有测云仪健康指数、健康报告。</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autoSpaceDE w:val="0"/>
              <w:autoSpaceDN w:val="0"/>
              <w:adjustRightInd w:val="0"/>
              <w:snapToGrid w:val="0"/>
              <w:spacing w:before="40"/>
              <w:ind w:right="95"/>
              <w:jc w:val="center"/>
              <w:rPr>
                <w:rFonts w:ascii="仿宋" w:eastAsia="仿宋" w:hAnsi="仿宋" w:cs="仿宋" w:hint="eastAsia"/>
                <w:bCs/>
                <w:sz w:val="24"/>
                <w:szCs w:val="24"/>
                <w:lang w:eastAsia="zh-CN"/>
              </w:rPr>
            </w:pPr>
          </w:p>
        </w:tc>
        <w:tc>
          <w:tcPr>
            <w:tcW w:w="2126" w:type="dxa"/>
            <w:vMerge/>
            <w:vAlign w:val="center"/>
          </w:tcPr>
          <w:p>
            <w:pPr>
              <w:autoSpaceDE w:val="0"/>
              <w:autoSpaceDN w:val="0"/>
              <w:adjustRightInd w:val="0"/>
              <w:snapToGrid w:val="0"/>
              <w:jc w:val="left"/>
              <w:rPr>
                <w:rFonts w:ascii="仿宋" w:eastAsia="仿宋" w:hAnsi="仿宋" w:cs="仿宋" w:hint="eastAsia"/>
                <w:bCs/>
              </w:rPr>
            </w:pPr>
          </w:p>
        </w:tc>
        <w:tc>
          <w:tcPr>
            <w:tcW w:w="1719" w:type="dxa"/>
            <w:vAlign w:val="center"/>
          </w:tcPr>
          <w:p>
            <w:pPr>
              <w:pStyle w:val="TableParagraph"/>
              <w:autoSpaceDE w:val="0"/>
              <w:autoSpaceDN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系统功能要求</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能够接入到地基遥感垂直廓线观测系统，实现系统集成和数据融合。</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restart"/>
            <w:vAlign w:val="center"/>
          </w:tcPr>
          <w:p>
            <w:pPr>
              <w:pStyle w:val="TableParagraph"/>
              <w:kinsoku w:val="0"/>
              <w:overflowPunct w:val="0"/>
              <w:adjustRightInd w:val="0"/>
              <w:snapToGrid w:val="0"/>
              <w:spacing w:before="41"/>
              <w:ind w:right="95"/>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28</w:t>
            </w:r>
          </w:p>
        </w:tc>
        <w:tc>
          <w:tcPr>
            <w:tcW w:w="2126" w:type="dxa"/>
            <w:vMerge w:val="restart"/>
            <w:vAlign w:val="center"/>
          </w:tcPr>
          <w:p>
            <w:pPr>
              <w:pStyle w:val="TableParagraph"/>
              <w:kinsoku w:val="0"/>
              <w:overflowPunct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电源要求</w:t>
            </w:r>
          </w:p>
        </w:tc>
        <w:tc>
          <w:tcPr>
            <w:tcW w:w="1719" w:type="dxa"/>
            <w:vAlign w:val="center"/>
          </w:tcPr>
          <w:p>
            <w:pPr>
              <w:pStyle w:val="TableParagraph"/>
              <w:kinsoku w:val="0"/>
              <w:overflowPunct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电压</w:t>
            </w:r>
          </w:p>
        </w:tc>
        <w:tc>
          <w:tcPr>
            <w:tcW w:w="4863" w:type="dxa"/>
            <w:vAlign w:val="center"/>
          </w:tcPr>
          <w:p>
            <w:pPr>
              <w:pStyle w:val="TableParagraph"/>
              <w:kinsoku w:val="0"/>
              <w:overflowPunct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AC220V</w:t>
            </w:r>
            <w:r>
              <w:rPr>
                <w:rFonts w:ascii="仿宋" w:eastAsia="仿宋" w:hAnsi="仿宋" w:cs="仿宋" w:hint="eastAsia"/>
                <w:bCs/>
                <w:sz w:val="24"/>
                <w:szCs w:val="24"/>
              </w:rPr>
              <w:t>±</w:t>
            </w:r>
            <w:r>
              <w:rPr>
                <w:rFonts w:ascii="仿宋" w:eastAsia="仿宋" w:hAnsi="仿宋" w:cs="仿宋" w:hint="eastAsia"/>
                <w:bCs/>
                <w:sz w:val="24"/>
                <w:szCs w:val="24"/>
              </w:rPr>
              <w:t>10%</w:t>
            </w:r>
          </w:p>
        </w:tc>
      </w:tr>
      <w:tr>
        <w:tblPrEx>
          <w:tblW w:w="9366" w:type="dxa"/>
          <w:jc w:val="center"/>
          <w:tblLayout w:type="fixed"/>
          <w:tblCellMar>
            <w:top w:w="0" w:type="dxa"/>
            <w:left w:w="0" w:type="dxa"/>
            <w:bottom w:w="0" w:type="dxa"/>
            <w:right w:w="0" w:type="dxa"/>
          </w:tblCellMar>
          <w:tblLook w:val="0000"/>
        </w:tblPrEx>
        <w:trPr>
          <w:trHeight w:val="303"/>
          <w:jc w:val="center"/>
        </w:trPr>
        <w:tc>
          <w:tcPr>
            <w:tcW w:w="658" w:type="dxa"/>
            <w:vMerge/>
            <w:vAlign w:val="center"/>
          </w:tcPr>
          <w:p>
            <w:pPr>
              <w:pStyle w:val="TableParagraph"/>
              <w:kinsoku w:val="0"/>
              <w:overflowPunct w:val="0"/>
              <w:adjustRightInd w:val="0"/>
              <w:snapToGrid w:val="0"/>
              <w:spacing w:before="41"/>
              <w:ind w:right="95"/>
              <w:jc w:val="center"/>
              <w:rPr>
                <w:rFonts w:ascii="仿宋" w:eastAsia="仿宋" w:hAnsi="仿宋" w:cs="仿宋" w:hint="eastAsia"/>
                <w:bCs/>
                <w:sz w:val="24"/>
                <w:szCs w:val="24"/>
              </w:rPr>
            </w:pPr>
          </w:p>
        </w:tc>
        <w:tc>
          <w:tcPr>
            <w:tcW w:w="2126" w:type="dxa"/>
            <w:vMerge/>
            <w:vAlign w:val="center"/>
          </w:tcPr>
          <w:p>
            <w:pPr>
              <w:adjustRightInd w:val="0"/>
              <w:snapToGrid w:val="0"/>
              <w:jc w:val="left"/>
              <w:rPr>
                <w:rFonts w:ascii="仿宋" w:eastAsia="仿宋" w:hAnsi="仿宋" w:cs="仿宋" w:hint="eastAsia"/>
                <w:bCs/>
              </w:rPr>
            </w:pPr>
          </w:p>
        </w:tc>
        <w:tc>
          <w:tcPr>
            <w:tcW w:w="1719" w:type="dxa"/>
            <w:vAlign w:val="center"/>
          </w:tcPr>
          <w:p>
            <w:pPr>
              <w:pStyle w:val="TableParagraph"/>
              <w:kinsoku w:val="0"/>
              <w:overflowPunct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整机功耗</w:t>
            </w:r>
          </w:p>
        </w:tc>
        <w:tc>
          <w:tcPr>
            <w:tcW w:w="4863" w:type="dxa"/>
            <w:vAlign w:val="center"/>
          </w:tcPr>
          <w:p>
            <w:pPr>
              <w:pStyle w:val="TableParagraph"/>
              <w:kinsoku w:val="0"/>
              <w:overflowPunct w:val="0"/>
              <w:adjustRightInd w:val="0"/>
              <w:snapToGrid w:val="0"/>
              <w:spacing w:before="41"/>
              <w:ind w:left="107"/>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500W</w:t>
            </w:r>
          </w:p>
        </w:tc>
      </w:tr>
      <w:tr>
        <w:tblPrEx>
          <w:tblW w:w="9366" w:type="dxa"/>
          <w:jc w:val="center"/>
          <w:tblLayout w:type="fixed"/>
          <w:tblCellMar>
            <w:top w:w="0" w:type="dxa"/>
            <w:left w:w="0" w:type="dxa"/>
            <w:bottom w:w="0" w:type="dxa"/>
            <w:right w:w="0" w:type="dxa"/>
          </w:tblCellMar>
          <w:tblLook w:val="0000"/>
        </w:tblPrEx>
        <w:trPr>
          <w:trHeight w:val="400"/>
          <w:jc w:val="center"/>
        </w:trPr>
        <w:tc>
          <w:tcPr>
            <w:tcW w:w="658" w:type="dxa"/>
            <w:vMerge w:val="restart"/>
            <w:vAlign w:val="center"/>
          </w:tcPr>
          <w:p>
            <w:pPr>
              <w:pStyle w:val="TableParagraph"/>
              <w:kinsoku w:val="0"/>
              <w:overflowPunct w:val="0"/>
              <w:adjustRightInd w:val="0"/>
              <w:snapToGrid w:val="0"/>
              <w:spacing w:before="1"/>
              <w:ind w:right="95"/>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29</w:t>
            </w:r>
          </w:p>
        </w:tc>
        <w:tc>
          <w:tcPr>
            <w:tcW w:w="2126" w:type="dxa"/>
            <w:vMerge w:val="restart"/>
            <w:vAlign w:val="center"/>
          </w:tcPr>
          <w:p>
            <w:pPr>
              <w:pStyle w:val="TableParagraph"/>
              <w:kinsoku w:val="0"/>
              <w:overflowPunct w:val="0"/>
              <w:adjustRightInd w:val="0"/>
              <w:snapToGrid w:val="0"/>
              <w:rPr>
                <w:rFonts w:ascii="仿宋" w:eastAsia="仿宋" w:hAnsi="仿宋" w:cs="仿宋" w:hint="eastAsia"/>
                <w:bCs/>
                <w:sz w:val="24"/>
                <w:szCs w:val="24"/>
              </w:rPr>
            </w:pPr>
            <w:r>
              <w:rPr>
                <w:rFonts w:ascii="仿宋" w:eastAsia="仿宋" w:hAnsi="仿宋" w:cs="仿宋" w:hint="eastAsia"/>
                <w:bCs/>
                <w:sz w:val="24"/>
                <w:szCs w:val="24"/>
              </w:rPr>
              <w:t>气候环境要求</w:t>
            </w:r>
          </w:p>
        </w:tc>
        <w:tc>
          <w:tcPr>
            <w:tcW w:w="1719" w:type="dxa"/>
            <w:vAlign w:val="center"/>
          </w:tcPr>
          <w:p>
            <w:pPr>
              <w:pStyle w:val="TableParagraph"/>
              <w:kinsoku w:val="0"/>
              <w:overflowPunct w:val="0"/>
              <w:adjustRightInd w:val="0"/>
              <w:snapToGrid w:val="0"/>
              <w:spacing w:before="1"/>
              <w:ind w:left="107"/>
              <w:rPr>
                <w:rFonts w:ascii="仿宋" w:eastAsia="仿宋" w:hAnsi="仿宋" w:cs="仿宋" w:hint="eastAsia"/>
                <w:bCs/>
                <w:sz w:val="24"/>
                <w:szCs w:val="24"/>
              </w:rPr>
            </w:pPr>
            <w:r>
              <w:rPr>
                <w:rFonts w:ascii="仿宋" w:eastAsia="仿宋" w:hAnsi="仿宋" w:cs="仿宋" w:hint="eastAsia"/>
                <w:bCs/>
                <w:sz w:val="24"/>
                <w:szCs w:val="24"/>
              </w:rPr>
              <w:t>工作温度</w:t>
            </w:r>
          </w:p>
        </w:tc>
        <w:tc>
          <w:tcPr>
            <w:tcW w:w="4863" w:type="dxa"/>
            <w:vAlign w:val="center"/>
          </w:tcPr>
          <w:p>
            <w:pPr>
              <w:pStyle w:val="TableParagraph"/>
              <w:kinsoku w:val="0"/>
              <w:overflowPunct w:val="0"/>
              <w:adjustRightInd w:val="0"/>
              <w:snapToGrid w:val="0"/>
              <w:spacing w:before="1"/>
              <w:ind w:left="107"/>
              <w:rPr>
                <w:rFonts w:ascii="仿宋" w:eastAsia="仿宋" w:hAnsi="仿宋" w:cs="仿宋" w:hint="eastAsia"/>
                <w:bCs/>
                <w:sz w:val="24"/>
                <w:szCs w:val="24"/>
                <w:lang w:eastAsia="zh-CN"/>
              </w:rPr>
            </w:pPr>
            <w:r>
              <w:rPr>
                <w:rFonts w:ascii="仿宋" w:eastAsia="仿宋" w:hAnsi="仿宋" w:cs="仿宋" w:hint="eastAsia"/>
                <w:bCs/>
                <w:spacing w:val="-1"/>
                <w:sz w:val="24"/>
                <w:szCs w:val="24"/>
                <w:lang w:eastAsia="zh-CN"/>
              </w:rPr>
              <w:t>室外：-40～+50</w:t>
            </w:r>
            <w:r>
              <w:rPr>
                <w:rFonts w:ascii="仿宋" w:eastAsia="仿宋" w:hAnsi="仿宋" w:cs="仿宋" w:hint="eastAsia"/>
                <w:bCs/>
                <w:spacing w:val="-1"/>
                <w:sz w:val="24"/>
                <w:szCs w:val="24"/>
                <w:lang w:eastAsia="zh-CN"/>
              </w:rPr>
              <w:t>℃</w:t>
            </w:r>
            <w:r>
              <w:rPr>
                <w:rFonts w:ascii="仿宋" w:eastAsia="仿宋" w:hAnsi="仿宋" w:cs="仿宋" w:hint="eastAsia"/>
                <w:bCs/>
                <w:spacing w:val="-1"/>
                <w:sz w:val="24"/>
                <w:szCs w:val="24"/>
                <w:lang w:eastAsia="zh-CN"/>
              </w:rPr>
              <w:t>，室内：</w:t>
            </w:r>
            <w:r>
              <w:rPr>
                <w:rFonts w:ascii="仿宋" w:eastAsia="仿宋" w:hAnsi="仿宋" w:cs="仿宋" w:hint="eastAsia"/>
                <w:bCs/>
                <w:sz w:val="24"/>
                <w:szCs w:val="24"/>
                <w:lang w:eastAsia="zh-CN"/>
              </w:rPr>
              <w:t>0～+40</w:t>
            </w:r>
            <w:r>
              <w:rPr>
                <w:rFonts w:ascii="仿宋" w:eastAsia="仿宋" w:hAnsi="仿宋" w:cs="仿宋" w:hint="eastAsia"/>
                <w:bCs/>
                <w:sz w:val="24"/>
                <w:szCs w:val="24"/>
                <w:lang w:eastAsia="zh-CN"/>
              </w:rPr>
              <w:t>℃</w:t>
            </w:r>
          </w:p>
        </w:tc>
      </w:tr>
      <w:tr>
        <w:tblPrEx>
          <w:tblW w:w="9366" w:type="dxa"/>
          <w:jc w:val="center"/>
          <w:tblLayout w:type="fixed"/>
          <w:tblCellMar>
            <w:top w:w="0" w:type="dxa"/>
            <w:left w:w="0" w:type="dxa"/>
            <w:bottom w:w="0" w:type="dxa"/>
            <w:right w:w="0" w:type="dxa"/>
          </w:tblCellMar>
          <w:tblLook w:val="0000"/>
        </w:tblPrEx>
        <w:trPr>
          <w:trHeight w:val="384"/>
          <w:jc w:val="center"/>
        </w:trPr>
        <w:tc>
          <w:tcPr>
            <w:tcW w:w="658" w:type="dxa"/>
            <w:vMerge/>
            <w:vAlign w:val="center"/>
          </w:tcPr>
          <w:p>
            <w:pPr>
              <w:pStyle w:val="TableParagraph"/>
              <w:kinsoku w:val="0"/>
              <w:overflowPunct w:val="0"/>
              <w:adjustRightInd w:val="0"/>
              <w:snapToGrid w:val="0"/>
              <w:spacing w:before="42"/>
              <w:ind w:right="95"/>
              <w:jc w:val="center"/>
              <w:rPr>
                <w:rFonts w:ascii="仿宋" w:eastAsia="仿宋" w:hAnsi="仿宋" w:cs="仿宋" w:hint="eastAsia"/>
                <w:bCs/>
                <w:sz w:val="24"/>
                <w:szCs w:val="24"/>
                <w:lang w:eastAsia="zh-CN"/>
              </w:rPr>
            </w:pPr>
          </w:p>
        </w:tc>
        <w:tc>
          <w:tcPr>
            <w:tcW w:w="2126" w:type="dxa"/>
            <w:vMerge/>
            <w:vAlign w:val="center"/>
          </w:tcPr>
          <w:p>
            <w:pPr>
              <w:adjustRightInd w:val="0"/>
              <w:snapToGrid w:val="0"/>
              <w:jc w:val="left"/>
              <w:rPr>
                <w:rFonts w:ascii="仿宋" w:eastAsia="仿宋" w:hAnsi="仿宋" w:cs="仿宋" w:hint="eastAsia"/>
                <w:bCs/>
              </w:rPr>
            </w:pPr>
          </w:p>
        </w:tc>
        <w:tc>
          <w:tcPr>
            <w:tcW w:w="1719" w:type="dxa"/>
            <w:vAlign w:val="center"/>
          </w:tcPr>
          <w:p>
            <w:pPr>
              <w:pStyle w:val="TableParagraph"/>
              <w:kinsoku w:val="0"/>
              <w:overflowPunct w:val="0"/>
              <w:adjustRightInd w:val="0"/>
              <w:snapToGrid w:val="0"/>
              <w:spacing w:before="42"/>
              <w:ind w:left="107"/>
              <w:rPr>
                <w:rFonts w:ascii="仿宋" w:eastAsia="仿宋" w:hAnsi="仿宋" w:cs="仿宋" w:hint="eastAsia"/>
                <w:bCs/>
                <w:sz w:val="24"/>
                <w:szCs w:val="24"/>
              </w:rPr>
            </w:pPr>
            <w:r>
              <w:rPr>
                <w:rFonts w:ascii="仿宋" w:eastAsia="仿宋" w:hAnsi="仿宋" w:cs="仿宋" w:hint="eastAsia"/>
                <w:bCs/>
                <w:sz w:val="24"/>
                <w:szCs w:val="24"/>
              </w:rPr>
              <w:t>相对湿度</w:t>
            </w:r>
          </w:p>
        </w:tc>
        <w:tc>
          <w:tcPr>
            <w:tcW w:w="4863" w:type="dxa"/>
            <w:vAlign w:val="center"/>
          </w:tcPr>
          <w:p>
            <w:pPr>
              <w:pStyle w:val="TableParagraph"/>
              <w:kinsoku w:val="0"/>
              <w:overflowPunct w:val="0"/>
              <w:adjustRightInd w:val="0"/>
              <w:snapToGrid w:val="0"/>
              <w:spacing w:before="42"/>
              <w:ind w:left="107"/>
              <w:rPr>
                <w:rFonts w:ascii="仿宋" w:eastAsia="仿宋" w:hAnsi="仿宋" w:cs="仿宋" w:hint="eastAsia"/>
                <w:bCs/>
                <w:sz w:val="24"/>
                <w:szCs w:val="24"/>
              </w:rPr>
            </w:pPr>
            <w:r>
              <w:rPr>
                <w:rFonts w:ascii="仿宋" w:eastAsia="仿宋" w:hAnsi="仿宋" w:cs="仿宋" w:hint="eastAsia"/>
                <w:bCs/>
                <w:sz w:val="24"/>
                <w:szCs w:val="24"/>
              </w:rPr>
              <w:t>5～95</w:t>
            </w:r>
            <w:r>
              <w:rPr>
                <w:rFonts w:ascii="仿宋" w:eastAsia="仿宋" w:hAnsi="仿宋" w:cs="仿宋" w:hint="eastAsia"/>
                <w:bCs/>
                <w:sz w:val="24"/>
                <w:szCs w:val="24"/>
              </w:rPr>
              <w:t>﹪</w:t>
            </w:r>
          </w:p>
        </w:tc>
      </w:tr>
      <w:tr>
        <w:tblPrEx>
          <w:tblW w:w="9366" w:type="dxa"/>
          <w:jc w:val="center"/>
          <w:tblLayout w:type="fixed"/>
          <w:tblCellMar>
            <w:top w:w="0" w:type="dxa"/>
            <w:left w:w="0" w:type="dxa"/>
            <w:bottom w:w="0" w:type="dxa"/>
            <w:right w:w="0" w:type="dxa"/>
          </w:tblCellMar>
          <w:tblLook w:val="0000"/>
        </w:tblPrEx>
        <w:trPr>
          <w:trHeight w:val="560"/>
          <w:jc w:val="center"/>
        </w:trPr>
        <w:tc>
          <w:tcPr>
            <w:tcW w:w="658" w:type="dxa"/>
            <w:vMerge/>
            <w:vAlign w:val="center"/>
          </w:tcPr>
          <w:p>
            <w:pPr>
              <w:pStyle w:val="TableParagraph"/>
              <w:kinsoku w:val="0"/>
              <w:overflowPunct w:val="0"/>
              <w:adjustRightInd w:val="0"/>
              <w:snapToGrid w:val="0"/>
              <w:ind w:right="95"/>
              <w:jc w:val="center"/>
              <w:rPr>
                <w:rFonts w:ascii="仿宋" w:eastAsia="仿宋" w:hAnsi="仿宋" w:cs="仿宋" w:hint="eastAsia"/>
                <w:bCs/>
                <w:sz w:val="24"/>
                <w:szCs w:val="24"/>
              </w:rPr>
            </w:pPr>
          </w:p>
        </w:tc>
        <w:tc>
          <w:tcPr>
            <w:tcW w:w="2126" w:type="dxa"/>
            <w:vMerge/>
            <w:vAlign w:val="center"/>
          </w:tcPr>
          <w:p>
            <w:pPr>
              <w:adjustRightInd w:val="0"/>
              <w:snapToGrid w:val="0"/>
              <w:jc w:val="left"/>
              <w:rPr>
                <w:rFonts w:ascii="仿宋" w:eastAsia="仿宋" w:hAnsi="仿宋" w:cs="仿宋" w:hint="eastAsia"/>
                <w:bCs/>
              </w:rPr>
            </w:pPr>
          </w:p>
        </w:tc>
        <w:tc>
          <w:tcPr>
            <w:tcW w:w="1719" w:type="dxa"/>
            <w:vAlign w:val="center"/>
          </w:tcPr>
          <w:p>
            <w:pPr>
              <w:pStyle w:val="TableParagraph"/>
              <w:kinsoku w:val="0"/>
              <w:overflowPunct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冲击、振动、淋雨</w:t>
            </w:r>
          </w:p>
        </w:tc>
        <w:tc>
          <w:tcPr>
            <w:tcW w:w="4863" w:type="dxa"/>
            <w:vAlign w:val="center"/>
          </w:tcPr>
          <w:p>
            <w:pPr>
              <w:pStyle w:val="TableParagraph"/>
              <w:kinsoku w:val="0"/>
              <w:overflowPunct w:val="0"/>
              <w:adjustRightInd w:val="0"/>
              <w:snapToGrid w:val="0"/>
              <w:ind w:left="107"/>
              <w:rPr>
                <w:rFonts w:ascii="仿宋" w:eastAsia="仿宋" w:hAnsi="仿宋" w:cs="仿宋" w:hint="eastAsia"/>
                <w:bCs/>
                <w:sz w:val="24"/>
                <w:szCs w:val="24"/>
                <w:lang w:eastAsia="zh-CN"/>
              </w:rPr>
            </w:pPr>
            <w:r>
              <w:rPr>
                <w:rFonts w:ascii="仿宋" w:eastAsia="仿宋" w:hAnsi="仿宋" w:cs="仿宋" w:hint="eastAsia"/>
                <w:bCs/>
                <w:sz w:val="24"/>
                <w:szCs w:val="24"/>
                <w:lang w:eastAsia="zh-CN"/>
              </w:rPr>
              <w:t>符合国家有关规定，满足野外运输要求。</w:t>
            </w:r>
          </w:p>
        </w:tc>
      </w:tr>
      <w:tr>
        <w:tblPrEx>
          <w:tblW w:w="9366" w:type="dxa"/>
          <w:jc w:val="center"/>
          <w:tblLayout w:type="fixed"/>
          <w:tblCellMar>
            <w:top w:w="0" w:type="dxa"/>
            <w:left w:w="0" w:type="dxa"/>
            <w:bottom w:w="0" w:type="dxa"/>
            <w:right w:w="0" w:type="dxa"/>
          </w:tblCellMar>
          <w:tblLook w:val="0000"/>
        </w:tblPrEx>
        <w:trPr>
          <w:trHeight w:val="236"/>
          <w:jc w:val="center"/>
        </w:trPr>
        <w:tc>
          <w:tcPr>
            <w:tcW w:w="658" w:type="dxa"/>
            <w:vMerge/>
            <w:vAlign w:val="center"/>
          </w:tcPr>
          <w:p>
            <w:pPr>
              <w:pStyle w:val="TableParagraph"/>
              <w:kinsoku w:val="0"/>
              <w:overflowPunct w:val="0"/>
              <w:adjustRightInd w:val="0"/>
              <w:snapToGrid w:val="0"/>
              <w:ind w:right="95"/>
              <w:jc w:val="center"/>
              <w:rPr>
                <w:rFonts w:ascii="仿宋" w:eastAsia="仿宋" w:hAnsi="仿宋" w:cs="仿宋" w:hint="eastAsia"/>
                <w:bCs/>
                <w:sz w:val="24"/>
                <w:szCs w:val="24"/>
                <w:lang w:eastAsia="zh-CN"/>
              </w:rPr>
            </w:pPr>
          </w:p>
        </w:tc>
        <w:tc>
          <w:tcPr>
            <w:tcW w:w="2126" w:type="dxa"/>
            <w:vMerge/>
            <w:vAlign w:val="center"/>
          </w:tcPr>
          <w:p>
            <w:pPr>
              <w:adjustRightInd w:val="0"/>
              <w:snapToGrid w:val="0"/>
              <w:jc w:val="left"/>
              <w:rPr>
                <w:rFonts w:ascii="仿宋" w:eastAsia="仿宋" w:hAnsi="仿宋" w:cs="仿宋" w:hint="eastAsia"/>
                <w:bCs/>
              </w:rPr>
            </w:pPr>
          </w:p>
        </w:tc>
        <w:tc>
          <w:tcPr>
            <w:tcW w:w="1719" w:type="dxa"/>
            <w:vAlign w:val="center"/>
          </w:tcPr>
          <w:p>
            <w:pPr>
              <w:pStyle w:val="TableParagraph"/>
              <w:kinsoku w:val="0"/>
              <w:overflowPunct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其他</w:t>
            </w:r>
          </w:p>
        </w:tc>
        <w:tc>
          <w:tcPr>
            <w:tcW w:w="4863" w:type="dxa"/>
            <w:vAlign w:val="center"/>
          </w:tcPr>
          <w:p>
            <w:pPr>
              <w:pStyle w:val="TableParagraph"/>
              <w:kinsoku w:val="0"/>
              <w:overflowPunct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防水、防霉、防盐雾</w:t>
            </w:r>
          </w:p>
        </w:tc>
      </w:tr>
      <w:tr>
        <w:tblPrEx>
          <w:tblW w:w="9366" w:type="dxa"/>
          <w:jc w:val="center"/>
          <w:tblLayout w:type="fixed"/>
          <w:tblCellMar>
            <w:top w:w="0" w:type="dxa"/>
            <w:left w:w="0" w:type="dxa"/>
            <w:bottom w:w="0" w:type="dxa"/>
            <w:right w:w="0" w:type="dxa"/>
          </w:tblCellMar>
          <w:tblLook w:val="0000"/>
        </w:tblPrEx>
        <w:trPr>
          <w:trHeight w:val="560"/>
          <w:jc w:val="center"/>
        </w:trPr>
        <w:tc>
          <w:tcPr>
            <w:tcW w:w="658" w:type="dxa"/>
            <w:vMerge w:val="restart"/>
            <w:vAlign w:val="center"/>
          </w:tcPr>
          <w:p>
            <w:pPr>
              <w:pStyle w:val="TableParagraph"/>
              <w:kinsoku w:val="0"/>
              <w:overflowPunct w:val="0"/>
              <w:adjustRightInd w:val="0"/>
              <w:snapToGrid w:val="0"/>
              <w:ind w:right="95"/>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30</w:t>
            </w:r>
          </w:p>
        </w:tc>
        <w:tc>
          <w:tcPr>
            <w:tcW w:w="2126" w:type="dxa"/>
            <w:vMerge w:val="restart"/>
            <w:vAlign w:val="center"/>
          </w:tcPr>
          <w:p>
            <w:pPr>
              <w:adjustRightInd w:val="0"/>
              <w:snapToGrid w:val="0"/>
              <w:jc w:val="left"/>
              <w:rPr>
                <w:rFonts w:ascii="仿宋" w:eastAsia="仿宋" w:hAnsi="仿宋" w:cs="仿宋" w:hint="eastAsia"/>
                <w:bCs/>
              </w:rPr>
            </w:pPr>
            <w:r>
              <w:rPr>
                <w:rFonts w:ascii="仿宋" w:eastAsia="仿宋" w:hAnsi="仿宋" w:cs="仿宋" w:hint="eastAsia"/>
                <w:bCs/>
                <w:sz w:val="24"/>
              </w:rPr>
              <w:t>电磁环境要求</w:t>
            </w:r>
          </w:p>
        </w:tc>
        <w:tc>
          <w:tcPr>
            <w:tcW w:w="1719" w:type="dxa"/>
            <w:vAlign w:val="center"/>
          </w:tcPr>
          <w:p>
            <w:pPr>
              <w:pStyle w:val="TableParagraph"/>
              <w:kinsoku w:val="0"/>
              <w:overflowPunct w:val="0"/>
              <w:adjustRightInd w:val="0"/>
              <w:snapToGrid w:val="0"/>
              <w:ind w:left="107"/>
              <w:rPr>
                <w:rFonts w:ascii="仿宋" w:eastAsia="仿宋" w:hAnsi="仿宋" w:cs="仿宋" w:hint="eastAsia"/>
                <w:bCs/>
                <w:sz w:val="24"/>
                <w:szCs w:val="24"/>
                <w:lang w:eastAsia="zh-CN"/>
              </w:rPr>
            </w:pPr>
            <w:r>
              <w:rPr>
                <w:rFonts w:ascii="仿宋" w:eastAsia="仿宋" w:hAnsi="仿宋" w:cs="仿宋" w:hint="eastAsia"/>
                <w:bCs/>
                <w:sz w:val="24"/>
                <w:szCs w:val="24"/>
                <w:lang w:eastAsia="zh-CN"/>
              </w:rPr>
              <w:t>浪涌（冲击）抗扰度（GB/T 17626.5-2008）</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a)</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交流电源端口：</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线对线：</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1KV</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线对地：</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2KV</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b)</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直流电源端口：</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线对线：</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1KV</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线对地：</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 xml:space="preserve">2KV </w:t>
            </w:r>
          </w:p>
          <w:p>
            <w:pPr>
              <w:pStyle w:val="TableParagraph"/>
              <w:autoSpaceDE w:val="0"/>
              <w:autoSpaceDN w:val="0"/>
              <w:adjustRightInd w:val="0"/>
              <w:snapToGrid w:val="0"/>
              <w:spacing w:before="40"/>
              <w:rPr>
                <w:rFonts w:ascii="仿宋" w:eastAsia="仿宋" w:hAnsi="仿宋" w:cs="仿宋" w:hint="eastAsia"/>
                <w:bCs/>
                <w:sz w:val="24"/>
                <w:szCs w:val="24"/>
                <w:lang w:eastAsia="zh-CN"/>
              </w:rPr>
            </w:pPr>
            <w:r>
              <w:rPr>
                <w:rFonts w:ascii="仿宋" w:eastAsia="仿宋" w:hAnsi="仿宋" w:cs="仿宋" w:hint="eastAsia"/>
                <w:bCs/>
                <w:sz w:val="24"/>
                <w:szCs w:val="24"/>
                <w:lang w:eastAsia="zh-CN"/>
              </w:rPr>
              <w:t>c)</w:t>
            </w:r>
            <w:r>
              <w:rPr>
                <w:rFonts w:ascii="仿宋" w:eastAsia="仿宋" w:hAnsi="仿宋" w:cs="仿宋" w:hint="eastAsia"/>
                <w:bCs/>
                <w:sz w:val="24"/>
                <w:szCs w:val="24"/>
                <w:lang w:eastAsia="zh-CN"/>
              </w:rPr>
              <w:tab/>
            </w:r>
            <w:r>
              <w:rPr>
                <w:rFonts w:ascii="仿宋" w:eastAsia="仿宋" w:hAnsi="仿宋" w:cs="仿宋" w:hint="eastAsia"/>
                <w:bCs/>
                <w:sz w:val="24"/>
                <w:szCs w:val="24"/>
                <w:lang w:eastAsia="zh-CN"/>
              </w:rPr>
              <w:t>控制和信号端口：</w:t>
            </w:r>
          </w:p>
          <w:p>
            <w:pPr>
              <w:pStyle w:val="TableParagraph"/>
              <w:kinsoku w:val="0"/>
              <w:overflowPunct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线对地：</w:t>
            </w:r>
            <w:r>
              <w:rPr>
                <w:rFonts w:ascii="仿宋" w:eastAsia="仿宋" w:hAnsi="仿宋" w:cs="仿宋" w:hint="eastAsia"/>
                <w:bCs/>
                <w:sz w:val="24"/>
                <w:szCs w:val="24"/>
              </w:rPr>
              <w:t>±</w:t>
            </w:r>
            <w:r>
              <w:rPr>
                <w:rFonts w:ascii="仿宋" w:eastAsia="仿宋" w:hAnsi="仿宋" w:cs="仿宋" w:hint="eastAsia"/>
                <w:bCs/>
                <w:sz w:val="24"/>
                <w:szCs w:val="24"/>
              </w:rPr>
              <w:t>2KV</w:t>
            </w:r>
          </w:p>
        </w:tc>
      </w:tr>
      <w:tr>
        <w:tblPrEx>
          <w:tblW w:w="9366" w:type="dxa"/>
          <w:jc w:val="center"/>
          <w:tblLayout w:type="fixed"/>
          <w:tblCellMar>
            <w:top w:w="0" w:type="dxa"/>
            <w:left w:w="0" w:type="dxa"/>
            <w:bottom w:w="0" w:type="dxa"/>
            <w:right w:w="0" w:type="dxa"/>
          </w:tblCellMar>
          <w:tblLook w:val="0000"/>
        </w:tblPrEx>
        <w:trPr>
          <w:trHeight w:val="560"/>
          <w:jc w:val="center"/>
        </w:trPr>
        <w:tc>
          <w:tcPr>
            <w:tcW w:w="658" w:type="dxa"/>
            <w:vMerge/>
            <w:vAlign w:val="center"/>
          </w:tcPr>
          <w:p>
            <w:pPr>
              <w:pStyle w:val="TableParagraph"/>
              <w:kinsoku w:val="0"/>
              <w:overflowPunct w:val="0"/>
              <w:adjustRightInd w:val="0"/>
              <w:snapToGrid w:val="0"/>
              <w:ind w:right="95"/>
              <w:jc w:val="center"/>
              <w:rPr>
                <w:rFonts w:ascii="仿宋" w:eastAsia="仿宋" w:hAnsi="仿宋" w:cs="仿宋" w:hint="eastAsia"/>
                <w:bCs/>
                <w:sz w:val="24"/>
                <w:szCs w:val="24"/>
              </w:rPr>
            </w:pPr>
          </w:p>
        </w:tc>
        <w:tc>
          <w:tcPr>
            <w:tcW w:w="2126" w:type="dxa"/>
            <w:vMerge/>
            <w:vAlign w:val="center"/>
          </w:tcPr>
          <w:p>
            <w:pPr>
              <w:adjustRightInd w:val="0"/>
              <w:snapToGrid w:val="0"/>
              <w:jc w:val="left"/>
              <w:rPr>
                <w:rFonts w:ascii="仿宋" w:eastAsia="仿宋" w:hAnsi="仿宋" w:cs="仿宋" w:hint="eastAsia"/>
                <w:bCs/>
              </w:rPr>
            </w:pPr>
          </w:p>
        </w:tc>
        <w:tc>
          <w:tcPr>
            <w:tcW w:w="1719" w:type="dxa"/>
            <w:vAlign w:val="center"/>
          </w:tcPr>
          <w:p>
            <w:pPr>
              <w:pStyle w:val="TableParagraph"/>
              <w:kinsoku w:val="0"/>
              <w:overflowPunct w:val="0"/>
              <w:adjustRightInd w:val="0"/>
              <w:snapToGrid w:val="0"/>
              <w:ind w:left="107"/>
              <w:rPr>
                <w:rFonts w:ascii="仿宋" w:eastAsia="仿宋" w:hAnsi="仿宋" w:cs="仿宋" w:hint="eastAsia"/>
                <w:bCs/>
                <w:sz w:val="24"/>
                <w:szCs w:val="24"/>
                <w:lang w:eastAsia="zh-CN"/>
              </w:rPr>
            </w:pPr>
            <w:r>
              <w:rPr>
                <w:rFonts w:ascii="仿宋" w:eastAsia="仿宋" w:hAnsi="仿宋" w:cs="仿宋" w:hint="eastAsia"/>
                <w:bCs/>
                <w:sz w:val="24"/>
                <w:szCs w:val="24"/>
                <w:lang w:eastAsia="zh-CN"/>
              </w:rPr>
              <w:t>电快速瞬变脉冲群抗扰度（GB/T 17626.4-2008）</w:t>
            </w:r>
          </w:p>
        </w:tc>
        <w:tc>
          <w:tcPr>
            <w:tcW w:w="4863" w:type="dxa"/>
            <w:vAlign w:val="center"/>
          </w:tcPr>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a)</w:t>
            </w:r>
            <w:r>
              <w:rPr>
                <w:rFonts w:ascii="仿宋" w:eastAsia="仿宋" w:hAnsi="仿宋" w:cs="仿宋" w:hint="eastAsia"/>
                <w:bCs/>
                <w:sz w:val="24"/>
                <w:szCs w:val="24"/>
              </w:rPr>
              <w:tab/>
            </w:r>
            <w:r>
              <w:rPr>
                <w:rFonts w:ascii="仿宋" w:eastAsia="仿宋" w:hAnsi="仿宋" w:cs="仿宋" w:hint="eastAsia"/>
                <w:bCs/>
                <w:sz w:val="24"/>
                <w:szCs w:val="24"/>
              </w:rPr>
              <w:t>交流电源端口：</w:t>
            </w:r>
          </w:p>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 xml:space="preserve">2KV  5KHz </w:t>
            </w:r>
          </w:p>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b)</w:t>
            </w:r>
            <w:r>
              <w:rPr>
                <w:rFonts w:ascii="仿宋" w:eastAsia="仿宋" w:hAnsi="仿宋" w:cs="仿宋" w:hint="eastAsia"/>
                <w:bCs/>
                <w:sz w:val="24"/>
                <w:szCs w:val="24"/>
              </w:rPr>
              <w:tab/>
            </w:r>
            <w:r>
              <w:rPr>
                <w:rFonts w:ascii="仿宋" w:eastAsia="仿宋" w:hAnsi="仿宋" w:cs="仿宋" w:hint="eastAsia"/>
                <w:bCs/>
                <w:sz w:val="24"/>
                <w:szCs w:val="24"/>
                <w:lang w:eastAsia="zh-CN"/>
              </w:rPr>
              <w:t>直流</w:t>
            </w:r>
            <w:r>
              <w:rPr>
                <w:rFonts w:ascii="仿宋" w:eastAsia="仿宋" w:hAnsi="仿宋" w:cs="仿宋" w:hint="eastAsia"/>
                <w:bCs/>
                <w:sz w:val="24"/>
                <w:szCs w:val="24"/>
              </w:rPr>
              <w:t>电源端口：</w:t>
            </w:r>
          </w:p>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 xml:space="preserve">1KV  5KHz </w:t>
            </w:r>
          </w:p>
          <w:p>
            <w:pPr>
              <w:pStyle w:val="TableParagraph"/>
              <w:autoSpaceDE w:val="0"/>
              <w:autoSpaceDN w:val="0"/>
              <w:adjustRightInd w:val="0"/>
              <w:snapToGrid w:val="0"/>
              <w:spacing w:before="40"/>
              <w:rPr>
                <w:rFonts w:ascii="仿宋" w:eastAsia="仿宋" w:hAnsi="仿宋" w:cs="仿宋" w:hint="eastAsia"/>
                <w:bCs/>
                <w:sz w:val="24"/>
                <w:szCs w:val="24"/>
              </w:rPr>
            </w:pPr>
            <w:r>
              <w:rPr>
                <w:rFonts w:ascii="仿宋" w:eastAsia="仿宋" w:hAnsi="仿宋" w:cs="仿宋" w:hint="eastAsia"/>
                <w:bCs/>
                <w:sz w:val="24"/>
                <w:szCs w:val="24"/>
              </w:rPr>
              <w:t>c)</w:t>
            </w:r>
            <w:r>
              <w:rPr>
                <w:rFonts w:ascii="仿宋" w:eastAsia="仿宋" w:hAnsi="仿宋" w:cs="仿宋" w:hint="eastAsia"/>
                <w:bCs/>
                <w:sz w:val="24"/>
                <w:szCs w:val="24"/>
              </w:rPr>
              <w:tab/>
            </w:r>
            <w:r>
              <w:rPr>
                <w:rFonts w:ascii="仿宋" w:eastAsia="仿宋" w:hAnsi="仿宋" w:cs="仿宋" w:hint="eastAsia"/>
                <w:bCs/>
                <w:sz w:val="24"/>
                <w:szCs w:val="24"/>
              </w:rPr>
              <w:t>控制和信号端口：</w:t>
            </w:r>
          </w:p>
          <w:p>
            <w:pPr>
              <w:pStyle w:val="TableParagraph"/>
              <w:kinsoku w:val="0"/>
              <w:overflowPunct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w:t>
            </w:r>
            <w:r>
              <w:rPr>
                <w:rFonts w:ascii="仿宋" w:eastAsia="仿宋" w:hAnsi="仿宋" w:cs="仿宋" w:hint="eastAsia"/>
                <w:bCs/>
                <w:sz w:val="24"/>
                <w:szCs w:val="24"/>
              </w:rPr>
              <w:t>1KV  5KHz</w:t>
            </w:r>
          </w:p>
        </w:tc>
      </w:tr>
      <w:tr>
        <w:tblPrEx>
          <w:tblW w:w="9366" w:type="dxa"/>
          <w:jc w:val="center"/>
          <w:tblLayout w:type="fixed"/>
          <w:tblCellMar>
            <w:top w:w="0" w:type="dxa"/>
            <w:left w:w="0" w:type="dxa"/>
            <w:bottom w:w="0" w:type="dxa"/>
            <w:right w:w="0" w:type="dxa"/>
          </w:tblCellMar>
          <w:tblLook w:val="0000"/>
        </w:tblPrEx>
        <w:trPr>
          <w:trHeight w:val="560"/>
          <w:jc w:val="center"/>
        </w:trPr>
        <w:tc>
          <w:tcPr>
            <w:tcW w:w="658" w:type="dxa"/>
            <w:vMerge/>
            <w:vAlign w:val="center"/>
          </w:tcPr>
          <w:p>
            <w:pPr>
              <w:pStyle w:val="TableParagraph"/>
              <w:kinsoku w:val="0"/>
              <w:overflowPunct w:val="0"/>
              <w:adjustRightInd w:val="0"/>
              <w:snapToGrid w:val="0"/>
              <w:ind w:right="95"/>
              <w:jc w:val="center"/>
              <w:rPr>
                <w:rFonts w:ascii="仿宋" w:eastAsia="仿宋" w:hAnsi="仿宋" w:cs="仿宋" w:hint="eastAsia"/>
                <w:bCs/>
                <w:sz w:val="24"/>
                <w:szCs w:val="24"/>
              </w:rPr>
            </w:pPr>
          </w:p>
        </w:tc>
        <w:tc>
          <w:tcPr>
            <w:tcW w:w="2126" w:type="dxa"/>
            <w:vMerge/>
            <w:vAlign w:val="center"/>
          </w:tcPr>
          <w:p>
            <w:pPr>
              <w:adjustRightInd w:val="0"/>
              <w:snapToGrid w:val="0"/>
              <w:jc w:val="left"/>
              <w:rPr>
                <w:rFonts w:ascii="仿宋" w:eastAsia="仿宋" w:hAnsi="仿宋" w:cs="仿宋" w:hint="eastAsia"/>
                <w:bCs/>
              </w:rPr>
            </w:pPr>
          </w:p>
        </w:tc>
        <w:tc>
          <w:tcPr>
            <w:tcW w:w="1719" w:type="dxa"/>
            <w:vAlign w:val="center"/>
          </w:tcPr>
          <w:p>
            <w:pPr>
              <w:pStyle w:val="TableParagraph"/>
              <w:kinsoku w:val="0"/>
              <w:overflowPunct w:val="0"/>
              <w:adjustRightInd w:val="0"/>
              <w:snapToGrid w:val="0"/>
              <w:ind w:left="107"/>
              <w:rPr>
                <w:rFonts w:ascii="仿宋" w:eastAsia="仿宋" w:hAnsi="仿宋" w:cs="仿宋" w:hint="eastAsia"/>
                <w:bCs/>
                <w:sz w:val="24"/>
                <w:szCs w:val="24"/>
                <w:lang w:eastAsia="zh-CN"/>
              </w:rPr>
            </w:pPr>
            <w:r>
              <w:rPr>
                <w:rFonts w:ascii="仿宋" w:eastAsia="仿宋" w:hAnsi="仿宋" w:cs="仿宋" w:hint="eastAsia"/>
                <w:bCs/>
                <w:sz w:val="24"/>
                <w:szCs w:val="24"/>
                <w:lang w:eastAsia="zh-CN"/>
              </w:rPr>
              <w:t>射频电磁场辐射抗扰度（GB/T 17626.3-2006）</w:t>
            </w:r>
          </w:p>
        </w:tc>
        <w:tc>
          <w:tcPr>
            <w:tcW w:w="4863" w:type="dxa"/>
            <w:vAlign w:val="center"/>
          </w:tcPr>
          <w:p>
            <w:pPr>
              <w:pStyle w:val="TableParagraph"/>
              <w:kinsoku w:val="0"/>
              <w:overflowPunct w:val="0"/>
              <w:adjustRightInd w:val="0"/>
              <w:snapToGrid w:val="0"/>
              <w:ind w:left="107"/>
              <w:rPr>
                <w:rFonts w:ascii="仿宋" w:eastAsia="仿宋" w:hAnsi="仿宋" w:cs="仿宋" w:hint="eastAsia"/>
                <w:bCs/>
                <w:sz w:val="24"/>
                <w:szCs w:val="24"/>
              </w:rPr>
            </w:pPr>
            <w:r>
              <w:rPr>
                <w:rFonts w:ascii="仿宋" w:eastAsia="仿宋" w:hAnsi="仿宋" w:cs="仿宋" w:hint="eastAsia"/>
                <w:bCs/>
                <w:sz w:val="24"/>
                <w:szCs w:val="24"/>
              </w:rPr>
              <w:t>80MHz～1000 MHz，3V/m，80</w:t>
            </w:r>
            <w:r>
              <w:rPr>
                <w:rFonts w:ascii="仿宋" w:eastAsia="仿宋" w:hAnsi="仿宋" w:cs="仿宋" w:hint="eastAsia"/>
                <w:bCs/>
                <w:sz w:val="24"/>
                <w:szCs w:val="24"/>
              </w:rPr>
              <w:t>﹪</w:t>
            </w:r>
            <w:r>
              <w:rPr>
                <w:rFonts w:ascii="仿宋" w:eastAsia="仿宋" w:hAnsi="仿宋" w:cs="仿宋" w:hint="eastAsia"/>
                <w:bCs/>
                <w:sz w:val="24"/>
                <w:szCs w:val="24"/>
              </w:rPr>
              <w:t>AM（1KHz）</w:t>
            </w:r>
          </w:p>
        </w:tc>
      </w:tr>
      <w:tr>
        <w:tblPrEx>
          <w:tblW w:w="9366" w:type="dxa"/>
          <w:jc w:val="center"/>
          <w:tblLayout w:type="fixed"/>
          <w:tblCellMar>
            <w:top w:w="0" w:type="dxa"/>
            <w:left w:w="0" w:type="dxa"/>
            <w:bottom w:w="0" w:type="dxa"/>
            <w:right w:w="0" w:type="dxa"/>
          </w:tblCellMar>
          <w:tblLook w:val="0000"/>
        </w:tblPrEx>
        <w:trPr>
          <w:trHeight w:val="560"/>
          <w:jc w:val="center"/>
        </w:trPr>
        <w:tc>
          <w:tcPr>
            <w:tcW w:w="658" w:type="dxa"/>
            <w:vMerge/>
            <w:vAlign w:val="center"/>
          </w:tcPr>
          <w:p>
            <w:pPr>
              <w:pStyle w:val="TableParagraph"/>
              <w:kinsoku w:val="0"/>
              <w:overflowPunct w:val="0"/>
              <w:adjustRightInd w:val="0"/>
              <w:snapToGrid w:val="0"/>
              <w:ind w:right="95"/>
              <w:jc w:val="center"/>
              <w:rPr>
                <w:rFonts w:ascii="仿宋" w:eastAsia="仿宋" w:hAnsi="仿宋" w:cs="仿宋" w:hint="eastAsia"/>
                <w:bCs/>
                <w:sz w:val="24"/>
                <w:szCs w:val="24"/>
              </w:rPr>
            </w:pPr>
          </w:p>
        </w:tc>
        <w:tc>
          <w:tcPr>
            <w:tcW w:w="2126" w:type="dxa"/>
            <w:vMerge/>
            <w:vAlign w:val="center"/>
          </w:tcPr>
          <w:p>
            <w:pPr>
              <w:adjustRightInd w:val="0"/>
              <w:snapToGrid w:val="0"/>
              <w:jc w:val="left"/>
              <w:rPr>
                <w:rFonts w:ascii="仿宋" w:eastAsia="仿宋" w:hAnsi="仿宋" w:cs="仿宋" w:hint="eastAsia"/>
                <w:bCs/>
              </w:rPr>
            </w:pPr>
          </w:p>
        </w:tc>
        <w:tc>
          <w:tcPr>
            <w:tcW w:w="1719" w:type="dxa"/>
            <w:vAlign w:val="center"/>
          </w:tcPr>
          <w:p>
            <w:pPr>
              <w:pStyle w:val="TableParagraph"/>
              <w:kinsoku w:val="0"/>
              <w:overflowPunct w:val="0"/>
              <w:adjustRightInd w:val="0"/>
              <w:snapToGrid w:val="0"/>
              <w:ind w:left="107"/>
              <w:rPr>
                <w:rFonts w:ascii="仿宋" w:eastAsia="仿宋" w:hAnsi="仿宋" w:cs="仿宋" w:hint="eastAsia"/>
                <w:bCs/>
                <w:sz w:val="24"/>
                <w:szCs w:val="24"/>
                <w:lang w:eastAsia="zh-CN"/>
              </w:rPr>
            </w:pPr>
            <w:r>
              <w:rPr>
                <w:rFonts w:ascii="仿宋" w:eastAsia="仿宋" w:hAnsi="仿宋" w:cs="仿宋" w:hint="eastAsia"/>
                <w:bCs/>
                <w:sz w:val="24"/>
                <w:szCs w:val="24"/>
                <w:lang w:eastAsia="zh-CN"/>
              </w:rPr>
              <w:t>静电放电抗扰度（GB/T 17626.2-2006）</w:t>
            </w:r>
          </w:p>
        </w:tc>
        <w:tc>
          <w:tcPr>
            <w:tcW w:w="4863" w:type="dxa"/>
            <w:vAlign w:val="center"/>
          </w:tcPr>
          <w:p>
            <w:pPr>
              <w:pStyle w:val="TableParagraph"/>
              <w:kinsoku w:val="0"/>
              <w:overflowPunct w:val="0"/>
              <w:adjustRightInd w:val="0"/>
              <w:snapToGrid w:val="0"/>
              <w:ind w:left="107"/>
              <w:rPr>
                <w:rFonts w:ascii="仿宋" w:eastAsia="仿宋" w:hAnsi="仿宋" w:cs="仿宋" w:hint="eastAsia"/>
                <w:bCs/>
                <w:sz w:val="24"/>
                <w:szCs w:val="24"/>
                <w:lang w:eastAsia="zh-CN"/>
              </w:rPr>
            </w:pPr>
            <w:r>
              <w:rPr>
                <w:rFonts w:ascii="仿宋" w:eastAsia="仿宋" w:hAnsi="仿宋" w:cs="仿宋" w:hint="eastAsia"/>
                <w:bCs/>
                <w:sz w:val="24"/>
                <w:szCs w:val="24"/>
                <w:lang w:eastAsia="zh-CN"/>
              </w:rPr>
              <w:t>接触放电：</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4KV，空气放电：</w:t>
            </w:r>
            <w:r>
              <w:rPr>
                <w:rFonts w:ascii="仿宋" w:eastAsia="仿宋" w:hAnsi="仿宋" w:cs="仿宋" w:hint="eastAsia"/>
                <w:bCs/>
                <w:sz w:val="24"/>
                <w:szCs w:val="24"/>
                <w:lang w:eastAsia="zh-CN"/>
              </w:rPr>
              <w:t>±</w:t>
            </w:r>
            <w:r>
              <w:rPr>
                <w:rFonts w:ascii="仿宋" w:eastAsia="仿宋" w:hAnsi="仿宋" w:cs="仿宋" w:hint="eastAsia"/>
                <w:bCs/>
                <w:sz w:val="24"/>
                <w:szCs w:val="24"/>
                <w:lang w:eastAsia="zh-CN"/>
              </w:rPr>
              <w:t>8KV</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restart"/>
            <w:vAlign w:val="center"/>
          </w:tcPr>
          <w:p>
            <w:pPr>
              <w:pStyle w:val="TableParagraph"/>
              <w:kinsoku w:val="0"/>
              <w:overflowPunct w:val="0"/>
              <w:adjustRightInd w:val="0"/>
              <w:snapToGrid w:val="0"/>
              <w:spacing w:before="40"/>
              <w:ind w:right="95"/>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31</w:t>
            </w:r>
          </w:p>
        </w:tc>
        <w:tc>
          <w:tcPr>
            <w:tcW w:w="2126" w:type="dxa"/>
            <w:vMerge w:val="restart"/>
            <w:vAlign w:val="center"/>
          </w:tcPr>
          <w:p>
            <w:pPr>
              <w:pStyle w:val="TableParagraph"/>
              <w:kinsoku w:val="0"/>
              <w:overflowPunct w:val="0"/>
              <w:adjustRightInd w:val="0"/>
              <w:snapToGrid w:val="0"/>
              <w:spacing w:before="133"/>
              <w:rPr>
                <w:rFonts w:ascii="仿宋" w:eastAsia="仿宋" w:hAnsi="仿宋" w:cs="仿宋" w:hint="eastAsia"/>
                <w:bCs/>
                <w:sz w:val="24"/>
                <w:szCs w:val="24"/>
              </w:rPr>
            </w:pPr>
            <w:r>
              <w:rPr>
                <w:rFonts w:ascii="仿宋" w:eastAsia="仿宋" w:hAnsi="仿宋" w:cs="仿宋" w:hint="eastAsia"/>
                <w:bCs/>
                <w:sz w:val="24"/>
                <w:szCs w:val="24"/>
              </w:rPr>
              <w:t>可靠性和维修性</w:t>
            </w:r>
          </w:p>
        </w:tc>
        <w:tc>
          <w:tcPr>
            <w:tcW w:w="1719" w:type="dxa"/>
            <w:vAlign w:val="center"/>
          </w:tcPr>
          <w:p>
            <w:pPr>
              <w:pStyle w:val="TableParagraph"/>
              <w:kinsoku w:val="0"/>
              <w:overflowPunct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平均无故障时间</w:t>
            </w:r>
          </w:p>
        </w:tc>
        <w:tc>
          <w:tcPr>
            <w:tcW w:w="4863" w:type="dxa"/>
            <w:vAlign w:val="center"/>
          </w:tcPr>
          <w:p>
            <w:pPr>
              <w:pStyle w:val="TableParagraph"/>
              <w:kinsoku w:val="0"/>
              <w:overflowPunct w:val="0"/>
              <w:adjustRightInd w:val="0"/>
              <w:snapToGrid w:val="0"/>
              <w:spacing w:before="40"/>
              <w:ind w:left="107"/>
              <w:rPr>
                <w:rFonts w:ascii="仿宋" w:eastAsia="仿宋" w:hAnsi="仿宋" w:cs="仿宋" w:hint="eastAsia"/>
                <w:bCs/>
                <w:sz w:val="24"/>
                <w:szCs w:val="24"/>
              </w:rPr>
            </w:pPr>
            <w:r>
              <w:rPr>
                <w:rFonts w:ascii="仿宋" w:eastAsia="仿宋" w:hAnsi="仿宋" w:cs="仿宋" w:hint="eastAsia"/>
                <w:bCs/>
                <w:sz w:val="24"/>
                <w:szCs w:val="24"/>
              </w:rPr>
              <w:t>MTBF</w:t>
            </w:r>
            <w:r>
              <w:rPr>
                <w:rFonts w:ascii="仿宋" w:eastAsia="仿宋" w:hAnsi="仿宋" w:cs="仿宋" w:hint="eastAsia"/>
                <w:bCs/>
                <w:sz w:val="24"/>
                <w:szCs w:val="24"/>
              </w:rPr>
              <w:t>≥</w:t>
            </w:r>
            <w:r>
              <w:rPr>
                <w:rFonts w:ascii="仿宋" w:eastAsia="仿宋" w:hAnsi="仿宋" w:cs="仿宋" w:hint="eastAsia"/>
                <w:bCs/>
                <w:sz w:val="24"/>
                <w:szCs w:val="24"/>
              </w:rPr>
              <w:t>2000h</w:t>
            </w:r>
          </w:p>
        </w:tc>
      </w:tr>
      <w:tr>
        <w:tblPrEx>
          <w:tblW w:w="9366" w:type="dxa"/>
          <w:jc w:val="center"/>
          <w:tblLayout w:type="fixed"/>
          <w:tblCellMar>
            <w:top w:w="0" w:type="dxa"/>
            <w:left w:w="0" w:type="dxa"/>
            <w:bottom w:w="0" w:type="dxa"/>
            <w:right w:w="0" w:type="dxa"/>
          </w:tblCellMar>
          <w:tblLook w:val="0000"/>
        </w:tblPrEx>
        <w:trPr>
          <w:trHeight w:val="312"/>
          <w:jc w:val="center"/>
        </w:trPr>
        <w:tc>
          <w:tcPr>
            <w:tcW w:w="658" w:type="dxa"/>
            <w:vMerge/>
            <w:vAlign w:val="center"/>
          </w:tcPr>
          <w:p>
            <w:pPr>
              <w:pStyle w:val="TableParagraph"/>
              <w:kinsoku w:val="0"/>
              <w:overflowPunct w:val="0"/>
              <w:adjustRightInd w:val="0"/>
              <w:snapToGrid w:val="0"/>
              <w:spacing w:before="42"/>
              <w:ind w:right="95"/>
              <w:jc w:val="center"/>
              <w:rPr>
                <w:rFonts w:ascii="仿宋" w:eastAsia="仿宋" w:hAnsi="仿宋" w:cs="仿宋" w:hint="eastAsia"/>
                <w:bCs/>
                <w:sz w:val="24"/>
                <w:szCs w:val="24"/>
              </w:rPr>
            </w:pPr>
          </w:p>
        </w:tc>
        <w:tc>
          <w:tcPr>
            <w:tcW w:w="2126" w:type="dxa"/>
            <w:vMerge/>
            <w:vAlign w:val="center"/>
          </w:tcPr>
          <w:p>
            <w:pPr>
              <w:adjustRightInd w:val="0"/>
              <w:snapToGrid w:val="0"/>
              <w:jc w:val="left"/>
              <w:rPr>
                <w:rFonts w:ascii="仿宋" w:eastAsia="仿宋" w:hAnsi="仿宋" w:cs="仿宋" w:hint="eastAsia"/>
                <w:bCs/>
              </w:rPr>
            </w:pPr>
          </w:p>
        </w:tc>
        <w:tc>
          <w:tcPr>
            <w:tcW w:w="1719" w:type="dxa"/>
            <w:vAlign w:val="center"/>
          </w:tcPr>
          <w:p>
            <w:pPr>
              <w:pStyle w:val="TableParagraph"/>
              <w:kinsoku w:val="0"/>
              <w:overflowPunct w:val="0"/>
              <w:adjustRightInd w:val="0"/>
              <w:snapToGrid w:val="0"/>
              <w:spacing w:before="42"/>
              <w:ind w:left="107"/>
              <w:rPr>
                <w:rFonts w:ascii="仿宋" w:eastAsia="仿宋" w:hAnsi="仿宋" w:cs="仿宋" w:hint="eastAsia"/>
                <w:bCs/>
                <w:sz w:val="24"/>
                <w:szCs w:val="24"/>
              </w:rPr>
            </w:pPr>
            <w:r>
              <w:rPr>
                <w:rFonts w:ascii="仿宋" w:eastAsia="仿宋" w:hAnsi="仿宋" w:cs="仿宋" w:hint="eastAsia"/>
                <w:bCs/>
                <w:sz w:val="24"/>
                <w:szCs w:val="24"/>
              </w:rPr>
              <w:t>平均故障修复时间</w:t>
            </w:r>
          </w:p>
        </w:tc>
        <w:tc>
          <w:tcPr>
            <w:tcW w:w="4863" w:type="dxa"/>
            <w:vAlign w:val="center"/>
          </w:tcPr>
          <w:p>
            <w:pPr>
              <w:pStyle w:val="TableParagraph"/>
              <w:kinsoku w:val="0"/>
              <w:overflowPunct w:val="0"/>
              <w:adjustRightInd w:val="0"/>
              <w:snapToGrid w:val="0"/>
              <w:spacing w:before="42"/>
              <w:ind w:left="107"/>
              <w:rPr>
                <w:rFonts w:ascii="仿宋" w:eastAsia="仿宋" w:hAnsi="仿宋" w:cs="仿宋" w:hint="eastAsia"/>
                <w:bCs/>
                <w:sz w:val="24"/>
                <w:szCs w:val="24"/>
              </w:rPr>
            </w:pPr>
            <w:r>
              <w:rPr>
                <w:rFonts w:ascii="仿宋" w:eastAsia="仿宋" w:hAnsi="仿宋" w:cs="仿宋" w:hint="eastAsia"/>
                <w:bCs/>
                <w:sz w:val="24"/>
                <w:szCs w:val="24"/>
              </w:rPr>
              <w:t>MTTR</w:t>
            </w:r>
            <w:r>
              <w:rPr>
                <w:rFonts w:ascii="仿宋" w:eastAsia="仿宋" w:hAnsi="仿宋" w:cs="仿宋" w:hint="eastAsia"/>
                <w:bCs/>
                <w:sz w:val="24"/>
                <w:szCs w:val="24"/>
              </w:rPr>
              <w:t>≤</w:t>
            </w:r>
            <w:r>
              <w:rPr>
                <w:rFonts w:ascii="仿宋" w:eastAsia="仿宋" w:hAnsi="仿宋" w:cs="仿宋" w:hint="eastAsia"/>
                <w:bCs/>
                <w:sz w:val="24"/>
                <w:szCs w:val="24"/>
              </w:rPr>
              <w:t>0.5h</w:t>
            </w:r>
          </w:p>
        </w:tc>
      </w:tr>
      <w:tr>
        <w:tblPrEx>
          <w:tblW w:w="9366" w:type="dxa"/>
          <w:jc w:val="center"/>
          <w:tblLayout w:type="fixed"/>
          <w:tblCellMar>
            <w:top w:w="0" w:type="dxa"/>
            <w:left w:w="0" w:type="dxa"/>
            <w:bottom w:w="0" w:type="dxa"/>
            <w:right w:w="0" w:type="dxa"/>
          </w:tblCellMar>
          <w:tblLook w:val="0000"/>
        </w:tblPrEx>
        <w:trPr>
          <w:trHeight w:val="311"/>
          <w:jc w:val="center"/>
        </w:trPr>
        <w:tc>
          <w:tcPr>
            <w:tcW w:w="658" w:type="dxa"/>
            <w:vAlign w:val="center"/>
          </w:tcPr>
          <w:p>
            <w:pPr>
              <w:pStyle w:val="TableParagraph"/>
              <w:kinsoku w:val="0"/>
              <w:overflowPunct w:val="0"/>
              <w:adjustRightInd w:val="0"/>
              <w:snapToGrid w:val="0"/>
              <w:spacing w:before="41"/>
              <w:ind w:right="95"/>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32</w:t>
            </w:r>
          </w:p>
        </w:tc>
        <w:tc>
          <w:tcPr>
            <w:tcW w:w="2126" w:type="dxa"/>
            <w:vAlign w:val="center"/>
          </w:tcPr>
          <w:p>
            <w:pPr>
              <w:adjustRightInd w:val="0"/>
              <w:snapToGrid w:val="0"/>
              <w:jc w:val="left"/>
              <w:rPr>
                <w:rFonts w:ascii="仿宋" w:eastAsia="仿宋" w:hAnsi="仿宋" w:cs="仿宋" w:hint="eastAsia"/>
                <w:bCs/>
              </w:rPr>
            </w:pPr>
            <w:r>
              <w:rPr>
                <w:rFonts w:ascii="仿宋" w:eastAsia="仿宋" w:hAnsi="仿宋" w:cs="仿宋" w:hint="eastAsia"/>
                <w:bCs/>
                <w:sz w:val="24"/>
              </w:rPr>
              <w:t>连续工作时间</w:t>
            </w:r>
          </w:p>
        </w:tc>
        <w:tc>
          <w:tcPr>
            <w:tcW w:w="6582" w:type="dxa"/>
            <w:gridSpan w:val="2"/>
            <w:vAlign w:val="center"/>
          </w:tcPr>
          <w:p>
            <w:pPr>
              <w:pStyle w:val="TableParagraph"/>
              <w:kinsoku w:val="0"/>
              <w:overflowPunct w:val="0"/>
              <w:adjustRightInd w:val="0"/>
              <w:snapToGrid w:val="0"/>
              <w:spacing w:before="41"/>
              <w:ind w:left="107"/>
              <w:rPr>
                <w:rFonts w:ascii="仿宋" w:eastAsia="仿宋" w:hAnsi="仿宋" w:cs="仿宋" w:hint="eastAsia"/>
                <w:bCs/>
                <w:spacing w:val="-10"/>
                <w:sz w:val="24"/>
                <w:szCs w:val="24"/>
              </w:rPr>
            </w:pPr>
            <w:r>
              <w:rPr>
                <w:rFonts w:ascii="仿宋" w:eastAsia="仿宋" w:hAnsi="仿宋" w:cs="仿宋" w:hint="eastAsia"/>
                <w:bCs/>
                <w:spacing w:val="-23"/>
                <w:sz w:val="24"/>
                <w:szCs w:val="24"/>
              </w:rPr>
              <w:t>可</w:t>
            </w:r>
            <w:r>
              <w:rPr>
                <w:rFonts w:ascii="仿宋" w:eastAsia="仿宋" w:hAnsi="仿宋" w:cs="仿宋" w:hint="eastAsia"/>
                <w:bCs/>
                <w:sz w:val="24"/>
                <w:szCs w:val="24"/>
              </w:rPr>
              <w:t>24h</w:t>
            </w:r>
            <w:r>
              <w:rPr>
                <w:rFonts w:ascii="仿宋" w:eastAsia="仿宋" w:hAnsi="仿宋" w:cs="仿宋" w:hint="eastAsia"/>
                <w:bCs/>
                <w:spacing w:val="-10"/>
                <w:sz w:val="24"/>
                <w:szCs w:val="24"/>
              </w:rPr>
              <w:t>连续工作</w:t>
            </w:r>
          </w:p>
        </w:tc>
      </w:tr>
      <w:tr>
        <w:tblPrEx>
          <w:tblW w:w="9366" w:type="dxa"/>
          <w:jc w:val="center"/>
          <w:tblLayout w:type="fixed"/>
          <w:tblCellMar>
            <w:top w:w="0" w:type="dxa"/>
            <w:left w:w="0" w:type="dxa"/>
            <w:bottom w:w="0" w:type="dxa"/>
            <w:right w:w="0" w:type="dxa"/>
          </w:tblCellMar>
          <w:tblLook w:val="0000"/>
        </w:tblPrEx>
        <w:trPr>
          <w:trHeight w:val="311"/>
          <w:jc w:val="center"/>
        </w:trPr>
        <w:tc>
          <w:tcPr>
            <w:tcW w:w="658" w:type="dxa"/>
            <w:vAlign w:val="center"/>
          </w:tcPr>
          <w:p>
            <w:pPr>
              <w:pStyle w:val="TableParagraph"/>
              <w:kinsoku w:val="0"/>
              <w:overflowPunct w:val="0"/>
              <w:adjustRightInd w:val="0"/>
              <w:snapToGrid w:val="0"/>
              <w:spacing w:before="41"/>
              <w:ind w:right="95"/>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33</w:t>
            </w:r>
          </w:p>
        </w:tc>
        <w:tc>
          <w:tcPr>
            <w:tcW w:w="2126" w:type="dxa"/>
            <w:vAlign w:val="center"/>
          </w:tcPr>
          <w:p>
            <w:pPr>
              <w:adjustRightInd w:val="0"/>
              <w:snapToGrid w:val="0"/>
              <w:jc w:val="left"/>
              <w:rPr>
                <w:rFonts w:ascii="仿宋" w:eastAsia="仿宋" w:hAnsi="仿宋" w:cs="仿宋" w:hint="eastAsia"/>
                <w:bCs/>
              </w:rPr>
            </w:pPr>
            <w:r>
              <w:rPr>
                <w:rFonts w:ascii="仿宋" w:eastAsia="仿宋" w:hAnsi="仿宋" w:cs="仿宋" w:hint="eastAsia"/>
                <w:sz w:val="24"/>
                <w:highlight w:val="yellow"/>
              </w:rPr>
              <w:t>#自定标功能</w:t>
            </w:r>
          </w:p>
        </w:tc>
        <w:tc>
          <w:tcPr>
            <w:tcW w:w="6582" w:type="dxa"/>
            <w:gridSpan w:val="2"/>
            <w:vAlign w:val="center"/>
          </w:tcPr>
          <w:p>
            <w:pPr>
              <w:pStyle w:val="TableParagraph"/>
              <w:kinsoku w:val="0"/>
              <w:overflowPunct w:val="0"/>
              <w:adjustRightInd w:val="0"/>
              <w:snapToGrid w:val="0"/>
              <w:spacing w:before="41"/>
              <w:ind w:left="107"/>
              <w:rPr>
                <w:rFonts w:ascii="仿宋" w:eastAsia="仿宋" w:hAnsi="仿宋" w:cs="仿宋" w:hint="eastAsia"/>
                <w:bCs/>
                <w:spacing w:val="-23"/>
                <w:sz w:val="24"/>
                <w:szCs w:val="24"/>
                <w:lang w:eastAsia="zh-CN"/>
              </w:rPr>
            </w:pPr>
            <w:r>
              <w:rPr>
                <w:rFonts w:ascii="仿宋" w:eastAsia="仿宋" w:hAnsi="仿宋" w:cs="仿宋" w:hint="eastAsia"/>
                <w:sz w:val="24"/>
                <w:szCs w:val="24"/>
                <w:lang w:eastAsia="zh-CN"/>
              </w:rPr>
              <w:t>具有发射功率和强度的自定标功能</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4.1技术服务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（4）设备供应商每年对每套投标产品提供1次巡检服务，巡检时间及地点根据设备安装地点双方协商确定。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4.2质保期服务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汛前巡检、年维护等巡检巡查工作，以及关键器件及系统故障的维修等。故障维修和巡检巡查等需按照《2022年度补短板工程新上设备建设及质保指导意见（地基遥感垂直观测系统）》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bookmarkStart w:id="61" w:name="_Hlk168594784"/>
      <w:r>
        <w:rPr>
          <w:rFonts w:ascii="仿宋" w:eastAsia="仿宋" w:hAnsi="仿宋" w:cs="仿宋" w:hint="eastAsia"/>
          <w:sz w:val="28"/>
          <w:szCs w:val="20"/>
        </w:rPr>
        <w:t>参照《全固态Ka波段毫米波测云仪（基本型）功能规格需求书(修订版)》《全固态Ka波段毫米波测云仪（基本型）测试大纲》和《地基遥感垂直观测系统测试大纲》以及中国气象局最新业务管理规定等有关文件要求开展检验考核。</w:t>
      </w:r>
    </w:p>
    <w:p>
      <w:pPr>
        <w:spacing w:line="560" w:lineRule="exact"/>
        <w:ind w:firstLine="560" w:firstLineChars="200"/>
        <w:rPr>
          <w:rFonts w:ascii="仿宋" w:eastAsia="仿宋" w:hAnsi="仿宋" w:cs="仿宋" w:hint="eastAsia"/>
          <w:sz w:val="28"/>
          <w:szCs w:val="20"/>
        </w:rPr>
      </w:pPr>
      <w:bookmarkEnd w:id="61"/>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ind w:firstLine="420" w:firstLineChars="200"/>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毫米波测云仪</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2,700,000.00</w:t>
            </w:r>
          </w:p>
        </w:tc>
        <w:tc>
          <w:tcPr/>
          <w:p>
            <w:pPr>
              <w:autoSpaceDE w:val="0"/>
              <w:jc w:val="center"/>
              <w:rPr>
                <w:rFonts w:asciiTheme="minorEastAsia" w:hAnsiTheme="minorEastAsia" w:cstheme="minorEastAsia" w:hint="eastAsia"/>
                <w:kern w:val="0"/>
                <w:szCs w:val="21"/>
              </w:rPr>
            </w:pPr>
            <w:r>
              <w:t>150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2,700,000.00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90"/>
        <w:gridCol w:w="1513"/>
        <w:gridCol w:w="889"/>
        <w:gridCol w:w="390"/>
        <w:gridCol w:w="889"/>
        <w:gridCol w:w="677"/>
        <w:gridCol w:w="639"/>
        <w:gridCol w:w="31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保障中心</w:t>
            </w:r>
          </w:p>
        </w:tc>
        <w:tc>
          <w:tcPr/>
          <w:p>
            <w:r>
              <w:t>毫米波测云仪</w:t>
            </w:r>
          </w:p>
        </w:tc>
        <w:tc>
          <w:tcPr/>
          <w:p>
            <w:r>
              <w:t>1</w:t>
            </w:r>
          </w:p>
        </w:tc>
        <w:tc>
          <w:tcPr/>
          <w:p>
            <w:r>
              <w:t>900000.00</w:t>
            </w:r>
          </w:p>
        </w:tc>
        <w:tc>
          <w:tcPr/>
          <w:p>
            <w:r>
              <w:t xml:space="preserve">900000.00  </w:t>
            </w:r>
          </w:p>
        </w:tc>
        <w:tc>
          <w:tcPr/>
          <w:p>
            <w:r>
              <w:t>大连</w:t>
            </w:r>
          </w:p>
        </w:tc>
        <w:tc>
          <w:tcPr/>
          <w:p>
            <w:r>
              <w:t>采购人全称：大连市气象装备保障中心，联系人： 刘广强 13842680510</w:t>
            </w:r>
          </w:p>
        </w:tc>
      </w:tr>
      <w:tr>
        <w:tblPrEx>
          <w:tblW w:w="5000" w:type="pct"/>
          <w:tblCellMar>
            <w:left w:w="108" w:type="dxa"/>
            <w:right w:w="108" w:type="dxa"/>
          </w:tblCellMar>
        </w:tblPrEx>
        <w:tc>
          <w:tcPr/>
          <w:p>
            <w:r>
              <w:t>2</w:t>
            </w:r>
          </w:p>
        </w:tc>
        <w:tc>
          <w:tcPr/>
          <w:p>
            <w:r>
              <w:t>灾防中心</w:t>
            </w:r>
          </w:p>
        </w:tc>
        <w:tc>
          <w:tcPr/>
          <w:p>
            <w:r>
              <w:t>毫米波测云仪</w:t>
            </w:r>
          </w:p>
        </w:tc>
        <w:tc>
          <w:tcPr/>
          <w:p>
            <w:r>
              <w:t>1</w:t>
            </w:r>
          </w:p>
        </w:tc>
        <w:tc>
          <w:tcPr/>
          <w:p>
            <w:r>
              <w:t>900000.00</w:t>
            </w:r>
          </w:p>
        </w:tc>
        <w:tc>
          <w:tcPr/>
          <w:p>
            <w:r>
              <w:t xml:space="preserve">900000.00 </w:t>
            </w:r>
          </w:p>
        </w:tc>
        <w:tc>
          <w:tcPr/>
          <w:p>
            <w:r>
              <w:t>厦门</w:t>
            </w:r>
          </w:p>
        </w:tc>
        <w:tc>
          <w:tcPr/>
          <w:p>
            <w:r>
              <w:t>采购人全称：厦门市气象灾害防御技术中心。联系人： 陈赛 15105972580</w:t>
            </w:r>
          </w:p>
        </w:tc>
      </w:tr>
      <w:tr>
        <w:tblPrEx>
          <w:tblW w:w="5000" w:type="pct"/>
          <w:tblCellMar>
            <w:left w:w="108" w:type="dxa"/>
            <w:right w:w="108" w:type="dxa"/>
          </w:tblCellMar>
        </w:tblPrEx>
        <w:tc>
          <w:tcPr/>
          <w:p>
            <w:r>
              <w:t>3</w:t>
            </w:r>
          </w:p>
        </w:tc>
        <w:tc>
          <w:tcPr/>
          <w:p>
            <w:r>
              <w:t>青岛市气象综合保障中心</w:t>
            </w:r>
          </w:p>
        </w:tc>
        <w:tc>
          <w:tcPr/>
          <w:p>
            <w:r>
              <w:t>毫米波测云仪</w:t>
            </w:r>
          </w:p>
        </w:tc>
        <w:tc>
          <w:tcPr/>
          <w:p>
            <w:r>
              <w:t>1</w:t>
            </w:r>
          </w:p>
        </w:tc>
        <w:tc>
          <w:tcPr/>
          <w:p>
            <w:r>
              <w:t>900000.00</w:t>
            </w:r>
          </w:p>
        </w:tc>
        <w:tc>
          <w:tcPr/>
          <w:p>
            <w:r>
              <w:t xml:space="preserve">900000.00  </w:t>
            </w:r>
          </w:p>
        </w:tc>
        <w:tc>
          <w:tcPr/>
          <w:p>
            <w:r>
              <w:t>青岛</w:t>
            </w:r>
          </w:p>
        </w:tc>
        <w:tc>
          <w:tcPr/>
          <w:p>
            <w:r>
              <w:t>采购人全称：青岛市气象中保障中心，联系人：李航 0532-82791087</w:t>
            </w: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依据</w:t>
      </w:r>
      <w:r>
        <w:rPr>
          <w:rFonts w:ascii="仿宋" w:eastAsia="仿宋" w:hAnsi="仿宋" w:cs="仿宋" w:hint="eastAsia"/>
          <w:sz w:val="28"/>
          <w:szCs w:val="20"/>
          <w:lang w:val="en-US" w:eastAsia="zh-CN"/>
        </w:rPr>
        <w:t>中国气象局《综合气象观测业务发展“十四五”规划》，对标“监测精密”要求，需优化监测站网布局，</w:t>
      </w:r>
      <w:r>
        <w:rPr>
          <w:rFonts w:ascii="仿宋" w:eastAsia="仿宋" w:hAnsi="仿宋" w:cs="仿宋" w:hint="eastAsia"/>
          <w:sz w:val="28"/>
          <w:szCs w:val="20"/>
          <w:lang w:val="en-US" w:eastAsia="zh-CN"/>
        </w:rPr>
        <w:t>弥补监测盲区，分别在青岛、大连、厦门建设1套毫米波测云仪，连续观测云的水平和垂直结构变化，获取云底、云顶、云厚等宏观参数和反射率、速度、谱宽等微观参数；根据雷达反射率反演云粒子有效半径、数浓度和云中液态水含量等，为天气系统的识别提供有力支撑，有效地提高强对流等灾害性天气的预报水平。</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5</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甲方指定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5</w:t>
      </w:r>
      <w:r>
        <w:rPr>
          <w:rFonts w:ascii="仿宋" w:eastAsia="仿宋" w:hAnsi="仿宋" w:cs="仿宋" w:hint="eastAsia"/>
          <w:sz w:val="28"/>
          <w:szCs w:val="20"/>
        </w:rPr>
        <w:t>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w:t>
      </w:r>
      <w:r>
        <w:rPr>
          <w:rFonts w:ascii="仿宋" w:eastAsia="仿宋" w:hAnsi="仿宋" w:cs="仿宋" w:hint="eastAsia"/>
          <w:sz w:val="28"/>
          <w:szCs w:val="20"/>
          <w:lang w:val="en-US" w:eastAsia="zh-CN"/>
        </w:rPr>
        <w:t>国家局和省局的气象通讯</w:t>
      </w:r>
      <w:r>
        <w:rPr>
          <w:rFonts w:ascii="仿宋" w:eastAsia="仿宋" w:hAnsi="仿宋" w:cs="仿宋" w:hint="eastAsia"/>
          <w:sz w:val="28"/>
          <w:szCs w:val="20"/>
        </w:rPr>
        <w:t>协议，可无缝接入</w:t>
      </w:r>
      <w:r>
        <w:rPr>
          <w:rFonts w:ascii="仿宋" w:eastAsia="仿宋" w:hAnsi="仿宋" w:cs="仿宋" w:hint="eastAsia"/>
          <w:sz w:val="28"/>
          <w:szCs w:val="20"/>
          <w:lang w:val="en-US" w:eastAsia="zh-CN"/>
        </w:rPr>
        <w:t>业务</w:t>
      </w:r>
      <w:r>
        <w:rPr>
          <w:rFonts w:ascii="仿宋" w:eastAsia="仿宋" w:hAnsi="仿宋" w:cs="仿宋" w:hint="eastAsia"/>
          <w:sz w:val="28"/>
          <w:szCs w:val="20"/>
        </w:rPr>
        <w:t>网络系统，实现与</w:t>
      </w:r>
      <w:r>
        <w:rPr>
          <w:rFonts w:ascii="仿宋" w:eastAsia="仿宋" w:hAnsi="仿宋" w:cs="仿宋" w:hint="eastAsia"/>
          <w:sz w:val="28"/>
          <w:szCs w:val="20"/>
          <w:lang w:val="en-US" w:eastAsia="zh-CN"/>
        </w:rPr>
        <w:t>国家局和省局</w:t>
      </w:r>
      <w:r>
        <w:rPr>
          <w:rFonts w:ascii="仿宋" w:eastAsia="仿宋" w:hAnsi="仿宋" w:cs="仿宋" w:hint="eastAsia"/>
          <w:sz w:val="28"/>
          <w:szCs w:val="20"/>
        </w:rPr>
        <w:t>网络系统、</w:t>
      </w:r>
      <w:r>
        <w:rPr>
          <w:rFonts w:ascii="仿宋" w:eastAsia="仿宋" w:hAnsi="仿宋" w:cs="仿宋" w:hint="eastAsia"/>
          <w:sz w:val="28"/>
          <w:szCs w:val="20"/>
          <w:lang w:val="en-US" w:eastAsia="zh-CN"/>
        </w:rPr>
        <w:t>国家局天衡天衍</w:t>
      </w:r>
      <w:r>
        <w:rPr>
          <w:rFonts w:ascii="仿宋" w:eastAsia="仿宋" w:hAnsi="仿宋" w:cs="仿宋" w:hint="eastAsia"/>
          <w:sz w:val="28"/>
          <w:szCs w:val="20"/>
        </w:rPr>
        <w:t>平台无缝接入，完全符合甲方相关要求和规范，保证其系统的兼容性和功能的完整性。</w:t>
      </w: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D04945">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04945">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597"/>
      </w:tblGrid>
      <w:tr w:rsidTr="00871E20">
        <w:tblPrEx>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04945">
            <w:pPr>
              <w:rPr>
                <w:sz w:val="18"/>
                <w:szCs w:val="18"/>
              </w:rPr>
            </w:pPr>
            <w:r>
              <w:rPr>
                <w:rFonts w:hint="eastAsia"/>
                <w:sz w:val="18"/>
                <w:szCs w:val="18"/>
              </w:rPr>
              <w:t>序号</w:t>
            </w:r>
          </w:p>
        </w:tc>
        <w:tc>
          <w:tcPr>
            <w:tcW w:w="898" w:type="dxa"/>
            <w:vAlign w:val="center"/>
          </w:tcPr>
          <w:p w:rsidR="00D04945">
            <w:pPr>
              <w:jc w:val="center"/>
              <w:rPr>
                <w:sz w:val="18"/>
                <w:szCs w:val="18"/>
              </w:rPr>
            </w:pPr>
            <w:r>
              <w:rPr>
                <w:rFonts w:hint="eastAsia"/>
                <w:sz w:val="18"/>
                <w:szCs w:val="18"/>
              </w:rPr>
              <w:t>对应</w:t>
            </w:r>
          </w:p>
          <w:p w:rsidR="00D04945">
            <w:pPr>
              <w:jc w:val="center"/>
              <w:rPr>
                <w:sz w:val="18"/>
                <w:szCs w:val="18"/>
              </w:rPr>
            </w:pPr>
            <w:r>
              <w:rPr>
                <w:rFonts w:hint="eastAsia"/>
                <w:sz w:val="18"/>
                <w:szCs w:val="18"/>
              </w:rPr>
              <w:t>条款号</w:t>
            </w:r>
          </w:p>
        </w:tc>
        <w:tc>
          <w:tcPr>
            <w:tcW w:w="7597" w:type="dxa"/>
            <w:vAlign w:val="center"/>
          </w:tcPr>
          <w:p w:rsidR="00D04945">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71E20">
        <w:tblPrEx>
          <w:tblW w:w="9039" w:type="dxa"/>
          <w:tblLayout w:type="fixed"/>
          <w:tblLook w:val="04A0"/>
        </w:tblPrEx>
        <w:trPr>
          <w:cantSplit/>
        </w:trPr>
        <w:tc>
          <w:tcPr>
            <w:tcW w:w="9039" w:type="dxa"/>
            <w:gridSpan w:val="3"/>
            <w:vAlign w:val="center"/>
          </w:tcPr>
          <w:p w:rsidR="00D04945">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71E20">
        <w:tblPrEx>
          <w:tblW w:w="9039" w:type="dxa"/>
          <w:tblLayout w:type="fixed"/>
          <w:tblLook w:val="04A0"/>
        </w:tblPrEx>
        <w:trPr>
          <w:cantSplit/>
        </w:trPr>
        <w:tc>
          <w:tcPr>
            <w:tcW w:w="544" w:type="dxa"/>
            <w:vAlign w:val="center"/>
          </w:tcPr>
          <w:p w:rsidR="00D04945">
            <w:pPr>
              <w:numPr>
                <w:ilvl w:val="0"/>
                <w:numId w:val="13"/>
              </w:numPr>
              <w:rPr>
                <w:rFonts w:ascii="宋体" w:hAnsi="宋体"/>
                <w:sz w:val="18"/>
                <w:szCs w:val="18"/>
              </w:rPr>
            </w:pPr>
          </w:p>
        </w:tc>
        <w:tc>
          <w:tcPr>
            <w:tcW w:w="898" w:type="dxa"/>
            <w:vAlign w:val="center"/>
          </w:tcPr>
          <w:p w:rsidR="00D04945" w:rsidP="00871E20">
            <w:pPr>
              <w:jc w:val="center"/>
              <w:rPr>
                <w:rFonts w:ascii="宋体" w:hAnsi="宋体"/>
                <w:sz w:val="18"/>
                <w:szCs w:val="18"/>
              </w:rPr>
            </w:pPr>
            <w:r>
              <w:rPr>
                <w:rFonts w:ascii="宋体" w:hAnsi="宋体" w:hint="eastAsia"/>
                <w:sz w:val="18"/>
                <w:szCs w:val="18"/>
              </w:rPr>
              <w:t>5</w:t>
            </w:r>
            <w:r w:rsidR="00871E20">
              <w:rPr>
                <w:rFonts w:ascii="宋体" w:hAnsi="宋体"/>
                <w:sz w:val="18"/>
                <w:szCs w:val="18"/>
              </w:rPr>
              <w:t>.7</w:t>
            </w:r>
          </w:p>
        </w:tc>
        <w:tc>
          <w:tcPr>
            <w:tcW w:w="7597" w:type="dxa"/>
          </w:tcPr>
          <w:p w:rsidR="00D04945" w:rsidP="00871E20">
            <w:pPr>
              <w:rPr>
                <w:rFonts w:ascii="宋体" w:hAnsi="宋体" w:cs="微软雅黑"/>
                <w:b/>
                <w:color w:val="0000FF"/>
                <w:kern w:val="0"/>
                <w:sz w:val="18"/>
                <w:szCs w:val="18"/>
              </w:rPr>
            </w:pPr>
            <w:r w:rsidRPr="00871E20">
              <w:rPr>
                <w:rFonts w:cs="微软雅黑" w:hint="eastAsia"/>
                <w:b/>
                <w:color w:val="0000FF"/>
                <w:kern w:val="0"/>
                <w:sz w:val="18"/>
                <w:szCs w:val="18"/>
              </w:rPr>
              <w:t>以下产品需要提供至投标截止日仍有效的《气象专用技术装备使用许可证》：</w:t>
            </w:r>
            <w:r w:rsidRPr="00871E20">
              <w:rPr>
                <w:rFonts w:cs="微软雅黑" w:hint="eastAsia"/>
                <w:b/>
                <w:color w:val="0000FF"/>
                <w:kern w:val="0"/>
                <w:sz w:val="18"/>
                <w:szCs w:val="18"/>
              </w:rPr>
              <w:t>1</w:t>
            </w:r>
            <w:r w:rsidRPr="00871E20">
              <w:rPr>
                <w:rFonts w:cs="微软雅黑" w:hint="eastAsia"/>
                <w:b/>
                <w:color w:val="0000FF"/>
                <w:kern w:val="0"/>
                <w:sz w:val="18"/>
                <w:szCs w:val="18"/>
              </w:rPr>
              <w:t>、毫米波测云仪</w:t>
            </w:r>
          </w:p>
        </w:tc>
      </w:tr>
      <w:tr w:rsidTr="00871E20">
        <w:tblPrEx>
          <w:tblW w:w="9039" w:type="dxa"/>
          <w:tblLayout w:type="fixed"/>
          <w:tblLook w:val="04A0"/>
        </w:tblPrEx>
        <w:trPr>
          <w:cantSplit/>
        </w:trPr>
        <w:tc>
          <w:tcPr>
            <w:tcW w:w="9039" w:type="dxa"/>
            <w:gridSpan w:val="3"/>
            <w:vAlign w:val="center"/>
          </w:tcPr>
          <w:p w:rsidR="00D04945">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871E20">
        <w:tblPrEx>
          <w:tblW w:w="9039" w:type="dxa"/>
          <w:tblLayout w:type="fixed"/>
          <w:tblLook w:val="04A0"/>
        </w:tblPrEx>
        <w:trPr>
          <w:cantSplit/>
        </w:trPr>
        <w:tc>
          <w:tcPr>
            <w:tcW w:w="544" w:type="dxa"/>
            <w:vAlign w:val="center"/>
          </w:tcPr>
          <w:p w:rsidR="00D04945">
            <w:pPr>
              <w:numPr>
                <w:ilvl w:val="0"/>
                <w:numId w:val="13"/>
              </w:numPr>
              <w:rPr>
                <w:rFonts w:ascii="宋体" w:hAnsi="宋体"/>
                <w:sz w:val="18"/>
                <w:szCs w:val="18"/>
              </w:rPr>
            </w:pPr>
          </w:p>
        </w:tc>
        <w:tc>
          <w:tcPr>
            <w:tcW w:w="898" w:type="dxa"/>
            <w:vAlign w:val="center"/>
          </w:tcPr>
          <w:p w:rsidR="00D04945">
            <w:pPr>
              <w:jc w:val="center"/>
              <w:rPr>
                <w:rFonts w:ascii="宋体" w:hAnsi="宋体"/>
                <w:sz w:val="18"/>
                <w:szCs w:val="18"/>
              </w:rPr>
            </w:pPr>
            <w:r>
              <w:rPr>
                <w:rFonts w:ascii="宋体" w:hAnsi="宋体"/>
                <w:sz w:val="18"/>
                <w:szCs w:val="18"/>
              </w:rPr>
              <w:t>4.2</w:t>
            </w:r>
          </w:p>
        </w:tc>
        <w:tc>
          <w:tcPr>
            <w:tcW w:w="7597" w:type="dxa"/>
            <w:vAlign w:val="center"/>
          </w:tcPr>
          <w:p w:rsidR="00D04945" w:rsidP="00871E20">
            <w:pPr>
              <w:rPr>
                <w:rFonts w:ascii="宋体" w:hAnsi="宋体"/>
                <w:sz w:val="18"/>
                <w:szCs w:val="18"/>
              </w:rPr>
            </w:pPr>
            <w:r w:rsidRPr="00871E20">
              <w:rPr>
                <w:rFonts w:cs="微软雅黑" w:hint="eastAsia"/>
                <w:b/>
                <w:color w:val="0000FF"/>
                <w:kern w:val="0"/>
                <w:sz w:val="18"/>
                <w:szCs w:val="18"/>
              </w:rPr>
              <w:t>设备供应商对所有设备提供自验收合格后</w:t>
            </w:r>
            <w:r w:rsidRPr="00871E20">
              <w:rPr>
                <w:rFonts w:cs="微软雅黑" w:hint="eastAsia"/>
                <w:b/>
                <w:color w:val="0000FF"/>
                <w:kern w:val="0"/>
                <w:sz w:val="18"/>
                <w:szCs w:val="18"/>
              </w:rPr>
              <w:t>8</w:t>
            </w:r>
            <w:r w:rsidRPr="00871E20">
              <w:rPr>
                <w:rFonts w:cs="微软雅黑" w:hint="eastAsia"/>
                <w:b/>
                <w:color w:val="0000FF"/>
                <w:kern w:val="0"/>
                <w:sz w:val="18"/>
                <w:szCs w:val="18"/>
              </w:rPr>
              <w:t>年的质保服务</w:t>
            </w:r>
            <w:r w:rsidRPr="00871E20">
              <w:rPr>
                <w:rFonts w:cs="微软雅黑" w:hint="eastAsia"/>
                <w:b/>
                <w:color w:val="0000FF"/>
                <w:kern w:val="0"/>
                <w:sz w:val="18"/>
                <w:szCs w:val="18"/>
              </w:rPr>
              <w:t>*</w:t>
            </w:r>
          </w:p>
        </w:tc>
      </w:tr>
    </w:tbl>
    <w:p w:rsidR="00D04945">
      <w:pPr>
        <w:spacing w:before="156" w:beforeLines="50" w:line="360" w:lineRule="auto"/>
        <w:ind w:firstLine="420"/>
      </w:pPr>
      <w:r>
        <w:rPr>
          <w:rFonts w:ascii="宋体" w:hAnsi="宋体" w:hint="eastAsia"/>
          <w:szCs w:val="21"/>
        </w:rPr>
        <w:t>注：根据项目具体情况，对投</w:t>
      </w:r>
      <w:r>
        <w:rPr>
          <w:rFonts w:ascii="宋体" w:hAnsi="宋体" w:hint="eastAsia"/>
          <w:szCs w:val="21"/>
        </w:rPr>
        <w:t>标人有具体要求，且投标人必须遵守的，逐条列出。</w:t>
      </w:r>
    </w:p>
    <w:p w:rsidR="00A77B3E"/>
    <w:p w:rsidR="00D04945">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yellow"/>
          <w:u w:val="single"/>
        </w:rPr>
        <w:t xml:space="preserve"> </w:t>
      </w:r>
      <w:r>
        <w:rPr>
          <w:rFonts w:ascii="宋体" w:hAnsi="宋体" w:hint="eastAsia"/>
          <w:szCs w:val="21"/>
          <w:highlight w:val="yellow"/>
          <w:u w:val="single"/>
          <w:lang w:val="en-US" w:eastAsia="zh-CN"/>
        </w:rPr>
        <w:t>合同签订、财政资金拨付到位后20个工作日内</w:t>
      </w:r>
      <w:r>
        <w:rPr>
          <w:rFonts w:ascii="宋体" w:hAnsi="宋体" w:hint="eastAsia"/>
          <w:szCs w:val="21"/>
          <w:highlight w:val="yellow"/>
          <w:u w:val="single"/>
        </w:rPr>
        <w:t>，</w:t>
      </w:r>
      <w:r>
        <w:rPr>
          <w:rFonts w:ascii="宋体" w:hAnsi="宋体" w:hint="eastAsia"/>
          <w:szCs w:val="21"/>
          <w:highlight w:val="yellow"/>
          <w:u w:val="single"/>
          <w:lang w:val="en-US" w:eastAsia="zh-CN"/>
        </w:rPr>
        <w:t>甲方向乙方支付合同总额的80%；合同设备运抵甲方指定地点并完成现场安装调试，双方签署现场验收报告后，甲方向乙方支付合同总额的20%；</w:t>
      </w:r>
      <w:r>
        <w:rPr>
          <w:rFonts w:ascii="宋体" w:hAnsi="宋体" w:hint="eastAsia"/>
          <w:szCs w:val="21"/>
          <w:highlight w:val="yellow"/>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1E20"/>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4945"/>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