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湖南绥宁2025年站网雷达工程S波段双线偏振多普勒天气雷达采购项目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ZQCD-26063</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2026年05月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湖南省邵阳市气象局</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湖南绥宁2025年站网雷达工程S波段双线偏振多普勒天气雷达采购项目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ZQCD-26063</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合同签订后180天内交货，并完成安装调试并具备验收条件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湖南省邵阳市</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2026年05月15日 14:00:00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卢介然</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68406642</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湖南省邵阳市气象局</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向桥顺</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0739-5331584</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湖南省邵阳市大祥区西湖南路延伸段南互通孙家山</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湖南省邵阳市气象局</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必须，以下产品需要提供至响应截止日仍有效的《气象专用技术装备使用许可证》：S波段多普勒天气雷达【许可证装备名称：S波段双线偏振多普勒天气雷达】</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  S波段双线偏振多普勒天气雷达  ，属于  工业  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是，中标服务费：4.8万元。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1,450.000000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1,450.000000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（三）技术性能指标                </w:t>
      </w:r>
    </w:p>
    <w:p>
      <w:pPr>
        <w:keepNext/>
        <w:widowControl w:val="0"/>
        <w:jc w:val="center"/>
        <w:rPr>
          <w:rFonts w:ascii="仿宋" w:eastAsia="仿宋" w:hAnsi="仿宋" w:cs="仿宋" w:hint="eastAsia"/>
          <w:sz w:val="28"/>
          <w:szCs w:val="28"/>
        </w:rPr>
      </w:pPr>
      <w:r>
        <w:rPr>
          <w:rFonts w:ascii="仿宋" w:eastAsia="仿宋" w:hAnsi="仿宋" w:cs="仿宋" w:hint="eastAsia"/>
          <w:kern w:val="2"/>
          <w:sz w:val="28"/>
          <w:szCs w:val="28"/>
          <w:lang w:val="en-US" w:eastAsia="zh-CN" w:bidi="ar-SA"/>
        </w:rPr>
        <w:t>表1 S波段双线偏振多普雷天气雷达技术性能指标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59"/>
        <w:gridCol w:w="484"/>
        <w:gridCol w:w="78"/>
        <w:gridCol w:w="147"/>
        <w:gridCol w:w="114"/>
        <w:gridCol w:w="781"/>
        <w:gridCol w:w="69"/>
        <w:gridCol w:w="28"/>
        <w:gridCol w:w="144"/>
        <w:gridCol w:w="1483"/>
        <w:gridCol w:w="2476"/>
        <w:gridCol w:w="174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40"/>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kern w:val="0"/>
              </w:rPr>
            </w:pPr>
            <w:r>
              <w:rPr>
                <w:rFonts w:ascii="仿宋" w:eastAsia="仿宋" w:hAnsi="仿宋" w:cs="仿宋" w:hint="eastAsia"/>
                <w:b/>
                <w:kern w:val="0"/>
                <w:sz w:val="24"/>
                <w:szCs w:val="24"/>
                <w:lang w:val="en-US" w:eastAsia="zh-CN" w:bidi="ar-SA"/>
              </w:rPr>
              <w:t>天线罩技术指标</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tcBorders>
              <w:top w:val="single" w:sz="4" w:space="0" w:color="auto"/>
              <w:left w:val="nil"/>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天线罩直径(m)</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11.8</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引入波束偏差(</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Merge w:val="restart"/>
            <w:tcBorders>
              <w:top w:val="single" w:sz="4" w:space="0" w:color="auto"/>
              <w:left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引入波束展宽(</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与天线口径比</w:t>
            </w:r>
          </w:p>
        </w:tc>
        <w:tc>
          <w:tcPr>
            <w:tcW w:w="247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引入交叉极化隔离度影响(dB)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双程射频损失(dB)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天线技术指标</w:t>
            </w:r>
          </w:p>
        </w:tc>
      </w:tr>
      <w:tr>
        <w:tblPrEx>
          <w:tblW w:w="0" w:type="auto"/>
          <w:jc w:val="center"/>
          <w:tblCellMar>
            <w:top w:w="0" w:type="dxa"/>
            <w:left w:w="108" w:type="dxa"/>
            <w:bottom w:w="0" w:type="dxa"/>
            <w:right w:w="108" w:type="dxa"/>
          </w:tblCellMar>
          <w:tblLook w:val="0000"/>
        </w:tblPrEx>
        <w:trPr>
          <w:cantSplit/>
          <w:trHeight w:val="3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天线反射体直径(m)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①</w:t>
            </w:r>
            <w:r>
              <w:rPr>
                <w:rFonts w:ascii="仿宋" w:eastAsia="仿宋" w:hAnsi="仿宋" w:cs="仿宋" w:hint="eastAsia"/>
                <w:kern w:val="0"/>
                <w:sz w:val="24"/>
              </w:rPr>
              <w:t xml:space="preserve"> 中心馈电旋转抛物面型；</w:t>
            </w:r>
          </w:p>
          <w:p>
            <w:pPr>
              <w:spacing w:line="280" w:lineRule="exact"/>
              <w:jc w:val="center"/>
              <w:rPr>
                <w:rFonts w:ascii="仿宋" w:eastAsia="仿宋" w:hAnsi="仿宋" w:cs="仿宋" w:hint="eastAsia"/>
                <w:kern w:val="0"/>
              </w:rPr>
            </w:pPr>
            <w:r>
              <w:rPr>
                <w:rFonts w:ascii="仿宋" w:eastAsia="仿宋" w:hAnsi="仿宋" w:cs="仿宋" w:hint="eastAsia"/>
                <w:kern w:val="0"/>
                <w:sz w:val="24"/>
              </w:rPr>
              <w:t>②</w:t>
            </w:r>
            <w:r>
              <w:rPr>
                <w:rFonts w:ascii="仿宋" w:eastAsia="仿宋" w:hAnsi="仿宋" w:cs="仿宋" w:hint="eastAsia"/>
                <w:kern w:val="0"/>
                <w:sz w:val="24"/>
              </w:rPr>
              <w:t xml:space="preserve"> 水平和垂直线极化方式；</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功率增益(dB)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9"/>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功率增益偏差(dB)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波束宽度(</w:t>
            </w:r>
            <w:r>
              <w:rPr>
                <w:rFonts w:ascii="仿宋" w:eastAsia="仿宋" w:hAnsi="仿宋" w:cs="仿宋" w:hint="eastAsia"/>
                <w:kern w:val="0"/>
                <w:sz w:val="24"/>
              </w:rPr>
              <w:t>°</w:t>
            </w:r>
            <w:r>
              <w:rPr>
                <w:rFonts w:ascii="仿宋" w:eastAsia="仿宋" w:hAnsi="仿宋" w:cs="仿宋" w:hint="eastAsia"/>
                <w:kern w:val="0"/>
                <w:sz w:val="24"/>
              </w:rPr>
              <w:t>)</w:t>
            </w: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双极化波束宽度差异(</w:t>
            </w:r>
            <w:r>
              <w:rPr>
                <w:rFonts w:ascii="仿宋" w:eastAsia="仿宋" w:hAnsi="仿宋" w:cs="仿宋" w:hint="eastAsia"/>
                <w:kern w:val="0"/>
                <w:sz w:val="24"/>
              </w:rPr>
              <w:t>°</w:t>
            </w:r>
            <w:r>
              <w:rPr>
                <w:rFonts w:ascii="仿宋" w:eastAsia="仿宋" w:hAnsi="仿宋" w:cs="仿宋" w:hint="eastAsia"/>
                <w:kern w:val="0"/>
                <w:sz w:val="24"/>
              </w:rPr>
              <w:t>)</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双极化波束指向一致性(</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第一旁瓣电平(dB)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-29.0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处</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远端旁瓣电平(dB)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-42.0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以外</w:t>
            </w: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交叉极化隔离度(dB)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35.0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双极化正交度(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90</w:t>
            </w: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天线座水平度(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馈线系统技术指标</w:t>
            </w: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收发支路馈线损耗(dB)</w:t>
            </w: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单发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水平、垂直极化馈线损耗差异(dB)</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双发双收</w:t>
            </w: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收发支路损耗差异(dB)</w:t>
            </w:r>
          </w:p>
        </w:tc>
        <w:tc>
          <w:tcPr>
            <w:tcW w:w="1483"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驻波比</w:t>
            </w: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1.5:1</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482"/>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伺服系统技术指标</w:t>
            </w:r>
          </w:p>
        </w:tc>
      </w:tr>
      <w:tr>
        <w:tblPrEx>
          <w:tblW w:w="0" w:type="auto"/>
          <w:jc w:val="center"/>
          <w:tblCellMar>
            <w:top w:w="0" w:type="dxa"/>
            <w:left w:w="108" w:type="dxa"/>
            <w:bottom w:w="0" w:type="dxa"/>
            <w:right w:w="108" w:type="dxa"/>
          </w:tblCellMar>
          <w:tblLook w:val="0000"/>
        </w:tblPrEx>
        <w:trPr>
          <w:cantSplit/>
          <w:trHeight w:val="482"/>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控制精度(</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4"/>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天线波束指向误差(</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天线最大扫描速度(</w:t>
            </w:r>
            <w:r>
              <w:rPr>
                <w:rFonts w:ascii="仿宋" w:eastAsia="仿宋" w:hAnsi="仿宋" w:cs="仿宋" w:hint="eastAsia"/>
                <w:kern w:val="0"/>
                <w:sz w:val="24"/>
              </w:rPr>
              <w:t>°</w:t>
            </w:r>
            <w:r>
              <w:rPr>
                <w:rFonts w:ascii="仿宋" w:eastAsia="仿宋" w:hAnsi="仿宋" w:cs="仿宋" w:hint="eastAsia"/>
                <w:kern w:val="0"/>
                <w:sz w:val="24"/>
              </w:rPr>
              <w:t>/s)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36</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天线最大扫描速度误差</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-2.00～＋90.00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PPI扫描范围(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RHI扫描范围(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扫描加速度(</w:t>
            </w:r>
            <w:r>
              <w:rPr>
                <w:rFonts w:ascii="仿宋" w:eastAsia="仿宋" w:hAnsi="仿宋" w:cs="仿宋" w:hint="eastAsia"/>
                <w:kern w:val="0"/>
                <w:sz w:val="24"/>
              </w:rPr>
              <w:t>°</w:t>
            </w:r>
            <w:r>
              <w:rPr>
                <w:rFonts w:ascii="仿宋" w:eastAsia="仿宋" w:hAnsi="仿宋" w:cs="仿宋" w:hint="eastAsia"/>
                <w:kern w:val="0"/>
                <w:sz w:val="24"/>
              </w:rPr>
              <w:t>/s</w:t>
            </w:r>
            <w:r>
              <w:rPr>
                <w:rFonts w:ascii="仿宋" w:eastAsia="仿宋" w:hAnsi="仿宋" w:cs="仿宋" w:hint="eastAsia"/>
                <w:kern w:val="0"/>
                <w:sz w:val="24"/>
                <w:vertAlign w:val="superscript"/>
              </w:rPr>
              <w:t>2</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运动响应(s)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俯仰角(0～90</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780"/>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p>
            <w:pPr>
              <w:spacing w:line="280" w:lineRule="exact"/>
              <w:jc w:val="center"/>
              <w:rPr>
                <w:rFonts w:ascii="仿宋" w:eastAsia="仿宋" w:hAnsi="仿宋" w:cs="仿宋" w:hint="eastAsia"/>
                <w:kern w:val="0"/>
              </w:rPr>
            </w:pPr>
            <w:r>
              <w:rPr>
                <w:rFonts w:ascii="仿宋" w:eastAsia="仿宋" w:hAnsi="仿宋" w:cs="仿宋" w:hint="eastAsia"/>
                <w:kern w:val="0"/>
                <w:sz w:val="24"/>
              </w:rPr>
              <w:t>(最大转速到停止时间)</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控制字长(bit)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角码数据字长(bit)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42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发射系统技术指标</w:t>
            </w:r>
          </w:p>
        </w:tc>
      </w:tr>
      <w:tr>
        <w:tblPrEx>
          <w:tblW w:w="0" w:type="auto"/>
          <w:jc w:val="center"/>
          <w:tblCellMar>
            <w:top w:w="0" w:type="dxa"/>
            <w:left w:w="108" w:type="dxa"/>
            <w:bottom w:w="0" w:type="dxa"/>
            <w:right w:w="108" w:type="dxa"/>
          </w:tblCellMar>
          <w:tblLook w:val="0000"/>
        </w:tblPrEx>
        <w:trPr>
          <w:cantSplit/>
          <w:trHeight w:val="42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工作频率(GHz)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2.7～3.0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68"/>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脉冲重复频率(Hz)</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300～1300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2"/>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300～450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参差脉冲重复频率比</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3/2,4/3,5/4</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脉冲宽度(</w:t>
            </w:r>
            <w:r>
              <w:rPr>
                <w:rFonts w:ascii="仿宋" w:eastAsia="仿宋" w:hAnsi="仿宋" w:cs="仿宋" w:hint="eastAsia"/>
                <w:kern w:val="0"/>
                <w:sz w:val="24"/>
              </w:rPr>
              <w:t>μ</w:t>
            </w:r>
            <w:r>
              <w:rPr>
                <w:rFonts w:ascii="仿宋" w:eastAsia="仿宋" w:hAnsi="仿宋" w:cs="仿宋" w:hint="eastAsia"/>
                <w:kern w:val="0"/>
                <w:sz w:val="24"/>
              </w:rPr>
              <w:t>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0.42</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0.83</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1.57</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9"/>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4.70</w:t>
            </w:r>
            <w:r>
              <w:rPr>
                <w:rFonts w:ascii="仿宋" w:eastAsia="仿宋" w:hAnsi="仿宋" w:cs="仿宋" w:hint="eastAsia"/>
                <w:kern w:val="0"/>
                <w:sz w:val="24"/>
              </w:rPr>
              <w:t>±</w:t>
            </w:r>
            <w:r>
              <w:rPr>
                <w:rFonts w:ascii="仿宋" w:eastAsia="仿宋" w:hAnsi="仿宋" w:cs="仿宋" w:hint="eastAsia"/>
                <w:kern w:val="0"/>
                <w:sz w:val="24"/>
              </w:rPr>
              <w:t>0.25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上升时间(ns)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120～250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下降时间(ns)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顶降</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输出峰值功率平均值(kW)</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650</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0.3之间</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0.4之间</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机内外输出峰值功率最大偏差(dB)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6"/>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谱宽特性</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左频偏(MHz)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距中心频率频谱线衰减量-60dB处</w:t>
            </w:r>
          </w:p>
        </w:tc>
      </w:tr>
      <w:tr>
        <w:tblPrEx>
          <w:tblW w:w="0" w:type="auto"/>
          <w:jc w:val="center"/>
          <w:tblCellMar>
            <w:top w:w="0" w:type="dxa"/>
            <w:left w:w="108" w:type="dxa"/>
            <w:bottom w:w="0" w:type="dxa"/>
            <w:right w:w="108" w:type="dxa"/>
          </w:tblCellMar>
          <w:tblLook w:val="0000"/>
        </w:tblPrEx>
        <w:trPr>
          <w:cantSplit/>
          <w:trHeight w:val="326"/>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右频偏(MHz)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4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发射机输出端极限改善因子(dB)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发射机输出端杂噪比(dB)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c>
          <w:tcPr>
            <w:tcW w:w="1746" w:type="dxa"/>
            <w:vAlign w:val="center"/>
          </w:tcPr>
          <w:p>
            <w:pPr>
              <w:spacing w:line="280" w:lineRule="exact"/>
              <w:rPr>
                <w:rFonts w:ascii="仿宋" w:eastAsia="仿宋" w:hAnsi="仿宋" w:cs="仿宋" w:hint="eastAsia"/>
                <w:kern w:val="0"/>
              </w:rPr>
            </w:pPr>
            <w:r>
              <w:rPr>
                <w:rFonts w:ascii="仿宋" w:eastAsia="仿宋" w:hAnsi="仿宋" w:cs="仿宋" w:hint="eastAsia"/>
                <w:kern w:val="0"/>
                <w:sz w:val="24"/>
              </w:rPr>
              <w:t>距离中心频率频谱线60Hz至1/2PRF范围内</w:t>
            </w:r>
          </w:p>
        </w:tc>
      </w:tr>
      <w:tr>
        <w:tblPrEx>
          <w:tblW w:w="0" w:type="auto"/>
          <w:jc w:val="center"/>
          <w:tblCellMar>
            <w:top w:w="0" w:type="dxa"/>
            <w:left w:w="108" w:type="dxa"/>
            <w:bottom w:w="0" w:type="dxa"/>
            <w:right w:w="108" w:type="dxa"/>
          </w:tblCellMar>
          <w:tblLook w:val="0000"/>
        </w:tblPrEx>
        <w:trPr>
          <w:cantSplit/>
          <w:trHeight w:val="428"/>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接收系统技术指标</w:t>
            </w:r>
          </w:p>
        </w:tc>
      </w:tr>
      <w:tr>
        <w:tblPrEx>
          <w:tblW w:w="0" w:type="auto"/>
          <w:jc w:val="center"/>
          <w:tblCellMar>
            <w:top w:w="0" w:type="dxa"/>
            <w:left w:w="108" w:type="dxa"/>
            <w:bottom w:w="0" w:type="dxa"/>
            <w:right w:w="108" w:type="dxa"/>
          </w:tblCellMar>
          <w:tblLook w:val="0000"/>
        </w:tblPrEx>
        <w:trPr>
          <w:cantSplit/>
          <w:trHeight w:val="428"/>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数字中频采样速率(MHz)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数字中频A/D位数（bit）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16</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2660" w:type="dxa"/>
            <w:gridSpan w:val="8"/>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中频带宽(MHz)</w:t>
            </w: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2.38</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0.63</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0.21</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3"/>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接收机噪声系数(dB)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双通道噪声系数差异(dB)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机内、机外噪声系数差异(dB)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3"/>
          <w:jc w:val="center"/>
        </w:trPr>
        <w:tc>
          <w:tcPr>
            <w:tcW w:w="2660" w:type="dxa"/>
            <w:gridSpan w:val="8"/>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最小可测功率(dBm)</w:t>
            </w: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-104.0</w:t>
            </w:r>
          </w:p>
        </w:tc>
        <w:tc>
          <w:tcPr>
            <w:tcW w:w="1746" w:type="dxa"/>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-107.0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-110.0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73"/>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-114.0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频率源射频输出相位噪声(dBc/Hz)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10kHz处</w:t>
            </w: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频率源晶振短期(1ms)稳定度</w:t>
            </w:r>
          </w:p>
        </w:tc>
        <w:tc>
          <w:tcPr>
            <w:tcW w:w="2476" w:type="dxa"/>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vertAlign w:val="superscript"/>
              </w:rPr>
              <w:t>-11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20"/>
          <w:jc w:val="center"/>
        </w:trPr>
        <w:tc>
          <w:tcPr>
            <w:tcW w:w="4287" w:type="dxa"/>
            <w:gridSpan w:val="10"/>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接收机线性动态范围(dB)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109</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机外/窄脉冲1</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112</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机外/窄脉冲2</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机外/窄脉冲3</w:t>
            </w:r>
          </w:p>
        </w:tc>
      </w:tr>
      <w:tr>
        <w:tblPrEx>
          <w:tblW w:w="0" w:type="auto"/>
          <w:jc w:val="center"/>
          <w:tblCellMar>
            <w:top w:w="0" w:type="dxa"/>
            <w:left w:w="108" w:type="dxa"/>
            <w:bottom w:w="0" w:type="dxa"/>
            <w:right w:w="108" w:type="dxa"/>
          </w:tblCellMar>
          <w:tblLook w:val="0000"/>
        </w:tblPrEx>
        <w:trPr>
          <w:cantSplit/>
          <w:trHeight w:val="476"/>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89</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机内/窄脉冲1</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92</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机内/窄脉冲2</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95</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机内/窄脉冲3</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接收机线性动态拟合直线斜率</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1.000</w:t>
            </w:r>
            <w:r>
              <w:rPr>
                <w:rFonts w:ascii="仿宋" w:eastAsia="仿宋" w:hAnsi="仿宋" w:cs="仿宋" w:hint="eastAsia"/>
                <w:kern w:val="0"/>
                <w:sz w:val="24"/>
              </w:rPr>
              <w:t>±</w:t>
            </w:r>
            <w:r>
              <w:rPr>
                <w:rFonts w:ascii="仿宋" w:eastAsia="仿宋" w:hAnsi="仿宋" w:cs="仿宋" w:hint="eastAsia"/>
                <w:kern w:val="0"/>
                <w:sz w:val="24"/>
              </w:rPr>
              <w:t>0.015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接收机线性动态拟合直线均方根误差(dB)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trHeight w:val="446"/>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总体技术指标</w:t>
            </w:r>
          </w:p>
        </w:tc>
      </w:tr>
      <w:tr>
        <w:tblPrEx>
          <w:tblW w:w="0" w:type="auto"/>
          <w:jc w:val="center"/>
          <w:tblCellMar>
            <w:top w:w="0" w:type="dxa"/>
            <w:left w:w="108" w:type="dxa"/>
            <w:bottom w:w="0" w:type="dxa"/>
            <w:right w:w="108" w:type="dxa"/>
          </w:tblCellMar>
          <w:tblLook w:val="0000"/>
        </w:tblPrEx>
        <w:trPr>
          <w:trHeight w:val="446"/>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trHeight w:val="349"/>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工作频率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S波段 2.7GHz～3.0GHz范围内可选</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天线扫描范围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（无限制）</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～+90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（电气及机械限位）</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15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探测距离范围（km）</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盲区</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1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5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探测高度（km）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24</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分辨力</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62.5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9"/>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 (dB)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系统相位噪声(</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系统极限改善因子(dB)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估算地物对消能力(dB)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实际地物对消能力</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双通道回波强度标定最大误差(dB)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回波强度在线自动标校最大误差(dB)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测速范围展宽能力检验(m/s)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速度谱宽测量最大误差(m/s)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双线偏振参数检验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差分反射率标准差(dB)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差分传播相移标准差(</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测量误差</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距离定位(m)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预热时间(min)</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83"/>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最小可测回波强度(dBZ)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1.57</w:t>
            </w:r>
            <w:r>
              <w:rPr>
                <w:rFonts w:ascii="仿宋" w:eastAsia="仿宋" w:hAnsi="仿宋" w:cs="仿宋" w:hint="eastAsia"/>
                <w:kern w:val="0"/>
                <w:sz w:val="24"/>
                <w:szCs w:val="24"/>
                <w:lang w:val="en-US" w:eastAsia="zh-CN" w:bidi="ar-SA"/>
              </w:rPr>
              <w:t>μ</w:t>
            </w:r>
            <w:r>
              <w:rPr>
                <w:rFonts w:ascii="仿宋" w:eastAsia="仿宋" w:hAnsi="仿宋" w:cs="仿宋" w:hint="eastAsia"/>
                <w:kern w:val="0"/>
                <w:sz w:val="24"/>
                <w:szCs w:val="24"/>
                <w:lang w:val="en-US" w:eastAsia="zh-CN" w:bidi="ar-SA"/>
              </w:rPr>
              <w:t>s@ 50km</w:t>
            </w:r>
          </w:p>
        </w:tc>
      </w:tr>
      <w:tr>
        <w:tblPrEx>
          <w:tblW w:w="0" w:type="auto"/>
          <w:jc w:val="center"/>
          <w:tblCellMar>
            <w:top w:w="0" w:type="dxa"/>
            <w:left w:w="108" w:type="dxa"/>
            <w:bottom w:w="0" w:type="dxa"/>
            <w:right w:w="108" w:type="dxa"/>
          </w:tblCellMar>
          <w:tblLook w:val="0000"/>
        </w:tblPrEx>
        <w:trPr>
          <w:cantSplit/>
          <w:trHeight w:val="11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退距离模糊恢复比例</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强度值(dBZ)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-35～80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-48～48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-7.9～7.9</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2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-44～6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可靠性</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MTBF(h)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6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a</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表示</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年</w:t>
            </w:r>
            <w:r>
              <w:rPr>
                <w:rFonts w:ascii="仿宋" w:eastAsia="仿宋" w:hAnsi="仿宋" w:cs="仿宋" w:hint="eastAsia"/>
                <w:kern w:val="0"/>
                <w:sz w:val="24"/>
                <w:szCs w:val="24"/>
                <w:lang w:val="en-US" w:eastAsia="zh-CN" w:bidi="ar-SA"/>
              </w:rPr>
              <w:t>”</w:t>
            </w:r>
          </w:p>
        </w:tc>
      </w:tr>
      <w:tr>
        <w:tblPrEx>
          <w:tblW w:w="0" w:type="auto"/>
          <w:jc w:val="center"/>
          <w:tblCellMar>
            <w:top w:w="0" w:type="dxa"/>
            <w:left w:w="108" w:type="dxa"/>
            <w:bottom w:w="0" w:type="dxa"/>
            <w:right w:w="108" w:type="dxa"/>
          </w:tblCellMar>
          <w:tblLook w:val="0000"/>
        </w:tblPrEx>
        <w:trPr>
          <w:cantSplit/>
          <w:trHeight w:val="1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汇流环(a)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速调管(h)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30000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功耗(kW)</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输出参数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Z、V、W、ZDR、</w:t>
            </w:r>
            <w:r>
              <w:rPr>
                <w:rFonts w:ascii="仿宋" w:eastAsia="仿宋" w:hAnsi="仿宋" w:cs="仿宋" w:hint="eastAsia"/>
                <w:kern w:val="0"/>
                <w:sz w:val="24"/>
                <w:szCs w:val="24"/>
                <w:lang w:val="en-US" w:eastAsia="zh-CN" w:bidi="ar-SA"/>
              </w:rPr>
              <w:t>Φ</w:t>
            </w:r>
            <w:r>
              <w:rPr>
                <w:rFonts w:ascii="仿宋" w:eastAsia="仿宋" w:hAnsi="仿宋" w:cs="仿宋" w:hint="eastAsia"/>
                <w:kern w:val="0"/>
                <w:sz w:val="24"/>
                <w:szCs w:val="24"/>
                <w:lang w:val="en-US" w:eastAsia="zh-CN" w:bidi="ar-SA"/>
              </w:rPr>
              <w:t>DP、KDP、</w:t>
            </w:r>
            <w:r>
              <w:rPr>
                <w:rFonts w:ascii="仿宋" w:eastAsia="仿宋" w:hAnsi="仿宋" w:cs="仿宋" w:hint="eastAsia"/>
                <w:kern w:val="0"/>
                <w:sz w:val="24"/>
                <w:szCs w:val="24"/>
                <w:lang w:val="en-US" w:eastAsia="zh-CN" w:bidi="ar-SA"/>
              </w:rPr>
              <w:t>ρ</w:t>
            </w:r>
            <w:r>
              <w:rPr>
                <w:rFonts w:ascii="仿宋" w:eastAsia="仿宋" w:hAnsi="仿宋" w:cs="仿宋" w:hint="eastAsia"/>
                <w:kern w:val="0"/>
                <w:sz w:val="24"/>
                <w:szCs w:val="24"/>
                <w:lang w:val="en-US" w:eastAsia="zh-CN" w:bidi="ar-SA"/>
              </w:rPr>
              <w:t>HV、LDR、 SNR</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bl>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1、中标方需提供详细技术服务方案，包括但不限于：设备安装建设规范、设备工作原理、设备部件结构组成、设备操作手册、设备运行维护手册、设备软件使用手册、相关产品算法说明文档等。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2、中标方需提供详细售后服务方案，包括设备售后服务组织机构、人员组成、技术支持文档等。其中，售后服务组织机构设置合理，人员技术能力强，技术文档内容全面。</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（1）中标方在汛期开始前按照招标方技术服务合同等相关要求完成汛前巡检并提供巡检报告，巡检过程中查出的故障和隐患要及时处理解决并形成过程中的详细记录。</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主汛期间若雷达出现故障(雷达无法正常运行),中标方应根据招标方反馈信息通过电话进行指导，若用户4小时无法排除，中标方应在12小时内派出技术人员赶赴现场并通报用户，在24小时内携带相应器件赶到现场，进行维修服务，实际交通不能满足24小时内到达的，中标方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（3）非汛期对招标方反馈的雷达故障信息，中标方应在24小时内派出技术人员赶赴现场，需要相关备件应在48小时内携带相应器件赶到现场，进行维修服务。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w:t>
      </w:r>
      <w:r>
        <w:rPr>
          <w:rFonts w:ascii="仿宋" w:eastAsia="仿宋" w:hAnsi="仿宋" w:cs="仿宋" w:hint="eastAsia"/>
          <w:b/>
          <w:bCs/>
          <w:sz w:val="28"/>
          <w:szCs w:val="20"/>
        </w:rPr>
        <w:t>质保期服务要求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从雷达验收合格交付用户使用之日起，雷达系统质保期8年*。</w:t>
      </w:r>
      <w:r>
        <w:rPr>
          <w:rFonts w:ascii="仿宋" w:eastAsia="仿宋" w:hAnsi="仿宋" w:cs="仿宋" w:hint="eastAsia"/>
          <w:sz w:val="28"/>
          <w:szCs w:val="20"/>
        </w:rPr>
        <w:t>中标方按照业务运行规范要求执行，确保设备可稳定运行，主要工作包括：汛前巡检（定标）以及雷达系统故障维修等。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完成新一代天气雷达建设、安装、调试工作后，依据《综合观测司关于印发S波段和C波段双线偏振多普勒天气雷达测试大纲的通知》（气测函〔2023〕73号）技术要求及新一代天气雷达系统采购合同执行。雷达出厂测试、现场安装后测试、业务运行准入测试等通过后，按照《综合观测司关于推进雷达工程项目业务验收工作的通知》（气测函〔2022〕121号）等流程要求，组织完成项目业务验收。</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测试期间中标方必须在招标方代表参加的情况下，在公司测试环境里验证相关的硬件和软件能够完全正确运行并满足验收方案要求和技术指标，开展系统功能与系统运行稳定性检验，并形成设备出厂测试报告。如果未能通过出厂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现场安装后测试应在招标方指定的建设场地对设备进行安装、调试及测试后，在招标方代表参加的情况下，依据验收方案中相关要求和测试大纲进行现场测试并形成现场安装后测试报告。如果未能通过现场安装后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通过3个月试运行后，中标方配合招标方开展业务运行准入测试，在招标方代表参加的情况下，依据验收方案中相关要求和测试大纲进行业务运行准入测试并形成测试报告。如果未能通过现场测试，将延期重新进行，由此增加的一切费用由中标方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sectPr>
          <w:footerReference w:type="even" r:id="rId8"/>
          <w:footerReference w:type="default" r:id="rId9"/>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outlineLvl w:val="9"/>
        <w:rPr>
          <w:rFonts w:ascii="Times New Roman" w:hAnsi="Times New Roman" w:hint="default"/>
          <w:bCs w:val="0"/>
          <w:snapToGrid/>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9"/>
        <w:gridCol w:w="1282"/>
        <w:gridCol w:w="918"/>
        <w:gridCol w:w="1276"/>
        <w:gridCol w:w="1455"/>
        <w:gridCol w:w="918"/>
        <w:gridCol w:w="215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0" w:name="货物一览表_index"/>
            <w:r>
              <w:rPr>
                <w:rFonts w:asciiTheme="minorEastAsia" w:eastAsiaTheme="minorEastAsia" w:hAnsiTheme="minorEastAsia" w:cstheme="minorEastAsia" w:hint="eastAsia"/>
                <w:kern w:val="0"/>
                <w:szCs w:val="21"/>
              </w:rPr>
              <w:t>序号</w:t>
            </w:r>
            <w:bookmarkEnd w:id="50"/>
          </w:p>
        </w:tc>
        <w:tc>
          <w:tcPr>
            <w:tcW w:w="1135" w:type="dxa"/>
          </w:tcPr>
          <w:p w14:paraId="6B7F00AC">
            <w:pPr>
              <w:autoSpaceDE w:val="0"/>
              <w:jc w:val="center"/>
              <w:rPr>
                <w:rFonts w:asciiTheme="minorEastAsia" w:hAnsiTheme="minorEastAsia" w:cstheme="minorEastAsia"/>
                <w:kern w:val="0"/>
                <w:szCs w:val="21"/>
              </w:rPr>
            </w:pPr>
            <w:bookmarkStart w:id="51" w:name="货物一览表_goodsName"/>
            <w:r>
              <w:rPr>
                <w:rFonts w:asciiTheme="minorEastAsia" w:eastAsiaTheme="minorEastAsia" w:hAnsiTheme="minorEastAsia" w:cstheme="minorEastAsia" w:hint="eastAsia"/>
                <w:kern w:val="0"/>
                <w:szCs w:val="21"/>
              </w:rPr>
              <w:t>设备名称</w:t>
            </w:r>
            <w:bookmarkEnd w:id="51"/>
          </w:p>
        </w:tc>
        <w:tc>
          <w:tcPr>
            <w:tcW w:w="965" w:type="dxa"/>
          </w:tcPr>
          <w:p w14:paraId="7B8390AF">
            <w:pPr>
              <w:autoSpaceDE w:val="0"/>
              <w:jc w:val="center"/>
              <w:rPr>
                <w:rFonts w:asciiTheme="minorEastAsia" w:hAnsiTheme="minorEastAsia" w:cstheme="minorEastAsia"/>
                <w:kern w:val="0"/>
                <w:szCs w:val="21"/>
              </w:rPr>
            </w:pPr>
            <w:bookmarkStart w:id="52" w:name="货物一览表_nums"/>
            <w:r>
              <w:rPr>
                <w:rFonts w:asciiTheme="minorEastAsia" w:eastAsiaTheme="minorEastAsia" w:hAnsiTheme="minorEastAsia" w:cstheme="minorEastAsia" w:hint="eastAsia"/>
                <w:kern w:val="0"/>
                <w:szCs w:val="21"/>
              </w:rPr>
              <w:t>采购数量</w:t>
            </w:r>
            <w:bookmarkEnd w:id="52"/>
          </w:p>
        </w:tc>
        <w:tc>
          <w:tcPr>
            <w:tcW w:w="1062" w:type="dxa"/>
          </w:tcPr>
          <w:p w14:paraId="72F33D6D">
            <w:pPr>
              <w:autoSpaceDE w:val="0"/>
              <w:jc w:val="center"/>
              <w:rPr>
                <w:rFonts w:asciiTheme="minorEastAsia" w:hAnsiTheme="minorEastAsia" w:cstheme="minorEastAsia"/>
                <w:kern w:val="0"/>
                <w:szCs w:val="21"/>
              </w:rPr>
            </w:pPr>
            <w:bookmarkStart w:id="53" w:name="货物一览表_units"/>
            <w:r>
              <w:rPr>
                <w:rFonts w:asciiTheme="minorEastAsia" w:eastAsiaTheme="minorEastAsia" w:hAnsiTheme="minorEastAsia" w:cstheme="minorEastAsia" w:hint="eastAsia"/>
                <w:kern w:val="0"/>
                <w:szCs w:val="21"/>
              </w:rPr>
              <w:t>计量单位</w:t>
            </w:r>
            <w:bookmarkEnd w:id="53"/>
          </w:p>
        </w:tc>
        <w:tc>
          <w:tcPr>
            <w:tcW w:w="1220" w:type="dxa"/>
          </w:tcPr>
          <w:p w14:paraId="24892D20">
            <w:pPr>
              <w:autoSpaceDE w:val="0"/>
              <w:jc w:val="center"/>
              <w:rPr>
                <w:rFonts w:asciiTheme="minorEastAsia" w:hAnsiTheme="minorEastAsia" w:cstheme="minorEastAsia"/>
                <w:kern w:val="0"/>
                <w:szCs w:val="21"/>
              </w:rPr>
            </w:pPr>
            <w:bookmarkStart w:id="54" w:name="货物一览表_procurementBudget"/>
            <w:r>
              <w:rPr>
                <w:rFonts w:asciiTheme="minorEastAsia" w:eastAsiaTheme="minorEastAsia" w:hAnsiTheme="minorEastAsia" w:cstheme="minorEastAsia" w:hint="eastAsia"/>
                <w:kern w:val="0"/>
                <w:szCs w:val="21"/>
              </w:rPr>
              <w:t>采购预算（元）</w:t>
            </w:r>
            <w:bookmarkEnd w:id="54"/>
          </w:p>
        </w:tc>
        <w:tc>
          <w:tcPr>
            <w:tcW w:w="1329" w:type="dxa"/>
          </w:tcPr>
          <w:p w14:paraId="27138270">
            <w:pPr>
              <w:autoSpaceDE w:val="0"/>
              <w:jc w:val="center"/>
              <w:rPr>
                <w:rFonts w:asciiTheme="minorEastAsia" w:hAnsiTheme="minorEastAsia" w:cstheme="minorEastAsia" w:hint="eastAsia"/>
                <w:kern w:val="0"/>
                <w:szCs w:val="21"/>
              </w:rPr>
            </w:pPr>
            <w:bookmarkStart w:id="5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6" w:name="货物一览表_remark"/>
            <w:r>
              <w:rPr>
                <w:rFonts w:asciiTheme="minorEastAsia" w:eastAsiaTheme="minorEastAsia" w:hAnsiTheme="minorEastAsia" w:cstheme="minorEastAsia" w:hint="eastAsia"/>
                <w:kern w:val="0"/>
                <w:szCs w:val="21"/>
              </w:rPr>
              <w:t>备注</w:t>
            </w:r>
            <w:bookmarkEnd w:id="5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S波段新一代天气雷达系统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14,500,000.00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从雷达验收合格交付用户</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14,500,000.00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1666"/>
        <w:gridCol w:w="1122"/>
        <w:gridCol w:w="490"/>
        <w:gridCol w:w="1117"/>
        <w:gridCol w:w="1010"/>
        <w:gridCol w:w="1117"/>
        <w:gridCol w:w="151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邵阳市局(001014029)</w:t>
            </w:r>
          </w:p>
        </w:tc>
        <w:tc>
          <w:tcPr/>
          <w:p>
            <w:r>
              <w:t>S波段新一代天气雷达系统</w:t>
            </w:r>
          </w:p>
        </w:tc>
        <w:tc>
          <w:tcPr/>
          <w:p>
            <w:r>
              <w:t>1</w:t>
            </w:r>
          </w:p>
        </w:tc>
        <w:tc>
          <w:tcPr/>
          <w:p>
            <w:r>
              <w:t>14500000.00</w:t>
            </w:r>
          </w:p>
        </w:tc>
        <w:tc>
          <w:tcPr/>
          <w:p>
            <w:r>
              <w:t xml:space="preserve">14500000.00  </w:t>
            </w:r>
          </w:p>
        </w:tc>
        <w:tc>
          <w:tcPr/>
          <w:p>
            <w:r>
              <w:t>湖南省邵阳市</w:t>
            </w:r>
          </w:p>
        </w:tc>
        <w:tc>
          <w:tcPr/>
          <w:p>
            <w:r>
              <w:t>向桥顺15307391215</w:t>
            </w:r>
          </w:p>
        </w:tc>
      </w:tr>
    </w:tbl>
    <w:p w:rsidR="00A77B3E"/>
    <w:p w14:paraId="51954372">
      <w:pPr>
        <w:spacing w:line="360" w:lineRule="auto"/>
        <w:rPr>
          <w:rFonts w:ascii="宋体" w:hAnsi="宋体"/>
          <w:szCs w:val="21"/>
        </w:rPr>
      </w:pPr>
      <w:bookmarkEnd w:id="5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pPr>
        <w:spacing w:line="560" w:lineRule="exact"/>
        <w:ind w:firstLine="720" w:firstLineChars="200"/>
        <w:jc w:val="center"/>
        <w:rPr>
          <w:rFonts w:ascii="仿宋_GB2312" w:eastAsia="仿宋_GB2312" w:hAnsi="仿宋_GB2312" w:cs="仿宋_GB2312" w:hint="eastAsia"/>
          <w:b/>
          <w:sz w:val="28"/>
          <w:szCs w:val="20"/>
        </w:rPr>
      </w:pPr>
      <w:r>
        <w:rPr>
          <w:rFonts w:ascii="仿宋_GB2312" w:eastAsia="仿宋_GB2312" w:hAnsi="仿宋_GB2312" w:cs="仿宋_GB2312" w:hint="eastAsia"/>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_GB2312" w:eastAsia="仿宋_GB2312" w:hAnsi="仿宋_GB2312" w:cs="仿宋_GB2312" w:hint="eastAsia"/>
          <w:b/>
          <w:sz w:val="36"/>
          <w:szCs w:val="36"/>
        </w:rPr>
        <w:instrText>ADDIN CNKISM.UserStyle</w:instrText>
      </w:r>
      <w:r>
        <w:rPr>
          <w:rFonts w:ascii="仿宋_GB2312" w:eastAsia="仿宋_GB2312" w:hAnsi="仿宋_GB2312" w:cs="仿宋_GB2312" w:hint="eastAsia"/>
          <w:b/>
          <w:sz w:val="36"/>
          <w:szCs w:val="36"/>
        </w:rPr>
        <w:fldChar w:fldCharType="separate"/>
      </w:r>
      <w:r>
        <w:rPr>
          <w:rFonts w:ascii="仿宋_GB2312" w:eastAsia="仿宋_GB2312" w:hAnsi="仿宋_GB2312" w:cs="仿宋_GB2312" w:hint="eastAsia"/>
          <w:b/>
          <w:sz w:val="36"/>
          <w:szCs w:val="36"/>
        </w:rPr>
        <w:fldChar w:fldCharType="end"/>
      </w:r>
      <w:r>
        <w:rPr>
          <w:rFonts w:ascii="仿宋_GB2312" w:eastAsia="仿宋_GB2312" w:hAnsi="仿宋_GB2312" w:cs="仿宋_GB2312" w:hint="eastAsia"/>
          <w:b/>
          <w:sz w:val="36"/>
          <w:szCs w:val="36"/>
        </w:rPr>
        <w:t>采购需求（其他技术及商务需求）</w:t>
      </w:r>
    </w:p>
    <w:p>
      <w:pPr>
        <w:spacing w:line="560" w:lineRule="exact"/>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一、项目概况及总体要求</w:t>
      </w:r>
    </w:p>
    <w:p>
      <w:pPr>
        <w:jc w:val="left"/>
        <w:rPr>
          <w:rFonts w:ascii="仿宋_GB2312" w:eastAsia="仿宋_GB2312" w:hAnsi="仿宋_GB2312" w:cs="仿宋_GB2312" w:hint="eastAsia"/>
          <w:b w:val="0"/>
          <w:bCs w:val="0"/>
          <w:sz w:val="28"/>
          <w:szCs w:val="20"/>
        </w:rPr>
      </w:pPr>
      <w:r>
        <w:rPr>
          <w:rFonts w:ascii="仿宋_GB2312" w:eastAsia="仿宋_GB2312" w:hAnsi="仿宋_GB2312" w:cs="仿宋_GB2312" w:hint="eastAsia"/>
          <w:b/>
          <w:bCs/>
          <w:sz w:val="28"/>
          <w:szCs w:val="20"/>
          <w:lang w:val="en-US" w:eastAsia="zh-CN"/>
        </w:rPr>
        <w:t xml:space="preserve">    </w:t>
      </w:r>
      <w:r>
        <w:rPr>
          <w:rFonts w:ascii="仿宋_GB2312" w:eastAsia="仿宋_GB2312" w:hAnsi="仿宋_GB2312" w:cs="仿宋_GB2312" w:hint="eastAsia"/>
          <w:b w:val="0"/>
          <w:bCs w:val="0"/>
          <w:sz w:val="28"/>
          <w:szCs w:val="20"/>
        </w:rPr>
        <w:t>本项目以填补湖南天气雷达</w:t>
      </w:r>
      <w:r>
        <w:rPr>
          <w:rFonts w:ascii="仿宋_GB2312" w:eastAsia="仿宋_GB2312" w:hAnsi="仿宋_GB2312" w:cs="仿宋_GB2312" w:hint="eastAsia"/>
          <w:b w:val="0"/>
          <w:bCs w:val="0"/>
          <w:sz w:val="28"/>
          <w:szCs w:val="20"/>
          <w:lang w:val="en-US" w:eastAsia="zh-CN"/>
        </w:rPr>
        <w:t>组</w:t>
      </w:r>
      <w:r>
        <w:rPr>
          <w:rFonts w:ascii="仿宋_GB2312" w:eastAsia="仿宋_GB2312" w:hAnsi="仿宋_GB2312" w:cs="仿宋_GB2312" w:hint="eastAsia"/>
          <w:b w:val="0"/>
          <w:bCs w:val="0"/>
          <w:sz w:val="28"/>
          <w:szCs w:val="20"/>
        </w:rPr>
        <w:t>网观测空白为目标，提高特殊地形区和关键区灾害性天气探测时空分辨率，提高暴雨预报准确率和强对流天气预警时间提前量,增强地区监测预警服务能力，为经济社会发展和生态安全建设提供重要保障。本项目完成湖南绥宁新一代天气雷达系统建设</w:t>
      </w:r>
      <w:r>
        <w:rPr>
          <w:rFonts w:ascii="仿宋_GB2312" w:eastAsia="仿宋_GB2312" w:hAnsi="仿宋_GB2312" w:cs="仿宋_GB2312" w:hint="eastAsia"/>
          <w:b w:val="0"/>
          <w:bCs w:val="0"/>
          <w:sz w:val="28"/>
          <w:szCs w:val="20"/>
          <w:lang w:eastAsia="zh-CN"/>
        </w:rPr>
        <w:t>，</w:t>
      </w:r>
      <w:r>
        <w:rPr>
          <w:rFonts w:ascii="仿宋_GB2312" w:eastAsia="仿宋_GB2312" w:hAnsi="仿宋_GB2312" w:cs="仿宋_GB2312" w:hint="eastAsia"/>
          <w:b w:val="0"/>
          <w:bCs w:val="0"/>
          <w:sz w:val="28"/>
          <w:szCs w:val="20"/>
        </w:rPr>
        <w:t>显著提升雷达信息接收处理应用中心基础设施的整体保障能力，有利于更好地整合信息资源和建设共享系统，有利于引进和开发业务系统和数值预报模式，使精细化预报预警能力明显增强，提高灾害天气预警时效。</w:t>
      </w:r>
    </w:p>
    <w:p>
      <w:pPr>
        <w:numPr>
          <w:ilvl w:val="0"/>
          <w:numId w:val="0"/>
        </w:numPr>
        <w:jc w:val="center"/>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采购</w:t>
      </w:r>
      <w:r>
        <w:rPr>
          <w:rFonts w:ascii="仿宋_GB2312" w:eastAsia="仿宋_GB2312" w:hAnsi="仿宋_GB2312" w:cs="仿宋_GB2312" w:hint="eastAsia"/>
          <w:b/>
          <w:bCs/>
          <w:sz w:val="28"/>
          <w:szCs w:val="20"/>
          <w:lang w:val="en-US" w:eastAsia="zh-CN"/>
        </w:rPr>
        <w:t>需求</w:t>
      </w:r>
      <w:r>
        <w:rPr>
          <w:rFonts w:ascii="仿宋_GB2312" w:eastAsia="仿宋_GB2312" w:hAnsi="仿宋_GB2312" w:cs="仿宋_GB2312" w:hint="eastAsia"/>
          <w:b/>
          <w:bCs/>
          <w:sz w:val="28"/>
          <w:szCs w:val="20"/>
        </w:rPr>
        <w:t>信息表</w:t>
      </w:r>
    </w:p>
    <w:tbl>
      <w:tblPr>
        <w:tblStyle w:val="TableNormal"/>
        <w:tblpPr w:leftFromText="180" w:rightFromText="180" w:vertAnchor="text" w:horzAnchor="page" w:tblpXSpec="center" w:tblpY="484"/>
        <w:tblOverlap w:val="never"/>
        <w:tblW w:w="8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30"/>
        <w:gridCol w:w="1320"/>
        <w:gridCol w:w="2411"/>
        <w:gridCol w:w="620"/>
        <w:gridCol w:w="672"/>
        <w:gridCol w:w="953"/>
        <w:gridCol w:w="795"/>
        <w:gridCol w:w="1065"/>
      </w:tblGrid>
      <w:tr>
        <w:tblPrEx>
          <w:tblW w:w="8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244"/>
          <w:jc w:val="center"/>
        </w:trPr>
        <w:tc>
          <w:tcPr>
            <w:tcW w:w="830" w:type="dxa"/>
            <w:noWrap w:val="0"/>
            <w:vAlign w:val="center"/>
          </w:tcPr>
          <w:p>
            <w:pPr>
              <w:autoSpaceDE w:val="0"/>
              <w:jc w:val="center"/>
              <w:rPr>
                <w:rFonts w:ascii="宋体" w:eastAsia="宋体" w:hAnsi="宋体" w:cs="宋体" w:hint="eastAsia"/>
                <w:b/>
                <w:bCs/>
                <w:kern w:val="0"/>
                <w:sz w:val="18"/>
                <w:szCs w:val="18"/>
              </w:rPr>
            </w:pPr>
            <w:bookmarkStart w:id="58" w:name="货物一览表_index_0"/>
            <w:r>
              <w:rPr>
                <w:rFonts w:ascii="宋体" w:eastAsia="宋体" w:hAnsi="宋体" w:cs="宋体" w:hint="eastAsia"/>
                <w:b/>
                <w:bCs/>
                <w:kern w:val="0"/>
                <w:sz w:val="18"/>
                <w:szCs w:val="18"/>
              </w:rPr>
              <w:t>序号</w:t>
            </w:r>
            <w:bookmarkEnd w:id="58"/>
          </w:p>
        </w:tc>
        <w:tc>
          <w:tcPr>
            <w:tcW w:w="1320" w:type="dxa"/>
            <w:noWrap w:val="0"/>
            <w:vAlign w:val="center"/>
          </w:tcPr>
          <w:p>
            <w:pPr>
              <w:autoSpaceDE w:val="0"/>
              <w:jc w:val="center"/>
              <w:rPr>
                <w:rFonts w:ascii="宋体" w:eastAsia="宋体" w:hAnsi="宋体" w:cs="宋体" w:hint="default"/>
                <w:b/>
                <w:bCs/>
                <w:kern w:val="0"/>
                <w:sz w:val="18"/>
                <w:szCs w:val="18"/>
              </w:rPr>
            </w:pPr>
            <w:bookmarkStart w:id="59" w:name="货物一览表_goodsName_0"/>
            <w:r>
              <w:rPr>
                <w:rFonts w:ascii="宋体" w:eastAsia="宋体" w:hAnsi="宋体" w:cs="宋体" w:hint="eastAsia"/>
                <w:b/>
                <w:bCs/>
                <w:kern w:val="0"/>
                <w:sz w:val="18"/>
                <w:szCs w:val="18"/>
                <w:lang w:val="en-US" w:eastAsia="zh-CN"/>
              </w:rPr>
              <w:t>委托采购单位</w:t>
            </w:r>
          </w:p>
        </w:tc>
        <w:tc>
          <w:tcPr>
            <w:tcW w:w="2411" w:type="dxa"/>
            <w:noWrap w:val="0"/>
            <w:vAlign w:val="center"/>
          </w:tcPr>
          <w:p>
            <w:pPr>
              <w:autoSpaceDE w:val="0"/>
              <w:jc w:val="center"/>
              <w:rPr>
                <w:rFonts w:ascii="宋体" w:eastAsia="宋体" w:hAnsi="宋体" w:cs="宋体" w:hint="eastAsia"/>
                <w:b/>
                <w:bCs/>
                <w:kern w:val="0"/>
                <w:sz w:val="18"/>
                <w:szCs w:val="18"/>
              </w:rPr>
            </w:pPr>
            <w:r>
              <w:rPr>
                <w:rFonts w:ascii="宋体" w:eastAsia="宋体" w:hAnsi="宋体" w:cs="宋体" w:hint="eastAsia"/>
                <w:b/>
                <w:bCs/>
                <w:kern w:val="0"/>
                <w:sz w:val="18"/>
                <w:szCs w:val="18"/>
              </w:rPr>
              <w:t>设备名称</w:t>
            </w:r>
            <w:bookmarkEnd w:id="59"/>
          </w:p>
        </w:tc>
        <w:tc>
          <w:tcPr>
            <w:tcW w:w="620" w:type="dxa"/>
            <w:noWrap w:val="0"/>
            <w:vAlign w:val="center"/>
          </w:tcPr>
          <w:p>
            <w:pPr>
              <w:autoSpaceDE w:val="0"/>
              <w:jc w:val="center"/>
              <w:rPr>
                <w:rFonts w:ascii="宋体" w:eastAsia="宋体" w:hAnsi="宋体" w:cs="宋体" w:hint="eastAsia"/>
                <w:b/>
                <w:bCs/>
                <w:kern w:val="0"/>
                <w:sz w:val="18"/>
                <w:szCs w:val="18"/>
              </w:rPr>
            </w:pPr>
            <w:bookmarkStart w:id="60" w:name="货物一览表_nums_0"/>
            <w:r>
              <w:rPr>
                <w:rFonts w:ascii="宋体" w:eastAsia="宋体" w:hAnsi="宋体" w:cs="宋体" w:hint="eastAsia"/>
                <w:b/>
                <w:bCs/>
                <w:kern w:val="0"/>
                <w:sz w:val="18"/>
                <w:szCs w:val="18"/>
              </w:rPr>
              <w:t>数量</w:t>
            </w:r>
            <w:bookmarkEnd w:id="60"/>
          </w:p>
        </w:tc>
        <w:tc>
          <w:tcPr>
            <w:tcW w:w="672" w:type="dxa"/>
            <w:noWrap w:val="0"/>
            <w:vAlign w:val="center"/>
          </w:tcPr>
          <w:p>
            <w:pPr>
              <w:autoSpaceDE w:val="0"/>
              <w:jc w:val="center"/>
              <w:rPr>
                <w:rFonts w:ascii="宋体" w:eastAsia="宋体" w:hAnsi="宋体" w:cs="宋体" w:hint="eastAsia"/>
                <w:b/>
                <w:bCs/>
                <w:kern w:val="0"/>
                <w:sz w:val="18"/>
                <w:szCs w:val="18"/>
              </w:rPr>
            </w:pPr>
            <w:bookmarkStart w:id="61" w:name="货物一览表_units_0"/>
            <w:r>
              <w:rPr>
                <w:rFonts w:ascii="宋体" w:eastAsia="宋体" w:hAnsi="宋体" w:cs="宋体" w:hint="eastAsia"/>
                <w:b/>
                <w:bCs/>
                <w:kern w:val="0"/>
                <w:sz w:val="18"/>
                <w:szCs w:val="18"/>
              </w:rPr>
              <w:t>计量单位</w:t>
            </w:r>
            <w:bookmarkEnd w:id="61"/>
          </w:p>
        </w:tc>
        <w:tc>
          <w:tcPr>
            <w:tcW w:w="953" w:type="dxa"/>
            <w:noWrap w:val="0"/>
            <w:vAlign w:val="center"/>
          </w:tcPr>
          <w:p>
            <w:pPr>
              <w:autoSpaceDE w:val="0"/>
              <w:jc w:val="center"/>
              <w:rPr>
                <w:rFonts w:ascii="宋体" w:eastAsia="宋体" w:hAnsi="宋体" w:cs="宋体" w:hint="eastAsia"/>
                <w:b/>
                <w:bCs/>
                <w:kern w:val="0"/>
                <w:sz w:val="18"/>
                <w:szCs w:val="18"/>
              </w:rPr>
            </w:pPr>
            <w:bookmarkStart w:id="62" w:name="货物一览表_procurementBudget_0"/>
            <w:r>
              <w:rPr>
                <w:rFonts w:ascii="宋体" w:eastAsia="宋体" w:hAnsi="宋体" w:cs="宋体" w:hint="eastAsia"/>
                <w:b/>
                <w:bCs/>
                <w:kern w:val="0"/>
                <w:sz w:val="18"/>
                <w:szCs w:val="18"/>
              </w:rPr>
              <w:t>采购预算（</w:t>
            </w:r>
            <w:r>
              <w:rPr>
                <w:rFonts w:ascii="宋体" w:eastAsia="宋体" w:hAnsi="宋体" w:cs="宋体" w:hint="eastAsia"/>
                <w:b/>
                <w:bCs/>
                <w:kern w:val="0"/>
                <w:sz w:val="18"/>
                <w:szCs w:val="18"/>
                <w:lang w:eastAsia="zh-CN"/>
              </w:rPr>
              <w:t>万</w:t>
            </w:r>
            <w:r>
              <w:rPr>
                <w:rFonts w:ascii="宋体" w:eastAsia="宋体" w:hAnsi="宋体" w:cs="宋体" w:hint="eastAsia"/>
                <w:b/>
                <w:bCs/>
                <w:kern w:val="0"/>
                <w:sz w:val="18"/>
                <w:szCs w:val="18"/>
              </w:rPr>
              <w:t>元）</w:t>
            </w:r>
            <w:bookmarkEnd w:id="62"/>
          </w:p>
        </w:tc>
        <w:tc>
          <w:tcPr>
            <w:tcW w:w="795" w:type="dxa"/>
            <w:noWrap w:val="0"/>
            <w:vAlign w:val="center"/>
          </w:tcPr>
          <w:p>
            <w:pPr>
              <w:autoSpaceDE w:val="0"/>
              <w:jc w:val="center"/>
              <w:rPr>
                <w:rFonts w:ascii="宋体" w:eastAsia="宋体" w:hAnsi="宋体" w:cs="宋体" w:hint="eastAsia"/>
                <w:b/>
                <w:bCs/>
                <w:kern w:val="0"/>
                <w:sz w:val="18"/>
                <w:szCs w:val="18"/>
              </w:rPr>
            </w:pPr>
            <w:bookmarkStart w:id="63" w:name="货物一览表_supplyMaterialDate_0"/>
            <w:r>
              <w:rPr>
                <w:rFonts w:ascii="宋体" w:eastAsia="宋体" w:hAnsi="宋体" w:cs="宋体" w:hint="eastAsia"/>
                <w:b/>
                <w:bCs/>
                <w:kern w:val="0"/>
                <w:sz w:val="18"/>
                <w:szCs w:val="18"/>
              </w:rPr>
              <w:t>交货期（天）</w:t>
            </w:r>
            <w:bookmarkEnd w:id="63"/>
          </w:p>
        </w:tc>
        <w:tc>
          <w:tcPr>
            <w:tcW w:w="1065" w:type="dxa"/>
            <w:noWrap w:val="0"/>
            <w:vAlign w:val="center"/>
          </w:tcPr>
          <w:p>
            <w:pPr>
              <w:autoSpaceDE w:val="0"/>
              <w:autoSpaceDN w:val="0"/>
              <w:adjustRightInd w:val="0"/>
              <w:spacing w:before="48"/>
              <w:ind w:right="-20"/>
              <w:jc w:val="center"/>
              <w:rPr>
                <w:rFonts w:ascii="宋体" w:eastAsia="宋体" w:hAnsi="宋体" w:cs="宋体" w:hint="eastAsia"/>
                <w:b/>
                <w:bCs/>
                <w:kern w:val="0"/>
                <w:sz w:val="18"/>
                <w:szCs w:val="18"/>
              </w:rPr>
            </w:pPr>
            <w:bookmarkStart w:id="64" w:name="货物一览表_remark_0"/>
            <w:r>
              <w:rPr>
                <w:rFonts w:ascii="宋体" w:eastAsia="宋体" w:hAnsi="宋体" w:cs="宋体" w:hint="eastAsia"/>
                <w:b/>
                <w:bCs/>
                <w:kern w:val="0"/>
                <w:sz w:val="18"/>
                <w:szCs w:val="18"/>
              </w:rPr>
              <w:t>备注</w:t>
            </w:r>
            <w:bookmarkEnd w:id="64"/>
          </w:p>
        </w:tc>
      </w:tr>
      <w:tr>
        <w:tblPrEx>
          <w:tblW w:w="8666" w:type="dxa"/>
          <w:jc w:val="center"/>
          <w:tblLayout w:type="fixed"/>
          <w:tblCellMar>
            <w:top w:w="0" w:type="dxa"/>
            <w:left w:w="108" w:type="dxa"/>
            <w:bottom w:w="0" w:type="dxa"/>
            <w:right w:w="108" w:type="dxa"/>
          </w:tblCellMar>
        </w:tblPrEx>
        <w:trPr>
          <w:trHeight w:val="354"/>
          <w:jc w:val="center"/>
        </w:trPr>
        <w:tc>
          <w:tcPr>
            <w:tcW w:w="830" w:type="dxa"/>
            <w:noWrap w:val="0"/>
            <w:vAlign w:val="center"/>
          </w:tcPr>
          <w:p>
            <w:pPr>
              <w:autoSpaceDE w:val="0"/>
              <w:jc w:val="center"/>
              <w:rPr>
                <w:rFonts w:ascii="宋体" w:eastAsia="宋体" w:hAnsi="宋体" w:cs="宋体" w:hint="eastAsia"/>
                <w:b w:val="0"/>
                <w:bCs w:val="0"/>
                <w:kern w:val="0"/>
                <w:sz w:val="18"/>
                <w:szCs w:val="18"/>
              </w:rPr>
            </w:pPr>
            <w:r>
              <w:rPr>
                <w:rFonts w:ascii="宋体" w:eastAsia="宋体" w:hAnsi="宋体" w:cs="宋体" w:hint="eastAsia"/>
                <w:b w:val="0"/>
                <w:bCs w:val="0"/>
                <w:kern w:val="0"/>
                <w:sz w:val="18"/>
                <w:szCs w:val="18"/>
              </w:rPr>
              <w:t>1</w:t>
            </w:r>
          </w:p>
        </w:tc>
        <w:tc>
          <w:tcPr>
            <w:tcW w:w="1320" w:type="dxa"/>
            <w:noWrap w:val="0"/>
            <w:vAlign w:val="center"/>
          </w:tcPr>
          <w:p>
            <w:pPr>
              <w:spacing w:line="320" w:lineRule="exact"/>
              <w:jc w:val="center"/>
              <w:rPr>
                <w:rFonts w:ascii="宋体" w:eastAsia="宋体" w:hAnsi="宋体" w:cs="宋体" w:hint="default"/>
                <w:kern w:val="20"/>
                <w:sz w:val="18"/>
                <w:szCs w:val="18"/>
              </w:rPr>
            </w:pPr>
            <w:r>
              <w:rPr>
                <w:rFonts w:ascii="宋体" w:eastAsia="宋体" w:hAnsi="宋体" w:cs="宋体" w:hint="eastAsia"/>
                <w:kern w:val="20"/>
                <w:sz w:val="18"/>
                <w:szCs w:val="18"/>
                <w:lang w:val="en-US" w:eastAsia="zh-CN"/>
              </w:rPr>
              <w:t>湖南省邵阳市气象局</w:t>
            </w:r>
          </w:p>
        </w:tc>
        <w:tc>
          <w:tcPr>
            <w:tcW w:w="2411" w:type="dxa"/>
            <w:noWrap w:val="0"/>
            <w:vAlign w:val="center"/>
          </w:tcPr>
          <w:p>
            <w:pPr>
              <w:spacing w:line="320" w:lineRule="exact"/>
              <w:jc w:val="center"/>
              <w:rPr>
                <w:rFonts w:ascii="宋体" w:eastAsia="宋体" w:hAnsi="宋体" w:cs="宋体" w:hint="default"/>
                <w:kern w:val="20"/>
                <w:sz w:val="18"/>
                <w:szCs w:val="18"/>
              </w:rPr>
            </w:pPr>
            <w:r>
              <w:rPr>
                <w:rFonts w:ascii="宋体" w:eastAsia="宋体" w:hAnsi="宋体" w:cs="宋体" w:hint="eastAsia"/>
                <w:kern w:val="20"/>
                <w:sz w:val="18"/>
                <w:szCs w:val="18"/>
                <w:lang w:val="en-US" w:eastAsia="zh-CN"/>
              </w:rPr>
              <w:t>S波段新一代天气雷达系统</w:t>
            </w:r>
          </w:p>
        </w:tc>
        <w:tc>
          <w:tcPr>
            <w:tcW w:w="620" w:type="dxa"/>
            <w:noWrap w:val="0"/>
            <w:vAlign w:val="center"/>
          </w:tcPr>
          <w:p>
            <w:pPr>
              <w:spacing w:line="320" w:lineRule="exact"/>
              <w:jc w:val="center"/>
              <w:rPr>
                <w:rFonts w:ascii="宋体" w:eastAsia="宋体" w:hAnsi="宋体" w:cs="宋体" w:hint="eastAsia"/>
                <w:kern w:val="20"/>
                <w:sz w:val="18"/>
                <w:szCs w:val="18"/>
              </w:rPr>
            </w:pPr>
            <w:r>
              <w:rPr>
                <w:rFonts w:ascii="宋体" w:eastAsia="宋体" w:hAnsi="宋体" w:cs="宋体" w:hint="eastAsia"/>
                <w:kern w:val="20"/>
                <w:sz w:val="18"/>
                <w:szCs w:val="18"/>
                <w:lang w:val="en-US" w:eastAsia="zh-CN"/>
              </w:rPr>
              <w:t>1</w:t>
            </w:r>
          </w:p>
        </w:tc>
        <w:tc>
          <w:tcPr>
            <w:tcW w:w="672" w:type="dxa"/>
            <w:noWrap w:val="0"/>
            <w:vAlign w:val="center"/>
          </w:tcPr>
          <w:p>
            <w:pPr>
              <w:spacing w:line="320" w:lineRule="exact"/>
              <w:jc w:val="center"/>
              <w:rPr>
                <w:rFonts w:ascii="宋体" w:eastAsia="宋体" w:hAnsi="宋体" w:cs="宋体" w:hint="eastAsia"/>
                <w:kern w:val="20"/>
                <w:sz w:val="18"/>
                <w:szCs w:val="18"/>
                <w:lang w:val="zh-CN"/>
              </w:rPr>
            </w:pPr>
            <w:r>
              <w:rPr>
                <w:rFonts w:ascii="宋体" w:eastAsia="宋体" w:hAnsi="宋体" w:cs="宋体" w:hint="eastAsia"/>
                <w:kern w:val="20"/>
                <w:sz w:val="18"/>
                <w:szCs w:val="18"/>
                <w:lang w:val="zh-CN"/>
              </w:rPr>
              <w:t>套</w:t>
            </w:r>
          </w:p>
        </w:tc>
        <w:tc>
          <w:tcPr>
            <w:tcW w:w="953" w:type="dxa"/>
            <w:noWrap w:val="0"/>
            <w:vAlign w:val="center"/>
          </w:tcPr>
          <w:p>
            <w:pPr>
              <w:autoSpaceDE w:val="0"/>
              <w:jc w:val="center"/>
              <w:rPr>
                <w:rFonts w:ascii="宋体" w:eastAsia="宋体" w:hAnsi="宋体" w:cs="宋体" w:hint="default"/>
                <w:b w:val="0"/>
                <w:bCs w:val="0"/>
                <w:kern w:val="0"/>
                <w:sz w:val="18"/>
                <w:szCs w:val="18"/>
                <w:lang w:val="en"/>
              </w:rPr>
            </w:pPr>
            <w:r>
              <w:rPr>
                <w:rFonts w:ascii="宋体" w:eastAsia="宋体" w:hAnsi="宋体" w:cs="宋体" w:hint="default"/>
                <w:b w:val="0"/>
                <w:bCs w:val="0"/>
                <w:kern w:val="0"/>
                <w:sz w:val="18"/>
                <w:szCs w:val="18"/>
                <w:lang w:val="en" w:eastAsia="zh-CN"/>
              </w:rPr>
              <w:t>1450</w:t>
            </w:r>
          </w:p>
        </w:tc>
        <w:tc>
          <w:tcPr>
            <w:tcW w:w="795" w:type="dxa"/>
            <w:noWrap w:val="0"/>
            <w:vAlign w:val="center"/>
          </w:tcPr>
          <w:p>
            <w:pPr>
              <w:autoSpaceDE w:val="0"/>
              <w:jc w:val="center"/>
              <w:rPr>
                <w:rFonts w:ascii="宋体" w:eastAsia="宋体" w:hAnsi="宋体" w:cs="宋体" w:hint="default"/>
                <w:b w:val="0"/>
                <w:bCs w:val="0"/>
                <w:kern w:val="0"/>
                <w:sz w:val="18"/>
                <w:szCs w:val="18"/>
              </w:rPr>
            </w:pPr>
            <w:r>
              <w:rPr>
                <w:rFonts w:ascii="宋体" w:eastAsia="宋体" w:hAnsi="宋体" w:cs="宋体" w:hint="eastAsia"/>
                <w:b w:val="0"/>
                <w:bCs w:val="0"/>
                <w:kern w:val="0"/>
                <w:sz w:val="18"/>
                <w:szCs w:val="18"/>
                <w:lang w:val="en-US" w:eastAsia="zh-CN"/>
              </w:rPr>
              <w:t>180</w:t>
            </w:r>
          </w:p>
        </w:tc>
        <w:tc>
          <w:tcPr>
            <w:tcW w:w="1065" w:type="dxa"/>
            <w:noWrap w:val="0"/>
            <w:vAlign w:val="center"/>
          </w:tcPr>
          <w:p>
            <w:pPr>
              <w:autoSpaceDE w:val="0"/>
              <w:autoSpaceDN w:val="0"/>
              <w:adjustRightInd w:val="0"/>
              <w:spacing w:before="48"/>
              <w:ind w:right="-20"/>
              <w:jc w:val="center"/>
              <w:rPr>
                <w:rFonts w:ascii="宋体" w:eastAsia="宋体" w:hAnsi="宋体" w:cs="宋体" w:hint="default"/>
                <w:b w:val="0"/>
                <w:bCs w:val="0"/>
                <w:kern w:val="0"/>
                <w:sz w:val="18"/>
                <w:szCs w:val="18"/>
              </w:rPr>
            </w:pPr>
            <w:r>
              <w:rPr>
                <w:rFonts w:ascii="宋体" w:eastAsia="宋体" w:hAnsi="宋体" w:cs="宋体" w:hint="eastAsia"/>
                <w:b w:val="0"/>
                <w:bCs w:val="0"/>
                <w:kern w:val="0"/>
                <w:sz w:val="18"/>
                <w:szCs w:val="18"/>
                <w:lang w:val="en" w:eastAsia="zh-CN"/>
              </w:rPr>
              <w:t>从雷达验收合格交付用户使用之日起，雷达系统质保期8年*</w:t>
            </w:r>
          </w:p>
        </w:tc>
      </w:tr>
      <w:tr>
        <w:tblPrEx>
          <w:tblW w:w="8666" w:type="dxa"/>
          <w:jc w:val="center"/>
          <w:tblLayout w:type="fixed"/>
          <w:tblCellMar>
            <w:top w:w="0" w:type="dxa"/>
            <w:left w:w="108" w:type="dxa"/>
            <w:bottom w:w="0" w:type="dxa"/>
            <w:right w:w="108" w:type="dxa"/>
          </w:tblCellMar>
        </w:tblPrEx>
        <w:trPr>
          <w:trHeight w:val="343"/>
          <w:jc w:val="center"/>
        </w:trPr>
        <w:tc>
          <w:tcPr>
            <w:tcW w:w="830" w:type="dxa"/>
            <w:noWrap w:val="0"/>
            <w:vAlign w:val="top"/>
          </w:tcPr>
          <w:p>
            <w:pPr>
              <w:autoSpaceDE w:val="0"/>
              <w:jc w:val="center"/>
              <w:rPr>
                <w:rFonts w:ascii="宋体" w:eastAsia="宋体" w:hAnsi="宋体" w:cs="宋体" w:hint="eastAsia"/>
                <w:b w:val="0"/>
                <w:bCs w:val="0"/>
                <w:kern w:val="0"/>
                <w:sz w:val="18"/>
                <w:szCs w:val="18"/>
              </w:rPr>
            </w:pPr>
            <w:r>
              <w:rPr>
                <w:rFonts w:ascii="宋体" w:eastAsia="宋体" w:hAnsi="宋体" w:cs="宋体" w:hint="eastAsia"/>
                <w:b w:val="0"/>
                <w:bCs w:val="0"/>
                <w:sz w:val="18"/>
                <w:szCs w:val="18"/>
              </w:rPr>
              <w:t>合计</w:t>
            </w:r>
          </w:p>
        </w:tc>
        <w:tc>
          <w:tcPr>
            <w:tcW w:w="1320" w:type="dxa"/>
            <w:noWrap w:val="0"/>
            <w:vAlign w:val="center"/>
          </w:tcPr>
          <w:p>
            <w:pPr>
              <w:autoSpaceDE w:val="0"/>
              <w:jc w:val="center"/>
              <w:rPr>
                <w:rFonts w:ascii="宋体" w:eastAsia="宋体" w:hAnsi="宋体" w:cs="宋体" w:hint="eastAsia"/>
                <w:b w:val="0"/>
                <w:bCs w:val="0"/>
                <w:kern w:val="0"/>
                <w:sz w:val="18"/>
                <w:szCs w:val="18"/>
              </w:rPr>
            </w:pPr>
          </w:p>
        </w:tc>
        <w:tc>
          <w:tcPr>
            <w:tcW w:w="6516" w:type="dxa"/>
            <w:gridSpan w:val="6"/>
            <w:noWrap w:val="0"/>
            <w:vAlign w:val="center"/>
          </w:tcPr>
          <w:p>
            <w:pPr>
              <w:autoSpaceDE w:val="0"/>
              <w:jc w:val="center"/>
              <w:rPr>
                <w:rFonts w:ascii="宋体" w:eastAsia="宋体" w:hAnsi="宋体" w:cs="宋体" w:hint="default"/>
                <w:b w:val="0"/>
                <w:bCs w:val="0"/>
                <w:kern w:val="0"/>
                <w:sz w:val="18"/>
                <w:szCs w:val="18"/>
                <w:lang w:val="en"/>
              </w:rPr>
            </w:pPr>
            <w:r>
              <w:rPr>
                <w:rFonts w:ascii="宋体" w:eastAsia="宋体" w:hAnsi="宋体" w:cs="宋体" w:hint="default"/>
                <w:b w:val="0"/>
                <w:bCs w:val="0"/>
                <w:kern w:val="0"/>
                <w:sz w:val="18"/>
                <w:szCs w:val="18"/>
                <w:lang w:val="en" w:eastAsia="zh-CN"/>
              </w:rPr>
              <w:t>1450</w:t>
            </w:r>
          </w:p>
        </w:tc>
      </w:tr>
    </w:tbl>
    <w:p>
      <w:pPr>
        <w:rPr>
          <w:rFonts w:ascii="仿宋_GB2312" w:eastAsia="仿宋_GB2312" w:hAnsi="仿宋_GB2312" w:cs="仿宋_GB2312" w:hint="eastAsia"/>
          <w:sz w:val="28"/>
          <w:szCs w:val="20"/>
        </w:rPr>
      </w:pPr>
    </w:p>
    <w:p>
      <w:pPr>
        <w:spacing w:line="360" w:lineRule="auto"/>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二、售后</w:t>
      </w:r>
      <w:r>
        <w:rPr>
          <w:rFonts w:ascii="仿宋_GB2312" w:eastAsia="仿宋_GB2312" w:hAnsi="仿宋_GB2312" w:cs="仿宋_GB2312" w:hint="eastAsia"/>
          <w:b/>
          <w:bCs/>
          <w:sz w:val="28"/>
          <w:szCs w:val="20"/>
          <w:lang w:val="en-US" w:eastAsia="zh-CN"/>
        </w:rPr>
        <w:t>及质保服务</w:t>
      </w:r>
      <w:r>
        <w:rPr>
          <w:rFonts w:ascii="仿宋_GB2312" w:eastAsia="仿宋_GB2312" w:hAnsi="仿宋_GB2312" w:cs="仿宋_GB2312" w:hint="eastAsia"/>
          <w:b/>
          <w:bCs/>
          <w:sz w:val="28"/>
          <w:szCs w:val="20"/>
        </w:rPr>
        <w:t>要求</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设备供应商需提供详细售后服务方案，包括设备售后服务组织机构、人员组成、技术支持文档等。其中，售后服务组织</w:t>
      </w:r>
      <w:r>
        <w:rPr>
          <w:rFonts w:ascii="仿宋_GB2312" w:eastAsia="仿宋_GB2312" w:hAnsi="仿宋_GB2312" w:cs="仿宋_GB2312" w:hint="eastAsia"/>
          <w:sz w:val="28"/>
          <w:szCs w:val="20"/>
        </w:rPr>
        <w:t>机构设置合理，人员技术能力强，技术文档内容全面。</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1、设备供应商需提供详细售后服务方案，包括设备售后服务组织机构、人员组成、技术支持文档等。其中，售后服务组织机构设置合理，人员技术能力强，技术文档内容全面。</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2、设备供应商对所有设备提供自验收合格后8年的</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服务</w:t>
      </w:r>
      <w:r>
        <w:rPr>
          <w:rFonts w:ascii="仿宋_GB2312" w:eastAsia="仿宋_GB2312" w:hAnsi="仿宋_GB2312" w:cs="仿宋_GB2312" w:hint="eastAsia"/>
          <w:sz w:val="28"/>
          <w:szCs w:val="20"/>
          <w:lang w:eastAsia="zh-CN"/>
        </w:rPr>
        <w:t>（从雷达验收合格交付用户使用之日起，雷达系统质保期8年*）</w:t>
      </w:r>
      <w:r>
        <w:rPr>
          <w:rFonts w:ascii="仿宋_GB2312" w:eastAsia="仿宋_GB2312" w:hAnsi="仿宋_GB2312" w:cs="仿宋_GB2312" w:hint="eastAsia"/>
          <w:sz w:val="28"/>
          <w:szCs w:val="20"/>
        </w:rPr>
        <w:t>，需提供设备</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承诺函原件（格式自拟）。保修期内因设备设计、质量出现问题，均由设备供应商即时无偿解决（包括更换器件）；设备安装后的试运行期间（六个月）内，遇设备故障或数据明显异常、性能不达标等，中标人负责72小时内到站对故障设备进行测试和更换，确保设备正常投入业务运行。</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期过后，设备供应商仍有义务提供远程技术服务（包括提供设备维护、备件等）。</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3、</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期服务内容要求：</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（1）</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期内，因设备故障，投标人进行设备维修保障或更换时，需自备维修保障耗材和更换配件。</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（2）每年需至少开展1次现场巡检，同时需提供必要的软件升级服务。</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（3）</w:t>
      </w:r>
      <w:r>
        <w:rPr>
          <w:rFonts w:ascii="仿宋_GB2312" w:eastAsia="仿宋_GB2312" w:hAnsi="仿宋_GB2312" w:cs="仿宋_GB2312" w:hint="eastAsia"/>
          <w:sz w:val="28"/>
          <w:szCs w:val="20"/>
          <w:lang w:eastAsia="zh-CN"/>
        </w:rPr>
        <w:t>质保</w:t>
      </w:r>
      <w:r>
        <w:rPr>
          <w:rFonts w:ascii="仿宋_GB2312" w:eastAsia="仿宋_GB2312" w:hAnsi="仿宋_GB2312" w:cs="仿宋_GB2312" w:hint="eastAsia"/>
          <w:sz w:val="28"/>
          <w:szCs w:val="20"/>
        </w:rPr>
        <w:t>期满后，仍有义务提供远程技术服务等支持。</w:t>
      </w:r>
    </w:p>
    <w:p>
      <w:pPr>
        <w:spacing w:line="360" w:lineRule="auto"/>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三、培训要求</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中标人应向用户提供至少2次培训，培训课时不少于8个课时，包含现场安装培训和集中授课培训，其中集中授课培训人数要求每套设备至少2人，并邀请项目建设单位参与。培训内容包括设备安装、使用、日常维护、观测原理及产品应用，培训时间及地点双方协商确定。</w:t>
      </w:r>
    </w:p>
    <w:p>
      <w:pPr>
        <w:spacing w:line="360" w:lineRule="auto"/>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四、交货要求及履约地点</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中标供应商将所有设备运送至</w:t>
      </w:r>
      <w:r>
        <w:rPr>
          <w:rFonts w:ascii="仿宋_GB2312" w:eastAsia="仿宋_GB2312" w:hAnsi="仿宋_GB2312" w:cs="仿宋_GB2312" w:hint="eastAsia"/>
          <w:sz w:val="28"/>
          <w:szCs w:val="20"/>
          <w:lang w:val="en-US" w:eastAsia="zh-CN"/>
        </w:rPr>
        <w:t>湖南省邵阳市</w:t>
      </w:r>
      <w:r>
        <w:rPr>
          <w:rFonts w:ascii="仿宋_GB2312" w:eastAsia="仿宋_GB2312" w:hAnsi="仿宋_GB2312" w:cs="仿宋_GB2312" w:hint="eastAsia"/>
          <w:sz w:val="28"/>
          <w:szCs w:val="20"/>
        </w:rPr>
        <w:t>（运输相关费用由供应商负责），并负责安装调试。</w:t>
      </w:r>
    </w:p>
    <w:p>
      <w:pPr>
        <w:spacing w:line="360" w:lineRule="auto"/>
        <w:ind w:left="559" w:firstLine="0" w:leftChars="266" w:firstLineChars="0"/>
        <w:rPr>
          <w:rFonts w:ascii="仿宋_GB2312" w:eastAsia="仿宋_GB2312" w:hAnsi="仿宋_GB2312" w:cs="仿宋_GB2312" w:hint="eastAsia"/>
          <w:b/>
          <w:bCs/>
          <w:sz w:val="28"/>
          <w:szCs w:val="20"/>
        </w:rPr>
      </w:pPr>
      <w:r>
        <w:rPr>
          <w:rFonts w:ascii="仿宋_GB2312" w:eastAsia="仿宋_GB2312" w:hAnsi="仿宋_GB2312" w:cs="仿宋_GB2312" w:hint="eastAsia"/>
          <w:sz w:val="28"/>
          <w:szCs w:val="20"/>
        </w:rPr>
        <w:t>合同签订后</w:t>
      </w:r>
      <w:r>
        <w:rPr>
          <w:rFonts w:ascii="仿宋_GB2312" w:eastAsia="仿宋_GB2312" w:hAnsi="仿宋_GB2312" w:cs="仿宋_GB2312" w:hint="eastAsia"/>
          <w:sz w:val="28"/>
          <w:szCs w:val="20"/>
          <w:lang w:val="en-US" w:eastAsia="zh-CN"/>
        </w:rPr>
        <w:t>18</w:t>
      </w:r>
      <w:r>
        <w:rPr>
          <w:rFonts w:ascii="仿宋_GB2312" w:eastAsia="仿宋_GB2312" w:hAnsi="仿宋_GB2312" w:cs="仿宋_GB2312" w:hint="eastAsia"/>
          <w:sz w:val="28"/>
          <w:szCs w:val="20"/>
        </w:rPr>
        <w:t>0天内完成供货、安装调试并具备验收条件。</w:t>
      </w:r>
      <w:r>
        <w:rPr>
          <w:rFonts w:ascii="仿宋_GB2312" w:eastAsia="仿宋_GB2312" w:hAnsi="仿宋_GB2312" w:cs="仿宋_GB2312" w:hint="eastAsia"/>
          <w:sz w:val="28"/>
          <w:szCs w:val="20"/>
        </w:rPr>
        <w:br/>
      </w:r>
      <w:r>
        <w:rPr>
          <w:rFonts w:ascii="仿宋_GB2312" w:eastAsia="仿宋_GB2312" w:hAnsi="仿宋_GB2312" w:cs="仿宋_GB2312" w:hint="eastAsia"/>
          <w:b/>
          <w:bCs/>
          <w:sz w:val="28"/>
          <w:szCs w:val="20"/>
        </w:rPr>
        <w:t>五、服务团队要求</w:t>
      </w:r>
    </w:p>
    <w:p>
      <w:pPr>
        <w:spacing w:line="360" w:lineRule="auto"/>
        <w:ind w:firstLine="560" w:firstLineChars="200"/>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六、投标产品软件兼容性要求</w:t>
      </w:r>
    </w:p>
    <w:p>
      <w:pPr>
        <w:spacing w:line="360" w:lineRule="auto"/>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rPr>
        <w:t>设备软件兼容性强，设备数据传输模式、数据格式、数据通讯协议满足国家局下发的</w:t>
      </w:r>
      <w:r>
        <w:rPr>
          <w:rFonts w:ascii="仿宋_GB2312" w:eastAsia="仿宋_GB2312" w:hAnsi="仿宋_GB2312" w:cs="仿宋_GB2312" w:hint="eastAsia"/>
          <w:b w:val="0"/>
          <w:bCs w:val="0"/>
          <w:sz w:val="28"/>
          <w:szCs w:val="20"/>
          <w:lang w:val="en-US" w:eastAsia="zh-CN"/>
        </w:rPr>
        <w:t>蒸散量观测系统性能指标</w:t>
      </w:r>
      <w:r>
        <w:rPr>
          <w:rFonts w:ascii="仿宋_GB2312" w:eastAsia="仿宋_GB2312" w:hAnsi="仿宋_GB2312" w:cs="仿宋_GB2312" w:hint="eastAsia"/>
          <w:b w:val="0"/>
          <w:bCs w:val="0"/>
          <w:sz w:val="28"/>
          <w:szCs w:val="20"/>
        </w:rPr>
        <w:t>，设备观测数据完全符合甲方相关要求和规范，保证其系统的兼容性和功能的完整性。</w:t>
      </w:r>
    </w:p>
    <w:p>
      <w:pPr>
        <w:numPr>
          <w:ilvl w:val="0"/>
          <w:numId w:val="3"/>
        </w:numPr>
        <w:ind w:firstLine="560" w:firstLineChars="200"/>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val="en-US" w:eastAsia="zh-CN"/>
        </w:rPr>
        <w:t>建设要求</w:t>
      </w:r>
    </w:p>
    <w:p>
      <w:pPr>
        <w:numPr>
          <w:ilvl w:val="0"/>
          <w:numId w:val="0"/>
        </w:numPr>
        <w:ind w:firstLine="560" w:firstLineChars="200"/>
        <w:rPr>
          <w:rFonts w:ascii="仿宋_GB2312" w:eastAsia="仿宋_GB2312" w:hAnsi="仿宋_GB2312" w:cs="仿宋_GB2312" w:hint="default"/>
          <w:b w:val="0"/>
          <w:bCs w:val="0"/>
          <w:sz w:val="28"/>
          <w:szCs w:val="20"/>
        </w:rPr>
      </w:pPr>
      <w:r>
        <w:rPr>
          <w:rFonts w:ascii="仿宋_GB2312" w:eastAsia="仿宋_GB2312" w:hAnsi="仿宋_GB2312" w:cs="仿宋_GB2312" w:hint="default"/>
          <w:b w:val="0"/>
          <w:bCs w:val="0"/>
          <w:sz w:val="28"/>
          <w:szCs w:val="20"/>
          <w:lang w:val="en-US" w:eastAsia="zh-CN"/>
        </w:rPr>
        <w:t>因项目为气象雷达项目，对环境及位置有特殊要求，根据雷达的特性及无线通道要求合理布置总平面</w:t>
      </w:r>
      <w:r>
        <w:rPr>
          <w:rFonts w:ascii="仿宋_GB2312" w:eastAsia="仿宋_GB2312" w:hAnsi="仿宋_GB2312" w:cs="仿宋_GB2312" w:hint="eastAsia"/>
          <w:b w:val="0"/>
          <w:bCs w:val="0"/>
          <w:sz w:val="28"/>
          <w:szCs w:val="20"/>
          <w:lang w:val="en-US" w:eastAsia="zh-CN"/>
        </w:rPr>
        <w:t>，符合</w:t>
      </w:r>
      <w:r>
        <w:rPr>
          <w:rFonts w:ascii="仿宋_GB2312" w:eastAsia="仿宋_GB2312" w:hAnsi="仿宋_GB2312" w:cs="仿宋_GB2312" w:hint="default"/>
          <w:b w:val="0"/>
          <w:bCs w:val="0"/>
          <w:sz w:val="28"/>
          <w:szCs w:val="20"/>
          <w:lang w:val="en-US" w:eastAsia="zh-CN"/>
        </w:rPr>
        <w:t>《民用建筑设计统一标准》GB50352-2019</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《城市用地竖向规划规范》</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CJJ83-2016</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《城市道路绿化规划与设计规范》</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GJJ75-97</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《中国新一代天气雷达CINRAD用户手册》</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《通用雷达站设计标准》</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GB51418-202</w:t>
      </w:r>
      <w:r>
        <w:rPr>
          <w:rFonts w:ascii="仿宋_GB2312" w:eastAsia="仿宋_GB2312" w:hAnsi="仿宋_GB2312" w:cs="仿宋_GB2312" w:hint="eastAsia"/>
          <w:b w:val="0"/>
          <w:bCs w:val="0"/>
          <w:sz w:val="28"/>
          <w:szCs w:val="20"/>
          <w:lang w:val="en-US" w:eastAsia="zh-CN"/>
        </w:rPr>
        <w:t>)等规范标准</w:t>
      </w:r>
      <w:r>
        <w:rPr>
          <w:rFonts w:ascii="仿宋_GB2312" w:eastAsia="仿宋_GB2312" w:hAnsi="仿宋_GB2312" w:cs="仿宋_GB2312" w:hint="default"/>
          <w:b w:val="0"/>
          <w:bCs w:val="0"/>
          <w:sz w:val="28"/>
          <w:szCs w:val="20"/>
          <w:lang w:val="en-US" w:eastAsia="zh-CN"/>
        </w:rPr>
        <w:t>。项目施工过程中建造临时围挡，待完工后拆除围挡并建造永久封闭围墙，不允许社会车辆及人员在基地内停留，满足安全警戒要求。</w:t>
      </w:r>
      <w:r>
        <w:rPr>
          <w:rFonts w:ascii="仿宋_GB2312" w:eastAsia="仿宋_GB2312" w:hAnsi="仿宋_GB2312" w:cs="仿宋_GB2312" w:hint="eastAsia"/>
          <w:b w:val="0"/>
          <w:bCs w:val="0"/>
          <w:sz w:val="28"/>
          <w:szCs w:val="20"/>
          <w:lang w:val="en-US" w:eastAsia="zh-CN"/>
        </w:rPr>
        <w:t>因项目为气象雷达项目，对环境及位置有特殊要求，</w:t>
      </w:r>
    </w:p>
    <w:p>
      <w:pPr>
        <w:numPr>
          <w:ilvl w:val="0"/>
          <w:numId w:val="0"/>
        </w:numPr>
        <w:jc w:val="center"/>
        <w:rPr>
          <w:rFonts w:ascii="仿宋_GB2312" w:eastAsia="仿宋_GB2312" w:hAnsi="仿宋_GB2312" w:cs="仿宋_GB2312" w:hint="default"/>
          <w:b w:val="0"/>
          <w:bCs w:val="0"/>
          <w:sz w:val="28"/>
          <w:szCs w:val="20"/>
        </w:rPr>
      </w:pPr>
      <w:r>
        <w:rPr>
          <w:rFonts w:ascii="Times New Roman" w:hAnsi="Times New Roman" w:cs="Times New Roman" w:hint="default"/>
        </w:rPr>
        <w:drawing>
          <wp:inline distT="0" distB="0" distL="114300" distR="114300">
            <wp:extent cx="5250180" cy="2487930"/>
            <wp:effectExtent l="0" t="0" r="7620" b="7620"/>
            <wp:docPr id="38"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 descr="IMG_256"/>
                    <pic:cNvPicPr>
                      <a:picLocks noChangeAspect="1"/>
                    </pic:cNvPicPr>
                  </pic:nvPicPr>
                  <pic:blipFill>
                    <a:blip xmlns:r="http://schemas.openxmlformats.org/officeDocument/2006/relationships" r:embed="rId10"/>
                    <a:stretch>
                      <a:fillRect/>
                    </a:stretch>
                  </pic:blipFill>
                  <pic:spPr>
                    <a:xfrm>
                      <a:off x="0" y="0"/>
                      <a:ext cx="5250180" cy="2487930"/>
                    </a:xfrm>
                    <a:prstGeom prst="rect">
                      <a:avLst/>
                    </a:prstGeom>
                    <a:noFill/>
                    <a:ln w="9525">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jc w:val="center"/>
        <w:textAlignment w:val="auto"/>
        <w:rPr>
          <w:rFonts w:ascii="仿宋_GB2312" w:eastAsia="仿宋_GB2312" w:hAnsi="仿宋_GB2312" w:cs="仿宋_GB2312" w:hint="default"/>
          <w:b w:val="0"/>
          <w:bCs w:val="0"/>
          <w:sz w:val="28"/>
          <w:szCs w:val="20"/>
        </w:rPr>
      </w:pPr>
      <w:r>
        <w:rPr>
          <w:rFonts w:ascii="仿宋_GB2312" w:eastAsia="仿宋_GB2312" w:hAnsi="仿宋_GB2312" w:cs="仿宋_GB2312" w:hint="default"/>
          <w:b w:val="0"/>
          <w:bCs w:val="0"/>
          <w:sz w:val="28"/>
          <w:szCs w:val="20"/>
          <w:lang w:val="en-US" w:eastAsia="zh-CN"/>
        </w:rPr>
        <w:t>图</w:t>
      </w:r>
      <w:r>
        <w:rPr>
          <w:rFonts w:ascii="仿宋_GB2312" w:eastAsia="仿宋_GB2312" w:hAnsi="仿宋_GB2312" w:cs="仿宋_GB2312" w:hint="eastAsia"/>
          <w:b w:val="0"/>
          <w:bCs w:val="0"/>
          <w:sz w:val="28"/>
          <w:szCs w:val="20"/>
          <w:lang w:val="en-US" w:eastAsia="zh-CN"/>
        </w:rPr>
        <w:t>1</w:t>
      </w:r>
      <w:r>
        <w:rPr>
          <w:rFonts w:ascii="仿宋_GB2312" w:eastAsia="仿宋_GB2312" w:hAnsi="仿宋_GB2312" w:cs="仿宋_GB2312" w:hint="default"/>
          <w:b w:val="0"/>
          <w:bCs w:val="0"/>
          <w:sz w:val="28"/>
          <w:szCs w:val="20"/>
          <w:lang w:val="en-US" w:eastAsia="zh-CN"/>
        </w:rPr>
        <w:t>总平面布置图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default"/>
          <w:b w:val="0"/>
          <w:bCs w:val="0"/>
          <w:sz w:val="28"/>
          <w:szCs w:val="20"/>
        </w:rPr>
      </w:pPr>
      <w:r>
        <w:rPr>
          <w:rFonts w:ascii="仿宋_GB2312" w:eastAsia="仿宋_GB2312" w:hAnsi="仿宋_GB2312" w:cs="仿宋_GB2312" w:hint="default"/>
          <w:b w:val="0"/>
          <w:bCs w:val="0"/>
          <w:sz w:val="28"/>
          <w:szCs w:val="20"/>
          <w:lang w:val="en-US" w:eastAsia="zh-CN"/>
        </w:rPr>
        <w:t>本项目建筑建设用场地地形坡降不大，整体平坦。竖向标高设计尽可能和周边规划道路保持一致，同时也尽量做到内部土方平衡，减少土方外运量，考虑到湖南雨水的综合利用，绿化高程低于地坪0.1m。</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仿宋_GB2312" w:eastAsia="仿宋_GB2312" w:hAnsi="仿宋_GB2312" w:cs="仿宋_GB2312" w:hint="default"/>
          <w:b w:val="0"/>
          <w:bCs w:val="0"/>
          <w:sz w:val="28"/>
          <w:szCs w:val="20"/>
        </w:rPr>
      </w:pPr>
      <w:r>
        <w:rPr>
          <w:rFonts w:ascii="仿宋_GB2312" w:eastAsia="仿宋_GB2312" w:hAnsi="仿宋_GB2312" w:cs="仿宋_GB2312" w:hint="default"/>
          <w:b w:val="0"/>
          <w:bCs w:val="0"/>
          <w:sz w:val="28"/>
          <w:szCs w:val="20"/>
          <w:lang w:val="en-US" w:eastAsia="zh-CN"/>
        </w:rPr>
        <w:t>场地尽量减少土方开挖回填，利用地形合理规划。尽量减少挡土墙施工，利用场地形态，吊装场地坡度不大于3%，采用自然放坡形式解决场地高差。场地地表水不作收集，直接排入山林。室外给水管道、污水管道、电气线路、通讯电缆等均采用地下敷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default"/>
          <w:b w:val="0"/>
          <w:bCs w:val="0"/>
          <w:sz w:val="28"/>
          <w:szCs w:val="20"/>
        </w:rPr>
      </w:pPr>
      <w:r>
        <w:rPr>
          <w:rFonts w:ascii="仿宋_GB2312" w:eastAsia="仿宋_GB2312" w:hAnsi="仿宋_GB2312" w:cs="仿宋_GB2312" w:hint="default"/>
          <w:b w:val="0"/>
          <w:bCs w:val="0"/>
          <w:sz w:val="28"/>
          <w:szCs w:val="20"/>
          <w:lang w:val="en-US" w:eastAsia="zh-CN"/>
        </w:rPr>
        <w:t>场地设计包括交通组织</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绿化环境设计</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无障碍设计</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室外工程设计</w:t>
      </w:r>
      <w:r>
        <w:rPr>
          <w:rFonts w:ascii="仿宋_GB2312" w:eastAsia="仿宋_GB2312" w:hAnsi="仿宋_GB2312" w:cs="仿宋_GB2312" w:hint="eastAsia"/>
          <w:b w:val="0"/>
          <w:bCs w:val="0"/>
          <w:sz w:val="28"/>
          <w:szCs w:val="20"/>
          <w:lang w:val="en-US" w:eastAsia="zh-CN"/>
        </w:rPr>
        <w:t>需满足</w:t>
      </w:r>
      <w:r>
        <w:rPr>
          <w:rFonts w:ascii="仿宋_GB2312" w:eastAsia="仿宋_GB2312" w:hAnsi="仿宋_GB2312" w:cs="仿宋_GB2312" w:hint="default"/>
          <w:b w:val="0"/>
          <w:bCs w:val="0"/>
          <w:sz w:val="28"/>
          <w:szCs w:val="20"/>
          <w:lang w:val="en-US" w:eastAsia="zh-CN"/>
        </w:rPr>
        <w:t>《民用建筑设计统一标准》</w:t>
      </w:r>
      <w:r>
        <w:rPr>
          <w:rFonts w:ascii="仿宋_GB2312" w:eastAsia="仿宋_GB2312" w:hAnsi="仿宋_GB2312" w:cs="仿宋_GB2312" w:hint="eastAsia"/>
          <w:b w:val="0"/>
          <w:bCs w:val="0"/>
          <w:sz w:val="28"/>
          <w:szCs w:val="20"/>
          <w:lang w:val="en-US" w:eastAsia="zh-CN"/>
        </w:rPr>
        <w:t>（</w:t>
      </w:r>
      <w:r>
        <w:rPr>
          <w:rFonts w:ascii="仿宋_GB2312" w:eastAsia="仿宋_GB2312" w:hAnsi="仿宋_GB2312" w:cs="仿宋_GB2312" w:hint="default"/>
          <w:b w:val="0"/>
          <w:bCs w:val="0"/>
          <w:sz w:val="28"/>
          <w:szCs w:val="20"/>
          <w:lang w:val="en-US" w:eastAsia="zh-CN"/>
        </w:rPr>
        <w:t>GB 50352-2019</w:t>
      </w:r>
      <w:r>
        <w:rPr>
          <w:rFonts w:ascii="仿宋_GB2312" w:eastAsia="仿宋_GB2312" w:hAnsi="仿宋_GB2312" w:cs="仿宋_GB2312" w:hint="eastAsia"/>
          <w:b w:val="0"/>
          <w:bCs w:val="0"/>
          <w:sz w:val="28"/>
          <w:szCs w:val="20"/>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rPr>
        <w:t>八、</w:t>
      </w:r>
      <w:r>
        <w:rPr>
          <w:rFonts w:ascii="仿宋_GB2312" w:eastAsia="仿宋_GB2312" w:hAnsi="仿宋_GB2312" w:cs="仿宋_GB2312" w:hint="eastAsia"/>
          <w:b/>
          <w:bCs/>
          <w:sz w:val="28"/>
          <w:szCs w:val="20"/>
          <w:lang w:val="en-US" w:eastAsia="zh-CN"/>
        </w:rPr>
        <w:t>合同</w:t>
      </w:r>
      <w:r>
        <w:rPr>
          <w:rFonts w:ascii="仿宋_GB2312" w:eastAsia="仿宋_GB2312" w:hAnsi="仿宋_GB2312" w:cs="仿宋_GB2312" w:hint="eastAsia"/>
          <w:b/>
          <w:bCs/>
          <w:sz w:val="28"/>
          <w:szCs w:val="20"/>
        </w:rPr>
        <w:t>付款方式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分期付款：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（1）合同生效后付款：双方签署合同后20个工作日内，乙方向甲方开具合同总金额的</w:t>
      </w:r>
      <w:r>
        <w:rPr>
          <w:rFonts w:ascii="仿宋_GB2312" w:eastAsia="仿宋_GB2312" w:hAnsi="仿宋_GB2312" w:cs="仿宋_GB2312" w:hint="eastAsia"/>
          <w:sz w:val="28"/>
          <w:szCs w:val="20"/>
          <w:lang w:val="en-US" w:eastAsia="zh-CN"/>
        </w:rPr>
        <w:t>75</w:t>
      </w:r>
      <w:r>
        <w:rPr>
          <w:rFonts w:ascii="仿宋_GB2312" w:eastAsia="仿宋_GB2312" w:hAnsi="仿宋_GB2312" w:cs="仿宋_GB2312" w:hint="eastAsia"/>
          <w:sz w:val="28"/>
          <w:szCs w:val="20"/>
        </w:rPr>
        <w:t>% 即人民币</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元（大写）</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（2）到货后付款：设备到货、签收后 20个工作日内，乙方向甲方开具合同总金额的 2</w:t>
      </w:r>
      <w:r>
        <w:rPr>
          <w:rFonts w:ascii="仿宋_GB2312" w:eastAsia="仿宋_GB2312" w:hAnsi="仿宋_GB2312" w:cs="仿宋_GB2312" w:hint="eastAsia"/>
          <w:sz w:val="28"/>
          <w:szCs w:val="20"/>
          <w:lang w:val="en-US" w:eastAsia="zh-CN"/>
        </w:rPr>
        <w:t>0</w:t>
      </w:r>
      <w:r>
        <w:rPr>
          <w:rFonts w:ascii="仿宋_GB2312" w:eastAsia="仿宋_GB2312" w:hAnsi="仿宋_GB2312" w:cs="仿宋_GB2312" w:hint="eastAsia"/>
          <w:sz w:val="28"/>
          <w:szCs w:val="20"/>
        </w:rPr>
        <w:t>% 即人民币</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元（大写）</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元（小写） 的增值税普通发票，同时甲方向乙方支付相应金额款项。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_GB2312" w:eastAsia="仿宋_GB2312" w:hAnsi="仿宋_GB2312" w:cs="仿宋_GB2312" w:hint="eastAsia"/>
          <w:sz w:val="28"/>
          <w:szCs w:val="20"/>
        </w:rPr>
      </w:pPr>
      <w:r>
        <w:rPr>
          <w:rFonts w:ascii="仿宋_GB2312" w:eastAsia="仿宋_GB2312" w:hAnsi="仿宋_GB2312" w:cs="仿宋_GB2312" w:hint="eastAsia"/>
          <w:sz w:val="28"/>
          <w:szCs w:val="20"/>
        </w:rPr>
        <w:t>（3）乙方在合同</w:t>
      </w:r>
      <w:r>
        <w:rPr>
          <w:rFonts w:ascii="仿宋_GB2312" w:eastAsia="仿宋_GB2312" w:hAnsi="仿宋_GB2312" w:cs="仿宋_GB2312" w:hint="eastAsia"/>
          <w:sz w:val="28"/>
          <w:szCs w:val="20"/>
          <w:lang w:val="en-US" w:eastAsia="zh-CN"/>
        </w:rPr>
        <w:t>验收</w:t>
      </w:r>
      <w:r>
        <w:rPr>
          <w:rFonts w:ascii="仿宋_GB2312" w:eastAsia="仿宋_GB2312" w:hAnsi="仿宋_GB2312" w:cs="仿宋_GB2312" w:hint="eastAsia"/>
          <w:sz w:val="28"/>
          <w:szCs w:val="20"/>
        </w:rPr>
        <w:t xml:space="preserve">后20个工作日内，向甲方开具合同总金额的 </w:t>
      </w:r>
      <w:r>
        <w:rPr>
          <w:rFonts w:ascii="仿宋_GB2312" w:eastAsia="仿宋_GB2312" w:hAnsi="仿宋_GB2312" w:cs="仿宋_GB2312" w:hint="eastAsia"/>
          <w:sz w:val="28"/>
          <w:szCs w:val="20"/>
          <w:lang w:val="en-US" w:eastAsia="zh-CN"/>
        </w:rPr>
        <w:t>5</w:t>
      </w:r>
      <w:r>
        <w:rPr>
          <w:rFonts w:ascii="仿宋_GB2312" w:eastAsia="仿宋_GB2312" w:hAnsi="仿宋_GB2312" w:cs="仿宋_GB2312" w:hint="eastAsia"/>
          <w:sz w:val="28"/>
          <w:szCs w:val="20"/>
        </w:rPr>
        <w:t>% 即人民币</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元（大写）</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元（小写） 的增值税普通发票，甲方向乙方支付相应金额款项</w:t>
      </w:r>
      <w:r>
        <w:rPr>
          <w:rFonts w:ascii="仿宋_GB2312" w:eastAsia="仿宋_GB2312" w:hAnsi="仿宋_GB2312" w:cs="仿宋_GB2312" w:hint="eastAsia"/>
          <w:sz w:val="28"/>
          <w:szCs w:val="20"/>
          <w:lang w:eastAsia="zh-CN"/>
        </w:rPr>
        <w:t>。同时乙方向甲方提供5%的银行履约保函，</w:t>
      </w:r>
      <w:r>
        <w:rPr>
          <w:rFonts w:ascii="仿宋_GB2312" w:eastAsia="仿宋_GB2312" w:hAnsi="仿宋_GB2312" w:cs="仿宋_GB2312" w:hint="eastAsia"/>
          <w:sz w:val="28"/>
          <w:szCs w:val="20"/>
        </w:rPr>
        <w:t>即人民币</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元（大写）</w:t>
      </w:r>
      <w:r>
        <w:rPr>
          <w:rFonts w:ascii="仿宋_GB2312" w:eastAsia="仿宋_GB2312" w:hAnsi="仿宋_GB2312" w:cs="仿宋_GB2312" w:hint="eastAsia"/>
          <w:sz w:val="28"/>
          <w:szCs w:val="20"/>
          <w:u w:val="single"/>
        </w:rPr>
        <w:t xml:space="preserve">    </w:t>
      </w:r>
      <w:r>
        <w:rPr>
          <w:rFonts w:ascii="仿宋_GB2312" w:eastAsia="仿宋_GB2312" w:hAnsi="仿宋_GB2312" w:cs="仿宋_GB2312" w:hint="eastAsia"/>
          <w:sz w:val="28"/>
          <w:szCs w:val="20"/>
        </w:rPr>
        <w:t>元（小写）</w:t>
      </w:r>
      <w:r>
        <w:rPr>
          <w:rFonts w:ascii="仿宋_GB2312" w:eastAsia="仿宋_GB2312" w:hAnsi="仿宋_GB2312" w:cs="仿宋_GB2312" w:hint="eastAsia"/>
          <w:sz w:val="28"/>
          <w:szCs w:val="20"/>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_GB2312" w:eastAsia="仿宋_GB2312" w:hAnsi="仿宋_GB2312" w:cs="仿宋_GB2312" w:hint="eastAsia"/>
          <w:b/>
          <w:bCs/>
          <w:sz w:val="28"/>
          <w:szCs w:val="20"/>
        </w:rPr>
      </w:pPr>
      <w:r>
        <w:rPr>
          <w:rFonts w:ascii="仿宋_GB2312" w:eastAsia="仿宋_GB2312" w:hAnsi="仿宋_GB2312" w:cs="仿宋_GB2312" w:hint="eastAsia"/>
          <w:b/>
          <w:bCs/>
          <w:sz w:val="28"/>
          <w:szCs w:val="20"/>
          <w:lang w:val="en-US" w:eastAsia="zh-CN"/>
        </w:rPr>
        <w:t>九</w:t>
      </w:r>
      <w:r>
        <w:rPr>
          <w:rFonts w:ascii="仿宋_GB2312" w:eastAsia="仿宋_GB2312" w:hAnsi="仿宋_GB2312" w:cs="仿宋_GB2312" w:hint="eastAsia"/>
          <w:b/>
          <w:bCs/>
          <w:sz w:val="28"/>
          <w:szCs w:val="20"/>
        </w:rPr>
        <w:t>、检验考核要求</w:t>
      </w:r>
    </w:p>
    <w:p>
      <w:pPr>
        <w:numPr>
          <w:ilvl w:val="0"/>
          <w:numId w:val="0"/>
        </w:numPr>
        <w:ind w:firstLine="560" w:firstLineChars="200"/>
        <w:rPr>
          <w:rFonts w:ascii="仿宋_GB2312" w:eastAsia="仿宋_GB2312" w:hAnsi="仿宋_GB2312" w:cs="仿宋_GB2312" w:hint="default"/>
          <w:b w:val="0"/>
          <w:bCs w:val="0"/>
          <w:sz w:val="28"/>
          <w:szCs w:val="20"/>
        </w:rPr>
      </w:pPr>
      <w:r>
        <w:rPr>
          <w:rFonts w:ascii="仿宋_GB2312" w:eastAsia="仿宋_GB2312" w:hAnsi="仿宋_GB2312" w:cs="仿宋_GB2312" w:hint="eastAsia"/>
          <w:b w:val="0"/>
          <w:bCs w:val="0"/>
          <w:sz w:val="28"/>
          <w:szCs w:val="20"/>
          <w:lang w:val="en-US" w:eastAsia="zh-CN"/>
        </w:rPr>
        <w:t>采购人应对合同设备在考核中应达到的技术性能考核指标进行规定，并可根据合同设备的实际情况，规定可以接受的合同设备的最低技术性能考核指标。</w:t>
      </w:r>
    </w:p>
    <w:p>
      <w:pPr>
        <w:numPr>
          <w:ilvl w:val="0"/>
          <w:numId w:val="0"/>
        </w:num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val="en-US" w:eastAsia="zh-CN"/>
        </w:rPr>
        <w:t>（1）测试期间中标方必须在招标方代表参加的情况下，在工厂环境里验证相关的硬件和软件能够完全正确运行和满足验收方案要求和技术指标，并形成出厂测试报告。如果未能通过出厂验收测试，验收将延期重新进行，由此增加的一切费用由中标方承担。出厂测试验收时，中标方应提供配套软件详细的技术文档，包括但是不限于检测报告、电路图、技术说明书和使用说明书等各1份。</w:t>
      </w:r>
    </w:p>
    <w:p>
      <w:pPr>
        <w:numPr>
          <w:ilvl w:val="0"/>
          <w:numId w:val="0"/>
        </w:numPr>
        <w:ind w:firstLine="560" w:firstLineChars="200"/>
        <w:rPr>
          <w:rFonts w:ascii="仿宋_GB2312" w:eastAsia="仿宋_GB2312" w:hAnsi="仿宋_GB2312" w:cs="仿宋_GB2312" w:hint="eastAsia"/>
          <w:b w:val="0"/>
          <w:bCs w:val="0"/>
          <w:sz w:val="28"/>
          <w:szCs w:val="20"/>
        </w:rPr>
      </w:pPr>
      <w:r>
        <w:rPr>
          <w:rFonts w:ascii="仿宋_GB2312" w:eastAsia="仿宋_GB2312" w:hAnsi="仿宋_GB2312" w:cs="仿宋_GB2312" w:hint="eastAsia"/>
          <w:b w:val="0"/>
          <w:bCs w:val="0"/>
          <w:sz w:val="28"/>
          <w:szCs w:val="20"/>
          <w:lang w:val="en-US" w:eastAsia="zh-CN"/>
        </w:rPr>
        <w:t>（2）现场测试验收应在中标方指定的建设场地对设备和软件进行调试后，经过1个月的试运行，在招标方代表参加的情况下，依据验收方案中相关要求和技术指标对配套软件分别进行现场验收测试并形成现场测试报告。如果未能通过现场验收测试，验收将延期重新进行，由此增加的一切费用由中标方承担。</w:t>
      </w:r>
    </w:p>
    <w:p w:rsidR="00A77B3E"/>
    <w:p>
      <w:pPr>
        <w:adjustRightInd w:val="0"/>
        <w:snapToGrid w:val="0"/>
        <w:spacing w:line="360" w:lineRule="auto"/>
        <w:jc w:val="center"/>
        <w:outlineLvl w:val="1"/>
        <w:rPr>
          <w:rFonts w:hint="default"/>
          <w:b/>
          <w:bCs/>
          <w:sz w:val="30"/>
          <w:szCs w:val="30"/>
        </w:rPr>
        <w:sectPr>
          <w:footerReference w:type="even" r:id="rId11"/>
          <w:footerReference w:type="default" r:id="rId12"/>
          <w:type w:val="nextPage"/>
          <w:pgSz w:w="11906" w:h="16838"/>
          <w:pgMar w:top="2154" w:right="1474" w:bottom="2041" w:left="1587" w:header="709" w:footer="1417" w:gutter="0"/>
          <w:cols w:space="708"/>
          <w:docGrid w:type="linesAndChars" w:linePitch="579" w:charSpace="-849"/>
        </w:sectPr>
      </w:pPr>
      <w:bookmarkEnd w:id="48"/>
    </w:p>
    <w:p>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  响应被拒绝条款专用部分</w:t>
      </w:r>
    </w:p>
    <w:p>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pPr>
              <w:tabs>
                <w:tab w:val="left" w:pos="709"/>
              </w:tabs>
              <w:spacing w:line="360" w:lineRule="auto"/>
              <w:jc w:val="left"/>
              <w:rPr>
                <w:rFonts w:ascii="宋体" w:eastAsia="宋体" w:hAnsi="宋体" w:cs="微软雅黑" w:hint="default"/>
                <w:b/>
                <w:color w:val="0000FF"/>
                <w:kern w:val="0"/>
                <w:sz w:val="18"/>
                <w:szCs w:val="18"/>
              </w:rPr>
            </w:pPr>
            <w:r>
              <w:rPr>
                <w:rFonts w:ascii="宋体" w:eastAsia="宋体" w:hAnsi="宋体" w:cs="微软雅黑" w:hint="eastAsia"/>
                <w:b/>
                <w:color w:val="0000FF"/>
                <w:kern w:val="0"/>
                <w:sz w:val="18"/>
                <w:szCs w:val="18"/>
                <w:lang w:val="en" w:eastAsia="zh-CN"/>
              </w:rPr>
              <w:t>投标人应具有以下到投标截止日仍有效期内的资质：</w:t>
            </w:r>
            <w:r>
              <w:rPr>
                <w:rFonts w:ascii="宋体" w:eastAsia="宋体" w:hAnsi="宋体" w:cs="微软雅黑" w:hint="eastAsia"/>
                <w:b/>
                <w:color w:val="0000FF"/>
                <w:kern w:val="0"/>
                <w:sz w:val="18"/>
                <w:szCs w:val="18"/>
                <w:lang w:val="en-US" w:eastAsia="zh-CN"/>
              </w:rPr>
              <w:t>1、S波段双线偏振多普勒天气雷达气象专用技术装备使用许可证。</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2"/>
              </w:numPr>
              <w:rPr>
                <w:rFonts w:ascii="宋体" w:eastAsia="宋体" w:hAnsi="宋体" w:cs="Times New Roman"/>
                <w:sz w:val="18"/>
                <w:szCs w:val="18"/>
              </w:rPr>
            </w:pPr>
          </w:p>
        </w:tc>
        <w:tc>
          <w:tcPr>
            <w:tcW w:w="898" w:type="dxa"/>
            <w:vAlign w:val="center"/>
          </w:tcPr>
          <w:p>
            <w:pPr>
              <w:jc w:val="center"/>
              <w:rPr>
                <w:rFonts w:ascii="宋体" w:eastAsia="宋体" w:hAnsi="宋体" w:cs="Times New Roman" w:hint="default"/>
                <w:sz w:val="18"/>
                <w:szCs w:val="18"/>
              </w:rPr>
            </w:pPr>
            <w:r>
              <w:rPr>
                <w:rFonts w:ascii="宋体" w:eastAsia="宋体" w:hAnsi="宋体" w:cs="Times New Roman" w:hint="eastAsia"/>
                <w:sz w:val="18"/>
                <w:szCs w:val="18"/>
                <w:lang w:val="en-US" w:eastAsia="zh-CN"/>
              </w:rPr>
              <w:t>4.3质保服务要求</w:t>
            </w:r>
          </w:p>
        </w:tc>
        <w:tc>
          <w:tcPr>
            <w:tcW w:w="7347" w:type="dxa"/>
            <w:vAlign w:val="center"/>
          </w:tcPr>
          <w:p>
            <w:pPr>
              <w:tabs>
                <w:tab w:val="left" w:pos="709"/>
              </w:tabs>
              <w:spacing w:line="360" w:lineRule="auto"/>
              <w:jc w:val="left"/>
              <w:rPr>
                <w:rFonts w:ascii="宋体" w:eastAsia="宋体" w:hAnsi="宋体" w:cs="Times New Roman" w:hint="default"/>
                <w:sz w:val="18"/>
                <w:szCs w:val="18"/>
              </w:rPr>
            </w:pPr>
            <w:r>
              <w:rPr>
                <w:rFonts w:ascii="宋体" w:eastAsia="宋体" w:hAnsi="宋体" w:cs="微软雅黑" w:hint="eastAsia"/>
                <w:b/>
                <w:color w:val="0000FF"/>
                <w:kern w:val="0"/>
                <w:sz w:val="18"/>
                <w:szCs w:val="18"/>
                <w:lang w:eastAsia="zh-CN"/>
              </w:rPr>
              <w:t>从雷达验收合格交付用户使用之日起，雷达系统质保期</w:t>
            </w:r>
            <w:r>
              <w:rPr>
                <w:rFonts w:ascii="宋体" w:eastAsia="宋体" w:hAnsi="宋体" w:cs="微软雅黑" w:hint="eastAsia"/>
                <w:b/>
                <w:color w:val="0000FF"/>
                <w:kern w:val="0"/>
                <w:sz w:val="18"/>
                <w:szCs w:val="18"/>
                <w:lang w:val="en-US" w:eastAsia="zh-CN"/>
              </w:rPr>
              <w:t>8年，中标方按照业务运行规范要求执行，确保设备可稳定运行，主要工作包括：汛前巡检（定标）以及雷达系统故障维修等。</w:t>
            </w:r>
          </w:p>
        </w:tc>
      </w:tr>
    </w:tbl>
    <w:p>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p w:rsidR="00A77B3E"/>
    <w:p>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13"/>
          <w:footerReference w:type="default" r:id="rId14"/>
          <w:pgSz w:w="11906" w:h="16838"/>
          <w:pgMar w:top="1440" w:right="1800" w:bottom="1440" w:left="1800" w:header="851" w:footer="992" w:gutter="0"/>
          <w:cols w:num="1" w:space="425"/>
          <w:docGrid w:type="lines" w:linePitch="312" w:charSpace="0"/>
        </w:sectPr>
      </w:pPr>
      <w:bookmarkEnd w:id="65"/>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66" w:name="采购公告合同部分_ZBGGHT"/>
      <w:r>
        <w:rPr>
          <w:rFonts w:ascii="Times New Roman" w:eastAsia="宋体" w:hAnsi="Times New Roman" w:cs="Times New Roman" w:hint="eastAsia"/>
          <w:b/>
          <w:bCs/>
          <w:szCs w:val="21"/>
        </w:rPr>
        <w:t>第八章  采购合同</w:t>
      </w:r>
    </w:p>
    <w:p>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pPr>
        <w:widowControl/>
        <w:jc w:val="center"/>
        <w:rPr>
          <w:rFonts w:ascii="宋体" w:eastAsia="微软雅黑" w:hAnsi="宋体" w:cs="宋体"/>
          <w:b/>
          <w:bCs/>
          <w:color w:val="595959"/>
          <w:spacing w:val="-20"/>
          <w:kern w:val="44"/>
          <w:sz w:val="48"/>
          <w:szCs w:val="48"/>
          <w:lang w:val="zh-CN"/>
        </w:rPr>
      </w:pP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7"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7"/>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spacing w:line="400" w:lineRule="exact"/>
        <w:rPr>
          <w:rFonts w:ascii="Times New Roman" w:eastAsia="宋体" w:hAnsi="Times New Roman" w:cs="Times New Roman"/>
          <w:szCs w:val="20"/>
        </w:rPr>
      </w:pP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pPr>
        <w:numPr>
          <w:ilvl w:val="0"/>
          <w:numId w:val="5"/>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pPr>
        <w:keepNext w:val="0"/>
        <w:keepLines w:val="0"/>
        <w:pageBreakBefore w:val="0"/>
        <w:widowControl w:val="0"/>
        <w:kinsoku/>
        <w:wordWrap/>
        <w:overflowPunct/>
        <w:topLinePunct w:val="0"/>
        <w:autoSpaceDE/>
        <w:autoSpaceDN/>
        <w:bidi w:val="0"/>
        <w:adjustRightInd/>
        <w:snapToGrid/>
        <w:spacing w:line="360" w:lineRule="auto"/>
        <w:ind w:firstLine="630" w:firstLineChars="300"/>
        <w:textAlignment w:val="auto"/>
        <w:rPr>
          <w:rFonts w:ascii="宋体" w:eastAsia="宋体" w:hAnsi="宋体" w:cs="Times New Roman" w:hint="eastAsia"/>
          <w:szCs w:val="21"/>
        </w:rPr>
      </w:pPr>
      <w:r>
        <w:rPr>
          <w:rFonts w:ascii="Wingdings" w:eastAsia="宋体" w:hAnsi="Wingdings" w:cs="Times New Roman"/>
          <w:szCs w:val="21"/>
        </w:rPr>
        <w:sym w:font="Wingdings" w:char="F0A8"/>
      </w:r>
      <w:r>
        <w:rPr>
          <w:rFonts w:ascii="宋体" w:eastAsia="宋体" w:hAnsi="宋体" w:cs="Times New Roman" w:hint="eastAsia"/>
          <w:szCs w:val="21"/>
        </w:rPr>
        <w:t>分期付款：</w:t>
      </w:r>
    </w:p>
    <w:p>
      <w:pPr>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①</w:t>
      </w:r>
      <w:r>
        <w:rPr>
          <w:rFonts w:ascii="宋体" w:eastAsia="宋体" w:hAnsi="宋体" w:cs="Times New Roman" w:hint="eastAsia"/>
          <w:szCs w:val="21"/>
        </w:rPr>
        <w:t>合同生效后付款：双方签署合同后20个工作日内，乙方向甲方开具合同总金额的</w:t>
      </w:r>
      <w:r>
        <w:rPr>
          <w:rFonts w:ascii="宋体" w:eastAsia="宋体" w:hAnsi="宋体" w:cs="Times New Roman" w:hint="eastAsia"/>
          <w:szCs w:val="21"/>
          <w:lang w:val="en-US" w:eastAsia="zh-CN"/>
        </w:rPr>
        <w:t>75</w:t>
      </w:r>
      <w:r>
        <w:rPr>
          <w:rFonts w:ascii="宋体" w:eastAsia="宋体" w:hAnsi="宋体" w:cs="Times New Roman" w:hint="eastAsia"/>
          <w:szCs w:val="21"/>
        </w:rPr>
        <w:t>% 即人民币    元（大写）    （小写） 的增值税普通发票，同时甲方向乙方支付相应金额款项。</w:t>
      </w:r>
    </w:p>
    <w:p>
      <w:pPr>
        <w:spacing w:line="400" w:lineRule="exact"/>
        <w:ind w:firstLine="420" w:firstLineChars="200"/>
        <w:rPr>
          <w:rFonts w:ascii="宋体" w:eastAsia="宋体" w:hAnsi="宋体" w:cs="Times New Roman" w:hint="eastAsia"/>
          <w:szCs w:val="21"/>
        </w:rPr>
      </w:pPr>
      <w:r>
        <w:rPr>
          <w:rFonts w:ascii="宋体" w:eastAsia="宋体" w:hAnsi="宋体" w:cs="Times New Roman" w:hint="eastAsia"/>
          <w:szCs w:val="21"/>
          <w:lang w:val="en-US" w:eastAsia="zh-CN"/>
        </w:rPr>
        <w:t>②</w:t>
      </w:r>
      <w:r>
        <w:rPr>
          <w:rFonts w:ascii="宋体" w:eastAsia="宋体" w:hAnsi="宋体" w:cs="Times New Roman" w:hint="eastAsia"/>
          <w:szCs w:val="21"/>
        </w:rPr>
        <w:t>到货后付款：设备到货、签收后 20个工作日内，乙方向甲方开具合同总金额的 2</w:t>
      </w:r>
      <w:r>
        <w:rPr>
          <w:rFonts w:ascii="宋体" w:eastAsia="宋体" w:hAnsi="宋体" w:cs="Times New Roman" w:hint="eastAsia"/>
          <w:szCs w:val="21"/>
          <w:lang w:val="en-US" w:eastAsia="zh-CN"/>
        </w:rPr>
        <w:t>0</w:t>
      </w:r>
      <w:r>
        <w:rPr>
          <w:rFonts w:ascii="宋体" w:eastAsia="宋体" w:hAnsi="宋体" w:cs="Times New Roman" w:hint="eastAsia"/>
          <w:szCs w:val="21"/>
        </w:rPr>
        <w:t>% 即人民币    元（大写）    元（小写） 的增值税普通发票，同时甲方向乙方支付相应金额款项。</w:t>
      </w:r>
    </w:p>
    <w:p>
      <w:pPr>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lang w:val="en-US" w:eastAsia="zh-CN"/>
        </w:rPr>
        <w:t>③</w:t>
      </w:r>
      <w:r>
        <w:rPr>
          <w:rFonts w:ascii="宋体" w:eastAsia="宋体" w:hAnsi="宋体" w:cs="Times New Roman" w:hint="eastAsia"/>
          <w:szCs w:val="21"/>
        </w:rPr>
        <w:t>乙方在合同</w:t>
      </w:r>
      <w:r>
        <w:rPr>
          <w:rFonts w:ascii="宋体" w:eastAsia="宋体" w:hAnsi="宋体" w:cs="Times New Roman" w:hint="eastAsia"/>
          <w:szCs w:val="21"/>
          <w:lang w:val="en-US" w:eastAsia="zh-CN"/>
        </w:rPr>
        <w:t>验收</w:t>
      </w:r>
      <w:r>
        <w:rPr>
          <w:rFonts w:ascii="宋体" w:eastAsia="宋体" w:hAnsi="宋体" w:cs="Times New Roman" w:hint="eastAsia"/>
          <w:szCs w:val="21"/>
        </w:rPr>
        <w:t xml:space="preserve">后20个工作日内，向甲方开具合同总金额的 </w:t>
      </w:r>
      <w:r>
        <w:rPr>
          <w:rFonts w:ascii="宋体" w:eastAsia="宋体" w:hAnsi="宋体" w:cs="Times New Roman" w:hint="eastAsia"/>
          <w:szCs w:val="21"/>
          <w:lang w:val="en-US" w:eastAsia="zh-CN"/>
        </w:rPr>
        <w:t>5</w:t>
      </w:r>
      <w:r>
        <w:rPr>
          <w:rFonts w:ascii="宋体" w:eastAsia="宋体" w:hAnsi="宋体" w:cs="Times New Roman" w:hint="eastAsia"/>
          <w:szCs w:val="21"/>
        </w:rPr>
        <w:t>% 即人民币    元</w:t>
      </w:r>
      <w:r>
        <w:rPr>
          <w:rFonts w:ascii="宋体" w:eastAsia="宋体" w:hAnsi="宋体" w:cs="Times New Roman" w:hint="eastAsia"/>
          <w:szCs w:val="21"/>
        </w:rPr>
        <w:t>（大写）    元（小写） 的增值税普通发票，甲方向乙方支付相应金额款项</w:t>
      </w:r>
      <w:r>
        <w:rPr>
          <w:rFonts w:ascii="宋体" w:eastAsia="宋体" w:hAnsi="宋体" w:cs="Times New Roman" w:hint="eastAsia"/>
          <w:szCs w:val="21"/>
          <w:lang w:eastAsia="zh-CN"/>
        </w:rPr>
        <w:t>。同时乙方向甲方提供5%的银行履约保函，</w:t>
      </w:r>
      <w:r>
        <w:rPr>
          <w:rFonts w:ascii="宋体" w:eastAsia="宋体" w:hAnsi="宋体" w:cs="Times New Roman" w:hint="eastAsia"/>
          <w:szCs w:val="21"/>
        </w:rPr>
        <w:t>即人民币    元（大写）    元（小写）</w:t>
      </w:r>
      <w:r>
        <w:rPr>
          <w:rFonts w:ascii="宋体" w:eastAsia="宋体" w:hAnsi="宋体" w:cs="Times New Roman" w:hint="eastAsia"/>
          <w:szCs w:val="21"/>
          <w:lang w:eastAsia="zh-CN"/>
        </w:rPr>
        <w:t>。</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pPr>
        <w:numPr>
          <w:ilvl w:val="0"/>
          <w:numId w:val="6"/>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pPr>
        <w:rPr>
          <w:rFonts w:ascii="Times New Roman" w:eastAsia="宋体" w:hAnsi="Times New Roman" w:cs="Times New Roman"/>
          <w:szCs w:val="20"/>
        </w:rPr>
      </w:pPr>
      <w:r>
        <w:rPr>
          <w:rFonts w:ascii="Times New Roman" w:eastAsia="宋体" w:hAnsi="Times New Roman" w:cs="Times New Roman" w:hint="eastAsia"/>
          <w:szCs w:val="20"/>
        </w:rPr>
        <w:br w:type="page"/>
      </w:r>
    </w:p>
    <w:p>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8" w:name="_Toc27624"/>
      <w:r>
        <w:rPr>
          <w:rFonts w:ascii="黑体" w:eastAsia="黑体" w:hAnsi="黑体" w:cs="Times New Roman" w:hint="eastAsia"/>
          <w:sz w:val="28"/>
          <w:szCs w:val="28"/>
        </w:rPr>
        <w:t>第二节 政府采购合同通用条款</w:t>
      </w:r>
      <w:bookmarkEnd w:id="68"/>
    </w:p>
    <w:p>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9"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9"/>
      <w:r>
        <w:rPr>
          <w:rFonts w:ascii="宋体" w:eastAsia="宋体" w:hAnsi="宋体" w:cs="Times New Roman" w:hint="eastAsia"/>
          <w:szCs w:val="21"/>
        </w:rPr>
        <w:t>。</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pPr>
        <w:numPr>
          <w:ilvl w:val="1"/>
          <w:numId w:val="9"/>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pPr>
        <w:numPr>
          <w:ilvl w:val="0"/>
          <w:numId w:val="1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pPr>
        <w:numPr>
          <w:ilvl w:val="0"/>
          <w:numId w:val="11"/>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0" w:name="_Toc20313"/>
    </w:p>
    <w:p>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pPr>
              <w:numPr>
                <w:ilvl w:val="0"/>
                <w:numId w:val="0"/>
              </w:numPr>
              <w:adjustRightInd w:val="0"/>
              <w:snapToGrid w:val="0"/>
              <w:jc w:val="left"/>
              <w:rPr>
                <w:rFonts w:ascii="宋体" w:hAnsi="宋体" w:hint="eastAsia"/>
                <w:szCs w:val="21"/>
                <w:highlight w:val="none"/>
                <w:u w:val="none"/>
              </w:rPr>
            </w:pPr>
            <w:r>
              <w:rPr>
                <w:rFonts w:ascii="宋体" w:hAnsi="宋体" w:hint="eastAsia"/>
                <w:szCs w:val="21"/>
                <w:highlight w:val="none"/>
                <w:u w:val="none"/>
                <w:lang w:val="en-US" w:eastAsia="zh-CN"/>
              </w:rPr>
              <w:t>1、乙方</w:t>
            </w:r>
            <w:r>
              <w:rPr>
                <w:rFonts w:ascii="宋体" w:hAnsi="宋体" w:hint="eastAsia"/>
                <w:szCs w:val="21"/>
                <w:highlight w:val="none"/>
                <w:u w:val="none"/>
              </w:rPr>
              <w:t>在合同全周期内对安全生产负全责：前期需为所有合同全流程制定专项安全施工方案并报采购人备案；中期须严格管理参与人员，确保其遵守采购人各项管理制度，全程落实安全施工、文明施工标准，配备必要安全防护设施，及时排查整改安全隐患；后期需全面排查各施工区域及环节，妥善处理遗留安全问题。合同履行过程中造成的人员伤亡、财产损失及其他安全事故，相关责任、赔偿及善后事宜均由中标人全权承担</w:t>
            </w:r>
            <w:r>
              <w:rPr>
                <w:rFonts w:ascii="宋体" w:hAnsi="宋体" w:hint="eastAsia"/>
                <w:szCs w:val="21"/>
                <w:highlight w:val="none"/>
                <w:u w:val="none"/>
                <w:lang w:eastAsia="zh-CN"/>
              </w:rPr>
              <w:t>；</w:t>
            </w:r>
          </w:p>
          <w:p>
            <w:pPr>
              <w:adjustRightInd w:val="0"/>
              <w:snapToGrid w:val="0"/>
              <w:jc w:val="left"/>
              <w:rPr>
                <w:rFonts w:ascii="宋体" w:eastAsia="宋体" w:hAnsi="宋体" w:cs="Times New Roman"/>
                <w:szCs w:val="21"/>
              </w:rPr>
            </w:pPr>
            <w:r>
              <w:rPr>
                <w:rFonts w:ascii="宋体" w:hAnsi="宋体" w:hint="eastAsia"/>
                <w:szCs w:val="21"/>
                <w:highlight w:val="none"/>
                <w:u w:val="none"/>
                <w:lang w:val="en-US" w:eastAsia="zh-CN"/>
              </w:rPr>
              <w:t>2、</w:t>
            </w:r>
            <w:r>
              <w:rPr>
                <w:rFonts w:ascii="宋体" w:hAnsi="宋体" w:hint="eastAsia"/>
                <w:szCs w:val="21"/>
                <w:highlight w:val="none"/>
                <w:u w:val="none"/>
                <w:lang w:eastAsia="zh-CN"/>
              </w:rPr>
              <w:t>乙方应健全安全生产管理制度，加强施工人员的培训教育，并按规范组织施工，甲方有权对安全生产情况进行监督检查，确保施工过程中无安全生产责任事故，施工过程中产生的安全事故由乙方负责。</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eastAsia="宋体" w:hAnsi="宋体" w:cs="Times New Roman"/>
                <w:szCs w:val="21"/>
              </w:rPr>
            </w:pP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pPr>
              <w:autoSpaceDE w:val="0"/>
              <w:autoSpaceDN w:val="0"/>
              <w:adjustRightInd w:val="0"/>
              <w:snapToGrid w:val="0"/>
              <w:jc w:val="left"/>
              <w:rPr>
                <w:rFonts w:ascii="宋体" w:eastAsia="宋体" w:hAnsi="宋体" w:cs="Times New Roman"/>
                <w:szCs w:val="21"/>
              </w:rPr>
            </w:pPr>
            <w:r>
              <w:rPr>
                <w:rFonts w:ascii="宋体" w:hAnsi="宋体" w:hint="eastAsia"/>
                <w:szCs w:val="21"/>
                <w:highlight w:val="none"/>
              </w:rPr>
              <w:t>设备供应商对所有设备提供自验收合格后</w:t>
            </w:r>
            <w:r>
              <w:rPr>
                <w:rFonts w:ascii="宋体" w:hAnsi="宋体" w:hint="eastAsia"/>
                <w:szCs w:val="21"/>
                <w:highlight w:val="none"/>
                <w:lang w:val="en-US" w:eastAsia="zh-CN"/>
              </w:rPr>
              <w:t>8</w:t>
            </w:r>
            <w:r>
              <w:rPr>
                <w:rFonts w:ascii="宋体" w:hAnsi="宋体" w:hint="eastAsia"/>
                <w:szCs w:val="21"/>
                <w:highlight w:val="none"/>
              </w:rPr>
              <w:t>年的</w:t>
            </w:r>
            <w:r>
              <w:rPr>
                <w:rFonts w:ascii="宋体" w:hAnsi="宋体" w:hint="eastAsia"/>
                <w:szCs w:val="21"/>
                <w:highlight w:val="none"/>
                <w:lang w:val="en-US" w:eastAsia="zh-CN"/>
              </w:rPr>
              <w:t>质保</w:t>
            </w:r>
            <w:r>
              <w:rPr>
                <w:rFonts w:ascii="宋体" w:hAnsi="宋体" w:hint="eastAsia"/>
                <w:szCs w:val="21"/>
                <w:highlight w:val="none"/>
              </w:rPr>
              <w:t>服务，需提供设备</w:t>
            </w:r>
            <w:r>
              <w:rPr>
                <w:rFonts w:ascii="宋体" w:hAnsi="宋体" w:hint="eastAsia"/>
                <w:szCs w:val="21"/>
                <w:highlight w:val="none"/>
                <w:lang w:val="en-US" w:eastAsia="zh-CN"/>
              </w:rPr>
              <w:t>质保</w:t>
            </w:r>
            <w:r>
              <w:rPr>
                <w:rFonts w:ascii="宋体" w:hAnsi="宋体" w:hint="eastAsia"/>
                <w:szCs w:val="21"/>
                <w:highlight w:val="none"/>
              </w:rPr>
              <w:t>承诺函原件（格式自拟）</w:t>
            </w:r>
            <w:r>
              <w:rPr>
                <w:rFonts w:ascii="宋体" w:hAnsi="宋体" w:hint="eastAsia"/>
                <w:szCs w:val="21"/>
                <w:highlight w:val="none"/>
                <w:lang w:eastAsia="zh-CN"/>
              </w:rPr>
              <w:t>。</w:t>
            </w: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eastAsia="宋体" w:hAnsi="宋体" w:cs="宋体"/>
                <w:szCs w:val="21"/>
              </w:rPr>
            </w:pPr>
            <w:r>
              <w:rPr>
                <w:rFonts w:ascii="宋体" w:eastAsia="宋体" w:hAnsi="宋体" w:cs="宋体" w:hint="eastAsia"/>
                <w:szCs w:val="21"/>
              </w:rPr>
              <w:t>第二节</w:t>
            </w:r>
          </w:p>
          <w:p>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pPr>
              <w:adjustRightInd w:val="0"/>
              <w:snapToGrid w:val="0"/>
              <w:jc w:val="left"/>
              <w:rPr>
                <w:rFonts w:ascii="宋体" w:eastAsia="宋体" w:hAnsi="宋体" w:cs="Times New Roman"/>
                <w:szCs w:val="21"/>
              </w:rPr>
            </w:pPr>
          </w:p>
        </w:tc>
      </w:tr>
    </w:tbl>
    <w:p>
      <w:pPr>
        <w:rPr>
          <w:rFonts w:ascii="Times New Roman" w:eastAsia="宋体" w:hAnsi="Times New Roman" w:cs="Times New Roman"/>
          <w:szCs w:val="20"/>
        </w:rPr>
      </w:pPr>
    </w:p>
    <w:p>
      <w:pPr>
        <w:rPr>
          <w:rFonts w:ascii="Times New Roman" w:eastAsia="宋体" w:hAnsi="Times New Roman" w:cs="Times New Roman"/>
          <w:b/>
          <w:bCs/>
          <w:sz w:val="44"/>
          <w:szCs w:val="44"/>
        </w:rPr>
      </w:pPr>
    </w:p>
    <w:p>
      <w:pPr>
        <w:spacing w:before="156" w:beforeLines="50" w:line="360" w:lineRule="auto"/>
        <w:ind w:firstLine="420"/>
        <w:rPr>
          <w:rFonts w:ascii="宋体" w:eastAsia="宋体" w:hAnsi="宋体" w:cs="Times New Roman"/>
          <w:szCs w:val="21"/>
        </w:rPr>
      </w:pPr>
    </w:p>
    <w:p/>
    <w:p w:rsidR="00A77B3E"/>
    <w:p>
      <w:pPr>
        <w:spacing w:line="360" w:lineRule="auto"/>
        <w:ind w:firstLine="3066" w:firstLineChars="1460"/>
        <w:jc w:val="left"/>
        <w:rPr>
          <w:rFonts w:ascii="Times New Roman" w:eastAsia="宋体" w:hAnsi="Times New Roman" w:cs="Times New Roman"/>
          <w:b/>
          <w:bCs/>
          <w:szCs w:val="21"/>
        </w:rPr>
      </w:pPr>
      <w:bookmarkEnd w:id="66"/>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6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EFF" w:usb1="C0007843" w:usb2="00000009" w:usb3="00000000" w:csb0="400001FF" w:csb1="FFFF0000"/>
  </w:font>
  <w:font w:name="Symbol">
    <w:altName w:val="Standard Symbols PS"/>
    <w:panose1 w:val="05050102010706020507"/>
    <w:charset w:val="02"/>
    <w:family w:val="roman"/>
    <w:pitch w:val="variable"/>
    <w:sig w:usb0="00000000" w:usb1="00000000" w:usb2="00000000" w:usb3="00000000" w:csb0="80000000" w:csb1="00000000"/>
  </w:font>
  <w:font w:name="Calibri">
    <w:altName w:val="微软雅黑"/>
    <w:panose1 w:val="020F0502020204030204"/>
    <w:charset w:val="00"/>
    <w:family w:val="swiss"/>
    <w:pitch w:val="default"/>
    <w:sig w:usb0="E4002EFF" w:usb1="C200247B" w:usb2="00000009" w:usb3="00000000" w:csb0="200001FF" w:csb1="00000000"/>
  </w:font>
  <w:font w:name="Cambria">
    <w:altName w:val="FreeSerif"/>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altName w:val="微软雅黑"/>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3"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 w:name="华文楷体">
    <w:panose1 w:val="02010600040101010101"/>
    <w:charset w:val="86"/>
    <w:family w:val="auto"/>
    <w:pitch w:val="default"/>
    <w:sig w:usb0="00000287" w:usb1="080F0000" w:usb2="00000000" w:usb3="00000000" w:csb0="0004009F" w:csb1="DFD70000"/>
  </w:font>
  <w:font w:name="华文中宋">
    <w:altName w:val="汉仪中宋简"/>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方正宋体S-超大字符集">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FreeSerif">
    <w:panose1 w:val="02020603050405020304"/>
    <w:charset w:val="00"/>
    <w:family w:val="auto"/>
    <w:pitch w:val="default"/>
    <w:sig w:usb0="E59FAFFF" w:usb1="C200FDFF" w:usb2="43501B29" w:usb3="04000043" w:csb0="600101FF" w:csb1="FFFF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outside;mso-position-horizontal-relative:margin;mso-wrap-style:none;position:absolute;v-text-anchor:top;z-index:251661312"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8</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outside;mso-position-horizontal-relative:margin;mso-wrap-style:none;position:absolute;v-text-anchor:top;z-index:251659264"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7</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outside;mso-position-horizontal-relative:margin;mso-wrap-style:none;position:absolute;v-text-anchor:top;z-index:251660288"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8</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outside;mso-position-horizontal-relative:margin;mso-wrap-style:none;position:absolute;v-text-anchor:top;z-index:251658240"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7</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4"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5238058F"/>
    <w:multiLevelType w:val="singleLevel"/>
    <w:tmpl w:val="5238058F"/>
    <w:lvl w:ilvl="0">
      <w:start w:val="7"/>
      <w:numFmt w:val="chineseCounting"/>
      <w:suff w:val="nothing"/>
      <w:lvlText w:val="%1、"/>
      <w:lvlJc w:val="left"/>
      <w:rPr>
        <w:rFonts w:hint="eastAsia"/>
      </w:rPr>
    </w:lvl>
  </w:abstractNum>
  <w:abstractNum w:abstractNumId="11">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num>
  <w:num w:numId="5">
    <w:abstractNumId w:val="1"/>
  </w:num>
  <w:num w:numId="6">
    <w:abstractNumId w:val="5"/>
  </w:num>
  <w:num w:numId="7">
    <w:abstractNumId w:val="3"/>
  </w:num>
  <w:num w:numId="8">
    <w:abstractNumId w:val="2"/>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2.xml" /><Relationship Id="rId14" Type="http://schemas.openxmlformats.org/officeDocument/2006/relationships/footer" Target="foot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