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2025年森火工程黑龙江省可燃物气象环境监测仪的采购项目（黑龙江省大兴安岭地区气象局等6家单位）</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ZQCD-25477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黑龙江省大兴安岭地区气象局、漠河市气象局、黑龙江省呼中区气象局、呼玛县气象局、黑龙江省塔河县气象局、黑龙江省新林区气象局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2025年森火工程黑龙江省可燃物气象环境监测仪的采购项目（黑龙江省大兴安岭地区气象局等6家单位）</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ZQCD-25477</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详见采购需求</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黑龙江省大兴安岭地区加格达奇区</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2025年12月12日 00:00:00</w:t>
      </w:r>
      <w:bookmarkEnd w:id="26"/>
      <w:r>
        <w:rPr>
          <w:rFonts w:ascii="宋体" w:hint="eastAsia"/>
          <w:szCs w:val="21"/>
          <w:highlight w:val="none"/>
        </w:rPr>
        <w:t>至</w:t>
      </w:r>
      <w:bookmarkStart w:id="27" w:name="项目公告_signUpLastTime"/>
      <w:r>
        <w:rPr>
          <w:rFonts w:ascii="宋体" w:hint="eastAsia"/>
          <w:szCs w:val="21"/>
          <w:highlight w:val="none"/>
        </w:rPr>
        <w:t>2025年12月19日 17:00:00</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2026年01月08日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张夏虹</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黑龙江省大兴安岭地区气象局、漠河市气象局、黑龙江省呼中区气象局、呼玛县气象局、黑龙江省塔河县气象局、黑龙江省新林区气象局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张金勇</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0457-2731667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黑龙江省大兴安岭地区加格达奇区景观大道</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黑龙江省大兴安岭地区气象局、漠河市气象局、黑龙江省呼中区气象局、呼玛县气象局、黑龙江省塔河县气象局、黑龙江省新林区气象局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不允许（仅针对以下产品：可燃物气象环境监测仪不允许代理商投标）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设有，核心产品为可燃物气象环境监测仪</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标的：可燃物气象环境监测仪，属于工业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是，中标服务费：3.5万元。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344.540000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344.540000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销售合同必须包括地面气象环境监测类或森林草原防火监测类相关设备，每提供1份合同得1分，最多得5分。否则不得分。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针对本项目采购的可燃物气象环境监测仪，</w:t>
              <w:cr/>
              <w:t>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针对地面气象环境监测类或森林草原防火监测类相关设备，每提供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2、除项目经理外至少5人具有2年及以上相关工作经验的，得2分；为本项目派出的技术人员至少3人具有1年及以上相关工作经验的，得1分；其他不得分。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标注#的重要指标共20项，每满足1项（如有多个下级指标，则每个下级指标均应满足）得2分，满分40分。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针对可燃物气象环境监测仪，测试报告应涵盖低温、 高温、 恒定湿热等内容，每包含一项得1分，最多得3分。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（一）系统组成</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可燃物气象环境监测仪由感知单元、智能处理单元、供电单元、接口和外围组件等组成。感知单元由五要素气象传感器（温度、湿度、风速、风向、光照度）、凋落物及土壤含水率传感器、森林物候相机及接口电路组成。智能处理单元包括：存储器、时钟单元、微控制器、监测单元。接口包括：USB2.0/3.0接口、RJ45接口、RS485/RS232接口、4G模块接口等。外围组件包括：通讯模块、供电系统、杆体配套等。</w:t>
      </w:r>
    </w:p>
    <w:p>
      <w:pPr>
        <w:spacing w:line="560" w:lineRule="exact"/>
        <w:ind w:firstLine="560" w:firstLineChars="200"/>
        <w:rPr>
          <w:rFonts w:ascii="仿宋" w:eastAsia="仿宋" w:hAnsi="仿宋" w:cs="仿宋"/>
          <w:sz w:val="28"/>
          <w:szCs w:val="20"/>
        </w:rPr>
      </w:pPr>
      <w:bookmarkStart w:id="61" w:name="_Hlk211516166"/>
      <w:r>
        <w:rPr>
          <w:rFonts w:ascii="仿宋" w:eastAsia="仿宋" w:hAnsi="仿宋" w:cs="仿宋" w:hint="eastAsia"/>
          <w:sz w:val="28"/>
          <w:szCs w:val="20"/>
        </w:rPr>
        <w:t>(二) 技术性能要求</w:t>
      </w:r>
    </w:p>
    <w:p>
      <w:pPr>
        <w:spacing w:line="360" w:lineRule="auto"/>
        <w:ind w:firstLine="560" w:firstLineChars="200"/>
        <w:rPr>
          <w:rFonts w:ascii="仿宋" w:eastAsia="仿宋" w:hAnsi="仿宋" w:cs="仿宋" w:hint="eastAsia"/>
          <w:sz w:val="28"/>
          <w:szCs w:val="20"/>
          <w:highlight w:val="none"/>
        </w:rPr>
      </w:pPr>
      <w:r>
        <w:rPr>
          <w:rFonts w:ascii="仿宋" w:eastAsia="仿宋" w:hAnsi="仿宋" w:cs="仿宋" w:hint="eastAsia"/>
          <w:sz w:val="28"/>
          <w:szCs w:val="20"/>
          <w:highlight w:val="none"/>
        </w:rPr>
        <w:t>1.五要素气象传感器（温度、湿度、风速、风向、光照度）</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12"/>
        <w:gridCol w:w="1971"/>
        <w:gridCol w:w="6220"/>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53"/>
          <w:jc w:val="center"/>
        </w:trPr>
        <w:tc>
          <w:tcPr>
            <w:tcW w:w="451" w:type="pct"/>
            <w:vAlign w:val="center"/>
          </w:tcPr>
          <w:p>
            <w:pPr>
              <w:jc w:val="center"/>
              <w:rPr>
                <w:rFonts w:ascii="仿宋" w:eastAsia="仿宋" w:hAnsi="仿宋" w:cs="仿宋" w:hint="eastAsia"/>
                <w:b/>
              </w:rPr>
            </w:pPr>
            <w:r>
              <w:rPr>
                <w:rFonts w:ascii="仿宋" w:eastAsia="仿宋" w:hAnsi="仿宋" w:cs="仿宋" w:hint="eastAsia"/>
                <w:b/>
                <w:sz w:val="24"/>
              </w:rPr>
              <w:fldChar w:fldCharType="begin"/>
            </w:r>
            <w:r>
              <w:rPr>
                <w:rFonts w:ascii="仿宋" w:eastAsia="仿宋" w:hAnsi="仿宋" w:cs="仿宋" w:hint="eastAsia"/>
                <w:b/>
                <w:sz w:val="24"/>
              </w:rPr>
              <w:instrText>ADDIN CNKISM.UserStyle</w:instrText>
            </w:r>
            <w:r>
              <w:rPr>
                <w:rFonts w:ascii="仿宋" w:eastAsia="仿宋" w:hAnsi="仿宋" w:cs="仿宋" w:hint="eastAsia"/>
                <w:b/>
                <w:sz w:val="24"/>
              </w:rPr>
              <w:fldChar w:fldCharType="separate"/>
            </w:r>
            <w:r>
              <w:rPr>
                <w:rFonts w:ascii="仿宋" w:eastAsia="仿宋" w:hAnsi="仿宋" w:cs="仿宋" w:hint="eastAsia"/>
                <w:b/>
                <w:sz w:val="24"/>
              </w:rPr>
              <w:fldChar w:fldCharType="end"/>
            </w:r>
            <w:r>
              <w:rPr>
                <w:rFonts w:ascii="仿宋" w:eastAsia="仿宋" w:hAnsi="仿宋" w:cs="仿宋" w:hint="eastAsia"/>
                <w:b/>
                <w:sz w:val="24"/>
              </w:rPr>
              <w:t>序号</w:t>
            </w:r>
          </w:p>
        </w:tc>
        <w:tc>
          <w:tcPr>
            <w:tcW w:w="1095" w:type="pct"/>
            <w:vAlign w:val="center"/>
          </w:tcPr>
          <w:p>
            <w:pPr>
              <w:jc w:val="center"/>
              <w:rPr>
                <w:rFonts w:ascii="仿宋" w:eastAsia="仿宋" w:hAnsi="仿宋" w:cs="仿宋" w:hint="eastAsia"/>
                <w:b/>
              </w:rPr>
            </w:pPr>
            <w:r>
              <w:rPr>
                <w:rFonts w:ascii="仿宋" w:eastAsia="仿宋" w:hAnsi="仿宋" w:cs="仿宋" w:hint="eastAsia"/>
                <w:b/>
                <w:bCs/>
                <w:sz w:val="24"/>
              </w:rPr>
              <w:t>参数名称</w:t>
            </w:r>
          </w:p>
        </w:tc>
        <w:tc>
          <w:tcPr>
            <w:tcW w:w="3454" w:type="pct"/>
            <w:vAlign w:val="center"/>
          </w:tcPr>
          <w:p>
            <w:pPr>
              <w:jc w:val="center"/>
              <w:rPr>
                <w:rFonts w:ascii="仿宋" w:eastAsia="仿宋" w:hAnsi="仿宋" w:cs="仿宋" w:hint="eastAsia"/>
                <w:b/>
              </w:rPr>
            </w:pPr>
            <w:r>
              <w:rPr>
                <w:rFonts w:ascii="仿宋" w:eastAsia="仿宋" w:hAnsi="仿宋" w:cs="仿宋" w:hint="eastAsia"/>
                <w:b/>
                <w:bCs/>
                <w:sz w:val="24"/>
              </w:rPr>
              <w:t>功能与技术指标</w:t>
            </w:r>
          </w:p>
        </w:tc>
      </w:tr>
      <w:tr>
        <w:tblPrEx>
          <w:tblW w:w="5000" w:type="pct"/>
          <w:jc w:val="center"/>
          <w:tblCellMar>
            <w:top w:w="0" w:type="dxa"/>
            <w:left w:w="108" w:type="dxa"/>
            <w:bottom w:w="0" w:type="dxa"/>
            <w:right w:w="108" w:type="dxa"/>
          </w:tblCellMar>
          <w:tblLook w:val="0000"/>
        </w:tblPrEx>
        <w:trPr>
          <w:trHeight w:val="235"/>
          <w:jc w:val="center"/>
        </w:trPr>
        <w:tc>
          <w:tcPr>
            <w:tcW w:w="451" w:type="pct"/>
            <w:vMerge w:val="restart"/>
            <w:vAlign w:val="center"/>
          </w:tcPr>
          <w:p>
            <w:pPr>
              <w:jc w:val="center"/>
              <w:rPr>
                <w:rFonts w:ascii="仿宋" w:eastAsia="仿宋" w:hAnsi="仿宋" w:cs="仿宋" w:hint="eastAsia"/>
              </w:rPr>
            </w:pPr>
            <w:r>
              <w:rPr>
                <w:rFonts w:ascii="仿宋" w:eastAsia="仿宋" w:hAnsi="仿宋" w:cs="仿宋" w:hint="eastAsia"/>
                <w:sz w:val="24"/>
              </w:rPr>
              <w:t>1</w:t>
            </w:r>
          </w:p>
        </w:tc>
        <w:tc>
          <w:tcPr>
            <w:tcW w:w="1095" w:type="pct"/>
            <w:vMerge w:val="restart"/>
            <w:vAlign w:val="center"/>
          </w:tcPr>
          <w:p>
            <w:pPr>
              <w:jc w:val="center"/>
              <w:rPr>
                <w:rFonts w:ascii="仿宋" w:eastAsia="仿宋" w:hAnsi="仿宋" w:cs="仿宋" w:hint="eastAsia"/>
              </w:rPr>
            </w:pPr>
            <w:r>
              <w:rPr>
                <w:rFonts w:ascii="仿宋" w:eastAsia="仿宋" w:hAnsi="仿宋" w:cs="仿宋" w:hint="eastAsia"/>
                <w:sz w:val="24"/>
              </w:rPr>
              <w:t>温度</w:t>
            </w:r>
          </w:p>
        </w:tc>
        <w:tc>
          <w:tcPr>
            <w:tcW w:w="3454" w:type="pct"/>
            <w:vAlign w:val="center"/>
          </w:tcPr>
          <w:p>
            <w:pPr>
              <w:tabs>
                <w:tab w:val="center" w:pos="3022"/>
              </w:tabs>
              <w:rPr>
                <w:rFonts w:ascii="仿宋" w:eastAsia="仿宋" w:hAnsi="仿宋" w:cs="仿宋" w:hint="eastAsia"/>
              </w:rPr>
            </w:pPr>
            <w:r>
              <w:rPr>
                <w:rFonts w:ascii="仿宋" w:eastAsia="仿宋" w:hAnsi="仿宋" w:cs="仿宋" w:hint="eastAsia"/>
                <w:sz w:val="24"/>
              </w:rPr>
              <w:t>测量范围：</w:t>
            </w:r>
            <w:r>
              <w:rPr>
                <w:rFonts w:ascii="仿宋" w:eastAsia="仿宋" w:hAnsi="仿宋" w:cs="仿宋" w:hint="eastAsia"/>
                <w:sz w:val="24"/>
                <w:highlight w:val="none"/>
                <w:shd w:val="clear" w:color="auto" w:fill="auto"/>
              </w:rPr>
              <w:t>-40</w:t>
            </w:r>
            <w:r>
              <w:rPr>
                <w:rFonts w:ascii="仿宋" w:eastAsia="仿宋" w:hAnsi="仿宋" w:cs="仿宋" w:hint="eastAsia"/>
                <w:sz w:val="24"/>
                <w:highlight w:val="none"/>
                <w:shd w:val="clear" w:color="auto" w:fill="auto"/>
              </w:rPr>
              <w:t>℃</w:t>
            </w:r>
            <w:r>
              <w:rPr>
                <w:rFonts w:ascii="仿宋" w:eastAsia="仿宋" w:hAnsi="仿宋" w:cs="仿宋" w:hint="eastAsia"/>
                <w:sz w:val="24"/>
                <w:highlight w:val="none"/>
                <w:shd w:val="clear" w:color="auto" w:fill="auto"/>
              </w:rPr>
              <w:t>～+55</w:t>
            </w:r>
            <w:r>
              <w:rPr>
                <w:rFonts w:ascii="仿宋" w:eastAsia="仿宋" w:hAnsi="仿宋" w:cs="仿宋" w:hint="eastAsia"/>
                <w:sz w:val="24"/>
                <w:highlight w:val="none"/>
                <w:shd w:val="clear" w:color="auto" w:fill="auto"/>
              </w:rPr>
              <w:t>℃</w:t>
            </w:r>
          </w:p>
        </w:tc>
      </w:tr>
      <w:tr>
        <w:tblPrEx>
          <w:tblW w:w="5000" w:type="pct"/>
          <w:jc w:val="center"/>
          <w:tblCellMar>
            <w:top w:w="0" w:type="dxa"/>
            <w:left w:w="108" w:type="dxa"/>
            <w:bottom w:w="0" w:type="dxa"/>
            <w:right w:w="108" w:type="dxa"/>
          </w:tblCellMar>
          <w:tblLook w:val="0000"/>
        </w:tblPrEx>
        <w:trPr>
          <w:trHeight w:val="233"/>
          <w:jc w:val="center"/>
        </w:trPr>
        <w:tc>
          <w:tcPr>
            <w:tcW w:w="451" w:type="pct"/>
            <w:vMerge/>
            <w:vAlign w:val="center"/>
          </w:tcPr>
          <w:p>
            <w:pPr>
              <w:jc w:val="center"/>
              <w:rPr>
                <w:rFonts w:ascii="仿宋" w:eastAsia="仿宋" w:hAnsi="仿宋" w:cs="仿宋" w:hint="eastAsia"/>
              </w:rPr>
            </w:pPr>
          </w:p>
        </w:tc>
        <w:tc>
          <w:tcPr>
            <w:tcW w:w="1095"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最大允许误差：</w:t>
            </w:r>
            <w:r>
              <w:rPr>
                <w:rFonts w:ascii="仿宋" w:eastAsia="仿宋" w:hAnsi="仿宋" w:cs="仿宋" w:hint="eastAsia"/>
                <w:sz w:val="24"/>
                <w:highlight w:val="yellow"/>
              </w:rPr>
              <w:t>±</w:t>
            </w:r>
            <w:r>
              <w:rPr>
                <w:rFonts w:ascii="仿宋" w:eastAsia="仿宋" w:hAnsi="仿宋" w:cs="仿宋" w:hint="eastAsia"/>
                <w:sz w:val="24"/>
                <w:highlight w:val="yellow"/>
              </w:rPr>
              <w:t>0.</w:t>
            </w:r>
            <w:r>
              <w:rPr>
                <w:rFonts w:ascii="仿宋" w:eastAsia="仿宋" w:hAnsi="仿宋" w:cs="仿宋" w:hint="eastAsia"/>
                <w:sz w:val="24"/>
                <w:highlight w:val="yellow"/>
                <w:lang w:val="en-US" w:eastAsia="zh-CN"/>
              </w:rPr>
              <w:t>5</w:t>
            </w:r>
            <w:r>
              <w:rPr>
                <w:rFonts w:ascii="仿宋" w:eastAsia="仿宋" w:hAnsi="仿宋" w:cs="仿宋" w:hint="eastAsia"/>
                <w:sz w:val="24"/>
                <w:highlight w:val="yellow"/>
              </w:rPr>
              <w:t>℃</w:t>
            </w:r>
          </w:p>
        </w:tc>
      </w:tr>
      <w:tr>
        <w:tblPrEx>
          <w:tblW w:w="5000" w:type="pct"/>
          <w:jc w:val="center"/>
          <w:tblCellMar>
            <w:top w:w="0" w:type="dxa"/>
            <w:left w:w="108" w:type="dxa"/>
            <w:bottom w:w="0" w:type="dxa"/>
            <w:right w:w="108" w:type="dxa"/>
          </w:tblCellMar>
          <w:tblLook w:val="0000"/>
        </w:tblPrEx>
        <w:trPr>
          <w:trHeight w:val="233"/>
          <w:jc w:val="center"/>
        </w:trPr>
        <w:tc>
          <w:tcPr>
            <w:tcW w:w="451" w:type="pct"/>
            <w:vMerge/>
            <w:vAlign w:val="center"/>
          </w:tcPr>
          <w:p>
            <w:pPr>
              <w:jc w:val="center"/>
              <w:rPr>
                <w:rFonts w:ascii="仿宋" w:eastAsia="仿宋" w:hAnsi="仿宋" w:cs="仿宋" w:hint="eastAsia"/>
              </w:rPr>
            </w:pPr>
          </w:p>
        </w:tc>
        <w:tc>
          <w:tcPr>
            <w:tcW w:w="1095"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分辨力：0.1</w:t>
            </w:r>
            <w:r>
              <w:rPr>
                <w:rFonts w:ascii="仿宋" w:eastAsia="仿宋" w:hAnsi="仿宋" w:cs="仿宋" w:hint="eastAsia"/>
                <w:sz w:val="24"/>
                <w:highlight w:val="yellow"/>
              </w:rPr>
              <w:t>℃</w:t>
            </w:r>
          </w:p>
        </w:tc>
      </w:tr>
      <w:tr>
        <w:tblPrEx>
          <w:tblW w:w="5000" w:type="pct"/>
          <w:jc w:val="center"/>
          <w:tblCellMar>
            <w:top w:w="0" w:type="dxa"/>
            <w:left w:w="108" w:type="dxa"/>
            <w:bottom w:w="0" w:type="dxa"/>
            <w:right w:w="108" w:type="dxa"/>
          </w:tblCellMar>
          <w:tblLook w:val="0000"/>
        </w:tblPrEx>
        <w:trPr>
          <w:trHeight w:val="235"/>
          <w:jc w:val="center"/>
        </w:trPr>
        <w:tc>
          <w:tcPr>
            <w:tcW w:w="451" w:type="pct"/>
            <w:vMerge w:val="restart"/>
            <w:vAlign w:val="center"/>
          </w:tcPr>
          <w:p>
            <w:pPr>
              <w:jc w:val="center"/>
              <w:rPr>
                <w:rFonts w:ascii="仿宋" w:eastAsia="仿宋" w:hAnsi="仿宋" w:cs="仿宋" w:hint="eastAsia"/>
              </w:rPr>
            </w:pPr>
            <w:r>
              <w:rPr>
                <w:rFonts w:ascii="仿宋" w:eastAsia="仿宋" w:hAnsi="仿宋" w:cs="仿宋" w:hint="eastAsia"/>
                <w:sz w:val="24"/>
              </w:rPr>
              <w:t>2</w:t>
            </w:r>
          </w:p>
        </w:tc>
        <w:tc>
          <w:tcPr>
            <w:tcW w:w="1095" w:type="pct"/>
            <w:vMerge w:val="restart"/>
            <w:vAlign w:val="center"/>
          </w:tcPr>
          <w:p>
            <w:pPr>
              <w:jc w:val="center"/>
              <w:rPr>
                <w:rFonts w:ascii="仿宋" w:eastAsia="仿宋" w:hAnsi="仿宋" w:cs="仿宋" w:hint="eastAsia"/>
              </w:rPr>
            </w:pPr>
            <w:r>
              <w:rPr>
                <w:rFonts w:ascii="仿宋" w:eastAsia="仿宋" w:hAnsi="仿宋" w:cs="仿宋" w:hint="eastAsia"/>
                <w:sz w:val="24"/>
                <w:lang w:val="en-US" w:eastAsia="zh-CN"/>
              </w:rPr>
              <w:t>相对</w:t>
            </w:r>
            <w:r>
              <w:rPr>
                <w:rFonts w:ascii="仿宋" w:eastAsia="仿宋" w:hAnsi="仿宋" w:cs="仿宋" w:hint="eastAsia"/>
                <w:sz w:val="24"/>
              </w:rPr>
              <w:t>湿度</w:t>
            </w:r>
          </w:p>
        </w:tc>
        <w:tc>
          <w:tcPr>
            <w:tcW w:w="3454" w:type="pct"/>
            <w:vAlign w:val="center"/>
          </w:tcPr>
          <w:p>
            <w:pPr>
              <w:rPr>
                <w:rFonts w:ascii="仿宋" w:eastAsia="仿宋" w:hAnsi="仿宋" w:cs="仿宋" w:hint="eastAsia"/>
                <w:highlight w:val="yellow"/>
              </w:rPr>
            </w:pPr>
            <w:r>
              <w:rPr>
                <w:rFonts w:ascii="仿宋" w:eastAsia="仿宋" w:hAnsi="仿宋" w:cs="仿宋" w:hint="eastAsia"/>
                <w:sz w:val="24"/>
              </w:rPr>
              <w:t>测量范围：</w:t>
            </w:r>
            <w:r>
              <w:rPr>
                <w:rFonts w:ascii="仿宋" w:eastAsia="仿宋" w:hAnsi="仿宋" w:cs="仿宋" w:hint="eastAsia"/>
                <w:sz w:val="24"/>
                <w:lang w:val="en-US" w:eastAsia="zh-CN"/>
              </w:rPr>
              <w:t>10</w:t>
            </w:r>
            <w:r>
              <w:rPr>
                <w:rFonts w:ascii="仿宋" w:eastAsia="仿宋" w:hAnsi="仿宋" w:cs="仿宋" w:hint="eastAsia"/>
                <w:sz w:val="24"/>
              </w:rPr>
              <w:t>%-100%RH</w:t>
            </w:r>
          </w:p>
        </w:tc>
      </w:tr>
      <w:tr>
        <w:tblPrEx>
          <w:tblW w:w="5000" w:type="pct"/>
          <w:jc w:val="center"/>
          <w:tblCellMar>
            <w:top w:w="0" w:type="dxa"/>
            <w:left w:w="108" w:type="dxa"/>
            <w:bottom w:w="0" w:type="dxa"/>
            <w:right w:w="108" w:type="dxa"/>
          </w:tblCellMar>
          <w:tblLook w:val="0000"/>
        </w:tblPrEx>
        <w:trPr>
          <w:trHeight w:val="233"/>
          <w:jc w:val="center"/>
        </w:trPr>
        <w:tc>
          <w:tcPr>
            <w:tcW w:w="451" w:type="pct"/>
            <w:vMerge/>
            <w:vAlign w:val="center"/>
          </w:tcPr>
          <w:p>
            <w:pPr>
              <w:jc w:val="center"/>
              <w:rPr>
                <w:rFonts w:ascii="仿宋" w:eastAsia="仿宋" w:hAnsi="仿宋" w:cs="仿宋" w:hint="eastAsia"/>
              </w:rPr>
            </w:pPr>
          </w:p>
        </w:tc>
        <w:tc>
          <w:tcPr>
            <w:tcW w:w="1095"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最大允许误差：</w:t>
            </w:r>
            <w:r>
              <w:rPr>
                <w:rFonts w:ascii="仿宋" w:eastAsia="仿宋" w:hAnsi="仿宋" w:cs="仿宋" w:hint="eastAsia"/>
                <w:sz w:val="24"/>
                <w:highlight w:val="yellow"/>
              </w:rPr>
              <w:t>±</w:t>
            </w:r>
            <w:r>
              <w:rPr>
                <w:rFonts w:ascii="仿宋" w:eastAsia="仿宋" w:hAnsi="仿宋" w:cs="仿宋" w:hint="eastAsia"/>
                <w:sz w:val="24"/>
                <w:highlight w:val="yellow"/>
              </w:rPr>
              <w:t>3%RH（</w:t>
            </w:r>
            <w:r>
              <w:rPr>
                <w:rFonts w:ascii="仿宋" w:eastAsia="仿宋" w:hAnsi="仿宋" w:cs="仿宋" w:hint="eastAsia"/>
                <w:sz w:val="24"/>
                <w:highlight w:val="yellow"/>
              </w:rPr>
              <w:t>≤</w:t>
            </w:r>
            <w:r>
              <w:rPr>
                <w:rFonts w:ascii="仿宋" w:eastAsia="仿宋" w:hAnsi="仿宋" w:cs="仿宋" w:hint="eastAsia"/>
                <w:sz w:val="24"/>
                <w:highlight w:val="yellow"/>
              </w:rPr>
              <w:t>80%RH），</w:t>
            </w:r>
            <w:r>
              <w:rPr>
                <w:rFonts w:ascii="仿宋" w:eastAsia="仿宋" w:hAnsi="仿宋" w:cs="仿宋" w:hint="eastAsia"/>
                <w:sz w:val="24"/>
                <w:highlight w:val="yellow"/>
              </w:rPr>
              <w:t>±</w:t>
            </w:r>
            <w:r>
              <w:rPr>
                <w:rFonts w:ascii="仿宋" w:eastAsia="仿宋" w:hAnsi="仿宋" w:cs="仿宋" w:hint="eastAsia"/>
                <w:sz w:val="24"/>
                <w:highlight w:val="yellow"/>
              </w:rPr>
              <w:t>5%RH（＞80%RH）</w:t>
            </w:r>
          </w:p>
        </w:tc>
      </w:tr>
      <w:tr>
        <w:tblPrEx>
          <w:tblW w:w="5000" w:type="pct"/>
          <w:jc w:val="center"/>
          <w:tblCellMar>
            <w:top w:w="0" w:type="dxa"/>
            <w:left w:w="108" w:type="dxa"/>
            <w:bottom w:w="0" w:type="dxa"/>
            <w:right w:w="108" w:type="dxa"/>
          </w:tblCellMar>
          <w:tblLook w:val="0000"/>
        </w:tblPrEx>
        <w:trPr>
          <w:trHeight w:val="233"/>
          <w:jc w:val="center"/>
        </w:trPr>
        <w:tc>
          <w:tcPr>
            <w:tcW w:w="451" w:type="pct"/>
            <w:vMerge/>
            <w:vAlign w:val="center"/>
          </w:tcPr>
          <w:p>
            <w:pPr>
              <w:jc w:val="center"/>
              <w:rPr>
                <w:rFonts w:ascii="仿宋" w:eastAsia="仿宋" w:hAnsi="仿宋" w:cs="仿宋" w:hint="eastAsia"/>
              </w:rPr>
            </w:pPr>
          </w:p>
        </w:tc>
        <w:tc>
          <w:tcPr>
            <w:tcW w:w="1095"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分辨力：</w:t>
            </w:r>
            <w:r>
              <w:rPr>
                <w:rFonts w:ascii="仿宋" w:eastAsia="仿宋" w:hAnsi="仿宋" w:cs="仿宋" w:hint="eastAsia"/>
                <w:sz w:val="24"/>
                <w:highlight w:val="yellow"/>
                <w:lang w:val="en-US" w:eastAsia="zh-CN"/>
              </w:rPr>
              <w:t>0.</w:t>
            </w:r>
            <w:r>
              <w:rPr>
                <w:rFonts w:ascii="仿宋" w:eastAsia="仿宋" w:hAnsi="仿宋" w:cs="仿宋" w:hint="eastAsia"/>
                <w:sz w:val="24"/>
                <w:highlight w:val="yellow"/>
              </w:rPr>
              <w:t>1%RH</w:t>
            </w:r>
          </w:p>
        </w:tc>
      </w:tr>
      <w:tr>
        <w:tblPrEx>
          <w:tblW w:w="5000" w:type="pct"/>
          <w:jc w:val="center"/>
          <w:tblCellMar>
            <w:top w:w="0" w:type="dxa"/>
            <w:left w:w="108" w:type="dxa"/>
            <w:bottom w:w="0" w:type="dxa"/>
            <w:right w:w="108" w:type="dxa"/>
          </w:tblCellMar>
          <w:tblLook w:val="0000"/>
        </w:tblPrEx>
        <w:trPr>
          <w:trHeight w:val="235"/>
          <w:jc w:val="center"/>
        </w:trPr>
        <w:tc>
          <w:tcPr>
            <w:tcW w:w="451" w:type="pct"/>
            <w:vMerge w:val="restart"/>
            <w:vAlign w:val="center"/>
          </w:tcPr>
          <w:p>
            <w:pPr>
              <w:jc w:val="center"/>
              <w:rPr>
                <w:rFonts w:ascii="仿宋" w:eastAsia="仿宋" w:hAnsi="仿宋" w:cs="仿宋" w:hint="eastAsia"/>
              </w:rPr>
            </w:pPr>
            <w:r>
              <w:rPr>
                <w:rFonts w:ascii="仿宋" w:eastAsia="仿宋" w:hAnsi="仿宋" w:cs="仿宋" w:hint="eastAsia"/>
                <w:sz w:val="24"/>
              </w:rPr>
              <w:t>3</w:t>
            </w:r>
          </w:p>
        </w:tc>
        <w:tc>
          <w:tcPr>
            <w:tcW w:w="1095" w:type="pct"/>
            <w:vMerge w:val="restart"/>
            <w:vAlign w:val="center"/>
          </w:tcPr>
          <w:p>
            <w:pPr>
              <w:jc w:val="center"/>
              <w:rPr>
                <w:rFonts w:ascii="仿宋" w:eastAsia="仿宋" w:hAnsi="仿宋" w:cs="仿宋" w:hint="eastAsia"/>
              </w:rPr>
            </w:pPr>
            <w:r>
              <w:rPr>
                <w:rFonts w:ascii="仿宋" w:eastAsia="仿宋" w:hAnsi="仿宋" w:cs="仿宋" w:hint="eastAsia"/>
                <w:sz w:val="24"/>
              </w:rPr>
              <w:t>风速</w:t>
            </w:r>
          </w:p>
        </w:tc>
        <w:tc>
          <w:tcPr>
            <w:tcW w:w="3454" w:type="pct"/>
            <w:vAlign w:val="center"/>
          </w:tcPr>
          <w:p>
            <w:pPr>
              <w:rPr>
                <w:rFonts w:ascii="仿宋" w:eastAsia="仿宋" w:hAnsi="仿宋" w:cs="仿宋" w:hint="eastAsia"/>
                <w:highlight w:val="yellow"/>
              </w:rPr>
            </w:pPr>
            <w:r>
              <w:rPr>
                <w:rFonts w:ascii="仿宋" w:eastAsia="仿宋" w:hAnsi="仿宋" w:cs="仿宋" w:hint="eastAsia"/>
                <w:sz w:val="24"/>
              </w:rPr>
              <w:t xml:space="preserve">测量范围：0-60m/s； </w:t>
            </w:r>
          </w:p>
        </w:tc>
      </w:tr>
      <w:tr>
        <w:tblPrEx>
          <w:tblW w:w="5000" w:type="pct"/>
          <w:jc w:val="center"/>
          <w:tblCellMar>
            <w:top w:w="0" w:type="dxa"/>
            <w:left w:w="108" w:type="dxa"/>
            <w:bottom w:w="0" w:type="dxa"/>
            <w:right w:w="108" w:type="dxa"/>
          </w:tblCellMar>
          <w:tblLook w:val="0000"/>
        </w:tblPrEx>
        <w:trPr>
          <w:trHeight w:val="233"/>
          <w:jc w:val="center"/>
        </w:trPr>
        <w:tc>
          <w:tcPr>
            <w:tcW w:w="451" w:type="pct"/>
            <w:vMerge/>
            <w:vAlign w:val="center"/>
          </w:tcPr>
          <w:p>
            <w:pPr>
              <w:jc w:val="center"/>
              <w:rPr>
                <w:rFonts w:ascii="仿宋" w:eastAsia="仿宋" w:hAnsi="仿宋" w:cs="仿宋" w:hint="eastAsia"/>
              </w:rPr>
            </w:pPr>
          </w:p>
        </w:tc>
        <w:tc>
          <w:tcPr>
            <w:tcW w:w="1095"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最大允许误差：</w:t>
            </w:r>
            <w:r>
              <w:rPr>
                <w:rFonts w:ascii="仿宋" w:eastAsia="仿宋" w:hAnsi="仿宋" w:cs="仿宋" w:hint="eastAsia"/>
                <w:sz w:val="24"/>
                <w:highlight w:val="yellow"/>
              </w:rPr>
              <w:t>±</w:t>
            </w:r>
            <w:r>
              <w:rPr>
                <w:rFonts w:ascii="仿宋" w:eastAsia="仿宋" w:hAnsi="仿宋" w:cs="仿宋" w:hint="eastAsia"/>
                <w:sz w:val="24"/>
                <w:highlight w:val="yellow"/>
              </w:rPr>
              <w:t>（0.5+0.03V）m/s ，V表示</w:t>
            </w:r>
            <w:r>
              <w:rPr>
                <w:rFonts w:ascii="仿宋" w:eastAsia="仿宋" w:hAnsi="仿宋" w:cs="仿宋" w:hint="eastAsia"/>
                <w:sz w:val="24"/>
                <w:highlight w:val="yellow"/>
                <w:lang w:val="en-US" w:eastAsia="zh-CN"/>
              </w:rPr>
              <w:t>当前</w:t>
            </w:r>
            <w:r>
              <w:rPr>
                <w:rFonts w:ascii="仿宋" w:eastAsia="仿宋" w:hAnsi="仿宋" w:cs="仿宋" w:hint="eastAsia"/>
                <w:sz w:val="24"/>
                <w:highlight w:val="yellow"/>
              </w:rPr>
              <w:t>风速</w:t>
            </w:r>
          </w:p>
        </w:tc>
      </w:tr>
      <w:tr>
        <w:tblPrEx>
          <w:tblW w:w="5000" w:type="pct"/>
          <w:jc w:val="center"/>
          <w:tblCellMar>
            <w:top w:w="0" w:type="dxa"/>
            <w:left w:w="108" w:type="dxa"/>
            <w:bottom w:w="0" w:type="dxa"/>
            <w:right w:w="108" w:type="dxa"/>
          </w:tblCellMar>
          <w:tblLook w:val="0000"/>
        </w:tblPrEx>
        <w:trPr>
          <w:trHeight w:val="233"/>
          <w:jc w:val="center"/>
        </w:trPr>
        <w:tc>
          <w:tcPr>
            <w:tcW w:w="451" w:type="pct"/>
            <w:vMerge/>
            <w:vAlign w:val="center"/>
          </w:tcPr>
          <w:p>
            <w:pPr>
              <w:jc w:val="center"/>
              <w:rPr>
                <w:rFonts w:ascii="仿宋" w:eastAsia="仿宋" w:hAnsi="仿宋" w:cs="仿宋" w:hint="eastAsia"/>
              </w:rPr>
            </w:pPr>
          </w:p>
        </w:tc>
        <w:tc>
          <w:tcPr>
            <w:tcW w:w="1095"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hint="eastAsia"/>
                <w:sz w:val="24"/>
              </w:rPr>
              <w:t>分辨力：0.1m/s</w:t>
            </w:r>
          </w:p>
        </w:tc>
      </w:tr>
      <w:tr>
        <w:tblPrEx>
          <w:tblW w:w="5000" w:type="pct"/>
          <w:jc w:val="center"/>
          <w:tblCellMar>
            <w:top w:w="0" w:type="dxa"/>
            <w:left w:w="108" w:type="dxa"/>
            <w:bottom w:w="0" w:type="dxa"/>
            <w:right w:w="108" w:type="dxa"/>
          </w:tblCellMar>
          <w:tblLook w:val="0000"/>
        </w:tblPrEx>
        <w:trPr>
          <w:trHeight w:val="235"/>
          <w:jc w:val="center"/>
        </w:trPr>
        <w:tc>
          <w:tcPr>
            <w:tcW w:w="451" w:type="pct"/>
            <w:vMerge w:val="restart"/>
            <w:vAlign w:val="center"/>
          </w:tcPr>
          <w:p>
            <w:pPr>
              <w:jc w:val="center"/>
              <w:rPr>
                <w:rFonts w:ascii="仿宋" w:eastAsia="仿宋" w:hAnsi="仿宋" w:cs="仿宋" w:hint="eastAsia"/>
              </w:rPr>
            </w:pPr>
            <w:r>
              <w:rPr>
                <w:rFonts w:ascii="仿宋" w:eastAsia="仿宋" w:hAnsi="仿宋" w:cs="仿宋" w:hint="eastAsia"/>
                <w:sz w:val="24"/>
              </w:rPr>
              <w:t>4</w:t>
            </w:r>
          </w:p>
        </w:tc>
        <w:tc>
          <w:tcPr>
            <w:tcW w:w="1095" w:type="pct"/>
            <w:vMerge w:val="restart"/>
            <w:vAlign w:val="center"/>
          </w:tcPr>
          <w:p>
            <w:pPr>
              <w:jc w:val="center"/>
              <w:rPr>
                <w:rFonts w:ascii="仿宋" w:eastAsia="仿宋" w:hAnsi="仿宋" w:cs="仿宋" w:hint="eastAsia"/>
              </w:rPr>
            </w:pPr>
            <w:r>
              <w:rPr>
                <w:rFonts w:ascii="仿宋" w:eastAsia="仿宋" w:hAnsi="仿宋" w:cs="仿宋" w:hint="eastAsia"/>
                <w:sz w:val="24"/>
              </w:rPr>
              <w:t>风向</w:t>
            </w:r>
          </w:p>
        </w:tc>
        <w:tc>
          <w:tcPr>
            <w:tcW w:w="3454" w:type="pct"/>
            <w:vAlign w:val="center"/>
          </w:tcPr>
          <w:p>
            <w:pPr>
              <w:rPr>
                <w:rFonts w:ascii="仿宋" w:eastAsia="仿宋" w:hAnsi="仿宋" w:cs="仿宋" w:hint="eastAsia"/>
                <w:highlight w:val="yellow"/>
              </w:rPr>
            </w:pPr>
            <w:r>
              <w:rPr>
                <w:rFonts w:ascii="仿宋" w:eastAsia="仿宋" w:hAnsi="仿宋" w:cs="仿宋" w:hint="eastAsia"/>
                <w:sz w:val="24"/>
              </w:rPr>
              <w:t>测量范围：0-360</w:t>
            </w:r>
            <w:r>
              <w:rPr>
                <w:rFonts w:ascii="仿宋" w:eastAsia="仿宋" w:hAnsi="仿宋" w:cs="仿宋" w:hint="eastAsia"/>
                <w:sz w:val="24"/>
              </w:rPr>
              <w:t>°</w:t>
            </w:r>
          </w:p>
        </w:tc>
      </w:tr>
      <w:tr>
        <w:tblPrEx>
          <w:tblW w:w="5000" w:type="pct"/>
          <w:jc w:val="center"/>
          <w:tblCellMar>
            <w:top w:w="0" w:type="dxa"/>
            <w:left w:w="108" w:type="dxa"/>
            <w:bottom w:w="0" w:type="dxa"/>
            <w:right w:w="108" w:type="dxa"/>
          </w:tblCellMar>
          <w:tblLook w:val="0000"/>
        </w:tblPrEx>
        <w:trPr>
          <w:trHeight w:val="233"/>
          <w:jc w:val="center"/>
        </w:trPr>
        <w:tc>
          <w:tcPr>
            <w:tcW w:w="451" w:type="pct"/>
            <w:vMerge/>
            <w:vAlign w:val="center"/>
          </w:tcPr>
          <w:p>
            <w:pPr>
              <w:jc w:val="center"/>
              <w:rPr>
                <w:rFonts w:ascii="仿宋" w:eastAsia="仿宋" w:hAnsi="仿宋" w:cs="仿宋" w:hint="eastAsia"/>
              </w:rPr>
            </w:pPr>
          </w:p>
        </w:tc>
        <w:tc>
          <w:tcPr>
            <w:tcW w:w="1095"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最大允许误差：</w:t>
            </w:r>
            <w:r>
              <w:rPr>
                <w:rFonts w:ascii="仿宋" w:eastAsia="仿宋" w:hAnsi="仿宋" w:cs="仿宋" w:hint="eastAsia"/>
                <w:sz w:val="24"/>
                <w:highlight w:val="yellow"/>
              </w:rPr>
              <w:t>±</w:t>
            </w:r>
            <w:r>
              <w:rPr>
                <w:rFonts w:ascii="仿宋" w:eastAsia="仿宋" w:hAnsi="仿宋" w:cs="仿宋" w:hint="eastAsia"/>
                <w:sz w:val="24"/>
                <w:highlight w:val="yellow"/>
              </w:rPr>
              <w:t>5</w:t>
            </w:r>
            <w:r>
              <w:rPr>
                <w:rFonts w:ascii="仿宋" w:eastAsia="仿宋" w:hAnsi="仿宋" w:cs="仿宋" w:hint="eastAsia"/>
                <w:sz w:val="24"/>
                <w:highlight w:val="yellow"/>
              </w:rPr>
              <w:t>°</w:t>
            </w:r>
            <w:r>
              <w:rPr>
                <w:rFonts w:ascii="仿宋" w:eastAsia="仿宋" w:hAnsi="仿宋" w:cs="仿宋"/>
                <w:sz w:val="24"/>
              </w:rPr>
              <w:t xml:space="preserve"> </w:t>
            </w:r>
          </w:p>
        </w:tc>
      </w:tr>
      <w:tr>
        <w:tblPrEx>
          <w:tblW w:w="5000" w:type="pct"/>
          <w:jc w:val="center"/>
          <w:tblCellMar>
            <w:top w:w="0" w:type="dxa"/>
            <w:left w:w="108" w:type="dxa"/>
            <w:bottom w:w="0" w:type="dxa"/>
            <w:right w:w="108" w:type="dxa"/>
          </w:tblCellMar>
          <w:tblLook w:val="0000"/>
        </w:tblPrEx>
        <w:trPr>
          <w:trHeight w:val="233"/>
          <w:jc w:val="center"/>
        </w:trPr>
        <w:tc>
          <w:tcPr>
            <w:tcW w:w="451" w:type="pct"/>
            <w:vMerge/>
            <w:vAlign w:val="center"/>
          </w:tcPr>
          <w:p>
            <w:pPr>
              <w:jc w:val="center"/>
              <w:rPr>
                <w:rFonts w:ascii="仿宋" w:eastAsia="仿宋" w:hAnsi="仿宋" w:cs="仿宋" w:hint="eastAsia"/>
              </w:rPr>
            </w:pPr>
          </w:p>
        </w:tc>
        <w:tc>
          <w:tcPr>
            <w:tcW w:w="1095"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hint="eastAsia"/>
                <w:sz w:val="24"/>
              </w:rPr>
              <w:t>分辨力：</w:t>
            </w:r>
            <w:r>
              <w:rPr>
                <w:rFonts w:ascii="仿宋" w:eastAsia="仿宋" w:hAnsi="仿宋" w:cs="仿宋" w:hint="eastAsia"/>
                <w:sz w:val="24"/>
                <w:lang w:val="en-US" w:eastAsia="zh-CN"/>
              </w:rPr>
              <w:t>1</w:t>
            </w:r>
            <w:r>
              <w:rPr>
                <w:rFonts w:ascii="仿宋" w:eastAsia="仿宋" w:hAnsi="仿宋" w:cs="仿宋" w:hint="eastAsia"/>
                <w:sz w:val="24"/>
              </w:rPr>
              <w:t>°</w:t>
            </w:r>
          </w:p>
        </w:tc>
      </w:tr>
      <w:tr>
        <w:tblPrEx>
          <w:tblW w:w="5000" w:type="pct"/>
          <w:jc w:val="center"/>
          <w:tblCellMar>
            <w:top w:w="0" w:type="dxa"/>
            <w:left w:w="108" w:type="dxa"/>
            <w:bottom w:w="0" w:type="dxa"/>
            <w:right w:w="108" w:type="dxa"/>
          </w:tblCellMar>
          <w:tblLook w:val="0000"/>
        </w:tblPrEx>
        <w:trPr>
          <w:trHeight w:val="235"/>
          <w:jc w:val="center"/>
        </w:trPr>
        <w:tc>
          <w:tcPr>
            <w:tcW w:w="451" w:type="pct"/>
            <w:vMerge w:val="restart"/>
            <w:vAlign w:val="center"/>
          </w:tcPr>
          <w:p>
            <w:pPr>
              <w:jc w:val="center"/>
              <w:rPr>
                <w:rFonts w:ascii="仿宋" w:eastAsia="仿宋" w:hAnsi="仿宋" w:cs="仿宋" w:hint="eastAsia"/>
              </w:rPr>
            </w:pPr>
            <w:r>
              <w:rPr>
                <w:rFonts w:ascii="仿宋" w:eastAsia="仿宋" w:hAnsi="仿宋" w:cs="仿宋" w:hint="eastAsia"/>
                <w:sz w:val="24"/>
              </w:rPr>
              <w:t>5</w:t>
            </w:r>
          </w:p>
        </w:tc>
        <w:tc>
          <w:tcPr>
            <w:tcW w:w="1095" w:type="pct"/>
            <w:vMerge w:val="restart"/>
            <w:vAlign w:val="center"/>
          </w:tcPr>
          <w:p>
            <w:pPr>
              <w:jc w:val="center"/>
              <w:rPr>
                <w:rFonts w:ascii="仿宋" w:eastAsia="仿宋" w:hAnsi="仿宋" w:cs="仿宋" w:hint="eastAsia"/>
              </w:rPr>
            </w:pPr>
            <w:r>
              <w:rPr>
                <w:rFonts w:ascii="仿宋" w:eastAsia="仿宋" w:hAnsi="仿宋" w:cs="仿宋" w:hint="eastAsia"/>
                <w:sz w:val="24"/>
              </w:rPr>
              <w:t>光照度</w:t>
            </w:r>
          </w:p>
        </w:tc>
        <w:tc>
          <w:tcPr>
            <w:tcW w:w="3454" w:type="pct"/>
            <w:vAlign w:val="center"/>
          </w:tcPr>
          <w:p>
            <w:pPr>
              <w:rPr>
                <w:rFonts w:ascii="仿宋" w:eastAsia="仿宋" w:hAnsi="仿宋" w:cs="仿宋" w:hint="eastAsia"/>
                <w:highlight w:val="yellow"/>
              </w:rPr>
            </w:pPr>
            <w:r>
              <w:rPr>
                <w:rFonts w:ascii="仿宋" w:eastAsia="仿宋" w:hAnsi="仿宋" w:cs="仿宋" w:hint="eastAsia"/>
                <w:sz w:val="24"/>
              </w:rPr>
              <w:t xml:space="preserve">测量范围：0-200KLUX </w:t>
            </w:r>
          </w:p>
        </w:tc>
      </w:tr>
      <w:tr>
        <w:tblPrEx>
          <w:tblW w:w="5000" w:type="pct"/>
          <w:jc w:val="center"/>
          <w:tblCellMar>
            <w:top w:w="0" w:type="dxa"/>
            <w:left w:w="108" w:type="dxa"/>
            <w:bottom w:w="0" w:type="dxa"/>
            <w:right w:w="108" w:type="dxa"/>
          </w:tblCellMar>
          <w:tblLook w:val="0000"/>
        </w:tblPrEx>
        <w:trPr>
          <w:trHeight w:val="233"/>
          <w:jc w:val="center"/>
        </w:trPr>
        <w:tc>
          <w:tcPr>
            <w:tcW w:w="451" w:type="pct"/>
            <w:vMerge/>
            <w:vAlign w:val="center"/>
          </w:tcPr>
          <w:p>
            <w:pPr>
              <w:jc w:val="center"/>
              <w:rPr>
                <w:rFonts w:ascii="仿宋" w:eastAsia="仿宋" w:hAnsi="仿宋" w:cs="仿宋" w:hint="eastAsia"/>
              </w:rPr>
            </w:pPr>
          </w:p>
        </w:tc>
        <w:tc>
          <w:tcPr>
            <w:tcW w:w="1095"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最大允许误差：</w:t>
            </w:r>
            <w:r>
              <w:rPr>
                <w:rFonts w:ascii="仿宋" w:eastAsia="仿宋" w:hAnsi="仿宋" w:cs="仿宋" w:hint="eastAsia"/>
                <w:sz w:val="24"/>
                <w:highlight w:val="yellow"/>
              </w:rPr>
              <w:t>±</w:t>
            </w:r>
            <w:r>
              <w:rPr>
                <w:rFonts w:ascii="仿宋" w:eastAsia="仿宋" w:hAnsi="仿宋" w:cs="仿宋" w:hint="eastAsia"/>
                <w:sz w:val="24"/>
                <w:highlight w:val="yellow"/>
              </w:rPr>
              <w:t>3%</w:t>
            </w:r>
          </w:p>
        </w:tc>
      </w:tr>
      <w:tr>
        <w:tblPrEx>
          <w:tblW w:w="5000" w:type="pct"/>
          <w:jc w:val="center"/>
          <w:tblCellMar>
            <w:top w:w="0" w:type="dxa"/>
            <w:left w:w="108" w:type="dxa"/>
            <w:bottom w:w="0" w:type="dxa"/>
            <w:right w:w="108" w:type="dxa"/>
          </w:tblCellMar>
          <w:tblLook w:val="0000"/>
        </w:tblPrEx>
        <w:trPr>
          <w:trHeight w:val="233"/>
          <w:jc w:val="center"/>
        </w:trPr>
        <w:tc>
          <w:tcPr>
            <w:tcW w:w="451" w:type="pct"/>
            <w:vMerge/>
            <w:vAlign w:val="center"/>
          </w:tcPr>
          <w:p>
            <w:pPr>
              <w:jc w:val="center"/>
              <w:rPr>
                <w:rFonts w:ascii="仿宋" w:eastAsia="仿宋" w:hAnsi="仿宋" w:cs="仿宋" w:hint="eastAsia"/>
              </w:rPr>
            </w:pPr>
          </w:p>
        </w:tc>
        <w:tc>
          <w:tcPr>
            <w:tcW w:w="1095"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分辨力：10LUX</w:t>
            </w:r>
          </w:p>
        </w:tc>
      </w:tr>
    </w:tbl>
    <w:p>
      <w:pPr>
        <w:spacing w:line="360" w:lineRule="auto"/>
        <w:ind w:firstLine="560" w:firstLineChars="200"/>
        <w:rPr>
          <w:rFonts w:ascii="仿宋" w:eastAsia="仿宋" w:hAnsi="仿宋" w:cs="仿宋"/>
          <w:sz w:val="28"/>
          <w:szCs w:val="20"/>
        </w:rPr>
      </w:pPr>
      <w:r>
        <w:rPr>
          <w:rFonts w:ascii="仿宋" w:eastAsia="仿宋" w:hAnsi="仿宋" w:cs="仿宋" w:hint="eastAsia"/>
          <w:sz w:val="28"/>
          <w:szCs w:val="20"/>
        </w:rPr>
        <w:t>2.凋落物及土壤含水率传感器</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11"/>
        <w:gridCol w:w="1970"/>
        <w:gridCol w:w="6222"/>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53"/>
          <w:jc w:val="center"/>
        </w:trPr>
        <w:tc>
          <w:tcPr>
            <w:tcW w:w="450" w:type="pct"/>
            <w:vAlign w:val="center"/>
          </w:tcPr>
          <w:p>
            <w:pPr>
              <w:jc w:val="center"/>
              <w:rPr>
                <w:rFonts w:ascii="仿宋" w:eastAsia="仿宋" w:hAnsi="仿宋" w:cs="仿宋" w:hint="eastAsia"/>
                <w:b/>
              </w:rPr>
            </w:pPr>
            <w:r>
              <w:rPr>
                <w:rFonts w:ascii="仿宋" w:eastAsia="仿宋" w:hAnsi="仿宋" w:cs="仿宋" w:hint="eastAsia"/>
                <w:b/>
                <w:sz w:val="24"/>
              </w:rPr>
              <w:fldChar w:fldCharType="begin"/>
            </w:r>
            <w:r>
              <w:rPr>
                <w:rFonts w:ascii="仿宋" w:eastAsia="仿宋" w:hAnsi="仿宋" w:cs="仿宋" w:hint="eastAsia"/>
                <w:b/>
                <w:sz w:val="24"/>
              </w:rPr>
              <w:instrText>ADDIN CNKISM.UserStyle</w:instrText>
            </w:r>
            <w:r>
              <w:rPr>
                <w:rFonts w:ascii="仿宋" w:eastAsia="仿宋" w:hAnsi="仿宋" w:cs="仿宋" w:hint="eastAsia"/>
                <w:b/>
                <w:sz w:val="24"/>
              </w:rPr>
              <w:fldChar w:fldCharType="separate"/>
            </w:r>
            <w:r>
              <w:rPr>
                <w:rFonts w:ascii="仿宋" w:eastAsia="仿宋" w:hAnsi="仿宋" w:cs="仿宋" w:hint="eastAsia"/>
                <w:b/>
                <w:sz w:val="24"/>
              </w:rPr>
              <w:fldChar w:fldCharType="end"/>
            </w:r>
            <w:r>
              <w:rPr>
                <w:rFonts w:ascii="仿宋" w:eastAsia="仿宋" w:hAnsi="仿宋" w:cs="仿宋" w:hint="eastAsia"/>
                <w:b/>
                <w:sz w:val="24"/>
              </w:rPr>
              <w:t>序号</w:t>
            </w:r>
          </w:p>
        </w:tc>
        <w:tc>
          <w:tcPr>
            <w:tcW w:w="1094" w:type="pct"/>
            <w:vAlign w:val="center"/>
          </w:tcPr>
          <w:p>
            <w:pPr>
              <w:jc w:val="center"/>
              <w:rPr>
                <w:rFonts w:ascii="仿宋" w:eastAsia="仿宋" w:hAnsi="仿宋" w:cs="仿宋" w:hint="eastAsia"/>
                <w:b/>
              </w:rPr>
            </w:pPr>
            <w:r>
              <w:rPr>
                <w:rFonts w:ascii="仿宋" w:eastAsia="仿宋" w:hAnsi="仿宋" w:cs="仿宋" w:hint="eastAsia"/>
                <w:b/>
                <w:bCs/>
                <w:sz w:val="24"/>
              </w:rPr>
              <w:t>参数名称</w:t>
            </w:r>
          </w:p>
        </w:tc>
        <w:tc>
          <w:tcPr>
            <w:tcW w:w="3454" w:type="pct"/>
            <w:vAlign w:val="center"/>
          </w:tcPr>
          <w:p>
            <w:pPr>
              <w:jc w:val="center"/>
              <w:rPr>
                <w:rFonts w:ascii="仿宋" w:eastAsia="仿宋" w:hAnsi="仿宋" w:cs="仿宋" w:hint="eastAsia"/>
                <w:b/>
              </w:rPr>
            </w:pPr>
            <w:r>
              <w:rPr>
                <w:rFonts w:ascii="仿宋" w:eastAsia="仿宋" w:hAnsi="仿宋" w:cs="仿宋" w:hint="eastAsia"/>
                <w:b/>
                <w:bCs/>
                <w:sz w:val="24"/>
              </w:rPr>
              <w:t>功能与技术指标</w:t>
            </w:r>
          </w:p>
        </w:tc>
      </w:tr>
      <w:tr>
        <w:tblPrEx>
          <w:tblW w:w="5000" w:type="pct"/>
          <w:jc w:val="center"/>
          <w:tblCellMar>
            <w:top w:w="0" w:type="dxa"/>
            <w:left w:w="108" w:type="dxa"/>
            <w:bottom w:w="0" w:type="dxa"/>
            <w:right w:w="108" w:type="dxa"/>
          </w:tblCellMar>
          <w:tblLook w:val="0000"/>
        </w:tblPrEx>
        <w:trPr>
          <w:trHeight w:val="383"/>
          <w:jc w:val="center"/>
        </w:trPr>
        <w:tc>
          <w:tcPr>
            <w:tcW w:w="450" w:type="pct"/>
            <w:vMerge w:val="restart"/>
            <w:vAlign w:val="center"/>
          </w:tcPr>
          <w:p>
            <w:pPr>
              <w:jc w:val="center"/>
              <w:rPr>
                <w:rFonts w:ascii="仿宋" w:eastAsia="仿宋" w:hAnsi="仿宋" w:cs="仿宋" w:hint="eastAsia"/>
              </w:rPr>
            </w:pPr>
            <w:r>
              <w:rPr>
                <w:rFonts w:ascii="仿宋" w:eastAsia="仿宋" w:hAnsi="仿宋" w:cs="仿宋" w:hint="eastAsia"/>
                <w:sz w:val="24"/>
              </w:rPr>
              <w:t>6</w:t>
            </w:r>
          </w:p>
        </w:tc>
        <w:tc>
          <w:tcPr>
            <w:tcW w:w="1094" w:type="pct"/>
            <w:vMerge w:val="restart"/>
            <w:vAlign w:val="center"/>
          </w:tcPr>
          <w:p>
            <w:pPr>
              <w:jc w:val="center"/>
              <w:rPr>
                <w:rFonts w:ascii="仿宋" w:eastAsia="仿宋" w:hAnsi="仿宋" w:cs="仿宋" w:hint="eastAsia"/>
              </w:rPr>
            </w:pPr>
            <w:r>
              <w:rPr>
                <w:rFonts w:ascii="仿宋" w:eastAsia="仿宋" w:hAnsi="仿宋" w:cs="仿宋" w:hint="eastAsia"/>
                <w:sz w:val="24"/>
              </w:rPr>
              <w:t>凋落物含水率</w:t>
            </w:r>
          </w:p>
        </w:tc>
        <w:tc>
          <w:tcPr>
            <w:tcW w:w="3454" w:type="pct"/>
            <w:vAlign w:val="center"/>
          </w:tcPr>
          <w:p>
            <w:pPr>
              <w:rPr>
                <w:rFonts w:ascii="仿宋" w:eastAsia="仿宋" w:hAnsi="仿宋" w:cs="仿宋" w:hint="eastAsia"/>
              </w:rPr>
            </w:pPr>
            <w:r>
              <w:rPr>
                <w:rFonts w:ascii="仿宋" w:eastAsia="仿宋" w:hAnsi="仿宋" w:cs="仿宋"/>
                <w:sz w:val="24"/>
                <w:highlight w:val="yellow"/>
              </w:rPr>
              <w:t>#</w:t>
            </w:r>
            <w:r>
              <w:rPr>
                <w:rFonts w:ascii="仿宋" w:eastAsia="仿宋" w:hAnsi="仿宋" w:cs="仿宋" w:hint="eastAsia"/>
                <w:sz w:val="24"/>
                <w:highlight w:val="yellow"/>
              </w:rPr>
              <w:t>测量范围：0-100.0%</w:t>
            </w:r>
          </w:p>
        </w:tc>
      </w:tr>
      <w:tr>
        <w:tblPrEx>
          <w:tblW w:w="5000" w:type="pct"/>
          <w:jc w:val="center"/>
          <w:tblCellMar>
            <w:top w:w="0" w:type="dxa"/>
            <w:left w:w="108" w:type="dxa"/>
            <w:bottom w:w="0" w:type="dxa"/>
            <w:right w:w="108" w:type="dxa"/>
          </w:tblCellMar>
          <w:tblLook w:val="0000"/>
        </w:tblPrEx>
        <w:trPr>
          <w:trHeight w:val="233"/>
          <w:jc w:val="center"/>
        </w:trPr>
        <w:tc>
          <w:tcPr>
            <w:tcW w:w="450" w:type="pct"/>
            <w:vMerge/>
            <w:vAlign w:val="center"/>
          </w:tcPr>
          <w:p>
            <w:pPr>
              <w:jc w:val="center"/>
              <w:rPr>
                <w:rFonts w:ascii="仿宋" w:eastAsia="仿宋" w:hAnsi="仿宋" w:cs="仿宋" w:hint="eastAsia"/>
              </w:rPr>
            </w:pPr>
          </w:p>
        </w:tc>
        <w:tc>
          <w:tcPr>
            <w:tcW w:w="1094"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 xml:space="preserve">测量误差: </w:t>
            </w:r>
            <w:r>
              <w:rPr>
                <w:rFonts w:ascii="仿宋" w:eastAsia="仿宋" w:hAnsi="仿宋" w:cs="仿宋" w:hint="eastAsia"/>
                <w:sz w:val="24"/>
                <w:highlight w:val="yellow"/>
              </w:rPr>
              <w:t>≤±</w:t>
            </w:r>
            <w:r>
              <w:rPr>
                <w:rFonts w:ascii="仿宋" w:eastAsia="仿宋" w:hAnsi="仿宋" w:cs="仿宋" w:hint="eastAsia"/>
                <w:sz w:val="24"/>
                <w:highlight w:val="yellow"/>
              </w:rPr>
              <w:t>5%（含水率</w:t>
            </w:r>
            <w:r>
              <w:rPr>
                <w:rFonts w:ascii="仿宋" w:eastAsia="仿宋" w:hAnsi="仿宋" w:cs="仿宋" w:hint="eastAsia"/>
                <w:sz w:val="24"/>
                <w:highlight w:val="yellow"/>
              </w:rPr>
              <w:t>≤</w:t>
            </w:r>
            <w:r>
              <w:rPr>
                <w:rFonts w:ascii="仿宋" w:eastAsia="仿宋" w:hAnsi="仿宋" w:cs="仿宋" w:hint="eastAsia"/>
                <w:sz w:val="24"/>
                <w:highlight w:val="yellow"/>
              </w:rPr>
              <w:t>35%时），</w:t>
            </w:r>
            <w:r>
              <w:rPr>
                <w:rFonts w:ascii="仿宋" w:eastAsia="仿宋" w:hAnsi="仿宋" w:cs="仿宋" w:hint="eastAsia"/>
                <w:sz w:val="24"/>
                <w:highlight w:val="yellow"/>
              </w:rPr>
              <w:t>≤±</w:t>
            </w:r>
            <w:r>
              <w:rPr>
                <w:rFonts w:ascii="仿宋" w:eastAsia="仿宋" w:hAnsi="仿宋" w:cs="仿宋" w:hint="eastAsia"/>
                <w:sz w:val="24"/>
                <w:highlight w:val="yellow"/>
              </w:rPr>
              <w:t>10%（35%＜含水率</w:t>
            </w:r>
            <w:r>
              <w:rPr>
                <w:rFonts w:ascii="仿宋" w:eastAsia="仿宋" w:hAnsi="仿宋" w:cs="仿宋" w:hint="eastAsia"/>
                <w:sz w:val="24"/>
                <w:highlight w:val="yellow"/>
              </w:rPr>
              <w:t>≤</w:t>
            </w:r>
            <w:r>
              <w:rPr>
                <w:rFonts w:ascii="仿宋" w:eastAsia="仿宋" w:hAnsi="仿宋" w:cs="仿宋" w:hint="eastAsia"/>
                <w:sz w:val="24"/>
                <w:highlight w:val="yellow"/>
              </w:rPr>
              <w:t>100%）</w:t>
            </w:r>
          </w:p>
        </w:tc>
      </w:tr>
      <w:tr>
        <w:tblPrEx>
          <w:tblW w:w="5000" w:type="pct"/>
          <w:jc w:val="center"/>
          <w:tblCellMar>
            <w:top w:w="0" w:type="dxa"/>
            <w:left w:w="108" w:type="dxa"/>
            <w:bottom w:w="0" w:type="dxa"/>
            <w:right w:w="108" w:type="dxa"/>
          </w:tblCellMar>
          <w:tblLook w:val="0000"/>
        </w:tblPrEx>
        <w:trPr>
          <w:trHeight w:val="233"/>
          <w:jc w:val="center"/>
        </w:trPr>
        <w:tc>
          <w:tcPr>
            <w:tcW w:w="450" w:type="pct"/>
            <w:vMerge/>
            <w:vAlign w:val="center"/>
          </w:tcPr>
          <w:p>
            <w:pPr>
              <w:jc w:val="center"/>
              <w:rPr>
                <w:rFonts w:ascii="仿宋" w:eastAsia="仿宋" w:hAnsi="仿宋" w:cs="仿宋" w:hint="eastAsia"/>
              </w:rPr>
            </w:pPr>
          </w:p>
        </w:tc>
        <w:tc>
          <w:tcPr>
            <w:tcW w:w="1094"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分辨力：0.1%</w:t>
            </w:r>
          </w:p>
        </w:tc>
      </w:tr>
      <w:tr>
        <w:tblPrEx>
          <w:tblW w:w="5000" w:type="pct"/>
          <w:jc w:val="center"/>
          <w:tblCellMar>
            <w:top w:w="0" w:type="dxa"/>
            <w:left w:w="108" w:type="dxa"/>
            <w:bottom w:w="0" w:type="dxa"/>
            <w:right w:w="108" w:type="dxa"/>
          </w:tblCellMar>
          <w:tblLook w:val="0000"/>
        </w:tblPrEx>
        <w:trPr>
          <w:trHeight w:val="355"/>
          <w:jc w:val="center"/>
        </w:trPr>
        <w:tc>
          <w:tcPr>
            <w:tcW w:w="450" w:type="pct"/>
            <w:vMerge w:val="restart"/>
            <w:vAlign w:val="center"/>
          </w:tcPr>
          <w:p>
            <w:pPr>
              <w:jc w:val="center"/>
              <w:rPr>
                <w:rFonts w:ascii="仿宋" w:eastAsia="仿宋" w:hAnsi="仿宋" w:cs="仿宋" w:hint="eastAsia"/>
              </w:rPr>
            </w:pPr>
            <w:r>
              <w:rPr>
                <w:rFonts w:ascii="仿宋" w:eastAsia="仿宋" w:hAnsi="仿宋" w:cs="仿宋" w:hint="eastAsia"/>
                <w:sz w:val="24"/>
              </w:rPr>
              <w:t>7</w:t>
            </w:r>
          </w:p>
        </w:tc>
        <w:tc>
          <w:tcPr>
            <w:tcW w:w="1094" w:type="pct"/>
            <w:vMerge w:val="restart"/>
            <w:vAlign w:val="center"/>
          </w:tcPr>
          <w:p>
            <w:pPr>
              <w:jc w:val="center"/>
              <w:rPr>
                <w:rFonts w:ascii="仿宋" w:eastAsia="仿宋" w:hAnsi="仿宋" w:cs="仿宋" w:hint="eastAsia"/>
              </w:rPr>
            </w:pPr>
            <w:r>
              <w:rPr>
                <w:rFonts w:ascii="仿宋" w:eastAsia="仿宋" w:hAnsi="仿宋" w:cs="仿宋" w:hint="eastAsia"/>
                <w:sz w:val="24"/>
              </w:rPr>
              <w:t>土壤体积含水率</w:t>
            </w:r>
          </w:p>
        </w:tc>
        <w:tc>
          <w:tcPr>
            <w:tcW w:w="3454" w:type="pct"/>
            <w:vAlign w:val="center"/>
          </w:tcPr>
          <w:p>
            <w:pPr>
              <w:rPr>
                <w:rFonts w:ascii="仿宋" w:eastAsia="仿宋" w:hAnsi="仿宋" w:cs="仿宋" w:hint="eastAsia"/>
              </w:rPr>
            </w:pPr>
            <w:r>
              <w:rPr>
                <w:rFonts w:ascii="仿宋" w:eastAsia="仿宋" w:hAnsi="仿宋" w:cs="仿宋" w:hint="eastAsia"/>
                <w:sz w:val="24"/>
              </w:rPr>
              <w:t>探测深度：10cm，20cm，30cm三层</w:t>
            </w:r>
          </w:p>
        </w:tc>
      </w:tr>
      <w:tr>
        <w:tblPrEx>
          <w:tblW w:w="5000" w:type="pct"/>
          <w:jc w:val="center"/>
          <w:tblCellMar>
            <w:top w:w="0" w:type="dxa"/>
            <w:left w:w="108" w:type="dxa"/>
            <w:bottom w:w="0" w:type="dxa"/>
            <w:right w:w="108" w:type="dxa"/>
          </w:tblCellMar>
          <w:tblLook w:val="0000"/>
        </w:tblPrEx>
        <w:trPr>
          <w:trHeight w:val="235"/>
          <w:jc w:val="center"/>
        </w:trPr>
        <w:tc>
          <w:tcPr>
            <w:tcW w:w="450" w:type="pct"/>
            <w:vMerge/>
            <w:vAlign w:val="center"/>
          </w:tcPr>
          <w:p>
            <w:pPr>
              <w:jc w:val="center"/>
              <w:rPr>
                <w:rFonts w:ascii="仿宋" w:eastAsia="仿宋" w:hAnsi="仿宋" w:cs="仿宋" w:hint="eastAsia"/>
              </w:rPr>
            </w:pPr>
          </w:p>
        </w:tc>
        <w:tc>
          <w:tcPr>
            <w:tcW w:w="1094"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nt="eastAsia"/>
              </w:rPr>
            </w:pPr>
            <w:r>
              <w:rPr>
                <w:rFonts w:ascii="仿宋" w:eastAsia="仿宋" w:hAnsi="仿宋" w:cs="仿宋"/>
                <w:sz w:val="24"/>
                <w:highlight w:val="yellow"/>
              </w:rPr>
              <w:t>#</w:t>
            </w:r>
            <w:r>
              <w:rPr>
                <w:rFonts w:ascii="仿宋" w:eastAsia="仿宋" w:hAnsi="仿宋" w:cs="仿宋" w:hint="eastAsia"/>
                <w:sz w:val="24"/>
                <w:highlight w:val="yellow"/>
              </w:rPr>
              <w:t>测量范围：0-60.0%Vol</w:t>
            </w:r>
          </w:p>
        </w:tc>
      </w:tr>
      <w:tr>
        <w:tblPrEx>
          <w:tblW w:w="5000" w:type="pct"/>
          <w:jc w:val="center"/>
          <w:tblCellMar>
            <w:top w:w="0" w:type="dxa"/>
            <w:left w:w="108" w:type="dxa"/>
            <w:bottom w:w="0" w:type="dxa"/>
            <w:right w:w="108" w:type="dxa"/>
          </w:tblCellMar>
          <w:tblLook w:val="0000"/>
        </w:tblPrEx>
        <w:trPr>
          <w:trHeight w:val="233"/>
          <w:jc w:val="center"/>
        </w:trPr>
        <w:tc>
          <w:tcPr>
            <w:tcW w:w="450" w:type="pct"/>
            <w:vMerge/>
            <w:vAlign w:val="center"/>
          </w:tcPr>
          <w:p>
            <w:pPr>
              <w:jc w:val="center"/>
              <w:rPr>
                <w:rFonts w:ascii="仿宋" w:eastAsia="仿宋" w:hAnsi="仿宋" w:cs="仿宋" w:hint="eastAsia"/>
              </w:rPr>
            </w:pPr>
          </w:p>
        </w:tc>
        <w:tc>
          <w:tcPr>
            <w:tcW w:w="1094"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测量误差：</w:t>
            </w:r>
            <w:r>
              <w:rPr>
                <w:rFonts w:ascii="仿宋" w:eastAsia="仿宋" w:hAnsi="仿宋" w:cs="仿宋" w:hint="eastAsia"/>
                <w:sz w:val="24"/>
                <w:highlight w:val="yellow"/>
              </w:rPr>
              <w:t>≤±</w:t>
            </w:r>
            <w:r>
              <w:rPr>
                <w:rFonts w:ascii="仿宋" w:eastAsia="仿宋" w:hAnsi="仿宋" w:cs="仿宋" w:hint="eastAsia"/>
                <w:sz w:val="24"/>
                <w:highlight w:val="yellow"/>
              </w:rPr>
              <w:t>5%；</w:t>
            </w:r>
          </w:p>
        </w:tc>
      </w:tr>
      <w:tr>
        <w:tblPrEx>
          <w:tblW w:w="5000" w:type="pct"/>
          <w:jc w:val="center"/>
          <w:tblCellMar>
            <w:top w:w="0" w:type="dxa"/>
            <w:left w:w="108" w:type="dxa"/>
            <w:bottom w:w="0" w:type="dxa"/>
            <w:right w:w="108" w:type="dxa"/>
          </w:tblCellMar>
          <w:tblLook w:val="0000"/>
        </w:tblPrEx>
        <w:trPr>
          <w:trHeight w:val="233"/>
          <w:jc w:val="center"/>
        </w:trPr>
        <w:tc>
          <w:tcPr>
            <w:tcW w:w="450" w:type="pct"/>
            <w:vMerge/>
            <w:vAlign w:val="center"/>
          </w:tcPr>
          <w:p>
            <w:pPr>
              <w:jc w:val="center"/>
              <w:rPr>
                <w:rFonts w:ascii="仿宋" w:eastAsia="仿宋" w:hAnsi="仿宋" w:cs="仿宋" w:hint="eastAsia"/>
              </w:rPr>
            </w:pPr>
          </w:p>
        </w:tc>
        <w:tc>
          <w:tcPr>
            <w:tcW w:w="1094"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分辨力：0.1%</w:t>
            </w:r>
          </w:p>
        </w:tc>
      </w:tr>
      <w:tr>
        <w:tblPrEx>
          <w:tblW w:w="5000" w:type="pct"/>
          <w:jc w:val="center"/>
          <w:tblCellMar>
            <w:top w:w="0" w:type="dxa"/>
            <w:left w:w="108" w:type="dxa"/>
            <w:bottom w:w="0" w:type="dxa"/>
            <w:right w:w="108" w:type="dxa"/>
          </w:tblCellMar>
          <w:tblLook w:val="0000"/>
        </w:tblPrEx>
        <w:trPr>
          <w:trHeight w:val="235"/>
          <w:jc w:val="center"/>
        </w:trPr>
        <w:tc>
          <w:tcPr>
            <w:tcW w:w="450" w:type="pct"/>
            <w:vMerge w:val="restart"/>
            <w:vAlign w:val="center"/>
          </w:tcPr>
          <w:p>
            <w:pPr>
              <w:jc w:val="center"/>
              <w:rPr>
                <w:rFonts w:ascii="仿宋" w:eastAsia="仿宋" w:hAnsi="仿宋" w:cs="仿宋" w:hint="eastAsia"/>
              </w:rPr>
            </w:pPr>
            <w:r>
              <w:rPr>
                <w:rFonts w:ascii="仿宋" w:eastAsia="仿宋" w:hAnsi="仿宋" w:cs="仿宋" w:hint="eastAsia"/>
                <w:sz w:val="24"/>
              </w:rPr>
              <w:t>8</w:t>
            </w:r>
          </w:p>
        </w:tc>
        <w:tc>
          <w:tcPr>
            <w:tcW w:w="1094" w:type="pct"/>
            <w:vMerge w:val="restart"/>
            <w:vAlign w:val="center"/>
          </w:tcPr>
          <w:p>
            <w:pPr>
              <w:jc w:val="center"/>
              <w:rPr>
                <w:rFonts w:ascii="仿宋" w:eastAsia="仿宋" w:hAnsi="仿宋" w:cs="仿宋" w:hint="eastAsia"/>
              </w:rPr>
            </w:pPr>
            <w:r>
              <w:rPr>
                <w:rFonts w:ascii="仿宋" w:eastAsia="仿宋" w:hAnsi="仿宋" w:cs="仿宋" w:hint="eastAsia"/>
                <w:sz w:val="24"/>
              </w:rPr>
              <w:t>地表湿度</w:t>
            </w:r>
          </w:p>
        </w:tc>
        <w:tc>
          <w:tcPr>
            <w:tcW w:w="3454" w:type="pct"/>
            <w:vAlign w:val="center"/>
          </w:tcPr>
          <w:p>
            <w:pPr>
              <w:rPr>
                <w:rFonts w:ascii="仿宋" w:eastAsia="仿宋" w:hAnsi="仿宋" w:cs="仿宋" w:hint="eastAsia"/>
                <w:highlight w:val="yellow"/>
              </w:rPr>
            </w:pPr>
            <w:r>
              <w:rPr>
                <w:rFonts w:ascii="仿宋" w:eastAsia="仿宋" w:hAnsi="仿宋" w:cs="仿宋" w:hint="eastAsia"/>
                <w:sz w:val="24"/>
              </w:rPr>
              <w:t>测量范围：10%-100%RH</w:t>
            </w:r>
          </w:p>
        </w:tc>
      </w:tr>
      <w:tr>
        <w:tblPrEx>
          <w:tblW w:w="5000" w:type="pct"/>
          <w:jc w:val="center"/>
          <w:tblCellMar>
            <w:top w:w="0" w:type="dxa"/>
            <w:left w:w="108" w:type="dxa"/>
            <w:bottom w:w="0" w:type="dxa"/>
            <w:right w:w="108" w:type="dxa"/>
          </w:tblCellMar>
          <w:tblLook w:val="0000"/>
        </w:tblPrEx>
        <w:trPr>
          <w:trHeight w:val="233"/>
          <w:jc w:val="center"/>
        </w:trPr>
        <w:tc>
          <w:tcPr>
            <w:tcW w:w="450" w:type="pct"/>
            <w:vMerge/>
            <w:vAlign w:val="center"/>
          </w:tcPr>
          <w:p>
            <w:pPr>
              <w:jc w:val="center"/>
              <w:rPr>
                <w:rFonts w:ascii="仿宋" w:eastAsia="仿宋" w:hAnsi="仿宋" w:cs="仿宋" w:hint="eastAsia"/>
              </w:rPr>
            </w:pPr>
          </w:p>
        </w:tc>
        <w:tc>
          <w:tcPr>
            <w:tcW w:w="1094"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测量误差：</w:t>
            </w:r>
            <w:r>
              <w:rPr>
                <w:rFonts w:ascii="仿宋" w:eastAsia="仿宋" w:hAnsi="仿宋" w:cs="仿宋" w:hint="eastAsia"/>
                <w:sz w:val="24"/>
                <w:highlight w:val="yellow"/>
              </w:rPr>
              <w:t>≤±</w:t>
            </w:r>
            <w:r>
              <w:rPr>
                <w:rFonts w:ascii="仿宋" w:eastAsia="仿宋" w:hAnsi="仿宋" w:cs="仿宋" w:hint="eastAsia"/>
                <w:sz w:val="24"/>
                <w:highlight w:val="yellow"/>
              </w:rPr>
              <w:t>3%RH（</w:t>
            </w:r>
            <w:r>
              <w:rPr>
                <w:rFonts w:ascii="仿宋" w:eastAsia="仿宋" w:hAnsi="仿宋" w:cs="仿宋" w:hint="eastAsia"/>
                <w:sz w:val="24"/>
                <w:highlight w:val="yellow"/>
              </w:rPr>
              <w:t>≤</w:t>
            </w:r>
            <w:r>
              <w:rPr>
                <w:rFonts w:ascii="仿宋" w:eastAsia="仿宋" w:hAnsi="仿宋" w:cs="仿宋" w:hint="eastAsia"/>
                <w:sz w:val="24"/>
                <w:highlight w:val="yellow"/>
              </w:rPr>
              <w:t>80%RH）,</w:t>
            </w:r>
            <w:r>
              <w:rPr>
                <w:rFonts w:ascii="仿宋" w:eastAsia="仿宋" w:hAnsi="仿宋" w:cs="仿宋" w:hint="eastAsia"/>
                <w:sz w:val="24"/>
                <w:highlight w:val="yellow"/>
              </w:rPr>
              <w:t>≤±</w:t>
            </w:r>
            <w:r>
              <w:rPr>
                <w:rFonts w:ascii="仿宋" w:eastAsia="仿宋" w:hAnsi="仿宋" w:cs="仿宋" w:hint="eastAsia"/>
                <w:sz w:val="24"/>
                <w:highlight w:val="yellow"/>
              </w:rPr>
              <w:t>5%RH（</w:t>
            </w:r>
            <w:r>
              <w:rPr>
                <w:rFonts w:ascii="仿宋" w:eastAsia="仿宋" w:hAnsi="仿宋" w:cs="仿宋" w:hint="eastAsia"/>
                <w:sz w:val="24"/>
                <w:highlight w:val="yellow"/>
                <w:lang w:val="en-US" w:eastAsia="zh-CN"/>
              </w:rPr>
              <w:t>＞</w:t>
            </w:r>
            <w:r>
              <w:rPr>
                <w:rFonts w:ascii="仿宋" w:eastAsia="仿宋" w:hAnsi="仿宋" w:cs="仿宋" w:hint="eastAsia"/>
                <w:sz w:val="24"/>
                <w:highlight w:val="yellow"/>
              </w:rPr>
              <w:t>80%RH）</w:t>
            </w:r>
          </w:p>
        </w:tc>
      </w:tr>
      <w:tr>
        <w:tblPrEx>
          <w:tblW w:w="5000" w:type="pct"/>
          <w:jc w:val="center"/>
          <w:tblCellMar>
            <w:top w:w="0" w:type="dxa"/>
            <w:left w:w="108" w:type="dxa"/>
            <w:bottom w:w="0" w:type="dxa"/>
            <w:right w:w="108" w:type="dxa"/>
          </w:tblCellMar>
          <w:tblLook w:val="0000"/>
        </w:tblPrEx>
        <w:trPr>
          <w:trHeight w:val="233"/>
          <w:jc w:val="center"/>
        </w:trPr>
        <w:tc>
          <w:tcPr>
            <w:tcW w:w="450" w:type="pct"/>
            <w:vMerge/>
            <w:vAlign w:val="center"/>
          </w:tcPr>
          <w:p>
            <w:pPr>
              <w:jc w:val="center"/>
              <w:rPr>
                <w:rFonts w:ascii="仿宋" w:eastAsia="仿宋" w:hAnsi="仿宋" w:cs="仿宋" w:hint="eastAsia"/>
              </w:rPr>
            </w:pPr>
          </w:p>
        </w:tc>
        <w:tc>
          <w:tcPr>
            <w:tcW w:w="1094"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分辨力:</w:t>
            </w:r>
            <w:r>
              <w:rPr>
                <w:rFonts w:ascii="仿宋" w:eastAsia="仿宋" w:hAnsi="仿宋" w:cs="仿宋" w:hint="eastAsia"/>
                <w:sz w:val="24"/>
                <w:highlight w:val="yellow"/>
                <w:lang w:val="en-US" w:eastAsia="zh-CN"/>
              </w:rPr>
              <w:t>0.</w:t>
            </w:r>
            <w:r>
              <w:rPr>
                <w:rFonts w:ascii="仿宋" w:eastAsia="仿宋" w:hAnsi="仿宋" w:cs="仿宋" w:hint="eastAsia"/>
                <w:sz w:val="24"/>
                <w:highlight w:val="yellow"/>
              </w:rPr>
              <w:t>1%RH</w:t>
            </w:r>
          </w:p>
        </w:tc>
      </w:tr>
      <w:tr>
        <w:tblPrEx>
          <w:tblW w:w="5000" w:type="pct"/>
          <w:jc w:val="center"/>
          <w:tblCellMar>
            <w:top w:w="0" w:type="dxa"/>
            <w:left w:w="108" w:type="dxa"/>
            <w:bottom w:w="0" w:type="dxa"/>
            <w:right w:w="108" w:type="dxa"/>
          </w:tblCellMar>
          <w:tblLook w:val="0000"/>
        </w:tblPrEx>
        <w:trPr>
          <w:trHeight w:val="235"/>
          <w:jc w:val="center"/>
        </w:trPr>
        <w:tc>
          <w:tcPr>
            <w:tcW w:w="450" w:type="pct"/>
            <w:vMerge w:val="restart"/>
            <w:vAlign w:val="center"/>
          </w:tcPr>
          <w:p>
            <w:pPr>
              <w:jc w:val="center"/>
              <w:rPr>
                <w:rFonts w:ascii="仿宋" w:eastAsia="仿宋" w:hAnsi="仿宋" w:cs="仿宋" w:hint="eastAsia"/>
              </w:rPr>
            </w:pPr>
            <w:r>
              <w:rPr>
                <w:rFonts w:ascii="仿宋" w:eastAsia="仿宋" w:hAnsi="仿宋" w:cs="仿宋" w:hint="eastAsia"/>
                <w:sz w:val="24"/>
              </w:rPr>
              <w:t>9</w:t>
            </w:r>
          </w:p>
        </w:tc>
        <w:tc>
          <w:tcPr>
            <w:tcW w:w="1094" w:type="pct"/>
            <w:vMerge w:val="restart"/>
            <w:vAlign w:val="center"/>
          </w:tcPr>
          <w:p>
            <w:pPr>
              <w:jc w:val="center"/>
              <w:rPr>
                <w:rFonts w:ascii="仿宋" w:eastAsia="仿宋" w:hAnsi="仿宋" w:cs="仿宋" w:hint="eastAsia"/>
              </w:rPr>
            </w:pPr>
            <w:r>
              <w:rPr>
                <w:rFonts w:ascii="仿宋" w:eastAsia="仿宋" w:hAnsi="仿宋" w:cs="仿宋" w:hint="eastAsia"/>
                <w:sz w:val="24"/>
              </w:rPr>
              <w:t>地表温度</w:t>
            </w:r>
          </w:p>
        </w:tc>
        <w:tc>
          <w:tcPr>
            <w:tcW w:w="3454" w:type="pct"/>
            <w:vAlign w:val="center"/>
          </w:tcPr>
          <w:p>
            <w:pPr>
              <w:rPr>
                <w:rFonts w:ascii="仿宋" w:eastAsia="仿宋" w:hAnsi="仿宋" w:cs="仿宋" w:hint="eastAsia"/>
                <w:highlight w:val="yellow"/>
              </w:rPr>
            </w:pPr>
            <w:r>
              <w:rPr>
                <w:rFonts w:ascii="仿宋" w:eastAsia="仿宋" w:hAnsi="仿宋" w:cs="仿宋" w:hint="eastAsia"/>
                <w:sz w:val="24"/>
              </w:rPr>
              <w:t>测量范围：-40</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lang w:val="en-US" w:eastAsia="zh-CN"/>
              </w:rPr>
              <w:t>+</w:t>
            </w:r>
            <w:r>
              <w:rPr>
                <w:rFonts w:ascii="仿宋" w:eastAsia="仿宋" w:hAnsi="仿宋" w:cs="仿宋" w:hint="eastAsia"/>
                <w:sz w:val="24"/>
              </w:rPr>
              <w:t>55</w:t>
            </w:r>
            <w:r>
              <w:rPr>
                <w:rFonts w:ascii="仿宋" w:eastAsia="仿宋" w:hAnsi="仿宋" w:cs="仿宋" w:hint="eastAsia"/>
                <w:sz w:val="24"/>
              </w:rPr>
              <w:t>℃</w:t>
            </w:r>
          </w:p>
        </w:tc>
      </w:tr>
      <w:tr>
        <w:tblPrEx>
          <w:tblW w:w="5000" w:type="pct"/>
          <w:jc w:val="center"/>
          <w:tblCellMar>
            <w:top w:w="0" w:type="dxa"/>
            <w:left w:w="108" w:type="dxa"/>
            <w:bottom w:w="0" w:type="dxa"/>
            <w:right w:w="108" w:type="dxa"/>
          </w:tblCellMar>
          <w:tblLook w:val="0000"/>
        </w:tblPrEx>
        <w:trPr>
          <w:trHeight w:val="233"/>
          <w:jc w:val="center"/>
        </w:trPr>
        <w:tc>
          <w:tcPr>
            <w:tcW w:w="450" w:type="pct"/>
            <w:vMerge/>
            <w:vAlign w:val="center"/>
          </w:tcPr>
          <w:p>
            <w:pPr>
              <w:jc w:val="center"/>
              <w:rPr>
                <w:rFonts w:ascii="仿宋" w:eastAsia="仿宋" w:hAnsi="仿宋" w:cs="仿宋" w:hint="eastAsia"/>
              </w:rPr>
            </w:pPr>
          </w:p>
        </w:tc>
        <w:tc>
          <w:tcPr>
            <w:tcW w:w="1094"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测量误差：</w:t>
            </w:r>
            <w:r>
              <w:rPr>
                <w:rFonts w:ascii="仿宋" w:eastAsia="仿宋" w:hAnsi="仿宋" w:cs="仿宋" w:hint="eastAsia"/>
                <w:sz w:val="24"/>
                <w:highlight w:val="yellow"/>
              </w:rPr>
              <w:t>≤±</w:t>
            </w:r>
            <w:r>
              <w:rPr>
                <w:rFonts w:ascii="仿宋" w:eastAsia="仿宋" w:hAnsi="仿宋" w:cs="仿宋" w:hint="eastAsia"/>
                <w:sz w:val="24"/>
                <w:highlight w:val="yellow"/>
              </w:rPr>
              <w:t>0.5</w:t>
            </w:r>
            <w:r>
              <w:rPr>
                <w:rFonts w:ascii="仿宋" w:eastAsia="仿宋" w:hAnsi="仿宋" w:cs="仿宋" w:hint="eastAsia"/>
                <w:sz w:val="24"/>
                <w:highlight w:val="yellow"/>
              </w:rPr>
              <w:t>℃</w:t>
            </w:r>
          </w:p>
        </w:tc>
      </w:tr>
      <w:tr>
        <w:tblPrEx>
          <w:tblW w:w="5000" w:type="pct"/>
          <w:jc w:val="center"/>
          <w:tblCellMar>
            <w:top w:w="0" w:type="dxa"/>
            <w:left w:w="108" w:type="dxa"/>
            <w:bottom w:w="0" w:type="dxa"/>
            <w:right w:w="108" w:type="dxa"/>
          </w:tblCellMar>
          <w:tblLook w:val="0000"/>
        </w:tblPrEx>
        <w:trPr>
          <w:trHeight w:val="233"/>
          <w:jc w:val="center"/>
        </w:trPr>
        <w:tc>
          <w:tcPr>
            <w:tcW w:w="450" w:type="pct"/>
            <w:vMerge/>
            <w:vAlign w:val="center"/>
          </w:tcPr>
          <w:p>
            <w:pPr>
              <w:jc w:val="center"/>
              <w:rPr>
                <w:rFonts w:ascii="仿宋" w:eastAsia="仿宋" w:hAnsi="仿宋" w:cs="仿宋" w:hint="eastAsia"/>
              </w:rPr>
            </w:pPr>
          </w:p>
        </w:tc>
        <w:tc>
          <w:tcPr>
            <w:tcW w:w="1094"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分辩力：0.1</w:t>
            </w:r>
            <w:r>
              <w:rPr>
                <w:rFonts w:ascii="仿宋" w:eastAsia="仿宋" w:hAnsi="仿宋" w:cs="仿宋" w:hint="eastAsia"/>
                <w:sz w:val="24"/>
                <w:highlight w:val="yellow"/>
              </w:rPr>
              <w:t>℃</w:t>
            </w:r>
          </w:p>
        </w:tc>
      </w:tr>
      <w:tr>
        <w:tblPrEx>
          <w:tblW w:w="5000" w:type="pct"/>
          <w:jc w:val="center"/>
          <w:tblCellMar>
            <w:top w:w="0" w:type="dxa"/>
            <w:left w:w="108" w:type="dxa"/>
            <w:bottom w:w="0" w:type="dxa"/>
            <w:right w:w="108" w:type="dxa"/>
          </w:tblCellMar>
          <w:tblLook w:val="0000"/>
        </w:tblPrEx>
        <w:trPr>
          <w:trHeight w:val="835"/>
          <w:jc w:val="center"/>
        </w:trPr>
        <w:tc>
          <w:tcPr>
            <w:tcW w:w="450" w:type="pct"/>
            <w:vAlign w:val="center"/>
          </w:tcPr>
          <w:p>
            <w:pPr>
              <w:jc w:val="center"/>
              <w:rPr>
                <w:rFonts w:ascii="仿宋" w:eastAsia="仿宋" w:hAnsi="仿宋" w:cs="仿宋" w:hint="eastAsia"/>
              </w:rPr>
            </w:pPr>
            <w:r>
              <w:rPr>
                <w:rFonts w:ascii="仿宋" w:eastAsia="仿宋" w:hAnsi="仿宋" w:cs="仿宋" w:hint="eastAsia"/>
                <w:sz w:val="24"/>
              </w:rPr>
              <w:t>10</w:t>
            </w:r>
          </w:p>
        </w:tc>
        <w:tc>
          <w:tcPr>
            <w:tcW w:w="1094" w:type="pct"/>
            <w:vAlign w:val="center"/>
          </w:tcPr>
          <w:p>
            <w:pPr>
              <w:jc w:val="center"/>
              <w:rPr>
                <w:rFonts w:ascii="仿宋" w:eastAsia="仿宋" w:hAnsi="仿宋" w:cs="仿宋" w:hint="eastAsia"/>
              </w:rPr>
            </w:pPr>
            <w:r>
              <w:rPr>
                <w:rFonts w:ascii="仿宋" w:eastAsia="仿宋" w:hAnsi="仿宋" w:cs="仿宋" w:hint="eastAsia"/>
                <w:sz w:val="24"/>
              </w:rPr>
              <w:t>凋落物含水率多光谱图像</w:t>
            </w:r>
          </w:p>
        </w:tc>
        <w:tc>
          <w:tcPr>
            <w:tcW w:w="3454" w:type="pct"/>
            <w:vAlign w:val="center"/>
          </w:tcPr>
          <w:p>
            <w:pPr>
              <w:rPr>
                <w:rFonts w:ascii="仿宋" w:eastAsia="仿宋" w:hAnsi="仿宋" w:cs="仿宋" w:hint="eastAsia"/>
              </w:rPr>
            </w:pPr>
            <w:r>
              <w:rPr>
                <w:rFonts w:ascii="仿宋" w:eastAsia="仿宋" w:hAnsi="仿宋" w:cs="仿宋" w:hint="eastAsia"/>
                <w:sz w:val="24"/>
              </w:rPr>
              <w:t>输出图像分辨率</w:t>
            </w:r>
            <w:r>
              <w:rPr>
                <w:rFonts w:ascii="仿宋" w:eastAsia="仿宋" w:hAnsi="仿宋" w:cs="仿宋" w:hint="eastAsia"/>
                <w:sz w:val="24"/>
              </w:rPr>
              <w:t>≥</w:t>
            </w:r>
            <w:r>
              <w:rPr>
                <w:rFonts w:ascii="仿宋" w:eastAsia="仿宋" w:hAnsi="仿宋" w:cs="仿宋" w:hint="eastAsia"/>
                <w:sz w:val="24"/>
              </w:rPr>
              <w:t>200万像素，支持可见光和近红外双波段图像采集</w:t>
            </w:r>
          </w:p>
        </w:tc>
      </w:tr>
    </w:tbl>
    <w:p>
      <w:pPr>
        <w:spacing w:line="360" w:lineRule="auto"/>
        <w:ind w:firstLine="560" w:firstLineChars="200"/>
        <w:rPr>
          <w:rFonts w:ascii="仿宋" w:eastAsia="仿宋" w:hAnsi="仿宋" w:cs="仿宋"/>
          <w:sz w:val="28"/>
          <w:szCs w:val="20"/>
        </w:rPr>
      </w:pPr>
      <w:r>
        <w:rPr>
          <w:rFonts w:ascii="仿宋" w:eastAsia="仿宋" w:hAnsi="仿宋" w:cs="仿宋" w:hint="eastAsia"/>
          <w:sz w:val="28"/>
          <w:szCs w:val="20"/>
        </w:rPr>
        <w:t>3.森林物候相机</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12"/>
        <w:gridCol w:w="1971"/>
        <w:gridCol w:w="6220"/>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53"/>
          <w:jc w:val="center"/>
        </w:trPr>
        <w:tc>
          <w:tcPr>
            <w:tcW w:w="451" w:type="pct"/>
            <w:vAlign w:val="center"/>
          </w:tcPr>
          <w:p>
            <w:pPr>
              <w:jc w:val="center"/>
              <w:rPr>
                <w:rFonts w:ascii="仿宋" w:eastAsia="仿宋" w:hAnsi="仿宋" w:cs="仿宋" w:hint="eastAsia"/>
                <w:b/>
              </w:rPr>
            </w:pPr>
            <w:r>
              <w:rPr>
                <w:rFonts w:ascii="仿宋" w:eastAsia="仿宋" w:hAnsi="仿宋" w:cs="仿宋" w:hint="eastAsia"/>
                <w:b/>
                <w:sz w:val="24"/>
              </w:rPr>
              <w:fldChar w:fldCharType="begin"/>
            </w:r>
            <w:r>
              <w:rPr>
                <w:rFonts w:ascii="仿宋" w:eastAsia="仿宋" w:hAnsi="仿宋" w:cs="仿宋" w:hint="eastAsia"/>
                <w:b/>
                <w:sz w:val="24"/>
              </w:rPr>
              <w:instrText>ADDIN CNKISM.UserStyle</w:instrText>
            </w:r>
            <w:r>
              <w:rPr>
                <w:rFonts w:ascii="仿宋" w:eastAsia="仿宋" w:hAnsi="仿宋" w:cs="仿宋" w:hint="eastAsia"/>
                <w:b/>
                <w:sz w:val="24"/>
              </w:rPr>
              <w:fldChar w:fldCharType="separate"/>
            </w:r>
            <w:r>
              <w:rPr>
                <w:rFonts w:ascii="仿宋" w:eastAsia="仿宋" w:hAnsi="仿宋" w:cs="仿宋" w:hint="eastAsia"/>
                <w:b/>
                <w:sz w:val="24"/>
              </w:rPr>
              <w:fldChar w:fldCharType="end"/>
            </w:r>
            <w:r>
              <w:rPr>
                <w:rFonts w:ascii="仿宋" w:eastAsia="仿宋" w:hAnsi="仿宋" w:cs="仿宋" w:hint="eastAsia"/>
                <w:b/>
                <w:sz w:val="24"/>
              </w:rPr>
              <w:t>序号</w:t>
            </w:r>
          </w:p>
        </w:tc>
        <w:tc>
          <w:tcPr>
            <w:tcW w:w="1095" w:type="pct"/>
            <w:vAlign w:val="center"/>
          </w:tcPr>
          <w:p>
            <w:pPr>
              <w:jc w:val="center"/>
              <w:rPr>
                <w:rFonts w:ascii="仿宋" w:eastAsia="仿宋" w:hAnsi="仿宋" w:cs="仿宋" w:hint="eastAsia"/>
                <w:b/>
              </w:rPr>
            </w:pPr>
            <w:r>
              <w:rPr>
                <w:rFonts w:ascii="仿宋" w:eastAsia="仿宋" w:hAnsi="仿宋" w:cs="仿宋" w:hint="eastAsia"/>
                <w:b/>
                <w:bCs/>
                <w:sz w:val="24"/>
              </w:rPr>
              <w:t>参数名称</w:t>
            </w:r>
          </w:p>
        </w:tc>
        <w:tc>
          <w:tcPr>
            <w:tcW w:w="3454" w:type="pct"/>
            <w:vAlign w:val="center"/>
          </w:tcPr>
          <w:p>
            <w:pPr>
              <w:jc w:val="center"/>
              <w:rPr>
                <w:rFonts w:ascii="仿宋" w:eastAsia="仿宋" w:hAnsi="仿宋" w:cs="仿宋" w:hint="eastAsia"/>
                <w:b/>
              </w:rPr>
            </w:pPr>
            <w:r>
              <w:rPr>
                <w:rFonts w:ascii="仿宋" w:eastAsia="仿宋" w:hAnsi="仿宋" w:cs="仿宋" w:hint="eastAsia"/>
                <w:b/>
                <w:bCs/>
                <w:sz w:val="24"/>
              </w:rPr>
              <w:t>功能与技术指标</w:t>
            </w:r>
          </w:p>
        </w:tc>
      </w:tr>
      <w:tr>
        <w:tblPrEx>
          <w:tblW w:w="5000" w:type="pct"/>
          <w:jc w:val="center"/>
          <w:tblCellMar>
            <w:top w:w="0" w:type="dxa"/>
            <w:left w:w="108" w:type="dxa"/>
            <w:bottom w:w="0" w:type="dxa"/>
            <w:right w:w="108" w:type="dxa"/>
          </w:tblCellMar>
          <w:tblLook w:val="0000"/>
        </w:tblPrEx>
        <w:trPr>
          <w:trHeight w:val="487"/>
          <w:jc w:val="center"/>
        </w:trPr>
        <w:tc>
          <w:tcPr>
            <w:tcW w:w="451" w:type="pct"/>
            <w:vAlign w:val="center"/>
          </w:tcPr>
          <w:p>
            <w:pPr>
              <w:jc w:val="center"/>
              <w:rPr>
                <w:rFonts w:ascii="仿宋" w:eastAsia="仿宋" w:hAnsi="仿宋" w:cs="仿宋" w:hint="eastAsia"/>
              </w:rPr>
            </w:pPr>
            <w:r>
              <w:rPr>
                <w:rFonts w:ascii="仿宋" w:eastAsia="仿宋" w:hAnsi="仿宋" w:cs="仿宋" w:hint="eastAsia"/>
                <w:sz w:val="24"/>
              </w:rPr>
              <w:t>11</w:t>
            </w:r>
          </w:p>
        </w:tc>
        <w:tc>
          <w:tcPr>
            <w:tcW w:w="1095" w:type="pct"/>
            <w:vAlign w:val="center"/>
          </w:tcPr>
          <w:p>
            <w:pPr>
              <w:jc w:val="center"/>
              <w:rPr>
                <w:rFonts w:ascii="仿宋" w:eastAsia="仿宋" w:hAnsi="仿宋" w:cs="仿宋" w:hint="eastAsia"/>
              </w:rPr>
            </w:pPr>
            <w:r>
              <w:rPr>
                <w:rFonts w:ascii="仿宋" w:eastAsia="仿宋" w:hAnsi="仿宋" w:cs="仿宋" w:hint="eastAsia"/>
                <w:sz w:val="24"/>
              </w:rPr>
              <w:t>森林物候图像</w:t>
            </w:r>
          </w:p>
        </w:tc>
        <w:tc>
          <w:tcPr>
            <w:tcW w:w="3454" w:type="pct"/>
            <w:vAlign w:val="center"/>
          </w:tcPr>
          <w:p>
            <w:pPr>
              <w:rPr>
                <w:rFonts w:ascii="仿宋" w:eastAsia="仿宋" w:hAnsi="仿宋" w:cs="仿宋" w:hint="eastAsia"/>
              </w:rPr>
            </w:pPr>
            <w:r>
              <w:rPr>
                <w:rFonts w:ascii="仿宋" w:eastAsia="仿宋" w:hAnsi="仿宋" w:cs="仿宋" w:hint="eastAsia"/>
                <w:sz w:val="24"/>
              </w:rPr>
              <w:t>输出图像像素分辨率</w:t>
            </w:r>
            <w:r>
              <w:rPr>
                <w:rFonts w:ascii="仿宋" w:eastAsia="仿宋" w:hAnsi="仿宋" w:cs="仿宋" w:hint="eastAsia"/>
                <w:sz w:val="24"/>
              </w:rPr>
              <w:t>≥</w:t>
            </w:r>
            <w:r>
              <w:rPr>
                <w:rFonts w:ascii="仿宋" w:eastAsia="仿宋" w:hAnsi="仿宋" w:cs="仿宋" w:hint="eastAsia"/>
                <w:sz w:val="24"/>
              </w:rPr>
              <w:t>800万像素</w:t>
            </w:r>
          </w:p>
        </w:tc>
      </w:tr>
      <w:tr>
        <w:tblPrEx>
          <w:tblW w:w="5000" w:type="pct"/>
          <w:jc w:val="center"/>
          <w:tblCellMar>
            <w:top w:w="0" w:type="dxa"/>
            <w:left w:w="108" w:type="dxa"/>
            <w:bottom w:w="0" w:type="dxa"/>
            <w:right w:w="108" w:type="dxa"/>
          </w:tblCellMar>
          <w:tblLook w:val="0000"/>
        </w:tblPrEx>
        <w:trPr>
          <w:trHeight w:val="423"/>
          <w:jc w:val="center"/>
        </w:trPr>
        <w:tc>
          <w:tcPr>
            <w:tcW w:w="451" w:type="pct"/>
            <w:vAlign w:val="center"/>
          </w:tcPr>
          <w:p>
            <w:pPr>
              <w:jc w:val="center"/>
              <w:rPr>
                <w:rFonts w:ascii="仿宋" w:eastAsia="仿宋" w:hAnsi="仿宋" w:cs="仿宋" w:hint="eastAsia"/>
              </w:rPr>
            </w:pPr>
            <w:r>
              <w:rPr>
                <w:rFonts w:ascii="仿宋" w:eastAsia="仿宋" w:hAnsi="仿宋" w:cs="仿宋" w:hint="eastAsia"/>
                <w:sz w:val="24"/>
              </w:rPr>
              <w:t>12</w:t>
            </w:r>
          </w:p>
        </w:tc>
        <w:tc>
          <w:tcPr>
            <w:tcW w:w="1095" w:type="pct"/>
            <w:vAlign w:val="center"/>
          </w:tcPr>
          <w:p>
            <w:pPr>
              <w:jc w:val="center"/>
              <w:rPr>
                <w:rFonts w:ascii="仿宋" w:eastAsia="仿宋" w:hAnsi="仿宋" w:cs="仿宋" w:hint="eastAsia"/>
              </w:rPr>
            </w:pPr>
            <w:r>
              <w:rPr>
                <w:rFonts w:ascii="仿宋" w:eastAsia="仿宋" w:hAnsi="仿宋" w:cs="仿宋" w:hint="eastAsia"/>
                <w:sz w:val="24"/>
              </w:rPr>
              <w:t>图像预处理</w:t>
            </w:r>
          </w:p>
        </w:tc>
        <w:tc>
          <w:tcPr>
            <w:tcW w:w="3454" w:type="pct"/>
            <w:vAlign w:val="center"/>
          </w:tcPr>
          <w:p>
            <w:pPr>
              <w:rPr>
                <w:rFonts w:ascii="仿宋" w:eastAsia="仿宋" w:hAnsi="仿宋" w:cs="仿宋" w:hint="eastAsia"/>
              </w:rPr>
            </w:pPr>
            <w:r>
              <w:rPr>
                <w:rFonts w:ascii="仿宋" w:eastAsia="仿宋" w:hAnsi="仿宋" w:cs="仿宋" w:hint="eastAsia"/>
                <w:sz w:val="24"/>
              </w:rPr>
              <w:t>自动对焦、自动曝光、自动白平衡等；</w:t>
            </w:r>
          </w:p>
        </w:tc>
      </w:tr>
      <w:tr>
        <w:tblPrEx>
          <w:tblW w:w="5000" w:type="pct"/>
          <w:jc w:val="center"/>
          <w:tblCellMar>
            <w:top w:w="0" w:type="dxa"/>
            <w:left w:w="108" w:type="dxa"/>
            <w:bottom w:w="0" w:type="dxa"/>
            <w:right w:w="108" w:type="dxa"/>
          </w:tblCellMar>
          <w:tblLook w:val="0000"/>
        </w:tblPrEx>
        <w:trPr>
          <w:trHeight w:val="615"/>
          <w:jc w:val="center"/>
        </w:trPr>
        <w:tc>
          <w:tcPr>
            <w:tcW w:w="451" w:type="pct"/>
            <w:vAlign w:val="center"/>
          </w:tcPr>
          <w:p>
            <w:pPr>
              <w:jc w:val="center"/>
              <w:rPr>
                <w:rFonts w:ascii="仿宋" w:eastAsia="仿宋" w:hAnsi="仿宋" w:cs="仿宋" w:hint="eastAsia"/>
              </w:rPr>
            </w:pPr>
            <w:r>
              <w:rPr>
                <w:rFonts w:ascii="仿宋" w:eastAsia="仿宋" w:hAnsi="仿宋" w:cs="仿宋" w:hint="eastAsia"/>
                <w:sz w:val="24"/>
              </w:rPr>
              <w:t>13</w:t>
            </w:r>
          </w:p>
        </w:tc>
        <w:tc>
          <w:tcPr>
            <w:tcW w:w="1095" w:type="pct"/>
            <w:vMerge w:val="restart"/>
            <w:vAlign w:val="center"/>
          </w:tcPr>
          <w:p>
            <w:pPr>
              <w:jc w:val="center"/>
              <w:rPr>
                <w:rFonts w:ascii="仿宋" w:eastAsia="仿宋" w:hAnsi="仿宋" w:cs="仿宋" w:hint="eastAsia"/>
              </w:rPr>
            </w:pPr>
            <w:r>
              <w:rPr>
                <w:rFonts w:ascii="仿宋" w:eastAsia="仿宋" w:hAnsi="仿宋" w:cs="仿宋" w:hint="eastAsia"/>
                <w:sz w:val="24"/>
              </w:rPr>
              <w:t>云台参数</w:t>
            </w:r>
          </w:p>
        </w:tc>
        <w:tc>
          <w:tcPr>
            <w:tcW w:w="3454" w:type="pct"/>
            <w:vAlign w:val="center"/>
          </w:tcPr>
          <w:p>
            <w:pPr>
              <w:rPr>
                <w:rFonts w:ascii="仿宋" w:eastAsia="仿宋" w:hAnsi="仿宋" w:cs="仿宋" w:hint="eastAsia"/>
              </w:rPr>
            </w:pPr>
            <w:r>
              <w:rPr>
                <w:rFonts w:ascii="仿宋" w:eastAsia="仿宋" w:hAnsi="仿宋" w:cs="仿宋"/>
                <w:sz w:val="24"/>
                <w:highlight w:val="yellow"/>
              </w:rPr>
              <w:t>#</w:t>
            </w:r>
            <w:r>
              <w:rPr>
                <w:rFonts w:ascii="仿宋" w:eastAsia="仿宋" w:hAnsi="仿宋" w:cs="仿宋" w:hint="eastAsia"/>
                <w:sz w:val="24"/>
                <w:highlight w:val="yellow"/>
              </w:rPr>
              <w:t>水平旋转范围：0.0</w:t>
            </w:r>
            <w:r>
              <w:rPr>
                <w:rFonts w:ascii="仿宋" w:eastAsia="仿宋" w:hAnsi="仿宋" w:cs="仿宋" w:hint="eastAsia"/>
                <w:sz w:val="24"/>
                <w:highlight w:val="yellow"/>
              </w:rPr>
              <w:t>°</w:t>
            </w:r>
            <w:r>
              <w:rPr>
                <w:rFonts w:ascii="仿宋" w:eastAsia="仿宋" w:hAnsi="仿宋" w:cs="仿宋" w:hint="eastAsia"/>
                <w:sz w:val="24"/>
                <w:highlight w:val="yellow"/>
              </w:rPr>
              <w:t>～359.9</w:t>
            </w:r>
            <w:r>
              <w:rPr>
                <w:rFonts w:ascii="仿宋" w:eastAsia="仿宋" w:hAnsi="仿宋" w:cs="仿宋" w:hint="eastAsia"/>
                <w:sz w:val="24"/>
                <w:highlight w:val="yellow"/>
              </w:rPr>
              <w:t>°</w:t>
            </w:r>
            <w:r>
              <w:rPr>
                <w:rFonts w:ascii="仿宋" w:eastAsia="仿宋" w:hAnsi="仿宋" w:cs="仿宋" w:hint="eastAsia"/>
                <w:sz w:val="24"/>
                <w:highlight w:val="yellow"/>
              </w:rPr>
              <w:t>，垂直旋转范围：-15.0</w:t>
            </w:r>
            <w:r>
              <w:rPr>
                <w:rFonts w:ascii="仿宋" w:eastAsia="仿宋" w:hAnsi="仿宋" w:cs="仿宋" w:hint="eastAsia"/>
                <w:sz w:val="24"/>
                <w:highlight w:val="yellow"/>
              </w:rPr>
              <w:t>°</w:t>
            </w:r>
            <w:r>
              <w:rPr>
                <w:rFonts w:ascii="仿宋" w:eastAsia="仿宋" w:hAnsi="仿宋" w:cs="仿宋" w:hint="eastAsia"/>
                <w:sz w:val="24"/>
                <w:highlight w:val="yellow"/>
              </w:rPr>
              <w:t>～90.0</w:t>
            </w:r>
            <w:r>
              <w:rPr>
                <w:rFonts w:ascii="仿宋" w:eastAsia="仿宋" w:hAnsi="仿宋" w:cs="仿宋" w:hint="eastAsia"/>
                <w:sz w:val="24"/>
                <w:highlight w:val="yellow"/>
              </w:rPr>
              <w:t>°</w:t>
            </w:r>
            <w:r>
              <w:rPr>
                <w:rFonts w:ascii="仿宋" w:eastAsia="仿宋" w:hAnsi="仿宋" w:cs="仿宋" w:hint="eastAsia"/>
                <w:sz w:val="24"/>
              </w:rPr>
              <w:t xml:space="preserve"> </w:t>
            </w:r>
          </w:p>
        </w:tc>
      </w:tr>
      <w:tr>
        <w:tblPrEx>
          <w:tblW w:w="5000" w:type="pct"/>
          <w:jc w:val="center"/>
          <w:tblCellMar>
            <w:top w:w="0" w:type="dxa"/>
            <w:left w:w="108" w:type="dxa"/>
            <w:bottom w:w="0" w:type="dxa"/>
            <w:right w:w="108" w:type="dxa"/>
          </w:tblCellMar>
          <w:tblLook w:val="0000"/>
        </w:tblPrEx>
        <w:trPr>
          <w:trHeight w:val="412"/>
          <w:jc w:val="center"/>
        </w:trPr>
        <w:tc>
          <w:tcPr>
            <w:tcW w:w="451" w:type="pct"/>
            <w:vAlign w:val="center"/>
          </w:tcPr>
          <w:p>
            <w:pPr>
              <w:jc w:val="center"/>
              <w:rPr>
                <w:rFonts w:ascii="仿宋" w:eastAsia="仿宋" w:hAnsi="仿宋" w:cs="仿宋" w:hint="eastAsia"/>
              </w:rPr>
            </w:pPr>
            <w:r>
              <w:rPr>
                <w:rFonts w:ascii="仿宋" w:eastAsia="仿宋" w:hAnsi="仿宋" w:cs="仿宋" w:hint="eastAsia"/>
                <w:sz w:val="24"/>
              </w:rPr>
              <w:t>14</w:t>
            </w:r>
          </w:p>
        </w:tc>
        <w:tc>
          <w:tcPr>
            <w:tcW w:w="1095" w:type="pct"/>
            <w:vMerge/>
            <w:vAlign w:val="center"/>
          </w:tcPr>
          <w:p>
            <w:pPr>
              <w:jc w:val="center"/>
              <w:rPr>
                <w:rFonts w:ascii="仿宋" w:eastAsia="仿宋" w:hAnsi="仿宋" w:cs="仿宋" w:hint="eastAsia"/>
              </w:rPr>
            </w:pPr>
          </w:p>
        </w:tc>
        <w:tc>
          <w:tcPr>
            <w:tcW w:w="3454" w:type="pct"/>
            <w:vAlign w:val="center"/>
          </w:tcPr>
          <w:p>
            <w:pPr>
              <w:rPr>
                <w:rFonts w:ascii="仿宋" w:eastAsia="仿宋" w:hAnsi="仿宋" w:cs="仿宋"/>
                <w:highlight w:val="yellow"/>
              </w:rPr>
            </w:pPr>
            <w:r>
              <w:rPr>
                <w:rFonts w:ascii="仿宋" w:eastAsia="仿宋" w:hAnsi="仿宋" w:cs="仿宋"/>
                <w:sz w:val="24"/>
                <w:highlight w:val="yellow"/>
              </w:rPr>
              <w:t>#</w:t>
            </w:r>
            <w:r>
              <w:rPr>
                <w:rFonts w:ascii="仿宋" w:eastAsia="仿宋" w:hAnsi="仿宋" w:cs="仿宋" w:hint="eastAsia"/>
                <w:sz w:val="24"/>
                <w:highlight w:val="yellow"/>
              </w:rPr>
              <w:t>云台运动精度：2</w:t>
            </w:r>
            <w:r>
              <w:rPr>
                <w:rFonts w:ascii="仿宋" w:eastAsia="仿宋" w:hAnsi="仿宋" w:cs="仿宋" w:hint="eastAsia"/>
                <w:sz w:val="24"/>
                <w:highlight w:val="yellow"/>
              </w:rPr>
              <w:t>°</w:t>
            </w:r>
          </w:p>
        </w:tc>
      </w:tr>
      <w:bookmarkEnd w:id="61"/>
    </w:tbl>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(三) 数据要求</w:t>
      </w:r>
    </w:p>
    <w:p>
      <w:pPr>
        <w:spacing w:line="560" w:lineRule="exact"/>
        <w:ind w:firstLine="560" w:firstLineChars="200"/>
        <w:rPr>
          <w:rFonts w:ascii="仿宋" w:eastAsia="仿宋" w:hAnsi="仿宋" w:cs="仿宋" w:hint="default"/>
          <w:sz w:val="28"/>
          <w:szCs w:val="20"/>
          <w:highlight w:val="none"/>
        </w:rPr>
      </w:pPr>
      <w:r>
        <w:rPr>
          <w:rFonts w:ascii="仿宋" w:eastAsia="仿宋" w:hAnsi="仿宋" w:cs="仿宋" w:hint="eastAsia"/>
          <w:sz w:val="28"/>
          <w:szCs w:val="20"/>
        </w:rPr>
        <w:t>供应商提供的可燃物气象环境监测仪应能够按照</w:t>
      </w:r>
      <w:r>
        <w:rPr>
          <w:rFonts w:ascii="仿宋" w:eastAsia="仿宋" w:hAnsi="仿宋" w:cs="仿宋" w:hint="eastAsia"/>
          <w:sz w:val="28"/>
          <w:szCs w:val="20"/>
          <w:lang w:eastAsia="zh-CN"/>
        </w:rPr>
        <w:t>《</w:t>
      </w:r>
      <w:r>
        <w:rPr>
          <w:rFonts w:ascii="仿宋" w:eastAsia="仿宋" w:hAnsi="仿宋" w:cs="仿宋" w:hint="eastAsia"/>
          <w:sz w:val="28"/>
          <w:szCs w:val="20"/>
        </w:rPr>
        <w:t>可燃物气象环境监测仪功能规格需求书</w:t>
      </w:r>
      <w:r>
        <w:rPr>
          <w:rFonts w:ascii="仿宋" w:eastAsia="仿宋" w:hAnsi="仿宋" w:cs="仿宋" w:hint="eastAsia"/>
          <w:sz w:val="28"/>
          <w:szCs w:val="20"/>
          <w:lang w:eastAsia="zh-CN"/>
        </w:rPr>
        <w:t>》</w:t>
      </w:r>
      <w:r>
        <w:rPr>
          <w:rFonts w:ascii="仿宋" w:eastAsia="仿宋" w:hAnsi="仿宋" w:cs="仿宋" w:hint="eastAsia"/>
          <w:sz w:val="28"/>
          <w:szCs w:val="20"/>
        </w:rPr>
        <w:t>要求</w:t>
      </w:r>
      <w:r>
        <w:rPr>
          <w:rFonts w:ascii="仿宋" w:eastAsia="仿宋" w:hAnsi="仿宋" w:cs="仿宋" w:hint="eastAsia"/>
          <w:sz w:val="28"/>
          <w:szCs w:val="20"/>
          <w:lang w:val="en-US" w:eastAsia="zh-CN"/>
        </w:rPr>
        <w:t>存储所有</w:t>
      </w:r>
      <w:r>
        <w:rPr>
          <w:rFonts w:ascii="仿宋" w:eastAsia="仿宋" w:hAnsi="仿宋" w:cs="仿宋" w:hint="eastAsia"/>
          <w:sz w:val="28"/>
          <w:szCs w:val="20"/>
        </w:rPr>
        <w:t>数据</w:t>
      </w:r>
      <w:r>
        <w:rPr>
          <w:rFonts w:ascii="仿宋" w:eastAsia="仿宋" w:hAnsi="仿宋" w:cs="仿宋" w:hint="eastAsia"/>
          <w:sz w:val="28"/>
          <w:szCs w:val="20"/>
          <w:lang w:eastAsia="zh-CN"/>
        </w:rPr>
        <w:t>，</w:t>
      </w:r>
      <w:r>
        <w:rPr>
          <w:rFonts w:ascii="仿宋" w:eastAsia="仿宋" w:hAnsi="仿宋" w:cs="仿宋" w:hint="eastAsia"/>
          <w:sz w:val="28"/>
          <w:szCs w:val="20"/>
        </w:rPr>
        <w:t>需要配置足够空间的存储器，能满足不少于</w:t>
      </w:r>
      <w:r>
        <w:rPr>
          <w:rFonts w:ascii="仿宋" w:eastAsia="仿宋" w:hAnsi="仿宋" w:cs="仿宋" w:hint="eastAsia"/>
          <w:sz w:val="28"/>
          <w:szCs w:val="20"/>
          <w:lang w:val="en-US" w:eastAsia="zh-CN"/>
        </w:rPr>
        <w:t>90天</w:t>
      </w:r>
      <w:r>
        <w:rPr>
          <w:rFonts w:ascii="仿宋" w:eastAsia="仿宋" w:hAnsi="仿宋" w:cs="仿宋" w:hint="eastAsia"/>
          <w:sz w:val="28"/>
          <w:szCs w:val="20"/>
        </w:rPr>
        <w:t>的观测数据及状态数据存储要求。</w:t>
      </w:r>
      <w:r>
        <w:rPr>
          <w:rFonts w:ascii="仿宋" w:eastAsia="仿宋" w:hAnsi="仿宋" w:cs="仿宋" w:hint="eastAsia"/>
          <w:sz w:val="28"/>
          <w:szCs w:val="20"/>
          <w:lang w:val="en-US" w:eastAsia="zh-CN"/>
        </w:rPr>
        <w:t>同时，设备应</w:t>
      </w:r>
      <w:r>
        <w:rPr>
          <w:rFonts w:ascii="仿宋" w:eastAsia="仿宋" w:hAnsi="仿宋" w:cs="仿宋" w:hint="default"/>
          <w:sz w:val="28"/>
          <w:szCs w:val="20"/>
        </w:rPr>
        <w:t>支持有线</w:t>
      </w:r>
      <w:r>
        <w:rPr>
          <w:rFonts w:ascii="仿宋" w:eastAsia="仿宋" w:hAnsi="仿宋" w:cs="仿宋" w:hint="eastAsia"/>
          <w:sz w:val="28"/>
          <w:szCs w:val="20"/>
          <w:lang w:val="en-US" w:eastAsia="zh-CN"/>
        </w:rPr>
        <w:t>或无线</w:t>
      </w:r>
      <w:r>
        <w:rPr>
          <w:rFonts w:ascii="仿宋" w:eastAsia="仿宋" w:hAnsi="仿宋" w:cs="仿宋" w:hint="default"/>
          <w:sz w:val="28"/>
          <w:szCs w:val="20"/>
        </w:rPr>
        <w:t>网络</w:t>
      </w:r>
      <w:r>
        <w:rPr>
          <w:rFonts w:ascii="仿宋" w:eastAsia="仿宋" w:hAnsi="仿宋" w:cs="仿宋" w:hint="default"/>
          <w:sz w:val="28"/>
          <w:szCs w:val="20"/>
          <w:lang w:val="en-US" w:eastAsia="zh-CN"/>
        </w:rPr>
        <w:t>传输</w:t>
      </w:r>
      <w:r>
        <w:rPr>
          <w:rFonts w:ascii="仿宋" w:eastAsia="仿宋" w:hAnsi="仿宋" w:cs="仿宋" w:hint="default"/>
          <w:sz w:val="28"/>
          <w:szCs w:val="20"/>
        </w:rPr>
        <w:t>方式</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实现与中心站的数据通信功能。</w:t>
      </w:r>
      <w:r>
        <w:rPr>
          <w:rFonts w:ascii="仿宋" w:eastAsia="仿宋" w:hAnsi="仿宋" w:cs="仿宋" w:hint="eastAsia"/>
          <w:sz w:val="28"/>
          <w:szCs w:val="20"/>
          <w:highlight w:val="none"/>
          <w:lang w:val="en-US" w:eastAsia="zh-CN"/>
        </w:rPr>
        <w:t>在没有网络信号覆盖的地区，设备可支持扩展连接北斗通讯模块，</w:t>
      </w:r>
      <w:r>
        <w:rPr>
          <w:rFonts w:ascii="仿宋" w:eastAsia="仿宋" w:hAnsi="仿宋" w:cs="仿宋" w:hint="eastAsia"/>
          <w:sz w:val="28"/>
          <w:szCs w:val="20"/>
          <w:highlight w:val="none"/>
        </w:rPr>
        <w:t>可根据实际业务具体应用需求进行功能定制开发短报文协议，实现无地面网络覆盖下的关键数据卫星传输。</w:t>
      </w:r>
    </w:p>
    <w:p>
      <w:pPr>
        <w:numPr>
          <w:ilvl w:val="0"/>
          <w:numId w:val="4"/>
        </w:num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质保服务要求</w:t>
      </w:r>
    </w:p>
    <w:p>
      <w:pPr>
        <w:spacing w:line="560" w:lineRule="exact"/>
        <w:ind w:firstLine="560" w:firstLineChars="200"/>
        <w:rPr>
          <w:rFonts w:ascii="仿宋" w:eastAsia="仿宋" w:hAnsi="仿宋" w:cs="仿宋" w:hint="default"/>
          <w:sz w:val="28"/>
          <w:szCs w:val="20"/>
        </w:rPr>
      </w:pPr>
      <w:r>
        <w:rPr>
          <w:rFonts w:ascii="仿宋" w:eastAsia="仿宋" w:hAnsi="仿宋" w:cs="仿宋" w:hint="eastAsia"/>
          <w:sz w:val="28"/>
          <w:szCs w:val="20"/>
          <w:lang w:val="en-US" w:eastAsia="zh-CN"/>
        </w:rPr>
        <w:t xml:space="preserve">  </w:t>
      </w:r>
      <w:r>
        <w:rPr>
          <w:rFonts w:ascii="仿宋" w:eastAsia="仿宋" w:hAnsi="仿宋" w:cs="仿宋" w:hint="default"/>
          <w:sz w:val="28"/>
          <w:szCs w:val="20"/>
        </w:rPr>
        <w:t>供应商按照业务运行规范要求执行，确保设备可稳定运行，主要包括巡检、巡查工作，以及关键器件及系统故障的维修等。故障维修和巡检巡查等需按照</w:t>
      </w:r>
      <w:r>
        <w:rPr>
          <w:rFonts w:ascii="仿宋" w:eastAsia="仿宋" w:hAnsi="仿宋" w:cs="仿宋" w:hint="eastAsia"/>
          <w:sz w:val="28"/>
          <w:szCs w:val="20"/>
          <w:lang w:val="en-US" w:eastAsia="zh-CN"/>
        </w:rPr>
        <w:t>中国气象局对可燃物气象环境监测仪采购要求中</w:t>
      </w:r>
      <w:r>
        <w:rPr>
          <w:rFonts w:ascii="仿宋" w:eastAsia="仿宋" w:hAnsi="仿宋" w:cs="仿宋" w:hint="default"/>
          <w:sz w:val="28"/>
          <w:szCs w:val="20"/>
        </w:rPr>
        <w:t>相关要求执行，并提供相关承诺函。</w:t>
      </w:r>
    </w:p>
    <w:p>
      <w:pPr>
        <w:spacing w:line="560" w:lineRule="exact"/>
        <w:ind w:firstLine="560" w:firstLineChars="200"/>
        <w:rPr>
          <w:rFonts w:ascii="仿宋" w:eastAsia="仿宋" w:hAnsi="仿宋" w:cs="仿宋" w:hint="default"/>
          <w:sz w:val="28"/>
          <w:szCs w:val="20"/>
        </w:rPr>
      </w:pPr>
      <w:r>
        <w:rPr>
          <w:rFonts w:ascii="仿宋" w:eastAsia="仿宋" w:hAnsi="仿宋" w:cs="仿宋" w:hint="default"/>
          <w:sz w:val="28"/>
          <w:szCs w:val="20"/>
        </w:rPr>
        <w:t>（1）供应商将所有设备运送到招标人指定地点（运输相关费用由供应商负责），并负责安装调试。</w:t>
      </w:r>
    </w:p>
    <w:p>
      <w:pPr>
        <w:spacing w:line="560" w:lineRule="exact"/>
        <w:ind w:firstLine="560" w:firstLineChars="200"/>
        <w:rPr>
          <w:rFonts w:ascii="仿宋" w:eastAsia="仿宋" w:hAnsi="仿宋" w:cs="仿宋" w:hint="default"/>
          <w:sz w:val="28"/>
          <w:szCs w:val="20"/>
        </w:rPr>
      </w:pPr>
      <w:r>
        <w:rPr>
          <w:rFonts w:ascii="仿宋" w:eastAsia="仿宋" w:hAnsi="仿宋" w:cs="仿宋" w:hint="default"/>
          <w:sz w:val="28"/>
          <w:szCs w:val="20"/>
        </w:rPr>
        <w:t>（2）</w:t>
      </w:r>
      <w:r>
        <w:rPr>
          <w:rFonts w:ascii="仿宋" w:eastAsia="仿宋" w:hAnsi="仿宋" w:cs="仿宋" w:hint="eastAsia"/>
          <w:sz w:val="28"/>
          <w:szCs w:val="20"/>
          <w:highlight w:val="yellow"/>
          <w:lang w:val="en-US" w:eastAsia="zh-CN"/>
        </w:rPr>
        <w:t>*</w:t>
      </w:r>
      <w:r>
        <w:rPr>
          <w:rFonts w:ascii="仿宋" w:eastAsia="仿宋" w:hAnsi="仿宋" w:cs="仿宋" w:hint="default"/>
          <w:sz w:val="28"/>
          <w:szCs w:val="20"/>
          <w:highlight w:val="yellow"/>
        </w:rPr>
        <w:t>质保期：8年</w:t>
      </w:r>
      <w:r>
        <w:rPr>
          <w:rFonts w:ascii="仿宋" w:eastAsia="仿宋" w:hAnsi="仿宋" w:cs="仿宋" w:hint="default"/>
          <w:sz w:val="28"/>
          <w:szCs w:val="20"/>
        </w:rPr>
        <w:t>，供应商需对质保期（保内、保外）政策进行阐述或承诺，列明有偿服务和无偿服务内容。</w:t>
      </w:r>
    </w:p>
    <w:p>
      <w:pPr>
        <w:spacing w:line="560" w:lineRule="exact"/>
        <w:ind w:firstLine="560" w:firstLineChars="200"/>
        <w:rPr>
          <w:rFonts w:ascii="仿宋" w:eastAsia="仿宋" w:hAnsi="仿宋" w:cs="仿宋" w:hint="default"/>
          <w:sz w:val="28"/>
          <w:szCs w:val="20"/>
        </w:rPr>
      </w:pPr>
      <w:r>
        <w:rPr>
          <w:rFonts w:ascii="仿宋" w:eastAsia="仿宋" w:hAnsi="仿宋" w:cs="仿宋" w:hint="default"/>
          <w:sz w:val="28"/>
          <w:szCs w:val="20"/>
        </w:rPr>
        <w:t>（3）在质保期内， 设备供应商服务时间应为7</w:t>
      </w:r>
      <w:r>
        <w:rPr>
          <w:rFonts w:ascii="仿宋" w:eastAsia="仿宋" w:hAnsi="仿宋" w:cs="仿宋" w:hint="default"/>
          <w:sz w:val="28"/>
          <w:szCs w:val="20"/>
        </w:rPr>
        <w:t>×</w:t>
      </w:r>
      <w:r>
        <w:rPr>
          <w:rFonts w:ascii="仿宋" w:eastAsia="仿宋" w:hAnsi="仿宋" w:cs="仿宋" w:hint="default"/>
          <w:sz w:val="28"/>
          <w:szCs w:val="20"/>
        </w:rPr>
        <w:t>24小时，当投标产品或软件遭到损坏或出现故障时，要在用户报修之时起48小时内做出响应，开展维修维护工作，视情况双方协商设备恢复正常运行时限。</w:t>
      </w:r>
    </w:p>
    <w:p>
      <w:pPr>
        <w:spacing w:line="560" w:lineRule="exact"/>
        <w:ind w:firstLine="560" w:firstLineChars="200"/>
        <w:rPr>
          <w:rFonts w:ascii="仿宋" w:eastAsia="仿宋" w:hAnsi="仿宋" w:cs="仿宋" w:hint="default"/>
          <w:sz w:val="28"/>
          <w:szCs w:val="20"/>
        </w:rPr>
      </w:pPr>
      <w:r>
        <w:rPr>
          <w:rFonts w:ascii="仿宋" w:eastAsia="仿宋" w:hAnsi="仿宋" w:cs="仿宋" w:hint="default"/>
          <w:sz w:val="28"/>
          <w:szCs w:val="20"/>
        </w:rPr>
        <w:t>（4）质保期过后，供应商仍有义务提供技术服务（包括提供设备维护、备件等）。</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五、技术培训</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hint="eastAsia"/>
          <w:sz w:val="28"/>
          <w:szCs w:val="28"/>
        </w:rPr>
        <w:t>中标人应免费向采购人提供培训，培训次数不少于</w:t>
      </w:r>
      <w:r>
        <w:rPr>
          <w:rFonts w:ascii="仿宋" w:eastAsia="仿宋" w:hAnsi="仿宋" w:cs="仿宋" w:hint="eastAsia"/>
          <w:sz w:val="28"/>
          <w:szCs w:val="28"/>
          <w:lang w:val="en-US" w:eastAsia="zh-CN"/>
        </w:rPr>
        <w:t>5</w:t>
      </w:r>
      <w:r>
        <w:rPr>
          <w:rFonts w:ascii="仿宋" w:eastAsia="仿宋" w:hAnsi="仿宋" w:cs="仿宋" w:hint="eastAsia"/>
          <w:sz w:val="28"/>
          <w:szCs w:val="28"/>
        </w:rPr>
        <w:t>次，培训人次不少于20人次</w:t>
      </w:r>
      <w:r>
        <w:rPr>
          <w:rFonts w:ascii="仿宋" w:eastAsia="仿宋" w:hAnsi="仿宋" w:cs="仿宋" w:hint="eastAsia"/>
          <w:sz w:val="28"/>
          <w:szCs w:val="20"/>
        </w:rPr>
        <w:t>（达到熟练操作），免费向用户提供设备安装、调试技术培训。</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8"/>
        </w:rPr>
        <w:t>（2）培训方式应包括现场培训和集中培训，集中培训地点和具体培训时间由甲方与供应商根据本项目实际情况协商确定。甲方负责组织培训，供应商负责提供培训教师、培训教材以及现场授课，并应在进行培训之前向甲方提交一份详细的培训计划。</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（3）技术培训内容包括：设备工作原理、使用方法、日常维护及一般常见故障的诊断及排除等。</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（4）培训时免费提供完整的培训资料，其中包括使用说明、工作原理、技术图纸、注意事项、安装调试方法和维修指南等。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5）中标人提供的授课人员需具有设备的相关研发经验，能够从软硬件原理、安装调试、系统基本维护、常见问题解决办法以及数据处理分析应用等方面进行，保证用户培训人员能够掌握装备的安装、调试、操作和维护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六、验收要求（检验考核要求等）</w:t>
      </w:r>
    </w:p>
    <w:p>
      <w:pPr>
        <w:numPr>
          <w:ilvl w:val="0"/>
          <w:numId w:val="0"/>
        </w:num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参照功能规格需求书、测试大纲，以及中国气象局最新业务管理规定等有关文件要求开展检验考核。</w:t>
      </w:r>
    </w:p>
    <w:p>
      <w:pPr>
        <w:numPr>
          <w:ilvl w:val="0"/>
          <w:numId w:val="5"/>
        </w:numPr>
        <w:ind w:firstLine="560" w:firstLineChars="200"/>
        <w:rPr>
          <w:rFonts w:ascii="Times New Roman" w:eastAsia="仿宋" w:hAnsi="Times New Roman" w:cs="Times New Roman" w:hint="eastAsia"/>
          <w:sz w:val="28"/>
          <w:szCs w:val="20"/>
          <w:highlight w:val="yellow"/>
        </w:rPr>
      </w:pPr>
      <w:r>
        <w:rPr>
          <w:rFonts w:ascii="Times New Roman" w:eastAsia="仿宋" w:hAnsi="Times New Roman" w:cs="Times New Roman" w:hint="eastAsia"/>
          <w:sz w:val="28"/>
          <w:szCs w:val="20"/>
          <w:highlight w:val="yellow"/>
          <w:lang w:val="en-US" w:eastAsia="zh-CN"/>
        </w:rPr>
        <w:t>提供的可燃物气象环境监测仪需具备装备许可，否则验收为不合格，追究中标方的责任。</w:t>
      </w:r>
    </w:p>
    <w:p>
      <w:pPr>
        <w:numPr>
          <w:ilvl w:val="0"/>
          <w:numId w:val="5"/>
        </w:numPr>
        <w:ind w:firstLine="560" w:firstLineChars="200"/>
        <w:rPr>
          <w:rFonts w:ascii="仿宋" w:eastAsia="仿宋" w:hAnsi="仿宋" w:cs="仿宋" w:hint="eastAsia"/>
          <w:sz w:val="28"/>
          <w:szCs w:val="20"/>
        </w:rPr>
      </w:pPr>
      <w:r>
        <w:rPr>
          <w:rFonts w:ascii="Times New Roman" w:eastAsia="仿宋" w:hAnsi="Times New Roman" w:cs="Times New Roman" w:hint="default"/>
          <w:sz w:val="28"/>
          <w:szCs w:val="20"/>
        </w:rPr>
        <w:t>设备出厂前，采购人派人到中标厂家进行检验，供应商应在设备出厂前提供出厂检验项目指标测试程序和检验方法，供采购人参考，采购人可根据需要进行补充和修改。采购人委托有关部门赴生产厂家按验收规程做出厂抽检验收，这种验收不能降低供应商的责任。</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lang w:val="en-US" w:eastAsia="zh-CN"/>
        </w:rPr>
        <w:t>3</w:t>
      </w:r>
      <w:r>
        <w:rPr>
          <w:rFonts w:ascii="仿宋" w:eastAsia="仿宋" w:hAnsi="仿宋" w:cs="仿宋" w:hint="eastAsia"/>
          <w:sz w:val="28"/>
          <w:szCs w:val="20"/>
        </w:rPr>
        <w:t>）设备安装、调试达到功能规格需求书规定的指标后，可根据验收规范进行初步验收。验收规范(包括项目、方式和测试仪器等)应由中标人提前1个月提交给采购人，采购人可根据合同</w:t>
      </w:r>
      <w:r>
        <w:rPr>
          <w:rFonts w:ascii="仿宋" w:eastAsia="仿宋" w:hAnsi="仿宋" w:cs="仿宋" w:hint="eastAsia"/>
          <w:sz w:val="28"/>
          <w:szCs w:val="20"/>
          <w:lang w:eastAsia="zh-CN"/>
        </w:rPr>
        <w:t>、</w:t>
      </w:r>
      <w:r>
        <w:rPr>
          <w:rFonts w:ascii="仿宋" w:eastAsia="仿宋" w:hAnsi="仿宋" w:cs="仿宋" w:hint="eastAsia"/>
          <w:sz w:val="28"/>
          <w:szCs w:val="20"/>
        </w:rPr>
        <w:t>功能规格需求书以及采购人的有关规定进行修改和补充，经双方确认后形成验收规范文件作为验收依据。初步验收测试合格后，双方签署初验合格协议，设备进入试运行期。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hint="eastAsia"/>
          <w:sz w:val="28"/>
          <w:szCs w:val="20"/>
          <w:lang w:val="en-US" w:eastAsia="zh-CN"/>
        </w:rPr>
        <w:t>4</w:t>
      </w:r>
      <w:r>
        <w:rPr>
          <w:rFonts w:ascii="仿宋" w:eastAsia="仿宋" w:hAnsi="仿宋" w:cs="仿宋" w:hint="eastAsia"/>
          <w:sz w:val="28"/>
          <w:szCs w:val="20"/>
        </w:rPr>
        <w:t>）设备经过1个月试运行期，达到功能规格需求书的要求时，可进行最终验收。在试运行期间，由于设备质量等造成某些指标达不到要求，允许中标人更换或进行修复。</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lang w:val="en-US" w:eastAsia="zh-CN"/>
        </w:rPr>
        <w:t>5</w:t>
      </w:r>
      <w:r>
        <w:rPr>
          <w:rFonts w:ascii="仿宋" w:eastAsia="仿宋" w:hAnsi="仿宋" w:cs="仿宋" w:hint="eastAsia"/>
          <w:sz w:val="28"/>
          <w:szCs w:val="20"/>
        </w:rPr>
        <w:t>）设备安装调试和试运行结束后，采购人组织最终验收。当满足以下条件时，采购人确认验收合格签署验收合格证：</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供应商已提供合同中签署的全部货物及完整技术资料；</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hint="eastAsia"/>
          <w:sz w:val="28"/>
          <w:szCs w:val="20"/>
        </w:rPr>
        <w:t>货物符合技术规格，性能满足要求；</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安装工程符合技术要求，系统性能满足要求，设备正常运行。</w:t>
      </w:r>
    </w:p>
    <w:p>
      <w:pPr>
        <w:spacing w:line="560" w:lineRule="exact"/>
        <w:ind w:firstLine="560" w:firstLineChars="200"/>
        <w:rPr>
          <w:rFonts w:ascii="仿宋" w:eastAsia="仿宋" w:hAnsi="仿宋" w:cs="仿宋" w:hint="eastAsia"/>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供应商提供</w:t>
      </w:r>
      <w:r>
        <w:rPr>
          <w:rFonts w:ascii="仿宋" w:eastAsia="仿宋" w:hAnsi="仿宋" w:cs="仿宋"/>
          <w:sz w:val="28"/>
          <w:szCs w:val="20"/>
        </w:rPr>
        <w:t>1</w:t>
      </w:r>
      <w:r>
        <w:rPr>
          <w:rFonts w:ascii="仿宋" w:eastAsia="仿宋" w:hAnsi="仿宋" w:cs="仿宋" w:hint="eastAsia"/>
          <w:sz w:val="28"/>
          <w:szCs w:val="20"/>
        </w:rPr>
        <w:t>个月试运行报告。</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如因第三方不可控原因导致工期延迟，中标方可视情况向采购方书面递交延期申请，采购方批复同意后，方可延期。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七、其他要求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firstLine="560" w:firstLineChars="200"/>
        <w:rPr>
          <w:rFonts w:ascii="仿宋" w:eastAsia="仿宋" w:hAnsi="仿宋" w:cs="仿宋" w:hint="eastAsia"/>
          <w:sz w:val="28"/>
          <w:szCs w:val="20"/>
        </w:rPr>
      </w:pPr>
    </w:p>
    <w:p>
      <w:pPr>
        <w:spacing w:line="560" w:lineRule="exact"/>
        <w:outlineLvl w:val="1"/>
        <w:rPr>
          <w:rFonts w:hint="eastAsia"/>
        </w:rPr>
      </w:pPr>
      <w:r>
        <w:rPr>
          <w:rFonts w:ascii="仿宋" w:eastAsia="仿宋" w:hAnsi="仿宋" w:cs="仿宋" w:hint="eastAsia"/>
          <w:sz w:val="28"/>
          <w:szCs w:val="20"/>
        </w:rPr>
        <w:t>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25"/>
        <w:gridCol w:w="2227"/>
        <w:gridCol w:w="1026"/>
        <w:gridCol w:w="1426"/>
        <w:gridCol w:w="1626"/>
        <w:gridCol w:w="1026"/>
        <w:gridCol w:w="605"/>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2" w:name="货物一览表_index"/>
            <w:r>
              <w:rPr>
                <w:rFonts w:asciiTheme="minorEastAsia" w:eastAsiaTheme="minorEastAsia" w:hAnsiTheme="minorEastAsia" w:cstheme="minorEastAsia" w:hint="eastAsia"/>
                <w:kern w:val="0"/>
                <w:szCs w:val="21"/>
              </w:rPr>
              <w:t>序号</w:t>
            </w:r>
            <w:bookmarkEnd w:id="62"/>
          </w:p>
        </w:tc>
        <w:tc>
          <w:tcPr>
            <w:tcW w:w="1135" w:type="dxa"/>
          </w:tcPr>
          <w:p>
            <w:pPr>
              <w:autoSpaceDE w:val="0"/>
              <w:jc w:val="center"/>
              <w:rPr>
                <w:rFonts w:asciiTheme="minorEastAsia" w:hAnsiTheme="minorEastAsia" w:cstheme="minorEastAsia"/>
                <w:kern w:val="0"/>
                <w:szCs w:val="21"/>
              </w:rPr>
            </w:pPr>
            <w:bookmarkStart w:id="63" w:name="货物一览表_goodsName"/>
            <w:r>
              <w:rPr>
                <w:rFonts w:asciiTheme="minorEastAsia" w:eastAsiaTheme="minorEastAsia" w:hAnsiTheme="minorEastAsia" w:cstheme="minorEastAsia" w:hint="eastAsia"/>
                <w:kern w:val="0"/>
                <w:szCs w:val="21"/>
              </w:rPr>
              <w:t>设备名称</w:t>
            </w:r>
            <w:bookmarkEnd w:id="63"/>
          </w:p>
        </w:tc>
        <w:tc>
          <w:tcPr>
            <w:tcW w:w="965" w:type="dxa"/>
          </w:tcPr>
          <w:p>
            <w:pPr>
              <w:autoSpaceDE w:val="0"/>
              <w:jc w:val="center"/>
              <w:rPr>
                <w:rFonts w:asciiTheme="minorEastAsia" w:hAnsiTheme="minorEastAsia" w:cstheme="minorEastAsia"/>
                <w:kern w:val="0"/>
                <w:szCs w:val="21"/>
              </w:rPr>
            </w:pPr>
            <w:bookmarkStart w:id="64" w:name="货物一览表_nums"/>
            <w:r>
              <w:rPr>
                <w:rFonts w:asciiTheme="minorEastAsia" w:eastAsiaTheme="minorEastAsia" w:hAnsiTheme="minorEastAsia" w:cstheme="minorEastAsia" w:hint="eastAsia"/>
                <w:kern w:val="0"/>
                <w:szCs w:val="21"/>
              </w:rPr>
              <w:t>采购数量</w:t>
            </w:r>
            <w:bookmarkEnd w:id="64"/>
          </w:p>
        </w:tc>
        <w:tc>
          <w:tcPr>
            <w:tcW w:w="1062" w:type="dxa"/>
          </w:tcPr>
          <w:p>
            <w:pPr>
              <w:autoSpaceDE w:val="0"/>
              <w:jc w:val="center"/>
              <w:rPr>
                <w:rFonts w:asciiTheme="minorEastAsia" w:hAnsiTheme="minorEastAsia" w:cstheme="minorEastAsia"/>
                <w:kern w:val="0"/>
                <w:szCs w:val="21"/>
              </w:rPr>
            </w:pPr>
            <w:bookmarkStart w:id="65" w:name="货物一览表_units"/>
            <w:r>
              <w:rPr>
                <w:rFonts w:asciiTheme="minorEastAsia" w:eastAsiaTheme="minorEastAsia" w:hAnsiTheme="minorEastAsia" w:cstheme="minorEastAsia" w:hint="eastAsia"/>
                <w:kern w:val="0"/>
                <w:szCs w:val="21"/>
              </w:rPr>
              <w:t>计量单位</w:t>
            </w:r>
            <w:bookmarkEnd w:id="65"/>
          </w:p>
        </w:tc>
        <w:tc>
          <w:tcPr>
            <w:tcW w:w="1220" w:type="dxa"/>
          </w:tcPr>
          <w:p>
            <w:pPr>
              <w:autoSpaceDE w:val="0"/>
              <w:jc w:val="center"/>
              <w:rPr>
                <w:rFonts w:asciiTheme="minorEastAsia" w:hAnsiTheme="minorEastAsia" w:cstheme="minorEastAsia"/>
                <w:kern w:val="0"/>
                <w:szCs w:val="21"/>
              </w:rPr>
            </w:pPr>
            <w:bookmarkStart w:id="66" w:name="货物一览表_procurementBudget"/>
            <w:r>
              <w:rPr>
                <w:rFonts w:asciiTheme="minorEastAsia" w:eastAsiaTheme="minorEastAsia" w:hAnsiTheme="minorEastAsia" w:cstheme="minorEastAsia" w:hint="eastAsia"/>
                <w:kern w:val="0"/>
                <w:szCs w:val="21"/>
              </w:rPr>
              <w:t>采购预算（元）</w:t>
            </w:r>
            <w:bookmarkEnd w:id="66"/>
          </w:p>
        </w:tc>
        <w:tc>
          <w:tcPr>
            <w:tcW w:w="1329" w:type="dxa"/>
          </w:tcPr>
          <w:p>
            <w:pPr>
              <w:autoSpaceDE w:val="0"/>
              <w:jc w:val="center"/>
              <w:rPr>
                <w:rFonts w:asciiTheme="minorEastAsia" w:hAnsiTheme="minorEastAsia" w:cstheme="minorEastAsia" w:hint="eastAsia"/>
                <w:kern w:val="0"/>
                <w:szCs w:val="21"/>
              </w:rPr>
            </w:pPr>
            <w:bookmarkStart w:id="67"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7"/>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8" w:name="货物一览表_remark"/>
            <w:r>
              <w:rPr>
                <w:rFonts w:asciiTheme="minorEastAsia" w:eastAsiaTheme="minorEastAsia" w:hAnsiTheme="minorEastAsia" w:cstheme="minorEastAsia" w:hint="eastAsia"/>
                <w:kern w:val="0"/>
                <w:szCs w:val="21"/>
              </w:rPr>
              <w:t>备注</w:t>
            </w:r>
            <w:bookmarkEnd w:id="68"/>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可燃物气象环境监测仪</w:t>
            </w:r>
          </w:p>
        </w:tc>
        <w:tc>
          <w:tcPr/>
          <w:p>
            <w:pPr>
              <w:autoSpaceDE w:val="0"/>
              <w:jc w:val="center"/>
              <w:rPr>
                <w:rFonts w:asciiTheme="minorEastAsia" w:hAnsiTheme="minorEastAsia" w:cstheme="minorEastAsia"/>
                <w:kern w:val="0"/>
                <w:szCs w:val="21"/>
              </w:rPr>
            </w:pPr>
            <w:r>
              <w:t>14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3,445,400.00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3,445,400.00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66"/>
        <w:gridCol w:w="1829"/>
        <w:gridCol w:w="1302"/>
        <w:gridCol w:w="366"/>
        <w:gridCol w:w="834"/>
        <w:gridCol w:w="636"/>
        <w:gridCol w:w="1653"/>
        <w:gridCol w:w="153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9"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大兴安岭地区气象局(001038036)</w:t>
            </w:r>
          </w:p>
        </w:tc>
        <w:tc>
          <w:tcPr/>
          <w:p>
            <w:r>
              <w:t>可燃物气象环境监测仪</w:t>
            </w:r>
          </w:p>
        </w:tc>
        <w:tc>
          <w:tcPr/>
          <w:p>
            <w:r>
              <w:t>2</w:t>
            </w:r>
          </w:p>
        </w:tc>
        <w:tc>
          <w:tcPr/>
          <w:p>
            <w:r>
              <w:t>492200.00</w:t>
            </w:r>
          </w:p>
        </w:tc>
        <w:tc>
          <w:tcPr>
            <w:vMerge w:val="restart"/>
          </w:tcPr>
          <w:p>
            <w:r>
              <w:t xml:space="preserve">492200.00  </w:t>
            </w:r>
          </w:p>
        </w:tc>
        <w:tc>
          <w:tcPr/>
          <w:p>
            <w:r>
              <w:t>黑龙江省大兴安岭地区气象局</w:t>
            </w:r>
          </w:p>
        </w:tc>
        <w:tc>
          <w:tcPr/>
          <w:p>
            <w:r>
              <w:t>黑龙江省大兴安岭地区气象-张金勇13845751341</w:t>
            </w:r>
          </w:p>
        </w:tc>
      </w:tr>
      <w:tr>
        <w:tblPrEx>
          <w:tblW w:w="5000" w:type="pct"/>
          <w:tblCellMar>
            <w:left w:w="108" w:type="dxa"/>
            <w:right w:w="108" w:type="dxa"/>
          </w:tblCellMar>
        </w:tblPrEx>
        <w:tc>
          <w:tcPr/>
          <w:p>
            <w:r>
              <w:t>2</w:t>
            </w:r>
          </w:p>
        </w:tc>
        <w:tc>
          <w:tcPr>
            <w:vMerge w:val="restart"/>
          </w:tcPr>
          <w:p>
            <w:r>
              <w:t>漠河市气象局(001038036014)</w:t>
            </w:r>
          </w:p>
        </w:tc>
        <w:tc>
          <w:tcPr/>
          <w:p>
            <w:r>
              <w:t>可燃物气象环境监测仪</w:t>
            </w:r>
          </w:p>
        </w:tc>
        <w:tc>
          <w:tcPr/>
          <w:p>
            <w:r>
              <w:t>3</w:t>
            </w:r>
          </w:p>
        </w:tc>
        <w:tc>
          <w:tcPr/>
          <w:p>
            <w:r>
              <w:t>738300.00</w:t>
            </w:r>
          </w:p>
        </w:tc>
        <w:tc>
          <w:tcPr>
            <w:vMerge w:val="restart"/>
          </w:tcPr>
          <w:p>
            <w:r>
              <w:t xml:space="preserve">738300.00 </w:t>
            </w:r>
          </w:p>
        </w:tc>
        <w:tc>
          <w:tcPr/>
          <w:p>
            <w:r>
              <w:t>漠河市气象局</w:t>
            </w:r>
          </w:p>
        </w:tc>
        <w:tc>
          <w:tcPr/>
          <w:p>
            <w:r>
              <w:t>漠河市气象局-陈友山15945700090</w:t>
            </w:r>
          </w:p>
        </w:tc>
      </w:tr>
      <w:tr>
        <w:tblPrEx>
          <w:tblW w:w="5000" w:type="pct"/>
          <w:tblCellMar>
            <w:left w:w="108" w:type="dxa"/>
            <w:right w:w="108" w:type="dxa"/>
          </w:tblCellMar>
        </w:tblPrEx>
        <w:tc>
          <w:tcPr/>
          <w:p>
            <w:r>
              <w:t>3</w:t>
            </w:r>
          </w:p>
        </w:tc>
        <w:tc>
          <w:tcPr/>
          <w:p>
            <w:r>
              <w:t>塔河县气象局(001038036015)</w:t>
            </w:r>
          </w:p>
        </w:tc>
        <w:tc>
          <w:tcPr/>
          <w:p>
            <w:r>
              <w:t>可燃物气象环境监测仪</w:t>
            </w:r>
          </w:p>
        </w:tc>
        <w:tc>
          <w:tcPr/>
          <w:p>
            <w:r>
              <w:t>2</w:t>
            </w:r>
          </w:p>
        </w:tc>
        <w:tc>
          <w:tcPr/>
          <w:p>
            <w:r>
              <w:t>492200.00</w:t>
            </w:r>
          </w:p>
        </w:tc>
        <w:tc>
          <w:tcPr/>
          <w:p>
            <w:r>
              <w:t xml:space="preserve">492200.00  </w:t>
            </w:r>
          </w:p>
        </w:tc>
        <w:tc>
          <w:tcPr/>
          <w:p>
            <w:r>
              <w:t>黑龙江省塔河县气象局</w:t>
            </w:r>
          </w:p>
        </w:tc>
        <w:tc>
          <w:tcPr/>
          <w:p>
            <w:r>
              <w:t>黑龙江省塔河县气象局-刘磊13845743418</w:t>
            </w:r>
          </w:p>
        </w:tc>
      </w:tr>
      <w:tr>
        <w:tblPrEx>
          <w:tblW w:w="5000" w:type="pct"/>
          <w:tblCellMar>
            <w:left w:w="108" w:type="dxa"/>
            <w:right w:w="108" w:type="dxa"/>
          </w:tblCellMar>
        </w:tblPrEx>
        <w:tc>
          <w:tcPr/>
          <w:p>
            <w:r>
              <w:t>4</w:t>
            </w:r>
          </w:p>
        </w:tc>
        <w:tc>
          <w:tcPr/>
          <w:p>
            <w:r>
              <w:t>呼玛县气象局(001038036016)</w:t>
            </w:r>
          </w:p>
        </w:tc>
        <w:tc>
          <w:tcPr/>
          <w:p>
            <w:r>
              <w:t>可燃物气象环境监测仪</w:t>
            </w:r>
          </w:p>
        </w:tc>
        <w:tc>
          <w:tcPr/>
          <w:p>
            <w:r>
              <w:t>2</w:t>
            </w:r>
          </w:p>
        </w:tc>
        <w:tc>
          <w:tcPr/>
          <w:p>
            <w:r>
              <w:t>492200.00</w:t>
            </w:r>
          </w:p>
        </w:tc>
        <w:tc>
          <w:tcPr/>
          <w:p>
            <w:r>
              <w:t xml:space="preserve">492200.00 </w:t>
            </w:r>
          </w:p>
        </w:tc>
        <w:tc>
          <w:tcPr/>
          <w:p>
            <w:r>
              <w:t>呼玛县气象局</w:t>
            </w:r>
          </w:p>
        </w:tc>
        <w:tc>
          <w:tcPr/>
          <w:p>
            <w:r>
              <w:t>呼玛县气象局-侯方13555077534</w:t>
            </w:r>
          </w:p>
        </w:tc>
      </w:tr>
      <w:tr>
        <w:tblPrEx>
          <w:tblW w:w="5000" w:type="pct"/>
          <w:tblCellMar>
            <w:left w:w="108" w:type="dxa"/>
            <w:right w:w="108" w:type="dxa"/>
          </w:tblCellMar>
        </w:tblPrEx>
        <w:tc>
          <w:tcPr/>
          <w:p>
            <w:r>
              <w:t>5</w:t>
            </w:r>
          </w:p>
        </w:tc>
        <w:tc>
          <w:tcPr/>
          <w:p>
            <w:r>
              <w:t>呼中区气象局(001038036017)</w:t>
            </w:r>
          </w:p>
        </w:tc>
        <w:tc>
          <w:tcPr/>
          <w:p>
            <w:r>
              <w:t>可燃物气象环境监测仪</w:t>
            </w:r>
          </w:p>
        </w:tc>
        <w:tc>
          <w:tcPr/>
          <w:p>
            <w:r>
              <w:t>3</w:t>
            </w:r>
          </w:p>
        </w:tc>
        <w:tc>
          <w:tcPr/>
          <w:p>
            <w:r>
              <w:t>738300.00</w:t>
            </w:r>
          </w:p>
        </w:tc>
        <w:tc>
          <w:tcPr/>
          <w:p>
            <w:r>
              <w:t xml:space="preserve">738300.00  </w:t>
            </w:r>
          </w:p>
        </w:tc>
        <w:tc>
          <w:tcPr/>
          <w:p>
            <w:r>
              <w:t>黑龙江省呼中区气象局</w:t>
            </w:r>
          </w:p>
        </w:tc>
        <w:tc>
          <w:tcPr/>
          <w:p>
            <w:r>
              <w:t>黑龙江省呼中区气象局-齐振洋13846571982</w:t>
            </w:r>
          </w:p>
        </w:tc>
      </w:tr>
      <w:tr>
        <w:tblPrEx>
          <w:tblW w:w="5000" w:type="pct"/>
          <w:tblCellMar>
            <w:left w:w="108" w:type="dxa"/>
            <w:right w:w="108" w:type="dxa"/>
          </w:tblCellMar>
        </w:tblPrEx>
        <w:tc>
          <w:tcPr/>
          <w:p>
            <w:r>
              <w:t>6</w:t>
            </w:r>
          </w:p>
        </w:tc>
        <w:tc>
          <w:tcPr/>
          <w:p>
            <w:r>
              <w:t>新林区气象局(001038036018)</w:t>
            </w:r>
          </w:p>
        </w:tc>
        <w:tc>
          <w:tcPr/>
          <w:p>
            <w:r>
              <w:t>可燃物气象环境监测仪</w:t>
            </w:r>
          </w:p>
        </w:tc>
        <w:tc>
          <w:tcPr/>
          <w:p>
            <w:r>
              <w:t>2</w:t>
            </w:r>
          </w:p>
        </w:tc>
        <w:tc>
          <w:tcPr/>
          <w:p>
            <w:r>
              <w:t>492200.00</w:t>
            </w:r>
          </w:p>
        </w:tc>
        <w:tc>
          <w:tcPr/>
          <w:p>
            <w:r>
              <w:t xml:space="preserve">492200.00 </w:t>
            </w:r>
          </w:p>
        </w:tc>
        <w:tc>
          <w:tcPr/>
          <w:p>
            <w:r>
              <w:t>黑龙江省新林区气象局</w:t>
            </w:r>
          </w:p>
        </w:tc>
        <w:tc>
          <w:tcPr/>
          <w:p>
            <w:r>
              <w:t>黑龙江省新林区气象局-吴微13845755330</w:t>
            </w:r>
          </w:p>
        </w:tc>
      </w:tr>
    </w:tbl>
    <w:p w:rsidR="00A77B3E"/>
    <w:p>
      <w:pPr>
        <w:spacing w:line="360" w:lineRule="auto"/>
        <w:rPr>
          <w:rFonts w:ascii="宋体" w:hAnsi="宋体"/>
          <w:szCs w:val="21"/>
        </w:rPr>
      </w:pPr>
      <w:bookmarkEnd w:id="69"/>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widowControl w:val="0"/>
        <w:ind w:firstLine="560" w:firstLineChars="200"/>
        <w:jc w:val="both"/>
        <w:rPr>
          <w:rFonts w:ascii="仿宋" w:eastAsia="仿宋" w:hAnsi="仿宋" w:cs="仿宋" w:hint="eastAsia"/>
          <w:sz w:val="28"/>
          <w:szCs w:val="20"/>
        </w:rPr>
      </w:pPr>
      <w:r>
        <w:rPr>
          <w:rFonts w:ascii="仿宋" w:eastAsia="仿宋" w:hAnsi="仿宋" w:cs="仿宋" w:hint="eastAsia"/>
          <w:kern w:val="2"/>
          <w:sz w:val="28"/>
          <w:szCs w:val="20"/>
          <w:lang w:val="en-US" w:eastAsia="zh-CN" w:bidi="ar-SA"/>
        </w:rPr>
        <w:t>为深入贯彻落实习近平总书记关于气象工作的重要指示精神，着力推进观测站网、运行保障、观测产品等高质量发展，进一步强化气象监测预警能力。依据《综合气象观测业务发展“十四五”规划》《2025年黑龙江省大兴安岭地区新建全闪探测设备及可燃物监测站项目可行性研究报告》等文件，在黑龙江省大兴安岭地区建设14套可燃物气象环境监测仪，黑龙江省大兴安岭地区可燃物气象环境监测站点空白区得以有效弥补，可对研究森林生态系统在火灾前后的变化规律，保护森林物种资源多样性，提高火险监测的精度与能力等，具有重要应用价值。</w:t>
      </w:r>
    </w:p>
    <w:p>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二、售后服务要求</w:t>
      </w:r>
      <w:r>
        <w:rPr>
          <w:rFonts w:ascii="仿宋" w:eastAsia="仿宋" w:hAnsi="仿宋" w:cs="仿宋" w:hint="eastAsia"/>
          <w:b/>
          <w:bCs/>
          <w:sz w:val="28"/>
          <w:szCs w:val="20"/>
          <w:lang w:eastAsia="zh-CN"/>
        </w:rPr>
        <w:t>（</w:t>
      </w:r>
      <w:r>
        <w:rPr>
          <w:rFonts w:ascii="仿宋" w:eastAsia="仿宋" w:hAnsi="仿宋" w:cs="仿宋" w:hint="eastAsia"/>
          <w:b/>
          <w:bCs/>
          <w:sz w:val="28"/>
          <w:szCs w:val="20"/>
          <w:lang w:val="en-US" w:eastAsia="zh-CN"/>
        </w:rPr>
        <w:t>以此为准</w:t>
      </w:r>
      <w:r>
        <w:rPr>
          <w:rFonts w:ascii="仿宋" w:eastAsia="仿宋" w:hAnsi="仿宋" w:cs="仿宋" w:hint="eastAsia"/>
          <w:b/>
          <w:bCs/>
          <w:sz w:val="28"/>
          <w:szCs w:val="20"/>
          <w:lang w:eastAsia="zh-CN"/>
        </w:rPr>
        <w:t>）</w:t>
      </w:r>
    </w:p>
    <w:p>
      <w:pPr>
        <w:widowControl w:val="0"/>
        <w:ind w:firstLine="560" w:firstLineChars="200"/>
        <w:jc w:val="both"/>
        <w:rPr>
          <w:rFonts w:ascii="仿宋" w:eastAsia="仿宋" w:hAnsi="仿宋" w:cs="仿宋" w:hint="eastAsia"/>
          <w:sz w:val="28"/>
          <w:szCs w:val="20"/>
        </w:rPr>
      </w:pPr>
      <w:r>
        <w:rPr>
          <w:rFonts w:ascii="仿宋" w:eastAsia="仿宋" w:hAnsi="仿宋" w:cs="仿宋" w:hint="eastAsia"/>
          <w:kern w:val="2"/>
          <w:sz w:val="28"/>
          <w:szCs w:val="20"/>
          <w:lang w:val="en-US" w:eastAsia="zh-CN" w:bidi="ar-SA"/>
        </w:rPr>
        <w:t>供应商按照业务运行规范要求执行，确保设备可稳定运行至少8年，主要包括安装场地使用、通讯、供电、巡检、巡查等工作，以及关键器件及系统故障的维修等。故障维修和巡检巡查等需按照《“十四五”期间综合观测类工程项目新上设备建设及质保指导意见》中“森林火险气象自动观测系统”采购要求中相关要求执行，并提供相关承诺函。</w:t>
      </w:r>
    </w:p>
    <w:p>
      <w:pPr>
        <w:widowControl w:val="0"/>
        <w:ind w:firstLine="560" w:firstLineChars="200"/>
        <w:jc w:val="both"/>
        <w:rPr>
          <w:rFonts w:ascii="仿宋" w:eastAsia="仿宋" w:hAnsi="仿宋" w:cs="仿宋" w:hint="eastAsia"/>
          <w:sz w:val="28"/>
          <w:szCs w:val="20"/>
        </w:rPr>
      </w:pPr>
      <w:r>
        <w:rPr>
          <w:rFonts w:ascii="仿宋" w:eastAsia="仿宋" w:hAnsi="仿宋" w:cs="仿宋" w:hint="eastAsia"/>
          <w:kern w:val="2"/>
          <w:sz w:val="28"/>
          <w:szCs w:val="20"/>
          <w:lang w:val="en-US" w:eastAsia="zh-CN" w:bidi="ar-SA"/>
        </w:rPr>
        <w:t>（1）供应商将所有设备运送到招标人指定地点（运输相关费用由供应商负责），并负责安装调试；用户方协助联系安装场地、供电及通讯，设备安装调试、验收等相关工作，相关费用由供应商负责。</w:t>
      </w:r>
    </w:p>
    <w:p>
      <w:pPr>
        <w:widowControl w:val="0"/>
        <w:ind w:firstLine="560" w:firstLineChars="200"/>
        <w:jc w:val="both"/>
        <w:rPr>
          <w:rFonts w:ascii="仿宋" w:eastAsia="仿宋" w:hAnsi="仿宋" w:cs="仿宋" w:hint="eastAsia"/>
          <w:sz w:val="28"/>
          <w:szCs w:val="20"/>
        </w:rPr>
      </w:pPr>
      <w:r>
        <w:rPr>
          <w:rFonts w:ascii="仿宋" w:eastAsia="仿宋" w:hAnsi="仿宋" w:cs="仿宋" w:hint="eastAsia"/>
          <w:kern w:val="2"/>
          <w:sz w:val="28"/>
          <w:szCs w:val="20"/>
          <w:lang w:val="en-US" w:eastAsia="zh-CN" w:bidi="ar-SA"/>
        </w:rPr>
        <w:t>（2）运行和质量保障期：8年，设备供应商对所有设备提供自验收合格后8年的运行保障和质量保障服务，免费维护维修服务，并提供相关承诺函，且满足《“十四五”期间综合观测类工程项目新上设备建设及质保指导意见》对设备与8年质保服务费、工程建设其他费用、备品备件、故障维修、巡检巡查的所有要求。运行期保障费以实际为准（包括但不限于安装场地使用、通讯、供电等相关费用）；质保费用原则上不低于应标价的20%，中标单位按照甲乙双方合同约定事宜完成任务。按照业务运行规范要求执行，确保设备可稳定运行。供应商需对运行和质保期（保内、保外）政策进行阐述或承诺，列明有偿服务和无偿服务内容。</w:t>
      </w:r>
    </w:p>
    <w:p>
      <w:pPr>
        <w:widowControl w:val="0"/>
        <w:ind w:firstLine="560" w:firstLineChars="200"/>
        <w:jc w:val="both"/>
        <w:rPr>
          <w:rFonts w:ascii="仿宋" w:eastAsia="仿宋" w:hAnsi="仿宋" w:cs="仿宋" w:hint="eastAsia"/>
          <w:sz w:val="28"/>
          <w:szCs w:val="20"/>
        </w:rPr>
      </w:pPr>
      <w:r>
        <w:rPr>
          <w:rFonts w:ascii="仿宋" w:eastAsia="仿宋" w:hAnsi="仿宋" w:cs="仿宋" w:hint="eastAsia"/>
          <w:kern w:val="2"/>
          <w:sz w:val="28"/>
          <w:szCs w:val="20"/>
          <w:lang w:val="en-US" w:eastAsia="zh-CN" w:bidi="ar-SA"/>
        </w:rPr>
        <w:t>（3）在运行和质量保障期内， 设备供应商服务时间应为7×24小时，当投标产品或软件遭到损坏或出现故障时，要在用户报修之时起48小时内做出响应，开展维修维护工作，视情况双方协商设备恢复正常运行时限。</w:t>
      </w:r>
    </w:p>
    <w:p>
      <w:pPr>
        <w:widowControl w:val="0"/>
        <w:ind w:firstLine="560" w:firstLineChars="200"/>
        <w:jc w:val="both"/>
        <w:rPr>
          <w:rFonts w:ascii="仿宋" w:eastAsia="仿宋" w:hAnsi="仿宋" w:cs="仿宋" w:hint="eastAsia"/>
          <w:sz w:val="28"/>
          <w:szCs w:val="20"/>
        </w:rPr>
      </w:pPr>
      <w:r>
        <w:rPr>
          <w:rFonts w:ascii="仿宋" w:eastAsia="仿宋" w:hAnsi="仿宋" w:cs="仿宋" w:hint="eastAsia"/>
          <w:kern w:val="2"/>
          <w:sz w:val="28"/>
          <w:szCs w:val="20"/>
          <w:lang w:val="en-US" w:eastAsia="zh-CN" w:bidi="ar-SA"/>
        </w:rPr>
        <w:t>（4）运行和质量保障期过后，供应商仍有义务提供技术服务（包括提供设备维护、备件等）。</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hint="eastAsia"/>
          <w:sz w:val="28"/>
          <w:szCs w:val="28"/>
        </w:rPr>
        <w:t>中标人应免费向采购人提供培训，培训次数不少于</w:t>
      </w:r>
      <w:r>
        <w:rPr>
          <w:rFonts w:ascii="仿宋" w:eastAsia="仿宋" w:hAnsi="仿宋" w:cs="仿宋" w:hint="eastAsia"/>
          <w:sz w:val="28"/>
          <w:szCs w:val="28"/>
          <w:lang w:val="en-US" w:eastAsia="zh-CN"/>
        </w:rPr>
        <w:t>5</w:t>
      </w:r>
      <w:r>
        <w:rPr>
          <w:rFonts w:ascii="仿宋" w:eastAsia="仿宋" w:hAnsi="仿宋" w:cs="仿宋" w:hint="eastAsia"/>
          <w:sz w:val="28"/>
          <w:szCs w:val="28"/>
        </w:rPr>
        <w:t>次，培训人次不少于20人次</w:t>
      </w:r>
      <w:r>
        <w:rPr>
          <w:rFonts w:ascii="仿宋" w:eastAsia="仿宋" w:hAnsi="仿宋" w:cs="仿宋" w:hint="eastAsia"/>
          <w:sz w:val="28"/>
          <w:szCs w:val="20"/>
        </w:rPr>
        <w:t>（达到熟练操作），免费向用户提供设备安装、调试技术培训。</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8"/>
        </w:rPr>
        <w:t>（2）培训方式应包括现场培训和集中培训，集中培训地点和具体培训时间由甲方与供应商根据本项目实际情况协商确定。甲方负责组织培训，供应商负责提供培训教师、培训教材以及现场授课，并应在进行培训之前向甲方提交一份详细的培训计划。</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（3）技术培训内容包括：设备工作原理、使用方法、日常维护及一般常见故障的诊断及排除等。</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（4）培训时免费提供完整的培训资料，其中包括使用说明、工作原理、技术图纸、注意事项、安装调试方法和维修指南等。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5）中标人提供的授课人员需具有设备的相关研发经验，能够从软硬件原理、安装调试、系统基本维护、常见问题解决办法以及数据处理分析应用等方面进行，保证用户培训人员能够掌握装备的安装、调试、操作和维护等。</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黑龙江省大兴安岭地区等甲方约定</w:t>
      </w:r>
      <w:r>
        <w:rPr>
          <w:rFonts w:ascii="仿宋" w:eastAsia="仿宋" w:hAnsi="仿宋" w:cs="仿宋" w:hint="eastAsia"/>
          <w:sz w:val="28"/>
          <w:szCs w:val="20"/>
        </w:rPr>
        <w:t>地点（运输相关费用由供应商负责），并负责安装调试。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合同签订后120天内完成供货、安装调试并具备验收条件。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设备可无缝接入气象数据平台，完全符合甲方相关要求和规范，保证其系统的兼容性和功能的完整性。</w:t>
      </w:r>
    </w:p>
    <w:p>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pPr>
        <w:ind w:firstLine="560" w:firstLineChars="200"/>
        <w:rPr>
          <w:rFonts w:ascii="仿宋" w:eastAsia="仿宋" w:hAnsi="仿宋" w:cs="仿宋"/>
          <w:sz w:val="28"/>
          <w:szCs w:val="20"/>
        </w:rPr>
      </w:pPr>
      <w:r>
        <w:rPr>
          <w:rFonts w:ascii="仿宋" w:eastAsia="仿宋" w:hAnsi="仿宋" w:cs="仿宋" w:hint="eastAsia"/>
          <w:sz w:val="28"/>
          <w:szCs w:val="20"/>
        </w:rPr>
        <w:t>.......</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rPr>
      </w:pPr>
      <w:bookmarkStart w:id="70" w:name="投标被拒绝条款专用部分_JJTK"/>
      <w:r>
        <w:rPr>
          <w:rFonts w:hint="eastAsia"/>
          <w:b/>
          <w:sz w:val="30"/>
          <w:szCs w:val="30"/>
        </w:rPr>
        <w:t>第八章  投标被拒绝条款专用部分</w:t>
      </w:r>
    </w:p>
    <w:p>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5"/>
              </w:numPr>
              <w:rPr>
                <w:rFonts w:ascii="宋体" w:hAnsi="宋体"/>
                <w:sz w:val="18"/>
                <w:szCs w:val="18"/>
              </w:rPr>
            </w:pPr>
          </w:p>
        </w:tc>
        <w:tc>
          <w:tcPr>
            <w:tcW w:w="898" w:type="dxa"/>
            <w:vAlign w:val="center"/>
          </w:tcPr>
          <w:p>
            <w:pPr>
              <w:jc w:val="center"/>
              <w:rPr>
                <w:rFonts w:ascii="宋体" w:hAnsi="宋体"/>
                <w:sz w:val="18"/>
                <w:szCs w:val="18"/>
              </w:rPr>
            </w:pPr>
          </w:p>
        </w:tc>
        <w:tc>
          <w:tcPr>
            <w:tcW w:w="7347" w:type="dxa"/>
          </w:tcPr>
          <w:p>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5"/>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hint="eastAsia"/>
                <w:sz w:val="18"/>
                <w:szCs w:val="18"/>
              </w:rPr>
              <w:t>四、质保服务要求</w:t>
            </w:r>
          </w:p>
        </w:tc>
        <w:tc>
          <w:tcPr>
            <w:tcW w:w="7347" w:type="dxa"/>
            <w:vAlign w:val="center"/>
          </w:tcPr>
          <w:p>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（2）</w:t>
            </w:r>
            <w:r>
              <w:rPr>
                <w:rFonts w:ascii="宋体" w:hAnsi="宋体" w:cs="微软雅黑" w:hint="eastAsia"/>
                <w:b/>
                <w:color w:val="0000FF"/>
                <w:kern w:val="0"/>
                <w:sz w:val="18"/>
                <w:szCs w:val="18"/>
                <w:lang w:val="en-US" w:eastAsia="zh-CN"/>
              </w:rPr>
              <w:t>运行和质量保障</w:t>
            </w:r>
            <w:r>
              <w:rPr>
                <w:rFonts w:ascii="宋体" w:hAnsi="宋体" w:cs="微软雅黑" w:hint="eastAsia"/>
                <w:b/>
                <w:color w:val="0000FF"/>
                <w:kern w:val="0"/>
                <w:sz w:val="18"/>
                <w:szCs w:val="18"/>
              </w:rPr>
              <w:t>期：8年</w:t>
            </w:r>
          </w:p>
        </w:tc>
      </w:tr>
    </w:tbl>
    <w:p>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7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6"/>
        </w:numPr>
        <w:spacing w:line="360" w:lineRule="auto"/>
        <w:ind w:firstLine="3066" w:firstLineChars="1460"/>
        <w:jc w:val="left"/>
        <w:rPr>
          <w:rFonts w:hint="eastAsia"/>
          <w:b/>
          <w:bCs/>
          <w:szCs w:val="21"/>
          <w:highlight w:val="none"/>
        </w:rPr>
      </w:pPr>
      <w:bookmarkStart w:id="71"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2"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2"/>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3"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3"/>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8"/>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u w:val="singl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合同生效后付款:双方签署合同后10个工作日内，甲方向乙方支付合同总金额的90%,即人民币</w:t>
      </w:r>
      <w:r>
        <w:rPr>
          <w:rFonts w:ascii="宋体" w:hAnsi="宋体" w:hint="eastAsia"/>
          <w:szCs w:val="21"/>
          <w:highlight w:val="none"/>
          <w:u w:val="single"/>
          <w:lang w:val="en-US" w:eastAsia="zh-CN"/>
        </w:rPr>
        <w:t xml:space="preserve">                   </w:t>
      </w:r>
      <w:r>
        <w:rPr>
          <w:rFonts w:ascii="宋体" w:hAnsi="宋体" w:hint="eastAsia"/>
          <w:szCs w:val="21"/>
          <w:highlight w:val="none"/>
          <w:u w:val="single"/>
        </w:rPr>
        <w:t>元 (大写):￥</w:t>
      </w:r>
      <w:r>
        <w:rPr>
          <w:rFonts w:ascii="宋体" w:hAnsi="宋体" w:hint="eastAsia"/>
          <w:szCs w:val="21"/>
          <w:highlight w:val="none"/>
          <w:u w:val="single"/>
          <w:lang w:val="en-US" w:eastAsia="zh-CN"/>
        </w:rPr>
        <w:t xml:space="preserve">                 </w:t>
      </w:r>
      <w:r>
        <w:rPr>
          <w:rFonts w:ascii="宋体" w:hAnsi="宋体" w:hint="eastAsia"/>
          <w:szCs w:val="21"/>
          <w:highlight w:val="none"/>
          <w:u w:val="single"/>
        </w:rPr>
        <w:t>元(小写)。</w:t>
      </w:r>
    </w:p>
    <w:p>
      <w:pPr>
        <w:adjustRightInd w:val="0"/>
        <w:snapToGrid w:val="0"/>
        <w:spacing w:line="400" w:lineRule="exact"/>
        <w:ind w:firstLine="630" w:firstLineChars="300"/>
        <w:rPr>
          <w:rFonts w:ascii="宋体" w:hAnsi="宋体" w:hint="eastAsia"/>
          <w:szCs w:val="21"/>
          <w:highlight w:val="none"/>
          <w:u w:val="single"/>
        </w:rPr>
      </w:pPr>
      <w:r>
        <w:rPr>
          <w:rFonts w:ascii="宋体" w:hAnsi="宋体" w:hint="eastAsia"/>
          <w:szCs w:val="21"/>
          <w:highlight w:val="none"/>
          <w:u w:val="single"/>
        </w:rPr>
        <w:t xml:space="preserve">到货、检验后付款:双方签署验收报告后 </w:t>
      </w:r>
      <w:r>
        <w:rPr>
          <w:rFonts w:ascii="宋体" w:hAnsi="宋体" w:hint="eastAsia"/>
          <w:szCs w:val="21"/>
          <w:highlight w:val="none"/>
          <w:u w:val="single"/>
          <w:lang w:val="en-US" w:eastAsia="zh-CN"/>
        </w:rPr>
        <w:t>1</w:t>
      </w:r>
      <w:r>
        <w:rPr>
          <w:rFonts w:ascii="宋体" w:hAnsi="宋体" w:hint="eastAsia"/>
          <w:szCs w:val="21"/>
          <w:highlight w:val="none"/>
          <w:u w:val="single"/>
        </w:rPr>
        <w:t>0个工作日内，甲方向乙方支付合同总金额的10%,即人民币</w:t>
      </w:r>
      <w:r>
        <w:rPr>
          <w:rFonts w:ascii="宋体" w:hAnsi="宋体" w:hint="eastAsia"/>
          <w:szCs w:val="21"/>
          <w:highlight w:val="none"/>
          <w:u w:val="single"/>
          <w:lang w:val="en-US" w:eastAsia="zh-CN"/>
        </w:rPr>
        <w:t xml:space="preserve">                        </w:t>
      </w:r>
      <w:r>
        <w:rPr>
          <w:rFonts w:ascii="宋体" w:hAnsi="宋体" w:hint="eastAsia"/>
          <w:szCs w:val="21"/>
          <w:highlight w:val="none"/>
          <w:u w:val="single"/>
        </w:rPr>
        <w:t>(大写):￥</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元(小写)。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7"/>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9"/>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4" w:name="_Toc27624"/>
      <w:r>
        <w:rPr>
          <w:rFonts w:ascii="黑体" w:hAnsi="黑体" w:hint="eastAsia"/>
          <w:b w:val="0"/>
          <w:bCs w:val="0"/>
          <w:sz w:val="28"/>
          <w:szCs w:val="28"/>
          <w:highlight w:val="none"/>
        </w:rPr>
        <w:t>第二节 政府采购合同通用条款</w:t>
      </w:r>
      <w:bookmarkEnd w:id="74"/>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w:t>
      </w:r>
      <w:r>
        <w:rPr>
          <w:rFonts w:ascii="宋体" w:hAnsi="宋体" w:hint="eastAsia"/>
          <w:szCs w:val="21"/>
          <w:highlight w:val="none"/>
          <w:lang w:eastAsia="zh-CN"/>
        </w:rPr>
        <w:t>运行和</w:t>
      </w:r>
      <w:r>
        <w:rPr>
          <w:rFonts w:ascii="宋体" w:hAnsi="宋体" w:hint="eastAsia"/>
          <w:szCs w:val="21"/>
          <w:highlight w:val="none"/>
        </w:rPr>
        <w:t>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w:t>
      </w:r>
      <w:r>
        <w:rPr>
          <w:rFonts w:ascii="宋体" w:hAnsi="宋体" w:hint="eastAsia"/>
          <w:szCs w:val="21"/>
          <w:highlight w:val="none"/>
          <w:lang w:eastAsia="zh-CN"/>
        </w:rPr>
        <w:t>运行和</w:t>
      </w:r>
      <w:r>
        <w:rPr>
          <w:rFonts w:ascii="宋体" w:hAnsi="宋体" w:hint="eastAsia"/>
          <w:szCs w:val="21"/>
          <w:highlight w:val="none"/>
        </w:rPr>
        <w:t>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w:t>
      </w:r>
      <w:r>
        <w:rPr>
          <w:rFonts w:ascii="宋体" w:hAnsi="宋体" w:hint="eastAsia"/>
          <w:szCs w:val="21"/>
          <w:highlight w:val="none"/>
          <w:lang w:eastAsia="zh-CN"/>
        </w:rPr>
        <w:t>运行和</w:t>
      </w:r>
      <w:r>
        <w:rPr>
          <w:rFonts w:ascii="宋体" w:hAnsi="宋体" w:hint="eastAsia"/>
          <w:szCs w:val="21"/>
          <w:highlight w:val="none"/>
        </w:rPr>
        <w:t>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w:t>
      </w:r>
      <w:r>
        <w:rPr>
          <w:rFonts w:ascii="宋体" w:hAnsi="宋体" w:hint="eastAsia"/>
          <w:szCs w:val="21"/>
          <w:highlight w:val="none"/>
          <w:lang w:eastAsia="zh-CN"/>
        </w:rPr>
        <w:t>运行和</w:t>
      </w:r>
      <w:r>
        <w:rPr>
          <w:rFonts w:ascii="宋体" w:hAnsi="宋体" w:hint="eastAsia"/>
          <w:szCs w:val="21"/>
          <w:highlight w:val="none"/>
        </w:rPr>
        <w:t>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5"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5"/>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2"/>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w:t>
      </w:r>
      <w:r>
        <w:rPr>
          <w:rFonts w:ascii="宋体" w:hAnsi="宋体" w:hint="eastAsia"/>
          <w:szCs w:val="21"/>
          <w:highlight w:val="none"/>
          <w:lang w:eastAsia="zh-CN"/>
        </w:rPr>
        <w:t>运行和</w:t>
      </w:r>
      <w:r>
        <w:rPr>
          <w:rFonts w:ascii="宋体" w:hAnsi="宋体" w:hint="eastAsia"/>
          <w:szCs w:val="21"/>
          <w:highlight w:val="none"/>
        </w:rPr>
        <w:t>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3"/>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4"/>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6"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6"/>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6"/>
        </w:numPr>
        <w:spacing w:line="360" w:lineRule="auto"/>
        <w:ind w:firstLine="3066" w:firstLineChars="1460"/>
        <w:jc w:val="left"/>
        <w:rPr>
          <w:rFonts w:hint="eastAsia"/>
          <w:b/>
          <w:bCs/>
          <w:szCs w:val="21"/>
          <w:highlight w:val="none"/>
        </w:rPr>
      </w:pPr>
      <w:bookmarkEnd w:id="71"/>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8F653B3"/>
    <w:multiLevelType w:val="singleLevel"/>
    <w:tmpl w:val="88F653B3"/>
    <w:lvl w:ilvl="0">
      <w:start w:val="4"/>
      <w:numFmt w:val="chineseCounting"/>
      <w:suff w:val="nothing"/>
      <w:lvlText w:val="%1、"/>
      <w:lvlJc w:val="left"/>
      <w:rPr>
        <w:rFonts w:hint="eastAsia"/>
      </w:rPr>
    </w:lvl>
  </w:abstractNum>
  <w:abstractNum w:abstractNumId="1">
    <w:nsid w:val="BF6BC116"/>
    <w:multiLevelType w:val="singleLevel"/>
    <w:tmpl w:val="BF6BC116"/>
    <w:lvl w:ilvl="0">
      <w:start w:val="16"/>
      <w:numFmt w:val="decimal"/>
      <w:suff w:val="space"/>
      <w:lvlText w:val="%1."/>
      <w:lvlJc w:val="left"/>
    </w:lvl>
  </w:abstractNum>
  <w:abstractNum w:abstractNumId="2">
    <w:nsid w:val="CFE7C3F8"/>
    <w:multiLevelType w:val="singleLevel"/>
    <w:tmpl w:val="CFE7C3F8"/>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EFF0EB14"/>
    <w:multiLevelType w:val="singleLevel"/>
    <w:tmpl w:val="EFF0EB14"/>
    <w:lvl w:ilvl="0">
      <w:start w:val="1"/>
      <w:numFmt w:val="decimal"/>
      <w:suff w:val="nothing"/>
      <w:lvlText w:val="（%1）"/>
      <w:lvlJc w:val="left"/>
    </w:lvl>
  </w:abstractNum>
  <w:abstractNum w:abstractNumId="7">
    <w:nsid w:val="FFEFC674"/>
    <w:multiLevelType w:val="singleLevel"/>
    <w:tmpl w:val="FFEFC674"/>
    <w:lvl w:ilvl="0">
      <w:start w:val="1"/>
      <w:numFmt w:val="decimal"/>
      <w:suff w:val="nothing"/>
      <w:lvlText w:val="（%1）"/>
      <w:lvlJc w:val="left"/>
    </w:lvl>
  </w:abstractNum>
  <w:abstractNum w:abstractNumId="8">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9">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0">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3">
    <w:nsid w:val="53A08313"/>
    <w:multiLevelType w:val="singleLevel"/>
    <w:tmpl w:val="53A08313"/>
    <w:lvl w:ilvl="0">
      <w:start w:val="9"/>
      <w:numFmt w:val="chineseCounting"/>
      <w:suff w:val="space"/>
      <w:lvlText w:val="第%1章"/>
      <w:lvlJc w:val="left"/>
      <w:rPr>
        <w:rFonts w:hint="eastAsia"/>
      </w:rPr>
    </w:lvl>
  </w:abstractNum>
  <w:abstractNum w:abstractNumId="14">
    <w:nsid w:val="7A0F6431"/>
    <w:multiLevelType w:val="singleLevel"/>
    <w:tmpl w:val="7A0F6431"/>
    <w:lvl w:ilvl="0">
      <w:start w:val="1"/>
      <w:numFmt w:val="decimal"/>
      <w:suff w:val="space"/>
      <w:lvlText w:val="%1."/>
      <w:lvlJc w:val="left"/>
    </w:lvl>
  </w:abstractNum>
  <w:num w:numId="1">
    <w:abstractNumId w:val="9"/>
  </w:num>
  <w:num w:numId="2">
    <w:abstractNumId w:val="8"/>
  </w:num>
  <w:num w:numId="3">
    <w:abstractNumId w:val="10"/>
  </w:num>
  <w:num w:numId="4">
    <w:abstractNumId w:val="0"/>
  </w:num>
  <w:num w:numId="5">
    <w:abstractNumId w:val="6"/>
  </w:num>
  <w:num w:numId="6">
    <w:abstractNumId w:val="13"/>
  </w:num>
  <w:num w:numId="7">
    <w:abstractNumId w:val="14"/>
  </w:num>
  <w:num w:numId="8">
    <w:abstractNumId w:val="2"/>
  </w:num>
  <w:num w:numId="9">
    <w:abstractNumId w:val="7"/>
  </w:num>
  <w:num w:numId="10">
    <w:abstractNumId w:val="4"/>
  </w:num>
  <w:num w:numId="11">
    <w:abstractNumId w:val="3"/>
  </w:num>
  <w:num w:numId="12">
    <w:abstractNumId w:val="12"/>
  </w:num>
  <w:num w:numId="13">
    <w:abstractNumId w:val="1"/>
  </w:num>
  <w:num w:numId="14">
    <w:abstractNumId w:val="5"/>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2A2"/>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0DBC"/>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