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三江源大型无人机生态补水人工增雨（雪）作业试验效果评估</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ZQCD-25451</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2025年12月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7C74EE42">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7B6225C8">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5D7C59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1570AA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145E8C4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243CDA3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038526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935993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28E057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E5A7FB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5D2C28D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0560D8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D117A2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026BF6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FEFBA2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5863F4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03DC69D1">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249B868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561B923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390286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2C00F01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06B845B">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335DB3AF">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98AB0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C288B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119A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E05C4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05F66D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304A8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9B984A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781BB66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1DEC5F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085B8F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BC9C6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B966C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AE4AF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2CBC00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C77CF4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3773112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73E89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22C79626">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589DF3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40AB6741">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7085923E">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5A23A11">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548783D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285D629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454FFBA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628AEE0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4C0105AC">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1098A9A">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7580D60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00FB04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E86078B">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4C75B95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64C18CF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5760B07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4B213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06781F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6603C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58B8090">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BA53FA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2D9ACC93">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6C9E6C67">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2226F78">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489450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139246D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11CF4B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4E973A86">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10FE07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CE37C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76177EE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10B2536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5E459AF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0B0707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5E5B88A7">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245502E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008183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1140C22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6C0104C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FAA1CC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34E712D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0F66F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FAC69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2E0EBAE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9961C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7547F39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42CB00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02B6C637">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3E99A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47917B9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0880467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75F865F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7884B0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2E4B71E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4DA8EE7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716EEE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7178D7D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6229768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B64D5C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1364895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BDA995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0FDC667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7283086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5C9C43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11BF024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0BFDBA5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6B860F9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5967B10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04E957A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F3B641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5DF71C7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3504038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0A9DBBB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0B98CF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6E8FB8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4BC28D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2E6ED8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31D7F9E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B1C82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65F2A49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304A0BA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153B7E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6DC3D40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B266AE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6BCEE14">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2F208A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7DDB9A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F36AF6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4D7BE37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4A4CE9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5D6C35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8A92F72">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CBFE8BE">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32CA071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D7E034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02949D23">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34969F0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3D8898B0">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2379818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EBF59C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3F4153">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AEEB0E5">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057D92B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40A196A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6436F2F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52081F6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4B52548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1AB1229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（6）*银行保函或谈判保证金说明函（本项目不要求提交谈判保证金不提供）</w:t>
      </w:r>
    </w:p>
    <w:p w14:paraId="0C763E8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193E685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3C22900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017B7C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24876DB8">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45BD6D0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7080D23F">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40CA95A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033B97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5E1F82A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2A3D26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2251DE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7DB6BF9C">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3D0C060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058DAC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064DA29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6F2AF8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C1F3E61">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008DF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124410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221E869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9CDE7D4">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7CA19E16">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15E17DC9">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0DD0BE3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0F419C9">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0DCF4D7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F3E89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4A3CF1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4143F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0CBE788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4DEB70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0C640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70B704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0FE0E84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3C708C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FD2E9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0C55280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4736ECB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30F10B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37F2A12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7E6C5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7DBC054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523ED8B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B95D6B">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5B659925">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3AF76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w:t>
      </w:r>
      <w:r>
        <w:rPr>
          <w:rFonts w:ascii="宋体" w:eastAsia="宋体" w:hAnsi="宋体" w:cs="Times New Roman" w:hint="eastAsia"/>
          <w:szCs w:val="21"/>
          <w:highlight w:val="none"/>
        </w:rPr>
        <w:t>及品牌、型号、产地、装</w:t>
      </w:r>
      <w:r>
        <w:rPr>
          <w:rFonts w:ascii="宋体" w:eastAsia="宋体" w:hAnsi="宋体" w:cs="Times New Roman" w:hint="eastAsia"/>
          <w:szCs w:val="21"/>
        </w:rPr>
        <w:t>箱、包装、包装物料、运输和保险费用等）、总价及其他事项。</w:t>
      </w:r>
    </w:p>
    <w:p w14:paraId="66A74B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7DDF41B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48D4F46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7AB278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47E8D2F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70903EE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5E991A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2466CD49">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84930C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1030CDFC">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2182F8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53010D3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7C03FE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D3330D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FCD51C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62F3484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3441F7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0602D23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27D0967F">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540ADD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E89053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7B266B3A">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1FC59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197D48E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236DC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E7FEC9B">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964726F">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178BB3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16ED5B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508AA9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35986A6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11510798">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6A1803F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B836C6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25D210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645BDA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CF5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144760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1A9AD04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60488EF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62578B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85460F5">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4CF551A0">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448A0AB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476D2C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1B8664A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1316E52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79A576F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3EF3A08D">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5A8C8D5">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5DBBAFB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1.27.2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Cs w:val="21"/>
          <w:lang w:val="zh-CN"/>
        </w:rPr>
        <w:t>。</w:t>
      </w:r>
    </w:p>
    <w:p w14:paraId="71A49376">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35E983D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6FE119A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1D69B9D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7B9C12A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6809180F">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39BBEA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3F7D3B3D">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55335B6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04A3AE40">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C61956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7650C07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6A77CA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46A122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438A00C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35B495C4">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CF2896E">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190A6BD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78E6FFEE">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6FFF325">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1AE3C5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09B6EAC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1005C0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0E30428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10BB075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AB93ADA">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75C0584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2234A8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4DD4F8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E916C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384B5C9E">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1D404DE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33E0D78">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6505E78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7AA281A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p>
    <w:p w14:paraId="3066F7C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p>
    <w:p w14:paraId="30EDAA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DC7768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4F771D2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17D117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409540C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04D878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E049D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0988E5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5E7488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245AA3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3F0EC80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D32FE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1E509A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2F8A5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0271F41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19ADF6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079FFE3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6637E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73A2D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458118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0A87E2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402DDCD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645439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88042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FE245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9F044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3D2E7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1516C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1E83D5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0501BF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F7C95C9">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2741CA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1D863AB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32DB3E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49693B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p>
    <w:p w14:paraId="023C07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4243C0E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4D4F3B6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p w14:paraId="43C731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72E787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1.39.2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7EE764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6130B91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1D8564B">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503C1F3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5"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5"/>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6" w:name="OLE_LINK46"/>
      <w:r>
        <w:rPr>
          <w:rFonts w:ascii="Times New Roman" w:eastAsia="宋体" w:hAnsi="Times New Roman" w:cs="Times New Roman" w:hint="eastAsia"/>
          <w:szCs w:val="20"/>
        </w:rPr>
        <w:t>“微型企业”。</w:t>
      </w:r>
      <w:bookmarkEnd w:id="6"/>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Hlt509739007"/>
      <w:bookmarkEnd w:id="7"/>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8"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9" w:name="_Toc23749_WPSOffice_Level2"/>
      <w:bookmarkStart w:id="10" w:name="_Toc15561_WPSOffice_Level2"/>
      <w:r>
        <w:rPr>
          <w:rFonts w:ascii="华文楷体" w:eastAsia="华文楷体" w:hAnsi="华文楷体" w:cs="仿宋_GB2312" w:hint="eastAsia"/>
          <w:szCs w:val="21"/>
        </w:rPr>
        <w:t>1.</w:t>
      </w:r>
      <w:bookmarkEnd w:id="9"/>
      <w:bookmarkEnd w:id="10"/>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1" w:name="_Toc22173_WPSOffice_Level2"/>
      <w:bookmarkStart w:id="12" w:name="_Toc405_WPSOffice_Level2"/>
      <w:r>
        <w:rPr>
          <w:rFonts w:ascii="华文楷体" w:eastAsia="华文楷体" w:hAnsi="华文楷体" w:cs="仿宋_GB2312" w:hint="eastAsia"/>
          <w:szCs w:val="21"/>
        </w:rPr>
        <w:t>2.</w:t>
      </w:r>
      <w:bookmarkEnd w:id="11"/>
      <w:bookmarkEnd w:id="12"/>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3" w:name="_Toc23482_WPSOffice_Level2"/>
      <w:bookmarkStart w:id="14" w:name="_Toc7084_WPSOffice_Level2"/>
      <w:r>
        <w:rPr>
          <w:rFonts w:ascii="华文楷体" w:eastAsia="华文楷体" w:hAnsi="华文楷体" w:cs="仿宋_GB2312" w:hint="eastAsia"/>
          <w:szCs w:val="21"/>
        </w:rPr>
        <w:t>3.</w:t>
      </w:r>
      <w:bookmarkEnd w:id="13"/>
      <w:bookmarkEnd w:id="14"/>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8"/>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4"/>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5"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6" w:name="_Ref462505472"/>
      <w:r>
        <w:rPr>
          <w:rFonts w:ascii="宋体" w:eastAsia="宋体" w:hAnsi="宋体" w:cs="Times New Roman" w:hint="eastAsia"/>
          <w:b/>
          <w:szCs w:val="21"/>
        </w:rPr>
        <w:t>2.18主要标的信息表</w:t>
      </w:r>
      <w:bookmarkEnd w:id="16"/>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5"/>
    </w:p>
    <w:bookmarkEnd w:id="3"/>
    <w:p w14:paraId="71D3B31F">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40C915F3">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0802C832">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5D180DC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6B04C5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D83E72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92CCEC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754BAA7C">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C1812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3D4E86E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69CC5A7">
            <w:pPr>
              <w:numPr>
                <w:ilvl w:val="0"/>
                <w:numId w:val="3"/>
              </w:numPr>
              <w:jc w:val="left"/>
              <w:rPr>
                <w:rFonts w:ascii="宋体" w:eastAsia="宋体" w:hAnsi="宋体" w:cs="Times New Roman"/>
                <w:sz w:val="18"/>
                <w:szCs w:val="18"/>
              </w:rPr>
            </w:pPr>
          </w:p>
        </w:tc>
        <w:tc>
          <w:tcPr>
            <w:tcW w:w="850" w:type="dxa"/>
            <w:gridSpan w:val="2"/>
            <w:vAlign w:val="center"/>
          </w:tcPr>
          <w:p w14:paraId="4D69A5E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E4564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50FE8F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A6ABA95">
            <w:pPr>
              <w:numPr>
                <w:ilvl w:val="0"/>
                <w:numId w:val="3"/>
              </w:numPr>
              <w:jc w:val="left"/>
              <w:rPr>
                <w:rFonts w:ascii="宋体" w:eastAsia="宋体" w:hAnsi="宋体" w:cs="Times New Roman"/>
                <w:sz w:val="18"/>
                <w:szCs w:val="18"/>
              </w:rPr>
            </w:pPr>
          </w:p>
        </w:tc>
        <w:tc>
          <w:tcPr>
            <w:tcW w:w="850" w:type="dxa"/>
            <w:gridSpan w:val="2"/>
            <w:vAlign w:val="center"/>
          </w:tcPr>
          <w:p w14:paraId="6C748C6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60590FE5">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37F1F9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136DE6">
            <w:pPr>
              <w:numPr>
                <w:ilvl w:val="0"/>
                <w:numId w:val="3"/>
              </w:numPr>
              <w:jc w:val="left"/>
              <w:rPr>
                <w:rFonts w:ascii="宋体" w:eastAsia="宋体" w:hAnsi="宋体" w:cs="Times New Roman"/>
                <w:sz w:val="18"/>
                <w:szCs w:val="18"/>
              </w:rPr>
            </w:pPr>
          </w:p>
        </w:tc>
        <w:tc>
          <w:tcPr>
            <w:tcW w:w="850" w:type="dxa"/>
            <w:gridSpan w:val="2"/>
            <w:vAlign w:val="center"/>
          </w:tcPr>
          <w:p w14:paraId="702CD9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71DB1F0">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D67CFF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7D263EF">
            <w:pPr>
              <w:numPr>
                <w:ilvl w:val="0"/>
                <w:numId w:val="3"/>
              </w:numPr>
              <w:jc w:val="left"/>
              <w:rPr>
                <w:rFonts w:ascii="宋体" w:eastAsia="宋体" w:hAnsi="宋体" w:cs="Times New Roman"/>
                <w:sz w:val="18"/>
                <w:szCs w:val="18"/>
              </w:rPr>
            </w:pPr>
          </w:p>
        </w:tc>
        <w:tc>
          <w:tcPr>
            <w:tcW w:w="850" w:type="dxa"/>
            <w:gridSpan w:val="2"/>
            <w:vAlign w:val="center"/>
          </w:tcPr>
          <w:p w14:paraId="1C343F2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4AA199DD">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2A597C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D591DC">
            <w:pPr>
              <w:numPr>
                <w:ilvl w:val="0"/>
                <w:numId w:val="3"/>
              </w:numPr>
              <w:jc w:val="left"/>
              <w:rPr>
                <w:rFonts w:ascii="宋体" w:eastAsia="宋体" w:hAnsi="宋体" w:cs="Times New Roman"/>
                <w:sz w:val="18"/>
                <w:szCs w:val="18"/>
              </w:rPr>
            </w:pPr>
          </w:p>
        </w:tc>
        <w:tc>
          <w:tcPr>
            <w:tcW w:w="850" w:type="dxa"/>
            <w:gridSpan w:val="2"/>
            <w:vAlign w:val="center"/>
          </w:tcPr>
          <w:p w14:paraId="3D1208B1">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46F1BB14">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6BDA4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28B972E">
            <w:pPr>
              <w:numPr>
                <w:ilvl w:val="0"/>
                <w:numId w:val="3"/>
              </w:numPr>
              <w:jc w:val="left"/>
              <w:rPr>
                <w:rFonts w:ascii="宋体" w:eastAsia="宋体" w:hAnsi="宋体" w:cs="Times New Roman"/>
                <w:sz w:val="18"/>
                <w:szCs w:val="18"/>
              </w:rPr>
            </w:pPr>
          </w:p>
        </w:tc>
        <w:tc>
          <w:tcPr>
            <w:tcW w:w="850" w:type="dxa"/>
            <w:gridSpan w:val="2"/>
            <w:vAlign w:val="center"/>
          </w:tcPr>
          <w:p w14:paraId="23DDDB26">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5DDDC009">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703AAC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8B6DA87">
            <w:pPr>
              <w:numPr>
                <w:ilvl w:val="0"/>
                <w:numId w:val="3"/>
              </w:numPr>
              <w:jc w:val="left"/>
              <w:rPr>
                <w:rFonts w:ascii="宋体" w:eastAsia="宋体" w:hAnsi="宋体" w:cs="Times New Roman"/>
                <w:sz w:val="18"/>
                <w:szCs w:val="18"/>
              </w:rPr>
            </w:pPr>
          </w:p>
        </w:tc>
        <w:tc>
          <w:tcPr>
            <w:tcW w:w="850" w:type="dxa"/>
            <w:gridSpan w:val="2"/>
            <w:vAlign w:val="center"/>
          </w:tcPr>
          <w:p w14:paraId="00EF3091">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5D5B6EB">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578022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6EA832C">
            <w:pPr>
              <w:numPr>
                <w:ilvl w:val="0"/>
                <w:numId w:val="3"/>
              </w:numPr>
              <w:jc w:val="left"/>
              <w:rPr>
                <w:rFonts w:ascii="宋体" w:eastAsia="宋体" w:hAnsi="宋体" w:cs="Times New Roman"/>
                <w:sz w:val="18"/>
                <w:szCs w:val="18"/>
              </w:rPr>
            </w:pPr>
          </w:p>
        </w:tc>
        <w:tc>
          <w:tcPr>
            <w:tcW w:w="850" w:type="dxa"/>
            <w:gridSpan w:val="2"/>
            <w:vAlign w:val="center"/>
          </w:tcPr>
          <w:p w14:paraId="69493E51">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7A497D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4F045D3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28FDA94">
            <w:pPr>
              <w:numPr>
                <w:ilvl w:val="0"/>
                <w:numId w:val="3"/>
              </w:numPr>
              <w:jc w:val="left"/>
              <w:rPr>
                <w:rFonts w:ascii="宋体" w:eastAsia="宋体" w:hAnsi="宋体" w:cs="Times New Roman"/>
                <w:sz w:val="18"/>
                <w:szCs w:val="18"/>
              </w:rPr>
            </w:pPr>
          </w:p>
        </w:tc>
        <w:tc>
          <w:tcPr>
            <w:tcW w:w="850" w:type="dxa"/>
            <w:gridSpan w:val="2"/>
            <w:vAlign w:val="center"/>
          </w:tcPr>
          <w:p w14:paraId="4987BAD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FA7AC7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E2B175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1876A0">
            <w:pPr>
              <w:numPr>
                <w:ilvl w:val="0"/>
                <w:numId w:val="3"/>
              </w:numPr>
              <w:jc w:val="left"/>
              <w:rPr>
                <w:rFonts w:ascii="宋体" w:eastAsia="宋体" w:hAnsi="宋体" w:cs="Times New Roman"/>
                <w:sz w:val="18"/>
                <w:szCs w:val="18"/>
              </w:rPr>
            </w:pPr>
          </w:p>
        </w:tc>
        <w:tc>
          <w:tcPr>
            <w:tcW w:w="850" w:type="dxa"/>
            <w:gridSpan w:val="2"/>
            <w:vAlign w:val="center"/>
          </w:tcPr>
          <w:p w14:paraId="0B0E2A9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647A79F2">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04219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CF6848">
            <w:pPr>
              <w:numPr>
                <w:ilvl w:val="0"/>
                <w:numId w:val="3"/>
              </w:numPr>
              <w:jc w:val="left"/>
              <w:rPr>
                <w:rFonts w:ascii="宋体" w:eastAsia="宋体" w:hAnsi="宋体" w:cs="Times New Roman"/>
                <w:sz w:val="18"/>
                <w:szCs w:val="18"/>
              </w:rPr>
            </w:pPr>
          </w:p>
        </w:tc>
        <w:tc>
          <w:tcPr>
            <w:tcW w:w="850" w:type="dxa"/>
            <w:gridSpan w:val="2"/>
            <w:vAlign w:val="center"/>
          </w:tcPr>
          <w:p w14:paraId="211FBAFD">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171EE404">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C486E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1F1E88">
            <w:pPr>
              <w:numPr>
                <w:ilvl w:val="0"/>
                <w:numId w:val="3"/>
              </w:numPr>
              <w:jc w:val="left"/>
              <w:rPr>
                <w:rFonts w:ascii="宋体" w:eastAsia="宋体" w:hAnsi="宋体" w:cs="Times New Roman"/>
                <w:sz w:val="18"/>
                <w:szCs w:val="18"/>
              </w:rPr>
            </w:pPr>
          </w:p>
        </w:tc>
        <w:tc>
          <w:tcPr>
            <w:tcW w:w="850" w:type="dxa"/>
            <w:gridSpan w:val="2"/>
            <w:vAlign w:val="center"/>
          </w:tcPr>
          <w:p w14:paraId="77CE4D54">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ECBC54E">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2AA8B7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61EBDC">
            <w:pPr>
              <w:numPr>
                <w:ilvl w:val="0"/>
                <w:numId w:val="3"/>
              </w:numPr>
              <w:jc w:val="left"/>
              <w:rPr>
                <w:rFonts w:ascii="宋体" w:eastAsia="宋体" w:hAnsi="宋体" w:cs="Times New Roman"/>
                <w:sz w:val="18"/>
                <w:szCs w:val="18"/>
              </w:rPr>
            </w:pPr>
          </w:p>
        </w:tc>
        <w:tc>
          <w:tcPr>
            <w:tcW w:w="850" w:type="dxa"/>
            <w:gridSpan w:val="2"/>
            <w:vAlign w:val="center"/>
          </w:tcPr>
          <w:p w14:paraId="7B949B96">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76798B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56D57AD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954C40E">
            <w:pPr>
              <w:numPr>
                <w:ilvl w:val="0"/>
                <w:numId w:val="3"/>
              </w:numPr>
              <w:jc w:val="left"/>
              <w:rPr>
                <w:rFonts w:ascii="宋体" w:eastAsia="宋体" w:hAnsi="宋体" w:cs="Times New Roman"/>
                <w:sz w:val="18"/>
                <w:szCs w:val="18"/>
              </w:rPr>
            </w:pPr>
          </w:p>
        </w:tc>
        <w:tc>
          <w:tcPr>
            <w:tcW w:w="850" w:type="dxa"/>
            <w:gridSpan w:val="2"/>
            <w:vAlign w:val="center"/>
          </w:tcPr>
          <w:p w14:paraId="4FF3A237">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6124C48F">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3D4AEA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FF163B">
            <w:pPr>
              <w:numPr>
                <w:ilvl w:val="0"/>
                <w:numId w:val="3"/>
              </w:numPr>
              <w:jc w:val="left"/>
              <w:rPr>
                <w:rFonts w:ascii="宋体" w:eastAsia="宋体" w:hAnsi="宋体" w:cs="Times New Roman"/>
                <w:sz w:val="18"/>
                <w:szCs w:val="18"/>
              </w:rPr>
            </w:pPr>
          </w:p>
        </w:tc>
        <w:tc>
          <w:tcPr>
            <w:tcW w:w="850" w:type="dxa"/>
            <w:gridSpan w:val="2"/>
            <w:vAlign w:val="center"/>
          </w:tcPr>
          <w:p w14:paraId="373BC51F">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6293BC8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3B73ED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FE1D77">
            <w:pPr>
              <w:numPr>
                <w:ilvl w:val="0"/>
                <w:numId w:val="3"/>
              </w:numPr>
              <w:jc w:val="left"/>
              <w:rPr>
                <w:rFonts w:ascii="宋体" w:eastAsia="宋体" w:hAnsi="宋体" w:cs="Times New Roman"/>
                <w:sz w:val="18"/>
                <w:szCs w:val="18"/>
              </w:rPr>
            </w:pPr>
          </w:p>
        </w:tc>
        <w:tc>
          <w:tcPr>
            <w:tcW w:w="850" w:type="dxa"/>
            <w:gridSpan w:val="2"/>
            <w:vAlign w:val="center"/>
          </w:tcPr>
          <w:p w14:paraId="1E14857B">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34E2A8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19969B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02606B7">
            <w:pPr>
              <w:numPr>
                <w:ilvl w:val="0"/>
                <w:numId w:val="3"/>
              </w:numPr>
              <w:jc w:val="left"/>
              <w:rPr>
                <w:rFonts w:ascii="宋体" w:eastAsia="宋体" w:hAnsi="宋体" w:cs="Times New Roman"/>
                <w:sz w:val="18"/>
                <w:szCs w:val="18"/>
              </w:rPr>
            </w:pPr>
          </w:p>
        </w:tc>
        <w:tc>
          <w:tcPr>
            <w:tcW w:w="850" w:type="dxa"/>
            <w:gridSpan w:val="2"/>
            <w:vAlign w:val="center"/>
          </w:tcPr>
          <w:p w14:paraId="5CC35775">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498484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526D6E2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7675CC">
            <w:pPr>
              <w:numPr>
                <w:ilvl w:val="0"/>
                <w:numId w:val="3"/>
              </w:numPr>
              <w:jc w:val="left"/>
              <w:rPr>
                <w:rFonts w:ascii="宋体" w:eastAsia="宋体" w:hAnsi="宋体" w:cs="Times New Roman"/>
                <w:sz w:val="18"/>
                <w:szCs w:val="18"/>
              </w:rPr>
            </w:pPr>
          </w:p>
        </w:tc>
        <w:tc>
          <w:tcPr>
            <w:tcW w:w="850" w:type="dxa"/>
            <w:gridSpan w:val="2"/>
            <w:vAlign w:val="center"/>
          </w:tcPr>
          <w:p w14:paraId="25A00860">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48A1B34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70B88F7F">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BA2C8A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7366E5E">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51DC1DF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0F6957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5CDC8C">
            <w:pPr>
              <w:numPr>
                <w:ilvl w:val="0"/>
                <w:numId w:val="3"/>
              </w:numPr>
              <w:jc w:val="left"/>
              <w:rPr>
                <w:rFonts w:ascii="宋体" w:eastAsia="宋体" w:hAnsi="宋体" w:cs="Times New Roman"/>
                <w:sz w:val="18"/>
                <w:szCs w:val="18"/>
              </w:rPr>
            </w:pPr>
          </w:p>
        </w:tc>
        <w:tc>
          <w:tcPr>
            <w:tcW w:w="850" w:type="dxa"/>
            <w:gridSpan w:val="2"/>
            <w:vAlign w:val="center"/>
          </w:tcPr>
          <w:p w14:paraId="75A90D0C">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237B5E53">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7DE5E64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1E4A09D">
            <w:pPr>
              <w:numPr>
                <w:ilvl w:val="0"/>
                <w:numId w:val="3"/>
              </w:numPr>
              <w:jc w:val="left"/>
              <w:rPr>
                <w:rFonts w:ascii="宋体" w:eastAsia="宋体" w:hAnsi="宋体" w:cs="Times New Roman"/>
                <w:sz w:val="18"/>
                <w:szCs w:val="18"/>
              </w:rPr>
            </w:pPr>
          </w:p>
        </w:tc>
        <w:tc>
          <w:tcPr>
            <w:tcW w:w="850" w:type="dxa"/>
            <w:gridSpan w:val="2"/>
            <w:vAlign w:val="center"/>
          </w:tcPr>
          <w:p w14:paraId="4A59656E">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1F0A97D">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77CA7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1A18D64">
            <w:pPr>
              <w:numPr>
                <w:ilvl w:val="0"/>
                <w:numId w:val="3"/>
              </w:numPr>
              <w:jc w:val="left"/>
              <w:rPr>
                <w:rFonts w:ascii="宋体" w:eastAsia="宋体" w:hAnsi="宋体" w:cs="Times New Roman"/>
                <w:sz w:val="18"/>
                <w:szCs w:val="18"/>
              </w:rPr>
            </w:pPr>
          </w:p>
        </w:tc>
        <w:tc>
          <w:tcPr>
            <w:tcW w:w="850" w:type="dxa"/>
            <w:gridSpan w:val="2"/>
            <w:vAlign w:val="center"/>
          </w:tcPr>
          <w:p w14:paraId="1F54C372">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331FC5E">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3BA0807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1F0DC6">
            <w:pPr>
              <w:numPr>
                <w:ilvl w:val="0"/>
                <w:numId w:val="3"/>
              </w:numPr>
              <w:jc w:val="left"/>
              <w:rPr>
                <w:rFonts w:ascii="宋体" w:eastAsia="宋体" w:hAnsi="宋体" w:cs="Times New Roman"/>
                <w:sz w:val="18"/>
                <w:szCs w:val="18"/>
              </w:rPr>
            </w:pPr>
          </w:p>
        </w:tc>
        <w:tc>
          <w:tcPr>
            <w:tcW w:w="850" w:type="dxa"/>
            <w:gridSpan w:val="2"/>
            <w:vAlign w:val="center"/>
          </w:tcPr>
          <w:p w14:paraId="3F8047B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E16567E">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57ACFC9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38B7DE">
            <w:pPr>
              <w:numPr>
                <w:ilvl w:val="0"/>
                <w:numId w:val="3"/>
              </w:numPr>
              <w:jc w:val="left"/>
              <w:rPr>
                <w:rFonts w:ascii="宋体" w:eastAsia="宋体" w:hAnsi="宋体" w:cs="Times New Roman"/>
                <w:sz w:val="18"/>
                <w:szCs w:val="18"/>
              </w:rPr>
            </w:pPr>
          </w:p>
        </w:tc>
        <w:tc>
          <w:tcPr>
            <w:tcW w:w="850" w:type="dxa"/>
            <w:gridSpan w:val="2"/>
            <w:vAlign w:val="center"/>
          </w:tcPr>
          <w:p w14:paraId="3AB74A20">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4A6F951">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3026FCB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4E928F9">
            <w:pPr>
              <w:numPr>
                <w:ilvl w:val="0"/>
                <w:numId w:val="3"/>
              </w:numPr>
              <w:jc w:val="left"/>
              <w:rPr>
                <w:rFonts w:ascii="宋体" w:eastAsia="宋体" w:hAnsi="宋体" w:cs="Times New Roman"/>
                <w:sz w:val="18"/>
                <w:szCs w:val="18"/>
              </w:rPr>
            </w:pPr>
          </w:p>
        </w:tc>
        <w:tc>
          <w:tcPr>
            <w:tcW w:w="850" w:type="dxa"/>
            <w:gridSpan w:val="2"/>
            <w:vAlign w:val="center"/>
          </w:tcPr>
          <w:p w14:paraId="0FD3BBC0">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E0E7334">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5749261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86155B">
            <w:pPr>
              <w:numPr>
                <w:ilvl w:val="0"/>
                <w:numId w:val="3"/>
              </w:numPr>
              <w:jc w:val="left"/>
              <w:rPr>
                <w:rFonts w:ascii="宋体" w:eastAsia="宋体" w:hAnsi="宋体" w:cs="Times New Roman"/>
                <w:sz w:val="18"/>
                <w:szCs w:val="18"/>
              </w:rPr>
            </w:pPr>
          </w:p>
        </w:tc>
        <w:tc>
          <w:tcPr>
            <w:tcW w:w="850" w:type="dxa"/>
            <w:gridSpan w:val="2"/>
            <w:vAlign w:val="center"/>
          </w:tcPr>
          <w:p w14:paraId="0B3A9E09">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286BC00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4C4F6E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12F8920">
            <w:pPr>
              <w:numPr>
                <w:ilvl w:val="0"/>
                <w:numId w:val="3"/>
              </w:numPr>
              <w:jc w:val="left"/>
              <w:rPr>
                <w:rFonts w:ascii="宋体" w:eastAsia="宋体" w:hAnsi="宋体" w:cs="Times New Roman"/>
                <w:sz w:val="18"/>
                <w:szCs w:val="18"/>
              </w:rPr>
            </w:pPr>
          </w:p>
        </w:tc>
        <w:tc>
          <w:tcPr>
            <w:tcW w:w="850" w:type="dxa"/>
            <w:gridSpan w:val="2"/>
            <w:vAlign w:val="center"/>
          </w:tcPr>
          <w:p w14:paraId="755CE63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A998DB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313A8A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08EE0">
            <w:pPr>
              <w:numPr>
                <w:ilvl w:val="0"/>
                <w:numId w:val="3"/>
              </w:numPr>
              <w:jc w:val="left"/>
              <w:rPr>
                <w:rFonts w:ascii="宋体" w:eastAsia="宋体" w:hAnsi="宋体" w:cs="Times New Roman"/>
                <w:sz w:val="18"/>
                <w:szCs w:val="18"/>
              </w:rPr>
            </w:pPr>
          </w:p>
        </w:tc>
        <w:tc>
          <w:tcPr>
            <w:tcW w:w="850" w:type="dxa"/>
            <w:gridSpan w:val="2"/>
            <w:vAlign w:val="center"/>
          </w:tcPr>
          <w:p w14:paraId="33A15FD9">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170525EB">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22CB2F7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52AE910">
            <w:pPr>
              <w:numPr>
                <w:ilvl w:val="0"/>
                <w:numId w:val="3"/>
              </w:numPr>
              <w:jc w:val="left"/>
              <w:rPr>
                <w:rFonts w:ascii="宋体" w:eastAsia="宋体" w:hAnsi="宋体" w:cs="Times New Roman"/>
                <w:sz w:val="18"/>
                <w:szCs w:val="18"/>
              </w:rPr>
            </w:pPr>
          </w:p>
        </w:tc>
        <w:tc>
          <w:tcPr>
            <w:tcW w:w="850" w:type="dxa"/>
            <w:gridSpan w:val="2"/>
            <w:vAlign w:val="center"/>
          </w:tcPr>
          <w:p w14:paraId="036FF9AC">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2AFE67DB">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185A25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971D7E6">
            <w:pPr>
              <w:numPr>
                <w:ilvl w:val="0"/>
                <w:numId w:val="3"/>
              </w:numPr>
              <w:jc w:val="left"/>
              <w:rPr>
                <w:rFonts w:ascii="宋体" w:eastAsia="宋体" w:hAnsi="宋体" w:cs="Times New Roman"/>
                <w:sz w:val="18"/>
                <w:szCs w:val="18"/>
              </w:rPr>
            </w:pPr>
          </w:p>
        </w:tc>
        <w:tc>
          <w:tcPr>
            <w:tcW w:w="850" w:type="dxa"/>
            <w:gridSpan w:val="2"/>
            <w:vAlign w:val="center"/>
          </w:tcPr>
          <w:p w14:paraId="10267991">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77C96185">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6DF87AD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07C1BA">
            <w:pPr>
              <w:numPr>
                <w:ilvl w:val="0"/>
                <w:numId w:val="3"/>
              </w:numPr>
              <w:jc w:val="left"/>
              <w:rPr>
                <w:rFonts w:ascii="宋体" w:eastAsia="宋体" w:hAnsi="宋体" w:cs="Times New Roman"/>
                <w:sz w:val="18"/>
                <w:szCs w:val="18"/>
              </w:rPr>
            </w:pPr>
          </w:p>
        </w:tc>
        <w:tc>
          <w:tcPr>
            <w:tcW w:w="850" w:type="dxa"/>
            <w:gridSpan w:val="2"/>
            <w:vAlign w:val="center"/>
          </w:tcPr>
          <w:p w14:paraId="4E647D17">
            <w:pPr>
              <w:rPr>
                <w:rFonts w:ascii="宋体" w:eastAsia="宋体" w:hAnsi="宋体" w:cs="Times New Roman"/>
                <w:sz w:val="18"/>
                <w:szCs w:val="18"/>
              </w:rPr>
            </w:pPr>
            <w:r>
              <w:rPr>
                <w:rFonts w:ascii="宋体" w:eastAsia="宋体" w:hAnsi="宋体" w:cs="Times New Roman" w:hint="eastAsia"/>
                <w:sz w:val="18"/>
                <w:szCs w:val="18"/>
              </w:rPr>
              <w:t>1.27.2</w:t>
            </w:r>
          </w:p>
        </w:tc>
        <w:tc>
          <w:tcPr>
            <w:tcW w:w="7723" w:type="dxa"/>
            <w:vAlign w:val="center"/>
          </w:tcPr>
          <w:p w14:paraId="798FC5AD">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如谈判小组一致认为某个响应人的报价与各响应人报价的平均报价价差较大，存在明显不合理，有低于成本价或降低质量、不能诚信履行的可能，影响公平竞争时，谈判小组有权决定是否通知响应人限期进行书面解释或提供相关证明材料。若已要求，而该响应人在规定期限内未做出解释、作出的解释不合理或不能提供证明材料的，谈判小组可拒绝该响应</w:t>
            </w:r>
            <w:r>
              <w:rPr>
                <w:rFonts w:asciiTheme="minorEastAsia" w:hAnsiTheme="minorEastAsia" w:cs="微软雅黑" w:hint="eastAsia"/>
                <w:kern w:val="20"/>
                <w:sz w:val="18"/>
                <w:szCs w:val="18"/>
                <w:lang w:val="zh-CN"/>
              </w:rPr>
              <w:t>。</w:t>
            </w:r>
          </w:p>
        </w:tc>
      </w:tr>
      <w:tr w14:paraId="2952CCE9">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70AFA537">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094D73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6EFB9C6C">
            <w:pPr>
              <w:numPr>
                <w:ilvl w:val="0"/>
                <w:numId w:val="3"/>
              </w:numPr>
              <w:jc w:val="left"/>
              <w:rPr>
                <w:rFonts w:ascii="宋体" w:eastAsia="宋体" w:hAnsi="宋体" w:cs="Times New Roman"/>
                <w:sz w:val="18"/>
                <w:szCs w:val="18"/>
              </w:rPr>
            </w:pPr>
          </w:p>
        </w:tc>
        <w:tc>
          <w:tcPr>
            <w:tcW w:w="850" w:type="dxa"/>
            <w:gridSpan w:val="2"/>
            <w:vAlign w:val="center"/>
          </w:tcPr>
          <w:p w14:paraId="1B7E94C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3F48A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F7D965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D4885AE">
            <w:pPr>
              <w:numPr>
                <w:ilvl w:val="0"/>
                <w:numId w:val="3"/>
              </w:numPr>
              <w:jc w:val="left"/>
              <w:rPr>
                <w:rFonts w:ascii="宋体" w:eastAsia="宋体" w:hAnsi="宋体" w:cs="Times New Roman"/>
                <w:sz w:val="18"/>
                <w:szCs w:val="18"/>
              </w:rPr>
            </w:pPr>
          </w:p>
        </w:tc>
        <w:tc>
          <w:tcPr>
            <w:tcW w:w="850" w:type="dxa"/>
            <w:gridSpan w:val="2"/>
            <w:vAlign w:val="center"/>
          </w:tcPr>
          <w:p w14:paraId="54541F8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10E3C8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DC233FE">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0D417B5">
            <w:pPr>
              <w:numPr>
                <w:ilvl w:val="0"/>
                <w:numId w:val="3"/>
              </w:numPr>
              <w:jc w:val="left"/>
              <w:rPr>
                <w:rFonts w:ascii="宋体" w:eastAsia="宋体" w:hAnsi="宋体" w:cs="Times New Roman"/>
                <w:sz w:val="18"/>
                <w:szCs w:val="18"/>
              </w:rPr>
            </w:pPr>
          </w:p>
        </w:tc>
        <w:tc>
          <w:tcPr>
            <w:tcW w:w="850" w:type="dxa"/>
            <w:gridSpan w:val="2"/>
            <w:vAlign w:val="center"/>
          </w:tcPr>
          <w:p w14:paraId="68FB2518">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4483868">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49195B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CD35CBE">
            <w:pPr>
              <w:numPr>
                <w:ilvl w:val="0"/>
                <w:numId w:val="3"/>
              </w:numPr>
              <w:jc w:val="left"/>
              <w:rPr>
                <w:rFonts w:ascii="宋体" w:eastAsia="宋体" w:hAnsi="宋体" w:cs="Times New Roman"/>
                <w:sz w:val="18"/>
                <w:szCs w:val="18"/>
              </w:rPr>
            </w:pPr>
          </w:p>
        </w:tc>
        <w:tc>
          <w:tcPr>
            <w:tcW w:w="850" w:type="dxa"/>
            <w:gridSpan w:val="2"/>
            <w:vAlign w:val="center"/>
          </w:tcPr>
          <w:p w14:paraId="43C2C97B">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5539C434">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AE9B92F">
      <w:pPr>
        <w:spacing w:line="360" w:lineRule="auto"/>
        <w:jc w:val="left"/>
        <w:rPr>
          <w:rFonts w:ascii="Times New Roman" w:eastAsia="宋体" w:hAnsi="Times New Roman" w:cs="Times New Roman"/>
          <w:b/>
          <w:bCs/>
          <w:sz w:val="44"/>
          <w:szCs w:val="44"/>
        </w:rPr>
      </w:pPr>
    </w:p>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7" w:name="采购人_recorderOrgName"/>
      <w:r>
        <w:rPr>
          <w:rFonts w:ascii="宋体" w:hAnsi="宋体" w:cs="微软雅黑"/>
          <w:b/>
          <w:color w:val="0000FF"/>
          <w:kern w:val="0"/>
          <w:szCs w:val="21"/>
        </w:rPr>
        <w:t>青海省人工影响天气中心</w:t>
      </w:r>
      <w:bookmarkEnd w:id="17"/>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8" w:name="项目名称_taskName"/>
      <w:r>
        <w:rPr>
          <w:rFonts w:ascii="宋体" w:hAnsi="宋体" w:cs="微软雅黑"/>
          <w:b/>
          <w:color w:val="0000FF"/>
          <w:kern w:val="0"/>
          <w:szCs w:val="21"/>
        </w:rPr>
        <w:t>三江源大型无人机生态补水人工增雨（雪）作业试验效果评估</w:t>
      </w:r>
      <w:bookmarkEnd w:id="18"/>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9" w:name="封面_projectNo_2"/>
      <w:r>
        <w:rPr>
          <w:rFonts w:ascii="宋体" w:hAnsi="宋体" w:cs="微软雅黑" w:hint="eastAsia"/>
          <w:b/>
          <w:color w:val="0000FF"/>
          <w:kern w:val="0"/>
          <w:szCs w:val="21"/>
        </w:rPr>
        <w:t>ZQCD-25451</w:t>
      </w:r>
      <w:bookmarkEnd w:id="19"/>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0" w:name="包数量_packageCount"/>
      <w:r>
        <w:rPr>
          <w:rFonts w:ascii="宋体" w:hAnsi="宋体" w:cs="微软雅黑" w:hint="eastAsia"/>
          <w:color w:val="0000FF"/>
          <w:kern w:val="0"/>
          <w:szCs w:val="21"/>
        </w:rPr>
        <w:t>1</w:t>
      </w:r>
      <w:bookmarkEnd w:id="20"/>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bookmarkStart w:id="21" w:name="_GoBack"/>
      <w:bookmarkEnd w:id="21"/>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2" w:name="合同履约期限_contractPerformancePeriod"/>
      <w:r>
        <w:rPr>
          <w:rFonts w:ascii="宋体" w:eastAsia="宋体" w:hAnsi="宋体" w:cs="微软雅黑" w:hint="eastAsia"/>
          <w:b/>
          <w:color w:val="0000FF"/>
          <w:kern w:val="0"/>
          <w:szCs w:val="21"/>
        </w:rPr>
        <w:t>合同签订后25天内</w:t>
      </w:r>
      <w:bookmarkEnd w:id="22"/>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3" w:name="合同履约期限_performanceAddress"/>
      <w:r>
        <w:rPr>
          <w:rFonts w:ascii="宋体" w:hAnsi="宋体" w:cs="微软雅黑" w:hint="eastAsia"/>
          <w:b/>
          <w:color w:val="0000FF"/>
          <w:kern w:val="0"/>
          <w:szCs w:val="21"/>
        </w:rPr>
        <w:t>青海省西宁市城西区五四大街19号</w:t>
      </w:r>
      <w:bookmarkEnd w:id="23"/>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4" w:name="项目公告_signUpFirstTime"/>
      <w:r>
        <w:rPr>
          <w:rFonts w:ascii="宋体" w:hint="eastAsia"/>
          <w:szCs w:val="21"/>
          <w:highlight w:val="none"/>
        </w:rPr>
        <w:t>2025年12月04日 00:00:00</w:t>
      </w:r>
      <w:bookmarkEnd w:id="24"/>
      <w:r>
        <w:rPr>
          <w:rFonts w:ascii="宋体" w:hint="eastAsia"/>
          <w:szCs w:val="21"/>
          <w:highlight w:val="none"/>
        </w:rPr>
        <w:t>至</w:t>
      </w:r>
      <w:bookmarkStart w:id="25" w:name="项目公告_signUpLastTime"/>
      <w:r>
        <w:rPr>
          <w:rFonts w:ascii="宋体" w:hint="eastAsia"/>
          <w:szCs w:val="21"/>
          <w:highlight w:val="none"/>
        </w:rPr>
        <w:t>2025年12月10日 23:59:59</w:t>
      </w:r>
      <w:bookmarkEnd w:id="25"/>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eastAsia="宋体" w:hAnsi="Times New Roman" w:cs="Times New Roman" w:hint="eastAsia"/>
          <w:szCs w:val="21"/>
          <w:highlight w:val="none"/>
        </w:rPr>
        <w:t>时</w:t>
      </w:r>
      <w:r>
        <w:rPr>
          <w:rFonts w:ascii="宋体" w:hint="eastAsia"/>
          <w:szCs w:val="21"/>
          <w:highlight w:val="none"/>
        </w:rPr>
        <w:t>间：</w:t>
      </w:r>
      <w:bookmarkStart w:id="26" w:name="项目公告_openBidTime"/>
      <w:r>
        <w:rPr>
          <w:rFonts w:asciiTheme="minorEastAsia" w:eastAsiaTheme="minorEastAsia" w:hAnsiTheme="minorEastAsia" w:hint="eastAsia"/>
          <w:bCs/>
          <w:szCs w:val="21"/>
          <w:highlight w:val="none"/>
        </w:rPr>
        <w:t>2025年12月10日 14:30:00</w:t>
      </w:r>
      <w:bookmarkEnd w:id="26"/>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27" w:name="开标地点_openArddress"/>
      <w:r>
        <w:rPr>
          <w:rFonts w:ascii="宋体" w:hAnsi="宋体" w:hint="eastAsia"/>
          <w:b/>
          <w:szCs w:val="21"/>
          <w:highlight w:val="none"/>
          <w:u w:val="single"/>
        </w:rPr>
        <w:t>北京市海淀区中关村南大街46号中国气象局北区8号楼发展规划院404会议室，请供应商代表到场。</w:t>
      </w:r>
      <w:bookmarkEnd w:id="27"/>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8" w:name="contactName"/>
      <w:r>
        <w:rPr>
          <w:rFonts w:ascii="宋体" w:hAnsi="宋体" w:cs="微软雅黑"/>
          <w:b/>
          <w:color w:val="0000FF"/>
          <w:kern w:val="0"/>
          <w:szCs w:val="21"/>
        </w:rPr>
        <w:t>刘亚明</w:t>
      </w:r>
      <w:bookmarkEnd w:id="28"/>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9" w:name="contactPhone"/>
      <w:r>
        <w:rPr>
          <w:rFonts w:ascii="宋体" w:hAnsi="宋体" w:cs="微软雅黑"/>
          <w:b/>
          <w:color w:val="0000FF"/>
          <w:kern w:val="0"/>
          <w:szCs w:val="21"/>
        </w:rPr>
        <w:t>010-68400081</w:t>
      </w:r>
      <w:bookmarkEnd w:id="29"/>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0" w:name="采购人1_recorderOrgName"/>
      <w:r>
        <w:rPr>
          <w:rFonts w:ascii="宋体" w:hAnsi="宋体" w:cs="微软雅黑"/>
          <w:b/>
          <w:color w:val="0000FF"/>
          <w:kern w:val="0"/>
          <w:szCs w:val="21"/>
        </w:rPr>
        <w:t>青海省人工影响天气中心</w:t>
      </w:r>
      <w:bookmarkEnd w:id="30"/>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1" w:name="采购项目负责人_contactsName"/>
      <w:r>
        <w:rPr>
          <w:rFonts w:ascii="宋体" w:hAnsi="宋体" w:cs="微软雅黑"/>
          <w:b/>
          <w:color w:val="0000FF"/>
          <w:kern w:val="0"/>
          <w:szCs w:val="21"/>
        </w:rPr>
        <w:t>张博越</w:t>
      </w:r>
      <w:bookmarkEnd w:id="31"/>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2" w:name="采购项目负责人办公电话_contactsTel"/>
      <w:r>
        <w:rPr>
          <w:rFonts w:ascii="宋体" w:hAnsi="宋体" w:cs="微软雅黑"/>
          <w:b/>
          <w:color w:val="0000FF"/>
          <w:kern w:val="0"/>
          <w:szCs w:val="21"/>
        </w:rPr>
        <w:t>0971-6114398</w:t>
      </w:r>
      <w:bookmarkEnd w:id="32"/>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3" w:name="采购单位所在地址_recorderOrgAddress"/>
      <w:r>
        <w:rPr>
          <w:rFonts w:ascii="宋体" w:hAnsi="宋体" w:cs="微软雅黑"/>
          <w:b/>
          <w:color w:val="0000FF"/>
          <w:kern w:val="0"/>
          <w:szCs w:val="21"/>
        </w:rPr>
        <w:t>青海省西宁市城西区五四大街19号</w:t>
      </w:r>
      <w:bookmarkEnd w:id="33"/>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4" w:name="技术电话_technicalSupportPhoneNumber"/>
      <w:r>
        <w:rPr>
          <w:rFonts w:ascii="宋体" w:hAnsi="宋体" w:cs="宋体" w:hint="eastAsia"/>
          <w:szCs w:val="21"/>
        </w:rPr>
        <w:t>010-68406701</w:t>
      </w:r>
      <w:bookmarkEnd w:id="34"/>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5"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6" w:name="采购人1_recorderOrgName_0"/>
            <w:r>
              <w:rPr>
                <w:rFonts w:ascii="宋体" w:eastAsia="宋体" w:hAnsi="宋体" w:cs="微软雅黑" w:hint="eastAsia"/>
                <w:kern w:val="0"/>
                <w:szCs w:val="21"/>
              </w:rPr>
              <w:t>青海省人工影响天气中心</w:t>
            </w:r>
            <w:bookmarkEnd w:id="36"/>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7" w:name="资_bidderQualificationValidBeyondDeadline"/>
            <w:r>
              <w:rPr>
                <w:rFonts w:ascii="宋体" w:eastAsia="宋体" w:hAnsi="宋体" w:cs="微软雅黑" w:hint="eastAsia"/>
                <w:kern w:val="0"/>
                <w:szCs w:val="21"/>
              </w:rPr>
              <w:t>无</w:t>
            </w:r>
            <w:bookmarkEnd w:id="37"/>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38" w:name="联合体投标_jointFlagText"/>
            <w:r>
              <w:rPr>
                <w:rFonts w:ascii="宋体" w:eastAsia="宋体" w:hAnsi="宋体" w:cs="微软雅黑" w:hint="eastAsia"/>
                <w:kern w:val="0"/>
                <w:szCs w:val="21"/>
                <w:highlight w:val="none"/>
              </w:rPr>
              <w:t>不允许</w:t>
            </w:r>
            <w:bookmarkEnd w:id="38"/>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39" w:name="服务团队_isMakeSpecializedServiceFlagText"/>
            <w:r>
              <w:rPr>
                <w:rFonts w:ascii="宋体" w:eastAsia="宋体" w:hAnsi="宋体" w:cs="微软雅黑" w:hint="eastAsia"/>
                <w:kern w:val="0"/>
                <w:szCs w:val="21"/>
              </w:rPr>
              <w:t>需要，组成不少于 4 人的服务团队，具体要求详见第六章采购需求。</w:t>
            </w:r>
            <w:bookmarkEnd w:id="39"/>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0" w:name="驻场服务_residentServiceFlagText"/>
            <w:r>
              <w:rPr>
                <w:rFonts w:ascii="宋体" w:eastAsia="宋体" w:hAnsi="宋体" w:cs="微软雅黑" w:hint="eastAsia"/>
                <w:kern w:val="0"/>
                <w:szCs w:val="21"/>
              </w:rPr>
              <w:t>否</w:t>
            </w:r>
            <w:bookmarkEnd w:id="40"/>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1" w:name="选择是否为货物_includingGoodsFlagText"/>
            <w:r>
              <w:rPr>
                <w:rFonts w:ascii="宋体" w:eastAsia="宋体" w:hAnsi="宋体" w:cs="Times New Roman" w:hint="eastAsia"/>
                <w:bCs/>
                <w:szCs w:val="21"/>
                <w:highlight w:val="none"/>
              </w:rPr>
              <w:t>否</w:t>
            </w:r>
            <w:bookmarkEnd w:id="41"/>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2" w:name="进口产品_agentMaterials"/>
            <w:bookmarkEnd w:id="42"/>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5.8</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3" w:name="行业_smeIndustryClassification"/>
            <w:r>
              <w:rPr>
                <w:rFonts w:ascii="宋体" w:hAnsi="宋体" w:cs="微软雅黑" w:hint="eastAsia"/>
                <w:kern w:val="0"/>
                <w:szCs w:val="21"/>
                <w:highlight w:val="none"/>
              </w:rPr>
              <w:t>（1）标的：三江源大型无人机 生态补水人工增雨（雪）作业试验 效果评估，属于其他行业中的科研及技术服务行业；</w:t>
            </w:r>
            <w:bookmarkEnd w:id="43"/>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4" w:name="中小企业_minorEnterprisesFlagText"/>
            <w:r>
              <w:rPr>
                <w:rFonts w:ascii="Wingdings 2" w:hAnsi="Wingdings 2" w:cs="微软雅黑" w:hint="eastAsia"/>
                <w:kern w:val="0"/>
                <w:szCs w:val="21"/>
                <w:lang w:eastAsia="zh-CN"/>
              </w:rPr>
              <w:t>否</w:t>
            </w:r>
            <w:bookmarkEnd w:id="44"/>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5" w:name="中标服务费_finalAmountText"/>
            <w:r>
              <w:rPr>
                <w:rFonts w:hint="eastAsia"/>
                <w:lang w:eastAsia="zh-CN"/>
              </w:rPr>
              <w:t>是，中标服务费：0.8万元。</w:t>
            </w:r>
            <w:bookmarkEnd w:id="45"/>
          </w:p>
        </w:tc>
      </w:tr>
      <w:tr w14:paraId="3921813A">
        <w:tblPrEx>
          <w:tblW w:w="9003" w:type="dxa"/>
          <w:tblInd w:w="0" w:type="dxa"/>
          <w:tblLayout w:type="fixed"/>
          <w:tblCellMar>
            <w:top w:w="0" w:type="dxa"/>
            <w:left w:w="108" w:type="dxa"/>
            <w:bottom w:w="0" w:type="dxa"/>
            <w:right w:w="108" w:type="dxa"/>
          </w:tblCellMar>
        </w:tblPrEx>
        <w:tc>
          <w:tcPr>
            <w:tcW w:w="675" w:type="dxa"/>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6" w:name="答疑会_answeringQuestionFlagText"/>
            <w:r>
              <w:rPr>
                <w:rFonts w:ascii="宋体" w:hAnsi="宋体" w:cs="微软雅黑" w:hint="eastAsia"/>
                <w:kern w:val="0"/>
                <w:szCs w:val="21"/>
              </w:rPr>
              <w:t>否</w:t>
            </w:r>
            <w:bookmarkEnd w:id="46"/>
          </w:p>
        </w:tc>
      </w:tr>
      <w:tr w14:paraId="2251D45E">
        <w:tblPrEx>
          <w:tblW w:w="9003" w:type="dxa"/>
          <w:tblInd w:w="0" w:type="dxa"/>
          <w:tblLayout w:type="fixed"/>
          <w:tblCellMar>
            <w:top w:w="0" w:type="dxa"/>
            <w:left w:w="108" w:type="dxa"/>
            <w:bottom w:w="0" w:type="dxa"/>
            <w:right w:w="108" w:type="dxa"/>
          </w:tblCellMar>
        </w:tblPrEx>
        <w:tc>
          <w:tcPr>
            <w:tcW w:w="675" w:type="dxa"/>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47" w:name="标保证金_bailFlagText"/>
            <w:r>
              <w:rPr>
                <w:rFonts w:asciiTheme="minorEastAsia" w:eastAsiaTheme="minorEastAsia" w:hAnsiTheme="minorEastAsia" w:cstheme="minorEastAsia" w:hint="eastAsia"/>
                <w:kern w:val="0"/>
                <w:szCs w:val="21"/>
              </w:rPr>
              <w:t>否</w:t>
            </w:r>
            <w:bookmarkEnd w:id="47"/>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8" w:name="预算金额_budgetAmount"/>
            <w:r>
              <w:rPr>
                <w:rFonts w:ascii="宋体" w:eastAsia="宋体" w:hAnsi="宋体" w:cs="微软雅黑" w:hint="eastAsia"/>
                <w:kern w:val="0"/>
                <w:szCs w:val="21"/>
              </w:rPr>
              <w:t>30.000000</w:t>
            </w:r>
            <w:bookmarkEnd w:id="48"/>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9" w:name="预算明细_packMoneyDetail"/>
            <w:r>
              <w:rPr>
                <w:rFonts w:hint="eastAsia"/>
                <w:szCs w:val="21"/>
                <w:highlight w:val="none"/>
              </w:rPr>
              <w:t>,包 1 采购预算(或最高限价)为人民币 30.000000 万元</w:t>
            </w:r>
            <w:bookmarkEnd w:id="49"/>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0" w:name="关键性工作_entrustingOthersFlagText"/>
            <w:r>
              <w:rPr>
                <w:rFonts w:ascii="Wingdings 2" w:hAnsi="Wingdings 2" w:cs="微软雅黑"/>
                <w:kern w:val="0"/>
                <w:szCs w:val="21"/>
              </w:rPr>
              <w:t>不允许</w:t>
            </w:r>
            <w:bookmarkEnd w:id="50"/>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1" w:name="投标有效期_bidExpirationDate"/>
            <w:r>
              <w:rPr>
                <w:rFonts w:hint="eastAsia"/>
                <w:szCs w:val="21"/>
              </w:rPr>
              <w:t>120日历天</w:t>
            </w:r>
            <w:bookmarkEnd w:id="51"/>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2" w:name="其他事项_ottherReemarks"/>
            <w:r>
              <w:rPr>
                <w:rFonts w:ascii="宋体" w:eastAsia="宋体" w:hAnsi="宋体" w:cs="微软雅黑" w:hint="eastAsia"/>
                <w:kern w:val="0"/>
                <w:szCs w:val="21"/>
              </w:rPr>
              <w:t>投标人应具备开展人影效果评估所需的专业技术能力，包括：1.了解人影的科学原理、催化技术和业务流程；2.熟练掌握主流的效果检验方法；3.具备气象观测资料处理、分析和相关产品制作的能力；4.具备严谨的科学分析、数据处理和报告撰写能力。</w:t>
            </w:r>
            <w:bookmarkEnd w:id="52"/>
          </w:p>
        </w:tc>
      </w:tr>
    </w:tbl>
    <w:p w14:paraId="37CA6C43"/>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5"/>
    </w:p>
    <w:p w14:paraId="1E85D960">
      <w:pPr>
        <w:pageBreakBefore w:val="0"/>
        <w:widowControl w:val="0"/>
        <w:kinsoku/>
        <w:wordWrap/>
        <w:overflowPunct/>
        <w:topLinePunct w:val="0"/>
        <w:bidi w:val="0"/>
        <w:adjustRightInd/>
        <w:spacing w:before="156" w:beforeLines="50" w:line="500" w:lineRule="exact"/>
        <w:jc w:val="center"/>
        <w:textAlignment w:val="auto"/>
        <w:outlineLvl w:val="1"/>
        <w:rPr>
          <w:rFonts w:ascii="宋体" w:eastAsia="宋体" w:hAnsi="宋体" w:cs="Times New Roman"/>
          <w:b/>
          <w:sz w:val="30"/>
          <w:szCs w:val="30"/>
        </w:rPr>
      </w:pPr>
      <w:bookmarkStart w:id="53" w:name="插入_采购需求书"/>
      <w:r>
        <w:rPr>
          <w:rFonts w:ascii="宋体" w:eastAsia="宋体" w:hAnsi="宋体" w:cs="Times New Roman" w:hint="eastAsia"/>
          <w:b/>
          <w:sz w:val="30"/>
          <w:szCs w:val="30"/>
        </w:rPr>
        <w:t>第六章  采购需求</w:t>
      </w:r>
    </w:p>
    <w:p w14:paraId="561E5298">
      <w:pPr>
        <w:pageBreakBefore w:val="0"/>
        <w:widowControl w:val="0"/>
        <w:kinsoku/>
        <w:wordWrap/>
        <w:overflowPunct/>
        <w:topLinePunct w:val="0"/>
        <w:bidi w:val="0"/>
        <w:adjustRightInd/>
        <w:spacing w:line="500" w:lineRule="exact"/>
        <w:jc w:val="left"/>
        <w:textAlignment w:val="auto"/>
        <w:rPr>
          <w:rFonts w:ascii="Times New Roman" w:eastAsia="宋体" w:hAnsi="Times New Roman" w:cs="Times New Roman"/>
          <w:b/>
          <w:szCs w:val="21"/>
        </w:rPr>
      </w:pPr>
    </w:p>
    <w:p w14:paraId="68027847">
      <w:pPr>
        <w:keepNext w:val="0"/>
        <w:keepLines w:val="0"/>
        <w:pageBreakBefore w:val="0"/>
        <w:widowControl w:val="0"/>
        <w:numPr>
          <w:ilvl w:val="0"/>
          <w:numId w:val="4"/>
        </w:numPr>
        <w:kinsoku/>
        <w:wordWrap/>
        <w:overflowPunct/>
        <w:topLinePunct w:val="0"/>
        <w:bidi w:val="0"/>
        <w:adjustRightInd/>
        <w:snapToGrid w:val="0"/>
        <w:spacing w:beforeAutospacing="0" w:afterAutospacing="0" w:line="500" w:lineRule="exact"/>
        <w:ind w:left="420" w:firstLine="0" w:leftChars="0" w:firstLineChars="0"/>
        <w:jc w:val="left"/>
        <w:textAlignment w:val="auto"/>
        <w:rPr>
          <w:rFonts w:ascii="宋体" w:eastAsia="宋体" w:hAnsi="宋体" w:cs="Times New Roman" w:hint="eastAsia"/>
          <w:b/>
          <w:bCs/>
          <w:szCs w:val="21"/>
        </w:rPr>
      </w:pPr>
      <w:r>
        <w:rPr>
          <w:rFonts w:ascii="宋体" w:eastAsia="宋体" w:hAnsi="宋体" w:cs="Times New Roman" w:hint="eastAsia"/>
          <w:b/>
          <w:bCs/>
          <w:szCs w:val="21"/>
        </w:rPr>
        <w:t>采购标的需实现的功能或者目标，以及为落实政府采购政策需满足的要求；</w:t>
      </w:r>
    </w:p>
    <w:p w14:paraId="18D5083C">
      <w:pPr>
        <w:pStyle w:val="Default"/>
        <w:keepNext w:val="0"/>
        <w:keepLines w:val="0"/>
        <w:pageBreakBefore w:val="0"/>
        <w:widowControl w:val="0"/>
        <w:kinsoku/>
        <w:wordWrap/>
        <w:overflowPunct/>
        <w:topLinePunct w:val="0"/>
        <w:bidi w:val="0"/>
        <w:adjustRightInd/>
        <w:spacing w:beforeAutospacing="0" w:afterAutospacing="0" w:line="500" w:lineRule="exact"/>
        <w:ind w:firstLine="420" w:firstLineChars="200"/>
        <w:contextualSpacing/>
        <w:textAlignment w:val="auto"/>
        <w:rPr>
          <w:rFonts w:ascii="宋体" w:eastAsia="宋体" w:hAnsi="宋体" w:cs="Times New Roman" w:hint="default"/>
          <w:color w:val="auto"/>
          <w:kern w:val="2"/>
          <w:sz w:val="21"/>
          <w:szCs w:val="21"/>
        </w:rPr>
      </w:pPr>
      <w:r>
        <w:rPr>
          <w:rFonts w:ascii="宋体" w:eastAsia="宋体" w:hAnsi="宋体" w:cs="Times New Roman" w:hint="eastAsia"/>
          <w:color w:val="auto"/>
          <w:kern w:val="2"/>
          <w:sz w:val="21"/>
          <w:szCs w:val="21"/>
          <w:lang w:val="en-US" w:eastAsia="zh-CN" w:bidi="ar-SA"/>
        </w:rPr>
        <w:t>采购标的为三江源大型无人机生态补水人工增雨（雪）作业试验效果评估，属于三江源大型无人机生态补水人工增雨（雪）作业试验的后续效益评估部分。此项工作通过现有人工影响天气效果评估技术方法体系，结合三江源大型无人机生态补水人工增雨（雪）作业试验的数据资料特征，运用适合于三江源地区的效果评估方法，完成三江源大型无人机生态补水人工增雨（雪）作业试验效果评估任务，以报告形式提交三江源大型无人机生态补水人工增雨（雪）作业产生的效益。三江源大型无人机生态补水人工增雨（雪）作业试验效果评估采用政府采购政策中的竞争性谈判方式进行采购。</w:t>
      </w:r>
    </w:p>
    <w:p w14:paraId="00AC444C">
      <w:pPr>
        <w:keepNext w:val="0"/>
        <w:keepLines w:val="0"/>
        <w:pageBreakBefore w:val="0"/>
        <w:widowControl w:val="0"/>
        <w:numPr>
          <w:ilvl w:val="0"/>
          <w:numId w:val="4"/>
        </w:numPr>
        <w:kinsoku/>
        <w:wordWrap/>
        <w:overflowPunct/>
        <w:topLinePunct w:val="0"/>
        <w:bidi w:val="0"/>
        <w:adjustRightInd/>
        <w:snapToGrid w:val="0"/>
        <w:spacing w:beforeAutospacing="0" w:afterAutospacing="0" w:line="500" w:lineRule="exact"/>
        <w:ind w:left="420" w:firstLine="0" w:leftChars="0" w:firstLineChars="0"/>
        <w:jc w:val="left"/>
        <w:textAlignment w:val="auto"/>
        <w:rPr>
          <w:rFonts w:ascii="宋体" w:eastAsia="宋体" w:hAnsi="宋体" w:cs="Times New Roman" w:hint="eastAsia"/>
          <w:b/>
          <w:bCs/>
          <w:szCs w:val="21"/>
        </w:rPr>
      </w:pPr>
      <w:r>
        <w:rPr>
          <w:rFonts w:ascii="宋体" w:eastAsia="宋体" w:hAnsi="宋体" w:cs="Times New Roman" w:hint="eastAsia"/>
          <w:b/>
          <w:bCs/>
          <w:szCs w:val="21"/>
        </w:rPr>
        <w:t>采购标的需执行的国家相关标准、行业标准、地方标准或者其他标准、规范；</w:t>
      </w:r>
    </w:p>
    <w:p w14:paraId="7DEF6CC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1.《人工影响天气管理条例》</w:t>
      </w:r>
    </w:p>
    <w:p w14:paraId="269ACF3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该条例由国务院颁布，是我国人工影响天气工作的核心法规，明确要求开展人工影响天气作业必须进行效果评估，规定了评估工作的责任主体、基本流程和结果应用要求，为效果评估提供了法律依据。</w:t>
      </w:r>
    </w:p>
    <w:p w14:paraId="2A8956AB">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2.《人工影响天气作业术语》（GB/T 35227-2017）</w:t>
      </w:r>
    </w:p>
    <w:p w14:paraId="58E87DC2">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国家标准，统一了人工影响天气作业及效果评估的关键术语，包括作业类型、评估指标、数据采集等术语的定义，确保评估过程中术语使用的规范性和一致性，为评估报告的编制和交流提供基础。</w:t>
      </w:r>
    </w:p>
    <w:p w14:paraId="1B5E28B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3.《人工影响天气作业效果评估指南》（QX/T 347-2016）</w:t>
      </w:r>
    </w:p>
    <w:p w14:paraId="7F680600">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气象行业标准，详细规定了人工增雨（雪）、防雹等主要作业类型的效果评估方法，包括试验设计（如随机对照试验、区域对比试验）、数据收集（地面观测、卫星遥感、雷达数据等）、统计分析（如区域回归分析、物理检验法）等具体流程，是目前效果评估的核心技术规范。</w:t>
      </w:r>
    </w:p>
    <w:p w14:paraId="121D8731">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4.《人工增雨效果评估方法 区域回归分析》（QX/T 516-2019）</w:t>
      </w:r>
    </w:p>
    <w:p w14:paraId="383BB027">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气象行业标准，针对人工增雨效果评估中的区域回归分析方法制定技术细则，明确了样本选择、变量控制、模型构建、效果量化（如增雨率计算）等步骤，为定量评估增雨效果提供标准化方法。</w:t>
      </w:r>
    </w:p>
    <w:p w14:paraId="542C0FC5">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5.其他规范性文件</w:t>
      </w:r>
    </w:p>
    <w:p w14:paraId="78B396DF">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《关于进一步加强人工影响天气工作的意见》（国办发〔2012〕44号）：国务院办公厅文件，要求“建立健全作业效果评估体系”，推动评估技术研发和标准完善。</w:t>
      </w:r>
    </w:p>
    <w:p w14:paraId="428145AD">
      <w:pPr>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《人工影响天气业务发展规划（2021-2025年）》（中国气象局）：提出“完善效果评估标准体系”，明确将定量评估技术标准化作为重点任务。</w:t>
      </w:r>
    </w:p>
    <w:p w14:paraId="2343A931">
      <w:pPr>
        <w:keepNext w:val="0"/>
        <w:keepLines w:val="0"/>
        <w:pageBreakBefore w:val="0"/>
        <w:widowControl w:val="0"/>
        <w:numPr>
          <w:ilvl w:val="0"/>
          <w:numId w:val="4"/>
        </w:numPr>
        <w:kinsoku/>
        <w:wordWrap/>
        <w:overflowPunct/>
        <w:topLinePunct w:val="0"/>
        <w:bidi w:val="0"/>
        <w:adjustRightInd/>
        <w:snapToGrid w:val="0"/>
        <w:spacing w:beforeAutospacing="0" w:afterAutospacing="0" w:line="500" w:lineRule="exact"/>
        <w:ind w:left="420" w:firstLine="0" w:leftChars="0" w:firstLineChars="0"/>
        <w:jc w:val="left"/>
        <w:textAlignment w:val="auto"/>
        <w:rPr>
          <w:rFonts w:ascii="宋体" w:eastAsia="宋体" w:hAnsi="宋体" w:cs="Times New Roman" w:hint="eastAsia"/>
          <w:color w:val="auto"/>
          <w:szCs w:val="21"/>
        </w:rPr>
      </w:pPr>
      <w:r>
        <w:rPr>
          <w:rFonts w:ascii="宋体" w:eastAsia="宋体" w:hAnsi="宋体" w:cs="Times New Roman" w:hint="eastAsia"/>
          <w:b/>
          <w:bCs/>
          <w:szCs w:val="21"/>
        </w:rPr>
        <w:t>采购标的</w:t>
      </w:r>
      <w:r>
        <w:rPr>
          <w:rFonts w:ascii="宋体" w:eastAsia="宋体" w:hAnsi="宋体" w:cs="Times New Roman" w:hint="eastAsia"/>
          <w:b/>
          <w:bCs/>
          <w:color w:val="auto"/>
          <w:kern w:val="2"/>
          <w:sz w:val="21"/>
          <w:szCs w:val="21"/>
          <w:lang w:val="en-US" w:eastAsia="zh-CN" w:bidi="ar-SA"/>
        </w:rPr>
        <w:t>人工增雨效果评估</w:t>
      </w:r>
      <w:r>
        <w:rPr>
          <w:rFonts w:ascii="宋体" w:eastAsia="宋体" w:hAnsi="宋体" w:cs="Times New Roman" w:hint="eastAsia"/>
          <w:b/>
          <w:bCs/>
          <w:szCs w:val="21"/>
        </w:rPr>
        <w:t>需满足的质量、安全、技术规格、物理特性等要求；</w:t>
      </w:r>
      <w:r>
        <w:rPr>
          <w:rFonts w:ascii="宋体" w:eastAsia="宋体" w:hAnsi="宋体" w:cs="Times New Roman" w:hint="eastAsia"/>
          <w:szCs w:val="21"/>
          <w:lang w:val="en-US" w:eastAsia="zh-CN"/>
        </w:rPr>
        <w:t>1.</w:t>
      </w:r>
      <w:r>
        <w:rPr>
          <w:rFonts w:ascii="宋体" w:eastAsia="宋体" w:hAnsi="宋体" w:cs="Times New Roman" w:hint="eastAsia"/>
          <w:color w:val="auto"/>
          <w:kern w:val="2"/>
          <w:sz w:val="21"/>
          <w:szCs w:val="21"/>
          <w:lang w:val="en-US" w:eastAsia="zh-CN" w:bidi="ar-SA"/>
        </w:rPr>
        <w:t>了解人影的科学原理、催化技术和业务流程；</w:t>
      </w:r>
    </w:p>
    <w:p w14:paraId="395E6F20">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2.熟练掌握主流的效果检验方法；</w:t>
      </w:r>
    </w:p>
    <w:p w14:paraId="7B6BF9BA">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3.具备气象观测资料处理、分析和相关产品制作的能力；</w:t>
      </w:r>
    </w:p>
    <w:p w14:paraId="24E1B472">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4.具备严谨的科学分析、数据处理和报告撰写能力。</w:t>
      </w:r>
    </w:p>
    <w:p w14:paraId="0F7B08FC">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5.明确具体的评估对象（如时段、区域范围等）、评估目标和预期结果（例如增雨量、防雹效果、影响范围等关键指标），目标可量化、可验证。</w:t>
      </w:r>
    </w:p>
    <w:p w14:paraId="40829827">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default"/>
          <w:color w:val="auto"/>
          <w:szCs w:val="21"/>
        </w:rPr>
      </w:pPr>
      <w:r>
        <w:rPr>
          <w:rFonts w:ascii="宋体" w:eastAsia="宋体" w:hAnsi="宋体" w:cs="Times New Roman" w:hint="eastAsia"/>
          <w:color w:val="auto"/>
          <w:kern w:val="2"/>
          <w:sz w:val="21"/>
          <w:szCs w:val="21"/>
          <w:lang w:val="en-US" w:eastAsia="zh-CN" w:bidi="ar-SA"/>
        </w:rPr>
        <w:t>6.采用国际/国内公认的主流效果检验方法（如统计检验、物理检验和数值模拟检验等），并结合多种方法进行交叉验证。评估方法要与作业方式、评估目标和可用数据相匹配。</w:t>
      </w:r>
    </w:p>
    <w:p w14:paraId="78EE493D">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default"/>
          <w:color w:val="auto"/>
          <w:szCs w:val="21"/>
        </w:rPr>
      </w:pPr>
      <w:r>
        <w:rPr>
          <w:rFonts w:ascii="宋体" w:eastAsia="宋体" w:hAnsi="宋体" w:cs="Times New Roman" w:hint="eastAsia"/>
          <w:color w:val="auto"/>
          <w:kern w:val="2"/>
          <w:sz w:val="21"/>
          <w:szCs w:val="21"/>
          <w:lang w:val="en-US" w:eastAsia="zh-CN" w:bidi="ar-SA"/>
        </w:rPr>
        <w:t>7.应设计规范清晰的评估流程和科学合理的评估指标。</w:t>
      </w:r>
    </w:p>
    <w:p w14:paraId="3EF2737E">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8.明确拟使用的评估数据（如：作业信息、常规和特种探测数据、模式资料等）及其时空分辨率、误差范围等特征，数据应来源于正式业务渠道或经过严格的质量控制。</w:t>
      </w:r>
    </w:p>
    <w:p w14:paraId="059BDC28">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9.评估质量要求</w:t>
      </w:r>
    </w:p>
    <w:p w14:paraId="0C647621">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数据准确性：观测数据需真实反映作业前后天气状况，传感器误差控制在行业标准范围内，数据采集频率满足分钟级精度，确保基础数据可靠。</w:t>
      </w:r>
    </w:p>
    <w:p w14:paraId="74040EF3">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评估客观性：采用科学对照方法（如区域对比法、历史同期对比法），避免主观因素干扰。</w:t>
      </w:r>
    </w:p>
    <w:p w14:paraId="0ACE68A1">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结果可重复性：相同数据集在不同评估团队或模型下应得到一致结论，关键参数（如增雨量、作业影响范围）变异系数≤10%。</w:t>
      </w:r>
    </w:p>
    <w:p w14:paraId="33E2E419">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ascii="宋体" w:eastAsia="宋体" w:hAnsi="宋体" w:cs="Times New Roman" w:hint="eastAsia"/>
          <w:color w:val="auto"/>
          <w:szCs w:val="21"/>
        </w:rPr>
      </w:pPr>
      <w:r>
        <w:rPr>
          <w:rFonts w:ascii="宋体" w:eastAsia="宋体" w:hAnsi="宋体" w:cs="Times New Roman" w:hint="eastAsia"/>
          <w:color w:val="auto"/>
          <w:kern w:val="2"/>
          <w:sz w:val="21"/>
          <w:szCs w:val="21"/>
          <w:lang w:val="en-US" w:eastAsia="zh-CN" w:bidi="ar-SA"/>
        </w:rPr>
        <w:t>10.报告文字需客观准确，数据表述清晰，逻辑严密，分析深入，结论明确，语言简洁规范，避免模糊表述与冗余信息，突出科学性与实用性。</w:t>
      </w:r>
    </w:p>
    <w:p w14:paraId="1B96CCFD">
      <w:pPr>
        <w:keepNext w:val="0"/>
        <w:keepLines w:val="0"/>
        <w:pageBreakBefore w:val="0"/>
        <w:widowControl w:val="0"/>
        <w:numPr>
          <w:ilvl w:val="0"/>
          <w:numId w:val="4"/>
        </w:numPr>
        <w:kinsoku/>
        <w:wordWrap/>
        <w:overflowPunct/>
        <w:topLinePunct w:val="0"/>
        <w:bidi w:val="0"/>
        <w:adjustRightInd/>
        <w:snapToGrid w:val="0"/>
        <w:spacing w:beforeAutospacing="0" w:afterAutospacing="0" w:line="500" w:lineRule="exact"/>
        <w:ind w:left="420" w:firstLine="0" w:leftChars="0" w:firstLineChars="0"/>
        <w:jc w:val="left"/>
        <w:textAlignment w:val="auto"/>
        <w:rPr>
          <w:rFonts w:ascii="宋体" w:eastAsia="宋体" w:hAnsi="宋体" w:cs="Times New Roman" w:hint="eastAsia"/>
          <w:b/>
          <w:bCs/>
          <w:szCs w:val="21"/>
        </w:rPr>
      </w:pPr>
      <w:r>
        <w:rPr>
          <w:rFonts w:ascii="宋体" w:eastAsia="宋体" w:hAnsi="宋体" w:cs="Times New Roman" w:hint="eastAsia"/>
          <w:b/>
          <w:bCs/>
          <w:szCs w:val="21"/>
        </w:rPr>
        <w:t>采购标的的数量、采购项目交付或者实施的时间和地点；</w:t>
      </w:r>
    </w:p>
    <w:p w14:paraId="4F91662F">
      <w:pPr>
        <w:keepNext w:val="0"/>
        <w:keepLines w:val="0"/>
        <w:pageBreakBefore w:val="0"/>
        <w:widowControl w:val="0"/>
        <w:numPr>
          <w:ilvl w:val="0"/>
          <w:numId w:val="0"/>
        </w:numPr>
        <w:kinsoku/>
        <w:wordWrap/>
        <w:overflowPunct/>
        <w:topLinePunct w:val="0"/>
        <w:bidi w:val="0"/>
        <w:adjustRightInd/>
        <w:spacing w:before="0" w:beforeAutospacing="0" w:after="0" w:afterAutospacing="0" w:line="500" w:lineRule="exact"/>
        <w:ind w:left="360" w:leftChars="0"/>
        <w:textAlignment w:val="auto"/>
        <w:rPr>
          <w:rFonts w:hint="default"/>
        </w:rPr>
      </w:pPr>
      <w:r>
        <w:rPr>
          <w:rFonts w:hint="eastAsia"/>
          <w:lang w:val="en-US" w:eastAsia="zh-CN"/>
        </w:rPr>
        <w:t>采购标的</w:t>
      </w:r>
      <w:r>
        <w:rPr>
          <w:rFonts w:ascii="宋体" w:eastAsia="宋体" w:hAnsi="宋体" w:cs="Times New Roman" w:hint="eastAsia"/>
          <w:color w:val="auto"/>
          <w:kern w:val="2"/>
          <w:sz w:val="21"/>
          <w:szCs w:val="21"/>
          <w:lang w:val="en-US" w:eastAsia="zh-CN" w:bidi="ar-SA"/>
        </w:rPr>
        <w:t>为三江源大型无人机生态补水人工增雨（雪）作业试验效果评估，1包。</w:t>
      </w:r>
    </w:p>
    <w:p w14:paraId="40E764BB">
      <w:pPr>
        <w:keepNext w:val="0"/>
        <w:keepLines w:val="0"/>
        <w:pageBreakBefore w:val="0"/>
        <w:widowControl w:val="0"/>
        <w:numPr>
          <w:ilvl w:val="0"/>
          <w:numId w:val="0"/>
        </w:numPr>
        <w:kinsoku/>
        <w:wordWrap/>
        <w:overflowPunct/>
        <w:topLinePunct w:val="0"/>
        <w:bidi w:val="0"/>
        <w:adjustRightInd/>
        <w:spacing w:before="0" w:beforeAutospacing="0" w:after="0" w:afterAutospacing="0" w:line="500" w:lineRule="exact"/>
        <w:ind w:left="360" w:leftChars="0"/>
        <w:textAlignment w:val="auto"/>
        <w:rPr>
          <w:rFonts w:hint="eastAsia"/>
        </w:rPr>
      </w:pPr>
      <w:r>
        <w:rPr>
          <w:rFonts w:hint="eastAsia"/>
          <w:lang w:val="en-US" w:eastAsia="zh-CN"/>
        </w:rPr>
        <w:t>采购项目交付时间需在合同签订后25天内完成全部成果交付。</w:t>
      </w:r>
    </w:p>
    <w:p w14:paraId="327AE832">
      <w:pPr>
        <w:keepNext w:val="0"/>
        <w:keepLines w:val="0"/>
        <w:pageBreakBefore w:val="0"/>
        <w:widowControl w:val="0"/>
        <w:numPr>
          <w:ilvl w:val="0"/>
          <w:numId w:val="0"/>
        </w:numPr>
        <w:kinsoku/>
        <w:wordWrap/>
        <w:overflowPunct/>
        <w:topLinePunct w:val="0"/>
        <w:bidi w:val="0"/>
        <w:adjustRightInd/>
        <w:spacing w:before="0" w:beforeAutospacing="0" w:after="0" w:afterAutospacing="0" w:line="500" w:lineRule="exact"/>
        <w:ind w:left="360" w:leftChars="0"/>
        <w:textAlignment w:val="auto"/>
        <w:rPr>
          <w:rFonts w:hint="default"/>
        </w:rPr>
      </w:pPr>
      <w:r>
        <w:rPr>
          <w:rFonts w:hint="eastAsia"/>
          <w:lang w:val="en-US" w:eastAsia="zh-CN"/>
        </w:rPr>
        <w:t>交付地点：青海省西宁市城西区五四大街19号人工影响天气中心</w:t>
      </w:r>
    </w:p>
    <w:p w14:paraId="4A1D68D5">
      <w:pPr>
        <w:keepNext w:val="0"/>
        <w:keepLines w:val="0"/>
        <w:pageBreakBefore w:val="0"/>
        <w:widowControl w:val="0"/>
        <w:numPr>
          <w:ilvl w:val="0"/>
          <w:numId w:val="4"/>
        </w:numPr>
        <w:kinsoku/>
        <w:wordWrap/>
        <w:overflowPunct/>
        <w:topLinePunct w:val="0"/>
        <w:bidi w:val="0"/>
        <w:adjustRightInd/>
        <w:snapToGrid w:val="0"/>
        <w:spacing w:beforeAutospacing="0" w:afterAutospacing="0" w:line="500" w:lineRule="exact"/>
        <w:ind w:left="420" w:firstLine="0" w:leftChars="0" w:firstLineChars="0"/>
        <w:jc w:val="left"/>
        <w:textAlignment w:val="auto"/>
        <w:rPr>
          <w:rFonts w:ascii="宋体" w:eastAsia="宋体" w:hAnsi="宋体" w:cs="Times New Roman" w:hint="eastAsia"/>
          <w:b w:val="0"/>
          <w:color w:val="auto"/>
          <w:szCs w:val="21"/>
        </w:rPr>
      </w:pPr>
      <w:r>
        <w:rPr>
          <w:rFonts w:ascii="宋体" w:eastAsia="宋体" w:hAnsi="宋体" w:cs="Times New Roman" w:hint="eastAsia"/>
          <w:b/>
          <w:bCs/>
          <w:szCs w:val="21"/>
        </w:rPr>
        <w:t>采购标的</w:t>
      </w:r>
      <w:r>
        <w:rPr>
          <w:rFonts w:ascii="宋体" w:eastAsia="宋体" w:hAnsi="宋体" w:cs="Times New Roman" w:hint="eastAsia"/>
          <w:b/>
          <w:bCs/>
          <w:szCs w:val="21"/>
          <w:lang w:val="en-US" w:eastAsia="zh-CN"/>
        </w:rPr>
        <w:t>人工增雨效果评估服务</w:t>
      </w:r>
      <w:r>
        <w:rPr>
          <w:rFonts w:ascii="宋体" w:eastAsia="宋体" w:hAnsi="宋体" w:cs="Times New Roman" w:hint="eastAsia"/>
          <w:b/>
          <w:bCs/>
          <w:szCs w:val="21"/>
        </w:rPr>
        <w:t>需满足的服务标准、期限、效率等要求；</w:t>
      </w:r>
    </w:p>
    <w:p w14:paraId="0E1D2B6A">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1.服务标准要求</w:t>
      </w:r>
    </w:p>
    <w:p w14:paraId="264D99E3">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（1）数据采集标准</w:t>
      </w:r>
    </w:p>
    <w:p w14:paraId="1E5E30F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1）气象数据完整性：需同步采集作业区及对比区的降水量（时段雨量、过程总雨量）、云系参数（云顶高度、云厚、云顶温度）、雷达回波强度（≥40dBZ区域覆盖率）等核心指标，数据缺失率不得超过5%。</w:t>
      </w:r>
    </w:p>
    <w:p w14:paraId="1EA98A4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2）作业参数规范性：详细记录飞机作业时间（精确至秒）、作业经纬度（误差≤10米）等关键参数。</w:t>
      </w:r>
    </w:p>
    <w:p w14:paraId="7B7F15BE">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3）评估方法科学性：需采用主流统计检验方法，物理检验需包含冰晶浓度、过冷水含量等微观指标变化分析。</w:t>
      </w:r>
    </w:p>
    <w:p w14:paraId="16408BD7">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（2）报告编制标准</w:t>
      </w:r>
    </w:p>
    <w:p w14:paraId="50D207D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1）内容完整性：报告需包含作业概况、数据来源与处理、统计检验结果、物理机制分析、效果量化评估（如增雨率区间）等核心部分。</w:t>
      </w:r>
    </w:p>
    <w:p w14:paraId="78DA835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2）图表规范性：降水量对比图，雷达回波时序图时间分辨率≤10分钟，云图分析需包含红外、光学厚度、过冷层厚度等内容。</w:t>
      </w:r>
    </w:p>
    <w:p w14:paraId="3B696F2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3）结论准确性：明确区分"效果较好"（增雨率≥15%且P&lt;0.05）、"效果一般"（5%-15%且P&lt;0.1）、"效果差"（&lt;5%或P≥0.1）三类评估结果。</w:t>
      </w:r>
    </w:p>
    <w:p w14:paraId="7E011AB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2.服务期限要求</w:t>
      </w:r>
    </w:p>
    <w:p w14:paraId="74A5D89D">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合同签订后25日提交完整的效果评估报告。</w:t>
      </w:r>
    </w:p>
    <w:p w14:paraId="6D384B9C">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3.服务周期保障</w:t>
      </w:r>
    </w:p>
    <w:p w14:paraId="247A001C">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合同期内，需提供25日服务保障，接到评估需求后1小时内启动数据采集流程；原始观测数据、作业记录及评估报告需归档保存覆盖全部作业试验时间段。</w:t>
      </w:r>
    </w:p>
    <w:p w14:paraId="774FFFAC">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4.服务效率要求</w:t>
      </w:r>
    </w:p>
    <w:p w14:paraId="2F64E3FA">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交付效率</w:t>
      </w:r>
    </w:p>
    <w:p w14:paraId="6064914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1）报告审批流程：内部两级审核（报告制作人→报告审核人），电子报告通过加密通道交付后，纸质版（加盖公章）需在3个工作日内送达甲方指定地点。</w:t>
      </w:r>
    </w:p>
    <w:p w14:paraId="5970EF28">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2）整改效率：对甲方提出的报告修改意见（如数据疑义、结论表述调整），需在12小时内完成复核并提交修订版本，重大修改不超过24小时。</w:t>
      </w:r>
    </w:p>
    <w:p w14:paraId="08FED3E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b/>
          <w:bCs/>
          <w:szCs w:val="21"/>
        </w:rPr>
      </w:pPr>
      <w:r>
        <w:rPr>
          <w:rFonts w:ascii="宋体" w:eastAsia="宋体" w:hAnsi="宋体" w:cs="Times New Roman" w:hint="eastAsia"/>
          <w:b/>
          <w:bCs/>
          <w:szCs w:val="21"/>
        </w:rPr>
        <w:t>（六）采购标的的验收标准；</w:t>
      </w:r>
    </w:p>
    <w:p w14:paraId="233CDE2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1.验收筹备</w:t>
      </w:r>
    </w:p>
    <w:p w14:paraId="1EE08421">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（1）乙方需在成果交付后1个工作日内提交验收申请，附《成果验收材料清单》（含报告、数据光盘、质量自检报告）。</w:t>
      </w:r>
    </w:p>
    <w:p w14:paraId="67099847">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（2）甲方收到申请后3个工作日内组织验收，如需第三方专家评审，乙方需配合提供评审所需的补充材料（如模型演示视频、数据样本）。</w:t>
      </w:r>
    </w:p>
    <w:p w14:paraId="4197E37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2.验收流程</w:t>
      </w:r>
    </w:p>
    <w:p w14:paraId="71DC4EB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（1）资料审查：验收组对报告完整性、数据规范性进行形式审查，提出书面审查意见（1个工作日内完成）。</w:t>
      </w:r>
    </w:p>
    <w:p w14:paraId="5CAED1C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（2）技术答辩：乙方就评估方法、结果推导等进行现场汇报（时长不超过60分钟），回答验收组提问（30分钟）。</w:t>
      </w:r>
    </w:p>
    <w:p w14:paraId="732684CA">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（3）现场核验：对核心数据计算过程、模型运行结果进行随机抽样核验，必要时可要求乙方提供原始计算底稿。</w:t>
      </w:r>
    </w:p>
    <w:p w14:paraId="3EBA6AE8">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3.验收结论分类</w:t>
      </w:r>
    </w:p>
    <w:p w14:paraId="0C44F0E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（1）合格：符合全部验收标准，签署《验收合格证书》。</w:t>
      </w:r>
    </w:p>
    <w:p w14:paraId="28091ED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（2）整改后合格：存在轻微缺陷（如图表标注错误），乙方需在15个工作日内完成整改并复验。</w:t>
      </w:r>
    </w:p>
    <w:p w14:paraId="4509EED3">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（3）不合格：存在重大质量问题（如方法错误、结论矛盾），乙方需限期30日内返工重验，逾期未通过则按违约责任处理。</w:t>
      </w:r>
    </w:p>
    <w:p w14:paraId="6BD582F5">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4.验收记录存档</w:t>
      </w:r>
    </w:p>
    <w:p w14:paraId="1C1778A4">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500" w:lineRule="exact"/>
        <w:ind w:firstLine="420" w:firstLineChars="200"/>
        <w:jc w:val="left"/>
        <w:textAlignment w:val="auto"/>
        <w:rPr>
          <w:rFonts w:ascii="宋体" w:eastAsia="宋体" w:hAnsi="宋体" w:cs="Times New Roman" w:hint="eastAsia"/>
          <w:b w:val="0"/>
          <w:color w:val="auto"/>
          <w:szCs w:val="21"/>
        </w:rPr>
      </w:pPr>
      <w:r>
        <w:rPr>
          <w:rFonts w:ascii="宋体" w:eastAsia="宋体" w:hAnsi="宋体" w:cs="Times New Roman" w:hint="eastAsia"/>
          <w:b w:val="0"/>
          <w:color w:val="auto"/>
          <w:kern w:val="2"/>
          <w:sz w:val="21"/>
          <w:szCs w:val="21"/>
          <w:lang w:val="en-US" w:eastAsia="zh-CN" w:bidi="ar-SA"/>
        </w:rPr>
        <w:t>验收过程需形成《验收会议纪要》，由双方代表及专家签字确认，作为合同付款及成果交付的依据，与合同正文具有同等效力。</w:t>
      </w:r>
    </w:p>
    <w:p w14:paraId="08837488">
      <w:pPr>
        <w:keepNext w:val="0"/>
        <w:keepLines w:val="0"/>
        <w:pageBreakBefore w:val="0"/>
        <w:widowControl w:val="0"/>
        <w:kinsoku/>
        <w:wordWrap/>
        <w:overflowPunct/>
        <w:topLinePunct w:val="0"/>
        <w:bidi w:val="0"/>
        <w:adjustRightInd/>
        <w:snapToGrid w:val="0"/>
        <w:spacing w:beforeAutospacing="0" w:afterAutospacing="0" w:line="500" w:lineRule="exact"/>
        <w:jc w:val="left"/>
        <w:textAlignment w:val="auto"/>
        <w:rPr>
          <w:rFonts w:ascii="宋体" w:eastAsia="宋体" w:hAnsi="宋体" w:cs="Times New Roman"/>
          <w:b/>
          <w:bCs/>
          <w:szCs w:val="21"/>
        </w:rPr>
      </w:pPr>
      <w:r>
        <w:rPr>
          <w:rFonts w:ascii="宋体" w:eastAsia="宋体" w:hAnsi="宋体" w:cs="Times New Roman" w:hint="eastAsia"/>
          <w:b/>
          <w:bCs/>
          <w:szCs w:val="21"/>
        </w:rPr>
        <w:t>（七）采购标的的其他技术、服务等要求。</w:t>
      </w:r>
    </w:p>
    <w:p w14:paraId="2D30D66D">
      <w:pPr>
        <w:keepNext w:val="0"/>
        <w:keepLines w:val="0"/>
        <w:pageBreakBefore w:val="0"/>
        <w:widowControl w:val="0"/>
        <w:kinsoku/>
        <w:wordWrap/>
        <w:overflowPunct/>
        <w:topLinePunct w:val="0"/>
        <w:bidi w:val="0"/>
        <w:adjustRightInd/>
        <w:spacing w:beforeAutospacing="0" w:afterAutospacing="0" w:line="500" w:lineRule="exact"/>
        <w:textAlignment w:val="auto"/>
        <w:rPr>
          <w:rFonts w:hint="eastAsia"/>
        </w:rPr>
      </w:pPr>
      <w:r>
        <w:rPr>
          <w:rFonts w:hint="eastAsia"/>
          <w:lang w:val="en-US" w:eastAsia="zh-CN"/>
        </w:rPr>
        <w:t>无。</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3"/>
    </w:p>
    <w:p w14:paraId="690CD5D0">
      <w:pPr>
        <w:spacing w:before="156" w:beforeLines="50" w:line="360" w:lineRule="auto"/>
        <w:jc w:val="center"/>
        <w:outlineLvl w:val="1"/>
        <w:rPr>
          <w:rFonts w:ascii="宋体" w:eastAsia="宋体" w:hAnsi="宋体" w:cs="Times New Roman"/>
          <w:b/>
          <w:sz w:val="30"/>
          <w:szCs w:val="30"/>
        </w:rPr>
      </w:pPr>
      <w:bookmarkStart w:id="54" w:name="投标被拒绝条款专用部分_JJTK"/>
      <w:r>
        <w:rPr>
          <w:rFonts w:ascii="宋体" w:eastAsia="宋体" w:hAnsi="宋体" w:cs="Times New Roman" w:hint="eastAsia"/>
          <w:b/>
          <w:sz w:val="30"/>
          <w:szCs w:val="30"/>
        </w:rPr>
        <w:t>第七章  响应被拒绝条款专用部分</w:t>
      </w:r>
    </w:p>
    <w:p w14:paraId="65AC929B">
      <w:pPr>
        <w:adjustRightInd w:val="0"/>
        <w:snapToGrid w:val="0"/>
        <w:spacing w:before="156" w:beforeLines="50" w:line="360" w:lineRule="auto"/>
        <w:rPr>
          <w:rFonts w:ascii="宋体" w:eastAsia="宋体" w:hAnsi="宋体" w:cs="Times New Roman"/>
          <w:szCs w:val="21"/>
        </w:rPr>
      </w:pPr>
    </w:p>
    <w:p w14:paraId="0DF8E2E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841D3F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2B67E693">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70A297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0768CA">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5D7E2C8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6CFF796">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18859A7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B4E5D9B">
        <w:tblPrEx>
          <w:tblW w:w="0" w:type="auto"/>
          <w:tblInd w:w="0" w:type="dxa"/>
          <w:tblLayout w:type="fixed"/>
          <w:tblCellMar>
            <w:top w:w="0" w:type="dxa"/>
            <w:left w:w="108" w:type="dxa"/>
            <w:bottom w:w="0" w:type="dxa"/>
            <w:right w:w="108" w:type="dxa"/>
          </w:tblCellMar>
        </w:tblPrEx>
        <w:trPr>
          <w:cantSplit/>
        </w:trPr>
        <w:tc>
          <w:tcPr>
            <w:tcW w:w="544" w:type="dxa"/>
            <w:vAlign w:val="center"/>
          </w:tcPr>
          <w:p w14:paraId="3ABD7353">
            <w:pPr>
              <w:numPr>
                <w:ilvl w:val="0"/>
                <w:numId w:val="7"/>
              </w:numPr>
              <w:rPr>
                <w:rFonts w:ascii="宋体" w:eastAsia="宋体" w:hAnsi="宋体" w:cs="Times New Roman"/>
                <w:sz w:val="18"/>
                <w:szCs w:val="18"/>
              </w:rPr>
            </w:pPr>
          </w:p>
        </w:tc>
        <w:tc>
          <w:tcPr>
            <w:tcW w:w="898" w:type="dxa"/>
            <w:vAlign w:val="center"/>
          </w:tcPr>
          <w:p w14:paraId="4B7B6EDA">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5E44A4E7">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29727DEE">
        <w:tblPrEx>
          <w:tblW w:w="0" w:type="auto"/>
          <w:tblInd w:w="0" w:type="dxa"/>
          <w:tblLayout w:type="fixed"/>
          <w:tblCellMar>
            <w:top w:w="0" w:type="dxa"/>
            <w:left w:w="108" w:type="dxa"/>
            <w:bottom w:w="0" w:type="dxa"/>
            <w:right w:w="108" w:type="dxa"/>
          </w:tblCellMar>
        </w:tblPrEx>
        <w:trPr>
          <w:cantSplit/>
        </w:trPr>
        <w:tc>
          <w:tcPr>
            <w:tcW w:w="544" w:type="dxa"/>
            <w:vAlign w:val="center"/>
          </w:tcPr>
          <w:p w14:paraId="534C16CD">
            <w:pPr>
              <w:numPr>
                <w:ilvl w:val="0"/>
                <w:numId w:val="7"/>
              </w:numPr>
              <w:rPr>
                <w:rFonts w:ascii="宋体" w:eastAsia="宋体" w:hAnsi="宋体" w:cs="Times New Roman"/>
                <w:sz w:val="18"/>
                <w:szCs w:val="18"/>
              </w:rPr>
            </w:pPr>
          </w:p>
        </w:tc>
        <w:tc>
          <w:tcPr>
            <w:tcW w:w="898" w:type="dxa"/>
            <w:vAlign w:val="center"/>
          </w:tcPr>
          <w:p w14:paraId="2486C6BF">
            <w:pPr>
              <w:jc w:val="center"/>
              <w:rPr>
                <w:rFonts w:ascii="宋体" w:eastAsia="宋体" w:hAnsi="宋体" w:cs="Times New Roman"/>
                <w:sz w:val="18"/>
                <w:szCs w:val="18"/>
              </w:rPr>
            </w:pPr>
          </w:p>
        </w:tc>
        <w:tc>
          <w:tcPr>
            <w:tcW w:w="7347" w:type="dxa"/>
            <w:vAlign w:val="center"/>
          </w:tcPr>
          <w:p w14:paraId="777114EB">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7090A2FC">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682E9810">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5A66825F">
        <w:tblPrEx>
          <w:tblW w:w="0" w:type="auto"/>
          <w:tblInd w:w="0" w:type="dxa"/>
          <w:tblLayout w:type="fixed"/>
          <w:tblCellMar>
            <w:top w:w="0" w:type="dxa"/>
            <w:left w:w="108" w:type="dxa"/>
            <w:bottom w:w="0" w:type="dxa"/>
            <w:right w:w="108" w:type="dxa"/>
          </w:tblCellMar>
        </w:tblPrEx>
        <w:trPr>
          <w:cantSplit/>
        </w:trPr>
        <w:tc>
          <w:tcPr>
            <w:tcW w:w="544" w:type="dxa"/>
            <w:vAlign w:val="center"/>
          </w:tcPr>
          <w:p w14:paraId="24819A7A">
            <w:pPr>
              <w:numPr>
                <w:ilvl w:val="0"/>
                <w:numId w:val="7"/>
              </w:numPr>
              <w:rPr>
                <w:rFonts w:ascii="宋体" w:eastAsia="宋体" w:hAnsi="宋体" w:cs="Times New Roman"/>
                <w:sz w:val="18"/>
                <w:szCs w:val="18"/>
              </w:rPr>
            </w:pPr>
          </w:p>
        </w:tc>
        <w:tc>
          <w:tcPr>
            <w:tcW w:w="898" w:type="dxa"/>
            <w:vAlign w:val="center"/>
          </w:tcPr>
          <w:p w14:paraId="01F0DC9F">
            <w:pPr>
              <w:jc w:val="center"/>
              <w:rPr>
                <w:rFonts w:ascii="宋体" w:eastAsia="宋体" w:hAnsi="宋体" w:cs="Times New Roman"/>
                <w:sz w:val="18"/>
                <w:szCs w:val="18"/>
              </w:rPr>
            </w:pPr>
          </w:p>
        </w:tc>
        <w:tc>
          <w:tcPr>
            <w:tcW w:w="7347" w:type="dxa"/>
            <w:vAlign w:val="center"/>
          </w:tcPr>
          <w:p w14:paraId="4914944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0655B375">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BD33A1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4"/>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167FBF5E">
      <w:pPr>
        <w:spacing w:line="360" w:lineRule="auto"/>
        <w:ind w:firstLine="3066" w:firstLineChars="1460"/>
        <w:jc w:val="left"/>
        <w:rPr>
          <w:rFonts w:ascii="Times New Roman" w:eastAsia="宋体" w:hAnsi="Times New Roman" w:cs="Times New Roman"/>
          <w:b/>
          <w:bCs/>
          <w:szCs w:val="21"/>
        </w:rPr>
      </w:pPr>
      <w:bookmarkStart w:id="55" w:name="采购公告合同部分_ZBGGHT"/>
      <w:r>
        <w:rPr>
          <w:rFonts w:ascii="Times New Roman" w:eastAsia="宋体" w:hAnsi="Times New Roman" w:cs="Times New Roman" w:hint="eastAsia"/>
          <w:b/>
          <w:bCs/>
          <w:szCs w:val="21"/>
        </w:rPr>
        <w:t>第八章  采购合同</w:t>
      </w:r>
    </w:p>
    <w:p w14:paraId="66214D4C">
      <w:pPr>
        <w:widowControl/>
        <w:jc w:val="left"/>
        <w:rPr>
          <w:rFonts w:ascii="Calibri" w:eastAsia="宋体" w:hAnsi="Calibri" w:cs="Times New Roman"/>
        </w:rPr>
      </w:pPr>
      <w:r>
        <w:rPr>
          <w:rFonts w:ascii="Calibri" w:eastAsia="宋体" w:hAnsi="Calibri" w:cs="Times New Roman"/>
        </w:rPr>
        <w:br w:type="page"/>
      </w:r>
    </w:p>
    <w:p w14:paraId="40A476FD">
      <w:pPr>
        <w:rPr>
          <w:rFonts w:ascii="Calibri" w:eastAsia="宋体" w:hAnsi="Calibri" w:cs="Times New Roman"/>
        </w:rPr>
      </w:pPr>
    </w:p>
    <w:p w14:paraId="243712F3">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50F5EDE9">
      <w:pPr>
        <w:rPr>
          <w:rFonts w:ascii="宋体" w:eastAsia="宋体" w:hAnsi="宋体" w:cs="宋体"/>
          <w:b/>
          <w:bCs/>
          <w:spacing w:val="-20"/>
          <w:kern w:val="44"/>
          <w:sz w:val="40"/>
          <w:szCs w:val="40"/>
        </w:rPr>
      </w:pPr>
    </w:p>
    <w:p w14:paraId="347AE273">
      <w:pPr>
        <w:rPr>
          <w:rFonts w:ascii="宋体" w:eastAsia="宋体" w:hAnsi="宋体" w:cs="宋体"/>
          <w:b/>
          <w:bCs/>
          <w:spacing w:val="-20"/>
          <w:kern w:val="44"/>
          <w:sz w:val="40"/>
          <w:szCs w:val="40"/>
        </w:rPr>
      </w:pPr>
    </w:p>
    <w:p w14:paraId="53B2F58F">
      <w:pPr>
        <w:rPr>
          <w:rFonts w:ascii="宋体" w:eastAsia="宋体" w:hAnsi="宋体" w:cs="宋体"/>
          <w:b/>
          <w:bCs/>
          <w:spacing w:val="-20"/>
          <w:kern w:val="44"/>
          <w:sz w:val="40"/>
          <w:szCs w:val="40"/>
        </w:rPr>
      </w:pPr>
    </w:p>
    <w:p w14:paraId="0FE498C7">
      <w:pPr>
        <w:spacing w:line="360" w:lineRule="auto"/>
        <w:ind w:left="2020" w:hanging="1600" w:leftChars="200" w:hangingChars="5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三江源大型无人机生态补水人工增雨（雪）作业试验效果评估</w:t>
      </w:r>
      <w:r>
        <w:rPr>
          <w:rFonts w:ascii="Times New Roman" w:eastAsia="宋体" w:hAnsi="Times New Roman" w:cs="Times New Roman" w:hint="eastAsia"/>
          <w:sz w:val="32"/>
          <w:szCs w:val="32"/>
          <w:u w:val="single"/>
          <w:lang w:val="en-US" w:eastAsia="zh-CN"/>
        </w:rPr>
        <w:t xml:space="preserve">        </w:t>
      </w:r>
      <w:r>
        <w:rPr>
          <w:rFonts w:ascii="Times New Roman" w:eastAsia="宋体" w:hAnsi="Times New Roman" w:cs="Times New Roman" w:hint="eastAsia"/>
          <w:sz w:val="32"/>
          <w:szCs w:val="32"/>
          <w:u w:val="single"/>
        </w:rPr>
        <w:t xml:space="preserve">                     </w:t>
      </w:r>
    </w:p>
    <w:p w14:paraId="41CC6056">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37B94C3">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hint="eastAsia"/>
          <w:sz w:val="32"/>
          <w:szCs w:val="32"/>
          <w:u w:val="single"/>
          <w:lang w:val="en-US" w:eastAsia="zh-CN"/>
        </w:rPr>
        <w:t>青海省人工影响天气中心</w:t>
      </w:r>
      <w:r>
        <w:rPr>
          <w:rFonts w:ascii="Times New Roman" w:eastAsia="宋体" w:hAnsi="Times New Roman" w:cs="Times New Roman" w:hint="eastAsia"/>
          <w:sz w:val="32"/>
          <w:szCs w:val="32"/>
          <w:u w:val="single"/>
        </w:rPr>
        <w:t xml:space="preserve">     </w:t>
      </w:r>
    </w:p>
    <w:p w14:paraId="3EE447D2">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D9ED01">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1C13A4E1">
      <w:pPr>
        <w:rPr>
          <w:rFonts w:ascii="Times New Roman" w:eastAsia="宋体" w:hAnsi="Times New Roman" w:cs="Times New Roman"/>
          <w:szCs w:val="20"/>
        </w:rPr>
      </w:pPr>
    </w:p>
    <w:p w14:paraId="22AA2C6E">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44ADB236">
      <w:pPr>
        <w:rPr>
          <w:rFonts w:ascii="Times New Roman" w:eastAsia="黑体" w:hAnsi="Times New Roman" w:cs="Times New Roman"/>
          <w:sz w:val="44"/>
          <w:szCs w:val="44"/>
        </w:rPr>
      </w:pPr>
    </w:p>
    <w:p w14:paraId="151EFB7D">
      <w:pPr>
        <w:rPr>
          <w:rFonts w:ascii="Times New Roman" w:eastAsia="黑体" w:hAnsi="Times New Roman" w:cs="Times New Roman"/>
          <w:sz w:val="44"/>
          <w:szCs w:val="44"/>
        </w:rPr>
      </w:pPr>
    </w:p>
    <w:p w14:paraId="3A82454C">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2416D1A1">
      <w:pPr>
        <w:ind w:firstLine="640" w:firstLineChars="200"/>
        <w:rPr>
          <w:rFonts w:ascii="仿宋_GB2312" w:eastAsia="仿宋_GB2312" w:hAnsi="仿宋_GB2312" w:cs="仿宋_GB2312"/>
          <w:sz w:val="32"/>
          <w:szCs w:val="32"/>
        </w:rPr>
      </w:pPr>
    </w:p>
    <w:p w14:paraId="0051FEFB">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5C1DA517">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05A0B304">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51D4F64B">
      <w:pPr>
        <w:widowControl/>
        <w:jc w:val="left"/>
        <w:rPr>
          <w:rFonts w:ascii="宋体" w:eastAsia="宋体" w:hAnsi="宋体" w:cs="Times New Roman"/>
          <w:szCs w:val="21"/>
        </w:rPr>
      </w:pPr>
      <w:r>
        <w:rPr>
          <w:rFonts w:ascii="宋体" w:eastAsia="宋体" w:hAnsi="宋体" w:cs="Times New Roman"/>
          <w:szCs w:val="21"/>
        </w:rPr>
        <w:br w:type="page"/>
      </w:r>
    </w:p>
    <w:p w14:paraId="70B1E463">
      <w:pPr>
        <w:snapToGrid w:val="0"/>
        <w:spacing w:line="360" w:lineRule="auto"/>
        <w:ind w:firstLine="420"/>
        <w:rPr>
          <w:rFonts w:ascii="宋体" w:eastAsia="宋体" w:hAnsi="宋体" w:cs="Times New Roman" w:hint="eastAsia"/>
          <w:szCs w:val="21"/>
        </w:rPr>
      </w:pPr>
    </w:p>
    <w:p w14:paraId="6F7B6C66">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14:paraId="04946DC0">
      <w:pPr>
        <w:snapToGrid w:val="0"/>
        <w:spacing w:line="360" w:lineRule="auto"/>
        <w:ind w:firstLine="420"/>
        <w:jc w:val="center"/>
        <w:rPr>
          <w:rFonts w:ascii="宋体" w:eastAsia="宋体" w:hAnsi="宋体" w:cs="Times New Roman" w:hint="eastAsia"/>
          <w:szCs w:val="21"/>
        </w:rPr>
      </w:pPr>
    </w:p>
    <w:p w14:paraId="1C36BE47">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r>
        <w:rPr>
          <w:rFonts w:ascii="Times New Roman" w:eastAsia="宋体" w:hAnsi="Times New Roman" w:cs="Times New Roman" w:hint="eastAsia"/>
          <w:szCs w:val="21"/>
          <w:u w:val="single"/>
          <w:lang w:val="en-US" w:eastAsia="zh-CN"/>
        </w:rPr>
        <w:t>青海省人工影响天气中心</w:t>
      </w:r>
      <w:r>
        <w:rPr>
          <w:rFonts w:ascii="Times New Roman" w:eastAsia="宋体" w:hAnsi="Times New Roman" w:cs="Times New Roman" w:hint="eastAsia"/>
          <w:szCs w:val="21"/>
          <w:u w:val="single"/>
        </w:rPr>
        <w:t xml:space="preserve">       </w:t>
      </w:r>
    </w:p>
    <w:p w14:paraId="08F146AD">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48040BD4">
      <w:pPr>
        <w:snapToGrid w:val="0"/>
        <w:spacing w:line="360" w:lineRule="auto"/>
        <w:ind w:firstLine="420"/>
        <w:rPr>
          <w:rFonts w:ascii="宋体" w:eastAsia="宋体" w:hAnsi="宋体" w:cs="Times New Roman"/>
          <w:szCs w:val="21"/>
        </w:rPr>
      </w:pPr>
      <w:r>
        <w:rPr>
          <w:rFonts w:ascii="宋体" w:eastAsia="宋体" w:hAnsi="宋体" w:cs="Times New Roman" w:hint="eastAsia"/>
          <w:szCs w:val="21"/>
          <w:highlight w:val="yellow"/>
        </w:rPr>
        <w:t>甲乙双方</w:t>
      </w:r>
      <w:r>
        <w:rPr>
          <w:rFonts w:ascii="Calibri" w:eastAsia="宋体" w:hAnsi="Calibri" w:cs="Times New Roman"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61C88726">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70F111A2">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三江源大型无人机生态补水人工增雨（雪）作业试验效果评估     </w:t>
      </w:r>
    </w:p>
    <w:p w14:paraId="3A73B8D6">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343D923D">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65C3C9B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1F8FBFC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5B650198">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4F25BA0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3F5D91B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43F6AFF7">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6EC44CC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2140A928">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12E37D32">
        <w:tblPrEx>
          <w:tblW w:w="0" w:type="auto"/>
          <w:jc w:val="center"/>
          <w:tblLayout w:type="fixed"/>
          <w:tblCellMar>
            <w:top w:w="0" w:type="dxa"/>
            <w:left w:w="108" w:type="dxa"/>
            <w:bottom w:w="0" w:type="dxa"/>
            <w:right w:w="108" w:type="dxa"/>
          </w:tblCellMar>
        </w:tblPrEx>
        <w:trPr>
          <w:jc w:val="center"/>
        </w:trPr>
        <w:tc>
          <w:tcPr>
            <w:tcW w:w="768" w:type="dxa"/>
            <w:vAlign w:val="center"/>
          </w:tcPr>
          <w:p w14:paraId="4E69E487">
            <w:pPr>
              <w:tabs>
                <w:tab w:val="left" w:pos="1573"/>
              </w:tabs>
              <w:autoSpaceDE w:val="0"/>
              <w:autoSpaceDN w:val="0"/>
              <w:adjustRightInd w:val="0"/>
              <w:snapToGrid w:val="0"/>
              <w:spacing w:line="360" w:lineRule="auto"/>
              <w:rPr>
                <w:rFonts w:ascii="宋体" w:eastAsia="宋体" w:hAnsi="宋体" w:cs="Times New Roman" w:hint="eastAsia"/>
                <w:szCs w:val="21"/>
              </w:rPr>
            </w:pPr>
            <w:r>
              <w:rPr>
                <w:rFonts w:ascii="宋体" w:eastAsia="宋体" w:hAnsi="宋体" w:cs="Times New Roman" w:hint="eastAsia"/>
                <w:szCs w:val="21"/>
                <w:lang w:val="en-US" w:eastAsia="zh-CN"/>
              </w:rPr>
              <w:t>1</w:t>
            </w:r>
          </w:p>
        </w:tc>
        <w:tc>
          <w:tcPr>
            <w:tcW w:w="2935" w:type="dxa"/>
            <w:vAlign w:val="center"/>
          </w:tcPr>
          <w:p w14:paraId="266155A7">
            <w:pPr>
              <w:tabs>
                <w:tab w:val="left" w:pos="1573"/>
              </w:tabs>
              <w:autoSpaceDE w:val="0"/>
              <w:autoSpaceDN w:val="0"/>
              <w:adjustRightInd w:val="0"/>
              <w:snapToGrid w:val="0"/>
              <w:spacing w:line="360" w:lineRule="auto"/>
              <w:rPr>
                <w:rFonts w:ascii="宋体" w:eastAsia="宋体" w:hAnsi="宋体" w:cs="Times New Roman"/>
                <w:szCs w:val="21"/>
              </w:rPr>
            </w:pPr>
            <w:r>
              <w:rPr>
                <w:rFonts w:ascii="宋体" w:eastAsia="宋体" w:hAnsi="宋体" w:cs="Times New Roman" w:hint="eastAsia"/>
                <w:szCs w:val="21"/>
                <w:lang w:val="en-US" w:eastAsia="zh-CN"/>
              </w:rPr>
              <w:t>三江源大型无人机生态补水人工增雨（雪）作业试验效果评估服务</w:t>
            </w:r>
          </w:p>
        </w:tc>
        <w:tc>
          <w:tcPr>
            <w:tcW w:w="735" w:type="dxa"/>
            <w:vAlign w:val="center"/>
          </w:tcPr>
          <w:p w14:paraId="7513CFE0">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E62EAEA">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D3C8DBD">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705D84C">
            <w:pPr>
              <w:tabs>
                <w:tab w:val="left" w:pos="1573"/>
              </w:tabs>
              <w:autoSpaceDE w:val="0"/>
              <w:autoSpaceDN w:val="0"/>
              <w:adjustRightInd w:val="0"/>
              <w:snapToGrid w:val="0"/>
              <w:spacing w:line="360" w:lineRule="auto"/>
              <w:rPr>
                <w:rFonts w:ascii="宋体" w:eastAsia="宋体" w:hAnsi="宋体" w:cs="Times New Roman"/>
                <w:szCs w:val="21"/>
              </w:rPr>
            </w:pPr>
          </w:p>
        </w:tc>
      </w:tr>
      <w:tr w14:paraId="03E9DC7E">
        <w:tblPrEx>
          <w:tblW w:w="0" w:type="auto"/>
          <w:jc w:val="center"/>
          <w:tblLayout w:type="fixed"/>
          <w:tblCellMar>
            <w:top w:w="0" w:type="dxa"/>
            <w:left w:w="108" w:type="dxa"/>
            <w:bottom w:w="0" w:type="dxa"/>
            <w:right w:w="108" w:type="dxa"/>
          </w:tblCellMar>
        </w:tblPrEx>
        <w:trPr>
          <w:jc w:val="center"/>
        </w:trPr>
        <w:tc>
          <w:tcPr>
            <w:tcW w:w="768" w:type="dxa"/>
            <w:vAlign w:val="center"/>
          </w:tcPr>
          <w:p w14:paraId="6C745F73">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1666E4F8">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F893F84">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25805B06">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58AE38B0">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28B1C781">
            <w:pPr>
              <w:tabs>
                <w:tab w:val="left" w:pos="1573"/>
              </w:tabs>
              <w:autoSpaceDE w:val="0"/>
              <w:autoSpaceDN w:val="0"/>
              <w:adjustRightInd w:val="0"/>
              <w:snapToGrid w:val="0"/>
              <w:spacing w:line="360" w:lineRule="auto"/>
              <w:rPr>
                <w:rFonts w:ascii="宋体" w:eastAsia="宋体" w:hAnsi="宋体" w:cs="Times New Roman"/>
                <w:szCs w:val="21"/>
              </w:rPr>
            </w:pPr>
          </w:p>
        </w:tc>
      </w:tr>
      <w:tr w14:paraId="0A7F5FBF">
        <w:tblPrEx>
          <w:tblW w:w="0" w:type="auto"/>
          <w:jc w:val="center"/>
          <w:tblLayout w:type="fixed"/>
          <w:tblCellMar>
            <w:top w:w="0" w:type="dxa"/>
            <w:left w:w="108" w:type="dxa"/>
            <w:bottom w:w="0" w:type="dxa"/>
            <w:right w:w="108" w:type="dxa"/>
          </w:tblCellMar>
        </w:tblPrEx>
        <w:trPr>
          <w:jc w:val="center"/>
        </w:trPr>
        <w:tc>
          <w:tcPr>
            <w:tcW w:w="768" w:type="dxa"/>
            <w:vAlign w:val="center"/>
          </w:tcPr>
          <w:p w14:paraId="72623F10">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C575CFA">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5A15E1EF">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0A41591D">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65B734CB">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962AA8B">
            <w:pPr>
              <w:tabs>
                <w:tab w:val="left" w:pos="1573"/>
              </w:tabs>
              <w:autoSpaceDE w:val="0"/>
              <w:autoSpaceDN w:val="0"/>
              <w:adjustRightInd w:val="0"/>
              <w:snapToGrid w:val="0"/>
              <w:spacing w:line="360" w:lineRule="auto"/>
              <w:rPr>
                <w:rFonts w:ascii="宋体" w:eastAsia="宋体" w:hAnsi="宋体" w:cs="Times New Roman"/>
                <w:szCs w:val="21"/>
              </w:rPr>
            </w:pPr>
          </w:p>
        </w:tc>
      </w:tr>
    </w:tbl>
    <w:p w14:paraId="4507F257">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0D0B1F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u w:val="single"/>
          <w:lang w:val="en-US" w:eastAsia="zh-CN"/>
        </w:rPr>
        <w:t>叁拾万</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u w:val="single"/>
          <w:lang w:val="en-US" w:eastAsia="zh-CN"/>
        </w:rPr>
        <w:t>300000</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0FC0DC00">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w:t>
      </w:r>
      <w:r>
        <w:rPr>
          <w:rFonts w:ascii="宋体" w:eastAsia="宋体" w:hAnsi="宋体" w:cs="Times New Roman" w:hint="eastAsia"/>
          <w:szCs w:val="21"/>
          <w:lang w:val="en-US" w:eastAsia="zh-CN"/>
        </w:rPr>
        <w:t>乙方根据《三江源大型无人机生态补水人工增雨（雪）作业试验效果评估服务任务书》向甲方提交效果评估报告后，2025年12月31日前，甲方向乙方支付全部合同金额，即人民币（大写）：叁拾万元整，（小写）：￥300,000.00元；</w:t>
      </w:r>
    </w:p>
    <w:p w14:paraId="50AAE324">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41BD6EE9">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5EE04843">
      <w:pPr>
        <w:tabs>
          <w:tab w:val="left" w:pos="1573"/>
        </w:tabs>
        <w:adjustRightInd w:val="0"/>
        <w:snapToGrid w:val="0"/>
        <w:spacing w:line="360" w:lineRule="auto"/>
        <w:ind w:firstLine="412" w:firstLineChars="196"/>
        <w:jc w:val="left"/>
        <w:rPr>
          <w:rFonts w:ascii="宋体" w:eastAsia="宋体" w:hAnsi="宋体" w:cs="Times New Roman"/>
          <w:szCs w:val="28"/>
        </w:rPr>
      </w:pPr>
    </w:p>
    <w:p w14:paraId="06FDE05E">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3BAFED4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62FD21E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441F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7A4661E">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210ED74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7F3FEB91">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58BE5A8C">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5234448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3D0031E9">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0E66AB1B">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7FB1CCB0">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5184B72C">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5EB411F3">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6416DFA9">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5476822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2B43EC72">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64D2631F">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6D74AB72">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23FFA542">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38A4D950">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11A423A">
      <w:pPr>
        <w:tabs>
          <w:tab w:val="left" w:pos="1573"/>
        </w:tabs>
        <w:adjustRightInd w:val="0"/>
        <w:snapToGrid w:val="0"/>
        <w:ind w:firstLine="315" w:firstLineChars="150"/>
        <w:jc w:val="left"/>
        <w:rPr>
          <w:rFonts w:ascii="宋体" w:eastAsia="宋体" w:hAnsi="宋体" w:cs="Times New Roman"/>
          <w:szCs w:val="21"/>
          <w:u w:val="single"/>
        </w:rPr>
      </w:pPr>
    </w:p>
    <w:p w14:paraId="5EC3DD5C">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09E80093">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D1315DB">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6D5FF0A4">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1AC7EB22">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2A061B10">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1DDC5A23">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0273C3F8">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644D99F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6CB60EB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74CBCB68">
      <w:pPr>
        <w:tabs>
          <w:tab w:val="left" w:pos="1573"/>
        </w:tabs>
        <w:adjustRightInd w:val="0"/>
        <w:snapToGrid w:val="0"/>
        <w:spacing w:line="360" w:lineRule="auto"/>
        <w:ind w:firstLine="412" w:firstLineChars="196"/>
        <w:jc w:val="left"/>
        <w:rPr>
          <w:rFonts w:ascii="宋体" w:eastAsia="宋体" w:hAnsi="宋体" w:cs="Times New Roman"/>
          <w:b/>
          <w:szCs w:val="28"/>
        </w:rPr>
      </w:pPr>
    </w:p>
    <w:p w14:paraId="50120611">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54CD5B37">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620B19EC">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06B9E336">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0CAEA51C">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481E6C86">
      <w:pPr>
        <w:widowControl/>
        <w:jc w:val="left"/>
        <w:rPr>
          <w:rFonts w:ascii="宋体" w:eastAsia="宋体" w:hAnsi="宋体" w:cs="Times New Roman"/>
          <w:b/>
          <w:szCs w:val="21"/>
        </w:rPr>
      </w:pPr>
      <w:r>
        <w:rPr>
          <w:rFonts w:ascii="宋体" w:eastAsia="宋体" w:hAnsi="宋体" w:cs="Times New Roman"/>
          <w:b/>
          <w:szCs w:val="21"/>
        </w:rPr>
        <w:br w:type="page"/>
      </w:r>
    </w:p>
    <w:p w14:paraId="31B29582">
      <w:pPr>
        <w:spacing w:line="360" w:lineRule="auto"/>
        <w:jc w:val="left"/>
        <w:rPr>
          <w:rFonts w:ascii="Times New Roman" w:eastAsia="宋体" w:hAnsi="Times New Roman" w:cs="Times New Roman"/>
          <w:b/>
          <w:bCs/>
          <w:sz w:val="44"/>
          <w:szCs w:val="44"/>
        </w:rPr>
      </w:pPr>
    </w:p>
    <w:p w14:paraId="31739C42">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657FD484">
      <w:pPr>
        <w:tabs>
          <w:tab w:val="left" w:pos="1573"/>
        </w:tabs>
        <w:snapToGrid w:val="0"/>
        <w:spacing w:line="360" w:lineRule="auto"/>
        <w:jc w:val="center"/>
        <w:rPr>
          <w:rFonts w:ascii="宋体" w:eastAsia="宋体" w:hAnsi="宋体" w:cs="Times New Roman"/>
          <w:szCs w:val="21"/>
        </w:rPr>
      </w:pPr>
    </w:p>
    <w:p w14:paraId="2C23199E">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1F34BC69">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219FE8BB">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中标通知书</w:t>
      </w:r>
    </w:p>
    <w:p w14:paraId="59EF5EA1">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开标一览表及投标分项报价表</w:t>
      </w:r>
    </w:p>
    <w:p w14:paraId="72421019">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商务和技术偏离表</w:t>
      </w:r>
    </w:p>
    <w:p w14:paraId="0AD5FFDD">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合同条款专用部分</w:t>
      </w:r>
    </w:p>
    <w:p w14:paraId="6A485788">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合同条款通用部分</w:t>
      </w:r>
    </w:p>
    <w:p w14:paraId="7495A9DC">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采购需求</w:t>
      </w:r>
    </w:p>
    <w:p w14:paraId="18C8C6CD">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5307937E">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投标文件、招标文件除以上的其他部分</w:t>
      </w:r>
    </w:p>
    <w:p w14:paraId="02276412">
      <w:pPr>
        <w:numPr>
          <w:ilvl w:val="0"/>
          <w:numId w:val="6"/>
        </w:numPr>
        <w:snapToGrid w:val="0"/>
        <w:spacing w:line="360" w:lineRule="auto"/>
        <w:ind w:left="1035" w:hanging="720"/>
        <w:rPr>
          <w:rFonts w:ascii="宋体" w:eastAsia="宋体" w:hAnsi="宋体" w:cs="Times New Roman"/>
          <w:szCs w:val="21"/>
        </w:rPr>
      </w:pPr>
      <w:r>
        <w:rPr>
          <w:rFonts w:ascii="宋体" w:eastAsia="宋体" w:hAnsi="宋体" w:cs="Times New Roman" w:hint="eastAsia"/>
          <w:szCs w:val="21"/>
        </w:rPr>
        <w:t>其他合同文本</w:t>
      </w:r>
    </w:p>
    <w:p w14:paraId="56D0F75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一、定义</w:t>
      </w:r>
    </w:p>
    <w:p w14:paraId="36834E2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78BF82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46964D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072FE5C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3FBCA26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620741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6B6235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5C475BB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423D3A8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2E78CB5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1F79FF9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1AE4A72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1E8C39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二、合同标的</w:t>
      </w:r>
    </w:p>
    <w:p w14:paraId="64511CAD">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eastAsia="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eastAsia="zh-CN"/>
        </w:rPr>
        <w:t>。</w:t>
      </w:r>
    </w:p>
    <w:p w14:paraId="2D0BC82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三、合同价格</w:t>
      </w:r>
    </w:p>
    <w:p w14:paraId="392C609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045B6D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602917E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4F81867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四、支付和结算方式</w:t>
      </w:r>
    </w:p>
    <w:p w14:paraId="6D9085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5169CE4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7E2210EF">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3568D70F">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607FCB8E">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547B1082">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0A38F40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19E2CC3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2131DF5B">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五、资料的使用</w:t>
      </w:r>
    </w:p>
    <w:p w14:paraId="75DBFD1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0030C24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588F2AF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6494ABF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6F6AE5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19AB61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六、知识产权</w:t>
      </w:r>
    </w:p>
    <w:p w14:paraId="5785199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6B566B0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4458EF2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0C49819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646E7C1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733CB5D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7E11FD9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、进度要求</w:t>
      </w:r>
    </w:p>
    <w:p w14:paraId="3197A751">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eastAsia="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eastAsia="zh-CN"/>
        </w:rPr>
        <w:t>。</w:t>
      </w:r>
    </w:p>
    <w:p w14:paraId="0D776C4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eastAsia="zh-CN"/>
        </w:rPr>
        <w:t>、技术服务和保修责任</w:t>
      </w:r>
    </w:p>
    <w:p w14:paraId="58CD7FE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739AFB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50B1601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59B326B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1061E69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w:t>
      </w:r>
      <w:r>
        <w:rPr>
          <w:rFonts w:ascii="宋体" w:eastAsia="宋体" w:hAnsi="宋体" w:cs="Times New Roman" w:hint="eastAsia"/>
          <w:b/>
          <w:szCs w:val="21"/>
          <w:lang w:val="zh-CN" w:eastAsia="zh-CN"/>
        </w:rPr>
        <w:t>、履约保证金</w:t>
      </w:r>
    </w:p>
    <w:p w14:paraId="671E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531D2E7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135E7FD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06AF7A6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55FEB17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48AB0B7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十、审计及检查</w:t>
      </w:r>
    </w:p>
    <w:p w14:paraId="2645258D">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0CC09E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、违约责任</w:t>
      </w:r>
    </w:p>
    <w:p w14:paraId="4E441F5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60D93E9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83C583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651B812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651248D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2813677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4EF17DB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20E7B2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470EF4E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6D3D7F2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6C787BE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3A72DE8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01FF811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2</w:t>
      </w:r>
      <w:r>
        <w:rPr>
          <w:rFonts w:ascii="宋体" w:eastAsia="宋体" w:hAnsi="宋体" w:cs="Times New Roman" w:hint="eastAsia"/>
          <w:szCs w:val="21"/>
          <w:lang w:val="zh-CN"/>
        </w:rPr>
        <w:t>）</w:t>
      </w:r>
      <w:r>
        <w:rPr>
          <w:rFonts w:ascii="宋体" w:eastAsia="宋体" w:hAnsi="宋体" w:cs="Times New Roman" w:hint="eastAsia"/>
          <w:szCs w:val="21"/>
          <w:lang w:val="zh-CN" w:eastAsia="zh-CN"/>
        </w:rPr>
        <w:t>未经甲方许可使用项目资料的；</w:t>
      </w:r>
    </w:p>
    <w:p w14:paraId="428DDFB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3</w:t>
      </w:r>
      <w:r>
        <w:rPr>
          <w:rFonts w:ascii="宋体" w:eastAsia="宋体" w:hAnsi="宋体" w:cs="Times New Roman" w:hint="eastAsia"/>
          <w:szCs w:val="21"/>
          <w:lang w:val="zh-CN"/>
        </w:rPr>
        <w:t>）项目</w:t>
      </w:r>
      <w:r>
        <w:rPr>
          <w:rFonts w:ascii="宋体" w:eastAsia="宋体" w:hAnsi="宋体" w:cs="Times New Roman" w:hint="eastAsia"/>
          <w:szCs w:val="21"/>
          <w:lang w:val="zh-CN" w:eastAsia="zh-CN"/>
        </w:rPr>
        <w:t>完成后，乙方未经甲方许可保留项目资料的；</w:t>
      </w:r>
    </w:p>
    <w:p w14:paraId="434B9584">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eastAsia="zh-CN"/>
        </w:rPr>
        <w:t>4</w:t>
      </w:r>
      <w:r>
        <w:rPr>
          <w:rFonts w:ascii="宋体" w:eastAsia="宋体" w:hAnsi="宋体" w:cs="Times New Roman" w:hint="eastAsia"/>
          <w:szCs w:val="21"/>
          <w:lang w:val="zh-CN"/>
        </w:rPr>
        <w:t>）</w:t>
      </w:r>
      <w:r>
        <w:rPr>
          <w:rFonts w:ascii="宋体" w:eastAsia="宋体" w:hAnsi="宋体" w:cs="Times New Roman" w:hint="eastAsia"/>
          <w:szCs w:val="21"/>
          <w:lang w:val="zh-CN" w:eastAsia="zh-CN"/>
        </w:rPr>
        <w:t>对项目资料保管不当，造成数据全部或者部分丢失、被窃的。</w:t>
      </w:r>
    </w:p>
    <w:p w14:paraId="41442E94">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w:t>
      </w:r>
      <w:r>
        <w:rPr>
          <w:rFonts w:ascii="宋体" w:eastAsia="宋体" w:hAnsi="宋体" w:cs="Times New Roman" w:hint="eastAsia"/>
          <w:szCs w:val="21"/>
          <w:lang w:val="zh-CN" w:eastAsia="zh-CN"/>
        </w:rPr>
        <w:t>乙方在进行项目时违反有关保密规定的，依照《中华人民共和国保密法》等有关法律法规的规定处理。</w:t>
      </w:r>
    </w:p>
    <w:p w14:paraId="7CBE017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73424A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0E965AF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01D6A25C">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eastAsia="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5A6B863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、不可抗力</w:t>
      </w:r>
    </w:p>
    <w:p w14:paraId="73868FC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6A79901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1972A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FC43A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325F79C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三</w:t>
      </w:r>
      <w:r>
        <w:rPr>
          <w:rFonts w:ascii="宋体" w:eastAsia="宋体" w:hAnsi="宋体" w:cs="Times New Roman" w:hint="eastAsia"/>
          <w:b/>
          <w:szCs w:val="21"/>
          <w:lang w:val="zh-CN" w:eastAsia="zh-CN"/>
        </w:rPr>
        <w:t>、联系方式</w:t>
      </w:r>
    </w:p>
    <w:p w14:paraId="434EFC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67AE2F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5CCC9D5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6A87CA2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四</w:t>
      </w:r>
      <w:r>
        <w:rPr>
          <w:rFonts w:ascii="宋体" w:eastAsia="宋体" w:hAnsi="宋体" w:cs="Times New Roman" w:hint="eastAsia"/>
          <w:b/>
          <w:szCs w:val="21"/>
          <w:lang w:val="zh-CN" w:eastAsia="zh-CN"/>
        </w:rPr>
        <w:t>、保密条款</w:t>
      </w:r>
    </w:p>
    <w:p w14:paraId="7DCDB5C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0247CBF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36FB235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637F9AFC">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五</w:t>
      </w:r>
      <w:r>
        <w:rPr>
          <w:rFonts w:ascii="宋体" w:eastAsia="宋体" w:hAnsi="宋体" w:cs="Times New Roman" w:hint="eastAsia"/>
          <w:b/>
          <w:szCs w:val="21"/>
          <w:lang w:val="zh-CN" w:eastAsia="zh-CN"/>
        </w:rPr>
        <w:t>、合同的解释和法律适用</w:t>
      </w:r>
    </w:p>
    <w:p w14:paraId="2606131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20E6618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4B2DDE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601A334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06DCBEF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六</w:t>
      </w:r>
      <w:r>
        <w:rPr>
          <w:rFonts w:ascii="宋体" w:eastAsia="宋体" w:hAnsi="宋体" w:cs="Times New Roman" w:hint="eastAsia"/>
          <w:b/>
          <w:szCs w:val="21"/>
          <w:lang w:val="zh-CN" w:eastAsia="zh-CN"/>
        </w:rPr>
        <w:t>、合同的终止</w:t>
      </w:r>
    </w:p>
    <w:p w14:paraId="4D50ED14">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101454BA">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5049C27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0EAA3EAC">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2A33A33D">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11440E8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1BBB2AE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十</w:t>
      </w:r>
      <w:r>
        <w:rPr>
          <w:rFonts w:ascii="宋体" w:eastAsia="宋体" w:hAnsi="宋体" w:cs="Times New Roman" w:hint="eastAsia"/>
          <w:b/>
          <w:szCs w:val="21"/>
          <w:lang w:val="zh-CN"/>
        </w:rPr>
        <w:t>七</w:t>
      </w:r>
      <w:r>
        <w:rPr>
          <w:rFonts w:ascii="宋体" w:eastAsia="宋体" w:hAnsi="宋体" w:cs="Times New Roman" w:hint="eastAsia"/>
          <w:b/>
          <w:szCs w:val="21"/>
          <w:lang w:val="zh-CN" w:eastAsia="zh-CN"/>
        </w:rPr>
        <w:t>、法律适用</w:t>
      </w:r>
    </w:p>
    <w:p w14:paraId="13248D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7C79E4D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FB7691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w:t>
      </w:r>
      <w:r>
        <w:rPr>
          <w:rFonts w:ascii="宋体" w:eastAsia="宋体" w:hAnsi="宋体" w:cs="Times New Roman" w:hint="eastAsia"/>
          <w:b/>
          <w:szCs w:val="21"/>
          <w:lang w:val="zh-CN" w:eastAsia="zh-CN"/>
        </w:rPr>
        <w:t>、权利的保留</w:t>
      </w:r>
    </w:p>
    <w:p w14:paraId="477E721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545DAB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133B2A8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w:t>
      </w:r>
      <w:r>
        <w:rPr>
          <w:rFonts w:ascii="宋体" w:eastAsia="宋体" w:hAnsi="宋体" w:cs="Times New Roman" w:hint="eastAsia"/>
          <w:b/>
          <w:szCs w:val="21"/>
          <w:lang w:val="zh-CN" w:eastAsia="zh-CN"/>
        </w:rPr>
        <w:t>、争议的解决</w:t>
      </w:r>
    </w:p>
    <w:p w14:paraId="4781E30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161A5BC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052DE8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0DE9EB6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56BC51E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5CDD961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743733F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二十、合同的补充、修改和变更</w:t>
      </w:r>
    </w:p>
    <w:p w14:paraId="41E716D6">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eastAsia="zh-CN"/>
        </w:rPr>
        <w:t>以维护和兼顾各方的利益和</w:t>
      </w:r>
      <w:r>
        <w:rPr>
          <w:rFonts w:ascii="宋体" w:eastAsia="宋体" w:hAnsi="宋体" w:cs="Times New Roman" w:hint="eastAsia"/>
          <w:szCs w:val="21"/>
          <w:lang w:val="zh-CN"/>
        </w:rPr>
        <w:t>项目执行过程</w:t>
      </w:r>
      <w:r>
        <w:rPr>
          <w:rFonts w:ascii="宋体" w:eastAsia="宋体" w:hAnsi="宋体" w:cs="Times New Roman" w:hint="eastAsia"/>
          <w:szCs w:val="21"/>
          <w:lang w:val="zh-CN" w:eastAsia="zh-CN"/>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eastAsia="宋体" w:hAnsi="宋体" w:cs="Times New Roman" w:hint="eastAsia"/>
          <w:szCs w:val="21"/>
          <w:lang w:val="zh-CN"/>
        </w:rPr>
        <w:t>。</w:t>
      </w:r>
      <w:r>
        <w:rPr>
          <w:rFonts w:ascii="宋体" w:eastAsia="宋体" w:hAnsi="宋体" w:cs="Times New Roman" w:hint="eastAsia"/>
          <w:szCs w:val="21"/>
          <w:lang w:val="zh-CN" w:eastAsia="zh-CN"/>
        </w:rPr>
        <w:t>为此，双方同意：</w:t>
      </w:r>
    </w:p>
    <w:p w14:paraId="6E8E131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4E86660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07029FA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39C186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7281BBC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363F5A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02E511B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5807A24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6DEB101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一</w:t>
      </w:r>
      <w:r>
        <w:rPr>
          <w:rFonts w:ascii="宋体" w:eastAsia="宋体" w:hAnsi="宋体" w:cs="Times New Roman" w:hint="eastAsia"/>
          <w:b/>
          <w:szCs w:val="21"/>
          <w:lang w:val="zh-CN" w:eastAsia="zh-CN"/>
        </w:rPr>
        <w:t>、合同的生效</w:t>
      </w:r>
    </w:p>
    <w:p w14:paraId="70B607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104E8541">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eastAsia="zh-CN"/>
        </w:rPr>
        <w:t>二十</w:t>
      </w:r>
      <w:r>
        <w:rPr>
          <w:rFonts w:ascii="宋体" w:eastAsia="宋体" w:hAnsi="宋体" w:cs="Times New Roman" w:hint="eastAsia"/>
          <w:b/>
          <w:szCs w:val="21"/>
          <w:lang w:val="zh-CN"/>
        </w:rPr>
        <w:t>二</w:t>
      </w:r>
      <w:r>
        <w:rPr>
          <w:rFonts w:ascii="宋体" w:eastAsia="宋体" w:hAnsi="宋体" w:cs="Times New Roman" w:hint="eastAsia"/>
          <w:b/>
          <w:szCs w:val="21"/>
          <w:lang w:val="zh-CN" w:eastAsia="zh-CN"/>
        </w:rPr>
        <w:t>、其它约定事项</w:t>
      </w:r>
    </w:p>
    <w:p w14:paraId="7FF5D1C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39D944B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09A5E7E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49FCD6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60A13677">
      <w:pPr>
        <w:tabs>
          <w:tab w:val="left" w:pos="1573"/>
        </w:tabs>
        <w:adjustRightInd w:val="0"/>
        <w:snapToGrid w:val="0"/>
        <w:spacing w:line="360" w:lineRule="auto"/>
        <w:ind w:firstLine="412" w:firstLineChars="196"/>
        <w:jc w:val="left"/>
        <w:rPr>
          <w:rFonts w:ascii="宋体" w:eastAsia="宋体" w:hAnsi="宋体" w:cs="Times New Roman"/>
          <w:szCs w:val="21"/>
        </w:rPr>
      </w:pPr>
    </w:p>
    <w:p w14:paraId="433F8856">
      <w:pPr>
        <w:rPr>
          <w:rFonts w:ascii="Calibri" w:eastAsia="宋体" w:hAnsi="Calibri" w:cs="Times New Roman"/>
        </w:rPr>
      </w:pPr>
    </w:p>
    <w:p w14:paraId="13EDD09B"/>
    <w:p w:rsidR="00A77B3E"/>
    <w:p w14:paraId="0D9A9C79">
      <w:pPr>
        <w:spacing w:line="360" w:lineRule="auto"/>
        <w:ind w:firstLine="3066" w:firstLineChars="1460"/>
        <w:jc w:val="left"/>
        <w:rPr>
          <w:rFonts w:ascii="Times New Roman" w:eastAsia="宋体" w:hAnsi="Times New Roman" w:cs="Times New Roman"/>
          <w:b/>
          <w:bCs/>
          <w:szCs w:val="21"/>
        </w:rPr>
      </w:pPr>
      <w:bookmarkEnd w:id="55"/>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B0CA124A"/>
    <w:multiLevelType w:val="singleLevel"/>
    <w:tmpl w:val="B0CA124A"/>
    <w:lvl w:ilvl="0">
      <w:start w:val="1"/>
      <w:numFmt w:val="chineseCounting"/>
      <w:suff w:val="nothing"/>
      <w:lvlText w:val="（%1）"/>
      <w:lvlJc w:val="left"/>
      <w:pPr>
        <w:ind w:left="420" w:firstLine="0" w:leftChars="0" w:firstLineChars="0"/>
      </w:pPr>
      <w:rPr>
        <w:rFonts w:hint="eastAsia"/>
      </w:rPr>
    </w:lvl>
  </w:abstractNum>
  <w:abstractNum w:abstractNumId="2">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BA410C8"/>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24919</Words>
  <Characters>26331</Characters>
  <Application>Microsoft Office Word</Application>
  <DocSecurity>0</DocSecurity>
  <Lines>430</Lines>
  <Paragraphs>121</Paragraphs>
  <ScaleCrop>false</ScaleCrop>
  <Company/>
  <LinksUpToDate>false</LinksUpToDate>
  <CharactersWithSpaces>26503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2025-10-10T07:16:47Z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